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EA" w:rsidRDefault="007C79CD" w:rsidP="00847B56">
      <w:pPr>
        <w:pStyle w:val="Title"/>
        <w:rPr>
          <w:lang w:val="en-AU"/>
        </w:rPr>
      </w:pPr>
      <w:proofErr w:type="gramStart"/>
      <w:r>
        <w:rPr>
          <w:lang w:val="en-AU"/>
        </w:rPr>
        <w:t>nbn</w:t>
      </w:r>
      <w:proofErr w:type="gramEnd"/>
      <w:r w:rsidR="00847B56">
        <w:rPr>
          <w:lang w:val="en-AU"/>
        </w:rPr>
        <w:t xml:space="preserve"> Market Report</w:t>
      </w:r>
    </w:p>
    <w:p w:rsidR="00847B56" w:rsidRDefault="00847B56">
      <w:pPr>
        <w:rPr>
          <w:lang w:val="en-AU"/>
        </w:rPr>
      </w:pPr>
      <w:r>
        <w:rPr>
          <w:lang w:val="en-AU"/>
        </w:rPr>
        <w:t xml:space="preserve">Every quarter the ACCC releases a </w:t>
      </w:r>
      <w:hyperlink r:id="rId8" w:history="1">
        <w:r w:rsidRPr="00847B56">
          <w:rPr>
            <w:rStyle w:val="Hyperlink"/>
            <w:lang w:val="en-AU"/>
          </w:rPr>
          <w:t>report</w:t>
        </w:r>
      </w:hyperlink>
      <w:r>
        <w:rPr>
          <w:lang w:val="en-AU"/>
        </w:rPr>
        <w:t xml:space="preserve"> on the services operating over the NBN wholesale network. </w:t>
      </w:r>
    </w:p>
    <w:p w:rsidR="00847B56" w:rsidRDefault="00847B56">
      <w:pPr>
        <w:rPr>
          <w:lang w:val="en-AU"/>
        </w:rPr>
      </w:pPr>
      <w:r>
        <w:rPr>
          <w:lang w:val="en-AU"/>
        </w:rPr>
        <w:t xml:space="preserve">The report provides some interesting insights into the NBN, </w:t>
      </w:r>
      <w:r w:rsidR="002936F7">
        <w:rPr>
          <w:lang w:val="en-AU"/>
        </w:rPr>
        <w:t>here are some that we find useful.</w:t>
      </w:r>
    </w:p>
    <w:p w:rsidR="007D7056" w:rsidRDefault="007D7056" w:rsidP="00847B56">
      <w:pPr>
        <w:pStyle w:val="Heading1"/>
        <w:rPr>
          <w:lang w:val="en-AU"/>
        </w:rPr>
      </w:pPr>
      <w:r>
        <w:rPr>
          <w:lang w:val="en-AU"/>
        </w:rPr>
        <w:t>Number of services</w:t>
      </w:r>
    </w:p>
    <w:p w:rsidR="007D7056" w:rsidRDefault="001B35BF" w:rsidP="007D7056">
      <w:pPr>
        <w:rPr>
          <w:lang w:val="en-AU"/>
        </w:rPr>
      </w:pPr>
      <w:r>
        <w:rPr>
          <w:lang w:val="en-AU"/>
        </w:rPr>
        <w:t>The report shows that o</w:t>
      </w:r>
      <w:r w:rsidR="005F7086">
        <w:rPr>
          <w:lang w:val="en-AU"/>
        </w:rPr>
        <w:t>ver 2.5 million premises are</w:t>
      </w:r>
      <w:r>
        <w:rPr>
          <w:lang w:val="en-AU"/>
        </w:rPr>
        <w:t xml:space="preserve"> connected to the NBN</w:t>
      </w:r>
      <w:r w:rsidR="005F7086">
        <w:rPr>
          <w:lang w:val="en-AU"/>
        </w:rPr>
        <w:t xml:space="preserve"> as at June 2017</w:t>
      </w:r>
      <w:r>
        <w:rPr>
          <w:lang w:val="en-AU"/>
        </w:rPr>
        <w:t>.</w:t>
      </w:r>
    </w:p>
    <w:p w:rsidR="001923F1" w:rsidRDefault="001B35BF" w:rsidP="007D7056">
      <w:pPr>
        <w:rPr>
          <w:lang w:val="en-AU"/>
        </w:rPr>
      </w:pPr>
      <w:r>
        <w:rPr>
          <w:lang w:val="en-AU"/>
        </w:rPr>
        <w:t>F</w:t>
      </w:r>
      <w:r w:rsidR="005F7086">
        <w:rPr>
          <w:lang w:val="en-AU"/>
        </w:rPr>
        <w:t>ibre to the Premises (F</w:t>
      </w:r>
      <w:r>
        <w:rPr>
          <w:lang w:val="en-AU"/>
        </w:rPr>
        <w:t>TTP</w:t>
      </w:r>
      <w:r w:rsidR="005F7086">
        <w:rPr>
          <w:lang w:val="en-AU"/>
        </w:rPr>
        <w:t>)</w:t>
      </w:r>
      <w:r>
        <w:rPr>
          <w:lang w:val="en-AU"/>
        </w:rPr>
        <w:t xml:space="preserve"> is </w:t>
      </w:r>
      <w:r w:rsidR="002936F7">
        <w:rPr>
          <w:lang w:val="en-AU"/>
        </w:rPr>
        <w:t xml:space="preserve">the primary technology used. The number of services over both </w:t>
      </w:r>
      <w:proofErr w:type="gramStart"/>
      <w:r w:rsidR="002936F7">
        <w:rPr>
          <w:lang w:val="en-AU"/>
        </w:rPr>
        <w:t>F</w:t>
      </w:r>
      <w:r w:rsidR="005B2D77">
        <w:rPr>
          <w:lang w:val="en-AU"/>
        </w:rPr>
        <w:t>ibre</w:t>
      </w:r>
      <w:proofErr w:type="gramEnd"/>
      <w:r w:rsidR="005B2D77">
        <w:rPr>
          <w:lang w:val="en-AU"/>
        </w:rPr>
        <w:t xml:space="preserve"> to the Node (F</w:t>
      </w:r>
      <w:r w:rsidR="002936F7">
        <w:rPr>
          <w:lang w:val="en-AU"/>
        </w:rPr>
        <w:t>TTN</w:t>
      </w:r>
      <w:r w:rsidR="005B2D77">
        <w:rPr>
          <w:lang w:val="en-AU"/>
        </w:rPr>
        <w:t>)</w:t>
      </w:r>
      <w:r w:rsidR="002936F7">
        <w:rPr>
          <w:lang w:val="en-AU"/>
        </w:rPr>
        <w:t xml:space="preserve"> and H</w:t>
      </w:r>
      <w:r w:rsidR="005B2D77">
        <w:rPr>
          <w:lang w:val="en-AU"/>
        </w:rPr>
        <w:t>ybrid Fibre-Coaxial (H</w:t>
      </w:r>
      <w:r w:rsidR="002936F7">
        <w:rPr>
          <w:lang w:val="en-AU"/>
        </w:rPr>
        <w:t>FC</w:t>
      </w:r>
      <w:r w:rsidR="005B2D77">
        <w:rPr>
          <w:lang w:val="en-AU"/>
        </w:rPr>
        <w:t>)</w:t>
      </w:r>
      <w:r w:rsidR="002936F7">
        <w:rPr>
          <w:lang w:val="en-AU"/>
        </w:rPr>
        <w:t xml:space="preserve"> technologies are increasing at a fast rate. The graph below charts the number of services for each quarter by access technology.</w:t>
      </w:r>
    </w:p>
    <w:p w:rsidR="001B35BF" w:rsidRDefault="001B35BF" w:rsidP="001B35BF">
      <w:pPr>
        <w:pStyle w:val="Caption"/>
        <w:keepNext/>
      </w:pPr>
      <w:r>
        <w:t xml:space="preserve">Figure </w:t>
      </w:r>
      <w:r w:rsidR="00A81299">
        <w:fldChar w:fldCharType="begin"/>
      </w:r>
      <w:r w:rsidR="00A81299">
        <w:instrText xml:space="preserve"> SEQ Figure \* ARABIC </w:instrText>
      </w:r>
      <w:r w:rsidR="00A81299">
        <w:fldChar w:fldCharType="separate"/>
      </w:r>
      <w:r>
        <w:rPr>
          <w:noProof/>
        </w:rPr>
        <w:t>1</w:t>
      </w:r>
      <w:r w:rsidR="00A81299">
        <w:rPr>
          <w:noProof/>
        </w:rPr>
        <w:fldChar w:fldCharType="end"/>
      </w:r>
      <w:r>
        <w:t>: Number of services by access technology</w:t>
      </w:r>
      <w:r>
        <w:rPr>
          <w:rStyle w:val="FootnoteReference"/>
        </w:rPr>
        <w:footnoteReference w:id="1"/>
      </w:r>
    </w:p>
    <w:p w:rsidR="001B35BF" w:rsidRDefault="001B35BF" w:rsidP="007D7056">
      <w:pPr>
        <w:rPr>
          <w:lang w:val="en-AU"/>
        </w:rPr>
      </w:pPr>
      <w:r>
        <w:rPr>
          <w:noProof/>
          <w:lang w:val="en-AU" w:eastAsia="en-AU"/>
        </w:rPr>
        <w:drawing>
          <wp:inline distT="0" distB="0" distL="0" distR="0" wp14:anchorId="758755D0" wp14:editId="63F3FCCE">
            <wp:extent cx="5731510" cy="3198868"/>
            <wp:effectExtent l="0" t="0" r="21590" b="20955"/>
            <wp:docPr id="5" name="Chart 5" descr="Graph breaks down the number of services by technology type between March 2016 and June 2017. FTTP has increased from 762 thousand to 1.12 million, FTTB has increased from 8 thousand services to 63 thousand services, FTTN has increased from 36 thousand to 91 thousand, Fixed wireless from 101 thousand to 189 thousand. HFC services were launched late 2016 and there are now 153 thousand services. Sky Muster Satellite also launched services late 2016 and now has 75 thousand services." title="Number of serv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7B56" w:rsidRDefault="00847B56" w:rsidP="00847B56">
      <w:pPr>
        <w:pStyle w:val="Heading1"/>
        <w:rPr>
          <w:lang w:val="en-AU"/>
        </w:rPr>
      </w:pPr>
      <w:r>
        <w:rPr>
          <w:lang w:val="en-AU"/>
        </w:rPr>
        <w:t>Contracted capacity</w:t>
      </w:r>
    </w:p>
    <w:p w:rsidR="00C53F86" w:rsidRPr="00C53F86" w:rsidRDefault="00C53F86" w:rsidP="00C53F86">
      <w:r w:rsidRPr="00C53F86">
        <w:t xml:space="preserve">Contracted capacity is an important factor in the quality and speed of services. Poor speeds are one of the most complained about issues over </w:t>
      </w:r>
      <w:proofErr w:type="gramStart"/>
      <w:r w:rsidRPr="00C53F86">
        <w:t>NBN,</w:t>
      </w:r>
      <w:proofErr w:type="gramEnd"/>
      <w:r w:rsidRPr="00C53F86">
        <w:t xml:space="preserve"> one reason for this could be a low amount of capacity.</w:t>
      </w:r>
      <w:r w:rsidRPr="00C53F86">
        <w:rPr>
          <w:rStyle w:val="FootnoteReference"/>
          <w:lang w:val="en-AU"/>
        </w:rPr>
        <w:t xml:space="preserve"> </w:t>
      </w:r>
      <w:r>
        <w:rPr>
          <w:rStyle w:val="FootnoteReference"/>
          <w:lang w:val="en-AU"/>
        </w:rPr>
        <w:footnoteReference w:id="2"/>
      </w:r>
    </w:p>
    <w:p w:rsidR="00C53F86" w:rsidRPr="00C53F86" w:rsidRDefault="00C53F86" w:rsidP="00C53F86">
      <w:r w:rsidRPr="00C53F86">
        <w:t xml:space="preserve">The ACCC reports reveal total capacity and can be used to average the capacity per premise.  After over a year of fairly consistent provisioning (around 1Mbps per consumer), the most recent report (June 2017) shows an increase in the average amount of capacity per premises, both overall and for </w:t>
      </w:r>
      <w:r w:rsidRPr="00C53F86">
        <w:lastRenderedPageBreak/>
        <w:t>each state group (graph below). However, this is only an average - actual capacity will vary by Retail Service Provider and area.</w:t>
      </w:r>
    </w:p>
    <w:p w:rsidR="00847B56" w:rsidRDefault="00847B56" w:rsidP="0019412B">
      <w:pPr>
        <w:pStyle w:val="Caption"/>
        <w:keepNext/>
        <w:spacing w:after="0"/>
      </w:pPr>
      <w:r>
        <w:t xml:space="preserve">Figure </w:t>
      </w:r>
      <w:r w:rsidR="00A81299">
        <w:fldChar w:fldCharType="begin"/>
      </w:r>
      <w:r w:rsidR="00A81299">
        <w:instrText xml:space="preserve"> SEQ Figure \* ARABIC </w:instrText>
      </w:r>
      <w:r w:rsidR="00A81299">
        <w:fldChar w:fldCharType="separate"/>
      </w:r>
      <w:r w:rsidR="001B35BF">
        <w:rPr>
          <w:noProof/>
        </w:rPr>
        <w:t>2</w:t>
      </w:r>
      <w:r w:rsidR="00A81299">
        <w:rPr>
          <w:noProof/>
        </w:rPr>
        <w:fldChar w:fldCharType="end"/>
      </w:r>
      <w:r>
        <w:t>: Per end user provisioning</w:t>
      </w:r>
      <w:r>
        <w:rPr>
          <w:rStyle w:val="FootnoteReference"/>
        </w:rPr>
        <w:footnoteReference w:id="3"/>
      </w:r>
    </w:p>
    <w:p w:rsidR="00847B56" w:rsidRDefault="00847B56" w:rsidP="0019412B">
      <w:pPr>
        <w:pStyle w:val="Heading1"/>
        <w:spacing w:before="0"/>
        <w:rPr>
          <w:lang w:val="en-AU"/>
        </w:rPr>
      </w:pPr>
      <w:r>
        <w:rPr>
          <w:noProof/>
          <w:lang w:val="en-AU" w:eastAsia="en-AU"/>
        </w:rPr>
        <w:drawing>
          <wp:inline distT="0" distB="0" distL="0" distR="0" wp14:anchorId="4262651E" wp14:editId="53CE0B63">
            <wp:extent cx="5734050" cy="2743200"/>
            <wp:effectExtent l="0" t="0" r="19050" b="19050"/>
            <wp:docPr id="1" name="Chart 1" descr="Graph shows the average capacity per premises by state area and total. All areas saw an increase in the last quarters report (June 2017). SA/NT have the lowest report average capacity per end user." title="Average capacity per premis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58B4" w:rsidRDefault="007058B4" w:rsidP="007058B4">
      <w:pPr>
        <w:pStyle w:val="Heading1"/>
        <w:rPr>
          <w:lang w:val="en-AU"/>
        </w:rPr>
      </w:pPr>
      <w:r>
        <w:rPr>
          <w:lang w:val="en-AU"/>
        </w:rPr>
        <w:t>Speed tiers</w:t>
      </w:r>
    </w:p>
    <w:p w:rsidR="00387D1C" w:rsidRDefault="00387D1C" w:rsidP="00387D1C">
      <w:pPr>
        <w:rPr>
          <w:lang w:val="en-AU"/>
        </w:rPr>
      </w:pPr>
      <w:r>
        <w:rPr>
          <w:lang w:val="en-AU"/>
        </w:rPr>
        <w:t xml:space="preserve">There are a number of speed tiers available over the NBN. </w:t>
      </w:r>
    </w:p>
    <w:p w:rsidR="005B2D77" w:rsidRDefault="002936F7" w:rsidP="00387D1C">
      <w:pPr>
        <w:rPr>
          <w:lang w:val="en-AU"/>
        </w:rPr>
      </w:pPr>
      <w:r>
        <w:rPr>
          <w:lang w:val="en-AU"/>
        </w:rPr>
        <w:t>25/5Mbps is the most popular speed tier</w:t>
      </w:r>
      <w:r w:rsidR="005B2D77">
        <w:rPr>
          <w:lang w:val="en-AU"/>
        </w:rPr>
        <w:t>, with over half of all premises choosing this speed tier</w:t>
      </w:r>
      <w:r>
        <w:rPr>
          <w:lang w:val="en-AU"/>
        </w:rPr>
        <w:t xml:space="preserve">. </w:t>
      </w:r>
    </w:p>
    <w:p w:rsidR="00387D1C" w:rsidRPr="00387D1C" w:rsidRDefault="005B2D77" w:rsidP="00387D1C">
      <w:pPr>
        <w:rPr>
          <w:lang w:val="en-AU"/>
        </w:rPr>
      </w:pPr>
      <w:r>
        <w:rPr>
          <w:lang w:val="en-AU"/>
        </w:rPr>
        <w:t xml:space="preserve">Premises using </w:t>
      </w:r>
      <w:r w:rsidR="00553459">
        <w:rPr>
          <w:lang w:val="en-AU"/>
        </w:rPr>
        <w:t xml:space="preserve">the </w:t>
      </w:r>
      <w:r w:rsidR="009C1BD7">
        <w:rPr>
          <w:lang w:val="en-AU"/>
        </w:rPr>
        <w:t>Fixed Wireless</w:t>
      </w:r>
      <w:r w:rsidR="00553459">
        <w:rPr>
          <w:lang w:val="en-AU"/>
        </w:rPr>
        <w:t xml:space="preserve"> technology</w:t>
      </w:r>
      <w:r w:rsidR="009C1BD7">
        <w:rPr>
          <w:lang w:val="en-AU"/>
        </w:rPr>
        <w:t xml:space="preserve"> </w:t>
      </w:r>
      <w:r>
        <w:rPr>
          <w:lang w:val="en-AU"/>
        </w:rPr>
        <w:t>are least likely to choose the slowest speed tier (</w:t>
      </w:r>
      <w:r w:rsidR="009C1BD7">
        <w:rPr>
          <w:lang w:val="en-AU"/>
        </w:rPr>
        <w:t>12/1Mbps plans</w:t>
      </w:r>
      <w:r>
        <w:rPr>
          <w:lang w:val="en-AU"/>
        </w:rPr>
        <w:t>) while premises</w:t>
      </w:r>
      <w:r w:rsidR="009C1BD7">
        <w:rPr>
          <w:lang w:val="en-AU"/>
        </w:rPr>
        <w:t xml:space="preserve"> </w:t>
      </w:r>
      <w:r>
        <w:rPr>
          <w:lang w:val="en-AU"/>
        </w:rPr>
        <w:t xml:space="preserve">using the </w:t>
      </w:r>
      <w:r w:rsidR="009C1BD7">
        <w:rPr>
          <w:lang w:val="en-AU"/>
        </w:rPr>
        <w:t xml:space="preserve">HFC </w:t>
      </w:r>
      <w:r>
        <w:rPr>
          <w:lang w:val="en-AU"/>
        </w:rPr>
        <w:t xml:space="preserve">technology are most likely to choose the higher speed tiers </w:t>
      </w:r>
      <w:r w:rsidR="009C1BD7">
        <w:rPr>
          <w:lang w:val="en-AU"/>
        </w:rPr>
        <w:t>(50/20Mbps and 100/40Mbps), graph below.</w:t>
      </w:r>
    </w:p>
    <w:p w:rsidR="00387D1C" w:rsidRDefault="00387D1C" w:rsidP="00387D1C">
      <w:pPr>
        <w:pStyle w:val="Caption"/>
        <w:keepNext/>
      </w:pPr>
      <w:r>
        <w:lastRenderedPageBreak/>
        <w:t xml:space="preserve">Figure </w:t>
      </w:r>
      <w:r w:rsidR="00A81299">
        <w:fldChar w:fldCharType="begin"/>
      </w:r>
      <w:r w:rsidR="00A81299">
        <w:instrText xml:space="preserve"> SEQ Figure \* ARABIC </w:instrText>
      </w:r>
      <w:r w:rsidR="00A81299">
        <w:fldChar w:fldCharType="separate"/>
      </w:r>
      <w:r w:rsidR="001B35BF">
        <w:rPr>
          <w:noProof/>
        </w:rPr>
        <w:t>3</w:t>
      </w:r>
      <w:r w:rsidR="00A81299">
        <w:rPr>
          <w:noProof/>
        </w:rPr>
        <w:fldChar w:fldCharType="end"/>
      </w:r>
      <w:r>
        <w:t>: speed tiers by access technology June 2017</w:t>
      </w:r>
      <w:r>
        <w:rPr>
          <w:rStyle w:val="FootnoteReference"/>
        </w:rPr>
        <w:footnoteReference w:id="4"/>
      </w:r>
    </w:p>
    <w:p w:rsidR="007058B4" w:rsidRDefault="00387D1C" w:rsidP="007058B4">
      <w:pPr>
        <w:rPr>
          <w:lang w:val="en-AU"/>
        </w:rPr>
      </w:pPr>
      <w:r>
        <w:rPr>
          <w:noProof/>
          <w:lang w:val="en-AU" w:eastAsia="en-AU"/>
        </w:rPr>
        <w:drawing>
          <wp:inline distT="0" distB="0" distL="0" distR="0" wp14:anchorId="5167CF1E" wp14:editId="168184EC">
            <wp:extent cx="5731510" cy="2911681"/>
            <wp:effectExtent l="0" t="0" r="21590" b="22225"/>
            <wp:docPr id="2" name="Chart 2" descr="Graph shows the take up of different speed tiers over each of the technology types. 25/5Mbps is the most popular speed tier across all the technologies, followed by 12/1Mbps. " title="Proportion of speed tiers on each technology"/>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1DFC" w:rsidRDefault="00D81DFC" w:rsidP="00D81DFC">
      <w:pPr>
        <w:pStyle w:val="Heading1"/>
        <w:rPr>
          <w:lang w:val="en-AU"/>
        </w:rPr>
      </w:pPr>
      <w:r>
        <w:rPr>
          <w:lang w:val="en-AU"/>
        </w:rPr>
        <w:t>Market Share</w:t>
      </w:r>
    </w:p>
    <w:p w:rsidR="00D81DFC" w:rsidRDefault="007D7056" w:rsidP="00D81DFC">
      <w:pPr>
        <w:rPr>
          <w:lang w:val="en-AU"/>
        </w:rPr>
      </w:pPr>
      <w:r>
        <w:rPr>
          <w:lang w:val="en-AU"/>
        </w:rPr>
        <w:t>The report also provides insights into the market share of each access seeker by technology type.</w:t>
      </w:r>
    </w:p>
    <w:p w:rsidR="00571BD2" w:rsidRDefault="007D7056" w:rsidP="00D81DFC">
      <w:pPr>
        <w:rPr>
          <w:lang w:val="en-AU"/>
        </w:rPr>
      </w:pPr>
      <w:r>
        <w:rPr>
          <w:lang w:val="en-AU"/>
        </w:rPr>
        <w:t>T</w:t>
      </w:r>
      <w:r w:rsidR="00553459">
        <w:rPr>
          <w:lang w:val="en-AU"/>
        </w:rPr>
        <w:t xml:space="preserve">elstra has the highest market share, </w:t>
      </w:r>
      <w:r w:rsidR="005B2D77">
        <w:rPr>
          <w:lang w:val="en-AU"/>
        </w:rPr>
        <w:t>with one in every two</w:t>
      </w:r>
      <w:r w:rsidR="00F0086E">
        <w:rPr>
          <w:lang w:val="en-AU"/>
        </w:rPr>
        <w:t xml:space="preserve"> NBN connected</w:t>
      </w:r>
      <w:r w:rsidR="005B2D77">
        <w:rPr>
          <w:lang w:val="en-AU"/>
        </w:rPr>
        <w:t xml:space="preserve"> premises being with Telstra. </w:t>
      </w:r>
    </w:p>
    <w:p w:rsidR="007D7056" w:rsidRDefault="005B2D77" w:rsidP="00D81DFC">
      <w:pPr>
        <w:rPr>
          <w:lang w:val="en-AU"/>
        </w:rPr>
      </w:pPr>
      <w:r>
        <w:rPr>
          <w:lang w:val="en-AU"/>
        </w:rPr>
        <w:t>H</w:t>
      </w:r>
      <w:r w:rsidR="00553459">
        <w:rPr>
          <w:lang w:val="en-AU"/>
        </w:rPr>
        <w:t xml:space="preserve">owever, </w:t>
      </w:r>
      <w:r>
        <w:rPr>
          <w:lang w:val="en-AU"/>
        </w:rPr>
        <w:t xml:space="preserve">there is variation </w:t>
      </w:r>
      <w:r w:rsidR="00571BD2">
        <w:rPr>
          <w:lang w:val="en-AU"/>
        </w:rPr>
        <w:t>over each technology. The graph below shows the top access seekers by each technology</w:t>
      </w:r>
      <w:r w:rsidR="00553459">
        <w:rPr>
          <w:lang w:val="en-AU"/>
        </w:rPr>
        <w:t>.</w:t>
      </w:r>
    </w:p>
    <w:p w:rsidR="008F76A1" w:rsidRDefault="008F76A1" w:rsidP="008F76A1">
      <w:pPr>
        <w:pStyle w:val="Caption"/>
        <w:keepNext/>
      </w:pPr>
      <w:r>
        <w:lastRenderedPageBreak/>
        <w:t xml:space="preserve">Figure </w:t>
      </w:r>
      <w:r w:rsidR="00A81299">
        <w:fldChar w:fldCharType="begin"/>
      </w:r>
      <w:r w:rsidR="00A81299">
        <w:instrText xml:space="preserve"> SEQ Figure \* ARABIC </w:instrText>
      </w:r>
      <w:r w:rsidR="00A81299">
        <w:fldChar w:fldCharType="separate"/>
      </w:r>
      <w:r w:rsidR="001B35BF">
        <w:rPr>
          <w:noProof/>
        </w:rPr>
        <w:t>4</w:t>
      </w:r>
      <w:r w:rsidR="00A81299">
        <w:rPr>
          <w:noProof/>
        </w:rPr>
        <w:fldChar w:fldCharType="end"/>
      </w:r>
      <w:r>
        <w:t>: Access seeker market share by each technology</w:t>
      </w:r>
      <w:r>
        <w:rPr>
          <w:rStyle w:val="FootnoteReference"/>
        </w:rPr>
        <w:footnoteReference w:id="5"/>
      </w:r>
    </w:p>
    <w:p w:rsidR="00D81DFC" w:rsidRDefault="00D81DFC" w:rsidP="00D81DFC">
      <w:pPr>
        <w:rPr>
          <w:lang w:val="en-AU"/>
        </w:rPr>
      </w:pPr>
      <w:bookmarkStart w:id="0" w:name="_GoBack"/>
      <w:r>
        <w:rPr>
          <w:noProof/>
          <w:lang w:val="en-AU" w:eastAsia="en-AU"/>
        </w:rPr>
        <w:drawing>
          <wp:inline distT="0" distB="0" distL="0" distR="0" wp14:anchorId="5243F76C" wp14:editId="1477CECB">
            <wp:extent cx="6029325" cy="4714875"/>
            <wp:effectExtent l="0" t="0" r="9525" b="9525"/>
            <wp:docPr id="3" name="Chart 3" descr="Graph shows the market share of access seekers by each technology type. Each technology as a slightly different make up of access seekers. Telstra’s market share is strongest over FTTN technologies (nearly 59%) and weakest over HFC (40%) [Telstra do not offer Sky Muster satellite services]. APN has the biggest market share over Sky Muster Satellite service" title="mareket share of top access seek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p>
    <w:p w:rsidR="00C53F86" w:rsidRDefault="00C53F86" w:rsidP="00D81DFC">
      <w:pPr>
        <w:rPr>
          <w:lang w:val="en-AU"/>
        </w:rPr>
      </w:pPr>
    </w:p>
    <w:p w:rsidR="00C53F86" w:rsidRPr="00D81DFC" w:rsidRDefault="00C53F86" w:rsidP="00D81DFC">
      <w:pPr>
        <w:rPr>
          <w:lang w:val="en-AU"/>
        </w:rPr>
      </w:pPr>
    </w:p>
    <w:sectPr w:rsidR="00C53F86" w:rsidRPr="00D81D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299" w:rsidRDefault="00A81299" w:rsidP="00847B56">
      <w:pPr>
        <w:spacing w:after="0" w:line="240" w:lineRule="auto"/>
      </w:pPr>
      <w:r>
        <w:separator/>
      </w:r>
    </w:p>
  </w:endnote>
  <w:endnote w:type="continuationSeparator" w:id="0">
    <w:p w:rsidR="00A81299" w:rsidRDefault="00A81299" w:rsidP="00847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299" w:rsidRDefault="00A81299" w:rsidP="00847B56">
      <w:pPr>
        <w:spacing w:after="0" w:line="240" w:lineRule="auto"/>
      </w:pPr>
      <w:r>
        <w:separator/>
      </w:r>
    </w:p>
  </w:footnote>
  <w:footnote w:type="continuationSeparator" w:id="0">
    <w:p w:rsidR="00A81299" w:rsidRDefault="00A81299" w:rsidP="00847B56">
      <w:pPr>
        <w:spacing w:after="0" w:line="240" w:lineRule="auto"/>
      </w:pPr>
      <w:r>
        <w:continuationSeparator/>
      </w:r>
    </w:p>
  </w:footnote>
  <w:footnote w:id="1">
    <w:p w:rsidR="001B35BF" w:rsidRPr="001B35BF" w:rsidRDefault="001B35BF">
      <w:pPr>
        <w:pStyle w:val="FootnoteText"/>
        <w:rPr>
          <w:lang w:val="en-AU"/>
        </w:rPr>
      </w:pPr>
      <w:r>
        <w:rPr>
          <w:rStyle w:val="FootnoteReference"/>
        </w:rPr>
        <w:footnoteRef/>
      </w:r>
      <w:r>
        <w:t xml:space="preserve"> From </w:t>
      </w:r>
      <w:r>
        <w:rPr>
          <w:lang w:val="en-AU"/>
        </w:rPr>
        <w:t>Table 1</w:t>
      </w:r>
    </w:p>
  </w:footnote>
  <w:footnote w:id="2">
    <w:p w:rsidR="00C53F86" w:rsidRPr="002936F7" w:rsidRDefault="00C53F86" w:rsidP="00C53F86">
      <w:pPr>
        <w:pStyle w:val="FootnoteText"/>
        <w:rPr>
          <w:lang w:val="en-AU"/>
        </w:rPr>
      </w:pPr>
      <w:r>
        <w:rPr>
          <w:rStyle w:val="FootnoteReference"/>
        </w:rPr>
        <w:footnoteRef/>
      </w:r>
      <w:r>
        <w:t xml:space="preserve"> </w:t>
      </w:r>
      <w:proofErr w:type="gramStart"/>
      <w:r>
        <w:rPr>
          <w:lang w:val="en-AU"/>
        </w:rPr>
        <w:t>TIO Complaint Statistics.</w:t>
      </w:r>
      <w:proofErr w:type="gramEnd"/>
      <w:r>
        <w:rPr>
          <w:lang w:val="en-AU"/>
        </w:rPr>
        <w:t xml:space="preserve"> </w:t>
      </w:r>
      <w:hyperlink r:id="rId1" w:history="1">
        <w:r w:rsidRPr="00A201DA">
          <w:rPr>
            <w:rStyle w:val="Hyperlink"/>
            <w:lang w:val="en-AU"/>
          </w:rPr>
          <w:t>https://www.tio.com.au/publications/news/complaint-statistics-january-march-2016</w:t>
        </w:r>
      </w:hyperlink>
      <w:r>
        <w:rPr>
          <w:lang w:val="en-AU"/>
        </w:rPr>
        <w:t xml:space="preserve"> </w:t>
      </w:r>
    </w:p>
  </w:footnote>
  <w:footnote w:id="3">
    <w:p w:rsidR="00847B56" w:rsidRPr="00847B56" w:rsidRDefault="00847B56">
      <w:pPr>
        <w:pStyle w:val="FootnoteText"/>
        <w:rPr>
          <w:lang w:val="en-AU"/>
        </w:rPr>
      </w:pPr>
      <w:r>
        <w:rPr>
          <w:rStyle w:val="FootnoteReference"/>
        </w:rPr>
        <w:footnoteRef/>
      </w:r>
      <w:r>
        <w:t xml:space="preserve"> </w:t>
      </w:r>
      <w:r>
        <w:rPr>
          <w:lang w:val="en-AU"/>
        </w:rPr>
        <w:t>Taken from Table 2 (sum of contracted CVC capacity) divided by Table 6 total count of end users</w:t>
      </w:r>
    </w:p>
  </w:footnote>
  <w:footnote w:id="4">
    <w:p w:rsidR="00387D1C" w:rsidRPr="00387D1C" w:rsidRDefault="00387D1C">
      <w:pPr>
        <w:pStyle w:val="FootnoteText"/>
        <w:rPr>
          <w:lang w:val="en-AU"/>
        </w:rPr>
      </w:pPr>
      <w:r>
        <w:rPr>
          <w:rStyle w:val="FootnoteReference"/>
        </w:rPr>
        <w:footnoteRef/>
      </w:r>
      <w:r>
        <w:t xml:space="preserve"> </w:t>
      </w:r>
      <w:r>
        <w:rPr>
          <w:lang w:val="en-AU"/>
        </w:rPr>
        <w:t>Table 1</w:t>
      </w:r>
      <w:r w:rsidR="00571BD2">
        <w:rPr>
          <w:lang w:val="en-AU"/>
        </w:rPr>
        <w:t xml:space="preserve">, limited to the 5 common residential speed tiers. </w:t>
      </w:r>
    </w:p>
  </w:footnote>
  <w:footnote w:id="5">
    <w:p w:rsidR="008F76A1" w:rsidRPr="008F76A1" w:rsidRDefault="008F76A1">
      <w:pPr>
        <w:pStyle w:val="FootnoteText"/>
        <w:rPr>
          <w:lang w:val="en-AU"/>
        </w:rPr>
      </w:pPr>
      <w:r>
        <w:rPr>
          <w:rStyle w:val="FootnoteReference"/>
        </w:rPr>
        <w:footnoteRef/>
      </w:r>
      <w:r>
        <w:t xml:space="preserve"> </w:t>
      </w:r>
      <w:r>
        <w:rPr>
          <w:lang w:val="en-AU"/>
        </w:rPr>
        <w:t>Table 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56"/>
    <w:rsid w:val="00005DEA"/>
    <w:rsid w:val="001923F1"/>
    <w:rsid w:val="0019412B"/>
    <w:rsid w:val="001B35BF"/>
    <w:rsid w:val="002936F7"/>
    <w:rsid w:val="002A5E86"/>
    <w:rsid w:val="00387D1C"/>
    <w:rsid w:val="00553459"/>
    <w:rsid w:val="00571BD2"/>
    <w:rsid w:val="005B2D77"/>
    <w:rsid w:val="005F7086"/>
    <w:rsid w:val="007058B4"/>
    <w:rsid w:val="007C79CD"/>
    <w:rsid w:val="007D7056"/>
    <w:rsid w:val="00847B56"/>
    <w:rsid w:val="008C3C70"/>
    <w:rsid w:val="008F76A1"/>
    <w:rsid w:val="009C1BD7"/>
    <w:rsid w:val="00A625AB"/>
    <w:rsid w:val="00A81299"/>
    <w:rsid w:val="00C53F86"/>
    <w:rsid w:val="00D004D6"/>
    <w:rsid w:val="00D71E3C"/>
    <w:rsid w:val="00D81DFC"/>
    <w:rsid w:val="00F008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7B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7B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7B5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47B56"/>
    <w:rPr>
      <w:color w:val="0000FF" w:themeColor="hyperlink"/>
      <w:u w:val="single"/>
    </w:rPr>
  </w:style>
  <w:style w:type="character" w:customStyle="1" w:styleId="Heading1Char">
    <w:name w:val="Heading 1 Char"/>
    <w:basedOn w:val="DefaultParagraphFont"/>
    <w:link w:val="Heading1"/>
    <w:uiPriority w:val="9"/>
    <w:rsid w:val="00847B5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47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56"/>
    <w:rPr>
      <w:rFonts w:ascii="Tahoma" w:hAnsi="Tahoma" w:cs="Tahoma"/>
      <w:sz w:val="16"/>
      <w:szCs w:val="16"/>
    </w:rPr>
  </w:style>
  <w:style w:type="paragraph" w:styleId="Caption">
    <w:name w:val="caption"/>
    <w:basedOn w:val="Normal"/>
    <w:next w:val="Normal"/>
    <w:uiPriority w:val="35"/>
    <w:semiHidden/>
    <w:unhideWhenUsed/>
    <w:qFormat/>
    <w:rsid w:val="00847B56"/>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47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B56"/>
    <w:rPr>
      <w:sz w:val="20"/>
      <w:szCs w:val="20"/>
    </w:rPr>
  </w:style>
  <w:style w:type="character" w:styleId="FootnoteReference">
    <w:name w:val="footnote reference"/>
    <w:basedOn w:val="DefaultParagraphFont"/>
    <w:uiPriority w:val="99"/>
    <w:semiHidden/>
    <w:unhideWhenUsed/>
    <w:rsid w:val="00847B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7B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7B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7B5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47B56"/>
    <w:rPr>
      <w:color w:val="0000FF" w:themeColor="hyperlink"/>
      <w:u w:val="single"/>
    </w:rPr>
  </w:style>
  <w:style w:type="character" w:customStyle="1" w:styleId="Heading1Char">
    <w:name w:val="Heading 1 Char"/>
    <w:basedOn w:val="DefaultParagraphFont"/>
    <w:link w:val="Heading1"/>
    <w:uiPriority w:val="9"/>
    <w:rsid w:val="00847B5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47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56"/>
    <w:rPr>
      <w:rFonts w:ascii="Tahoma" w:hAnsi="Tahoma" w:cs="Tahoma"/>
      <w:sz w:val="16"/>
      <w:szCs w:val="16"/>
    </w:rPr>
  </w:style>
  <w:style w:type="paragraph" w:styleId="Caption">
    <w:name w:val="caption"/>
    <w:basedOn w:val="Normal"/>
    <w:next w:val="Normal"/>
    <w:uiPriority w:val="35"/>
    <w:semiHidden/>
    <w:unhideWhenUsed/>
    <w:qFormat/>
    <w:rsid w:val="00847B56"/>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47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B56"/>
    <w:rPr>
      <w:sz w:val="20"/>
      <w:szCs w:val="20"/>
    </w:rPr>
  </w:style>
  <w:style w:type="character" w:styleId="FootnoteReference">
    <w:name w:val="footnote reference"/>
    <w:basedOn w:val="DefaultParagraphFont"/>
    <w:uiPriority w:val="99"/>
    <w:semiHidden/>
    <w:unhideWhenUsed/>
    <w:rsid w:val="00847B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c.gov.au/regulated-infrastructure/communications/national-broadband-network-nbn/nbn-wholesale-market-indicators-report/repor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io.com.au/publications/news/complaint-statistics-january-march-201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Accan01\accan%20docs\Policy%20&amp;%20Campaigns\Policy%20Issues\NBN%20RT\NBN%20wholesale%20market%20report\All%20reports.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E"/>
              <a:t>Number of services</a:t>
            </a:r>
          </a:p>
        </c:rich>
      </c:tx>
      <c:overlay val="0"/>
    </c:title>
    <c:autoTitleDeleted val="0"/>
    <c:plotArea>
      <c:layout/>
      <c:lineChart>
        <c:grouping val="standard"/>
        <c:varyColors val="0"/>
        <c:ser>
          <c:idx val="0"/>
          <c:order val="0"/>
          <c:tx>
            <c:strRef>
              <c:f>Sheet2!$B$46</c:f>
              <c:strCache>
                <c:ptCount val="1"/>
                <c:pt idx="0">
                  <c:v>FTTP</c:v>
                </c:pt>
              </c:strCache>
            </c:strRef>
          </c:tx>
          <c:marker>
            <c:symbol val="none"/>
          </c:marker>
          <c:cat>
            <c:numRef>
              <c:f>Sheet2!$A$47:$A$52</c:f>
              <c:numCache>
                <c:formatCode>mmm\-yy</c:formatCode>
                <c:ptCount val="6"/>
                <c:pt idx="0">
                  <c:v>42430</c:v>
                </c:pt>
                <c:pt idx="1">
                  <c:v>42522</c:v>
                </c:pt>
                <c:pt idx="2">
                  <c:v>42614</c:v>
                </c:pt>
                <c:pt idx="3">
                  <c:v>42705</c:v>
                </c:pt>
                <c:pt idx="4">
                  <c:v>42795</c:v>
                </c:pt>
                <c:pt idx="5">
                  <c:v>42887</c:v>
                </c:pt>
              </c:numCache>
            </c:numRef>
          </c:cat>
          <c:val>
            <c:numRef>
              <c:f>Sheet2!$B$47:$B$52</c:f>
              <c:numCache>
                <c:formatCode>#,##0</c:formatCode>
                <c:ptCount val="6"/>
                <c:pt idx="0">
                  <c:v>761557</c:v>
                </c:pt>
                <c:pt idx="1">
                  <c:v>865072</c:v>
                </c:pt>
                <c:pt idx="2">
                  <c:v>947130</c:v>
                </c:pt>
                <c:pt idx="3">
                  <c:v>1014990</c:v>
                </c:pt>
                <c:pt idx="4">
                  <c:v>1080761</c:v>
                </c:pt>
                <c:pt idx="5" formatCode="General">
                  <c:v>1125477</c:v>
                </c:pt>
              </c:numCache>
            </c:numRef>
          </c:val>
          <c:smooth val="0"/>
        </c:ser>
        <c:ser>
          <c:idx val="1"/>
          <c:order val="1"/>
          <c:tx>
            <c:strRef>
              <c:f>Sheet2!$C$46</c:f>
              <c:strCache>
                <c:ptCount val="1"/>
                <c:pt idx="0">
                  <c:v>FTTB</c:v>
                </c:pt>
              </c:strCache>
            </c:strRef>
          </c:tx>
          <c:marker>
            <c:symbol val="none"/>
          </c:marker>
          <c:cat>
            <c:numRef>
              <c:f>Sheet2!$A$47:$A$52</c:f>
              <c:numCache>
                <c:formatCode>mmm\-yy</c:formatCode>
                <c:ptCount val="6"/>
                <c:pt idx="0">
                  <c:v>42430</c:v>
                </c:pt>
                <c:pt idx="1">
                  <c:v>42522</c:v>
                </c:pt>
                <c:pt idx="2">
                  <c:v>42614</c:v>
                </c:pt>
                <c:pt idx="3">
                  <c:v>42705</c:v>
                </c:pt>
                <c:pt idx="4">
                  <c:v>42795</c:v>
                </c:pt>
                <c:pt idx="5">
                  <c:v>42887</c:v>
                </c:pt>
              </c:numCache>
            </c:numRef>
          </c:cat>
          <c:val>
            <c:numRef>
              <c:f>Sheet2!$C$47:$C$52</c:f>
              <c:numCache>
                <c:formatCode>#,##0</c:formatCode>
                <c:ptCount val="6"/>
                <c:pt idx="0">
                  <c:v>7649</c:v>
                </c:pt>
                <c:pt idx="1">
                  <c:v>18184</c:v>
                </c:pt>
                <c:pt idx="2">
                  <c:v>32546</c:v>
                </c:pt>
                <c:pt idx="3">
                  <c:v>43097</c:v>
                </c:pt>
                <c:pt idx="4">
                  <c:v>53591</c:v>
                </c:pt>
                <c:pt idx="5" formatCode="General">
                  <c:v>63450</c:v>
                </c:pt>
              </c:numCache>
            </c:numRef>
          </c:val>
          <c:smooth val="0"/>
        </c:ser>
        <c:ser>
          <c:idx val="2"/>
          <c:order val="2"/>
          <c:tx>
            <c:strRef>
              <c:f>Sheet2!$D$46</c:f>
              <c:strCache>
                <c:ptCount val="1"/>
                <c:pt idx="0">
                  <c:v>FTTN</c:v>
                </c:pt>
              </c:strCache>
            </c:strRef>
          </c:tx>
          <c:marker>
            <c:symbol val="none"/>
          </c:marker>
          <c:cat>
            <c:numRef>
              <c:f>Sheet2!$A$47:$A$52</c:f>
              <c:numCache>
                <c:formatCode>mmm\-yy</c:formatCode>
                <c:ptCount val="6"/>
                <c:pt idx="0">
                  <c:v>42430</c:v>
                </c:pt>
                <c:pt idx="1">
                  <c:v>42522</c:v>
                </c:pt>
                <c:pt idx="2">
                  <c:v>42614</c:v>
                </c:pt>
                <c:pt idx="3">
                  <c:v>42705</c:v>
                </c:pt>
                <c:pt idx="4">
                  <c:v>42795</c:v>
                </c:pt>
                <c:pt idx="5">
                  <c:v>42887</c:v>
                </c:pt>
              </c:numCache>
            </c:numRef>
          </c:cat>
          <c:val>
            <c:numRef>
              <c:f>Sheet2!$D$47:$D$52</c:f>
              <c:numCache>
                <c:formatCode>#,##0</c:formatCode>
                <c:ptCount val="6"/>
                <c:pt idx="0">
                  <c:v>36190</c:v>
                </c:pt>
                <c:pt idx="1">
                  <c:v>102293</c:v>
                </c:pt>
                <c:pt idx="2">
                  <c:v>248041</c:v>
                </c:pt>
                <c:pt idx="3">
                  <c:v>411220</c:v>
                </c:pt>
                <c:pt idx="4">
                  <c:v>631111</c:v>
                </c:pt>
                <c:pt idx="5" formatCode="General">
                  <c:v>906662</c:v>
                </c:pt>
              </c:numCache>
            </c:numRef>
          </c:val>
          <c:smooth val="0"/>
        </c:ser>
        <c:ser>
          <c:idx val="3"/>
          <c:order val="3"/>
          <c:tx>
            <c:strRef>
              <c:f>Sheet2!$E$46</c:f>
              <c:strCache>
                <c:ptCount val="1"/>
                <c:pt idx="0">
                  <c:v>HFC</c:v>
                </c:pt>
              </c:strCache>
            </c:strRef>
          </c:tx>
          <c:marker>
            <c:symbol val="none"/>
          </c:marker>
          <c:cat>
            <c:numRef>
              <c:f>Sheet2!$A$47:$A$52</c:f>
              <c:numCache>
                <c:formatCode>mmm\-yy</c:formatCode>
                <c:ptCount val="6"/>
                <c:pt idx="0">
                  <c:v>42430</c:v>
                </c:pt>
                <c:pt idx="1">
                  <c:v>42522</c:v>
                </c:pt>
                <c:pt idx="2">
                  <c:v>42614</c:v>
                </c:pt>
                <c:pt idx="3">
                  <c:v>42705</c:v>
                </c:pt>
                <c:pt idx="4">
                  <c:v>42795</c:v>
                </c:pt>
                <c:pt idx="5">
                  <c:v>42887</c:v>
                </c:pt>
              </c:numCache>
            </c:numRef>
          </c:cat>
          <c:val>
            <c:numRef>
              <c:f>Sheet2!$E$47:$E$52</c:f>
              <c:numCache>
                <c:formatCode>General</c:formatCode>
                <c:ptCount val="6"/>
                <c:pt idx="3" formatCode="#,##0">
                  <c:v>14551</c:v>
                </c:pt>
                <c:pt idx="4" formatCode="#,##0">
                  <c:v>63475</c:v>
                </c:pt>
                <c:pt idx="5">
                  <c:v>153371</c:v>
                </c:pt>
              </c:numCache>
            </c:numRef>
          </c:val>
          <c:smooth val="0"/>
        </c:ser>
        <c:ser>
          <c:idx val="4"/>
          <c:order val="4"/>
          <c:tx>
            <c:strRef>
              <c:f>Sheet2!$F$46</c:f>
              <c:strCache>
                <c:ptCount val="1"/>
                <c:pt idx="0">
                  <c:v>Wireless</c:v>
                </c:pt>
              </c:strCache>
            </c:strRef>
          </c:tx>
          <c:marker>
            <c:symbol val="none"/>
          </c:marker>
          <c:cat>
            <c:numRef>
              <c:f>Sheet2!$A$47:$A$52</c:f>
              <c:numCache>
                <c:formatCode>mmm\-yy</c:formatCode>
                <c:ptCount val="6"/>
                <c:pt idx="0">
                  <c:v>42430</c:v>
                </c:pt>
                <c:pt idx="1">
                  <c:v>42522</c:v>
                </c:pt>
                <c:pt idx="2">
                  <c:v>42614</c:v>
                </c:pt>
                <c:pt idx="3">
                  <c:v>42705</c:v>
                </c:pt>
                <c:pt idx="4">
                  <c:v>42795</c:v>
                </c:pt>
                <c:pt idx="5">
                  <c:v>42887</c:v>
                </c:pt>
              </c:numCache>
            </c:numRef>
          </c:cat>
          <c:val>
            <c:numRef>
              <c:f>Sheet2!$F$47:$F$52</c:f>
              <c:numCache>
                <c:formatCode>#,##0</c:formatCode>
                <c:ptCount val="6"/>
                <c:pt idx="0">
                  <c:v>100958</c:v>
                </c:pt>
                <c:pt idx="1">
                  <c:v>119634</c:v>
                </c:pt>
                <c:pt idx="2">
                  <c:v>139189</c:v>
                </c:pt>
                <c:pt idx="3">
                  <c:v>156399</c:v>
                </c:pt>
                <c:pt idx="4">
                  <c:v>173148</c:v>
                </c:pt>
                <c:pt idx="5" formatCode="General">
                  <c:v>187754</c:v>
                </c:pt>
              </c:numCache>
            </c:numRef>
          </c:val>
          <c:smooth val="0"/>
        </c:ser>
        <c:ser>
          <c:idx val="5"/>
          <c:order val="5"/>
          <c:tx>
            <c:strRef>
              <c:f>Sheet2!$G$46</c:f>
              <c:strCache>
                <c:ptCount val="1"/>
                <c:pt idx="0">
                  <c:v>Satellite</c:v>
                </c:pt>
              </c:strCache>
            </c:strRef>
          </c:tx>
          <c:marker>
            <c:symbol val="none"/>
          </c:marker>
          <c:cat>
            <c:numRef>
              <c:f>Sheet2!$A$47:$A$52</c:f>
              <c:numCache>
                <c:formatCode>mmm\-yy</c:formatCode>
                <c:ptCount val="6"/>
                <c:pt idx="0">
                  <c:v>42430</c:v>
                </c:pt>
                <c:pt idx="1">
                  <c:v>42522</c:v>
                </c:pt>
                <c:pt idx="2">
                  <c:v>42614</c:v>
                </c:pt>
                <c:pt idx="3">
                  <c:v>42705</c:v>
                </c:pt>
                <c:pt idx="4">
                  <c:v>42795</c:v>
                </c:pt>
                <c:pt idx="5">
                  <c:v>42887</c:v>
                </c:pt>
              </c:numCache>
            </c:numRef>
          </c:cat>
          <c:val>
            <c:numRef>
              <c:f>Sheet2!$G$47:$G$52</c:f>
              <c:numCache>
                <c:formatCode>General</c:formatCode>
                <c:ptCount val="6"/>
                <c:pt idx="3" formatCode="_-* #,##0_-;\-* #,##0_-;_-* &quot;-&quot;??_-;_-@_-">
                  <c:v>54829</c:v>
                </c:pt>
                <c:pt idx="4" formatCode="#,##0">
                  <c:v>69037</c:v>
                </c:pt>
                <c:pt idx="5">
                  <c:v>74678</c:v>
                </c:pt>
              </c:numCache>
            </c:numRef>
          </c:val>
          <c:smooth val="0"/>
        </c:ser>
        <c:ser>
          <c:idx val="6"/>
          <c:order val="6"/>
          <c:tx>
            <c:strRef>
              <c:f>Sheet2!$H$46</c:f>
              <c:strCache>
                <c:ptCount val="1"/>
                <c:pt idx="0">
                  <c:v>Interim Satellite</c:v>
                </c:pt>
              </c:strCache>
            </c:strRef>
          </c:tx>
          <c:marker>
            <c:symbol val="none"/>
          </c:marker>
          <c:cat>
            <c:numRef>
              <c:f>Sheet2!$A$47:$A$52</c:f>
              <c:numCache>
                <c:formatCode>mmm\-yy</c:formatCode>
                <c:ptCount val="6"/>
                <c:pt idx="0">
                  <c:v>42430</c:v>
                </c:pt>
                <c:pt idx="1">
                  <c:v>42522</c:v>
                </c:pt>
                <c:pt idx="2">
                  <c:v>42614</c:v>
                </c:pt>
                <c:pt idx="3">
                  <c:v>42705</c:v>
                </c:pt>
                <c:pt idx="4">
                  <c:v>42795</c:v>
                </c:pt>
                <c:pt idx="5">
                  <c:v>42887</c:v>
                </c:pt>
              </c:numCache>
            </c:numRef>
          </c:cat>
          <c:val>
            <c:numRef>
              <c:f>Sheet2!$H$47:$H$52</c:f>
              <c:numCache>
                <c:formatCode>#,##0</c:formatCode>
                <c:ptCount val="6"/>
                <c:pt idx="0">
                  <c:v>34881</c:v>
                </c:pt>
                <c:pt idx="1">
                  <c:v>31163</c:v>
                </c:pt>
                <c:pt idx="2" formatCode="_-* #,##0_-;\-* #,##0_-;_-* &quot;-&quot;??_-;_-@_-">
                  <c:v>21759</c:v>
                </c:pt>
                <c:pt idx="3">
                  <c:v>10184</c:v>
                </c:pt>
              </c:numCache>
            </c:numRef>
          </c:val>
          <c:smooth val="0"/>
        </c:ser>
        <c:dLbls>
          <c:showLegendKey val="0"/>
          <c:showVal val="0"/>
          <c:showCatName val="0"/>
          <c:showSerName val="0"/>
          <c:showPercent val="0"/>
          <c:showBubbleSize val="0"/>
        </c:dLbls>
        <c:marker val="1"/>
        <c:smooth val="0"/>
        <c:axId val="259163648"/>
        <c:axId val="259165184"/>
      </c:lineChart>
      <c:dateAx>
        <c:axId val="259163648"/>
        <c:scaling>
          <c:orientation val="minMax"/>
        </c:scaling>
        <c:delete val="0"/>
        <c:axPos val="b"/>
        <c:numFmt formatCode="mmm\-yy" sourceLinked="1"/>
        <c:majorTickMark val="out"/>
        <c:minorTickMark val="none"/>
        <c:tickLblPos val="nextTo"/>
        <c:crossAx val="259165184"/>
        <c:crosses val="autoZero"/>
        <c:auto val="1"/>
        <c:lblOffset val="100"/>
        <c:baseTimeUnit val="months"/>
        <c:majorUnit val="3"/>
        <c:majorTimeUnit val="months"/>
        <c:minorUnit val="3"/>
        <c:minorTimeUnit val="months"/>
      </c:dateAx>
      <c:valAx>
        <c:axId val="259165184"/>
        <c:scaling>
          <c:orientation val="minMax"/>
        </c:scaling>
        <c:delete val="0"/>
        <c:axPos val="l"/>
        <c:majorGridlines/>
        <c:numFmt formatCode="#,##0" sourceLinked="1"/>
        <c:majorTickMark val="out"/>
        <c:minorTickMark val="none"/>
        <c:tickLblPos val="nextTo"/>
        <c:crossAx val="2591636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E"/>
              <a:t>Average capacity per premises</a:t>
            </a:r>
          </a:p>
        </c:rich>
      </c:tx>
      <c:overlay val="0"/>
    </c:title>
    <c:autoTitleDeleted val="0"/>
    <c:plotArea>
      <c:layout/>
      <c:barChart>
        <c:barDir val="col"/>
        <c:grouping val="clustered"/>
        <c:varyColors val="0"/>
        <c:ser>
          <c:idx val="0"/>
          <c:order val="0"/>
          <c:tx>
            <c:strRef>
              <c:f>Sheet5!$B$13</c:f>
              <c:strCache>
                <c:ptCount val="1"/>
                <c:pt idx="0">
                  <c:v>Mar ('16)</c:v>
                </c:pt>
              </c:strCache>
            </c:strRef>
          </c:tx>
          <c:invertIfNegative val="0"/>
          <c:cat>
            <c:strRef>
              <c:f>Sheet5!$A$14:$A$19</c:f>
              <c:strCache>
                <c:ptCount val="6"/>
                <c:pt idx="0">
                  <c:v>NSW/ACT</c:v>
                </c:pt>
                <c:pt idx="1">
                  <c:v>QLD</c:v>
                </c:pt>
                <c:pt idx="2">
                  <c:v>SA/NT</c:v>
                </c:pt>
                <c:pt idx="3">
                  <c:v>VIC/TAS</c:v>
                </c:pt>
                <c:pt idx="4">
                  <c:v>WA</c:v>
                </c:pt>
                <c:pt idx="5">
                  <c:v>Total</c:v>
                </c:pt>
              </c:strCache>
            </c:strRef>
          </c:cat>
          <c:val>
            <c:numRef>
              <c:f>Sheet5!$B$14:$B$19</c:f>
              <c:numCache>
                <c:formatCode>0.00</c:formatCode>
                <c:ptCount val="6"/>
                <c:pt idx="0">
                  <c:v>1.1291348960430805</c:v>
                </c:pt>
                <c:pt idx="1">
                  <c:v>1.06722028284465</c:v>
                </c:pt>
                <c:pt idx="2">
                  <c:v>0.98304793890884135</c:v>
                </c:pt>
                <c:pt idx="3">
                  <c:v>0.97024049274814739</c:v>
                </c:pt>
                <c:pt idx="4">
                  <c:v>1.0771460570525067</c:v>
                </c:pt>
                <c:pt idx="5">
                  <c:v>1.050981183952407</c:v>
                </c:pt>
              </c:numCache>
            </c:numRef>
          </c:val>
        </c:ser>
        <c:ser>
          <c:idx val="1"/>
          <c:order val="1"/>
          <c:tx>
            <c:strRef>
              <c:f>Sheet5!$C$13</c:f>
              <c:strCache>
                <c:ptCount val="1"/>
                <c:pt idx="0">
                  <c:v>Jun ('16)</c:v>
                </c:pt>
              </c:strCache>
            </c:strRef>
          </c:tx>
          <c:invertIfNegative val="0"/>
          <c:cat>
            <c:strRef>
              <c:f>Sheet5!$A$14:$A$19</c:f>
              <c:strCache>
                <c:ptCount val="6"/>
                <c:pt idx="0">
                  <c:v>NSW/ACT</c:v>
                </c:pt>
                <c:pt idx="1">
                  <c:v>QLD</c:v>
                </c:pt>
                <c:pt idx="2">
                  <c:v>SA/NT</c:v>
                </c:pt>
                <c:pt idx="3">
                  <c:v>VIC/TAS</c:v>
                </c:pt>
                <c:pt idx="4">
                  <c:v>WA</c:v>
                </c:pt>
                <c:pt idx="5">
                  <c:v>Total</c:v>
                </c:pt>
              </c:strCache>
            </c:strRef>
          </c:cat>
          <c:val>
            <c:numRef>
              <c:f>Sheet5!$C$14:$C$19</c:f>
              <c:numCache>
                <c:formatCode>0.00</c:formatCode>
                <c:ptCount val="6"/>
                <c:pt idx="0">
                  <c:v>1.134049747556626</c:v>
                </c:pt>
                <c:pt idx="1">
                  <c:v>1.1022591606208101</c:v>
                </c:pt>
                <c:pt idx="2">
                  <c:v>0.94240160730448275</c:v>
                </c:pt>
                <c:pt idx="3">
                  <c:v>1.0041658413390115</c:v>
                </c:pt>
                <c:pt idx="4">
                  <c:v>1.0677554395575999</c:v>
                </c:pt>
                <c:pt idx="5">
                  <c:v>1.0665753997301803</c:v>
                </c:pt>
              </c:numCache>
            </c:numRef>
          </c:val>
        </c:ser>
        <c:ser>
          <c:idx val="2"/>
          <c:order val="2"/>
          <c:tx>
            <c:strRef>
              <c:f>Sheet5!$D$13</c:f>
              <c:strCache>
                <c:ptCount val="1"/>
                <c:pt idx="0">
                  <c:v>Sep ('16)</c:v>
                </c:pt>
              </c:strCache>
            </c:strRef>
          </c:tx>
          <c:invertIfNegative val="0"/>
          <c:cat>
            <c:strRef>
              <c:f>Sheet5!$A$14:$A$19</c:f>
              <c:strCache>
                <c:ptCount val="6"/>
                <c:pt idx="0">
                  <c:v>NSW/ACT</c:v>
                </c:pt>
                <c:pt idx="1">
                  <c:v>QLD</c:v>
                </c:pt>
                <c:pt idx="2">
                  <c:v>SA/NT</c:v>
                </c:pt>
                <c:pt idx="3">
                  <c:v>VIC/TAS</c:v>
                </c:pt>
                <c:pt idx="4">
                  <c:v>WA</c:v>
                </c:pt>
                <c:pt idx="5">
                  <c:v>Total</c:v>
                </c:pt>
              </c:strCache>
            </c:strRef>
          </c:cat>
          <c:val>
            <c:numRef>
              <c:f>Sheet5!$D$14:$D$19</c:f>
              <c:numCache>
                <c:formatCode>0.00</c:formatCode>
                <c:ptCount val="6"/>
                <c:pt idx="0">
                  <c:v>1.1163998278459222</c:v>
                </c:pt>
                <c:pt idx="1">
                  <c:v>1.0892614004151693</c:v>
                </c:pt>
                <c:pt idx="2">
                  <c:v>0.98317438163914084</c:v>
                </c:pt>
                <c:pt idx="3">
                  <c:v>1.0563094174047289</c:v>
                </c:pt>
                <c:pt idx="4">
                  <c:v>1.0828797604809905</c:v>
                </c:pt>
                <c:pt idx="5">
                  <c:v>1.0787069483929399</c:v>
                </c:pt>
              </c:numCache>
            </c:numRef>
          </c:val>
        </c:ser>
        <c:ser>
          <c:idx val="3"/>
          <c:order val="3"/>
          <c:tx>
            <c:strRef>
              <c:f>Sheet5!$E$13</c:f>
              <c:strCache>
                <c:ptCount val="1"/>
                <c:pt idx="0">
                  <c:v>Dec ('16)</c:v>
                </c:pt>
              </c:strCache>
            </c:strRef>
          </c:tx>
          <c:invertIfNegative val="0"/>
          <c:cat>
            <c:strRef>
              <c:f>Sheet5!$A$14:$A$19</c:f>
              <c:strCache>
                <c:ptCount val="6"/>
                <c:pt idx="0">
                  <c:v>NSW/ACT</c:v>
                </c:pt>
                <c:pt idx="1">
                  <c:v>QLD</c:v>
                </c:pt>
                <c:pt idx="2">
                  <c:v>SA/NT</c:v>
                </c:pt>
                <c:pt idx="3">
                  <c:v>VIC/TAS</c:v>
                </c:pt>
                <c:pt idx="4">
                  <c:v>WA</c:v>
                </c:pt>
                <c:pt idx="5">
                  <c:v>Total</c:v>
                </c:pt>
              </c:strCache>
            </c:strRef>
          </c:cat>
          <c:val>
            <c:numRef>
              <c:f>Sheet5!$E$14:$E$19</c:f>
              <c:numCache>
                <c:formatCode>0.00</c:formatCode>
                <c:ptCount val="6"/>
                <c:pt idx="0">
                  <c:v>1.0621678943246122</c:v>
                </c:pt>
                <c:pt idx="1">
                  <c:v>1.0617031810867681</c:v>
                </c:pt>
                <c:pt idx="2">
                  <c:v>1.0008392231940311</c:v>
                </c:pt>
                <c:pt idx="3">
                  <c:v>1.0255688545171047</c:v>
                </c:pt>
                <c:pt idx="4">
                  <c:v>1.0748423698963472</c:v>
                </c:pt>
                <c:pt idx="5">
                  <c:v>1.0475346241473136</c:v>
                </c:pt>
              </c:numCache>
            </c:numRef>
          </c:val>
        </c:ser>
        <c:ser>
          <c:idx val="4"/>
          <c:order val="4"/>
          <c:tx>
            <c:strRef>
              <c:f>Sheet5!$F$13</c:f>
              <c:strCache>
                <c:ptCount val="1"/>
                <c:pt idx="0">
                  <c:v>Mar ('17)</c:v>
                </c:pt>
              </c:strCache>
            </c:strRef>
          </c:tx>
          <c:invertIfNegative val="0"/>
          <c:cat>
            <c:strRef>
              <c:f>Sheet5!$A$14:$A$19</c:f>
              <c:strCache>
                <c:ptCount val="6"/>
                <c:pt idx="0">
                  <c:v>NSW/ACT</c:v>
                </c:pt>
                <c:pt idx="1">
                  <c:v>QLD</c:v>
                </c:pt>
                <c:pt idx="2">
                  <c:v>SA/NT</c:v>
                </c:pt>
                <c:pt idx="3">
                  <c:v>VIC/TAS</c:v>
                </c:pt>
                <c:pt idx="4">
                  <c:v>WA</c:v>
                </c:pt>
                <c:pt idx="5">
                  <c:v>Total</c:v>
                </c:pt>
              </c:strCache>
            </c:strRef>
          </c:cat>
          <c:val>
            <c:numRef>
              <c:f>Sheet5!$F$14:$F$19</c:f>
              <c:numCache>
                <c:formatCode>0.00</c:formatCode>
                <c:ptCount val="6"/>
                <c:pt idx="0">
                  <c:v>1.0630568952094555</c:v>
                </c:pt>
                <c:pt idx="1">
                  <c:v>1.0466824142212532</c:v>
                </c:pt>
                <c:pt idx="2">
                  <c:v>0.96505849958327616</c:v>
                </c:pt>
                <c:pt idx="3">
                  <c:v>1.0154409548159478</c:v>
                </c:pt>
                <c:pt idx="4">
                  <c:v>1.0454923196525749</c:v>
                </c:pt>
                <c:pt idx="5">
                  <c:v>1.0361193275413743</c:v>
                </c:pt>
              </c:numCache>
            </c:numRef>
          </c:val>
        </c:ser>
        <c:ser>
          <c:idx val="5"/>
          <c:order val="5"/>
          <c:tx>
            <c:strRef>
              <c:f>Sheet5!$G$13</c:f>
              <c:strCache>
                <c:ptCount val="1"/>
                <c:pt idx="0">
                  <c:v>Jun ('17)</c:v>
                </c:pt>
              </c:strCache>
            </c:strRef>
          </c:tx>
          <c:invertIfNegative val="0"/>
          <c:cat>
            <c:strRef>
              <c:f>Sheet5!$A$14:$A$19</c:f>
              <c:strCache>
                <c:ptCount val="6"/>
                <c:pt idx="0">
                  <c:v>NSW/ACT</c:v>
                </c:pt>
                <c:pt idx="1">
                  <c:v>QLD</c:v>
                </c:pt>
                <c:pt idx="2">
                  <c:v>SA/NT</c:v>
                </c:pt>
                <c:pt idx="3">
                  <c:v>VIC/TAS</c:v>
                </c:pt>
                <c:pt idx="4">
                  <c:v>WA</c:v>
                </c:pt>
                <c:pt idx="5">
                  <c:v>Total</c:v>
                </c:pt>
              </c:strCache>
            </c:strRef>
          </c:cat>
          <c:val>
            <c:numRef>
              <c:f>Sheet5!$G$14:$G$19</c:f>
              <c:numCache>
                <c:formatCode>0.00</c:formatCode>
                <c:ptCount val="6"/>
                <c:pt idx="0">
                  <c:v>1.142333975248677</c:v>
                </c:pt>
                <c:pt idx="1">
                  <c:v>1.1210251696890086</c:v>
                </c:pt>
                <c:pt idx="2">
                  <c:v>1.0533361365089309</c:v>
                </c:pt>
                <c:pt idx="3">
                  <c:v>1.1123251647074619</c:v>
                </c:pt>
                <c:pt idx="4">
                  <c:v>1.1521395354784811</c:v>
                </c:pt>
                <c:pt idx="5">
                  <c:v>1.1224850351744193</c:v>
                </c:pt>
              </c:numCache>
            </c:numRef>
          </c:val>
        </c:ser>
        <c:dLbls>
          <c:showLegendKey val="0"/>
          <c:showVal val="0"/>
          <c:showCatName val="0"/>
          <c:showSerName val="0"/>
          <c:showPercent val="0"/>
          <c:showBubbleSize val="0"/>
        </c:dLbls>
        <c:gapWidth val="150"/>
        <c:axId val="259832832"/>
        <c:axId val="259834624"/>
      </c:barChart>
      <c:catAx>
        <c:axId val="259832832"/>
        <c:scaling>
          <c:orientation val="minMax"/>
        </c:scaling>
        <c:delete val="0"/>
        <c:axPos val="b"/>
        <c:majorTickMark val="out"/>
        <c:minorTickMark val="none"/>
        <c:tickLblPos val="nextTo"/>
        <c:crossAx val="259834624"/>
        <c:crosses val="autoZero"/>
        <c:auto val="1"/>
        <c:lblAlgn val="ctr"/>
        <c:lblOffset val="100"/>
        <c:noMultiLvlLbl val="0"/>
      </c:catAx>
      <c:valAx>
        <c:axId val="259834624"/>
        <c:scaling>
          <c:orientation val="minMax"/>
        </c:scaling>
        <c:delete val="0"/>
        <c:axPos val="l"/>
        <c:majorGridlines/>
        <c:numFmt formatCode="0.00" sourceLinked="1"/>
        <c:majorTickMark val="out"/>
        <c:minorTickMark val="none"/>
        <c:tickLblPos val="nextTo"/>
        <c:crossAx val="2598328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E"/>
              <a:t>Proportion of speed tiers on each technology</a:t>
            </a:r>
          </a:p>
        </c:rich>
      </c:tx>
      <c:overlay val="0"/>
    </c:title>
    <c:autoTitleDeleted val="0"/>
    <c:plotArea>
      <c:layout/>
      <c:barChart>
        <c:barDir val="col"/>
        <c:grouping val="percentStacked"/>
        <c:varyColors val="0"/>
        <c:ser>
          <c:idx val="0"/>
          <c:order val="0"/>
          <c:tx>
            <c:strRef>
              <c:f>Sheet2!$A$3</c:f>
              <c:strCache>
                <c:ptCount val="1"/>
                <c:pt idx="0">
                  <c:v>12/1</c:v>
                </c:pt>
              </c:strCache>
            </c:strRef>
          </c:tx>
          <c:invertIfNegative val="0"/>
          <c:cat>
            <c:strRef>
              <c:f>Sheet2!$B$2:$G$2</c:f>
              <c:strCache>
                <c:ptCount val="6"/>
                <c:pt idx="0">
                  <c:v>Fibre to the Premises</c:v>
                </c:pt>
                <c:pt idx="1">
                  <c:v>Fibre to the building</c:v>
                </c:pt>
                <c:pt idx="2">
                  <c:v>Fibre to the Node</c:v>
                </c:pt>
                <c:pt idx="3">
                  <c:v>Hybrid Fibre-coaxial</c:v>
                </c:pt>
                <c:pt idx="4">
                  <c:v>Fixed wireless</c:v>
                </c:pt>
                <c:pt idx="5">
                  <c:v>Sky Muster</c:v>
                </c:pt>
              </c:strCache>
            </c:strRef>
          </c:cat>
          <c:val>
            <c:numRef>
              <c:f>Sheet2!$B$3:$G$3</c:f>
              <c:numCache>
                <c:formatCode>General</c:formatCode>
                <c:ptCount val="6"/>
                <c:pt idx="0">
                  <c:v>358922</c:v>
                </c:pt>
                <c:pt idx="1">
                  <c:v>22452</c:v>
                </c:pt>
                <c:pt idx="2">
                  <c:v>232339</c:v>
                </c:pt>
                <c:pt idx="3">
                  <c:v>47279</c:v>
                </c:pt>
                <c:pt idx="4">
                  <c:v>30725</c:v>
                </c:pt>
                <c:pt idx="5">
                  <c:v>25265</c:v>
                </c:pt>
              </c:numCache>
            </c:numRef>
          </c:val>
        </c:ser>
        <c:ser>
          <c:idx val="1"/>
          <c:order val="1"/>
          <c:tx>
            <c:strRef>
              <c:f>Sheet2!$A$4</c:f>
              <c:strCache>
                <c:ptCount val="1"/>
                <c:pt idx="0">
                  <c:v>25/5</c:v>
                </c:pt>
              </c:strCache>
            </c:strRef>
          </c:tx>
          <c:invertIfNegative val="0"/>
          <c:cat>
            <c:strRef>
              <c:f>Sheet2!$B$2:$G$2</c:f>
              <c:strCache>
                <c:ptCount val="6"/>
                <c:pt idx="0">
                  <c:v>Fibre to the Premises</c:v>
                </c:pt>
                <c:pt idx="1">
                  <c:v>Fibre to the building</c:v>
                </c:pt>
                <c:pt idx="2">
                  <c:v>Fibre to the Node</c:v>
                </c:pt>
                <c:pt idx="3">
                  <c:v>Hybrid Fibre-coaxial</c:v>
                </c:pt>
                <c:pt idx="4">
                  <c:v>Fixed wireless</c:v>
                </c:pt>
                <c:pt idx="5">
                  <c:v>Sky Muster</c:v>
                </c:pt>
              </c:strCache>
            </c:strRef>
          </c:cat>
          <c:val>
            <c:numRef>
              <c:f>Sheet2!$B$4:$G$4</c:f>
              <c:numCache>
                <c:formatCode>General</c:formatCode>
                <c:ptCount val="6"/>
                <c:pt idx="0">
                  <c:v>538340</c:v>
                </c:pt>
                <c:pt idx="1">
                  <c:v>30031</c:v>
                </c:pt>
                <c:pt idx="2">
                  <c:v>554903</c:v>
                </c:pt>
                <c:pt idx="3">
                  <c:v>65503</c:v>
                </c:pt>
                <c:pt idx="4">
                  <c:v>145739</c:v>
                </c:pt>
                <c:pt idx="5">
                  <c:v>49413</c:v>
                </c:pt>
              </c:numCache>
            </c:numRef>
          </c:val>
        </c:ser>
        <c:ser>
          <c:idx val="2"/>
          <c:order val="2"/>
          <c:tx>
            <c:strRef>
              <c:f>Sheet2!$A$5</c:f>
              <c:strCache>
                <c:ptCount val="1"/>
                <c:pt idx="0">
                  <c:v>25/10 or 25/5-10</c:v>
                </c:pt>
              </c:strCache>
            </c:strRef>
          </c:tx>
          <c:invertIfNegative val="0"/>
          <c:cat>
            <c:strRef>
              <c:f>Sheet2!$B$2:$G$2</c:f>
              <c:strCache>
                <c:ptCount val="6"/>
                <c:pt idx="0">
                  <c:v>Fibre to the Premises</c:v>
                </c:pt>
                <c:pt idx="1">
                  <c:v>Fibre to the building</c:v>
                </c:pt>
                <c:pt idx="2">
                  <c:v>Fibre to the Node</c:v>
                </c:pt>
                <c:pt idx="3">
                  <c:v>Hybrid Fibre-coaxial</c:v>
                </c:pt>
                <c:pt idx="4">
                  <c:v>Fixed wireless</c:v>
                </c:pt>
                <c:pt idx="5">
                  <c:v>Sky Muster</c:v>
                </c:pt>
              </c:strCache>
            </c:strRef>
          </c:cat>
          <c:val>
            <c:numRef>
              <c:f>Sheet2!$B$5:$G$5</c:f>
              <c:numCache>
                <c:formatCode>General</c:formatCode>
                <c:ptCount val="6"/>
                <c:pt idx="0">
                  <c:v>10798</c:v>
                </c:pt>
                <c:pt idx="1">
                  <c:v>506</c:v>
                </c:pt>
                <c:pt idx="2">
                  <c:v>2146</c:v>
                </c:pt>
                <c:pt idx="3">
                  <c:v>47</c:v>
                </c:pt>
              </c:numCache>
            </c:numRef>
          </c:val>
        </c:ser>
        <c:ser>
          <c:idx val="3"/>
          <c:order val="3"/>
          <c:tx>
            <c:strRef>
              <c:f>Sheet2!$A$6</c:f>
              <c:strCache>
                <c:ptCount val="1"/>
                <c:pt idx="0">
                  <c:v>50/20 or 25-50/5-20</c:v>
                </c:pt>
              </c:strCache>
            </c:strRef>
          </c:tx>
          <c:invertIfNegative val="0"/>
          <c:cat>
            <c:strRef>
              <c:f>Sheet2!$B$2:$G$2</c:f>
              <c:strCache>
                <c:ptCount val="6"/>
                <c:pt idx="0">
                  <c:v>Fibre to the Premises</c:v>
                </c:pt>
                <c:pt idx="1">
                  <c:v>Fibre to the building</c:v>
                </c:pt>
                <c:pt idx="2">
                  <c:v>Fibre to the Node</c:v>
                </c:pt>
                <c:pt idx="3">
                  <c:v>Hybrid Fibre-coaxial</c:v>
                </c:pt>
                <c:pt idx="4">
                  <c:v>Fixed wireless</c:v>
                </c:pt>
                <c:pt idx="5">
                  <c:v>Sky Muster</c:v>
                </c:pt>
              </c:strCache>
            </c:strRef>
          </c:cat>
          <c:val>
            <c:numRef>
              <c:f>Sheet2!$B$6:$G$6</c:f>
              <c:numCache>
                <c:formatCode>General</c:formatCode>
                <c:ptCount val="6"/>
                <c:pt idx="0">
                  <c:v>41712</c:v>
                </c:pt>
                <c:pt idx="1">
                  <c:v>1640</c:v>
                </c:pt>
                <c:pt idx="2">
                  <c:v>27620</c:v>
                </c:pt>
                <c:pt idx="3">
                  <c:v>18268</c:v>
                </c:pt>
                <c:pt idx="4">
                  <c:v>11290</c:v>
                </c:pt>
              </c:numCache>
            </c:numRef>
          </c:val>
        </c:ser>
        <c:ser>
          <c:idx val="4"/>
          <c:order val="4"/>
          <c:tx>
            <c:strRef>
              <c:f>Sheet2!$A$7</c:f>
              <c:strCache>
                <c:ptCount val="1"/>
                <c:pt idx="0">
                  <c:v>100/40 or 25-100/5-40</c:v>
                </c:pt>
              </c:strCache>
            </c:strRef>
          </c:tx>
          <c:invertIfNegative val="0"/>
          <c:cat>
            <c:strRef>
              <c:f>Sheet2!$B$2:$G$2</c:f>
              <c:strCache>
                <c:ptCount val="6"/>
                <c:pt idx="0">
                  <c:v>Fibre to the Premises</c:v>
                </c:pt>
                <c:pt idx="1">
                  <c:v>Fibre to the building</c:v>
                </c:pt>
                <c:pt idx="2">
                  <c:v>Fibre to the Node</c:v>
                </c:pt>
                <c:pt idx="3">
                  <c:v>Hybrid Fibre-coaxial</c:v>
                </c:pt>
                <c:pt idx="4">
                  <c:v>Fixed wireless</c:v>
                </c:pt>
                <c:pt idx="5">
                  <c:v>Sky Muster</c:v>
                </c:pt>
              </c:strCache>
            </c:strRef>
          </c:cat>
          <c:val>
            <c:numRef>
              <c:f>Sheet2!$B$7:$G$7</c:f>
              <c:numCache>
                <c:formatCode>General</c:formatCode>
                <c:ptCount val="6"/>
                <c:pt idx="0">
                  <c:v>175563</c:v>
                </c:pt>
                <c:pt idx="1">
                  <c:v>8821</c:v>
                </c:pt>
                <c:pt idx="2">
                  <c:v>89654</c:v>
                </c:pt>
                <c:pt idx="3">
                  <c:v>22274</c:v>
                </c:pt>
              </c:numCache>
            </c:numRef>
          </c:val>
        </c:ser>
        <c:dLbls>
          <c:showLegendKey val="0"/>
          <c:showVal val="0"/>
          <c:showCatName val="0"/>
          <c:showSerName val="0"/>
          <c:showPercent val="0"/>
          <c:showBubbleSize val="0"/>
        </c:dLbls>
        <c:gapWidth val="150"/>
        <c:overlap val="100"/>
        <c:axId val="259531136"/>
        <c:axId val="259532672"/>
      </c:barChart>
      <c:catAx>
        <c:axId val="259531136"/>
        <c:scaling>
          <c:orientation val="minMax"/>
        </c:scaling>
        <c:delete val="0"/>
        <c:axPos val="b"/>
        <c:majorTickMark val="out"/>
        <c:minorTickMark val="none"/>
        <c:tickLblPos val="nextTo"/>
        <c:crossAx val="259532672"/>
        <c:crosses val="autoZero"/>
        <c:auto val="1"/>
        <c:lblAlgn val="ctr"/>
        <c:lblOffset val="100"/>
        <c:noMultiLvlLbl val="0"/>
      </c:catAx>
      <c:valAx>
        <c:axId val="259532672"/>
        <c:scaling>
          <c:orientation val="minMax"/>
        </c:scaling>
        <c:delete val="0"/>
        <c:axPos val="l"/>
        <c:majorGridlines/>
        <c:numFmt formatCode="0%" sourceLinked="1"/>
        <c:majorTickMark val="out"/>
        <c:minorTickMark val="none"/>
        <c:tickLblPos val="nextTo"/>
        <c:crossAx val="25953113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E"/>
              <a:t>Market share of top access seekers</a:t>
            </a:r>
          </a:p>
        </c:rich>
      </c:tx>
      <c:overlay val="0"/>
    </c:title>
    <c:autoTitleDeleted val="0"/>
    <c:plotArea>
      <c:layout/>
      <c:barChart>
        <c:barDir val="col"/>
        <c:grouping val="percentStacked"/>
        <c:varyColors val="0"/>
        <c:ser>
          <c:idx val="0"/>
          <c:order val="0"/>
          <c:tx>
            <c:strRef>
              <c:f>Sheet2!$A$18</c:f>
              <c:strCache>
                <c:ptCount val="1"/>
                <c:pt idx="0">
                  <c:v>Telstra Corporation Ltd</c:v>
                </c:pt>
              </c:strCache>
            </c:strRef>
          </c:tx>
          <c:invertIfNegative val="0"/>
          <c:cat>
            <c:strRef>
              <c:f>Sheet2!$B$17:$G$17</c:f>
              <c:strCache>
                <c:ptCount val="6"/>
                <c:pt idx="0">
                  <c:v>FTTP</c:v>
                </c:pt>
                <c:pt idx="1">
                  <c:v>HFC</c:v>
                </c:pt>
                <c:pt idx="2">
                  <c:v>FTTB</c:v>
                </c:pt>
                <c:pt idx="3">
                  <c:v>FTTN</c:v>
                </c:pt>
                <c:pt idx="4">
                  <c:v>Wireless</c:v>
                </c:pt>
                <c:pt idx="5">
                  <c:v>Satellite</c:v>
                </c:pt>
              </c:strCache>
            </c:strRef>
          </c:cat>
          <c:val>
            <c:numRef>
              <c:f>Sheet2!$B$18:$G$18</c:f>
              <c:numCache>
                <c:formatCode>_-* #,##0_-;\-* #,##0_-;_-* "-"??_-;_-@_-</c:formatCode>
                <c:ptCount val="6"/>
                <c:pt idx="0">
                  <c:v>529111</c:v>
                </c:pt>
                <c:pt idx="1">
                  <c:v>61829</c:v>
                </c:pt>
                <c:pt idx="2">
                  <c:v>29078</c:v>
                </c:pt>
                <c:pt idx="3">
                  <c:v>532805</c:v>
                </c:pt>
                <c:pt idx="4">
                  <c:v>105231</c:v>
                </c:pt>
              </c:numCache>
            </c:numRef>
          </c:val>
        </c:ser>
        <c:ser>
          <c:idx val="1"/>
          <c:order val="1"/>
          <c:tx>
            <c:strRef>
              <c:f>Sheet2!$A$19</c:f>
              <c:strCache>
                <c:ptCount val="1"/>
                <c:pt idx="0">
                  <c:v>TPG</c:v>
                </c:pt>
              </c:strCache>
            </c:strRef>
          </c:tx>
          <c:invertIfNegative val="0"/>
          <c:cat>
            <c:strRef>
              <c:f>Sheet2!$B$17:$G$17</c:f>
              <c:strCache>
                <c:ptCount val="6"/>
                <c:pt idx="0">
                  <c:v>FTTP</c:v>
                </c:pt>
                <c:pt idx="1">
                  <c:v>HFC</c:v>
                </c:pt>
                <c:pt idx="2">
                  <c:v>FTTB</c:v>
                </c:pt>
                <c:pt idx="3">
                  <c:v>FTTN</c:v>
                </c:pt>
                <c:pt idx="4">
                  <c:v>Wireless</c:v>
                </c:pt>
                <c:pt idx="5">
                  <c:v>Satellite</c:v>
                </c:pt>
              </c:strCache>
            </c:strRef>
          </c:cat>
          <c:val>
            <c:numRef>
              <c:f>Sheet2!$B$19:$G$19</c:f>
              <c:numCache>
                <c:formatCode>_-* #,##0_-;\-* #,##0_-;_-* "-"??_-;_-@_-</c:formatCode>
                <c:ptCount val="6"/>
                <c:pt idx="0">
                  <c:v>307444</c:v>
                </c:pt>
                <c:pt idx="1">
                  <c:v>43213</c:v>
                </c:pt>
                <c:pt idx="2">
                  <c:v>18491</c:v>
                </c:pt>
                <c:pt idx="3">
                  <c:v>177456</c:v>
                </c:pt>
                <c:pt idx="4">
                  <c:v>31873</c:v>
                </c:pt>
                <c:pt idx="5">
                  <c:v>8843</c:v>
                </c:pt>
              </c:numCache>
            </c:numRef>
          </c:val>
        </c:ser>
        <c:ser>
          <c:idx val="2"/>
          <c:order val="2"/>
          <c:tx>
            <c:strRef>
              <c:f>Sheet2!$A$20</c:f>
              <c:strCache>
                <c:ptCount val="1"/>
                <c:pt idx="0">
                  <c:v>Optus Networks Pty Ltd</c:v>
                </c:pt>
              </c:strCache>
            </c:strRef>
          </c:tx>
          <c:invertIfNegative val="0"/>
          <c:cat>
            <c:strRef>
              <c:f>Sheet2!$B$17:$G$17</c:f>
              <c:strCache>
                <c:ptCount val="6"/>
                <c:pt idx="0">
                  <c:v>FTTP</c:v>
                </c:pt>
                <c:pt idx="1">
                  <c:v>HFC</c:v>
                </c:pt>
                <c:pt idx="2">
                  <c:v>FTTB</c:v>
                </c:pt>
                <c:pt idx="3">
                  <c:v>FTTN</c:v>
                </c:pt>
                <c:pt idx="4">
                  <c:v>Wireless</c:v>
                </c:pt>
                <c:pt idx="5">
                  <c:v>Satellite</c:v>
                </c:pt>
              </c:strCache>
            </c:strRef>
          </c:cat>
          <c:val>
            <c:numRef>
              <c:f>Sheet2!$B$20:$G$20</c:f>
              <c:numCache>
                <c:formatCode>_-* #,##0_-;\-* #,##0_-;_-* "-"??_-;_-@_-</c:formatCode>
                <c:ptCount val="6"/>
                <c:pt idx="0">
                  <c:v>167885</c:v>
                </c:pt>
                <c:pt idx="1">
                  <c:v>38075</c:v>
                </c:pt>
                <c:pt idx="2">
                  <c:v>10070</c:v>
                </c:pt>
                <c:pt idx="3">
                  <c:v>88314</c:v>
                </c:pt>
                <c:pt idx="4">
                  <c:v>17533</c:v>
                </c:pt>
              </c:numCache>
            </c:numRef>
          </c:val>
        </c:ser>
        <c:ser>
          <c:idx val="3"/>
          <c:order val="3"/>
          <c:tx>
            <c:strRef>
              <c:f>Sheet2!$A$21</c:f>
              <c:strCache>
                <c:ptCount val="1"/>
                <c:pt idx="0">
                  <c:v>Vocus Communications</c:v>
                </c:pt>
              </c:strCache>
            </c:strRef>
          </c:tx>
          <c:invertIfNegative val="0"/>
          <c:cat>
            <c:strRef>
              <c:f>Sheet2!$B$17:$G$17</c:f>
              <c:strCache>
                <c:ptCount val="6"/>
                <c:pt idx="0">
                  <c:v>FTTP</c:v>
                </c:pt>
                <c:pt idx="1">
                  <c:v>HFC</c:v>
                </c:pt>
                <c:pt idx="2">
                  <c:v>FTTB</c:v>
                </c:pt>
                <c:pt idx="3">
                  <c:v>FTTN</c:v>
                </c:pt>
                <c:pt idx="4">
                  <c:v>Wireless</c:v>
                </c:pt>
                <c:pt idx="5">
                  <c:v>Satellite</c:v>
                </c:pt>
              </c:strCache>
            </c:strRef>
          </c:cat>
          <c:val>
            <c:numRef>
              <c:f>Sheet2!$B$21:$G$21</c:f>
              <c:numCache>
                <c:formatCode>_-* #,##0_-;\-* #,##0_-;_-* "-"??_-;_-@_-</c:formatCode>
                <c:ptCount val="6"/>
                <c:pt idx="0">
                  <c:v>86595</c:v>
                </c:pt>
                <c:pt idx="1">
                  <c:v>8291</c:v>
                </c:pt>
                <c:pt idx="2">
                  <c:v>4829</c:v>
                </c:pt>
                <c:pt idx="3">
                  <c:v>85886</c:v>
                </c:pt>
                <c:pt idx="4">
                  <c:v>15022</c:v>
                </c:pt>
              </c:numCache>
            </c:numRef>
          </c:val>
        </c:ser>
        <c:ser>
          <c:idx val="4"/>
          <c:order val="4"/>
          <c:tx>
            <c:strRef>
              <c:f>Sheet2!$A$22</c:f>
              <c:strCache>
                <c:ptCount val="1"/>
                <c:pt idx="0">
                  <c:v>Aussie Broadband Pty Ltd</c:v>
                </c:pt>
              </c:strCache>
            </c:strRef>
          </c:tx>
          <c:invertIfNegative val="0"/>
          <c:cat>
            <c:strRef>
              <c:f>Sheet2!$B$17:$G$17</c:f>
              <c:strCache>
                <c:ptCount val="6"/>
                <c:pt idx="0">
                  <c:v>FTTP</c:v>
                </c:pt>
                <c:pt idx="1">
                  <c:v>HFC</c:v>
                </c:pt>
                <c:pt idx="2">
                  <c:v>FTTB</c:v>
                </c:pt>
                <c:pt idx="3">
                  <c:v>FTTN</c:v>
                </c:pt>
                <c:pt idx="4">
                  <c:v>Wireless</c:v>
                </c:pt>
                <c:pt idx="5">
                  <c:v>Satellite</c:v>
                </c:pt>
              </c:strCache>
            </c:strRef>
          </c:cat>
          <c:val>
            <c:numRef>
              <c:f>Sheet2!$B$22:$G$22</c:f>
              <c:numCache>
                <c:formatCode>General</c:formatCode>
                <c:ptCount val="6"/>
                <c:pt idx="4" formatCode="_-* #,##0_-;\-* #,##0_-;_-* &quot;-&quot;??_-;_-@_-">
                  <c:v>10173</c:v>
                </c:pt>
              </c:numCache>
            </c:numRef>
          </c:val>
        </c:ser>
        <c:ser>
          <c:idx val="5"/>
          <c:order val="5"/>
          <c:tx>
            <c:strRef>
              <c:f>Sheet2!$A$23</c:f>
              <c:strCache>
                <c:ptCount val="1"/>
                <c:pt idx="0">
                  <c:v>Australian Private Networks Pty Ltd</c:v>
                </c:pt>
              </c:strCache>
            </c:strRef>
          </c:tx>
          <c:invertIfNegative val="0"/>
          <c:cat>
            <c:strRef>
              <c:f>Sheet2!$B$17:$G$17</c:f>
              <c:strCache>
                <c:ptCount val="6"/>
                <c:pt idx="0">
                  <c:v>FTTP</c:v>
                </c:pt>
                <c:pt idx="1">
                  <c:v>HFC</c:v>
                </c:pt>
                <c:pt idx="2">
                  <c:v>FTTB</c:v>
                </c:pt>
                <c:pt idx="3">
                  <c:v>FTTN</c:v>
                </c:pt>
                <c:pt idx="4">
                  <c:v>Wireless</c:v>
                </c:pt>
                <c:pt idx="5">
                  <c:v>Satellite</c:v>
                </c:pt>
              </c:strCache>
            </c:strRef>
          </c:cat>
          <c:val>
            <c:numRef>
              <c:f>Sheet2!$B$23:$G$23</c:f>
              <c:numCache>
                <c:formatCode>General</c:formatCode>
                <c:ptCount val="6"/>
                <c:pt idx="5" formatCode="_-* #,##0_-;\-* #,##0_-;_-* &quot;-&quot;??_-;_-@_-">
                  <c:v>26449</c:v>
                </c:pt>
              </c:numCache>
            </c:numRef>
          </c:val>
        </c:ser>
        <c:ser>
          <c:idx val="6"/>
          <c:order val="6"/>
          <c:tx>
            <c:strRef>
              <c:f>Sheet2!$A$24</c:f>
              <c:strCache>
                <c:ptCount val="1"/>
                <c:pt idx="0">
                  <c:v>SkyMesh Pty Ltd</c:v>
                </c:pt>
              </c:strCache>
            </c:strRef>
          </c:tx>
          <c:invertIfNegative val="0"/>
          <c:cat>
            <c:strRef>
              <c:f>Sheet2!$B$17:$G$17</c:f>
              <c:strCache>
                <c:ptCount val="6"/>
                <c:pt idx="0">
                  <c:v>FTTP</c:v>
                </c:pt>
                <c:pt idx="1">
                  <c:v>HFC</c:v>
                </c:pt>
                <c:pt idx="2">
                  <c:v>FTTB</c:v>
                </c:pt>
                <c:pt idx="3">
                  <c:v>FTTN</c:v>
                </c:pt>
                <c:pt idx="4">
                  <c:v>Wireless</c:v>
                </c:pt>
                <c:pt idx="5">
                  <c:v>Satellite</c:v>
                </c:pt>
              </c:strCache>
            </c:strRef>
          </c:cat>
          <c:val>
            <c:numRef>
              <c:f>Sheet2!$B$24:$G$24</c:f>
              <c:numCache>
                <c:formatCode>General</c:formatCode>
                <c:ptCount val="6"/>
                <c:pt idx="5" formatCode="_-* #,##0_-;\-* #,##0_-;_-* &quot;-&quot;??_-;_-@_-">
                  <c:v>17999</c:v>
                </c:pt>
              </c:numCache>
            </c:numRef>
          </c:val>
        </c:ser>
        <c:ser>
          <c:idx val="7"/>
          <c:order val="7"/>
          <c:tx>
            <c:strRef>
              <c:f>Sheet2!$A$25</c:f>
              <c:strCache>
                <c:ptCount val="1"/>
                <c:pt idx="0">
                  <c:v>Harbour ISP Pty Ltd</c:v>
                </c:pt>
              </c:strCache>
            </c:strRef>
          </c:tx>
          <c:invertIfNegative val="0"/>
          <c:cat>
            <c:strRef>
              <c:f>Sheet2!$B$17:$G$17</c:f>
              <c:strCache>
                <c:ptCount val="6"/>
                <c:pt idx="0">
                  <c:v>FTTP</c:v>
                </c:pt>
                <c:pt idx="1">
                  <c:v>HFC</c:v>
                </c:pt>
                <c:pt idx="2">
                  <c:v>FTTB</c:v>
                </c:pt>
                <c:pt idx="3">
                  <c:v>FTTN</c:v>
                </c:pt>
                <c:pt idx="4">
                  <c:v>Wireless</c:v>
                </c:pt>
                <c:pt idx="5">
                  <c:v>Satellite</c:v>
                </c:pt>
              </c:strCache>
            </c:strRef>
          </c:cat>
          <c:val>
            <c:numRef>
              <c:f>Sheet2!$B$25:$G$25</c:f>
              <c:numCache>
                <c:formatCode>General</c:formatCode>
                <c:ptCount val="6"/>
                <c:pt idx="5" formatCode="_-* #,##0_-;\-* #,##0_-;_-* &quot;-&quot;??_-;_-@_-">
                  <c:v>7215</c:v>
                </c:pt>
              </c:numCache>
            </c:numRef>
          </c:val>
        </c:ser>
        <c:ser>
          <c:idx val="8"/>
          <c:order val="8"/>
          <c:tx>
            <c:strRef>
              <c:f>Sheet2!$A$26</c:f>
              <c:strCache>
                <c:ptCount val="1"/>
                <c:pt idx="0">
                  <c:v>IPStar Australia Pty Ltd</c:v>
                </c:pt>
              </c:strCache>
            </c:strRef>
          </c:tx>
          <c:invertIfNegative val="0"/>
          <c:cat>
            <c:strRef>
              <c:f>Sheet2!$B$17:$G$17</c:f>
              <c:strCache>
                <c:ptCount val="6"/>
                <c:pt idx="0">
                  <c:v>FTTP</c:v>
                </c:pt>
                <c:pt idx="1">
                  <c:v>HFC</c:v>
                </c:pt>
                <c:pt idx="2">
                  <c:v>FTTB</c:v>
                </c:pt>
                <c:pt idx="3">
                  <c:v>FTTN</c:v>
                </c:pt>
                <c:pt idx="4">
                  <c:v>Wireless</c:v>
                </c:pt>
                <c:pt idx="5">
                  <c:v>Satellite</c:v>
                </c:pt>
              </c:strCache>
            </c:strRef>
          </c:cat>
          <c:val>
            <c:numRef>
              <c:f>Sheet2!$B$26:$G$26</c:f>
              <c:numCache>
                <c:formatCode>General</c:formatCode>
                <c:ptCount val="6"/>
                <c:pt idx="5" formatCode="_-* #,##0_-;\-* #,##0_-;_-* &quot;-&quot;??_-;_-@_-">
                  <c:v>5667</c:v>
                </c:pt>
              </c:numCache>
            </c:numRef>
          </c:val>
        </c:ser>
        <c:ser>
          <c:idx val="9"/>
          <c:order val="9"/>
          <c:tx>
            <c:strRef>
              <c:f>Sheet2!$A$27</c:f>
              <c:strCache>
                <c:ptCount val="1"/>
                <c:pt idx="0">
                  <c:v>Other Access Seekers</c:v>
                </c:pt>
              </c:strCache>
            </c:strRef>
          </c:tx>
          <c:invertIfNegative val="0"/>
          <c:cat>
            <c:strRef>
              <c:f>Sheet2!$B$17:$G$17</c:f>
              <c:strCache>
                <c:ptCount val="6"/>
                <c:pt idx="0">
                  <c:v>FTTP</c:v>
                </c:pt>
                <c:pt idx="1">
                  <c:v>HFC</c:v>
                </c:pt>
                <c:pt idx="2">
                  <c:v>FTTB</c:v>
                </c:pt>
                <c:pt idx="3">
                  <c:v>FTTN</c:v>
                </c:pt>
                <c:pt idx="4">
                  <c:v>Wireless</c:v>
                </c:pt>
                <c:pt idx="5">
                  <c:v>Satellite</c:v>
                </c:pt>
              </c:strCache>
            </c:strRef>
          </c:cat>
          <c:val>
            <c:numRef>
              <c:f>Sheet2!$B$27:$G$27</c:f>
              <c:numCache>
                <c:formatCode>_-* #,##0_-;\-* #,##0_-;_-* "-"??_-;_-@_-</c:formatCode>
                <c:ptCount val="6"/>
                <c:pt idx="0">
                  <c:v>34442</c:v>
                </c:pt>
                <c:pt idx="1">
                  <c:v>1963</c:v>
                </c:pt>
                <c:pt idx="2">
                  <c:v>982</c:v>
                </c:pt>
                <c:pt idx="3">
                  <c:v>22201</c:v>
                </c:pt>
                <c:pt idx="4">
                  <c:v>7922</c:v>
                </c:pt>
                <c:pt idx="5">
                  <c:v>8505</c:v>
                </c:pt>
              </c:numCache>
            </c:numRef>
          </c:val>
        </c:ser>
        <c:dLbls>
          <c:showLegendKey val="0"/>
          <c:showVal val="0"/>
          <c:showCatName val="0"/>
          <c:showSerName val="0"/>
          <c:showPercent val="0"/>
          <c:showBubbleSize val="0"/>
        </c:dLbls>
        <c:gapWidth val="150"/>
        <c:overlap val="100"/>
        <c:axId val="259884160"/>
        <c:axId val="259885696"/>
      </c:barChart>
      <c:catAx>
        <c:axId val="259884160"/>
        <c:scaling>
          <c:orientation val="minMax"/>
        </c:scaling>
        <c:delete val="0"/>
        <c:axPos val="b"/>
        <c:majorTickMark val="out"/>
        <c:minorTickMark val="none"/>
        <c:tickLblPos val="nextTo"/>
        <c:crossAx val="259885696"/>
        <c:crosses val="autoZero"/>
        <c:auto val="1"/>
        <c:lblAlgn val="ctr"/>
        <c:lblOffset val="100"/>
        <c:noMultiLvlLbl val="0"/>
      </c:catAx>
      <c:valAx>
        <c:axId val="259885696"/>
        <c:scaling>
          <c:orientation val="minMax"/>
        </c:scaling>
        <c:delete val="0"/>
        <c:axPos val="l"/>
        <c:majorGridlines/>
        <c:numFmt formatCode="0%" sourceLinked="1"/>
        <c:majorTickMark val="out"/>
        <c:minorTickMark val="none"/>
        <c:tickLblPos val="nextTo"/>
        <c:crossAx val="2598841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C30A1-1C15-4F87-B53F-B432D325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Richard Van Der Male</cp:lastModifiedBy>
  <cp:revision>2</cp:revision>
  <dcterms:created xsi:type="dcterms:W3CDTF">2017-08-17T23:57:00Z</dcterms:created>
  <dcterms:modified xsi:type="dcterms:W3CDTF">2017-08-17T23:57:00Z</dcterms:modified>
</cp:coreProperties>
</file>