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7B" w:rsidRDefault="00C7127B" w:rsidP="00C7127B">
      <w:pPr>
        <w:spacing w:after="0"/>
        <w:rPr>
          <w:sz w:val="23"/>
          <w:szCs w:val="23"/>
        </w:rPr>
      </w:pPr>
    </w:p>
    <w:p w:rsidR="00C7127B" w:rsidRDefault="00A9753A" w:rsidP="00C7127B">
      <w:pPr>
        <w:spacing w:after="0"/>
        <w:rPr>
          <w:sz w:val="23"/>
          <w:szCs w:val="23"/>
        </w:rPr>
      </w:pPr>
      <w:r>
        <w:rPr>
          <w:sz w:val="23"/>
          <w:szCs w:val="23"/>
        </w:rPr>
        <w:t xml:space="preserve"> </w:t>
      </w:r>
      <w:r w:rsidR="000612E4">
        <w:rPr>
          <w:sz w:val="23"/>
          <w:szCs w:val="23"/>
        </w:rPr>
        <w:t>18</w:t>
      </w:r>
      <w:r w:rsidR="002923B3" w:rsidRPr="002923B3">
        <w:rPr>
          <w:sz w:val="23"/>
          <w:szCs w:val="23"/>
          <w:vertAlign w:val="superscript"/>
        </w:rPr>
        <w:t>th</w:t>
      </w:r>
      <w:r w:rsidR="002923B3">
        <w:rPr>
          <w:sz w:val="23"/>
          <w:szCs w:val="23"/>
        </w:rPr>
        <w:t xml:space="preserve"> </w:t>
      </w:r>
      <w:r>
        <w:rPr>
          <w:sz w:val="23"/>
          <w:szCs w:val="23"/>
        </w:rPr>
        <w:t xml:space="preserve">August </w:t>
      </w:r>
      <w:r w:rsidR="007625D1">
        <w:rPr>
          <w:sz w:val="23"/>
          <w:szCs w:val="23"/>
        </w:rPr>
        <w:t>2017</w:t>
      </w:r>
    </w:p>
    <w:p w:rsidR="00C7127B" w:rsidRDefault="00C7127B" w:rsidP="00C7127B">
      <w:pPr>
        <w:spacing w:after="0"/>
        <w:rPr>
          <w:sz w:val="23"/>
          <w:szCs w:val="23"/>
        </w:rPr>
      </w:pPr>
    </w:p>
    <w:p w:rsidR="00E5553F" w:rsidRDefault="00E5553F" w:rsidP="00C7127B">
      <w:pPr>
        <w:spacing w:after="0"/>
        <w:rPr>
          <w:sz w:val="23"/>
          <w:szCs w:val="23"/>
        </w:rPr>
      </w:pPr>
      <w:r>
        <w:rPr>
          <w:sz w:val="23"/>
          <w:szCs w:val="23"/>
        </w:rPr>
        <w:t>Australian Competition and Consumer Commission</w:t>
      </w:r>
    </w:p>
    <w:p w:rsidR="00C7127B" w:rsidRDefault="00E5553F" w:rsidP="00C7127B">
      <w:pPr>
        <w:spacing w:after="0"/>
        <w:rPr>
          <w:sz w:val="23"/>
          <w:szCs w:val="23"/>
        </w:rPr>
      </w:pPr>
      <w:r>
        <w:rPr>
          <w:sz w:val="23"/>
          <w:szCs w:val="23"/>
        </w:rPr>
        <w:t xml:space="preserve">Via email: </w:t>
      </w:r>
      <w:hyperlink r:id="rId9" w:history="1">
        <w:r w:rsidRPr="001E6257">
          <w:rPr>
            <w:rStyle w:val="Hyperlink"/>
            <w:sz w:val="23"/>
            <w:szCs w:val="23"/>
          </w:rPr>
          <w:t>nbn@accc.gov.au</w:t>
        </w:r>
      </w:hyperlink>
      <w:r>
        <w:rPr>
          <w:sz w:val="23"/>
          <w:szCs w:val="23"/>
        </w:rPr>
        <w:t xml:space="preserve">, </w:t>
      </w:r>
      <w:hyperlink r:id="rId10" w:history="1">
        <w:r w:rsidRPr="001E6257">
          <w:rPr>
            <w:rStyle w:val="Hyperlink"/>
            <w:sz w:val="23"/>
            <w:szCs w:val="23"/>
          </w:rPr>
          <w:t>scott.harding@accc.gov.au</w:t>
        </w:r>
      </w:hyperlink>
      <w:r>
        <w:rPr>
          <w:sz w:val="23"/>
          <w:szCs w:val="23"/>
        </w:rPr>
        <w:t xml:space="preserve">, </w:t>
      </w:r>
      <w:hyperlink r:id="rId11" w:history="1">
        <w:r w:rsidR="007625D1" w:rsidRPr="00776A30">
          <w:rPr>
            <w:rStyle w:val="Hyperlink"/>
            <w:sz w:val="23"/>
            <w:szCs w:val="23"/>
          </w:rPr>
          <w:t>Nathan.sargent@accc.gov.au</w:t>
        </w:r>
      </w:hyperlink>
      <w:r>
        <w:rPr>
          <w:sz w:val="23"/>
          <w:szCs w:val="23"/>
        </w:rPr>
        <w:t xml:space="preserve"> </w:t>
      </w:r>
    </w:p>
    <w:p w:rsidR="00C7127B" w:rsidRDefault="00C7127B" w:rsidP="00C7127B">
      <w:pPr>
        <w:spacing w:after="0"/>
        <w:rPr>
          <w:rFonts w:cstheme="minorHAnsi"/>
        </w:rPr>
      </w:pPr>
    </w:p>
    <w:p w:rsidR="00A9753A" w:rsidRDefault="00C7127B" w:rsidP="0009136E">
      <w:r>
        <w:t xml:space="preserve">ACCAN thanks the </w:t>
      </w:r>
      <w:r w:rsidR="00E5553F">
        <w:t>ACCC</w:t>
      </w:r>
      <w:r>
        <w:t xml:space="preserve"> for the </w:t>
      </w:r>
      <w:r w:rsidRPr="00DD1B6E">
        <w:t>opportunity</w:t>
      </w:r>
      <w:r>
        <w:t xml:space="preserve"> to contribute to </w:t>
      </w:r>
      <w:r w:rsidR="00A9753A">
        <w:t xml:space="preserve">its consultation on </w:t>
      </w:r>
      <w:r w:rsidR="00D75AD7">
        <w:t>nbn</w:t>
      </w:r>
      <w:r w:rsidR="00A9753A">
        <w:t xml:space="preserve"> Co.’s variation to the Special Access Undertaking</w:t>
      </w:r>
      <w:r w:rsidR="005030A9">
        <w:t xml:space="preserve"> (SAU)</w:t>
      </w:r>
      <w:r w:rsidR="00A9753A">
        <w:t>.</w:t>
      </w:r>
    </w:p>
    <w:p w:rsidR="00F868A9" w:rsidRDefault="00A9753A" w:rsidP="0009136E">
      <w:r>
        <w:t>ACCAN believes the SAU is fundamental</w:t>
      </w:r>
      <w:r w:rsidR="00031DCB">
        <w:t xml:space="preserve">ly important in establishing </w:t>
      </w:r>
      <w:r w:rsidR="00F83EFC">
        <w:t>a fair</w:t>
      </w:r>
      <w:r w:rsidR="006776B3">
        <w:t xml:space="preserve"> and supportive </w:t>
      </w:r>
      <w:r w:rsidR="00F83EFC">
        <w:t xml:space="preserve">environment </w:t>
      </w:r>
      <w:r w:rsidR="006776B3">
        <w:t xml:space="preserve">for the </w:t>
      </w:r>
      <w:r w:rsidR="00A8637A">
        <w:t>deliver</w:t>
      </w:r>
      <w:r w:rsidR="006776B3">
        <w:t xml:space="preserve">y of services </w:t>
      </w:r>
      <w:r w:rsidR="00A8637A">
        <w:t xml:space="preserve">over </w:t>
      </w:r>
      <w:r w:rsidR="00C107A3">
        <w:t xml:space="preserve">the </w:t>
      </w:r>
      <w:r w:rsidR="00A8637A">
        <w:t>monopoly</w:t>
      </w:r>
      <w:r w:rsidR="00C107A3">
        <w:t xml:space="preserve"> nbn</w:t>
      </w:r>
      <w:r w:rsidR="00A8637A">
        <w:t xml:space="preserve"> network</w:t>
      </w:r>
      <w:r w:rsidR="00C107A3">
        <w:t xml:space="preserve"> to</w:t>
      </w:r>
      <w:r w:rsidR="00B4462A">
        <w:t xml:space="preserve"> end users</w:t>
      </w:r>
      <w:r w:rsidR="00031DCB">
        <w:t xml:space="preserve">. ACCAN welcomes nbn’s changes </w:t>
      </w:r>
      <w:r w:rsidR="00C107A3">
        <w:t xml:space="preserve">to address the previous issues raised </w:t>
      </w:r>
      <w:r w:rsidR="00031DCB">
        <w:t>in relation t</w:t>
      </w:r>
      <w:r w:rsidR="00F868A9">
        <w:t xml:space="preserve">he definition of the NBN network and the network boundary point. </w:t>
      </w:r>
      <w:r w:rsidR="00896DD7">
        <w:t>However, we are concerned that the regulatory settings are not sufficient</w:t>
      </w:r>
      <w:r w:rsidR="00062BC6">
        <w:t>ly</w:t>
      </w:r>
      <w:r w:rsidR="00896DD7">
        <w:t xml:space="preserve"> </w:t>
      </w:r>
      <w:r w:rsidR="00062BC6">
        <w:t>focused on delivering for end users</w:t>
      </w:r>
      <w:r w:rsidR="00896DD7">
        <w:t xml:space="preserve">. </w:t>
      </w:r>
      <w:r w:rsidR="002F121E">
        <w:t xml:space="preserve">The SAU </w:t>
      </w:r>
      <w:r w:rsidR="000D002B">
        <w:t xml:space="preserve">comes </w:t>
      </w:r>
      <w:r w:rsidR="002F121E">
        <w:t>under the Competition and Consumer Act 2010, the object</w:t>
      </w:r>
      <w:r w:rsidR="000D002B">
        <w:t>ive</w:t>
      </w:r>
      <w:r w:rsidR="002F121E">
        <w:t xml:space="preserve"> of which is to promote the long term interests of end users. </w:t>
      </w:r>
      <w:r w:rsidR="00F868A9">
        <w:t xml:space="preserve">ACCAN </w:t>
      </w:r>
      <w:r w:rsidR="0020799F">
        <w:t xml:space="preserve">remains unconvinced that some </w:t>
      </w:r>
      <w:r w:rsidR="000D002B">
        <w:t>proposed changes by nbn</w:t>
      </w:r>
      <w:r w:rsidR="0020799F">
        <w:t xml:space="preserve"> are in the long term interest of end users. A number of the matters for consideration appear to be focused instead on protecting nbn and limiting its liability to provide reliable services to end users through Retail Service Providers (RSPs).</w:t>
      </w:r>
      <w:r w:rsidR="000D002B" w:rsidRPr="000D002B">
        <w:t xml:space="preserve"> </w:t>
      </w:r>
      <w:r w:rsidR="000D002B">
        <w:t>Additionally, matters that ACCAN has raised, which are in the long term interest of end users, are not sufficiently addressed in the SAU.</w:t>
      </w:r>
    </w:p>
    <w:p w:rsidR="007625D1" w:rsidRDefault="007625D1" w:rsidP="009B65AF">
      <w:pPr>
        <w:pStyle w:val="Heading1"/>
      </w:pPr>
      <w:r>
        <w:t>Co-existence and remediation</w:t>
      </w:r>
    </w:p>
    <w:p w:rsidR="00AC1B69" w:rsidRDefault="007625D1" w:rsidP="007625D1">
      <w:r>
        <w:t xml:space="preserve">ACCAN </w:t>
      </w:r>
      <w:r w:rsidR="00B00341">
        <w:t xml:space="preserve">welcomes the removal of </w:t>
      </w:r>
      <w:r w:rsidR="00474B94">
        <w:t xml:space="preserve">the </w:t>
      </w:r>
      <w:r w:rsidR="00B00341">
        <w:t xml:space="preserve">co-existence and remediation </w:t>
      </w:r>
      <w:r w:rsidR="00474B94">
        <w:t xml:space="preserve">provisions </w:t>
      </w:r>
      <w:r w:rsidR="00B00341">
        <w:t xml:space="preserve">from module 2. </w:t>
      </w:r>
      <w:r w:rsidR="00A276D6">
        <w:t xml:space="preserve">However, we continue to have </w:t>
      </w:r>
      <w:r w:rsidR="00B00341">
        <w:t xml:space="preserve">concerns regarding the treatment of services that are affected by co-existence. </w:t>
      </w:r>
      <w:r w:rsidR="000D002B">
        <w:t xml:space="preserve">nbn </w:t>
      </w:r>
      <w:r w:rsidR="00C6400C">
        <w:t>state</w:t>
      </w:r>
      <w:r w:rsidR="00D75AD7">
        <w:t>s</w:t>
      </w:r>
      <w:r w:rsidR="00417D75">
        <w:t xml:space="preserve"> that only a small percentage of consumers are affected by</w:t>
      </w:r>
      <w:r w:rsidR="00B00341">
        <w:t xml:space="preserve"> not </w:t>
      </w:r>
      <w:r w:rsidR="00417D75">
        <w:t xml:space="preserve">being </w:t>
      </w:r>
      <w:r w:rsidR="00B00341">
        <w:t>able to achieve 25/5Mbps</w:t>
      </w:r>
      <w:r w:rsidR="008165F8">
        <w:t xml:space="preserve"> (the objective Peak </w:t>
      </w:r>
      <w:r w:rsidR="00601299">
        <w:t>I</w:t>
      </w:r>
      <w:r w:rsidR="008165F8">
        <w:t xml:space="preserve">nformation Rate </w:t>
      </w:r>
      <w:r w:rsidR="00474B94">
        <w:t xml:space="preserve">(PIR) </w:t>
      </w:r>
      <w:r w:rsidR="008165F8">
        <w:t>for service</w:t>
      </w:r>
      <w:r w:rsidR="00D75AD7">
        <w:t>s</w:t>
      </w:r>
      <w:r w:rsidR="008165F8">
        <w:t xml:space="preserve"> not in co-existence)</w:t>
      </w:r>
      <w:r w:rsidR="00B00341">
        <w:t>.</w:t>
      </w:r>
      <w:r w:rsidR="000D002B">
        <w:rPr>
          <w:rStyle w:val="FootnoteReference"/>
        </w:rPr>
        <w:footnoteReference w:id="1"/>
      </w:r>
      <w:r w:rsidR="00B00341">
        <w:t xml:space="preserve"> </w:t>
      </w:r>
      <w:r w:rsidR="00474B94">
        <w:t xml:space="preserve">ACCAN does not believe that the objective PIR is the basis to compare the service being delivered. </w:t>
      </w:r>
      <w:r w:rsidR="00A37271">
        <w:t>n</w:t>
      </w:r>
      <w:r w:rsidR="00AB111A">
        <w:t xml:space="preserve">bn is selling </w:t>
      </w:r>
      <w:r w:rsidR="00423467">
        <w:t>speed</w:t>
      </w:r>
      <w:r w:rsidR="00AB111A">
        <w:t xml:space="preserve"> ranges </w:t>
      </w:r>
      <w:r w:rsidR="00A276D6">
        <w:t>significantly higher than 12/1Mbps</w:t>
      </w:r>
      <w:r w:rsidR="00C6400C">
        <w:t xml:space="preserve"> (t</w:t>
      </w:r>
      <w:r w:rsidR="00474B94">
        <w:t>he objective PIR for services experiencing co-existence</w:t>
      </w:r>
      <w:r w:rsidR="00C6400C">
        <w:t>)</w:t>
      </w:r>
      <w:r w:rsidR="00A276D6">
        <w:t xml:space="preserve">. </w:t>
      </w:r>
      <w:r w:rsidR="00474B94">
        <w:t>n</w:t>
      </w:r>
      <w:r w:rsidR="00A276D6">
        <w:t>bn</w:t>
      </w:r>
      <w:r w:rsidR="00A37271">
        <w:t xml:space="preserve"> appears to giv</w:t>
      </w:r>
      <w:r w:rsidR="00423467">
        <w:t>e</w:t>
      </w:r>
      <w:r w:rsidR="00A37271">
        <w:t xml:space="preserve"> no consideration to affected</w:t>
      </w:r>
      <w:r w:rsidR="00A276D6">
        <w:t xml:space="preserve"> </w:t>
      </w:r>
      <w:r w:rsidR="00AB111A">
        <w:t xml:space="preserve">services </w:t>
      </w:r>
      <w:r w:rsidR="00A37271">
        <w:t xml:space="preserve">at the higher speed ranges. </w:t>
      </w:r>
      <w:r w:rsidR="00B00341">
        <w:t xml:space="preserve">There are reports that nbn will not examine faults </w:t>
      </w:r>
      <w:r w:rsidR="000D002B">
        <w:t xml:space="preserve">raised against </w:t>
      </w:r>
      <w:r w:rsidR="00B00341">
        <w:t>services that are experiencing slow services</w:t>
      </w:r>
      <w:r w:rsidR="00AC1B69">
        <w:t>,</w:t>
      </w:r>
      <w:r w:rsidR="00B00341">
        <w:t xml:space="preserve"> </w:t>
      </w:r>
      <w:r w:rsidR="000D002B">
        <w:t xml:space="preserve">but are </w:t>
      </w:r>
      <w:r w:rsidR="00B00341">
        <w:t xml:space="preserve">achieving </w:t>
      </w:r>
      <w:r w:rsidR="000D002B">
        <w:t xml:space="preserve">the minimum of </w:t>
      </w:r>
      <w:r w:rsidR="00B00341">
        <w:t>12Mbps.</w:t>
      </w:r>
      <w:r w:rsidR="00B00341">
        <w:rPr>
          <w:rStyle w:val="FootnoteReference"/>
        </w:rPr>
        <w:footnoteReference w:id="2"/>
      </w:r>
      <w:r w:rsidR="00B00341">
        <w:t xml:space="preserve"> </w:t>
      </w:r>
      <w:r w:rsidR="000D002B">
        <w:t>This may leave end users with faulty services and unable to seek assistance.</w:t>
      </w:r>
    </w:p>
    <w:p w:rsidR="007625D1" w:rsidRPr="007625D1" w:rsidRDefault="00A37271" w:rsidP="007625D1">
      <w:r>
        <w:t xml:space="preserve">Co-existence </w:t>
      </w:r>
      <w:r w:rsidR="000D002B">
        <w:t>can impact</w:t>
      </w:r>
      <w:r>
        <w:t xml:space="preserve"> end users; reducing their</w:t>
      </w:r>
      <w:r w:rsidR="00D75AD7">
        <w:t xml:space="preserve"> service</w:t>
      </w:r>
      <w:r>
        <w:t xml:space="preserve"> performance, removing their ability to get faults fixed and potentially charg</w:t>
      </w:r>
      <w:r w:rsidR="00AC1B69">
        <w:t>ing them</w:t>
      </w:r>
      <w:r>
        <w:t xml:space="preserve"> for higher than achievable speeds. Services experiencing reduced performance due to these conditions should automatically receive </w:t>
      </w:r>
      <w:r w:rsidR="00577C41">
        <w:t xml:space="preserve">an </w:t>
      </w:r>
      <w:r>
        <w:t xml:space="preserve">appropriate level of discounted charges. </w:t>
      </w:r>
      <w:r w:rsidR="00AC1B69">
        <w:t xml:space="preserve">Timeframes should be established </w:t>
      </w:r>
      <w:r w:rsidR="00BE27C3">
        <w:t xml:space="preserve">in Module 1, </w:t>
      </w:r>
      <w:r w:rsidR="00AC1B69">
        <w:t xml:space="preserve">which limit the </w:t>
      </w:r>
      <w:r w:rsidR="00577C41">
        <w:t xml:space="preserve">period </w:t>
      </w:r>
      <w:r w:rsidR="00D75AD7">
        <w:t xml:space="preserve">in </w:t>
      </w:r>
      <w:r w:rsidR="00AC1B69">
        <w:t xml:space="preserve">which these provisions can be used – not on an overall </w:t>
      </w:r>
      <w:r w:rsidR="00577C41">
        <w:t xml:space="preserve">network </w:t>
      </w:r>
      <w:r w:rsidR="00AC1B69">
        <w:t>basis but on an individual line basis.</w:t>
      </w:r>
      <w:r w:rsidR="00E32E20">
        <w:t xml:space="preserve"> This will ensure that end users are not affected for long periods without any end in sight.</w:t>
      </w:r>
      <w:r w:rsidR="00AC1B69">
        <w:t xml:space="preserve"> </w:t>
      </w:r>
      <w:r w:rsidR="00417D75">
        <w:t>Additionally, greater</w:t>
      </w:r>
      <w:r w:rsidR="00E32E20">
        <w:t xml:space="preserve"> public</w:t>
      </w:r>
      <w:r w:rsidR="00417D75">
        <w:t xml:space="preserve"> transparency over which services are affected and </w:t>
      </w:r>
      <w:r w:rsidR="00BE27C3">
        <w:t xml:space="preserve">the extent of the effect </w:t>
      </w:r>
      <w:r w:rsidR="00417D75">
        <w:t>is needed.</w:t>
      </w:r>
    </w:p>
    <w:p w:rsidR="00A513FD" w:rsidRDefault="00A513FD" w:rsidP="00A513FD">
      <w:pPr>
        <w:pStyle w:val="Heading1"/>
      </w:pPr>
      <w:r>
        <w:lastRenderedPageBreak/>
        <w:t>SAU price terms to MTM services</w:t>
      </w:r>
    </w:p>
    <w:p w:rsidR="00E32E20" w:rsidRDefault="00A513FD" w:rsidP="00A513FD">
      <w:r>
        <w:t>ACCAN a</w:t>
      </w:r>
      <w:r w:rsidR="00C07BF2">
        <w:t xml:space="preserve">lso supports </w:t>
      </w:r>
      <w:r w:rsidR="006B5B45">
        <w:t xml:space="preserve">a positive pricing outcome between nbn and </w:t>
      </w:r>
      <w:r w:rsidR="00BE27C3">
        <w:t xml:space="preserve">its </w:t>
      </w:r>
      <w:r w:rsidR="00687C24">
        <w:t>end users</w:t>
      </w:r>
      <w:r w:rsidR="006B5B45">
        <w:t>. Our previous submission raised a number of concerns in relation to pricing</w:t>
      </w:r>
      <w:r w:rsidR="00BE27C3">
        <w:t xml:space="preserve">. ACCAN believes that the speed tier construct that nbn have developed for their Multi Technology Mix products </w:t>
      </w:r>
      <w:r w:rsidR="00113508">
        <w:t xml:space="preserve">will </w:t>
      </w:r>
      <w:r w:rsidR="00BE27C3">
        <w:t xml:space="preserve">result in </w:t>
      </w:r>
      <w:r w:rsidR="00423467">
        <w:t xml:space="preserve">service </w:t>
      </w:r>
      <w:r w:rsidR="00BE27C3">
        <w:t>variation</w:t>
      </w:r>
      <w:r w:rsidR="00423467">
        <w:t>s</w:t>
      </w:r>
      <w:r w:rsidR="00113508">
        <w:t>.</w:t>
      </w:r>
      <w:r w:rsidR="00BE27C3">
        <w:t xml:space="preserve"> </w:t>
      </w:r>
      <w:r w:rsidR="00E32E20">
        <w:t>There is a significant difference to these end users who pay the same amount:</w:t>
      </w:r>
    </w:p>
    <w:p w:rsidR="00E32E20" w:rsidRDefault="00E32E20" w:rsidP="00E32E20">
      <w:pPr>
        <w:pStyle w:val="ListParagraph"/>
        <w:numPr>
          <w:ilvl w:val="0"/>
          <w:numId w:val="8"/>
        </w:numPr>
      </w:pPr>
      <w:r>
        <w:t xml:space="preserve">Paying for a service that </w:t>
      </w:r>
      <w:r w:rsidR="00423467">
        <w:t>offers</w:t>
      </w:r>
      <w:r>
        <w:t xml:space="preserve"> 100/40Mbps with guarantees that the services will achieve that speed (at least at a maximum level), and </w:t>
      </w:r>
    </w:p>
    <w:p w:rsidR="00A513FD" w:rsidRDefault="00E32E20" w:rsidP="00E32E20">
      <w:pPr>
        <w:pStyle w:val="ListParagraph"/>
        <w:numPr>
          <w:ilvl w:val="0"/>
          <w:numId w:val="8"/>
        </w:numPr>
      </w:pPr>
      <w:r>
        <w:t xml:space="preserve">Paying for a service that </w:t>
      </w:r>
      <w:r w:rsidR="00423467">
        <w:t>offers</w:t>
      </w:r>
      <w:r>
        <w:t xml:space="preserve"> 25-100/5-40Mbps which only guarantees 25/5Mbps</w:t>
      </w:r>
      <w:r w:rsidR="000D002B">
        <w:t xml:space="preserve"> is achievable</w:t>
      </w:r>
      <w:r>
        <w:t xml:space="preserve">. </w:t>
      </w:r>
    </w:p>
    <w:p w:rsidR="003F4536" w:rsidRPr="00AF2C14" w:rsidRDefault="003F4536" w:rsidP="003F4536">
      <w:r>
        <w:t xml:space="preserve">While we understand the argument </w:t>
      </w:r>
      <w:r w:rsidR="00120D33">
        <w:t xml:space="preserve">put forward </w:t>
      </w:r>
      <w:r>
        <w:t xml:space="preserve">that pricing products across the board allows for ease </w:t>
      </w:r>
      <w:r w:rsidR="00120D33">
        <w:t xml:space="preserve">and certainty, we disagree that this is true for end users. </w:t>
      </w:r>
      <w:r w:rsidR="00C6400C">
        <w:t>For end users applying the same pricing model across all technologies</w:t>
      </w:r>
      <w:r w:rsidR="00120D33">
        <w:t xml:space="preserve"> </w:t>
      </w:r>
      <w:r>
        <w:t>allows for confusion</w:t>
      </w:r>
      <w:r w:rsidR="00D5334D">
        <w:t>, uncertainty</w:t>
      </w:r>
      <w:r>
        <w:t xml:space="preserve"> and potential misrepresentation of the underlying</w:t>
      </w:r>
      <w:r w:rsidR="009766A6">
        <w:t xml:space="preserve"> service that is being offered.</w:t>
      </w:r>
    </w:p>
    <w:p w:rsidR="00006CC6" w:rsidRDefault="00006CC6" w:rsidP="00006CC6">
      <w:pPr>
        <w:pStyle w:val="Heading1"/>
      </w:pPr>
      <w:r>
        <w:t>Rollout information</w:t>
      </w:r>
    </w:p>
    <w:p w:rsidR="00006CC6" w:rsidRDefault="00006CC6" w:rsidP="00006CC6">
      <w:r>
        <w:t>ACCAN wishes to reiterate our position in previous submissions that releasing information at an aggregate level is of value to the community. nbn’s measures to remove aggregate information disclosure is detrimental to end users.</w:t>
      </w:r>
      <w:r>
        <w:rPr>
          <w:rStyle w:val="FootnoteReference"/>
        </w:rPr>
        <w:footnoteReference w:id="3"/>
      </w:r>
      <w:r>
        <w:t xml:space="preserve"> As mentioned in our previous submission, this information is not only useful to ACCAN, but also to state and local bodies.</w:t>
      </w:r>
      <w:r>
        <w:rPr>
          <w:rStyle w:val="FootnoteReference"/>
        </w:rPr>
        <w:footnoteReference w:id="4"/>
      </w:r>
      <w:r>
        <w:t xml:space="preserve"> We therefore continue to believe that this information should be required to be made available under the SAU. </w:t>
      </w:r>
    </w:p>
    <w:p w:rsidR="00AF2C14" w:rsidRDefault="00A513FD" w:rsidP="009B65AF">
      <w:pPr>
        <w:pStyle w:val="Heading1"/>
      </w:pPr>
      <w:r>
        <w:t xml:space="preserve">Offers and </w:t>
      </w:r>
      <w:r w:rsidR="00AF2C14">
        <w:t>Charges</w:t>
      </w:r>
    </w:p>
    <w:p w:rsidR="00150693" w:rsidRDefault="00150693" w:rsidP="00150693">
      <w:r>
        <w:t>In our previous submission we raised concerns about charges for late cancellation</w:t>
      </w:r>
      <w:r w:rsidR="00CF2467">
        <w:t xml:space="preserve">, </w:t>
      </w:r>
      <w:r>
        <w:t>missed appointments and incorrect call out fees</w:t>
      </w:r>
      <w:r w:rsidR="00CF2467" w:rsidRPr="00CF2467">
        <w:t xml:space="preserve"> </w:t>
      </w:r>
      <w:r w:rsidR="00CF2467">
        <w:t xml:space="preserve">by </w:t>
      </w:r>
      <w:r w:rsidR="000D002B">
        <w:t>end users</w:t>
      </w:r>
      <w:r>
        <w:t>. These charges have neither been removed nor supported by evidence of detriment resulting to the nbn business</w:t>
      </w:r>
      <w:r w:rsidR="00423467">
        <w:t xml:space="preserve"> model</w:t>
      </w:r>
      <w:r>
        <w:t xml:space="preserve">; therefore our objections to them remain. </w:t>
      </w:r>
      <w:r w:rsidR="00113508">
        <w:t xml:space="preserve">There appears to be no reason to establish them in the SAU other than to establish </w:t>
      </w:r>
      <w:r w:rsidR="00D5334D">
        <w:t>wider</w:t>
      </w:r>
      <w:r w:rsidR="00113508">
        <w:t xml:space="preserve"> avenues to raise revenue. ACCAN is strongly against establishing these </w:t>
      </w:r>
      <w:r w:rsidR="008D514E">
        <w:t>charges against end users for the next 23</w:t>
      </w:r>
      <w:r w:rsidR="00D5334D">
        <w:t xml:space="preserve"> years</w:t>
      </w:r>
      <w:r w:rsidR="008D514E">
        <w:t>.</w:t>
      </w:r>
    </w:p>
    <w:p w:rsidR="00CF2467" w:rsidRPr="00150693" w:rsidRDefault="00CF2467" w:rsidP="00150693">
      <w:r>
        <w:t xml:space="preserve">Additionally, we raised concerns about vulnerable consumers being charged for </w:t>
      </w:r>
      <w:r w:rsidR="008D514E">
        <w:t xml:space="preserve">professional </w:t>
      </w:r>
      <w:r w:rsidR="00D5334D">
        <w:t xml:space="preserve">HFC </w:t>
      </w:r>
      <w:r>
        <w:t xml:space="preserve">installations </w:t>
      </w:r>
      <w:r w:rsidR="009766A6">
        <w:t xml:space="preserve">($150) </w:t>
      </w:r>
      <w:r w:rsidR="008D514E">
        <w:t xml:space="preserve">as they </w:t>
      </w:r>
      <w:r w:rsidR="00D5334D">
        <w:t xml:space="preserve">may be </w:t>
      </w:r>
      <w:r w:rsidR="008D514E">
        <w:t>un</w:t>
      </w:r>
      <w:r>
        <w:t xml:space="preserve">able to complete </w:t>
      </w:r>
      <w:r w:rsidR="00D5334D">
        <w:t xml:space="preserve">migration </w:t>
      </w:r>
      <w:r>
        <w:t>with</w:t>
      </w:r>
      <w:r w:rsidR="008D514E">
        <w:t>out</w:t>
      </w:r>
      <w:r>
        <w:t xml:space="preserve"> assistance. </w:t>
      </w:r>
      <w:r w:rsidR="008D514E">
        <w:t xml:space="preserve">These </w:t>
      </w:r>
      <w:r>
        <w:t>charge</w:t>
      </w:r>
      <w:r w:rsidR="008D514E">
        <w:t xml:space="preserve">s </w:t>
      </w:r>
      <w:r w:rsidR="00D5334D">
        <w:t>are</w:t>
      </w:r>
      <w:r w:rsidR="008D514E">
        <w:t xml:space="preserve"> significant</w:t>
      </w:r>
      <w:r>
        <w:t xml:space="preserve">, particularly where these end users have no option </w:t>
      </w:r>
      <w:r w:rsidR="00423467">
        <w:t xml:space="preserve">but to </w:t>
      </w:r>
      <w:r w:rsidR="00687C24">
        <w:t>pay for additional assistance</w:t>
      </w:r>
      <w:r w:rsidR="00423467">
        <w:t xml:space="preserve"> </w:t>
      </w:r>
      <w:r>
        <w:t>if they want to continue to have fixed services</w:t>
      </w:r>
      <w:r w:rsidR="00687C24">
        <w:t>. Furthermore, we note that</w:t>
      </w:r>
      <w:r w:rsidR="008D514E">
        <w:t xml:space="preserve"> end users over other te</w:t>
      </w:r>
      <w:r w:rsidR="00D5334D">
        <w:t xml:space="preserve">chnologies </w:t>
      </w:r>
      <w:r w:rsidR="005D629D">
        <w:t>are</w:t>
      </w:r>
      <w:r w:rsidR="00902BE1">
        <w:t xml:space="preserve"> </w:t>
      </w:r>
      <w:r w:rsidR="00D5334D">
        <w:t>not charged for this service</w:t>
      </w:r>
      <w:r>
        <w:t>.</w:t>
      </w:r>
      <w:r w:rsidR="000D41A3">
        <w:t xml:space="preserve"> ACCAN objects</w:t>
      </w:r>
      <w:r>
        <w:t xml:space="preserve"> to this charge. </w:t>
      </w:r>
    </w:p>
    <w:p w:rsidR="00724DF9" w:rsidRDefault="00724DF9" w:rsidP="00216C6A">
      <w:pPr>
        <w:pStyle w:val="Heading1"/>
      </w:pPr>
      <w:r>
        <w:lastRenderedPageBreak/>
        <w:t>Service target performance incentives and service level agreements</w:t>
      </w:r>
    </w:p>
    <w:p w:rsidR="002F4A51" w:rsidRDefault="0075284F" w:rsidP="0075284F">
      <w:r>
        <w:t xml:space="preserve">ACCAN continues to have concerns about a lack of performance incentives on nbn and minimum standards for </w:t>
      </w:r>
      <w:r w:rsidR="00D5334D">
        <w:t>end users</w:t>
      </w:r>
      <w:r>
        <w:t>. There have been a number of issues reported about the</w:t>
      </w:r>
      <w:r w:rsidR="002F4A51">
        <w:t xml:space="preserve"> reliability of services </w:t>
      </w:r>
      <w:r>
        <w:t xml:space="preserve">and appointment </w:t>
      </w:r>
      <w:r w:rsidR="007B2224">
        <w:t>keeping</w:t>
      </w:r>
      <w:r w:rsidR="00D5334D" w:rsidRPr="00D5334D">
        <w:t>.</w:t>
      </w:r>
      <w:r w:rsidR="00D5334D" w:rsidRPr="00D5334D">
        <w:rPr>
          <w:vertAlign w:val="superscript"/>
        </w:rPr>
        <w:footnoteReference w:id="5"/>
      </w:r>
    </w:p>
    <w:p w:rsidR="00724DF9" w:rsidRPr="003012AF" w:rsidRDefault="00225E15" w:rsidP="00724DF9">
      <w:r>
        <w:t xml:space="preserve">Taking </w:t>
      </w:r>
      <w:r w:rsidR="002F4A51">
        <w:t>Sky Muster</w:t>
      </w:r>
      <w:r w:rsidR="00F820AD">
        <w:t xml:space="preserve"> satellite service</w:t>
      </w:r>
      <w:r w:rsidR="002F4A51">
        <w:t xml:space="preserve"> as an example: a</w:t>
      </w:r>
      <w:r w:rsidR="0075284F" w:rsidRPr="0075284F">
        <w:t xml:space="preserve"> number of </w:t>
      </w:r>
      <w:r w:rsidR="00D5334D">
        <w:t xml:space="preserve">end users </w:t>
      </w:r>
      <w:r w:rsidR="00687C24">
        <w:t xml:space="preserve">have </w:t>
      </w:r>
      <w:r w:rsidR="00D5334D">
        <w:t>had</w:t>
      </w:r>
      <w:r w:rsidR="0075284F">
        <w:t xml:space="preserve"> multiple appointments</w:t>
      </w:r>
      <w:r w:rsidR="00F820AD">
        <w:t xml:space="preserve"> cancelled and </w:t>
      </w:r>
      <w:r w:rsidR="00D5334D">
        <w:t xml:space="preserve">experienced </w:t>
      </w:r>
      <w:r w:rsidR="00F820AD">
        <w:t>long periods without any working service</w:t>
      </w:r>
      <w:r w:rsidR="00D5334D">
        <w:t xml:space="preserve"> or intermittent services</w:t>
      </w:r>
      <w:r w:rsidR="0075284F" w:rsidRPr="0075284F">
        <w:t>.</w:t>
      </w:r>
      <w:r w:rsidR="0075284F" w:rsidRPr="0075284F">
        <w:rPr>
          <w:vertAlign w:val="superscript"/>
        </w:rPr>
        <w:footnoteReference w:id="6"/>
      </w:r>
      <w:r w:rsidR="002F4A51">
        <w:t xml:space="preserve"> </w:t>
      </w:r>
      <w:r w:rsidR="00F820AD">
        <w:t>NBN publically stated that there was ‘</w:t>
      </w:r>
      <w:r w:rsidR="00F820AD" w:rsidRPr="00F820AD">
        <w:rPr>
          <w:i/>
        </w:rPr>
        <w:t xml:space="preserve">an </w:t>
      </w:r>
      <w:r w:rsidR="00F820AD" w:rsidRPr="00F820AD">
        <w:rPr>
          <w:i/>
          <w:lang w:val="en-IE"/>
        </w:rPr>
        <w:t>"exorbitant" rate of failures for it</w:t>
      </w:r>
      <w:r w:rsidR="00F820AD">
        <w:rPr>
          <w:i/>
          <w:lang w:val="en-IE"/>
        </w:rPr>
        <w:t>s Sky Muster satellite service</w:t>
      </w:r>
      <w:r w:rsidR="00F820AD" w:rsidRPr="00F820AD">
        <w:rPr>
          <w:i/>
          <w:lang w:val="en-IE"/>
        </w:rPr>
        <w:t>… the satellite service had not met anyone's expectations.”</w:t>
      </w:r>
      <w:r w:rsidR="00F820AD" w:rsidRPr="00F820AD">
        <w:rPr>
          <w:i/>
          <w:vertAlign w:val="superscript"/>
          <w:lang w:val="en-IE"/>
        </w:rPr>
        <w:footnoteReference w:id="7"/>
      </w:r>
      <w:r w:rsidR="00F820AD">
        <w:rPr>
          <w:i/>
          <w:lang w:val="en-IE"/>
        </w:rPr>
        <w:t xml:space="preserve"> </w:t>
      </w:r>
      <w:r w:rsidR="002F4A51">
        <w:t>Despite this</w:t>
      </w:r>
      <w:r w:rsidR="00F820AD">
        <w:t>,</w:t>
      </w:r>
      <w:r w:rsidR="002F4A51">
        <w:t xml:space="preserve"> nbn have confirmed that there have been no payments of </w:t>
      </w:r>
      <w:r w:rsidR="00F820AD">
        <w:t>co</w:t>
      </w:r>
      <w:bookmarkStart w:id="0" w:name="_GoBack"/>
      <w:bookmarkEnd w:id="0"/>
      <w:r w:rsidR="00F820AD">
        <w:t>mpensation</w:t>
      </w:r>
      <w:r w:rsidR="002F4A51">
        <w:t xml:space="preserve"> to RSPs through the Service Level Agreements</w:t>
      </w:r>
      <w:r w:rsidR="00D5334D">
        <w:t xml:space="preserve"> (SLAs)</w:t>
      </w:r>
      <w:r w:rsidR="002F4A51">
        <w:t>.</w:t>
      </w:r>
      <w:r w:rsidR="002F4A51">
        <w:rPr>
          <w:rStyle w:val="FootnoteReference"/>
        </w:rPr>
        <w:footnoteReference w:id="8"/>
      </w:r>
      <w:r w:rsidR="00F820AD">
        <w:t xml:space="preserve"> </w:t>
      </w:r>
      <w:r w:rsidR="00D5334D">
        <w:t>There is a clear deficiency in the current arrang</w:t>
      </w:r>
      <w:r w:rsidR="004C0B1F">
        <w:t xml:space="preserve">ement that is to the detriment </w:t>
      </w:r>
      <w:r w:rsidR="00D5334D">
        <w:t>o</w:t>
      </w:r>
      <w:r w:rsidR="004C0B1F">
        <w:t>f</w:t>
      </w:r>
      <w:r w:rsidR="00D5334D">
        <w:t xml:space="preserve"> end users. </w:t>
      </w:r>
      <w:r w:rsidR="00F820AD">
        <w:t xml:space="preserve">ACCAN believes that urgent action is required to ensure that </w:t>
      </w:r>
      <w:r w:rsidR="00644CEC">
        <w:t xml:space="preserve">service levels are examined and robust performance metrics </w:t>
      </w:r>
      <w:r w:rsidR="004C0B1F">
        <w:t xml:space="preserve">and compensation mechanisms </w:t>
      </w:r>
      <w:r w:rsidR="00644CEC">
        <w:t xml:space="preserve">are </w:t>
      </w:r>
      <w:r>
        <w:t>established</w:t>
      </w:r>
      <w:r w:rsidR="00644CEC">
        <w:t>.</w:t>
      </w:r>
      <w:r w:rsidR="002D089C">
        <w:t xml:space="preserve"> </w:t>
      </w:r>
    </w:p>
    <w:p w:rsidR="00C7127B" w:rsidRDefault="00C26A44" w:rsidP="002D089C">
      <w:pPr>
        <w:pStyle w:val="BodyText1"/>
        <w:spacing w:after="0"/>
        <w:rPr>
          <w:rFonts w:asciiTheme="minorHAnsi" w:hAnsiTheme="minorHAnsi" w:cstheme="minorHAnsi"/>
          <w:color w:val="auto"/>
        </w:rPr>
      </w:pPr>
      <w:r>
        <w:rPr>
          <w:rFonts w:asciiTheme="minorHAnsi" w:hAnsiTheme="minorHAnsi" w:cstheme="minorHAnsi"/>
          <w:color w:val="auto"/>
        </w:rPr>
        <w:t>Yours faithfully</w:t>
      </w:r>
    </w:p>
    <w:p w:rsidR="00C7127B" w:rsidRDefault="0008239C" w:rsidP="00644CEC">
      <w:pPr>
        <w:pStyle w:val="BodyText1"/>
        <w:spacing w:after="0"/>
        <w:rPr>
          <w:rFonts w:asciiTheme="minorHAnsi" w:hAnsiTheme="minorHAnsi" w:cstheme="minorHAnsi"/>
          <w:color w:val="auto"/>
        </w:rPr>
      </w:pPr>
      <w:r>
        <w:rPr>
          <w:rFonts w:asciiTheme="minorHAnsi" w:hAnsiTheme="minorHAnsi" w:cstheme="minorHAnsi"/>
          <w:noProof/>
          <w:color w:val="auto"/>
          <w:lang w:val="en-IE" w:eastAsia="en-IE"/>
        </w:rPr>
        <w:drawing>
          <wp:inline distT="0" distB="0" distL="0" distR="0" wp14:anchorId="5A70CB09" wp14:editId="3429EE37">
            <wp:extent cx="1581912" cy="4297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p>
    <w:p w:rsidR="0008239C" w:rsidRDefault="0008239C" w:rsidP="001249EC">
      <w:pPr>
        <w:pStyle w:val="BodyText1"/>
        <w:spacing w:after="0"/>
        <w:rPr>
          <w:rFonts w:asciiTheme="minorHAnsi" w:hAnsiTheme="minorHAnsi" w:cstheme="minorHAnsi"/>
          <w:color w:val="auto"/>
        </w:rPr>
      </w:pPr>
      <w:r>
        <w:rPr>
          <w:rFonts w:asciiTheme="minorHAnsi" w:hAnsiTheme="minorHAnsi" w:cstheme="minorHAnsi"/>
          <w:color w:val="auto"/>
        </w:rPr>
        <w:t>Rachel Thomas</w:t>
      </w:r>
    </w:p>
    <w:p w:rsidR="00545597" w:rsidRDefault="00C93287" w:rsidP="00623A30">
      <w:pPr>
        <w:pStyle w:val="BodyText1"/>
        <w:spacing w:after="0"/>
      </w:pPr>
      <w:r>
        <w:rPr>
          <w:rFonts w:asciiTheme="minorHAnsi" w:hAnsiTheme="minorHAnsi" w:cstheme="minorHAnsi"/>
          <w:color w:val="auto"/>
        </w:rPr>
        <w:t>Senior Policy Adviser</w:t>
      </w:r>
    </w:p>
    <w:sectPr w:rsidR="00545597" w:rsidSect="001249EC">
      <w:headerReference w:type="default" r:id="rId13"/>
      <w:footerReference w:type="default" r:id="rId14"/>
      <w:headerReference w:type="first" r:id="rId15"/>
      <w:footerReference w:type="first" r:id="rId16"/>
      <w:pgSz w:w="11906" w:h="16838"/>
      <w:pgMar w:top="1440" w:right="1440" w:bottom="2155" w:left="144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F1" w:rsidRDefault="00D12BF1" w:rsidP="00C7127B">
      <w:pPr>
        <w:spacing w:after="0" w:line="240" w:lineRule="auto"/>
      </w:pPr>
      <w:r>
        <w:separator/>
      </w:r>
    </w:p>
  </w:endnote>
  <w:endnote w:type="continuationSeparator" w:id="0">
    <w:p w:rsidR="00D12BF1" w:rsidRDefault="00D12BF1"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E269B9">
      <w:rPr>
        <w:noProof/>
      </w:rPr>
      <w:t>3</w:t>
    </w:r>
    <w:r w:rsidRPr="00C4251E">
      <w:rPr>
        <w:noProof/>
      </w:rPr>
      <w:fldChar w:fldCharType="end"/>
    </w:r>
  </w:p>
  <w:p w:rsidR="00C7127B" w:rsidRDefault="00C7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pPr>
      <w:pStyle w:val="Footer"/>
    </w:pPr>
    <w:r>
      <w:rPr>
        <w:noProof/>
        <w:lang w:val="en-IE" w:eastAsia="en-IE"/>
      </w:rPr>
      <mc:AlternateContent>
        <mc:Choice Requires="wpg">
          <w:drawing>
            <wp:anchor distT="0" distB="0" distL="114300" distR="114300" simplePos="0" relativeHeight="251661312" behindDoc="1" locked="0" layoutInCell="1" allowOverlap="1" wp14:anchorId="2DE0472A" wp14:editId="1016EC21">
              <wp:simplePos x="0" y="0"/>
              <wp:positionH relativeFrom="column">
                <wp:posOffset>-136525</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10.7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HMcjB+IAAAANAQAADwAAAGRycy9kb3ducmV2LnhtbEyPwW7CMAyG75P2DpEn7QZJusFQ&#10;aYoQ2nZCkwaTJm6mMW1Fk1RNaMvbL5zG7bf86ffnbDWahvXU+dpZBXIqgJEtnK5tqeBn/zFZAPMB&#10;rcbGWVJwJQ+r/PEhw1S7wX5TvwsliyXWp6igCqFNOfdFRQb91LVk4+7kOoMhjl3JdYdDLDcNT4SY&#10;c4O1jRcqbGlTUXHeXYyCzwGH9Yt877fn0+Z62M++freSlHp+GtdLYIHG8A/DTT+qQx6dju5itWeN&#10;gkkiZxGNQSYiAXZDxNv8FdgxJikXwPOM33+R/wEAAP//AwBQSwECLQAUAAYACAAAACEAtoM4kv4A&#10;AADhAQAAEwAAAAAAAAAAAAAAAAAAAAAAW0NvbnRlbnRfVHlwZXNdLnhtbFBLAQItABQABgAIAAAA&#10;IQA4/SH/1gAAAJQBAAALAAAAAAAAAAAAAAAAAC8BAABfcmVscy8ucmVsc1BLAQItABQABgAIAAAA&#10;IQBm72HPLwMAAMAHAAAOAAAAAAAAAAAAAAAAAC4CAABkcnMvZTJvRG9jLnhtbFBLAQItABQABgAI&#10;AAAAIQAcxyMH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F1" w:rsidRDefault="00D12BF1" w:rsidP="00C7127B">
      <w:pPr>
        <w:spacing w:after="0" w:line="240" w:lineRule="auto"/>
      </w:pPr>
      <w:r>
        <w:separator/>
      </w:r>
    </w:p>
  </w:footnote>
  <w:footnote w:type="continuationSeparator" w:id="0">
    <w:p w:rsidR="00D12BF1" w:rsidRDefault="00D12BF1" w:rsidP="00C7127B">
      <w:pPr>
        <w:spacing w:after="0" w:line="240" w:lineRule="auto"/>
      </w:pPr>
      <w:r>
        <w:continuationSeparator/>
      </w:r>
    </w:p>
  </w:footnote>
  <w:footnote w:id="1">
    <w:p w:rsidR="000D002B" w:rsidRDefault="000D002B">
      <w:pPr>
        <w:pStyle w:val="FootnoteText"/>
      </w:pPr>
      <w:r>
        <w:rPr>
          <w:rStyle w:val="FootnoteReference"/>
        </w:rPr>
        <w:footnoteRef/>
      </w:r>
      <w:r>
        <w:t xml:space="preserve"> Point 33 of page 7 of nbn’s supporting submission.</w:t>
      </w:r>
    </w:p>
  </w:footnote>
  <w:footnote w:id="2">
    <w:p w:rsidR="00B00341" w:rsidRDefault="00B00341">
      <w:pPr>
        <w:pStyle w:val="FootnoteText"/>
      </w:pPr>
      <w:r>
        <w:rPr>
          <w:rStyle w:val="FootnoteReference"/>
        </w:rPr>
        <w:footnoteRef/>
      </w:r>
      <w:r>
        <w:t xml:space="preserve"> Issue discussed at ACCC Market Study Forum, </w:t>
      </w:r>
      <w:r w:rsidR="006D09B6">
        <w:t>3</w:t>
      </w:r>
      <w:r w:rsidR="006D09B6" w:rsidRPr="006D09B6">
        <w:rPr>
          <w:vertAlign w:val="superscript"/>
        </w:rPr>
        <w:t>rd</w:t>
      </w:r>
      <w:r w:rsidR="006D09B6">
        <w:t xml:space="preserve"> – 4</w:t>
      </w:r>
      <w:r w:rsidR="006D09B6" w:rsidRPr="006D09B6">
        <w:rPr>
          <w:vertAlign w:val="superscript"/>
        </w:rPr>
        <w:t>th</w:t>
      </w:r>
      <w:r w:rsidR="006D09B6">
        <w:t xml:space="preserve"> July 2017.</w:t>
      </w:r>
    </w:p>
  </w:footnote>
  <w:footnote w:id="3">
    <w:p w:rsidR="00006CC6" w:rsidRDefault="00006CC6" w:rsidP="00006CC6">
      <w:pPr>
        <w:pStyle w:val="FootnoteText"/>
      </w:pPr>
      <w:r>
        <w:rPr>
          <w:rStyle w:val="FootnoteReference"/>
        </w:rPr>
        <w:footnoteRef/>
      </w:r>
      <w:r>
        <w:t xml:space="preserve"> Our initial submission and subsequent submission outline ACCANs use of the information and the value that it provides to our organisation.</w:t>
      </w:r>
      <w:r w:rsidRPr="00E35ACF">
        <w:t xml:space="preserve"> </w:t>
      </w:r>
      <w:hyperlink r:id="rId1" w:history="1">
        <w:r w:rsidRPr="00776A30">
          <w:rPr>
            <w:rStyle w:val="Hyperlink"/>
          </w:rPr>
          <w:t>https://www.accc.gov.au/regulated-infrastructure/communications/national-broadband-network-nbn/nbn-co-sau-variation/consultation-paper</w:t>
        </w:r>
      </w:hyperlink>
    </w:p>
  </w:footnote>
  <w:footnote w:id="4">
    <w:p w:rsidR="00006CC6" w:rsidRDefault="00006CC6" w:rsidP="00006CC6">
      <w:pPr>
        <w:pStyle w:val="FootnoteText"/>
      </w:pPr>
      <w:r>
        <w:rPr>
          <w:rStyle w:val="FootnoteReference"/>
        </w:rPr>
        <w:footnoteRef/>
      </w:r>
      <w:r>
        <w:t xml:space="preserve"> </w:t>
      </w:r>
      <w:r w:rsidR="000D002B">
        <w:t xml:space="preserve">ACCAN, Submission to SAU Variation, April 2017. </w:t>
      </w:r>
      <w:hyperlink r:id="rId2" w:history="1">
        <w:r w:rsidR="000D002B" w:rsidRPr="00887E68">
          <w:rPr>
            <w:rStyle w:val="Hyperlink"/>
          </w:rPr>
          <w:t>http://accan.org.au/our-work/submissions/1389-nbn-special-access-undertaking</w:t>
        </w:r>
      </w:hyperlink>
      <w:r w:rsidR="000D002B">
        <w:t xml:space="preserve"> </w:t>
      </w:r>
    </w:p>
  </w:footnote>
  <w:footnote w:id="5">
    <w:p w:rsidR="00D5334D" w:rsidRPr="007B689F" w:rsidRDefault="00D5334D" w:rsidP="00D5334D">
      <w:pPr>
        <w:pStyle w:val="FootnoteText"/>
        <w:jc w:val="left"/>
      </w:pPr>
      <w:r>
        <w:rPr>
          <w:rStyle w:val="FootnoteReference"/>
        </w:rPr>
        <w:footnoteRef/>
      </w:r>
      <w:r>
        <w:t xml:space="preserve"> </w:t>
      </w:r>
      <w:r w:rsidR="007B2224" w:rsidRPr="007B2224">
        <w:t>nbn estimate that 10% of appointments are missed, equating to 82,552 missed appointments in 2016</w:t>
      </w:r>
      <w:r w:rsidR="007B2224">
        <w:t xml:space="preserve">. </w:t>
      </w:r>
      <w:r>
        <w:t>Bill Morrow, 15</w:t>
      </w:r>
      <w:r w:rsidRPr="007B689F">
        <w:rPr>
          <w:vertAlign w:val="superscript"/>
        </w:rPr>
        <w:t>th</w:t>
      </w:r>
      <w:r>
        <w:t xml:space="preserve"> June 2017 Senate hearing. </w:t>
      </w:r>
      <w:hyperlink r:id="rId3" w:history="1">
        <w:r w:rsidRPr="00887E68">
          <w:rPr>
            <w:rStyle w:val="Hyperlink"/>
          </w:rPr>
          <w:t>http://parlinfo.aph.gov.au/parlInfo/search/display/display.w3p;adv=yes;db=COMMITTEES;id=committees%2Festimate%2Fea6f86d4-fca8-459c-b755-e93051a99d64%2F0003;orderBy=priority,doc_date-rev;page=0;query=Dataset%3Aestimate;rec=1;resCount=Default</w:t>
        </w:r>
      </w:hyperlink>
      <w:r>
        <w:t xml:space="preserve"> </w:t>
      </w:r>
    </w:p>
  </w:footnote>
  <w:footnote w:id="6">
    <w:p w:rsidR="0075284F" w:rsidRPr="007B689F" w:rsidRDefault="0075284F" w:rsidP="0075284F">
      <w:pPr>
        <w:pStyle w:val="FootnoteText"/>
        <w:jc w:val="left"/>
      </w:pPr>
      <w:r>
        <w:rPr>
          <w:rStyle w:val="FootnoteReference"/>
        </w:rPr>
        <w:footnoteRef/>
      </w:r>
      <w:r>
        <w:t xml:space="preserve"> For example: Better Internet for Regional, Rural and Remote, 2017 Sky Muster survey. </w:t>
      </w:r>
      <w:hyperlink r:id="rId4" w:history="1">
        <w:r w:rsidRPr="00887E68">
          <w:rPr>
            <w:rStyle w:val="Hyperlink"/>
          </w:rPr>
          <w:t>https://birrraus.files.wordpress.com/2017/04/birrr-skymuster-2017-survey-results-published.pdf</w:t>
        </w:r>
      </w:hyperlink>
      <w:r>
        <w:t xml:space="preserve"> </w:t>
      </w:r>
    </w:p>
  </w:footnote>
  <w:footnote w:id="7">
    <w:p w:rsidR="00F820AD" w:rsidRPr="001B4137" w:rsidRDefault="00F820AD" w:rsidP="00F820AD">
      <w:pPr>
        <w:pStyle w:val="FootnoteText"/>
      </w:pPr>
      <w:r>
        <w:rPr>
          <w:rStyle w:val="FootnoteReference"/>
        </w:rPr>
        <w:footnoteRef/>
      </w:r>
      <w:r>
        <w:t xml:space="preserve"> </w:t>
      </w:r>
      <w:hyperlink r:id="rId5" w:history="1">
        <w:r w:rsidRPr="00C14CF8">
          <w:rPr>
            <w:rStyle w:val="Hyperlink"/>
          </w:rPr>
          <w:t>https://www.itnews.com.au/tools/print.aspx?ciid=452965</w:t>
        </w:r>
      </w:hyperlink>
      <w:r>
        <w:t xml:space="preserve"> </w:t>
      </w:r>
    </w:p>
  </w:footnote>
  <w:footnote w:id="8">
    <w:p w:rsidR="002F4A51" w:rsidRDefault="002F4A51">
      <w:pPr>
        <w:pStyle w:val="FootnoteText"/>
      </w:pPr>
      <w:r>
        <w:rPr>
          <w:rStyle w:val="FootnoteReference"/>
        </w:rPr>
        <w:footnoteRef/>
      </w:r>
      <w:r>
        <w:t xml:space="preserve"> Senate Estimates Question on Notice.</w:t>
      </w:r>
      <w:r w:rsidRPr="002F4A51">
        <w:t xml:space="preserve"> </w:t>
      </w:r>
      <w:r w:rsidRPr="002F4A51">
        <w:rPr>
          <w:bCs/>
          <w:lang w:val="en-IE"/>
        </w:rPr>
        <w:t>Question No: 202. Hansard Ref: Page 62, 25/05/2017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pPr>
      <w:pStyle w:val="Header"/>
    </w:pPr>
    <w:r>
      <w:rPr>
        <w:noProof/>
        <w:lang w:val="en-IE" w:eastAsia="en-IE"/>
      </w:rPr>
      <w:drawing>
        <wp:anchor distT="0" distB="0" distL="114300" distR="114300" simplePos="0" relativeHeight="251659264" behindDoc="1" locked="0" layoutInCell="1" allowOverlap="1" wp14:anchorId="3621EFD3" wp14:editId="4EFA4C3D">
          <wp:simplePos x="0" y="0"/>
          <wp:positionH relativeFrom="column">
            <wp:posOffset>4570370</wp:posOffset>
          </wp:positionH>
          <wp:positionV relativeFrom="paragraph">
            <wp:posOffset>-250789</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C7127B">
    <w:pPr>
      <w:pStyle w:val="Header"/>
      <w:jc w:val="right"/>
    </w:pPr>
    <w:r>
      <w:rPr>
        <w:noProof/>
        <w:lang w:val="en-IE" w:eastAsia="en-IE"/>
      </w:rPr>
      <w:drawing>
        <wp:anchor distT="0" distB="0" distL="114300" distR="114300" simplePos="0" relativeHeight="251663360" behindDoc="1" locked="0" layoutInCell="1" allowOverlap="1" wp14:anchorId="734BB126" wp14:editId="39D7FBB6">
          <wp:simplePos x="0" y="0"/>
          <wp:positionH relativeFrom="column">
            <wp:posOffset>4248054</wp:posOffset>
          </wp:positionH>
          <wp:positionV relativeFrom="paragraph">
            <wp:posOffset>-262375</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5C57"/>
    <w:multiLevelType w:val="multilevel"/>
    <w:tmpl w:val="72B63D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34A1051"/>
    <w:multiLevelType w:val="hybridMultilevel"/>
    <w:tmpl w:val="28C093E6"/>
    <w:lvl w:ilvl="0" w:tplc="076AF1D6">
      <w:start w:val="28"/>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AC659B"/>
    <w:multiLevelType w:val="multilevel"/>
    <w:tmpl w:val="579A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B0607C"/>
    <w:multiLevelType w:val="hybridMultilevel"/>
    <w:tmpl w:val="71E8729A"/>
    <w:lvl w:ilvl="0" w:tplc="076AF1D6">
      <w:start w:val="28"/>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77226C4"/>
    <w:multiLevelType w:val="hybridMultilevel"/>
    <w:tmpl w:val="AD32D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282042B"/>
    <w:multiLevelType w:val="hybridMultilevel"/>
    <w:tmpl w:val="1B9C7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8ED2835"/>
    <w:multiLevelType w:val="hybridMultilevel"/>
    <w:tmpl w:val="3238E6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9C"/>
    <w:rsid w:val="00006CC6"/>
    <w:rsid w:val="0002108B"/>
    <w:rsid w:val="00031DCB"/>
    <w:rsid w:val="00040F66"/>
    <w:rsid w:val="000612E4"/>
    <w:rsid w:val="00062BC6"/>
    <w:rsid w:val="0008239C"/>
    <w:rsid w:val="0009136E"/>
    <w:rsid w:val="000A0AD7"/>
    <w:rsid w:val="000C066C"/>
    <w:rsid w:val="000C1E5B"/>
    <w:rsid w:val="000C361F"/>
    <w:rsid w:val="000C4717"/>
    <w:rsid w:val="000D002B"/>
    <w:rsid w:val="000D41A3"/>
    <w:rsid w:val="000F5BE2"/>
    <w:rsid w:val="000F77A6"/>
    <w:rsid w:val="00104A8F"/>
    <w:rsid w:val="00113508"/>
    <w:rsid w:val="00120D33"/>
    <w:rsid w:val="001249EC"/>
    <w:rsid w:val="00132086"/>
    <w:rsid w:val="001332D1"/>
    <w:rsid w:val="00150693"/>
    <w:rsid w:val="001708BD"/>
    <w:rsid w:val="00177385"/>
    <w:rsid w:val="00177DD9"/>
    <w:rsid w:val="001959F8"/>
    <w:rsid w:val="001E0E0A"/>
    <w:rsid w:val="001E2CB4"/>
    <w:rsid w:val="001F0366"/>
    <w:rsid w:val="001F21C6"/>
    <w:rsid w:val="001F49BA"/>
    <w:rsid w:val="00205275"/>
    <w:rsid w:val="002067FE"/>
    <w:rsid w:val="0020799F"/>
    <w:rsid w:val="00216C6A"/>
    <w:rsid w:val="00225E15"/>
    <w:rsid w:val="002341DF"/>
    <w:rsid w:val="0023653E"/>
    <w:rsid w:val="00240F5D"/>
    <w:rsid w:val="002456F1"/>
    <w:rsid w:val="002613B6"/>
    <w:rsid w:val="002706F8"/>
    <w:rsid w:val="002923B3"/>
    <w:rsid w:val="002939E3"/>
    <w:rsid w:val="002B6F8B"/>
    <w:rsid w:val="002D089C"/>
    <w:rsid w:val="002E127B"/>
    <w:rsid w:val="002F121E"/>
    <w:rsid w:val="002F4A51"/>
    <w:rsid w:val="003012AF"/>
    <w:rsid w:val="00327361"/>
    <w:rsid w:val="00335043"/>
    <w:rsid w:val="003539E3"/>
    <w:rsid w:val="0037696B"/>
    <w:rsid w:val="003816BF"/>
    <w:rsid w:val="003959F5"/>
    <w:rsid w:val="003B3D66"/>
    <w:rsid w:val="003C2379"/>
    <w:rsid w:val="003C2DF6"/>
    <w:rsid w:val="003C4747"/>
    <w:rsid w:val="003D03EC"/>
    <w:rsid w:val="003D4AA4"/>
    <w:rsid w:val="003E0066"/>
    <w:rsid w:val="003F081B"/>
    <w:rsid w:val="003F4536"/>
    <w:rsid w:val="003F4D0E"/>
    <w:rsid w:val="00414733"/>
    <w:rsid w:val="00417D75"/>
    <w:rsid w:val="00417EFD"/>
    <w:rsid w:val="00422E83"/>
    <w:rsid w:val="00423467"/>
    <w:rsid w:val="004237C2"/>
    <w:rsid w:val="00442E49"/>
    <w:rsid w:val="00450322"/>
    <w:rsid w:val="00474B94"/>
    <w:rsid w:val="00481829"/>
    <w:rsid w:val="004C0B1F"/>
    <w:rsid w:val="004C0D0A"/>
    <w:rsid w:val="004C5BEE"/>
    <w:rsid w:val="004D0908"/>
    <w:rsid w:val="004F0D22"/>
    <w:rsid w:val="00500D0E"/>
    <w:rsid w:val="00501FD7"/>
    <w:rsid w:val="005030A9"/>
    <w:rsid w:val="005160C1"/>
    <w:rsid w:val="00525FB6"/>
    <w:rsid w:val="00545597"/>
    <w:rsid w:val="00552CAF"/>
    <w:rsid w:val="00555211"/>
    <w:rsid w:val="00577C41"/>
    <w:rsid w:val="00581AEC"/>
    <w:rsid w:val="0058421D"/>
    <w:rsid w:val="00592E73"/>
    <w:rsid w:val="00594FCA"/>
    <w:rsid w:val="00597BB3"/>
    <w:rsid w:val="005A2CF5"/>
    <w:rsid w:val="005C3C0B"/>
    <w:rsid w:val="005D3BFE"/>
    <w:rsid w:val="005D629D"/>
    <w:rsid w:val="005F6316"/>
    <w:rsid w:val="00601299"/>
    <w:rsid w:val="00623A30"/>
    <w:rsid w:val="00623F47"/>
    <w:rsid w:val="006310B1"/>
    <w:rsid w:val="00644CEC"/>
    <w:rsid w:val="00646BAC"/>
    <w:rsid w:val="006613E8"/>
    <w:rsid w:val="006776B3"/>
    <w:rsid w:val="00687C24"/>
    <w:rsid w:val="006A10D6"/>
    <w:rsid w:val="006A6D96"/>
    <w:rsid w:val="006B5B45"/>
    <w:rsid w:val="006D09B6"/>
    <w:rsid w:val="006E25B2"/>
    <w:rsid w:val="00713D3A"/>
    <w:rsid w:val="00724DF9"/>
    <w:rsid w:val="00741E53"/>
    <w:rsid w:val="0075284F"/>
    <w:rsid w:val="00762543"/>
    <w:rsid w:val="007625D1"/>
    <w:rsid w:val="00777330"/>
    <w:rsid w:val="007841FD"/>
    <w:rsid w:val="007B2224"/>
    <w:rsid w:val="007C69F1"/>
    <w:rsid w:val="008159A4"/>
    <w:rsid w:val="00815F5A"/>
    <w:rsid w:val="008165F8"/>
    <w:rsid w:val="00842C50"/>
    <w:rsid w:val="008774E9"/>
    <w:rsid w:val="00896DD7"/>
    <w:rsid w:val="008A2FE1"/>
    <w:rsid w:val="008C3843"/>
    <w:rsid w:val="008D514E"/>
    <w:rsid w:val="008F122E"/>
    <w:rsid w:val="00902BE1"/>
    <w:rsid w:val="0092771F"/>
    <w:rsid w:val="00950384"/>
    <w:rsid w:val="00952C42"/>
    <w:rsid w:val="00965CA5"/>
    <w:rsid w:val="009766A6"/>
    <w:rsid w:val="00980FEA"/>
    <w:rsid w:val="00994942"/>
    <w:rsid w:val="009A271E"/>
    <w:rsid w:val="009B65AF"/>
    <w:rsid w:val="009C6FAA"/>
    <w:rsid w:val="00A04A07"/>
    <w:rsid w:val="00A16013"/>
    <w:rsid w:val="00A276D6"/>
    <w:rsid w:val="00A30F70"/>
    <w:rsid w:val="00A37271"/>
    <w:rsid w:val="00A37A8E"/>
    <w:rsid w:val="00A513FD"/>
    <w:rsid w:val="00A755F1"/>
    <w:rsid w:val="00A85258"/>
    <w:rsid w:val="00A86090"/>
    <w:rsid w:val="00A8637A"/>
    <w:rsid w:val="00A87950"/>
    <w:rsid w:val="00A93B95"/>
    <w:rsid w:val="00A96288"/>
    <w:rsid w:val="00A9753A"/>
    <w:rsid w:val="00AA004C"/>
    <w:rsid w:val="00AB111A"/>
    <w:rsid w:val="00AC1B69"/>
    <w:rsid w:val="00AC6C37"/>
    <w:rsid w:val="00AE678B"/>
    <w:rsid w:val="00AF2C14"/>
    <w:rsid w:val="00B00341"/>
    <w:rsid w:val="00B4462A"/>
    <w:rsid w:val="00B5341A"/>
    <w:rsid w:val="00B75BD4"/>
    <w:rsid w:val="00B8367E"/>
    <w:rsid w:val="00B90B0D"/>
    <w:rsid w:val="00BB5809"/>
    <w:rsid w:val="00BE27C3"/>
    <w:rsid w:val="00C07BF2"/>
    <w:rsid w:val="00C107A3"/>
    <w:rsid w:val="00C26A44"/>
    <w:rsid w:val="00C53EF6"/>
    <w:rsid w:val="00C6400C"/>
    <w:rsid w:val="00C7127B"/>
    <w:rsid w:val="00C8047F"/>
    <w:rsid w:val="00C845D0"/>
    <w:rsid w:val="00C930D8"/>
    <w:rsid w:val="00C93287"/>
    <w:rsid w:val="00CA043F"/>
    <w:rsid w:val="00CC6C7D"/>
    <w:rsid w:val="00CD2D73"/>
    <w:rsid w:val="00CF2467"/>
    <w:rsid w:val="00D12BF1"/>
    <w:rsid w:val="00D13B33"/>
    <w:rsid w:val="00D24EB7"/>
    <w:rsid w:val="00D45589"/>
    <w:rsid w:val="00D5334D"/>
    <w:rsid w:val="00D652D3"/>
    <w:rsid w:val="00D75AD7"/>
    <w:rsid w:val="00D9613E"/>
    <w:rsid w:val="00DA4140"/>
    <w:rsid w:val="00DC45CF"/>
    <w:rsid w:val="00DE3A9F"/>
    <w:rsid w:val="00E0771D"/>
    <w:rsid w:val="00E128AE"/>
    <w:rsid w:val="00E269B9"/>
    <w:rsid w:val="00E32E20"/>
    <w:rsid w:val="00E35ACF"/>
    <w:rsid w:val="00E5553F"/>
    <w:rsid w:val="00E7199D"/>
    <w:rsid w:val="00E730B2"/>
    <w:rsid w:val="00E83272"/>
    <w:rsid w:val="00E960AB"/>
    <w:rsid w:val="00EA1F2E"/>
    <w:rsid w:val="00EA21B3"/>
    <w:rsid w:val="00ED21DD"/>
    <w:rsid w:val="00EF02A3"/>
    <w:rsid w:val="00EF5BED"/>
    <w:rsid w:val="00F05B8E"/>
    <w:rsid w:val="00F261B3"/>
    <w:rsid w:val="00F5308D"/>
    <w:rsid w:val="00F820AD"/>
    <w:rsid w:val="00F82BE3"/>
    <w:rsid w:val="00F83EFC"/>
    <w:rsid w:val="00F868A9"/>
    <w:rsid w:val="00FA15C3"/>
    <w:rsid w:val="00FC1769"/>
    <w:rsid w:val="00FD69E2"/>
    <w:rsid w:val="00FE44A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6E"/>
    <w:pPr>
      <w:jc w:val="both"/>
    </w:pPr>
  </w:style>
  <w:style w:type="paragraph" w:styleId="Heading1">
    <w:name w:val="heading 1"/>
    <w:basedOn w:val="Normal"/>
    <w:next w:val="Normal"/>
    <w:link w:val="Heading1Char"/>
    <w:uiPriority w:val="9"/>
    <w:qFormat/>
    <w:rsid w:val="000913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65AF"/>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3F4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65AF"/>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65AF"/>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65AF"/>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65A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65A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65A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082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9C"/>
    <w:rPr>
      <w:rFonts w:ascii="Tahoma" w:hAnsi="Tahoma" w:cs="Tahoma"/>
      <w:sz w:val="16"/>
      <w:szCs w:val="16"/>
    </w:rPr>
  </w:style>
  <w:style w:type="character" w:customStyle="1" w:styleId="Heading1Char">
    <w:name w:val="Heading 1 Char"/>
    <w:basedOn w:val="DefaultParagraphFont"/>
    <w:link w:val="Heading1"/>
    <w:uiPriority w:val="9"/>
    <w:rsid w:val="000913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65A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F0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81B"/>
    <w:rPr>
      <w:sz w:val="20"/>
      <w:szCs w:val="20"/>
    </w:rPr>
  </w:style>
  <w:style w:type="character" w:styleId="FootnoteReference">
    <w:name w:val="footnote reference"/>
    <w:basedOn w:val="DefaultParagraphFont"/>
    <w:uiPriority w:val="99"/>
    <w:semiHidden/>
    <w:unhideWhenUsed/>
    <w:rsid w:val="003F081B"/>
    <w:rPr>
      <w:vertAlign w:val="superscript"/>
    </w:rPr>
  </w:style>
  <w:style w:type="character" w:customStyle="1" w:styleId="invisible">
    <w:name w:val="invisible"/>
    <w:basedOn w:val="DefaultParagraphFont"/>
    <w:rsid w:val="005160C1"/>
  </w:style>
  <w:style w:type="character" w:customStyle="1" w:styleId="js-display-url">
    <w:name w:val="js-display-url"/>
    <w:basedOn w:val="DefaultParagraphFont"/>
    <w:rsid w:val="005160C1"/>
  </w:style>
  <w:style w:type="paragraph" w:styleId="ListParagraph">
    <w:name w:val="List Paragraph"/>
    <w:basedOn w:val="Normal"/>
    <w:uiPriority w:val="34"/>
    <w:qFormat/>
    <w:rsid w:val="00A87950"/>
    <w:pPr>
      <w:ind w:left="720"/>
      <w:contextualSpacing/>
    </w:pPr>
  </w:style>
  <w:style w:type="character" w:customStyle="1" w:styleId="Heading3Char">
    <w:name w:val="Heading 3 Char"/>
    <w:basedOn w:val="DefaultParagraphFont"/>
    <w:link w:val="Heading3"/>
    <w:uiPriority w:val="9"/>
    <w:rsid w:val="00623F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65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65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65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6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65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65AF"/>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F261B3"/>
    <w:rPr>
      <w:color w:val="800080" w:themeColor="followedHyperlink"/>
      <w:u w:val="single"/>
    </w:rPr>
  </w:style>
  <w:style w:type="character" w:styleId="CommentReference">
    <w:name w:val="annotation reference"/>
    <w:basedOn w:val="DefaultParagraphFont"/>
    <w:uiPriority w:val="99"/>
    <w:semiHidden/>
    <w:unhideWhenUsed/>
    <w:rsid w:val="008A2FE1"/>
    <w:rPr>
      <w:sz w:val="16"/>
      <w:szCs w:val="16"/>
    </w:rPr>
  </w:style>
  <w:style w:type="paragraph" w:styleId="CommentText">
    <w:name w:val="annotation text"/>
    <w:basedOn w:val="Normal"/>
    <w:link w:val="CommentTextChar"/>
    <w:uiPriority w:val="99"/>
    <w:semiHidden/>
    <w:unhideWhenUsed/>
    <w:rsid w:val="008A2FE1"/>
    <w:pPr>
      <w:spacing w:line="240" w:lineRule="auto"/>
    </w:pPr>
    <w:rPr>
      <w:sz w:val="20"/>
      <w:szCs w:val="20"/>
    </w:rPr>
  </w:style>
  <w:style w:type="character" w:customStyle="1" w:styleId="CommentTextChar">
    <w:name w:val="Comment Text Char"/>
    <w:basedOn w:val="DefaultParagraphFont"/>
    <w:link w:val="CommentText"/>
    <w:uiPriority w:val="99"/>
    <w:semiHidden/>
    <w:rsid w:val="008A2FE1"/>
    <w:rPr>
      <w:sz w:val="20"/>
      <w:szCs w:val="20"/>
    </w:rPr>
  </w:style>
  <w:style w:type="paragraph" w:styleId="CommentSubject">
    <w:name w:val="annotation subject"/>
    <w:basedOn w:val="CommentText"/>
    <w:next w:val="CommentText"/>
    <w:link w:val="CommentSubjectChar"/>
    <w:uiPriority w:val="99"/>
    <w:semiHidden/>
    <w:unhideWhenUsed/>
    <w:rsid w:val="008A2FE1"/>
    <w:rPr>
      <w:b/>
      <w:bCs/>
    </w:rPr>
  </w:style>
  <w:style w:type="character" w:customStyle="1" w:styleId="CommentSubjectChar">
    <w:name w:val="Comment Subject Char"/>
    <w:basedOn w:val="CommentTextChar"/>
    <w:link w:val="CommentSubject"/>
    <w:uiPriority w:val="99"/>
    <w:semiHidden/>
    <w:rsid w:val="008A2F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6E"/>
    <w:pPr>
      <w:jc w:val="both"/>
    </w:pPr>
  </w:style>
  <w:style w:type="paragraph" w:styleId="Heading1">
    <w:name w:val="heading 1"/>
    <w:basedOn w:val="Normal"/>
    <w:next w:val="Normal"/>
    <w:link w:val="Heading1Char"/>
    <w:uiPriority w:val="9"/>
    <w:qFormat/>
    <w:rsid w:val="000913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65AF"/>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3F4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65AF"/>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65AF"/>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65AF"/>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65A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65A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65A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082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9C"/>
    <w:rPr>
      <w:rFonts w:ascii="Tahoma" w:hAnsi="Tahoma" w:cs="Tahoma"/>
      <w:sz w:val="16"/>
      <w:szCs w:val="16"/>
    </w:rPr>
  </w:style>
  <w:style w:type="character" w:customStyle="1" w:styleId="Heading1Char">
    <w:name w:val="Heading 1 Char"/>
    <w:basedOn w:val="DefaultParagraphFont"/>
    <w:link w:val="Heading1"/>
    <w:uiPriority w:val="9"/>
    <w:rsid w:val="000913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65A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F0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81B"/>
    <w:rPr>
      <w:sz w:val="20"/>
      <w:szCs w:val="20"/>
    </w:rPr>
  </w:style>
  <w:style w:type="character" w:styleId="FootnoteReference">
    <w:name w:val="footnote reference"/>
    <w:basedOn w:val="DefaultParagraphFont"/>
    <w:uiPriority w:val="99"/>
    <w:semiHidden/>
    <w:unhideWhenUsed/>
    <w:rsid w:val="003F081B"/>
    <w:rPr>
      <w:vertAlign w:val="superscript"/>
    </w:rPr>
  </w:style>
  <w:style w:type="character" w:customStyle="1" w:styleId="invisible">
    <w:name w:val="invisible"/>
    <w:basedOn w:val="DefaultParagraphFont"/>
    <w:rsid w:val="005160C1"/>
  </w:style>
  <w:style w:type="character" w:customStyle="1" w:styleId="js-display-url">
    <w:name w:val="js-display-url"/>
    <w:basedOn w:val="DefaultParagraphFont"/>
    <w:rsid w:val="005160C1"/>
  </w:style>
  <w:style w:type="paragraph" w:styleId="ListParagraph">
    <w:name w:val="List Paragraph"/>
    <w:basedOn w:val="Normal"/>
    <w:uiPriority w:val="34"/>
    <w:qFormat/>
    <w:rsid w:val="00A87950"/>
    <w:pPr>
      <w:ind w:left="720"/>
      <w:contextualSpacing/>
    </w:pPr>
  </w:style>
  <w:style w:type="character" w:customStyle="1" w:styleId="Heading3Char">
    <w:name w:val="Heading 3 Char"/>
    <w:basedOn w:val="DefaultParagraphFont"/>
    <w:link w:val="Heading3"/>
    <w:uiPriority w:val="9"/>
    <w:rsid w:val="00623F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65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65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65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6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65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65AF"/>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F261B3"/>
    <w:rPr>
      <w:color w:val="800080" w:themeColor="followedHyperlink"/>
      <w:u w:val="single"/>
    </w:rPr>
  </w:style>
  <w:style w:type="character" w:styleId="CommentReference">
    <w:name w:val="annotation reference"/>
    <w:basedOn w:val="DefaultParagraphFont"/>
    <w:uiPriority w:val="99"/>
    <w:semiHidden/>
    <w:unhideWhenUsed/>
    <w:rsid w:val="008A2FE1"/>
    <w:rPr>
      <w:sz w:val="16"/>
      <w:szCs w:val="16"/>
    </w:rPr>
  </w:style>
  <w:style w:type="paragraph" w:styleId="CommentText">
    <w:name w:val="annotation text"/>
    <w:basedOn w:val="Normal"/>
    <w:link w:val="CommentTextChar"/>
    <w:uiPriority w:val="99"/>
    <w:semiHidden/>
    <w:unhideWhenUsed/>
    <w:rsid w:val="008A2FE1"/>
    <w:pPr>
      <w:spacing w:line="240" w:lineRule="auto"/>
    </w:pPr>
    <w:rPr>
      <w:sz w:val="20"/>
      <w:szCs w:val="20"/>
    </w:rPr>
  </w:style>
  <w:style w:type="character" w:customStyle="1" w:styleId="CommentTextChar">
    <w:name w:val="Comment Text Char"/>
    <w:basedOn w:val="DefaultParagraphFont"/>
    <w:link w:val="CommentText"/>
    <w:uiPriority w:val="99"/>
    <w:semiHidden/>
    <w:rsid w:val="008A2FE1"/>
    <w:rPr>
      <w:sz w:val="20"/>
      <w:szCs w:val="20"/>
    </w:rPr>
  </w:style>
  <w:style w:type="paragraph" w:styleId="CommentSubject">
    <w:name w:val="annotation subject"/>
    <w:basedOn w:val="CommentText"/>
    <w:next w:val="CommentText"/>
    <w:link w:val="CommentSubjectChar"/>
    <w:uiPriority w:val="99"/>
    <w:semiHidden/>
    <w:unhideWhenUsed/>
    <w:rsid w:val="008A2FE1"/>
    <w:rPr>
      <w:b/>
      <w:bCs/>
    </w:rPr>
  </w:style>
  <w:style w:type="character" w:customStyle="1" w:styleId="CommentSubjectChar">
    <w:name w:val="Comment Subject Char"/>
    <w:basedOn w:val="CommentTextChar"/>
    <w:link w:val="CommentSubject"/>
    <w:uiPriority w:val="99"/>
    <w:semiHidden/>
    <w:rsid w:val="008A2F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9580">
      <w:bodyDiv w:val="1"/>
      <w:marLeft w:val="0"/>
      <w:marRight w:val="0"/>
      <w:marTop w:val="0"/>
      <w:marBottom w:val="0"/>
      <w:divBdr>
        <w:top w:val="none" w:sz="0" w:space="0" w:color="auto"/>
        <w:left w:val="none" w:sz="0" w:space="0" w:color="auto"/>
        <w:bottom w:val="none" w:sz="0" w:space="0" w:color="auto"/>
        <w:right w:val="none" w:sz="0" w:space="0" w:color="auto"/>
      </w:divBdr>
    </w:div>
    <w:div w:id="1053849130">
      <w:bodyDiv w:val="1"/>
      <w:marLeft w:val="0"/>
      <w:marRight w:val="0"/>
      <w:marTop w:val="0"/>
      <w:marBottom w:val="0"/>
      <w:divBdr>
        <w:top w:val="none" w:sz="0" w:space="0" w:color="auto"/>
        <w:left w:val="none" w:sz="0" w:space="0" w:color="auto"/>
        <w:bottom w:val="none" w:sz="0" w:space="0" w:color="auto"/>
        <w:right w:val="none" w:sz="0" w:space="0" w:color="auto"/>
      </w:divBdr>
    </w:div>
    <w:div w:id="14581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han.sargent@acc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cott.harding@accc.gov.au" TargetMode="External"/><Relationship Id="rId4" Type="http://schemas.microsoft.com/office/2007/relationships/stylesWithEffects" Target="stylesWithEffects.xml"/><Relationship Id="rId9" Type="http://schemas.openxmlformats.org/officeDocument/2006/relationships/hyperlink" Target="mailto:nbn@accc.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arlinfo.aph.gov.au/parlInfo/search/display/display.w3p;adv=yes;db=COMMITTEES;id=committees%2Festimate%2Fea6f86d4-fca8-459c-b755-e93051a99d64%2F0003;orderBy=priority,doc_date-rev;page=0;query=Dataset%3Aestimate;rec=1;resCount=Default" TargetMode="External"/><Relationship Id="rId2" Type="http://schemas.openxmlformats.org/officeDocument/2006/relationships/hyperlink" Target="http://accan.org.au/our-work/submissions/1389-nbn-special-access-undertaking" TargetMode="External"/><Relationship Id="rId1" Type="http://schemas.openxmlformats.org/officeDocument/2006/relationships/hyperlink" Target="https://www.accc.gov.au/regulated-infrastructure/communications/national-broadband-network-nbn/nbn-co-sau-variation/consultation-paper" TargetMode="External"/><Relationship Id="rId5" Type="http://schemas.openxmlformats.org/officeDocument/2006/relationships/hyperlink" Target="https://www.itnews.com.au/tools/print.aspx?ciid=452965" TargetMode="External"/><Relationship Id="rId4" Type="http://schemas.openxmlformats.org/officeDocument/2006/relationships/hyperlink" Target="https://birrraus.files.wordpress.com/2017/04/birrr-skymuster-2017-survey-results-publish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hor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6B44-266F-490C-8851-EB55ACB1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Template>
  <TotalTime>4</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Thomas</dc:creator>
  <cp:lastModifiedBy>Rachel Thomas</cp:lastModifiedBy>
  <cp:revision>3</cp:revision>
  <cp:lastPrinted>2017-08-18T02:55:00Z</cp:lastPrinted>
  <dcterms:created xsi:type="dcterms:W3CDTF">2017-08-18T02:52:00Z</dcterms:created>
  <dcterms:modified xsi:type="dcterms:W3CDTF">2017-08-18T02:56:00Z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