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F87C0" w14:textId="418CAAFE" w:rsidR="00ED1E5D" w:rsidRDefault="00010BA2" w:rsidP="00DD0AEA">
      <w:pPr>
        <w:spacing w:before="360" w:after="360" w:line="240" w:lineRule="auto"/>
        <w:jc w:val="center"/>
        <w:rPr>
          <w:rFonts w:ascii="Calibri" w:eastAsiaTheme="majorEastAsia" w:hAnsi="Calibri" w:cstheme="majorBidi"/>
          <w:b/>
          <w:spacing w:val="5"/>
          <w:kern w:val="28"/>
          <w:sz w:val="52"/>
          <w:szCs w:val="52"/>
        </w:rPr>
      </w:pPr>
      <w:r>
        <w:rPr>
          <w:rFonts w:ascii="Calibri" w:eastAsiaTheme="majorEastAsia" w:hAnsi="Calibri" w:cstheme="majorBidi"/>
          <w:b/>
          <w:spacing w:val="5"/>
          <w:kern w:val="28"/>
          <w:sz w:val="52"/>
          <w:szCs w:val="52"/>
        </w:rPr>
        <w:t xml:space="preserve">NBN Co Limited and </w:t>
      </w:r>
      <w:proofErr w:type="spellStart"/>
      <w:r>
        <w:rPr>
          <w:rFonts w:ascii="Calibri" w:eastAsiaTheme="majorEastAsia" w:hAnsi="Calibri" w:cstheme="majorBidi"/>
          <w:b/>
          <w:spacing w:val="5"/>
          <w:kern w:val="28"/>
          <w:sz w:val="52"/>
          <w:szCs w:val="52"/>
        </w:rPr>
        <w:t>Ors</w:t>
      </w:r>
      <w:proofErr w:type="spellEnd"/>
      <w:r>
        <w:rPr>
          <w:rFonts w:ascii="Calibri" w:eastAsiaTheme="majorEastAsia" w:hAnsi="Calibri" w:cstheme="majorBidi"/>
          <w:b/>
          <w:spacing w:val="5"/>
          <w:kern w:val="28"/>
          <w:sz w:val="52"/>
          <w:szCs w:val="52"/>
        </w:rPr>
        <w:t xml:space="preserve"> application for authorisation AA1000483 </w:t>
      </w:r>
    </w:p>
    <w:p w14:paraId="242708DB" w14:textId="720AE365" w:rsidR="00DD0AEA" w:rsidRPr="00DD0AEA" w:rsidRDefault="00AB4B46" w:rsidP="00DD0AEA">
      <w:pPr>
        <w:spacing w:before="360" w:after="360" w:line="240" w:lineRule="auto"/>
        <w:jc w:val="center"/>
        <w:rPr>
          <w:rFonts w:ascii="Calibri" w:eastAsiaTheme="minorEastAsia" w:hAnsi="Calibri"/>
          <w:sz w:val="32"/>
          <w:szCs w:val="32"/>
        </w:rPr>
      </w:pPr>
      <w:r>
        <w:rPr>
          <w:rFonts w:ascii="Calibri" w:eastAsiaTheme="minorEastAsia" w:hAnsi="Calibri"/>
          <w:sz w:val="32"/>
          <w:szCs w:val="32"/>
        </w:rPr>
        <w:t xml:space="preserve">Joint </w:t>
      </w:r>
      <w:r w:rsidR="00DD0AEA" w:rsidRPr="00DD0AEA">
        <w:rPr>
          <w:rFonts w:ascii="Calibri" w:eastAsiaTheme="minorEastAsia" w:hAnsi="Calibri"/>
          <w:sz w:val="32"/>
          <w:szCs w:val="32"/>
        </w:rPr>
        <w:t>Submission by the Australian Communications Consumer Action Network</w:t>
      </w:r>
      <w:r w:rsidR="00133AFE">
        <w:rPr>
          <w:rFonts w:ascii="Calibri" w:eastAsiaTheme="minorEastAsia" w:hAnsi="Calibri"/>
          <w:sz w:val="32"/>
          <w:szCs w:val="32"/>
        </w:rPr>
        <w:t>,</w:t>
      </w:r>
      <w:r>
        <w:rPr>
          <w:rFonts w:ascii="Calibri" w:eastAsiaTheme="minorEastAsia" w:hAnsi="Calibri"/>
          <w:sz w:val="32"/>
          <w:szCs w:val="32"/>
        </w:rPr>
        <w:t xml:space="preserve"> the Consumers’ Federation of Australia</w:t>
      </w:r>
      <w:r w:rsidR="00133AFE">
        <w:rPr>
          <w:rFonts w:ascii="Calibri" w:eastAsiaTheme="minorEastAsia" w:hAnsi="Calibri"/>
          <w:sz w:val="32"/>
          <w:szCs w:val="32"/>
        </w:rPr>
        <w:t xml:space="preserve"> and Consumer Action Law Centre</w:t>
      </w:r>
    </w:p>
    <w:p w14:paraId="088B8E75" w14:textId="7F56E73D" w:rsidR="00DD0AEA" w:rsidRPr="00DD0AEA" w:rsidRDefault="00010BA2" w:rsidP="00DD0AEA">
      <w:pPr>
        <w:spacing w:before="360" w:after="360" w:line="240" w:lineRule="auto"/>
        <w:jc w:val="center"/>
        <w:rPr>
          <w:rFonts w:ascii="Calibri" w:eastAsiaTheme="minorEastAsia" w:hAnsi="Calibri"/>
          <w:sz w:val="32"/>
          <w:szCs w:val="32"/>
        </w:rPr>
      </w:pPr>
      <w:r>
        <w:rPr>
          <w:rFonts w:ascii="Calibri" w:eastAsiaTheme="minorEastAsia" w:hAnsi="Calibri"/>
          <w:sz w:val="32"/>
          <w:szCs w:val="32"/>
        </w:rPr>
        <w:t>22</w:t>
      </w:r>
      <w:r>
        <w:rPr>
          <w:rFonts w:ascii="Calibri" w:eastAsiaTheme="minorEastAsia" w:hAnsi="Calibri"/>
          <w:sz w:val="32"/>
          <w:szCs w:val="32"/>
          <w:vertAlign w:val="superscript"/>
        </w:rPr>
        <w:t>nd</w:t>
      </w:r>
      <w:r w:rsidR="00ED1E5D">
        <w:rPr>
          <w:rFonts w:ascii="Calibri" w:eastAsiaTheme="minorEastAsia" w:hAnsi="Calibri"/>
          <w:sz w:val="32"/>
          <w:szCs w:val="32"/>
        </w:rPr>
        <w:t xml:space="preserve"> May 2020</w:t>
      </w:r>
    </w:p>
    <w:p w14:paraId="6CE4CA42" w14:textId="77777777" w:rsidR="00DD0AEA" w:rsidRPr="00DD0AEA" w:rsidRDefault="00DD0AEA" w:rsidP="00DD0AEA">
      <w:pPr>
        <w:spacing w:before="100" w:beforeAutospacing="1" w:after="100" w:afterAutospacing="1" w:line="240" w:lineRule="auto"/>
        <w:jc w:val="both"/>
        <w:rPr>
          <w:rFonts w:eastAsiaTheme="minorEastAsia" w:cstheme="minorHAnsi"/>
          <w:sz w:val="24"/>
          <w:szCs w:val="24"/>
        </w:rPr>
      </w:pPr>
      <w:r w:rsidRPr="00DD0AEA">
        <w:rPr>
          <w:rFonts w:eastAsiaTheme="minorEastAsia" w:cstheme="minorHAnsi"/>
          <w:sz w:val="24"/>
          <w:szCs w:val="24"/>
        </w:rPr>
        <w:br w:type="page"/>
      </w:r>
    </w:p>
    <w:p w14:paraId="2030492E" w14:textId="77777777" w:rsidR="00DD0AEA" w:rsidRPr="00D6698F" w:rsidRDefault="00DD0AEA" w:rsidP="00DD0AEA">
      <w:pPr>
        <w:spacing w:before="100" w:beforeAutospacing="1" w:after="100" w:afterAutospacing="1" w:line="240" w:lineRule="auto"/>
        <w:jc w:val="both"/>
        <w:rPr>
          <w:rFonts w:eastAsiaTheme="minorEastAsia" w:cstheme="minorHAnsi"/>
          <w:b/>
          <w:sz w:val="24"/>
          <w:lang w:eastAsia="en-AU"/>
        </w:rPr>
      </w:pPr>
      <w:r w:rsidRPr="00D6698F">
        <w:rPr>
          <w:rFonts w:eastAsiaTheme="minorEastAsia" w:cstheme="minorHAnsi"/>
          <w:b/>
          <w:sz w:val="24"/>
          <w:lang w:eastAsia="en-AU"/>
        </w:rPr>
        <w:lastRenderedPageBreak/>
        <w:t xml:space="preserve">About ACCAN </w:t>
      </w:r>
    </w:p>
    <w:p w14:paraId="77741F48" w14:textId="77777777" w:rsidR="00DD0AEA" w:rsidRPr="00D801A2" w:rsidRDefault="00DD0AEA" w:rsidP="00DD0AEA">
      <w:pPr>
        <w:spacing w:before="100" w:beforeAutospacing="1" w:after="100" w:afterAutospacing="1" w:line="240" w:lineRule="auto"/>
        <w:jc w:val="both"/>
        <w:rPr>
          <w:rFonts w:eastAsiaTheme="minorEastAsia" w:cstheme="minorHAnsi"/>
          <w:lang w:eastAsia="en-AU"/>
        </w:rPr>
      </w:pPr>
      <w:r w:rsidRPr="00D801A2">
        <w:rPr>
          <w:rFonts w:eastAsiaTheme="minorEastAsia" w:cstheme="minorHAnsi"/>
          <w:lang w:eastAsia="en-AU"/>
        </w:rPr>
        <w:t>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availability, accessibility and affordability of communications services for all Australians.</w:t>
      </w:r>
    </w:p>
    <w:p w14:paraId="3CE1087D" w14:textId="12C7C0D9" w:rsidR="00DD0AEA" w:rsidRPr="00D801A2" w:rsidRDefault="00DD0AEA" w:rsidP="00DD0AEA">
      <w:pPr>
        <w:spacing w:before="100" w:beforeAutospacing="1" w:after="100" w:afterAutospacing="1" w:line="240" w:lineRule="auto"/>
        <w:jc w:val="both"/>
        <w:rPr>
          <w:rFonts w:eastAsiaTheme="minorEastAsia" w:cstheme="minorHAnsi"/>
          <w:lang w:eastAsia="en-AU"/>
        </w:rPr>
      </w:pPr>
      <w:r w:rsidRPr="00D801A2">
        <w:rPr>
          <w:rFonts w:eastAsiaTheme="minorEastAsia" w:cstheme="minorHAnsi"/>
          <w:lang w:eastAsia="en-AU"/>
        </w:rPr>
        <w:t>Consumers need ACCAN to promote better consumer protection outcomes ensuring speedy responses to complaints and issues. ACCAN aims to empower consumers so that they are well informed and can make good choices about products and services. As a peak body, ACCAN will represent the views of its broad and diverse membership base to policy makers, government and industry to get better outcomes for all communications consumers. </w:t>
      </w:r>
    </w:p>
    <w:p w14:paraId="143E0965" w14:textId="79C3322F" w:rsidR="00FC1461" w:rsidRPr="00F10B45" w:rsidRDefault="00FC1461" w:rsidP="00DD0AEA">
      <w:pPr>
        <w:spacing w:before="100" w:beforeAutospacing="1" w:after="100" w:afterAutospacing="1" w:line="240" w:lineRule="auto"/>
        <w:jc w:val="both"/>
        <w:rPr>
          <w:rFonts w:eastAsiaTheme="minorEastAsia" w:cstheme="minorHAnsi"/>
          <w:b/>
          <w:bCs/>
          <w:sz w:val="24"/>
          <w:szCs w:val="24"/>
          <w:lang w:eastAsia="en-AU"/>
        </w:rPr>
      </w:pPr>
      <w:r w:rsidRPr="00F10B45">
        <w:rPr>
          <w:rFonts w:eastAsiaTheme="minorEastAsia" w:cstheme="minorHAnsi"/>
          <w:b/>
          <w:bCs/>
          <w:sz w:val="24"/>
          <w:szCs w:val="24"/>
          <w:lang w:eastAsia="en-AU"/>
        </w:rPr>
        <w:t>About CFA</w:t>
      </w:r>
    </w:p>
    <w:p w14:paraId="10FE7E57" w14:textId="77777777" w:rsidR="00AB4B46" w:rsidRDefault="002E3FC2" w:rsidP="00DD0AEA">
      <w:pPr>
        <w:spacing w:before="100" w:beforeAutospacing="1" w:after="100" w:afterAutospacing="1" w:line="240" w:lineRule="auto"/>
        <w:jc w:val="both"/>
      </w:pPr>
      <w:r w:rsidRPr="00167F12">
        <w:rPr>
          <w:rFonts w:cstheme="minorHAnsi"/>
        </w:rPr>
        <w:t>C</w:t>
      </w:r>
      <w:r w:rsidR="00AB4B46">
        <w:rPr>
          <w:rFonts w:cstheme="minorHAnsi"/>
        </w:rPr>
        <w:t xml:space="preserve">onsumers’ </w:t>
      </w:r>
      <w:r w:rsidRPr="00167F12">
        <w:rPr>
          <w:rFonts w:cstheme="minorHAnsi"/>
        </w:rPr>
        <w:t>F</w:t>
      </w:r>
      <w:r w:rsidR="00AB4B46">
        <w:rPr>
          <w:rFonts w:cstheme="minorHAnsi"/>
        </w:rPr>
        <w:t xml:space="preserve">ederation of </w:t>
      </w:r>
      <w:r w:rsidRPr="00167F12">
        <w:rPr>
          <w:rFonts w:cstheme="minorHAnsi"/>
        </w:rPr>
        <w:t>A</w:t>
      </w:r>
      <w:r w:rsidR="00AB4B46">
        <w:rPr>
          <w:rFonts w:cstheme="minorHAnsi"/>
        </w:rPr>
        <w:t>ustralia</w:t>
      </w:r>
      <w:r w:rsidRPr="00167F12">
        <w:rPr>
          <w:rFonts w:cstheme="minorHAnsi"/>
        </w:rPr>
        <w:t xml:space="preserve"> is the peak body for consumer organisations in Australia</w:t>
      </w:r>
      <w:r>
        <w:rPr>
          <w:rFonts w:cstheme="minorHAnsi"/>
        </w:rPr>
        <w:t>,</w:t>
      </w:r>
      <w:r>
        <w:t xml:space="preserve"> advocating in the interests of Australian consumers. </w:t>
      </w:r>
    </w:p>
    <w:p w14:paraId="212FD55D" w14:textId="26C2904E" w:rsidR="002E3FC2" w:rsidRDefault="002E3FC2" w:rsidP="00DD0AEA">
      <w:pPr>
        <w:spacing w:before="100" w:beforeAutospacing="1" w:after="100" w:afterAutospacing="1" w:line="240" w:lineRule="auto"/>
        <w:jc w:val="both"/>
      </w:pPr>
      <w:r>
        <w:t>It promotes and supports its members’ campaigns and events, nominates and supports consumer representatives to industry and government processes, develops policy on important consumer issues and facilitates consumer participation in the development of Australian and international standards for goods and services.</w:t>
      </w:r>
    </w:p>
    <w:p w14:paraId="1126C87F" w14:textId="26FB4479" w:rsidR="00133AFE" w:rsidRDefault="00133AFE" w:rsidP="00DD0AEA">
      <w:pPr>
        <w:spacing w:before="100" w:beforeAutospacing="1" w:after="100" w:afterAutospacing="1" w:line="240" w:lineRule="auto"/>
        <w:jc w:val="both"/>
        <w:rPr>
          <w:b/>
          <w:bCs/>
        </w:rPr>
      </w:pPr>
      <w:r w:rsidRPr="00133AFE">
        <w:rPr>
          <w:b/>
          <w:bCs/>
        </w:rPr>
        <w:t>About Consumer Action Law Centre</w:t>
      </w:r>
    </w:p>
    <w:p w14:paraId="75352F9C" w14:textId="77777777" w:rsidR="00133AFE" w:rsidRDefault="00133AFE" w:rsidP="00DD0AEA">
      <w:pPr>
        <w:spacing w:before="100" w:beforeAutospacing="1" w:after="100" w:afterAutospacing="1" w:line="240" w:lineRule="auto"/>
        <w:jc w:val="both"/>
        <w:rPr>
          <w:rFonts w:cstheme="minorHAnsi"/>
        </w:rPr>
      </w:pPr>
      <w:r w:rsidRPr="00133AFE">
        <w:rPr>
          <w:rFonts w:cstheme="minorHAnsi"/>
        </w:rPr>
        <w:t>The Consumer Action Law Centre is a campaign-focused consumer advocacy organisation</w:t>
      </w:r>
      <w:r>
        <w:rPr>
          <w:rFonts w:cstheme="minorHAnsi"/>
        </w:rPr>
        <w:t xml:space="preserve"> b</w:t>
      </w:r>
      <w:r w:rsidRPr="00133AFE">
        <w:rPr>
          <w:rFonts w:cstheme="minorHAnsi"/>
        </w:rPr>
        <w:t>ased in Melbourne</w:t>
      </w:r>
      <w:r>
        <w:rPr>
          <w:rFonts w:cstheme="minorHAnsi"/>
        </w:rPr>
        <w:t xml:space="preserve">. </w:t>
      </w:r>
    </w:p>
    <w:p w14:paraId="107EAC81" w14:textId="79FF710B" w:rsidR="00133AFE" w:rsidRPr="00133AFE" w:rsidRDefault="00133AFE" w:rsidP="00DD0AEA">
      <w:pPr>
        <w:spacing w:before="100" w:beforeAutospacing="1" w:after="100" w:afterAutospacing="1" w:line="240" w:lineRule="auto"/>
        <w:jc w:val="both"/>
        <w:rPr>
          <w:rFonts w:cstheme="minorHAnsi"/>
        </w:rPr>
      </w:pPr>
      <w:r w:rsidRPr="00133AFE">
        <w:rPr>
          <w:rFonts w:cstheme="minorHAnsi"/>
        </w:rPr>
        <w:t>As a community legal centre, Consumer Action provides free legal advice and pursues litigation on behalf of vulnerable and disadvantaged consumers across Victoria</w:t>
      </w:r>
      <w:r>
        <w:rPr>
          <w:rFonts w:cstheme="minorHAnsi"/>
        </w:rPr>
        <w:t xml:space="preserve">. </w:t>
      </w:r>
      <w:r w:rsidRPr="00133AFE">
        <w:rPr>
          <w:rFonts w:cstheme="minorHAnsi"/>
        </w:rPr>
        <w:t xml:space="preserve">As a </w:t>
      </w:r>
      <w:proofErr w:type="gramStart"/>
      <w:r w:rsidRPr="00133AFE">
        <w:rPr>
          <w:rFonts w:cstheme="minorHAnsi"/>
        </w:rPr>
        <w:t>nationally-recognised</w:t>
      </w:r>
      <w:proofErr w:type="gramEnd"/>
      <w:r w:rsidRPr="00133AFE">
        <w:rPr>
          <w:rFonts w:cstheme="minorHAnsi"/>
        </w:rPr>
        <w:t xml:space="preserve"> and influential policy and research body, Consumer Action pursues a law reform agenda across a range of important consumer issues at a governmental level, in the media, and throughout the community directly.</w:t>
      </w:r>
    </w:p>
    <w:p w14:paraId="200F7CA7" w14:textId="77777777" w:rsidR="00DD0AEA" w:rsidRPr="00D6698F" w:rsidRDefault="00DD0AEA" w:rsidP="00DD0AEA">
      <w:pPr>
        <w:spacing w:before="100" w:beforeAutospacing="1" w:after="100" w:afterAutospacing="1" w:line="240" w:lineRule="auto"/>
        <w:jc w:val="both"/>
        <w:rPr>
          <w:rFonts w:eastAsiaTheme="minorEastAsia" w:cstheme="minorHAnsi"/>
          <w:b/>
          <w:sz w:val="24"/>
          <w:lang w:eastAsia="en-AU"/>
        </w:rPr>
      </w:pPr>
      <w:r w:rsidRPr="00D6698F">
        <w:rPr>
          <w:rFonts w:eastAsiaTheme="minorEastAsia" w:cstheme="minorHAnsi"/>
          <w:b/>
          <w:sz w:val="24"/>
          <w:lang w:eastAsia="en-AU"/>
        </w:rPr>
        <w:t>Contact</w:t>
      </w:r>
    </w:p>
    <w:p w14:paraId="0D2DD2F6" w14:textId="77777777" w:rsidR="00DD0AEA" w:rsidRPr="00D801A2" w:rsidRDefault="006C7B9E" w:rsidP="00DD0AEA">
      <w:pPr>
        <w:spacing w:before="100" w:beforeAutospacing="1" w:after="100" w:afterAutospacing="1" w:line="240" w:lineRule="auto"/>
        <w:rPr>
          <w:rFonts w:eastAsiaTheme="minorEastAsia" w:cstheme="minorHAnsi"/>
          <w:lang w:eastAsia="en-AU"/>
        </w:rPr>
      </w:pPr>
      <w:r w:rsidRPr="00D801A2">
        <w:rPr>
          <w:rFonts w:eastAsiaTheme="minorEastAsia" w:cstheme="minorHAnsi"/>
          <w:lang w:eastAsia="en-AU"/>
        </w:rPr>
        <w:t>Megan Ward</w:t>
      </w:r>
      <w:r w:rsidR="00DD0AEA" w:rsidRPr="00D801A2">
        <w:rPr>
          <w:rFonts w:eastAsiaTheme="minorEastAsia" w:cstheme="minorHAnsi"/>
          <w:lang w:eastAsia="en-AU"/>
        </w:rPr>
        <w:t xml:space="preserve"> </w:t>
      </w:r>
      <w:r w:rsidR="00DD0AEA" w:rsidRPr="00D801A2">
        <w:rPr>
          <w:rFonts w:eastAsiaTheme="minorEastAsia" w:cstheme="minorHAnsi"/>
          <w:lang w:eastAsia="en-AU"/>
        </w:rPr>
        <w:br/>
      </w:r>
      <w:r w:rsidRPr="00D801A2">
        <w:rPr>
          <w:rFonts w:eastAsiaTheme="minorEastAsia" w:cstheme="minorHAnsi"/>
          <w:lang w:eastAsia="en-AU"/>
        </w:rPr>
        <w:t>Economic Advisor</w:t>
      </w:r>
    </w:p>
    <w:p w14:paraId="3202D500" w14:textId="77777777" w:rsidR="00DD0AEA" w:rsidRPr="00D801A2" w:rsidRDefault="00DD0AEA" w:rsidP="00DD0AEA">
      <w:pPr>
        <w:spacing w:before="100" w:beforeAutospacing="1" w:after="100" w:afterAutospacing="1" w:line="240" w:lineRule="auto"/>
        <w:rPr>
          <w:rFonts w:eastAsiaTheme="minorEastAsia" w:cstheme="minorHAnsi"/>
          <w:lang w:eastAsia="en-AU"/>
        </w:rPr>
      </w:pPr>
      <w:r w:rsidRPr="00D801A2">
        <w:rPr>
          <w:rFonts w:eastAsiaTheme="minorEastAsia" w:cstheme="minorHAnsi"/>
          <w:lang w:eastAsia="en-AU"/>
        </w:rPr>
        <w:t>Suite 402, Level 4</w:t>
      </w:r>
      <w:r w:rsidRPr="00D801A2">
        <w:rPr>
          <w:rFonts w:eastAsiaTheme="minorEastAsia" w:cstheme="minorHAnsi"/>
          <w:lang w:eastAsia="en-AU"/>
        </w:rPr>
        <w:br/>
        <w:t>55 Mountain Street</w:t>
      </w:r>
      <w:r w:rsidRPr="00D801A2">
        <w:rPr>
          <w:rFonts w:eastAsiaTheme="minorEastAsia" w:cstheme="minorHAnsi"/>
          <w:lang w:eastAsia="en-AU"/>
        </w:rPr>
        <w:br/>
        <w:t>Ultimo NSW, 2007</w:t>
      </w:r>
      <w:r w:rsidRPr="00D801A2">
        <w:rPr>
          <w:rFonts w:eastAsiaTheme="minorEastAsia" w:cstheme="minorHAnsi"/>
          <w:lang w:eastAsia="en-AU"/>
        </w:rPr>
        <w:br/>
        <w:t xml:space="preserve">Email: </w:t>
      </w:r>
      <w:hyperlink r:id="rId8" w:history="1">
        <w:r w:rsidRPr="00D801A2">
          <w:rPr>
            <w:rFonts w:eastAsiaTheme="minorEastAsia" w:cstheme="minorHAnsi"/>
            <w:color w:val="0000FF" w:themeColor="hyperlink"/>
            <w:u w:val="single"/>
            <w:lang w:eastAsia="en-AU"/>
          </w:rPr>
          <w:t>info@accan.org.au</w:t>
        </w:r>
      </w:hyperlink>
      <w:r w:rsidRPr="00D801A2">
        <w:rPr>
          <w:rFonts w:eastAsiaTheme="minorEastAsia" w:cstheme="minorHAnsi"/>
          <w:color w:val="0000FF" w:themeColor="hyperlink"/>
          <w:u w:val="single"/>
          <w:lang w:eastAsia="en-AU"/>
        </w:rPr>
        <w:br/>
      </w:r>
      <w:r w:rsidRPr="00D801A2">
        <w:rPr>
          <w:rFonts w:eastAsiaTheme="minorEastAsia" w:cstheme="minorHAnsi"/>
          <w:lang w:eastAsia="en-AU"/>
        </w:rPr>
        <w:t>Phone: (02) 9288 4000</w:t>
      </w:r>
      <w:r w:rsidRPr="00D801A2">
        <w:rPr>
          <w:rFonts w:eastAsiaTheme="minorEastAsia" w:cstheme="minorHAnsi"/>
          <w:lang w:eastAsia="en-AU"/>
        </w:rPr>
        <w:br/>
        <w:t>Fax: (02) 9288 4019</w:t>
      </w:r>
      <w:r w:rsidRPr="00D801A2">
        <w:rPr>
          <w:rFonts w:eastAsiaTheme="minorEastAsia" w:cstheme="minorHAnsi"/>
          <w:lang w:eastAsia="en-AU"/>
        </w:rPr>
        <w:br/>
        <w:t>TTY: 9281 5322</w:t>
      </w:r>
    </w:p>
    <w:p w14:paraId="758D954E" w14:textId="77777777" w:rsidR="00AB4B46" w:rsidRPr="00DD0AEA" w:rsidRDefault="00AB4B46" w:rsidP="00DD0AEA">
      <w:pPr>
        <w:spacing w:before="100" w:beforeAutospacing="1" w:after="100" w:afterAutospacing="1" w:line="240" w:lineRule="auto"/>
        <w:jc w:val="both"/>
        <w:rPr>
          <w:rFonts w:ascii="Times New Roman" w:eastAsiaTheme="minorEastAsia" w:hAnsi="Times New Roman" w:cs="Times New Roman"/>
          <w:sz w:val="24"/>
          <w:szCs w:val="24"/>
          <w:lang w:eastAsia="en-AU"/>
        </w:rPr>
      </w:pPr>
    </w:p>
    <w:p w14:paraId="1B579500" w14:textId="77777777"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eastAsia="en-AU"/>
        </w:rPr>
      </w:pPr>
    </w:p>
    <w:bookmarkStart w:id="0" w:name="_GoBack" w:displacedByCustomXml="next"/>
    <w:bookmarkEnd w:id="0" w:displacedByCustomXml="next"/>
    <w:sdt>
      <w:sdtPr>
        <w:rPr>
          <w:rFonts w:ascii="Calibri" w:eastAsiaTheme="minorEastAsia" w:hAnsi="Calibri"/>
          <w:sz w:val="24"/>
          <w:lang w:eastAsia="en-AU"/>
        </w:rPr>
        <w:id w:val="-332999839"/>
        <w:docPartObj>
          <w:docPartGallery w:val="Table of Contents"/>
          <w:docPartUnique/>
        </w:docPartObj>
      </w:sdtPr>
      <w:sdtEndPr>
        <w:rPr>
          <w:b/>
          <w:noProof/>
        </w:rPr>
      </w:sdtEndPr>
      <w:sdtContent>
        <w:p w14:paraId="1F691FB7" w14:textId="77777777" w:rsidR="00DD0AEA" w:rsidRPr="00DD0AEA" w:rsidRDefault="00DD0AEA" w:rsidP="00DD0AEA">
          <w:pPr>
            <w:keepNext/>
            <w:keepLines/>
            <w:pageBreakBefore/>
            <w:spacing w:before="100" w:beforeAutospacing="1" w:after="240"/>
            <w:rPr>
              <w:rFonts w:ascii="Calibri" w:eastAsiaTheme="majorEastAsia" w:hAnsi="Calibri" w:cstheme="majorBidi"/>
              <w:bCs/>
              <w:sz w:val="48"/>
              <w:szCs w:val="28"/>
            </w:rPr>
          </w:pPr>
          <w:r w:rsidRPr="00DD0AEA">
            <w:rPr>
              <w:rFonts w:ascii="Calibri" w:eastAsiaTheme="majorEastAsia" w:hAnsi="Calibri" w:cstheme="majorBidi"/>
              <w:bCs/>
              <w:sz w:val="48"/>
              <w:szCs w:val="28"/>
            </w:rPr>
            <w:t>Contents</w:t>
          </w:r>
        </w:p>
        <w:p w14:paraId="3BB1E1E4" w14:textId="36ADC6FF" w:rsidR="00AB4B46" w:rsidRDefault="00DD0AEA">
          <w:pPr>
            <w:pStyle w:val="TOC1"/>
            <w:rPr>
              <w:rFonts w:asciiTheme="minorHAnsi" w:hAnsiTheme="minorHAnsi"/>
              <w:noProof/>
              <w:sz w:val="22"/>
            </w:rPr>
          </w:pPr>
          <w:r w:rsidRPr="00DD0AEA">
            <w:fldChar w:fldCharType="begin"/>
          </w:r>
          <w:r w:rsidRPr="00DD0AEA">
            <w:instrText xml:space="preserve"> TOC \o "1-3" \h \z \u </w:instrText>
          </w:r>
          <w:r w:rsidRPr="00DD0AEA">
            <w:fldChar w:fldCharType="separate"/>
          </w:r>
          <w:hyperlink w:anchor="_Toc40525354" w:history="1">
            <w:r w:rsidR="00AB4B46" w:rsidRPr="00EA79C6">
              <w:rPr>
                <w:rStyle w:val="Hyperlink"/>
                <w:noProof/>
              </w:rPr>
              <w:t>1.</w:t>
            </w:r>
            <w:r w:rsidR="00AB4B46">
              <w:rPr>
                <w:rFonts w:asciiTheme="minorHAnsi" w:hAnsiTheme="minorHAnsi"/>
                <w:noProof/>
                <w:sz w:val="22"/>
              </w:rPr>
              <w:tab/>
            </w:r>
            <w:r w:rsidR="00AB4B46" w:rsidRPr="00EA79C6">
              <w:rPr>
                <w:rStyle w:val="Hyperlink"/>
                <w:noProof/>
              </w:rPr>
              <w:t>Overview</w:t>
            </w:r>
            <w:r w:rsidR="00AB4B46">
              <w:rPr>
                <w:noProof/>
                <w:webHidden/>
              </w:rPr>
              <w:tab/>
            </w:r>
            <w:r w:rsidR="00AB4B46">
              <w:rPr>
                <w:noProof/>
                <w:webHidden/>
              </w:rPr>
              <w:fldChar w:fldCharType="begin"/>
            </w:r>
            <w:r w:rsidR="00AB4B46">
              <w:rPr>
                <w:noProof/>
                <w:webHidden/>
              </w:rPr>
              <w:instrText xml:space="preserve"> PAGEREF _Toc40525354 \h </w:instrText>
            </w:r>
            <w:r w:rsidR="00AB4B46">
              <w:rPr>
                <w:noProof/>
                <w:webHidden/>
              </w:rPr>
            </w:r>
            <w:r w:rsidR="00AB4B46">
              <w:rPr>
                <w:noProof/>
                <w:webHidden/>
              </w:rPr>
              <w:fldChar w:fldCharType="separate"/>
            </w:r>
            <w:r w:rsidR="00432E71">
              <w:rPr>
                <w:noProof/>
                <w:webHidden/>
              </w:rPr>
              <w:t>4</w:t>
            </w:r>
            <w:r w:rsidR="00AB4B46">
              <w:rPr>
                <w:noProof/>
                <w:webHidden/>
              </w:rPr>
              <w:fldChar w:fldCharType="end"/>
            </w:r>
          </w:hyperlink>
        </w:p>
        <w:p w14:paraId="3233B3CE" w14:textId="7A1E3ADE" w:rsidR="00AB4B46" w:rsidRDefault="004400E1">
          <w:pPr>
            <w:pStyle w:val="TOC1"/>
            <w:rPr>
              <w:rFonts w:asciiTheme="minorHAnsi" w:hAnsiTheme="minorHAnsi"/>
              <w:noProof/>
              <w:sz w:val="22"/>
            </w:rPr>
          </w:pPr>
          <w:hyperlink w:anchor="_Toc40525355" w:history="1">
            <w:r w:rsidR="00AB4B46" w:rsidRPr="00EA79C6">
              <w:rPr>
                <w:rStyle w:val="Hyperlink"/>
                <w:noProof/>
              </w:rPr>
              <w:t>2.</w:t>
            </w:r>
            <w:r w:rsidR="00AB4B46">
              <w:rPr>
                <w:rFonts w:asciiTheme="minorHAnsi" w:hAnsiTheme="minorHAnsi"/>
                <w:noProof/>
                <w:sz w:val="22"/>
              </w:rPr>
              <w:tab/>
            </w:r>
            <w:r w:rsidR="00AB4B46" w:rsidRPr="00EA79C6">
              <w:rPr>
                <w:rStyle w:val="Hyperlink"/>
                <w:noProof/>
              </w:rPr>
              <w:t>Interim authorisation</w:t>
            </w:r>
            <w:r w:rsidR="00AB4B46">
              <w:rPr>
                <w:noProof/>
                <w:webHidden/>
              </w:rPr>
              <w:tab/>
            </w:r>
            <w:r w:rsidR="00AB4B46">
              <w:rPr>
                <w:noProof/>
                <w:webHidden/>
              </w:rPr>
              <w:fldChar w:fldCharType="begin"/>
            </w:r>
            <w:r w:rsidR="00AB4B46">
              <w:rPr>
                <w:noProof/>
                <w:webHidden/>
              </w:rPr>
              <w:instrText xml:space="preserve"> PAGEREF _Toc40525355 \h </w:instrText>
            </w:r>
            <w:r w:rsidR="00AB4B46">
              <w:rPr>
                <w:noProof/>
                <w:webHidden/>
              </w:rPr>
            </w:r>
            <w:r w:rsidR="00AB4B46">
              <w:rPr>
                <w:noProof/>
                <w:webHidden/>
              </w:rPr>
              <w:fldChar w:fldCharType="separate"/>
            </w:r>
            <w:r w:rsidR="00432E71">
              <w:rPr>
                <w:noProof/>
                <w:webHidden/>
              </w:rPr>
              <w:t>5</w:t>
            </w:r>
            <w:r w:rsidR="00AB4B46">
              <w:rPr>
                <w:noProof/>
                <w:webHidden/>
              </w:rPr>
              <w:fldChar w:fldCharType="end"/>
            </w:r>
          </w:hyperlink>
        </w:p>
        <w:p w14:paraId="0485C6B9" w14:textId="4F6B747E" w:rsidR="00AB4B46" w:rsidRDefault="004400E1">
          <w:pPr>
            <w:pStyle w:val="TOC1"/>
            <w:rPr>
              <w:rFonts w:asciiTheme="minorHAnsi" w:hAnsiTheme="minorHAnsi"/>
              <w:noProof/>
              <w:sz w:val="22"/>
            </w:rPr>
          </w:pPr>
          <w:hyperlink w:anchor="_Toc40525356" w:history="1">
            <w:r w:rsidR="00AB4B46" w:rsidRPr="00EA79C6">
              <w:rPr>
                <w:rStyle w:val="Hyperlink"/>
                <w:noProof/>
              </w:rPr>
              <w:t>3.</w:t>
            </w:r>
            <w:r w:rsidR="00AB4B46">
              <w:rPr>
                <w:rFonts w:asciiTheme="minorHAnsi" w:hAnsiTheme="minorHAnsi"/>
                <w:noProof/>
                <w:sz w:val="22"/>
              </w:rPr>
              <w:tab/>
            </w:r>
            <w:r w:rsidR="00AB4B46" w:rsidRPr="00EA79C6">
              <w:rPr>
                <w:rStyle w:val="Hyperlink"/>
                <w:noProof/>
              </w:rPr>
              <w:t>Final determination</w:t>
            </w:r>
            <w:r w:rsidR="00AB4B46">
              <w:rPr>
                <w:noProof/>
                <w:webHidden/>
              </w:rPr>
              <w:tab/>
            </w:r>
            <w:r w:rsidR="00AB4B46">
              <w:rPr>
                <w:noProof/>
                <w:webHidden/>
              </w:rPr>
              <w:fldChar w:fldCharType="begin"/>
            </w:r>
            <w:r w:rsidR="00AB4B46">
              <w:rPr>
                <w:noProof/>
                <w:webHidden/>
              </w:rPr>
              <w:instrText xml:space="preserve"> PAGEREF _Toc40525356 \h </w:instrText>
            </w:r>
            <w:r w:rsidR="00AB4B46">
              <w:rPr>
                <w:noProof/>
                <w:webHidden/>
              </w:rPr>
            </w:r>
            <w:r w:rsidR="00AB4B46">
              <w:rPr>
                <w:noProof/>
                <w:webHidden/>
              </w:rPr>
              <w:fldChar w:fldCharType="separate"/>
            </w:r>
            <w:r w:rsidR="00432E71">
              <w:rPr>
                <w:noProof/>
                <w:webHidden/>
              </w:rPr>
              <w:t>8</w:t>
            </w:r>
            <w:r w:rsidR="00AB4B46">
              <w:rPr>
                <w:noProof/>
                <w:webHidden/>
              </w:rPr>
              <w:fldChar w:fldCharType="end"/>
            </w:r>
          </w:hyperlink>
        </w:p>
        <w:p w14:paraId="1B25555E" w14:textId="6A663990" w:rsidR="00AB4B46" w:rsidRDefault="004400E1">
          <w:pPr>
            <w:pStyle w:val="TOC2"/>
            <w:rPr>
              <w:rFonts w:asciiTheme="minorHAnsi" w:hAnsiTheme="minorHAnsi"/>
              <w:sz w:val="22"/>
            </w:rPr>
          </w:pPr>
          <w:hyperlink w:anchor="_Toc40525357" w:history="1">
            <w:r w:rsidR="00AB4B46" w:rsidRPr="00EA79C6">
              <w:rPr>
                <w:rStyle w:val="Hyperlink"/>
              </w:rPr>
              <w:t>3.1.</w:t>
            </w:r>
            <w:r w:rsidR="00AB4B46">
              <w:rPr>
                <w:rFonts w:asciiTheme="minorHAnsi" w:hAnsiTheme="minorHAnsi"/>
                <w:sz w:val="22"/>
              </w:rPr>
              <w:tab/>
            </w:r>
            <w:r w:rsidR="00AB4B46" w:rsidRPr="00EA79C6">
              <w:rPr>
                <w:rStyle w:val="Hyperlink"/>
              </w:rPr>
              <w:t>Public Benefits of the authorisation</w:t>
            </w:r>
            <w:r w:rsidR="00AB4B46">
              <w:rPr>
                <w:webHidden/>
              </w:rPr>
              <w:tab/>
            </w:r>
            <w:r w:rsidR="00AB4B46">
              <w:rPr>
                <w:webHidden/>
              </w:rPr>
              <w:fldChar w:fldCharType="begin"/>
            </w:r>
            <w:r w:rsidR="00AB4B46">
              <w:rPr>
                <w:webHidden/>
              </w:rPr>
              <w:instrText xml:space="preserve"> PAGEREF _Toc40525357 \h </w:instrText>
            </w:r>
            <w:r w:rsidR="00AB4B46">
              <w:rPr>
                <w:webHidden/>
              </w:rPr>
            </w:r>
            <w:r w:rsidR="00AB4B46">
              <w:rPr>
                <w:webHidden/>
              </w:rPr>
              <w:fldChar w:fldCharType="separate"/>
            </w:r>
            <w:r w:rsidR="00432E71">
              <w:rPr>
                <w:webHidden/>
              </w:rPr>
              <w:t>8</w:t>
            </w:r>
            <w:r w:rsidR="00AB4B46">
              <w:rPr>
                <w:webHidden/>
              </w:rPr>
              <w:fldChar w:fldCharType="end"/>
            </w:r>
          </w:hyperlink>
        </w:p>
        <w:p w14:paraId="0248A66F" w14:textId="1FDDF733" w:rsidR="00AB4B46" w:rsidRDefault="004400E1">
          <w:pPr>
            <w:pStyle w:val="TOC2"/>
            <w:rPr>
              <w:rFonts w:asciiTheme="minorHAnsi" w:hAnsiTheme="minorHAnsi"/>
              <w:sz w:val="22"/>
            </w:rPr>
          </w:pPr>
          <w:hyperlink w:anchor="_Toc40525358" w:history="1">
            <w:r w:rsidR="00AB4B46" w:rsidRPr="00EA79C6">
              <w:rPr>
                <w:rStyle w:val="Hyperlink"/>
              </w:rPr>
              <w:t>3.2.</w:t>
            </w:r>
            <w:r w:rsidR="00AB4B46">
              <w:rPr>
                <w:rFonts w:asciiTheme="minorHAnsi" w:hAnsiTheme="minorHAnsi"/>
                <w:sz w:val="22"/>
              </w:rPr>
              <w:tab/>
            </w:r>
            <w:r w:rsidR="00AB4B46" w:rsidRPr="00EA79C6">
              <w:rPr>
                <w:rStyle w:val="Hyperlink"/>
              </w:rPr>
              <w:t>Public detriments to the authorisation</w:t>
            </w:r>
            <w:r w:rsidR="00AB4B46">
              <w:rPr>
                <w:webHidden/>
              </w:rPr>
              <w:tab/>
            </w:r>
            <w:r w:rsidR="00AB4B46">
              <w:rPr>
                <w:webHidden/>
              </w:rPr>
              <w:fldChar w:fldCharType="begin"/>
            </w:r>
            <w:r w:rsidR="00AB4B46">
              <w:rPr>
                <w:webHidden/>
              </w:rPr>
              <w:instrText xml:space="preserve"> PAGEREF _Toc40525358 \h </w:instrText>
            </w:r>
            <w:r w:rsidR="00AB4B46">
              <w:rPr>
                <w:webHidden/>
              </w:rPr>
            </w:r>
            <w:r w:rsidR="00AB4B46">
              <w:rPr>
                <w:webHidden/>
              </w:rPr>
              <w:fldChar w:fldCharType="separate"/>
            </w:r>
            <w:r w:rsidR="00432E71">
              <w:rPr>
                <w:webHidden/>
              </w:rPr>
              <w:t>8</w:t>
            </w:r>
            <w:r w:rsidR="00AB4B46">
              <w:rPr>
                <w:webHidden/>
              </w:rPr>
              <w:fldChar w:fldCharType="end"/>
            </w:r>
          </w:hyperlink>
        </w:p>
        <w:p w14:paraId="3825950A" w14:textId="266D44A8" w:rsidR="00AB4B46" w:rsidRDefault="004400E1">
          <w:pPr>
            <w:pStyle w:val="TOC2"/>
            <w:rPr>
              <w:rFonts w:asciiTheme="minorHAnsi" w:hAnsiTheme="minorHAnsi"/>
              <w:sz w:val="22"/>
            </w:rPr>
          </w:pPr>
          <w:hyperlink w:anchor="_Toc40525359" w:history="1">
            <w:r w:rsidR="00AB4B46" w:rsidRPr="00EA79C6">
              <w:rPr>
                <w:rStyle w:val="Hyperlink"/>
              </w:rPr>
              <w:t>3.3.</w:t>
            </w:r>
            <w:r w:rsidR="00AB4B46">
              <w:rPr>
                <w:rFonts w:asciiTheme="minorHAnsi" w:hAnsiTheme="minorHAnsi"/>
                <w:sz w:val="22"/>
              </w:rPr>
              <w:tab/>
            </w:r>
            <w:r w:rsidR="00AB4B46" w:rsidRPr="00EA79C6">
              <w:rPr>
                <w:rStyle w:val="Hyperlink"/>
              </w:rPr>
              <w:t>Should the ACCC authorise conduct for another 6 months?</w:t>
            </w:r>
            <w:r w:rsidR="00AB4B46">
              <w:rPr>
                <w:webHidden/>
              </w:rPr>
              <w:tab/>
            </w:r>
            <w:r w:rsidR="00AB4B46">
              <w:rPr>
                <w:webHidden/>
              </w:rPr>
              <w:fldChar w:fldCharType="begin"/>
            </w:r>
            <w:r w:rsidR="00AB4B46">
              <w:rPr>
                <w:webHidden/>
              </w:rPr>
              <w:instrText xml:space="preserve"> PAGEREF _Toc40525359 \h </w:instrText>
            </w:r>
            <w:r w:rsidR="00AB4B46">
              <w:rPr>
                <w:webHidden/>
              </w:rPr>
            </w:r>
            <w:r w:rsidR="00AB4B46">
              <w:rPr>
                <w:webHidden/>
              </w:rPr>
              <w:fldChar w:fldCharType="separate"/>
            </w:r>
            <w:r w:rsidR="00432E71">
              <w:rPr>
                <w:webHidden/>
              </w:rPr>
              <w:t>8</w:t>
            </w:r>
            <w:r w:rsidR="00AB4B46">
              <w:rPr>
                <w:webHidden/>
              </w:rPr>
              <w:fldChar w:fldCharType="end"/>
            </w:r>
          </w:hyperlink>
        </w:p>
        <w:p w14:paraId="14D37AA1" w14:textId="2A8E4BFC" w:rsidR="00AB4B46" w:rsidRDefault="004400E1">
          <w:pPr>
            <w:pStyle w:val="TOC2"/>
            <w:rPr>
              <w:rFonts w:asciiTheme="minorHAnsi" w:hAnsiTheme="minorHAnsi"/>
              <w:sz w:val="22"/>
            </w:rPr>
          </w:pPr>
          <w:hyperlink w:anchor="_Toc40525360" w:history="1">
            <w:r w:rsidR="00AB4B46" w:rsidRPr="00EA79C6">
              <w:rPr>
                <w:rStyle w:val="Hyperlink"/>
              </w:rPr>
              <w:t>3.4.</w:t>
            </w:r>
            <w:r w:rsidR="00AB4B46">
              <w:rPr>
                <w:rFonts w:asciiTheme="minorHAnsi" w:hAnsiTheme="minorHAnsi"/>
                <w:sz w:val="22"/>
              </w:rPr>
              <w:tab/>
            </w:r>
            <w:r w:rsidR="00AB4B46" w:rsidRPr="00EA79C6">
              <w:rPr>
                <w:rStyle w:val="Hyperlink"/>
              </w:rPr>
              <w:t>Conditions which should be placed on authorisation</w:t>
            </w:r>
            <w:r w:rsidR="00AB4B46">
              <w:rPr>
                <w:webHidden/>
              </w:rPr>
              <w:tab/>
            </w:r>
            <w:r w:rsidR="00AB4B46">
              <w:rPr>
                <w:webHidden/>
              </w:rPr>
              <w:fldChar w:fldCharType="begin"/>
            </w:r>
            <w:r w:rsidR="00AB4B46">
              <w:rPr>
                <w:webHidden/>
              </w:rPr>
              <w:instrText xml:space="preserve"> PAGEREF _Toc40525360 \h </w:instrText>
            </w:r>
            <w:r w:rsidR="00AB4B46">
              <w:rPr>
                <w:webHidden/>
              </w:rPr>
            </w:r>
            <w:r w:rsidR="00AB4B46">
              <w:rPr>
                <w:webHidden/>
              </w:rPr>
              <w:fldChar w:fldCharType="separate"/>
            </w:r>
            <w:r w:rsidR="00432E71">
              <w:rPr>
                <w:webHidden/>
              </w:rPr>
              <w:t>9</w:t>
            </w:r>
            <w:r w:rsidR="00AB4B46">
              <w:rPr>
                <w:webHidden/>
              </w:rPr>
              <w:fldChar w:fldCharType="end"/>
            </w:r>
          </w:hyperlink>
        </w:p>
        <w:p w14:paraId="4A9D5377" w14:textId="57FE7333" w:rsidR="00DD0AEA" w:rsidRPr="00DD0AEA" w:rsidRDefault="00DD0AEA" w:rsidP="00DD0AEA">
          <w:pPr>
            <w:spacing w:before="100" w:beforeAutospacing="1" w:after="100" w:afterAutospacing="1" w:line="240" w:lineRule="auto"/>
            <w:jc w:val="both"/>
            <w:rPr>
              <w:rFonts w:ascii="Calibri" w:eastAsiaTheme="minorEastAsia" w:hAnsi="Calibri"/>
              <w:sz w:val="24"/>
              <w:lang w:eastAsia="en-AU"/>
            </w:rPr>
          </w:pPr>
          <w:r w:rsidRPr="00DD0AEA">
            <w:rPr>
              <w:rFonts w:ascii="Calibri" w:eastAsiaTheme="minorEastAsia" w:hAnsi="Calibri"/>
              <w:b/>
              <w:bCs/>
              <w:noProof/>
              <w:sz w:val="24"/>
              <w:lang w:eastAsia="en-AU"/>
            </w:rPr>
            <w:fldChar w:fldCharType="end"/>
          </w:r>
        </w:p>
      </w:sdtContent>
    </w:sdt>
    <w:p w14:paraId="1097CE81" w14:textId="77777777" w:rsidR="00DD0AEA" w:rsidRPr="00DD0AEA" w:rsidRDefault="00DD0AEA" w:rsidP="00DD0AEA">
      <w:pPr>
        <w:spacing w:before="100" w:beforeAutospacing="1" w:after="100" w:afterAutospacing="1" w:line="240" w:lineRule="auto"/>
        <w:jc w:val="both"/>
        <w:rPr>
          <w:rFonts w:eastAsiaTheme="minorEastAsia" w:cstheme="minorHAnsi"/>
          <w:sz w:val="24"/>
          <w:szCs w:val="24"/>
          <w:lang w:eastAsia="en-AU"/>
        </w:rPr>
      </w:pPr>
    </w:p>
    <w:p w14:paraId="6E56F4BD" w14:textId="18F7F5D1" w:rsidR="00096507" w:rsidRDefault="00096507" w:rsidP="00ED1E5D">
      <w:pPr>
        <w:pStyle w:val="BodyText1"/>
        <w:spacing w:after="120"/>
        <w:jc w:val="both"/>
        <w:rPr>
          <w:rStyle w:val="IntenseEmphasis"/>
        </w:rPr>
      </w:pPr>
    </w:p>
    <w:p w14:paraId="6F6CF3B1" w14:textId="4F532775" w:rsidR="00FC1461" w:rsidRDefault="009A7EE2" w:rsidP="00AE1D14">
      <w:pPr>
        <w:pStyle w:val="Heading1"/>
      </w:pPr>
      <w:bookmarkStart w:id="1" w:name="_Toc40525354"/>
      <w:r>
        <w:lastRenderedPageBreak/>
        <w:t>Overview</w:t>
      </w:r>
      <w:bookmarkEnd w:id="1"/>
    </w:p>
    <w:p w14:paraId="039A3FA0" w14:textId="0E8F475A" w:rsidR="00FC1461" w:rsidRDefault="00FC1461" w:rsidP="00432E71">
      <w:r>
        <w:t xml:space="preserve">We support the efforts of NBN and the Special Working Group (SWG) to provide economic stress alleviation measures and capacity optimisation strategies during the current health crisis. </w:t>
      </w:r>
    </w:p>
    <w:p w14:paraId="2235C383" w14:textId="37FD2CCF" w:rsidR="00FC1461" w:rsidRDefault="00FC1461" w:rsidP="00432E71">
      <w:r>
        <w:t>Service continuity has never been more essential than during the COVID-19 pandemic. In March over half (51%) of households had at least one person working or studying from home due to the COVID-19 pandemic. Among Australian households where someone had to work or study from home because of COVID-19, almost all (97%) relied on an internet connection for their work or study.</w:t>
      </w:r>
      <w:r w:rsidR="00312DD7">
        <w:rPr>
          <w:rStyle w:val="FootnoteReference"/>
        </w:rPr>
        <w:footnoteReference w:id="1"/>
      </w:r>
      <w:r>
        <w:t xml:space="preserve"> These figures highlight the importance of having access to continuing reliable internet during this time.</w:t>
      </w:r>
    </w:p>
    <w:p w14:paraId="7635342B" w14:textId="77777777" w:rsidR="00D062CF" w:rsidRDefault="00FC1461" w:rsidP="00432E71">
      <w:r>
        <w:t xml:space="preserve">It is not, however, clear to us that an ACCC authorisation is necessary in order to achieve the stated aims of NBN and the </w:t>
      </w:r>
      <w:r w:rsidR="00D062CF">
        <w:t>SWG</w:t>
      </w:r>
      <w:r>
        <w:t xml:space="preserve">.  After all, NBN took unilateral steps in March to </w:t>
      </w:r>
      <w:proofErr w:type="gramStart"/>
      <w:r>
        <w:t>open up</w:t>
      </w:r>
      <w:proofErr w:type="gramEnd"/>
      <w:r>
        <w:t xml:space="preserve"> network capacity free of charge to retail service providers and to boost data allowances for Sky Muster satellite customers.  This was before the ACCC’s interim authorisation.  </w:t>
      </w:r>
    </w:p>
    <w:p w14:paraId="364C1B7D" w14:textId="20D5A2D7" w:rsidR="00D062CF" w:rsidRDefault="00FC1461" w:rsidP="00432E71">
      <w:r>
        <w:t xml:space="preserve">Since the ACCC’s interim authorisation, </w:t>
      </w:r>
      <w:r w:rsidR="009559C0">
        <w:t xml:space="preserve">it would appear from NBN’s public reporting to the ACCC that NBN and the retail service providers who comprise the </w:t>
      </w:r>
      <w:r w:rsidR="00D062CF">
        <w:t>SWG</w:t>
      </w:r>
      <w:r w:rsidR="009559C0">
        <w:t xml:space="preserve"> have discussed matters</w:t>
      </w:r>
      <w:r w:rsidR="00D062CF">
        <w:t>,</w:t>
      </w:r>
      <w:r w:rsidR="009559C0">
        <w:t xml:space="preserve"> but not reached material decisions. </w:t>
      </w:r>
      <w:r w:rsidR="00D062CF">
        <w:t xml:space="preserve">Moreover, our information from consumers would suggest that the authorisation has not </w:t>
      </w:r>
      <w:r w:rsidR="00707D44">
        <w:t xml:space="preserve">prevented disconnections nor </w:t>
      </w:r>
      <w:r w:rsidR="00D062CF">
        <w:t xml:space="preserve">resulted in higher industry standards in relation to economic hardship assistance.  </w:t>
      </w:r>
      <w:r w:rsidR="00A5721E">
        <w:t>This is very disappointing.</w:t>
      </w:r>
    </w:p>
    <w:p w14:paraId="13B53A50" w14:textId="721F4FFA" w:rsidR="00FC1461" w:rsidRDefault="009559C0" w:rsidP="00432E71">
      <w:r>
        <w:t>In these circumstances, we question why an authorisation is required.</w:t>
      </w:r>
      <w:r w:rsidR="005845C0">
        <w:t xml:space="preserve"> This is particularly the case given that, in our view, an authorisation creates a risk of anti-competitive behaviour that </w:t>
      </w:r>
      <w:r w:rsidR="00D062CF">
        <w:t>could</w:t>
      </w:r>
      <w:r w:rsidR="005845C0">
        <w:t xml:space="preserve"> result in public detriment. </w:t>
      </w:r>
    </w:p>
    <w:p w14:paraId="5CEAFE83" w14:textId="01AFEF17" w:rsidR="009559C0" w:rsidRPr="00FC1461" w:rsidRDefault="005845C0" w:rsidP="00432E71">
      <w:r>
        <w:t>If, however, the</w:t>
      </w:r>
      <w:r w:rsidR="009559C0">
        <w:t xml:space="preserve"> ACCC </w:t>
      </w:r>
      <w:r>
        <w:t xml:space="preserve">is persuaded that an authorisation is necessary and appropriate, our submission is that the authorisation should be </w:t>
      </w:r>
      <w:r w:rsidR="00D062CF">
        <w:t xml:space="preserve">constrained, including </w:t>
      </w:r>
      <w:r>
        <w:t xml:space="preserve">to </w:t>
      </w:r>
      <w:r w:rsidR="007C2CCF">
        <w:t xml:space="preserve">entrench more specifically a </w:t>
      </w:r>
      <w:r>
        <w:t xml:space="preserve">public benefit </w:t>
      </w:r>
      <w:r w:rsidR="007C2CCF">
        <w:t xml:space="preserve">requirement </w:t>
      </w:r>
      <w:r>
        <w:t>(as do</w:t>
      </w:r>
      <w:r w:rsidR="007C2CCF">
        <w:t xml:space="preserve"> some other </w:t>
      </w:r>
      <w:r w:rsidR="00D062CF">
        <w:t xml:space="preserve">ACCC </w:t>
      </w:r>
      <w:r w:rsidR="007C2CCF">
        <w:t xml:space="preserve">COVID-19 authorisations).   </w:t>
      </w:r>
    </w:p>
    <w:p w14:paraId="22A91B03" w14:textId="29B1104D" w:rsidR="00ED1E5D" w:rsidRDefault="002E3FC2" w:rsidP="00AE1D14">
      <w:pPr>
        <w:pStyle w:val="Heading1"/>
      </w:pPr>
      <w:bookmarkStart w:id="2" w:name="_Toc40525355"/>
      <w:r>
        <w:lastRenderedPageBreak/>
        <w:t>I</w:t>
      </w:r>
      <w:r w:rsidR="00010BA2">
        <w:t>nterim authorisation</w:t>
      </w:r>
      <w:bookmarkEnd w:id="2"/>
    </w:p>
    <w:p w14:paraId="31752EAA" w14:textId="23CD4076" w:rsidR="00010BA2" w:rsidRPr="00010BA2" w:rsidRDefault="00010BA2" w:rsidP="00010BA2">
      <w:pPr>
        <w:pStyle w:val="ListParagraph"/>
        <w:numPr>
          <w:ilvl w:val="0"/>
          <w:numId w:val="17"/>
        </w:numPr>
        <w:rPr>
          <w:rStyle w:val="IntenseEmphasis"/>
        </w:rPr>
      </w:pPr>
      <w:r w:rsidRPr="00010BA2">
        <w:rPr>
          <w:rStyle w:val="IntenseEmphasis"/>
        </w:rPr>
        <w:t>What impact has the Special Working Group’s coordinated conduct had on you? How have the Applicant’s dealings with you changed as a result of the interim authorisation?</w:t>
      </w:r>
    </w:p>
    <w:p w14:paraId="22FFDA6F" w14:textId="77777777" w:rsidR="00010BA2" w:rsidRDefault="00010BA2" w:rsidP="00010BA2">
      <w:r>
        <w:t>Not applicable.</w:t>
      </w:r>
    </w:p>
    <w:p w14:paraId="4865632F" w14:textId="7456647B" w:rsidR="00010BA2" w:rsidRDefault="00010BA2" w:rsidP="00010BA2">
      <w:pPr>
        <w:pStyle w:val="ListParagraph"/>
        <w:numPr>
          <w:ilvl w:val="0"/>
          <w:numId w:val="17"/>
        </w:numPr>
        <w:rPr>
          <w:rStyle w:val="IntenseEmphasis"/>
        </w:rPr>
      </w:pPr>
      <w:r w:rsidRPr="00010BA2">
        <w:rPr>
          <w:rStyle w:val="IntenseEmphasis"/>
        </w:rPr>
        <w:t>Is the interim authorisation achieving its purpose of enabling the Special Working Group to ensure service continuity and optimised traffic management of telecommunications services?</w:t>
      </w:r>
    </w:p>
    <w:p w14:paraId="6856D67E" w14:textId="06ACCB02" w:rsidR="00085C9B" w:rsidRDefault="00CF526D" w:rsidP="00432E71">
      <w:pPr>
        <w:rPr>
          <w:rStyle w:val="IntenseEmphasis"/>
          <w:i w:val="0"/>
          <w:iCs w:val="0"/>
          <w:color w:val="auto"/>
        </w:rPr>
      </w:pPr>
      <w:r>
        <w:rPr>
          <w:rStyle w:val="IntenseEmphasis"/>
          <w:i w:val="0"/>
          <w:iCs w:val="0"/>
          <w:color w:val="auto"/>
        </w:rPr>
        <w:t>T</w:t>
      </w:r>
      <w:r w:rsidR="00581DE8">
        <w:rPr>
          <w:rStyle w:val="IntenseEmphasis"/>
          <w:i w:val="0"/>
          <w:iCs w:val="0"/>
          <w:color w:val="auto"/>
        </w:rPr>
        <w:t xml:space="preserve">he reports from the SWG or its sub-committees </w:t>
      </w:r>
      <w:r>
        <w:rPr>
          <w:rStyle w:val="IntenseEmphasis"/>
          <w:i w:val="0"/>
          <w:iCs w:val="0"/>
          <w:color w:val="auto"/>
        </w:rPr>
        <w:t xml:space="preserve">that are published on the ACCC’s Register suggest that there have not been </w:t>
      </w:r>
      <w:r w:rsidR="00581DE8">
        <w:rPr>
          <w:rStyle w:val="IntenseEmphasis"/>
          <w:i w:val="0"/>
          <w:iCs w:val="0"/>
          <w:color w:val="auto"/>
        </w:rPr>
        <w:t xml:space="preserve">material decisions </w:t>
      </w:r>
      <w:r>
        <w:rPr>
          <w:rStyle w:val="IntenseEmphasis"/>
          <w:i w:val="0"/>
          <w:iCs w:val="0"/>
          <w:color w:val="auto"/>
        </w:rPr>
        <w:t>made in reliance on the interim authorisation</w:t>
      </w:r>
      <w:r w:rsidR="00581DE8">
        <w:rPr>
          <w:rStyle w:val="IntenseEmphasis"/>
          <w:i w:val="0"/>
          <w:iCs w:val="0"/>
          <w:color w:val="auto"/>
        </w:rPr>
        <w:t xml:space="preserve">. </w:t>
      </w:r>
      <w:r w:rsidR="00A01357">
        <w:rPr>
          <w:rStyle w:val="IntenseEmphasis"/>
          <w:i w:val="0"/>
          <w:iCs w:val="0"/>
          <w:color w:val="auto"/>
        </w:rPr>
        <w:t>Therefore, it could be concluded that the interim authorisation has</w:t>
      </w:r>
      <w:r w:rsidR="00D54881">
        <w:rPr>
          <w:rStyle w:val="IntenseEmphasis"/>
          <w:i w:val="0"/>
          <w:iCs w:val="0"/>
          <w:color w:val="auto"/>
        </w:rPr>
        <w:t xml:space="preserve"> no</w:t>
      </w:r>
      <w:r w:rsidR="00A01357">
        <w:rPr>
          <w:rStyle w:val="IntenseEmphasis"/>
          <w:i w:val="0"/>
          <w:iCs w:val="0"/>
          <w:color w:val="auto"/>
        </w:rPr>
        <w:t xml:space="preserve">t had an impact on the service continuity and optimisation of traffic management. </w:t>
      </w:r>
    </w:p>
    <w:p w14:paraId="2914A0BF" w14:textId="23F29A3B" w:rsidR="00F57654" w:rsidRDefault="00CF526D" w:rsidP="00432E71">
      <w:pPr>
        <w:rPr>
          <w:rStyle w:val="IntenseEmphasis"/>
          <w:i w:val="0"/>
          <w:iCs w:val="0"/>
          <w:color w:val="auto"/>
        </w:rPr>
      </w:pPr>
      <w:r>
        <w:rPr>
          <w:rStyle w:val="IntenseEmphasis"/>
          <w:i w:val="0"/>
          <w:iCs w:val="0"/>
          <w:color w:val="auto"/>
        </w:rPr>
        <w:t xml:space="preserve">Paragraph 6f) of the interim authorisation </w:t>
      </w:r>
      <w:r w:rsidR="007E6ADF">
        <w:rPr>
          <w:rStyle w:val="IntenseEmphasis"/>
          <w:i w:val="0"/>
          <w:iCs w:val="0"/>
          <w:color w:val="auto"/>
        </w:rPr>
        <w:t>permits</w:t>
      </w:r>
      <w:r>
        <w:rPr>
          <w:rStyle w:val="IntenseEmphasis"/>
          <w:i w:val="0"/>
          <w:iCs w:val="0"/>
          <w:color w:val="auto"/>
        </w:rPr>
        <w:t xml:space="preserve"> the interim authorisation to be used to enable an industry response to assist end users suffering economic hardship as a result of the COVID crisis.  We question whether this is occurring.  </w:t>
      </w:r>
      <w:r w:rsidR="00F57654">
        <w:rPr>
          <w:rStyle w:val="IntenseEmphasis"/>
          <w:i w:val="0"/>
          <w:iCs w:val="0"/>
          <w:color w:val="auto"/>
        </w:rPr>
        <w:t xml:space="preserve">ACCAN has received reports of consumers being disconnected from their internet </w:t>
      </w:r>
      <w:r w:rsidR="009B19A0">
        <w:rPr>
          <w:rStyle w:val="IntenseEmphasis"/>
          <w:i w:val="0"/>
          <w:iCs w:val="0"/>
          <w:color w:val="auto"/>
        </w:rPr>
        <w:t xml:space="preserve">throughout April due to financial </w:t>
      </w:r>
      <w:r w:rsidR="007E6ADF">
        <w:rPr>
          <w:rStyle w:val="IntenseEmphasis"/>
          <w:i w:val="0"/>
          <w:iCs w:val="0"/>
          <w:color w:val="auto"/>
        </w:rPr>
        <w:t>difficulties</w:t>
      </w:r>
      <w:r w:rsidR="009B19A0">
        <w:rPr>
          <w:rStyle w:val="IntenseEmphasis"/>
          <w:i w:val="0"/>
          <w:iCs w:val="0"/>
          <w:color w:val="auto"/>
        </w:rPr>
        <w:t>.</w:t>
      </w:r>
      <w:r w:rsidR="00787048">
        <w:rPr>
          <w:rStyle w:val="IntenseEmphasis"/>
          <w:i w:val="0"/>
          <w:iCs w:val="0"/>
          <w:color w:val="auto"/>
        </w:rPr>
        <w:t xml:space="preserve"> This would suggest that </w:t>
      </w:r>
      <w:r>
        <w:rPr>
          <w:rStyle w:val="IntenseEmphasis"/>
          <w:i w:val="0"/>
          <w:iCs w:val="0"/>
          <w:color w:val="auto"/>
        </w:rPr>
        <w:t>the interim authorisation is not being effective in this respect</w:t>
      </w:r>
      <w:r w:rsidR="00787048">
        <w:rPr>
          <w:rStyle w:val="IntenseEmphasis"/>
          <w:i w:val="0"/>
          <w:iCs w:val="0"/>
          <w:color w:val="auto"/>
        </w:rPr>
        <w:t xml:space="preserve">. </w:t>
      </w:r>
    </w:p>
    <w:p w14:paraId="62D78E69" w14:textId="1358BAF1" w:rsidR="00010BA2" w:rsidRDefault="00010BA2" w:rsidP="00F82043">
      <w:pPr>
        <w:pStyle w:val="ListParagraph"/>
        <w:numPr>
          <w:ilvl w:val="0"/>
          <w:numId w:val="17"/>
        </w:numPr>
        <w:rPr>
          <w:rStyle w:val="IntenseEmphasis"/>
        </w:rPr>
      </w:pPr>
      <w:r w:rsidRPr="00010BA2">
        <w:rPr>
          <w:rStyle w:val="IntenseEmphasis"/>
        </w:rPr>
        <w:t>Have you identified any negative effects from the coordinated conduct permitted by the interim authori</w:t>
      </w:r>
      <w:r w:rsidR="00432E71">
        <w:rPr>
          <w:rStyle w:val="IntenseEmphasis"/>
        </w:rPr>
        <w:t>s</w:t>
      </w:r>
      <w:r w:rsidRPr="00010BA2">
        <w:rPr>
          <w:rStyle w:val="IntenseEmphasis"/>
        </w:rPr>
        <w:t>ation?</w:t>
      </w:r>
    </w:p>
    <w:p w14:paraId="2699517A" w14:textId="31F15F0B" w:rsidR="00010BA2" w:rsidRPr="00010BA2" w:rsidRDefault="00CF526D" w:rsidP="00432E71">
      <w:pPr>
        <w:rPr>
          <w:rStyle w:val="IntenseEmphasis"/>
          <w:i w:val="0"/>
          <w:iCs w:val="0"/>
          <w:color w:val="auto"/>
        </w:rPr>
      </w:pPr>
      <w:r>
        <w:rPr>
          <w:rStyle w:val="IntenseEmphasis"/>
          <w:i w:val="0"/>
          <w:iCs w:val="0"/>
          <w:color w:val="auto"/>
        </w:rPr>
        <w:t xml:space="preserve">There is not good transparency as to the impacts of the interim authorisation.  This is because the SWG’s public </w:t>
      </w:r>
      <w:r w:rsidR="005839CB">
        <w:rPr>
          <w:rStyle w:val="IntenseEmphasis"/>
          <w:i w:val="0"/>
          <w:iCs w:val="0"/>
          <w:color w:val="auto"/>
        </w:rPr>
        <w:t>reporting is</w:t>
      </w:r>
      <w:r>
        <w:rPr>
          <w:rStyle w:val="IntenseEmphasis"/>
          <w:i w:val="0"/>
          <w:iCs w:val="0"/>
          <w:color w:val="auto"/>
        </w:rPr>
        <w:t xml:space="preserve"> minimalist.  So far, reporting has disclosed one matter that is said to arguably require disclosure as a material decision.</w:t>
      </w:r>
      <w:r w:rsidR="00D801A2">
        <w:rPr>
          <w:rStyle w:val="FootnoteReference"/>
        </w:rPr>
        <w:footnoteReference w:id="2"/>
      </w:r>
      <w:r>
        <w:rPr>
          <w:rStyle w:val="IntenseEmphasis"/>
          <w:i w:val="0"/>
          <w:iCs w:val="0"/>
          <w:color w:val="auto"/>
        </w:rPr>
        <w:t xml:space="preserve"> Otherwise the reporting provides only a list of matters </w:t>
      </w:r>
      <w:r w:rsidR="007E6ADF">
        <w:rPr>
          <w:rStyle w:val="IntenseEmphasis"/>
          <w:i w:val="0"/>
          <w:iCs w:val="0"/>
          <w:color w:val="auto"/>
        </w:rPr>
        <w:t xml:space="preserve">that are </w:t>
      </w:r>
      <w:r>
        <w:rPr>
          <w:rStyle w:val="IntenseEmphasis"/>
          <w:i w:val="0"/>
          <w:iCs w:val="0"/>
          <w:color w:val="auto"/>
        </w:rPr>
        <w:t>the subject of discussion, with no indication of the nature of that discussion.  In these circumstances, we are</w:t>
      </w:r>
      <w:r w:rsidR="002F55C6">
        <w:rPr>
          <w:rStyle w:val="IntenseEmphasis"/>
          <w:i w:val="0"/>
          <w:iCs w:val="0"/>
          <w:color w:val="auto"/>
        </w:rPr>
        <w:t xml:space="preserve"> unable to </w:t>
      </w:r>
      <w:r>
        <w:rPr>
          <w:rStyle w:val="IntenseEmphasis"/>
          <w:i w:val="0"/>
          <w:iCs w:val="0"/>
          <w:color w:val="auto"/>
        </w:rPr>
        <w:t>comment in an informed way about the</w:t>
      </w:r>
      <w:r w:rsidR="002F55C6">
        <w:rPr>
          <w:rStyle w:val="IntenseEmphasis"/>
          <w:i w:val="0"/>
          <w:iCs w:val="0"/>
          <w:color w:val="auto"/>
        </w:rPr>
        <w:t xml:space="preserve"> negative effects from the coordinated conduct permitted by the interim authori</w:t>
      </w:r>
      <w:r w:rsidR="00432E71">
        <w:rPr>
          <w:rStyle w:val="IntenseEmphasis"/>
          <w:i w:val="0"/>
          <w:iCs w:val="0"/>
          <w:color w:val="auto"/>
        </w:rPr>
        <w:t>s</w:t>
      </w:r>
      <w:r w:rsidR="002F55C6">
        <w:rPr>
          <w:rStyle w:val="IntenseEmphasis"/>
          <w:i w:val="0"/>
          <w:iCs w:val="0"/>
          <w:color w:val="auto"/>
        </w:rPr>
        <w:t>ation.</w:t>
      </w:r>
      <w:r w:rsidR="00A01357">
        <w:rPr>
          <w:rStyle w:val="IntenseEmphasis"/>
          <w:i w:val="0"/>
          <w:iCs w:val="0"/>
          <w:color w:val="auto"/>
        </w:rPr>
        <w:t xml:space="preserve"> </w:t>
      </w:r>
    </w:p>
    <w:p w14:paraId="383E4115" w14:textId="262A842E" w:rsidR="00010BA2" w:rsidRDefault="00010BA2" w:rsidP="00010BA2">
      <w:pPr>
        <w:pStyle w:val="ListParagraph"/>
        <w:numPr>
          <w:ilvl w:val="0"/>
          <w:numId w:val="17"/>
        </w:numPr>
        <w:rPr>
          <w:rStyle w:val="IntenseEmphasis"/>
        </w:rPr>
      </w:pPr>
      <w:r w:rsidRPr="00010BA2">
        <w:rPr>
          <w:rStyle w:val="IntenseEmphasis"/>
        </w:rPr>
        <w:t xml:space="preserve">Is the coordinated conduct permitted by the </w:t>
      </w:r>
      <w:r w:rsidR="002F55C6" w:rsidRPr="00010BA2">
        <w:rPr>
          <w:rStyle w:val="IntenseEmphasis"/>
        </w:rPr>
        <w:t>interim authori</w:t>
      </w:r>
      <w:r w:rsidR="007E6ADF">
        <w:rPr>
          <w:rStyle w:val="IntenseEmphasis"/>
        </w:rPr>
        <w:t>s</w:t>
      </w:r>
      <w:r w:rsidR="002F55C6" w:rsidRPr="00010BA2">
        <w:rPr>
          <w:rStyle w:val="IntenseEmphasis"/>
        </w:rPr>
        <w:t>ation</w:t>
      </w:r>
      <w:r w:rsidRPr="00010BA2">
        <w:rPr>
          <w:rStyle w:val="IntenseEmphasis"/>
        </w:rPr>
        <w:t xml:space="preserve"> likely to entrench anticompetitive behaviours that continue past the end of the COVID-19 pandemic?</w:t>
      </w:r>
    </w:p>
    <w:p w14:paraId="5ECBD512" w14:textId="2D138B26" w:rsidR="002F55C6" w:rsidRDefault="00CF526D" w:rsidP="00432E71">
      <w:pPr>
        <w:rPr>
          <w:lang w:val="en-US"/>
        </w:rPr>
      </w:pPr>
      <w:r>
        <w:rPr>
          <w:lang w:val="en-US"/>
        </w:rPr>
        <w:t>We are</w:t>
      </w:r>
      <w:r w:rsidR="00F82043">
        <w:rPr>
          <w:lang w:val="en-US"/>
        </w:rPr>
        <w:t xml:space="preserve"> concerned</w:t>
      </w:r>
      <w:r w:rsidR="002F55C6">
        <w:rPr>
          <w:lang w:val="en-US"/>
        </w:rPr>
        <w:t xml:space="preserve"> that once members of the SWG and its sub-committees coordinate and behave anticompetitively</w:t>
      </w:r>
      <w:r w:rsidR="00D54881">
        <w:rPr>
          <w:lang w:val="en-US"/>
        </w:rPr>
        <w:t xml:space="preserve"> with the inte</w:t>
      </w:r>
      <w:r w:rsidR="007E6ADF">
        <w:rPr>
          <w:lang w:val="en-US"/>
        </w:rPr>
        <w:t>ntion</w:t>
      </w:r>
      <w:r w:rsidR="00D54881">
        <w:rPr>
          <w:lang w:val="en-US"/>
        </w:rPr>
        <w:t xml:space="preserve"> of providing service continuity, </w:t>
      </w:r>
      <w:r w:rsidR="002F55C6">
        <w:rPr>
          <w:lang w:val="en-US"/>
        </w:rPr>
        <w:t xml:space="preserve">that there will be an opportunity after the COVID-19 </w:t>
      </w:r>
      <w:r>
        <w:rPr>
          <w:lang w:val="en-US"/>
        </w:rPr>
        <w:t>p</w:t>
      </w:r>
      <w:r w:rsidR="002F55C6">
        <w:rPr>
          <w:lang w:val="en-US"/>
        </w:rPr>
        <w:t>andemic</w:t>
      </w:r>
      <w:r>
        <w:rPr>
          <w:lang w:val="en-US"/>
        </w:rPr>
        <w:t xml:space="preserve"> </w:t>
      </w:r>
      <w:r w:rsidR="00C637A3">
        <w:rPr>
          <w:lang w:val="en-US"/>
        </w:rPr>
        <w:t>for the SWG members to continue the behavio</w:t>
      </w:r>
      <w:r w:rsidR="007E6ADF">
        <w:rPr>
          <w:lang w:val="en-US"/>
        </w:rPr>
        <w:t>u</w:t>
      </w:r>
      <w:r w:rsidR="00C637A3">
        <w:rPr>
          <w:lang w:val="en-US"/>
        </w:rPr>
        <w:t xml:space="preserve">r </w:t>
      </w:r>
      <w:r>
        <w:rPr>
          <w:lang w:val="en-US"/>
        </w:rPr>
        <w:t xml:space="preserve">or to take advantage </w:t>
      </w:r>
      <w:r w:rsidR="00C637A3">
        <w:rPr>
          <w:lang w:val="en-US"/>
        </w:rPr>
        <w:t>of information gained during the period of cooperation</w:t>
      </w:r>
      <w:r w:rsidR="002F55C6">
        <w:rPr>
          <w:lang w:val="en-US"/>
        </w:rPr>
        <w:t xml:space="preserve">. </w:t>
      </w:r>
      <w:r w:rsidR="00C637A3">
        <w:rPr>
          <w:lang w:val="en-US"/>
        </w:rPr>
        <w:t xml:space="preserve"> </w:t>
      </w:r>
      <w:r w:rsidR="002F55C6">
        <w:rPr>
          <w:lang w:val="en-US"/>
        </w:rPr>
        <w:t xml:space="preserve">For example, if members of the group </w:t>
      </w:r>
      <w:r w:rsidR="002F55C6">
        <w:rPr>
          <w:lang w:val="en-US"/>
        </w:rPr>
        <w:lastRenderedPageBreak/>
        <w:t xml:space="preserve">restricted supply of hardware and services, as they have been </w:t>
      </w:r>
      <w:proofErr w:type="spellStart"/>
      <w:r w:rsidR="002F55C6">
        <w:rPr>
          <w:lang w:val="en-US"/>
        </w:rPr>
        <w:t>authori</w:t>
      </w:r>
      <w:r w:rsidR="007E6ADF">
        <w:rPr>
          <w:lang w:val="en-US"/>
        </w:rPr>
        <w:t>s</w:t>
      </w:r>
      <w:r w:rsidR="002F55C6">
        <w:rPr>
          <w:lang w:val="en-US"/>
        </w:rPr>
        <w:t>ed</w:t>
      </w:r>
      <w:proofErr w:type="spellEnd"/>
      <w:r w:rsidR="002F55C6">
        <w:rPr>
          <w:lang w:val="en-US"/>
        </w:rPr>
        <w:t xml:space="preserve"> to do over the 6-month period, that these restrictions in supply are not lifted once the </w:t>
      </w:r>
      <w:r w:rsidR="00F82043">
        <w:rPr>
          <w:lang w:val="en-US"/>
        </w:rPr>
        <w:t>pandemic ends</w:t>
      </w:r>
      <w:r w:rsidR="002F55C6">
        <w:rPr>
          <w:lang w:val="en-US"/>
        </w:rPr>
        <w:t xml:space="preserve">. </w:t>
      </w:r>
    </w:p>
    <w:p w14:paraId="4CBA0ECC" w14:textId="5B3EE998" w:rsidR="002F55C6" w:rsidRPr="00D801A2" w:rsidRDefault="00C637A3" w:rsidP="00432E71">
      <w:r>
        <w:rPr>
          <w:lang w:val="en-US"/>
        </w:rPr>
        <w:t>It will be important for t</w:t>
      </w:r>
      <w:r w:rsidR="00F82043">
        <w:rPr>
          <w:lang w:val="en-US"/>
        </w:rPr>
        <w:t xml:space="preserve">he </w:t>
      </w:r>
      <w:r w:rsidR="002F55C6">
        <w:rPr>
          <w:lang w:val="en-US"/>
        </w:rPr>
        <w:t xml:space="preserve">ACCC </w:t>
      </w:r>
      <w:r>
        <w:rPr>
          <w:lang w:val="en-US"/>
        </w:rPr>
        <w:t xml:space="preserve">to </w:t>
      </w:r>
      <w:r w:rsidR="00F82043">
        <w:rPr>
          <w:lang w:val="en-US"/>
        </w:rPr>
        <w:t xml:space="preserve">monitor the </w:t>
      </w:r>
      <w:proofErr w:type="spellStart"/>
      <w:r w:rsidR="00F82043">
        <w:rPr>
          <w:lang w:val="en-US"/>
        </w:rPr>
        <w:t>behavio</w:t>
      </w:r>
      <w:r w:rsidR="007E6ADF">
        <w:rPr>
          <w:lang w:val="en-US"/>
        </w:rPr>
        <w:t>u</w:t>
      </w:r>
      <w:r w:rsidR="00F82043">
        <w:rPr>
          <w:lang w:val="en-US"/>
        </w:rPr>
        <w:t>r</w:t>
      </w:r>
      <w:proofErr w:type="spellEnd"/>
      <w:r w:rsidR="00F82043">
        <w:rPr>
          <w:lang w:val="en-US"/>
        </w:rPr>
        <w:t xml:space="preserve"> of member</w:t>
      </w:r>
      <w:r w:rsidR="007E6ADF">
        <w:rPr>
          <w:lang w:val="en-US"/>
        </w:rPr>
        <w:t>s</w:t>
      </w:r>
      <w:r w:rsidR="00F82043">
        <w:rPr>
          <w:lang w:val="en-US"/>
        </w:rPr>
        <w:t xml:space="preserve"> of the SWG and sub-committees</w:t>
      </w:r>
      <w:r w:rsidR="00F8456C">
        <w:rPr>
          <w:lang w:val="en-US"/>
        </w:rPr>
        <w:t xml:space="preserve"> following the </w:t>
      </w:r>
      <w:proofErr w:type="spellStart"/>
      <w:r w:rsidR="00D16031">
        <w:rPr>
          <w:lang w:val="en-US"/>
        </w:rPr>
        <w:t>authori</w:t>
      </w:r>
      <w:r w:rsidR="00432E71">
        <w:rPr>
          <w:lang w:val="en-US"/>
        </w:rPr>
        <w:t>s</w:t>
      </w:r>
      <w:r w:rsidR="00D16031">
        <w:rPr>
          <w:lang w:val="en-US"/>
        </w:rPr>
        <w:t>ation</w:t>
      </w:r>
      <w:proofErr w:type="spellEnd"/>
      <w:r w:rsidR="00F8456C">
        <w:rPr>
          <w:lang w:val="en-US"/>
        </w:rPr>
        <w:t xml:space="preserve"> period</w:t>
      </w:r>
      <w:r w:rsidR="00F82043">
        <w:rPr>
          <w:lang w:val="en-US"/>
        </w:rPr>
        <w:t xml:space="preserve"> to ensure that </w:t>
      </w:r>
      <w:r>
        <w:rPr>
          <w:lang w:val="en-US"/>
        </w:rPr>
        <w:t>this does not occur</w:t>
      </w:r>
      <w:r w:rsidR="00F82043">
        <w:rPr>
          <w:lang w:val="en-US"/>
        </w:rPr>
        <w:t xml:space="preserve">. </w:t>
      </w:r>
      <w:r w:rsidR="002F55C6">
        <w:rPr>
          <w:lang w:val="en-US"/>
        </w:rPr>
        <w:t xml:space="preserve"> </w:t>
      </w:r>
      <w:r w:rsidR="00A5721E">
        <w:rPr>
          <w:lang w:val="en-US"/>
        </w:rPr>
        <w:t xml:space="preserve">We </w:t>
      </w:r>
      <w:r w:rsidR="00312DD7">
        <w:rPr>
          <w:lang w:val="en-US"/>
        </w:rPr>
        <w:t>consider that</w:t>
      </w:r>
      <w:r w:rsidR="00A5721E">
        <w:rPr>
          <w:lang w:val="en-US"/>
        </w:rPr>
        <w:t xml:space="preserve"> the </w:t>
      </w:r>
      <w:proofErr w:type="spellStart"/>
      <w:r w:rsidR="00A5721E">
        <w:rPr>
          <w:lang w:val="en-US"/>
        </w:rPr>
        <w:t>authori</w:t>
      </w:r>
      <w:r w:rsidR="00432E71">
        <w:rPr>
          <w:lang w:val="en-US"/>
        </w:rPr>
        <w:t>s</w:t>
      </w:r>
      <w:r w:rsidR="00A5721E">
        <w:rPr>
          <w:lang w:val="en-US"/>
        </w:rPr>
        <w:t>ation</w:t>
      </w:r>
      <w:proofErr w:type="spellEnd"/>
      <w:r w:rsidR="00A5721E">
        <w:rPr>
          <w:lang w:val="en-US"/>
        </w:rPr>
        <w:t xml:space="preserve"> should set up a framework to allow this monitoring to occur</w:t>
      </w:r>
      <w:r w:rsidR="00D062CF">
        <w:t xml:space="preserve">. </w:t>
      </w:r>
    </w:p>
    <w:p w14:paraId="0E056B88" w14:textId="28C2CA91" w:rsidR="00010BA2" w:rsidRDefault="00010BA2" w:rsidP="00010BA2">
      <w:pPr>
        <w:pStyle w:val="ListParagraph"/>
        <w:numPr>
          <w:ilvl w:val="0"/>
          <w:numId w:val="17"/>
        </w:numPr>
        <w:rPr>
          <w:rStyle w:val="IntenseEmphasis"/>
        </w:rPr>
      </w:pPr>
      <w:r w:rsidRPr="00010BA2">
        <w:rPr>
          <w:rStyle w:val="IntenseEmphasis"/>
        </w:rPr>
        <w:t>If you are a retail service provider that has entered into a Wholesale Broadband Agreement with NBN Co, are you satisfied with the content and timeliness of NBN Co’s communication of decisions made by the Special Working Group?</w:t>
      </w:r>
    </w:p>
    <w:p w14:paraId="5041E564" w14:textId="289CA9BA" w:rsidR="00010BA2" w:rsidRPr="00F82043" w:rsidRDefault="00F82043" w:rsidP="00010BA2">
      <w:pPr>
        <w:rPr>
          <w:rStyle w:val="IntenseEmphasis"/>
          <w:i w:val="0"/>
          <w:iCs w:val="0"/>
          <w:color w:val="auto"/>
        </w:rPr>
      </w:pPr>
      <w:r>
        <w:rPr>
          <w:rStyle w:val="IntenseEmphasis"/>
          <w:i w:val="0"/>
          <w:iCs w:val="0"/>
          <w:color w:val="auto"/>
        </w:rPr>
        <w:t>Not applicable</w:t>
      </w:r>
    </w:p>
    <w:p w14:paraId="6A29C9AA" w14:textId="31081FD3" w:rsidR="00010BA2" w:rsidRDefault="00010BA2" w:rsidP="00010BA2">
      <w:pPr>
        <w:pStyle w:val="ListParagraph"/>
        <w:numPr>
          <w:ilvl w:val="0"/>
          <w:numId w:val="17"/>
        </w:numPr>
        <w:rPr>
          <w:rStyle w:val="IntenseEmphasis"/>
        </w:rPr>
      </w:pPr>
      <w:r w:rsidRPr="00010BA2">
        <w:rPr>
          <w:rStyle w:val="IntenseEmphasis"/>
        </w:rPr>
        <w:t>Should any changes be made to the interim authori</w:t>
      </w:r>
      <w:r w:rsidR="00432E71">
        <w:rPr>
          <w:rStyle w:val="IntenseEmphasis"/>
        </w:rPr>
        <w:t>s</w:t>
      </w:r>
      <w:r w:rsidRPr="00010BA2">
        <w:rPr>
          <w:rStyle w:val="IntenseEmphasis"/>
        </w:rPr>
        <w:t>ation?</w:t>
      </w:r>
    </w:p>
    <w:p w14:paraId="1229FBBF" w14:textId="77777777" w:rsidR="00C637A3" w:rsidRPr="005839CB" w:rsidRDefault="00C637A3" w:rsidP="00432E71">
      <w:r w:rsidRPr="005839CB">
        <w:t xml:space="preserve">We have </w:t>
      </w:r>
      <w:proofErr w:type="gramStart"/>
      <w:r w:rsidRPr="005839CB">
        <w:t>a number of</w:t>
      </w:r>
      <w:proofErr w:type="gramEnd"/>
      <w:r w:rsidRPr="005839CB">
        <w:t xml:space="preserve"> concerns about the breadth of t</w:t>
      </w:r>
      <w:r w:rsidR="009A7EE2" w:rsidRPr="005839CB">
        <w:t xml:space="preserve">he interim authorisation.  </w:t>
      </w:r>
    </w:p>
    <w:p w14:paraId="57D20CA8" w14:textId="43D33AAD" w:rsidR="00C637A3" w:rsidRPr="005839CB" w:rsidRDefault="00C637A3" w:rsidP="00432E71">
      <w:pPr>
        <w:pStyle w:val="ListParagraph"/>
        <w:numPr>
          <w:ilvl w:val="0"/>
          <w:numId w:val="18"/>
        </w:numPr>
        <w:jc w:val="left"/>
        <w:rPr>
          <w:sz w:val="22"/>
        </w:rPr>
      </w:pPr>
      <w:r w:rsidRPr="005839CB">
        <w:rPr>
          <w:sz w:val="22"/>
        </w:rPr>
        <w:t>Whilst p</w:t>
      </w:r>
      <w:r w:rsidR="009A7EE2" w:rsidRPr="005839CB">
        <w:rPr>
          <w:sz w:val="22"/>
        </w:rPr>
        <w:t>aragraph 3 of the interim authorisation imposes a limitation – the conduct must be “solely for the purpose of dealing with the effects of the COVID-19 pandemic on Australia’s telecommunications networks and end users”</w:t>
      </w:r>
      <w:r w:rsidRPr="005839CB">
        <w:rPr>
          <w:sz w:val="22"/>
        </w:rPr>
        <w:t xml:space="preserve"> – t</w:t>
      </w:r>
      <w:r w:rsidR="009A7EE2" w:rsidRPr="005839CB">
        <w:rPr>
          <w:sz w:val="22"/>
        </w:rPr>
        <w:t xml:space="preserve">he interim authorisation does not require the dealing with the effects of the pandemic to be in the long term interests of end-users.  We </w:t>
      </w:r>
      <w:r w:rsidR="0042601F">
        <w:rPr>
          <w:sz w:val="22"/>
        </w:rPr>
        <w:t>consider</w:t>
      </w:r>
      <w:r w:rsidR="009A7EE2" w:rsidRPr="005839CB">
        <w:rPr>
          <w:sz w:val="22"/>
        </w:rPr>
        <w:t xml:space="preserve"> that this sector specific objective set out in the Competition and Consumer Act should be replicated in the authorisation.  This is particularly important given that some of the categories of Proposed Conduct (particularly paragraphs e) to h)) do not even implicitly incorporate a public benefit requirement.  </w:t>
      </w:r>
    </w:p>
    <w:p w14:paraId="1A9AF4CE" w14:textId="77777777" w:rsidR="00C637A3" w:rsidRPr="005839CB" w:rsidRDefault="00C637A3" w:rsidP="00432E71">
      <w:pPr>
        <w:pStyle w:val="ListParagraph"/>
        <w:jc w:val="left"/>
        <w:rPr>
          <w:sz w:val="22"/>
        </w:rPr>
      </w:pPr>
    </w:p>
    <w:p w14:paraId="0F14A264" w14:textId="64630214" w:rsidR="00C637A3" w:rsidRPr="005839CB" w:rsidRDefault="009A7EE2" w:rsidP="00432E71">
      <w:pPr>
        <w:pStyle w:val="ListParagraph"/>
        <w:numPr>
          <w:ilvl w:val="0"/>
          <w:numId w:val="18"/>
        </w:numPr>
        <w:jc w:val="left"/>
        <w:rPr>
          <w:sz w:val="22"/>
        </w:rPr>
      </w:pPr>
      <w:r w:rsidRPr="005839CB">
        <w:rPr>
          <w:sz w:val="22"/>
        </w:rPr>
        <w:t xml:space="preserve">We </w:t>
      </w:r>
      <w:r w:rsidR="00C637A3" w:rsidRPr="005839CB">
        <w:rPr>
          <w:sz w:val="22"/>
        </w:rPr>
        <w:t>think</w:t>
      </w:r>
      <w:r w:rsidRPr="005839CB">
        <w:rPr>
          <w:sz w:val="22"/>
        </w:rPr>
        <w:t xml:space="preserve"> that paragraph 6e) </w:t>
      </w:r>
      <w:r w:rsidR="00C637A3" w:rsidRPr="005839CB">
        <w:rPr>
          <w:sz w:val="22"/>
        </w:rPr>
        <w:t>should be clarified</w:t>
      </w:r>
      <w:r w:rsidR="0042601F">
        <w:rPr>
          <w:sz w:val="22"/>
        </w:rPr>
        <w:t xml:space="preserve"> to better </w:t>
      </w:r>
      <w:r w:rsidR="00312DD7">
        <w:rPr>
          <w:sz w:val="22"/>
        </w:rPr>
        <w:t xml:space="preserve">explain </w:t>
      </w:r>
      <w:r w:rsidR="00312DD7" w:rsidRPr="005839CB">
        <w:rPr>
          <w:bCs/>
          <w:sz w:val="22"/>
        </w:rPr>
        <w:t>what</w:t>
      </w:r>
      <w:r w:rsidRPr="005839CB">
        <w:rPr>
          <w:bCs/>
          <w:sz w:val="22"/>
        </w:rPr>
        <w:t xml:space="preserve"> “hardware or services” supply may be restricted “in certain locations or to particular customers or groups of customers”.  On the face of it, this would seem to permit the Special Working Group to decide, for example, to reduce bandwidth or servicing of remote customers to focus on city customers.  This is clearly not the intention, but we think that the paragraph </w:t>
      </w:r>
      <w:r w:rsidR="00C637A3" w:rsidRPr="005839CB">
        <w:rPr>
          <w:bCs/>
          <w:sz w:val="22"/>
        </w:rPr>
        <w:t>needs greater precision</w:t>
      </w:r>
      <w:r w:rsidRPr="005839CB">
        <w:rPr>
          <w:bCs/>
          <w:sz w:val="22"/>
        </w:rPr>
        <w:t>.</w:t>
      </w:r>
    </w:p>
    <w:p w14:paraId="25A699D7" w14:textId="77777777" w:rsidR="00C637A3" w:rsidRPr="005839CB" w:rsidRDefault="00C637A3" w:rsidP="00432E71">
      <w:pPr>
        <w:pStyle w:val="ListParagraph"/>
        <w:jc w:val="left"/>
        <w:rPr>
          <w:bCs/>
          <w:sz w:val="22"/>
        </w:rPr>
      </w:pPr>
    </w:p>
    <w:p w14:paraId="4E175D73" w14:textId="40DB378F" w:rsidR="009A7EE2" w:rsidRPr="005839CB" w:rsidRDefault="00C637A3" w:rsidP="00432E71">
      <w:pPr>
        <w:pStyle w:val="ListParagraph"/>
        <w:numPr>
          <w:ilvl w:val="0"/>
          <w:numId w:val="18"/>
        </w:numPr>
        <w:jc w:val="left"/>
        <w:rPr>
          <w:sz w:val="22"/>
        </w:rPr>
      </w:pPr>
      <w:r w:rsidRPr="005839CB">
        <w:rPr>
          <w:sz w:val="22"/>
        </w:rPr>
        <w:t>P</w:t>
      </w:r>
      <w:r w:rsidR="009A7EE2" w:rsidRPr="005839CB">
        <w:rPr>
          <w:sz w:val="22"/>
        </w:rPr>
        <w:t xml:space="preserve">aragraph 6f) is not </w:t>
      </w:r>
      <w:r w:rsidRPr="005839CB">
        <w:rPr>
          <w:sz w:val="22"/>
        </w:rPr>
        <w:t xml:space="preserve">currently </w:t>
      </w:r>
      <w:r w:rsidR="009A7EE2" w:rsidRPr="005839CB">
        <w:rPr>
          <w:sz w:val="22"/>
        </w:rPr>
        <w:t>framed in terms of higher or minimum standards of hardship assistance, a</w:t>
      </w:r>
      <w:r w:rsidR="0042601F">
        <w:rPr>
          <w:sz w:val="22"/>
        </w:rPr>
        <w:t xml:space="preserve">nd differs from </w:t>
      </w:r>
      <w:r w:rsidR="009A7EE2" w:rsidRPr="005839CB">
        <w:rPr>
          <w:sz w:val="22"/>
        </w:rPr>
        <w:t>the ACCC’s ABA financial relief programs interim authorisation or even the energy providers’ interim authorisation</w:t>
      </w:r>
      <w:r w:rsidR="0042601F">
        <w:rPr>
          <w:sz w:val="22"/>
        </w:rPr>
        <w:t xml:space="preserve"> in this respect</w:t>
      </w:r>
      <w:r w:rsidR="009A7EE2" w:rsidRPr="005839CB">
        <w:rPr>
          <w:sz w:val="22"/>
        </w:rPr>
        <w:t xml:space="preserve">.  Instead the focus is just on industry consistency.  If the co-operation achieves a race to the bottom, this would be highly uncompetitive.  Also, we submit that the ACCC should impose a condition requiring the Special Working Group to consult with consumer representatives about the design of an industry consistent economic hardship approach if in fact an understanding or agreement about this is reached – and to publicly report </w:t>
      </w:r>
      <w:r w:rsidR="0042601F">
        <w:rPr>
          <w:sz w:val="22"/>
        </w:rPr>
        <w:t xml:space="preserve">on </w:t>
      </w:r>
      <w:r w:rsidR="009A7EE2" w:rsidRPr="005839CB">
        <w:rPr>
          <w:sz w:val="22"/>
        </w:rPr>
        <w:t xml:space="preserve"> the economic hardship assistance that is provided.</w:t>
      </w:r>
      <w:r w:rsidR="00560BDF" w:rsidRPr="005839CB">
        <w:rPr>
          <w:sz w:val="22"/>
        </w:rPr>
        <w:t xml:space="preserve"> </w:t>
      </w:r>
      <w:proofErr w:type="gramStart"/>
      <w:r w:rsidR="00560BDF" w:rsidRPr="005839CB">
        <w:rPr>
          <w:sz w:val="22"/>
        </w:rPr>
        <w:t xml:space="preserve">In particular, </w:t>
      </w:r>
      <w:r w:rsidR="00335667" w:rsidRPr="005839CB">
        <w:rPr>
          <w:sz w:val="22"/>
        </w:rPr>
        <w:t>providers</w:t>
      </w:r>
      <w:proofErr w:type="gramEnd"/>
      <w:r w:rsidR="00335667" w:rsidRPr="005839CB">
        <w:rPr>
          <w:sz w:val="22"/>
        </w:rPr>
        <w:t xml:space="preserve"> should be required to report on service restrictions and disconnection, including whether there has been specific economic hardship </w:t>
      </w:r>
      <w:r w:rsidR="00312DD7" w:rsidRPr="005839CB">
        <w:rPr>
          <w:sz w:val="22"/>
        </w:rPr>
        <w:t>assistance provided</w:t>
      </w:r>
      <w:r w:rsidR="00335667" w:rsidRPr="005839CB">
        <w:rPr>
          <w:sz w:val="22"/>
        </w:rPr>
        <w:t xml:space="preserve"> </w:t>
      </w:r>
      <w:r w:rsidR="00C76972" w:rsidRPr="005839CB">
        <w:rPr>
          <w:sz w:val="22"/>
        </w:rPr>
        <w:t xml:space="preserve">prior to the service disconnection or restriction. It is the experience of consumer representatives that the ‘opt in’ nature of hardship assistance means that telecommunications providers restrict or disconnect people without proactively offering hardship assistance that might limit the likelihood of restriction or disconnection. Particularly given the significant wait times that consumers have experienced in contacting provider call </w:t>
      </w:r>
      <w:proofErr w:type="gramStart"/>
      <w:r w:rsidR="00C76972" w:rsidRPr="005839CB">
        <w:rPr>
          <w:sz w:val="22"/>
        </w:rPr>
        <w:t>centres,</w:t>
      </w:r>
      <w:proofErr w:type="gramEnd"/>
      <w:r w:rsidR="00C76972" w:rsidRPr="005839CB">
        <w:rPr>
          <w:sz w:val="22"/>
        </w:rPr>
        <w:t xml:space="preserve"> more proactive hardship assistance should be </w:t>
      </w:r>
      <w:r w:rsidR="001B5697" w:rsidRPr="005839CB">
        <w:rPr>
          <w:sz w:val="22"/>
        </w:rPr>
        <w:t>encouraged.</w:t>
      </w:r>
    </w:p>
    <w:p w14:paraId="648D17CB" w14:textId="77777777" w:rsidR="00C637A3" w:rsidRPr="005839CB" w:rsidRDefault="00C637A3" w:rsidP="00432E71">
      <w:pPr>
        <w:pStyle w:val="ListParagraph"/>
        <w:jc w:val="left"/>
        <w:rPr>
          <w:sz w:val="22"/>
        </w:rPr>
      </w:pPr>
    </w:p>
    <w:p w14:paraId="2D25B1FF" w14:textId="34EF4C3B" w:rsidR="00C637A3" w:rsidRPr="005839CB" w:rsidRDefault="00C637A3" w:rsidP="00432E71">
      <w:pPr>
        <w:pStyle w:val="ListParagraph"/>
        <w:numPr>
          <w:ilvl w:val="0"/>
          <w:numId w:val="18"/>
        </w:numPr>
        <w:jc w:val="left"/>
        <w:rPr>
          <w:sz w:val="22"/>
        </w:rPr>
      </w:pPr>
      <w:r w:rsidRPr="005839CB">
        <w:rPr>
          <w:bCs/>
          <w:sz w:val="22"/>
        </w:rPr>
        <w:lastRenderedPageBreak/>
        <w:t xml:space="preserve">We are concerned about the breadth of the authorisation in paragraphs g) and h) to share information.  We </w:t>
      </w:r>
      <w:r w:rsidR="0042601F">
        <w:rPr>
          <w:bCs/>
          <w:sz w:val="22"/>
        </w:rPr>
        <w:t xml:space="preserve">consider </w:t>
      </w:r>
      <w:r w:rsidRPr="005839CB">
        <w:rPr>
          <w:bCs/>
          <w:sz w:val="22"/>
        </w:rPr>
        <w:t>that the ACCC should be testing with SWG members what types of information they want to exchange and why, with a view to placing limits on this.</w:t>
      </w:r>
      <w:r w:rsidRPr="005839CB">
        <w:rPr>
          <w:rFonts w:cstheme="minorHAnsi"/>
          <w:sz w:val="22"/>
        </w:rPr>
        <w:t xml:space="preserve"> </w:t>
      </w:r>
    </w:p>
    <w:p w14:paraId="1A2A4F3E" w14:textId="77777777" w:rsidR="00C637A3" w:rsidRPr="005839CB" w:rsidRDefault="00C637A3" w:rsidP="00432E71">
      <w:pPr>
        <w:pStyle w:val="ListParagraph"/>
        <w:jc w:val="left"/>
        <w:rPr>
          <w:bCs/>
          <w:sz w:val="22"/>
        </w:rPr>
      </w:pPr>
    </w:p>
    <w:p w14:paraId="15EE6ABB" w14:textId="2AC76FDF" w:rsidR="00C637A3" w:rsidRPr="005839CB" w:rsidRDefault="00C637A3" w:rsidP="00432E71">
      <w:pPr>
        <w:pStyle w:val="ListParagraph"/>
        <w:numPr>
          <w:ilvl w:val="0"/>
          <w:numId w:val="18"/>
        </w:numPr>
        <w:jc w:val="left"/>
        <w:rPr>
          <w:sz w:val="22"/>
        </w:rPr>
      </w:pPr>
      <w:r w:rsidRPr="005839CB">
        <w:rPr>
          <w:bCs/>
          <w:sz w:val="22"/>
        </w:rPr>
        <w:t>The interim authorisation does not exclude price fixing. This contrasts with the approach in the supermarkets and the energy interim authorisations. Whilst SWG members no doubt understand that this is off limits, it would be good practice to specifically exclude this.</w:t>
      </w:r>
    </w:p>
    <w:p w14:paraId="111F7BF7" w14:textId="77777777" w:rsidR="00C637A3" w:rsidRDefault="00C637A3" w:rsidP="00432E71">
      <w:pPr>
        <w:pStyle w:val="ListParagraph"/>
        <w:jc w:val="left"/>
      </w:pPr>
    </w:p>
    <w:p w14:paraId="1C9D3E1D" w14:textId="449731CB" w:rsidR="009625A0" w:rsidRDefault="009625A0" w:rsidP="00432E71">
      <w:pPr>
        <w:rPr>
          <w:rStyle w:val="IntenseEmphasis"/>
          <w:i w:val="0"/>
          <w:iCs w:val="0"/>
          <w:color w:val="auto"/>
        </w:rPr>
      </w:pPr>
    </w:p>
    <w:p w14:paraId="45592DEE" w14:textId="43C8FB94" w:rsidR="00010BA2" w:rsidRPr="00010BA2" w:rsidRDefault="002E3FC2" w:rsidP="002F7323">
      <w:pPr>
        <w:pStyle w:val="Heading1"/>
      </w:pPr>
      <w:bookmarkStart w:id="3" w:name="_Toc40525356"/>
      <w:r>
        <w:lastRenderedPageBreak/>
        <w:t>Final</w:t>
      </w:r>
      <w:r w:rsidR="00010BA2">
        <w:t xml:space="preserve"> determination</w:t>
      </w:r>
      <w:bookmarkEnd w:id="3"/>
    </w:p>
    <w:p w14:paraId="3478C5CB" w14:textId="1E3CE06F" w:rsidR="00C1682D" w:rsidRDefault="00010BA2" w:rsidP="00010BA2">
      <w:pPr>
        <w:pStyle w:val="Heading2"/>
      </w:pPr>
      <w:bookmarkStart w:id="4" w:name="_Toc40525357"/>
      <w:r>
        <w:t>Public Benefits of the authorisation</w:t>
      </w:r>
      <w:bookmarkEnd w:id="4"/>
    </w:p>
    <w:p w14:paraId="207AD51F" w14:textId="4C0671D5" w:rsidR="00010BA2" w:rsidRDefault="00AB4B46" w:rsidP="00432E71">
      <w:r>
        <w:t>D</w:t>
      </w:r>
      <w:r w:rsidR="00E34F1C">
        <w:t>uring COVID-19</w:t>
      </w:r>
      <w:r>
        <w:t>,</w:t>
      </w:r>
      <w:r w:rsidR="00E34F1C">
        <w:t xml:space="preserve"> the provision of </w:t>
      </w:r>
      <w:r w:rsidR="00F82043">
        <w:t xml:space="preserve">efficient and reliable telecommunications is </w:t>
      </w:r>
      <w:r>
        <w:t xml:space="preserve">even more </w:t>
      </w:r>
      <w:r w:rsidR="00F82043">
        <w:t>vital</w:t>
      </w:r>
      <w:r>
        <w:t xml:space="preserve"> than usually the case</w:t>
      </w:r>
      <w:r w:rsidR="00F82043">
        <w:t xml:space="preserve">. The public benefits produced are derived from the use of telework, online learning and telehealth, all which are made possible by </w:t>
      </w:r>
      <w:r w:rsidR="00E34F1C">
        <w:t>consistent</w:t>
      </w:r>
      <w:r w:rsidR="00F82043">
        <w:t xml:space="preserve"> telecommunications</w:t>
      </w:r>
      <w:r w:rsidR="00E34F1C">
        <w:t xml:space="preserve"> services</w:t>
      </w:r>
      <w:r w:rsidR="00F82043">
        <w:t xml:space="preserve">. </w:t>
      </w:r>
    </w:p>
    <w:p w14:paraId="3AA3A6B8" w14:textId="7665834C" w:rsidR="00F82043" w:rsidRDefault="00F82043" w:rsidP="00432E71">
      <w:r>
        <w:t>Increases in network traffic support the need for capacity optimi</w:t>
      </w:r>
      <w:r w:rsidR="00612139">
        <w:t>s</w:t>
      </w:r>
      <w:r>
        <w:t>ation. NBN has shown that traffic has grown significantly since social distancing measures have been implemented.</w:t>
      </w:r>
      <w:r>
        <w:rPr>
          <w:rStyle w:val="FootnoteReference"/>
        </w:rPr>
        <w:footnoteReference w:id="3"/>
      </w:r>
      <w:r>
        <w:t xml:space="preserve"> In particular, traffic</w:t>
      </w:r>
      <w:r w:rsidR="00F43BD1">
        <w:t xml:space="preserve"> during </w:t>
      </w:r>
      <w:r>
        <w:t>business hours ha</w:t>
      </w:r>
      <w:r w:rsidR="00D54881">
        <w:t>s</w:t>
      </w:r>
      <w:r>
        <w:t xml:space="preserve"> increased over 30%</w:t>
      </w:r>
      <w:r w:rsidR="00612139">
        <w:t>. B</w:t>
      </w:r>
      <w:r w:rsidR="00F43BD1">
        <w:t xml:space="preserve">eing able to keep up with this demand is imperative to ensuring that Australians can continue to work when at home. This has the benefit of keeping businesses viable and allowing them to employ workers despite restrictions in place. </w:t>
      </w:r>
    </w:p>
    <w:p w14:paraId="56F3FF82" w14:textId="7807EF6B" w:rsidR="00A00F1E" w:rsidRDefault="00F43BD1" w:rsidP="00432E71">
      <w:r>
        <w:t>Ensuring telecommunications remain reliable also assists with online learning and telehealth. Since early March 4.7 million people have received 7.7 million telehealth services, either through the phone of by video.</w:t>
      </w:r>
      <w:r>
        <w:rPr>
          <w:rStyle w:val="FootnoteReference"/>
        </w:rPr>
        <w:footnoteReference w:id="4"/>
      </w:r>
      <w:r>
        <w:t xml:space="preserve"> </w:t>
      </w:r>
    </w:p>
    <w:p w14:paraId="3AF23374" w14:textId="7868640C" w:rsidR="009625A0" w:rsidRDefault="00E34F1C" w:rsidP="00432E71">
      <w:r>
        <w:t xml:space="preserve">However, ACCAN questions whether these public benefits </w:t>
      </w:r>
      <w:r w:rsidR="002E3FC2">
        <w:t>have or continue to require an ACCC a</w:t>
      </w:r>
      <w:r>
        <w:t xml:space="preserve">uthorisation. </w:t>
      </w:r>
      <w:r>
        <w:rPr>
          <w:rStyle w:val="IntenseEmphasis"/>
          <w:i w:val="0"/>
          <w:iCs w:val="0"/>
          <w:color w:val="auto"/>
        </w:rPr>
        <w:t>Given that NBN has been able to deliver a $150 million relief package and increase capacity</w:t>
      </w:r>
      <w:r w:rsidRPr="00787048">
        <w:rPr>
          <w:rStyle w:val="IntenseEmphasis"/>
          <w:i w:val="0"/>
          <w:iCs w:val="0"/>
          <w:color w:val="auto"/>
        </w:rPr>
        <w:t xml:space="preserve"> </w:t>
      </w:r>
      <w:r>
        <w:rPr>
          <w:rStyle w:val="IntenseEmphasis"/>
          <w:i w:val="0"/>
          <w:iCs w:val="0"/>
          <w:color w:val="auto"/>
        </w:rPr>
        <w:t xml:space="preserve">by 40% </w:t>
      </w:r>
      <w:r w:rsidR="00707D44">
        <w:rPr>
          <w:rStyle w:val="IntenseEmphasis"/>
          <w:i w:val="0"/>
          <w:iCs w:val="0"/>
          <w:color w:val="auto"/>
        </w:rPr>
        <w:t xml:space="preserve">through its usual processes and not through the Special Working Group, </w:t>
      </w:r>
      <w:r w:rsidR="002E3FC2">
        <w:rPr>
          <w:rStyle w:val="IntenseEmphasis"/>
          <w:i w:val="0"/>
          <w:iCs w:val="0"/>
          <w:color w:val="auto"/>
        </w:rPr>
        <w:t xml:space="preserve"> the ACCC should be testing with NBN and the other SWG members whether </w:t>
      </w:r>
      <w:r>
        <w:rPr>
          <w:rStyle w:val="IntenseEmphasis"/>
          <w:i w:val="0"/>
          <w:iCs w:val="0"/>
          <w:color w:val="auto"/>
        </w:rPr>
        <w:t xml:space="preserve"> these provisions  are sufficient to manage the network</w:t>
      </w:r>
      <w:r w:rsidR="00010CA1">
        <w:rPr>
          <w:rStyle w:val="IntenseEmphasis"/>
          <w:i w:val="0"/>
          <w:iCs w:val="0"/>
          <w:color w:val="auto"/>
        </w:rPr>
        <w:t xml:space="preserve"> and ensure service continuity</w:t>
      </w:r>
      <w:r>
        <w:rPr>
          <w:rStyle w:val="IntenseEmphasis"/>
          <w:i w:val="0"/>
          <w:iCs w:val="0"/>
          <w:color w:val="auto"/>
        </w:rPr>
        <w:t xml:space="preserve">. </w:t>
      </w:r>
    </w:p>
    <w:p w14:paraId="22518A21" w14:textId="1B6C3CD3" w:rsidR="00010BA2" w:rsidRDefault="00010BA2" w:rsidP="00010BA2">
      <w:pPr>
        <w:pStyle w:val="Heading2"/>
      </w:pPr>
      <w:bookmarkStart w:id="5" w:name="_Toc40525358"/>
      <w:r>
        <w:t>Public detriments to the authorisation</w:t>
      </w:r>
      <w:bookmarkEnd w:id="5"/>
    </w:p>
    <w:p w14:paraId="76451843" w14:textId="2D15007E" w:rsidR="00010BA2" w:rsidRDefault="00A00F1E" w:rsidP="00432E71">
      <w:r>
        <w:t xml:space="preserve">By means of providing efficient and reliable telecommunications, the authorisation allows members of the SWG to prevent, restrict or limit the supply of services to end users in Australia. Anticompetitive behaviours such as this may result in public detriment through price increases and reduced services, which would be harmful to the public. </w:t>
      </w:r>
      <w:r w:rsidR="002E3FC2">
        <w:t>In the uncertainty prevailing in late March 2020</w:t>
      </w:r>
      <w:r w:rsidR="00AB4B46">
        <w:t xml:space="preserve"> and as a </w:t>
      </w:r>
      <w:r>
        <w:t>temporary</w:t>
      </w:r>
      <w:r w:rsidR="00AB4B46">
        <w:t xml:space="preserve"> measure</w:t>
      </w:r>
      <w:r>
        <w:t xml:space="preserve">, </w:t>
      </w:r>
      <w:r w:rsidR="00AB4B46">
        <w:t xml:space="preserve">the public detriment risks were justifiable to an extent that we </w:t>
      </w:r>
      <w:r w:rsidR="00612139">
        <w:t>consider</w:t>
      </w:r>
      <w:r w:rsidR="00AB4B46">
        <w:t xml:space="preserve"> may no longer be the case</w:t>
      </w:r>
      <w:r>
        <w:t>.</w:t>
      </w:r>
      <w:r w:rsidR="00AB4B46">
        <w:t xml:space="preserve"> </w:t>
      </w:r>
    </w:p>
    <w:p w14:paraId="63F48BC0" w14:textId="736187DA" w:rsidR="00010BA2" w:rsidRDefault="00010BA2" w:rsidP="00010BA2">
      <w:pPr>
        <w:pStyle w:val="Heading2"/>
      </w:pPr>
      <w:bookmarkStart w:id="6" w:name="_Toc40525359"/>
      <w:r>
        <w:t>Should the ACCC authorise conduct for another 6 months</w:t>
      </w:r>
      <w:r w:rsidR="001B60F2">
        <w:t>?</w:t>
      </w:r>
      <w:bookmarkEnd w:id="6"/>
    </w:p>
    <w:p w14:paraId="7FA5B26C" w14:textId="4EEA5A57" w:rsidR="001B60F2" w:rsidRDefault="00A00F1E" w:rsidP="00432E71">
      <w:r>
        <w:t xml:space="preserve">As restrictions are beginning to be eased, the ACCC should consider whether the authorisation is </w:t>
      </w:r>
      <w:r w:rsidR="00612139">
        <w:t xml:space="preserve">still </w:t>
      </w:r>
      <w:r>
        <w:t xml:space="preserve">needed. Furthermore, in considering </w:t>
      </w:r>
      <w:r w:rsidR="00D54881">
        <w:t>authorising</w:t>
      </w:r>
      <w:r>
        <w:t xml:space="preserve"> for another 6 months the ACCC should look to see what the SWG has achieved so far</w:t>
      </w:r>
      <w:r w:rsidR="00D54881">
        <w:t xml:space="preserve"> during the interim </w:t>
      </w:r>
      <w:r w:rsidR="002F7323">
        <w:t>authorisation</w:t>
      </w:r>
      <w:r>
        <w:t xml:space="preserve">. </w:t>
      </w:r>
    </w:p>
    <w:p w14:paraId="2625E493" w14:textId="47E5AFDF" w:rsidR="001B60F2" w:rsidRPr="001B60F2" w:rsidRDefault="001B60F2" w:rsidP="001B60F2">
      <w:pPr>
        <w:pStyle w:val="Heading2"/>
      </w:pPr>
      <w:bookmarkStart w:id="7" w:name="_Toc40525360"/>
      <w:r>
        <w:lastRenderedPageBreak/>
        <w:t>Conditions which should be placed on authorisation</w:t>
      </w:r>
      <w:bookmarkEnd w:id="7"/>
    </w:p>
    <w:p w14:paraId="66A8C384" w14:textId="7CA0214D" w:rsidR="001B60F2" w:rsidRPr="001B60F2" w:rsidRDefault="00A00F1E" w:rsidP="00432E71">
      <w:r>
        <w:t xml:space="preserve">If the authorisation is to </w:t>
      </w:r>
      <w:r w:rsidR="00AB4B46">
        <w:t>continue</w:t>
      </w:r>
      <w:r>
        <w:t xml:space="preserve">, </w:t>
      </w:r>
      <w:r w:rsidR="00A5721E">
        <w:rPr>
          <w:lang w:val="en-US"/>
        </w:rPr>
        <w:t xml:space="preserve">we </w:t>
      </w:r>
      <w:r w:rsidR="00312DD7">
        <w:rPr>
          <w:lang w:val="en-US"/>
        </w:rPr>
        <w:t>consider it</w:t>
      </w:r>
      <w:r w:rsidR="00A5721E">
        <w:rPr>
          <w:lang w:val="en-US"/>
        </w:rPr>
        <w:t xml:space="preserve"> will be important for</w:t>
      </w:r>
      <w:r w:rsidR="00A5721E">
        <w:t xml:space="preserve"> the ACCC to continue to monitor its implementation closely, including by having a representative attend the meetings of the SWG or its sub-committees.  In addition, </w:t>
      </w:r>
      <w:r>
        <w:t xml:space="preserve">a condition should be placed that </w:t>
      </w:r>
      <w:r w:rsidR="00AB4B46">
        <w:t xml:space="preserve">provides </w:t>
      </w:r>
      <w:r w:rsidR="006055D3">
        <w:t xml:space="preserve">for </w:t>
      </w:r>
      <w:r>
        <w:t xml:space="preserve">the ACCC </w:t>
      </w:r>
      <w:r w:rsidR="006055D3">
        <w:t xml:space="preserve">to require </w:t>
      </w:r>
      <w:r w:rsidR="00A5721E">
        <w:t>reporting</w:t>
      </w:r>
      <w:r w:rsidR="00AB4B46">
        <w:t xml:space="preserve"> to</w:t>
      </w:r>
      <w:r w:rsidR="006055D3">
        <w:t xml:space="preserve"> enable it to</w:t>
      </w:r>
      <w:r w:rsidR="00AB4B46">
        <w:t xml:space="preserve"> </w:t>
      </w:r>
      <w:r>
        <w:t xml:space="preserve">monitor </w:t>
      </w:r>
      <w:r w:rsidR="00AB4B46">
        <w:t xml:space="preserve">beyond the authorisation period </w:t>
      </w:r>
      <w:r w:rsidR="00D54881">
        <w:t>the</w:t>
      </w:r>
      <w:r w:rsidR="00000906">
        <w:t xml:space="preserve"> </w:t>
      </w:r>
      <w:r w:rsidR="00AB4B46">
        <w:t xml:space="preserve">understandings, arrangements and </w:t>
      </w:r>
      <w:r w:rsidR="00000906">
        <w:t xml:space="preserve">material decisions made </w:t>
      </w:r>
      <w:r w:rsidR="00AB4B46">
        <w:t>by</w:t>
      </w:r>
      <w:r w:rsidR="00000906">
        <w:t xml:space="preserve"> the SWG. The purpose of this would be to ensure that once the COVID-19 pandemic is over that any collusion and anticompetitive behaviours cease. </w:t>
      </w:r>
    </w:p>
    <w:sectPr w:rsidR="001B60F2" w:rsidRPr="001B60F2" w:rsidSect="00DD0AEA">
      <w:headerReference w:type="default" r:id="rId9"/>
      <w:footerReference w:type="default" r:id="rId10"/>
      <w:headerReference w:type="first" r:id="rId11"/>
      <w:footerReference w:type="first" r:id="rId12"/>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0CC35" w14:textId="77777777" w:rsidR="00A415D2" w:rsidRDefault="00A415D2" w:rsidP="00DD0AEA">
      <w:pPr>
        <w:spacing w:after="0" w:line="240" w:lineRule="auto"/>
      </w:pPr>
      <w:r>
        <w:separator/>
      </w:r>
    </w:p>
  </w:endnote>
  <w:endnote w:type="continuationSeparator" w:id="0">
    <w:p w14:paraId="0DC1B3B6" w14:textId="77777777" w:rsidR="00A415D2" w:rsidRDefault="00A415D2" w:rsidP="00DD0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enir Book">
    <w:altName w:val="Tw Cen MT"/>
    <w:charset w:val="00"/>
    <w:family w:val="auto"/>
    <w:pitch w:val="variable"/>
    <w:sig w:usb0="800000AF" w:usb1="5000204A" w:usb2="00000000" w:usb3="00000000" w:csb0="0000009B" w:csb1="00000000"/>
  </w:font>
  <w:font w:name="Avenir Medium Oblique">
    <w:charset w:val="00"/>
    <w:family w:val="auto"/>
    <w:pitch w:val="variable"/>
    <w:sig w:usb0="800000AF" w:usb1="5000204A" w:usb2="00000000" w:usb3="00000000" w:csb0="0000009B"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64661" w14:textId="77777777" w:rsidR="00E87544" w:rsidRPr="00E64524" w:rsidRDefault="00E87544" w:rsidP="00DD0AEA">
    <w:pPr>
      <w:spacing w:after="0"/>
      <w:rPr>
        <w:rFonts w:ascii="Times New Roman" w:hAnsi="Times New Roman" w:cs="Times New Roman"/>
        <w:noProof/>
      </w:rPr>
    </w:pPr>
    <w:r w:rsidRPr="00E05115">
      <w:rPr>
        <w:color w:val="23B0E6"/>
      </w:rPr>
      <w:t>www.accan.org.au | info@accan.org.au | twitter: @ACCAN_AU</w:t>
    </w:r>
    <w:r>
      <w:rPr>
        <w:color w:val="23B0E6"/>
      </w:rPr>
      <w:ptab w:relativeTo="margin" w:alignment="right" w:leader="none"/>
    </w:r>
    <w:r w:rsidRPr="00E64524">
      <w:rPr>
        <w:rFonts w:ascii="Times New Roman" w:hAnsi="Times New Roman" w:cs="Times New Roman"/>
      </w:rPr>
      <w:fldChar w:fldCharType="begin"/>
    </w:r>
    <w:r w:rsidRPr="00E64524">
      <w:rPr>
        <w:rFonts w:ascii="Times New Roman" w:hAnsi="Times New Roman" w:cs="Times New Roman"/>
      </w:rPr>
      <w:instrText xml:space="preserve"> PAGE   \* MERGEFORMAT </w:instrText>
    </w:r>
    <w:r w:rsidRPr="00E64524">
      <w:rPr>
        <w:rFonts w:ascii="Times New Roman" w:hAnsi="Times New Roman" w:cs="Times New Roman"/>
      </w:rPr>
      <w:fldChar w:fldCharType="separate"/>
    </w:r>
    <w:r>
      <w:rPr>
        <w:rFonts w:ascii="Times New Roman" w:hAnsi="Times New Roman" w:cs="Times New Roman"/>
        <w:noProof/>
      </w:rPr>
      <w:t>2</w:t>
    </w:r>
    <w:r w:rsidRPr="00E64524">
      <w:rPr>
        <w:rFonts w:ascii="Times New Roman" w:hAnsi="Times New Roman" w:cs="Times New Roman"/>
        <w:noProof/>
      </w:rPr>
      <w:fldChar w:fldCharType="end"/>
    </w:r>
    <w:r>
      <w:rPr>
        <w:rFonts w:ascii="Times New Roman" w:hAnsi="Times New Roman" w:cs="Times New Roman"/>
        <w:noProof/>
      </w:rPr>
      <w:t>.</w:t>
    </w:r>
  </w:p>
  <w:p w14:paraId="53F69A56" w14:textId="77777777" w:rsidR="00E87544" w:rsidRPr="000F58CC" w:rsidRDefault="00E87544" w:rsidP="00DD0A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7D621" w14:textId="77777777" w:rsidR="00E87544" w:rsidRDefault="00E87544" w:rsidP="00DD0AEA">
    <w:pPr>
      <w:pStyle w:val="Footerpage1"/>
    </w:pPr>
    <w:r w:rsidRPr="004A0B0A">
      <w:rPr>
        <w:color w:val="44C8F5"/>
      </w:rPr>
      <w:t>Australian Communications Consumer Action Network (ACCAN)</w:t>
    </w:r>
  </w:p>
  <w:p w14:paraId="05DEAA33" w14:textId="77777777" w:rsidR="00E87544" w:rsidRDefault="00E87544" w:rsidP="00DD0AEA">
    <w:pPr>
      <w:pStyle w:val="Footerpage1"/>
      <w:rPr>
        <w:i/>
      </w:rPr>
    </w:pPr>
    <w:r w:rsidRPr="004A0B0A">
      <w:rPr>
        <w:i/>
        <w:color w:val="44C8F5"/>
      </w:rPr>
      <w:t>Australia’s peak telecommunications consumer organisation</w:t>
    </w:r>
  </w:p>
  <w:p w14:paraId="4A3423E5" w14:textId="77777777" w:rsidR="00E87544" w:rsidRDefault="00E87544" w:rsidP="00DD0AEA">
    <w:pPr>
      <w:pStyle w:val="Footerpage1"/>
    </w:pPr>
    <w:r w:rsidRPr="008E763A">
      <w:rPr>
        <w:noProof/>
        <w:lang w:val="en-US"/>
      </w:rPr>
      <mc:AlternateContent>
        <mc:Choice Requires="wps">
          <w:drawing>
            <wp:inline distT="0" distB="0" distL="0" distR="0" wp14:anchorId="34B8AE53" wp14:editId="2C047BCC">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noFill/>
                      <a:ln w="38100" cap="flat" cmpd="sng" algn="ctr">
                        <a:solidFill>
                          <a:srgbClr val="23B0E6"/>
                        </a:solidFill>
                        <a:prstDash val="solid"/>
                      </a:ln>
                      <a:effectLst/>
                    </wps:spPr>
                    <wps:bodyPr/>
                  </wps:wsp>
                </a:graphicData>
              </a:graphic>
            </wp:inline>
          </w:drawing>
        </mc:Choice>
        <mc:Fallback xmlns:a="http://schemas.openxmlformats.org/drawingml/2006/main" xmlns:w16="http://schemas.microsoft.com/office/word/2018/wordml" xmlns:w16cex="http://schemas.microsoft.com/office/word/2018/wordml/cex">
          <w:pict w14:anchorId="2397CADB">
            <v:line id="Straight Connector 5" style="visibility:visible;mso-wrap-style:square;mso-left-percent:-10001;mso-top-percent:-10001;mso-position-horizontal:absolute;mso-position-horizontal-relative:char;mso-position-vertical:absolute;mso-position-vertical-relative:line;mso-left-percent:-10001;mso-top-percent:-10001" o:spid="_x0000_s1026" strokecolor="#23b0e6" strokeweight="3pt" from="0,0" to="527.55pt,0" w14:anchorId="75FFAF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">
              <w10:anchorlock/>
            </v:line>
          </w:pict>
        </mc:Fallback>
      </mc:AlternateContent>
    </w:r>
    <w:r w:rsidRPr="008E763A">
      <w:t>Suite 4.02, 55 Mountain St, Ultimo NSW 2007</w:t>
    </w:r>
  </w:p>
  <w:p w14:paraId="4D51D8F7" w14:textId="77777777" w:rsidR="00E87544" w:rsidRDefault="00E87544" w:rsidP="00DD0AEA">
    <w:pPr>
      <w:pStyle w:val="Footerpage1"/>
    </w:pPr>
    <w:r w:rsidRPr="008E763A">
      <w:t>Tel: (02) 9288 4000 | TTY: (02) 9281 5322 | Fax: (02) 9288 4019</w:t>
    </w:r>
  </w:p>
  <w:p w14:paraId="57FD4E3A" w14:textId="77777777" w:rsidR="00E87544" w:rsidRDefault="00E87544" w:rsidP="00DD0AEA">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B47DD" w14:textId="77777777" w:rsidR="00A415D2" w:rsidRDefault="00A415D2" w:rsidP="00DD0AEA">
      <w:pPr>
        <w:spacing w:after="0" w:line="240" w:lineRule="auto"/>
      </w:pPr>
      <w:r>
        <w:separator/>
      </w:r>
    </w:p>
  </w:footnote>
  <w:footnote w:type="continuationSeparator" w:id="0">
    <w:p w14:paraId="71B92FD5" w14:textId="77777777" w:rsidR="00A415D2" w:rsidRDefault="00A415D2" w:rsidP="00DD0AEA">
      <w:pPr>
        <w:spacing w:after="0" w:line="240" w:lineRule="auto"/>
      </w:pPr>
      <w:r>
        <w:continuationSeparator/>
      </w:r>
    </w:p>
  </w:footnote>
  <w:footnote w:id="1">
    <w:p w14:paraId="339A3C73" w14:textId="62E3B2E4" w:rsidR="00312DD7" w:rsidRPr="00D801A2" w:rsidRDefault="00312DD7">
      <w:pPr>
        <w:pStyle w:val="FootnoteText"/>
        <w:rPr>
          <w:lang w:val="en-US"/>
        </w:rPr>
      </w:pPr>
      <w:r>
        <w:rPr>
          <w:rStyle w:val="FootnoteReference"/>
        </w:rPr>
        <w:footnoteRef/>
      </w:r>
      <w:r>
        <w:t xml:space="preserve">  Lonergan (2020) </w:t>
      </w:r>
      <w:r w:rsidR="000D31CE">
        <w:t xml:space="preserve">COVID-19 </w:t>
      </w:r>
      <w:r>
        <w:t>Express Omnibus Survey</w:t>
      </w:r>
      <w:r w:rsidR="00A84A4A">
        <w:t xml:space="preserve">, </w:t>
      </w:r>
      <w:r w:rsidR="00053612">
        <w:t>Unpublished</w:t>
      </w:r>
      <w:r w:rsidR="00A84A4A">
        <w:t>.</w:t>
      </w:r>
    </w:p>
  </w:footnote>
  <w:footnote w:id="2">
    <w:p w14:paraId="565D20E7" w14:textId="5620816F" w:rsidR="00D801A2" w:rsidRPr="00312DD7" w:rsidRDefault="00D801A2" w:rsidP="00D801A2">
      <w:pPr>
        <w:pStyle w:val="FootnoteText"/>
      </w:pPr>
      <w:r>
        <w:rPr>
          <w:rStyle w:val="FootnoteReference"/>
        </w:rPr>
        <w:footnoteRef/>
      </w:r>
      <w:r>
        <w:t xml:space="preserve"> In the report for week ending 1 May 2020, it was disclosed that NBN made a recommendation to the main video streaming content providers that they maintain the status quo and keep their voluntary measures in relation to their video streaming services in place for the time being to help manage network traffic.  </w:t>
      </w:r>
      <w:hyperlink r:id="rId1" w:history="1">
        <w:r w:rsidR="00432E71" w:rsidRPr="00575F97">
          <w:rPr>
            <w:rStyle w:val="Hyperlink"/>
          </w:rPr>
          <w:t>https://www.accc.gov.au/system/files/public-registers/documents/Report%20for%20Special%20Working%20Group%20for%20week%20ending%201%20May%202020%20-%2006.05.20%20-%20PR%20-%20AA1000483%20NBN.pdf</w:t>
        </w:r>
      </w:hyperlink>
      <w:r w:rsidR="00432E71">
        <w:t xml:space="preserve"> </w:t>
      </w:r>
    </w:p>
  </w:footnote>
  <w:footnote w:id="3">
    <w:p w14:paraId="27247870" w14:textId="5BC7F7E9" w:rsidR="00F82043" w:rsidRPr="00D54881" w:rsidRDefault="00F82043" w:rsidP="00D54881">
      <w:pPr>
        <w:rPr>
          <w:sz w:val="20"/>
          <w:szCs w:val="20"/>
        </w:rPr>
      </w:pPr>
      <w:r w:rsidRPr="00D54881">
        <w:rPr>
          <w:rStyle w:val="FootnoteReference"/>
          <w:sz w:val="20"/>
          <w:szCs w:val="20"/>
        </w:rPr>
        <w:footnoteRef/>
      </w:r>
      <w:r w:rsidRPr="00D54881">
        <w:rPr>
          <w:sz w:val="20"/>
          <w:szCs w:val="20"/>
        </w:rPr>
        <w:t xml:space="preserve"> </w:t>
      </w:r>
      <w:hyperlink r:id="rId2" w:history="1">
        <w:r w:rsidRPr="00D54881">
          <w:rPr>
            <w:rStyle w:val="Hyperlink"/>
            <w:sz w:val="20"/>
            <w:szCs w:val="20"/>
          </w:rPr>
          <w:t>https://www1.nbnco.com.au/corporate-information/about-nbn-co/updates/dashboard-march-2020</w:t>
        </w:r>
      </w:hyperlink>
    </w:p>
  </w:footnote>
  <w:footnote w:id="4">
    <w:p w14:paraId="210FEE91" w14:textId="56D38E0C" w:rsidR="00F43BD1" w:rsidRPr="00F43BD1" w:rsidRDefault="00F43BD1">
      <w:pPr>
        <w:pStyle w:val="FootnoteText"/>
        <w:rPr>
          <w:lang w:val="en-US"/>
        </w:rPr>
      </w:pPr>
      <w:r w:rsidRPr="00D54881">
        <w:rPr>
          <w:rStyle w:val="FootnoteReference"/>
          <w:sz w:val="20"/>
        </w:rPr>
        <w:footnoteRef/>
      </w:r>
      <w:r w:rsidRPr="00D54881">
        <w:rPr>
          <w:sz w:val="20"/>
        </w:rPr>
        <w:t xml:space="preserve"> </w:t>
      </w:r>
      <w:hyperlink r:id="rId3" w:history="1">
        <w:r w:rsidRPr="00D54881">
          <w:rPr>
            <w:rFonts w:asciiTheme="minorHAnsi" w:hAnsiTheme="minorHAnsi"/>
            <w:color w:val="0000FF"/>
            <w:sz w:val="20"/>
            <w:u w:val="single"/>
          </w:rPr>
          <w:t>https://www.smh.com.au/national/health-minister-wants-telehealth-to-continue-after-covid-19-pandemic-20200506-p54qfj.html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FC448" w14:textId="77777777" w:rsidR="00E87544" w:rsidRDefault="32EED303" w:rsidP="00DD0AEA">
    <w:pPr>
      <w:pStyle w:val="Header"/>
      <w:jc w:val="right"/>
    </w:pPr>
    <w:r>
      <w:rPr>
        <w:noProof/>
      </w:rPr>
      <w:drawing>
        <wp:inline distT="0" distB="0" distL="0" distR="0" wp14:anchorId="15194395" wp14:editId="2927F15B">
          <wp:extent cx="678787" cy="296066"/>
          <wp:effectExtent l="0" t="0" r="7620" b="8890"/>
          <wp:docPr id="1842292620"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78787" cy="29606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4E9D6" w14:textId="77777777" w:rsidR="00E87544" w:rsidRDefault="32EED303" w:rsidP="00DD0AEA">
    <w:pPr>
      <w:pStyle w:val="Header"/>
      <w:jc w:val="center"/>
    </w:pPr>
    <w:r>
      <w:rPr>
        <w:noProof/>
      </w:rPr>
      <w:drawing>
        <wp:inline distT="0" distB="0" distL="0" distR="0" wp14:anchorId="61D78814" wp14:editId="1F62C3D8">
          <wp:extent cx="3057525" cy="1581150"/>
          <wp:effectExtent l="0" t="0" r="0" b="0"/>
          <wp:docPr id="491562424"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3057525" cy="1581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A83"/>
    <w:multiLevelType w:val="hybridMultilevel"/>
    <w:tmpl w:val="84D45C6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2E5E74"/>
    <w:multiLevelType w:val="hybridMultilevel"/>
    <w:tmpl w:val="16924F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194BFA"/>
    <w:multiLevelType w:val="hybridMultilevel"/>
    <w:tmpl w:val="10A4E6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C1297C"/>
    <w:multiLevelType w:val="hybridMultilevel"/>
    <w:tmpl w:val="5590E59E"/>
    <w:lvl w:ilvl="0" w:tplc="F9CEF1A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DF36D3"/>
    <w:multiLevelType w:val="hybridMultilevel"/>
    <w:tmpl w:val="47F02A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6" w15:restartNumberingAfterBreak="0">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7" w15:restartNumberingAfterBreak="0">
    <w:nsid w:val="49144A80"/>
    <w:multiLevelType w:val="hybridMultilevel"/>
    <w:tmpl w:val="562A13E2"/>
    <w:lvl w:ilvl="0" w:tplc="33CC636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991BEC"/>
    <w:multiLevelType w:val="hybridMultilevel"/>
    <w:tmpl w:val="A300ABC2"/>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5A467144"/>
    <w:multiLevelType w:val="multilevel"/>
    <w:tmpl w:val="989E8E90"/>
    <w:numStyleLink w:val="Appendices"/>
  </w:abstractNum>
  <w:abstractNum w:abstractNumId="11" w15:restartNumberingAfterBreak="0">
    <w:nsid w:val="60D47652"/>
    <w:multiLevelType w:val="hybridMultilevel"/>
    <w:tmpl w:val="EC425B6C"/>
    <w:lvl w:ilvl="0" w:tplc="FCFC1414">
      <w:start w:val="1"/>
      <w:numFmt w:val="decimal"/>
      <w:pStyle w:val="CRKListBold"/>
      <w:lvlText w:val="%1."/>
      <w:lvlJc w:val="left"/>
      <w:pPr>
        <w:ind w:left="425" w:hanging="425"/>
      </w:pPr>
      <w:rPr>
        <w:rFonts w:hint="default"/>
      </w:rPr>
    </w:lvl>
    <w:lvl w:ilvl="1" w:tplc="0C090017">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4A12E95"/>
    <w:multiLevelType w:val="hybridMultilevel"/>
    <w:tmpl w:val="9ECC60EE"/>
    <w:lvl w:ilvl="0" w:tplc="A04285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7CD6231"/>
    <w:multiLevelType w:val="multilevel"/>
    <w:tmpl w:val="F2FC669E"/>
    <w:numStyleLink w:val="Recommendations"/>
  </w:abstractNum>
  <w:abstractNum w:abstractNumId="14" w15:restartNumberingAfterBreak="0">
    <w:nsid w:val="6A673D0C"/>
    <w:multiLevelType w:val="hybridMultilevel"/>
    <w:tmpl w:val="10A4E6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C8F0376"/>
    <w:multiLevelType w:val="hybridMultilevel"/>
    <w:tmpl w:val="10A4E6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8" w15:restartNumberingAfterBreak="0">
    <w:nsid w:val="7CFD49A4"/>
    <w:multiLevelType w:val="hybridMultilevel"/>
    <w:tmpl w:val="A6A823D0"/>
    <w:lvl w:ilvl="0" w:tplc="3E7217D0">
      <w:start w:val="1"/>
      <w:numFmt w:val="bullet"/>
      <w:pStyle w:val="CRKReportQuoteBullet"/>
      <w:lvlText w:val=""/>
      <w:lvlJc w:val="left"/>
      <w:pPr>
        <w:ind w:left="128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443E65"/>
    <w:multiLevelType w:val="hybridMultilevel"/>
    <w:tmpl w:val="25DCCA46"/>
    <w:lvl w:ilvl="0" w:tplc="F6A84E24">
      <w:start w:val="3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9"/>
  </w:num>
  <w:num w:numId="4">
    <w:abstractNumId w:val="10"/>
  </w:num>
  <w:num w:numId="5">
    <w:abstractNumId w:val="16"/>
  </w:num>
  <w:num w:numId="6">
    <w:abstractNumId w:val="6"/>
  </w:num>
  <w:num w:numId="7">
    <w:abstractNumId w:val="13"/>
  </w:num>
  <w:num w:numId="8">
    <w:abstractNumId w:val="8"/>
  </w:num>
  <w:num w:numId="9">
    <w:abstractNumId w:val="12"/>
  </w:num>
  <w:num w:numId="10">
    <w:abstractNumId w:val="19"/>
  </w:num>
  <w:num w:numId="11">
    <w:abstractNumId w:val="15"/>
  </w:num>
  <w:num w:numId="12">
    <w:abstractNumId w:val="3"/>
  </w:num>
  <w:num w:numId="13">
    <w:abstractNumId w:val="7"/>
  </w:num>
  <w:num w:numId="14">
    <w:abstractNumId w:val="14"/>
  </w:num>
  <w:num w:numId="15">
    <w:abstractNumId w:val="2"/>
  </w:num>
  <w:num w:numId="16">
    <w:abstractNumId w:val="4"/>
  </w:num>
  <w:num w:numId="17">
    <w:abstractNumId w:val="1"/>
  </w:num>
  <w:num w:numId="18">
    <w:abstractNumId w:val="0"/>
  </w:num>
  <w:num w:numId="19">
    <w:abstractNumId w:val="18"/>
  </w:num>
  <w:num w:numId="2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AEA"/>
    <w:rsid w:val="00000906"/>
    <w:rsid w:val="00010BA2"/>
    <w:rsid w:val="00010CA1"/>
    <w:rsid w:val="00053612"/>
    <w:rsid w:val="00061D50"/>
    <w:rsid w:val="000650E6"/>
    <w:rsid w:val="00065DD3"/>
    <w:rsid w:val="00085C9B"/>
    <w:rsid w:val="00096507"/>
    <w:rsid w:val="000A5EB3"/>
    <w:rsid w:val="000D31CE"/>
    <w:rsid w:val="000D34BB"/>
    <w:rsid w:val="000D7F3C"/>
    <w:rsid w:val="00126EC2"/>
    <w:rsid w:val="00133AFE"/>
    <w:rsid w:val="00134C68"/>
    <w:rsid w:val="001373AC"/>
    <w:rsid w:val="00144CDC"/>
    <w:rsid w:val="00186E10"/>
    <w:rsid w:val="0019280C"/>
    <w:rsid w:val="001A0117"/>
    <w:rsid w:val="001A1771"/>
    <w:rsid w:val="001B5697"/>
    <w:rsid w:val="001B60F2"/>
    <w:rsid w:val="001B73C2"/>
    <w:rsid w:val="001D3D4A"/>
    <w:rsid w:val="00200D72"/>
    <w:rsid w:val="0021689F"/>
    <w:rsid w:val="0024484B"/>
    <w:rsid w:val="00270E79"/>
    <w:rsid w:val="00280413"/>
    <w:rsid w:val="002A5BCF"/>
    <w:rsid w:val="002B0785"/>
    <w:rsid w:val="002C04D2"/>
    <w:rsid w:val="002D2E41"/>
    <w:rsid w:val="002D790E"/>
    <w:rsid w:val="002E3FC2"/>
    <w:rsid w:val="002F26C7"/>
    <w:rsid w:val="002F55C6"/>
    <w:rsid w:val="002F7323"/>
    <w:rsid w:val="00300E0A"/>
    <w:rsid w:val="00302E0D"/>
    <w:rsid w:val="00312DD7"/>
    <w:rsid w:val="003142CD"/>
    <w:rsid w:val="00335667"/>
    <w:rsid w:val="00342656"/>
    <w:rsid w:val="00354CD9"/>
    <w:rsid w:val="00357253"/>
    <w:rsid w:val="003A0BC8"/>
    <w:rsid w:val="003A17FE"/>
    <w:rsid w:val="003D2009"/>
    <w:rsid w:val="0042601F"/>
    <w:rsid w:val="00432E71"/>
    <w:rsid w:val="0043306D"/>
    <w:rsid w:val="0044553A"/>
    <w:rsid w:val="0047330D"/>
    <w:rsid w:val="004807E3"/>
    <w:rsid w:val="004C248C"/>
    <w:rsid w:val="004D2D1A"/>
    <w:rsid w:val="004E0362"/>
    <w:rsid w:val="004F3DB9"/>
    <w:rsid w:val="00507125"/>
    <w:rsid w:val="00510DD5"/>
    <w:rsid w:val="0052094F"/>
    <w:rsid w:val="00543F96"/>
    <w:rsid w:val="00560BDF"/>
    <w:rsid w:val="00566EFC"/>
    <w:rsid w:val="00570E2B"/>
    <w:rsid w:val="0057584E"/>
    <w:rsid w:val="00575BF4"/>
    <w:rsid w:val="00581DE8"/>
    <w:rsid w:val="005839CB"/>
    <w:rsid w:val="005845C0"/>
    <w:rsid w:val="005865B5"/>
    <w:rsid w:val="00597002"/>
    <w:rsid w:val="005E3E65"/>
    <w:rsid w:val="005F53E6"/>
    <w:rsid w:val="006055D3"/>
    <w:rsid w:val="00605F4D"/>
    <w:rsid w:val="00610687"/>
    <w:rsid w:val="00612139"/>
    <w:rsid w:val="00625080"/>
    <w:rsid w:val="00633BDF"/>
    <w:rsid w:val="006441A1"/>
    <w:rsid w:val="00655B96"/>
    <w:rsid w:val="00682996"/>
    <w:rsid w:val="006A3AAF"/>
    <w:rsid w:val="006C7B72"/>
    <w:rsid w:val="006C7B9E"/>
    <w:rsid w:val="006D3B98"/>
    <w:rsid w:val="006E146E"/>
    <w:rsid w:val="006F41FA"/>
    <w:rsid w:val="006F6338"/>
    <w:rsid w:val="006F7394"/>
    <w:rsid w:val="00706D07"/>
    <w:rsid w:val="00707D44"/>
    <w:rsid w:val="00754DB8"/>
    <w:rsid w:val="00763B25"/>
    <w:rsid w:val="007659DC"/>
    <w:rsid w:val="00787048"/>
    <w:rsid w:val="007942AD"/>
    <w:rsid w:val="007A0036"/>
    <w:rsid w:val="007A78A5"/>
    <w:rsid w:val="007C2CCF"/>
    <w:rsid w:val="007C4570"/>
    <w:rsid w:val="007D0CBE"/>
    <w:rsid w:val="007D569A"/>
    <w:rsid w:val="007E3518"/>
    <w:rsid w:val="007E6ADF"/>
    <w:rsid w:val="007E749B"/>
    <w:rsid w:val="007E7F5C"/>
    <w:rsid w:val="0080400A"/>
    <w:rsid w:val="00833ADF"/>
    <w:rsid w:val="00836740"/>
    <w:rsid w:val="00840267"/>
    <w:rsid w:val="00842071"/>
    <w:rsid w:val="00851A60"/>
    <w:rsid w:val="0086580A"/>
    <w:rsid w:val="00873AA0"/>
    <w:rsid w:val="00875E6F"/>
    <w:rsid w:val="0089091D"/>
    <w:rsid w:val="008975D6"/>
    <w:rsid w:val="008A1610"/>
    <w:rsid w:val="008A65C4"/>
    <w:rsid w:val="008D0D03"/>
    <w:rsid w:val="008F1E7D"/>
    <w:rsid w:val="008F4CA4"/>
    <w:rsid w:val="0092672F"/>
    <w:rsid w:val="00943A59"/>
    <w:rsid w:val="00946F14"/>
    <w:rsid w:val="009559C0"/>
    <w:rsid w:val="009625A0"/>
    <w:rsid w:val="00992750"/>
    <w:rsid w:val="009A7EE2"/>
    <w:rsid w:val="009B19A0"/>
    <w:rsid w:val="009B6574"/>
    <w:rsid w:val="009D5E29"/>
    <w:rsid w:val="009E17C4"/>
    <w:rsid w:val="009E3E29"/>
    <w:rsid w:val="00A00F1E"/>
    <w:rsid w:val="00A01357"/>
    <w:rsid w:val="00A15686"/>
    <w:rsid w:val="00A16BB4"/>
    <w:rsid w:val="00A415D2"/>
    <w:rsid w:val="00A51E30"/>
    <w:rsid w:val="00A545BE"/>
    <w:rsid w:val="00A551EE"/>
    <w:rsid w:val="00A5721E"/>
    <w:rsid w:val="00A6675C"/>
    <w:rsid w:val="00A76DCA"/>
    <w:rsid w:val="00A84A4A"/>
    <w:rsid w:val="00A92835"/>
    <w:rsid w:val="00A95171"/>
    <w:rsid w:val="00AB1F42"/>
    <w:rsid w:val="00AB4B46"/>
    <w:rsid w:val="00AC28DB"/>
    <w:rsid w:val="00AD32BA"/>
    <w:rsid w:val="00AE1D14"/>
    <w:rsid w:val="00AE2561"/>
    <w:rsid w:val="00AE5552"/>
    <w:rsid w:val="00AF478D"/>
    <w:rsid w:val="00B24E14"/>
    <w:rsid w:val="00B34F2C"/>
    <w:rsid w:val="00B45CDF"/>
    <w:rsid w:val="00B70FEB"/>
    <w:rsid w:val="00BA62E3"/>
    <w:rsid w:val="00BD48E5"/>
    <w:rsid w:val="00BE1E82"/>
    <w:rsid w:val="00C00A61"/>
    <w:rsid w:val="00C02C90"/>
    <w:rsid w:val="00C1682D"/>
    <w:rsid w:val="00C30453"/>
    <w:rsid w:val="00C42202"/>
    <w:rsid w:val="00C637A3"/>
    <w:rsid w:val="00C65D89"/>
    <w:rsid w:val="00C74170"/>
    <w:rsid w:val="00C76972"/>
    <w:rsid w:val="00C85CE3"/>
    <w:rsid w:val="00C912CC"/>
    <w:rsid w:val="00C94E17"/>
    <w:rsid w:val="00CB077C"/>
    <w:rsid w:val="00CD7A74"/>
    <w:rsid w:val="00CE5072"/>
    <w:rsid w:val="00CF526D"/>
    <w:rsid w:val="00D01B38"/>
    <w:rsid w:val="00D062CF"/>
    <w:rsid w:val="00D16031"/>
    <w:rsid w:val="00D17CDA"/>
    <w:rsid w:val="00D27EF9"/>
    <w:rsid w:val="00D40650"/>
    <w:rsid w:val="00D433DF"/>
    <w:rsid w:val="00D46009"/>
    <w:rsid w:val="00D46915"/>
    <w:rsid w:val="00D54881"/>
    <w:rsid w:val="00D6698F"/>
    <w:rsid w:val="00D674B1"/>
    <w:rsid w:val="00D765BC"/>
    <w:rsid w:val="00D801A2"/>
    <w:rsid w:val="00D95A92"/>
    <w:rsid w:val="00DA77AE"/>
    <w:rsid w:val="00DB4978"/>
    <w:rsid w:val="00DB75E1"/>
    <w:rsid w:val="00DC561D"/>
    <w:rsid w:val="00DD0AEA"/>
    <w:rsid w:val="00DD5468"/>
    <w:rsid w:val="00DE198E"/>
    <w:rsid w:val="00DE77F8"/>
    <w:rsid w:val="00E03224"/>
    <w:rsid w:val="00E049A4"/>
    <w:rsid w:val="00E10059"/>
    <w:rsid w:val="00E34F1C"/>
    <w:rsid w:val="00E51158"/>
    <w:rsid w:val="00E52149"/>
    <w:rsid w:val="00E5684F"/>
    <w:rsid w:val="00E64524"/>
    <w:rsid w:val="00E74E7F"/>
    <w:rsid w:val="00E87544"/>
    <w:rsid w:val="00EB0F82"/>
    <w:rsid w:val="00EB303A"/>
    <w:rsid w:val="00ED1E5D"/>
    <w:rsid w:val="00ED24AD"/>
    <w:rsid w:val="00EF21D2"/>
    <w:rsid w:val="00EF5316"/>
    <w:rsid w:val="00EF60C3"/>
    <w:rsid w:val="00F00283"/>
    <w:rsid w:val="00F06C81"/>
    <w:rsid w:val="00F10B45"/>
    <w:rsid w:val="00F11C6D"/>
    <w:rsid w:val="00F33355"/>
    <w:rsid w:val="00F43BD1"/>
    <w:rsid w:val="00F57654"/>
    <w:rsid w:val="00F63BA4"/>
    <w:rsid w:val="00F6524C"/>
    <w:rsid w:val="00F7192C"/>
    <w:rsid w:val="00F7669D"/>
    <w:rsid w:val="00F82043"/>
    <w:rsid w:val="00F8456C"/>
    <w:rsid w:val="00FB3B26"/>
    <w:rsid w:val="00FB5124"/>
    <w:rsid w:val="00FC1461"/>
    <w:rsid w:val="00FD323C"/>
    <w:rsid w:val="00FD59EF"/>
    <w:rsid w:val="00FE5857"/>
    <w:rsid w:val="32EED303"/>
    <w:rsid w:val="4814A95A"/>
    <w:rsid w:val="4C9A6CBA"/>
    <w:rsid w:val="4F7E8CFE"/>
    <w:rsid w:val="56005734"/>
    <w:rsid w:val="7F3B1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E99C5"/>
  <w15:docId w15:val="{8A0044E4-B389-48C8-900E-A7CEEC0D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AU"/>
    </w:rPr>
  </w:style>
  <w:style w:type="paragraph" w:styleId="Heading1">
    <w:name w:val="heading 1"/>
    <w:next w:val="Normal"/>
    <w:link w:val="Heading1Char"/>
    <w:uiPriority w:val="9"/>
    <w:qFormat/>
    <w:rsid w:val="00DD0AEA"/>
    <w:pPr>
      <w:keepNext/>
      <w:keepLines/>
      <w:pageBreakBefore/>
      <w:numPr>
        <w:numId w:val="1"/>
      </w:numPr>
      <w:spacing w:before="100" w:beforeAutospacing="1" w:after="240" w:line="240" w:lineRule="auto"/>
      <w:outlineLvl w:val="0"/>
    </w:pPr>
    <w:rPr>
      <w:rFonts w:ascii="Calibri" w:eastAsiaTheme="majorEastAsia" w:hAnsi="Calibri" w:cstheme="majorBidi"/>
      <w:bCs/>
      <w:sz w:val="48"/>
      <w:szCs w:val="28"/>
      <w:lang w:val="en-AU"/>
    </w:rPr>
  </w:style>
  <w:style w:type="paragraph" w:styleId="Heading2">
    <w:name w:val="heading 2"/>
    <w:next w:val="Normal"/>
    <w:link w:val="Heading2Char"/>
    <w:qFormat/>
    <w:rsid w:val="00DD0AEA"/>
    <w:pPr>
      <w:keepNext/>
      <w:numPr>
        <w:ilvl w:val="1"/>
        <w:numId w:val="1"/>
      </w:numPr>
      <w:spacing w:before="100" w:beforeAutospacing="1" w:after="240" w:line="240" w:lineRule="auto"/>
      <w:outlineLvl w:val="1"/>
    </w:pPr>
    <w:rPr>
      <w:rFonts w:ascii="Calibri" w:eastAsia="Times New Roman" w:hAnsi="Calibri" w:cs="Times New Roman"/>
      <w:bCs/>
      <w:iCs/>
      <w:sz w:val="32"/>
      <w:szCs w:val="24"/>
      <w:lang w:val="en-AU"/>
    </w:rPr>
  </w:style>
  <w:style w:type="paragraph" w:styleId="Heading3">
    <w:name w:val="heading 3"/>
    <w:next w:val="Normal"/>
    <w:link w:val="Heading3Char"/>
    <w:qFormat/>
    <w:rsid w:val="00DD0AEA"/>
    <w:pPr>
      <w:keepNext/>
      <w:numPr>
        <w:ilvl w:val="2"/>
        <w:numId w:val="1"/>
      </w:numPr>
      <w:spacing w:before="100" w:beforeAutospacing="1" w:after="240" w:line="240" w:lineRule="auto"/>
      <w:outlineLvl w:val="2"/>
    </w:pPr>
    <w:rPr>
      <w:rFonts w:ascii="Calibri" w:eastAsia="Times New Roman" w:hAnsi="Calibri" w:cs="Times New Roman"/>
      <w:bCs/>
      <w:iCs/>
      <w:sz w:val="28"/>
      <w:szCs w:val="24"/>
      <w:lang w:val="en-AU"/>
    </w:rPr>
  </w:style>
  <w:style w:type="paragraph" w:styleId="Heading4">
    <w:name w:val="heading 4"/>
    <w:next w:val="Normal"/>
    <w:link w:val="Heading4Char"/>
    <w:uiPriority w:val="9"/>
    <w:unhideWhenUsed/>
    <w:qFormat/>
    <w:rsid w:val="00DD0AEA"/>
    <w:pPr>
      <w:keepNext/>
      <w:keepLines/>
      <w:spacing w:before="100" w:beforeAutospacing="1" w:after="240" w:line="240" w:lineRule="auto"/>
      <w:outlineLvl w:val="3"/>
    </w:pPr>
    <w:rPr>
      <w:rFonts w:ascii="Calibri" w:eastAsiaTheme="majorEastAsia" w:hAnsi="Calibri" w:cstheme="majorBidi"/>
      <w:b/>
      <w:bCs/>
      <w:i/>
      <w:iCs/>
      <w:sz w:val="24"/>
      <w:lang w:val="en-AU"/>
    </w:rPr>
  </w:style>
  <w:style w:type="paragraph" w:styleId="Heading5">
    <w:name w:val="heading 5"/>
    <w:next w:val="Normal"/>
    <w:link w:val="Heading5Char"/>
    <w:uiPriority w:val="9"/>
    <w:unhideWhenUsed/>
    <w:qFormat/>
    <w:rsid w:val="00DD0AEA"/>
    <w:pPr>
      <w:keepNext/>
      <w:keepLines/>
      <w:spacing w:after="0" w:line="240" w:lineRule="auto"/>
      <w:outlineLvl w:val="4"/>
    </w:pPr>
    <w:rPr>
      <w:rFonts w:ascii="Calibri" w:eastAsiaTheme="majorEastAsia" w:hAnsi="Calibri" w:cstheme="majorBidi"/>
      <w:sz w:val="23"/>
      <w:u w:val="single"/>
      <w:lang w:val="en-AU"/>
    </w:rPr>
  </w:style>
  <w:style w:type="paragraph" w:styleId="Heading6">
    <w:name w:val="heading 6"/>
    <w:next w:val="Normal"/>
    <w:link w:val="Heading6Char"/>
    <w:uiPriority w:val="9"/>
    <w:unhideWhenUsed/>
    <w:qFormat/>
    <w:rsid w:val="00DD0AEA"/>
    <w:pPr>
      <w:keepNext/>
      <w:keepLines/>
      <w:spacing w:before="200" w:after="0" w:line="240" w:lineRule="auto"/>
      <w:outlineLvl w:val="5"/>
    </w:pPr>
    <w:rPr>
      <w:rFonts w:ascii="Calibri" w:eastAsiaTheme="majorEastAsia" w:hAnsi="Calibri" w:cstheme="majorBidi"/>
      <w:i/>
      <w:iCs/>
      <w:sz w:val="23"/>
      <w:lang w:val="en-AU"/>
    </w:rPr>
  </w:style>
  <w:style w:type="paragraph" w:styleId="Heading7">
    <w:name w:val="heading 7"/>
    <w:next w:val="Normal"/>
    <w:link w:val="Heading7Char"/>
    <w:uiPriority w:val="9"/>
    <w:semiHidden/>
    <w:unhideWhenUsed/>
    <w:rsid w:val="00DD0AEA"/>
    <w:pPr>
      <w:keepNext/>
      <w:keepLines/>
      <w:spacing w:before="200" w:after="0" w:line="240" w:lineRule="auto"/>
      <w:outlineLvl w:val="6"/>
    </w:pPr>
    <w:rPr>
      <w:rFonts w:asciiTheme="majorHAnsi" w:eastAsiaTheme="majorEastAsia" w:hAnsiTheme="majorHAnsi" w:cstheme="majorBidi"/>
      <w:i/>
      <w:iCs/>
      <w:color w:val="404040" w:themeColor="text1" w:themeTint="BF"/>
      <w:sz w:val="23"/>
      <w:lang w:val="en-AU" w:eastAsia="en-AU"/>
    </w:rPr>
  </w:style>
  <w:style w:type="paragraph" w:styleId="Heading8">
    <w:name w:val="heading 8"/>
    <w:basedOn w:val="Normal"/>
    <w:next w:val="Normal"/>
    <w:link w:val="Heading8Char"/>
    <w:uiPriority w:val="9"/>
    <w:semiHidden/>
    <w:unhideWhenUsed/>
    <w:qFormat/>
    <w:rsid w:val="00DD0AEA"/>
    <w:pPr>
      <w:keepNext/>
      <w:keepLines/>
      <w:spacing w:before="200" w:beforeAutospacing="1" w:after="0" w:afterAutospacing="1" w:line="240" w:lineRule="auto"/>
      <w:jc w:val="both"/>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
    <w:semiHidden/>
    <w:unhideWhenUsed/>
    <w:qFormat/>
    <w:rsid w:val="00DD0AEA"/>
    <w:pPr>
      <w:keepNext/>
      <w:keepLines/>
      <w:spacing w:before="200" w:beforeAutospacing="1" w:after="0" w:afterAutospacing="1" w:line="240" w:lineRule="auto"/>
      <w:jc w:val="both"/>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AEA"/>
    <w:rPr>
      <w:rFonts w:ascii="Calibri" w:eastAsiaTheme="majorEastAsia" w:hAnsi="Calibri" w:cstheme="majorBidi"/>
      <w:bCs/>
      <w:sz w:val="48"/>
      <w:szCs w:val="28"/>
      <w:lang w:val="en-AU"/>
    </w:rPr>
  </w:style>
  <w:style w:type="character" w:customStyle="1" w:styleId="Heading2Char">
    <w:name w:val="Heading 2 Char"/>
    <w:basedOn w:val="DefaultParagraphFont"/>
    <w:link w:val="Heading2"/>
    <w:rsid w:val="00DD0AEA"/>
    <w:rPr>
      <w:rFonts w:ascii="Calibri" w:eastAsia="Times New Roman" w:hAnsi="Calibri" w:cs="Times New Roman"/>
      <w:bCs/>
      <w:iCs/>
      <w:sz w:val="32"/>
      <w:szCs w:val="24"/>
      <w:lang w:val="en-AU"/>
    </w:rPr>
  </w:style>
  <w:style w:type="character" w:customStyle="1" w:styleId="Heading3Char">
    <w:name w:val="Heading 3 Char"/>
    <w:basedOn w:val="DefaultParagraphFont"/>
    <w:link w:val="Heading3"/>
    <w:rsid w:val="00DD0AEA"/>
    <w:rPr>
      <w:rFonts w:ascii="Calibri" w:eastAsia="Times New Roman" w:hAnsi="Calibri" w:cs="Times New Roman"/>
      <w:bCs/>
      <w:iCs/>
      <w:sz w:val="28"/>
      <w:szCs w:val="24"/>
      <w:lang w:val="en-AU"/>
    </w:rPr>
  </w:style>
  <w:style w:type="character" w:customStyle="1" w:styleId="Heading4Char">
    <w:name w:val="Heading 4 Char"/>
    <w:basedOn w:val="DefaultParagraphFont"/>
    <w:link w:val="Heading4"/>
    <w:uiPriority w:val="9"/>
    <w:rsid w:val="00DD0AEA"/>
    <w:rPr>
      <w:rFonts w:ascii="Calibri" w:eastAsiaTheme="majorEastAsia" w:hAnsi="Calibri" w:cstheme="majorBidi"/>
      <w:b/>
      <w:bCs/>
      <w:i/>
      <w:iCs/>
      <w:sz w:val="24"/>
      <w:lang w:val="en-AU"/>
    </w:rPr>
  </w:style>
  <w:style w:type="character" w:customStyle="1" w:styleId="Heading5Char">
    <w:name w:val="Heading 5 Char"/>
    <w:basedOn w:val="DefaultParagraphFont"/>
    <w:link w:val="Heading5"/>
    <w:uiPriority w:val="9"/>
    <w:rsid w:val="00DD0AEA"/>
    <w:rPr>
      <w:rFonts w:ascii="Calibri" w:eastAsiaTheme="majorEastAsia" w:hAnsi="Calibri" w:cstheme="majorBidi"/>
      <w:sz w:val="23"/>
      <w:u w:val="single"/>
      <w:lang w:val="en-AU"/>
    </w:rPr>
  </w:style>
  <w:style w:type="character" w:customStyle="1" w:styleId="Heading6Char">
    <w:name w:val="Heading 6 Char"/>
    <w:basedOn w:val="DefaultParagraphFont"/>
    <w:link w:val="Heading6"/>
    <w:uiPriority w:val="9"/>
    <w:rsid w:val="00DD0AEA"/>
    <w:rPr>
      <w:rFonts w:ascii="Calibri" w:eastAsiaTheme="majorEastAsia" w:hAnsi="Calibri" w:cstheme="majorBidi"/>
      <w:i/>
      <w:iCs/>
      <w:sz w:val="23"/>
      <w:lang w:val="en-AU"/>
    </w:rPr>
  </w:style>
  <w:style w:type="character" w:customStyle="1" w:styleId="Heading7Char">
    <w:name w:val="Heading 7 Char"/>
    <w:basedOn w:val="DefaultParagraphFont"/>
    <w:link w:val="Heading7"/>
    <w:uiPriority w:val="9"/>
    <w:semiHidden/>
    <w:rsid w:val="00DD0AEA"/>
    <w:rPr>
      <w:rFonts w:asciiTheme="majorHAnsi" w:eastAsiaTheme="majorEastAsia" w:hAnsiTheme="majorHAnsi" w:cstheme="majorBidi"/>
      <w:i/>
      <w:iCs/>
      <w:color w:val="404040" w:themeColor="text1" w:themeTint="BF"/>
      <w:sz w:val="23"/>
      <w:lang w:val="en-AU" w:eastAsia="en-AU"/>
    </w:rPr>
  </w:style>
  <w:style w:type="character" w:customStyle="1" w:styleId="Heading8Char">
    <w:name w:val="Heading 8 Char"/>
    <w:basedOn w:val="DefaultParagraphFont"/>
    <w:link w:val="Heading8"/>
    <w:uiPriority w:val="9"/>
    <w:semiHidden/>
    <w:rsid w:val="00DD0AEA"/>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uiPriority w:val="9"/>
    <w:semiHidden/>
    <w:rsid w:val="00DD0AEA"/>
    <w:rPr>
      <w:rFonts w:asciiTheme="majorHAnsi" w:eastAsiaTheme="majorEastAsia" w:hAnsiTheme="majorHAnsi" w:cstheme="majorBidi"/>
      <w:i/>
      <w:iCs/>
      <w:color w:val="404040" w:themeColor="text1" w:themeTint="BF"/>
      <w:sz w:val="20"/>
      <w:szCs w:val="20"/>
      <w:lang w:val="en-AU" w:eastAsia="en-AU"/>
    </w:rPr>
  </w:style>
  <w:style w:type="numbering" w:customStyle="1" w:styleId="NoList1">
    <w:name w:val="No List1"/>
    <w:next w:val="NoList"/>
    <w:uiPriority w:val="99"/>
    <w:semiHidden/>
    <w:unhideWhenUsed/>
    <w:rsid w:val="00DD0AEA"/>
  </w:style>
  <w:style w:type="paragraph" w:customStyle="1" w:styleId="Normal0">
    <w:name w:val="[Normal]"/>
    <w:uiPriority w:val="99"/>
    <w:rsid w:val="00DD0AEA"/>
    <w:pPr>
      <w:widowControl w:val="0"/>
      <w:autoSpaceDE w:val="0"/>
      <w:autoSpaceDN w:val="0"/>
      <w:adjustRightInd w:val="0"/>
      <w:spacing w:after="0" w:line="240" w:lineRule="auto"/>
    </w:pPr>
    <w:rPr>
      <w:rFonts w:ascii="Arial" w:hAnsi="Arial" w:cs="Arial"/>
      <w:sz w:val="24"/>
      <w:szCs w:val="24"/>
      <w:lang w:val="en-AU"/>
    </w:rPr>
  </w:style>
  <w:style w:type="character" w:customStyle="1" w:styleId="DHSText10ptChar">
    <w:name w:val="DHS Text 10pt Char"/>
    <w:uiPriority w:val="99"/>
    <w:rsid w:val="00DD0AEA"/>
    <w:rPr>
      <w:rFonts w:ascii="Verdana" w:hAnsi="Verdana"/>
      <w:lang w:val="en-AU" w:eastAsia="en-US"/>
    </w:rPr>
  </w:style>
  <w:style w:type="character" w:customStyle="1" w:styleId="notranslate">
    <w:name w:val="notranslate"/>
    <w:basedOn w:val="DefaultParagraphFont"/>
    <w:rsid w:val="00DD0AEA"/>
  </w:style>
  <w:style w:type="paragraph" w:customStyle="1" w:styleId="LineLast">
    <w:name w:val="Line Last"/>
    <w:basedOn w:val="Normal"/>
    <w:rsid w:val="00DD0AEA"/>
    <w:pPr>
      <w:tabs>
        <w:tab w:val="left" w:leader="underscore" w:pos="8640"/>
      </w:tabs>
      <w:spacing w:before="60" w:beforeAutospacing="1" w:after="360" w:afterAutospacing="1" w:line="240" w:lineRule="auto"/>
      <w:jc w:val="both"/>
    </w:pPr>
    <w:rPr>
      <w:rFonts w:ascii="Tahoma" w:eastAsia="Times New Roman" w:hAnsi="Tahoma" w:cs="Times New Roman"/>
      <w:sz w:val="20"/>
      <w:szCs w:val="24"/>
    </w:rPr>
  </w:style>
  <w:style w:type="paragraph" w:customStyle="1" w:styleId="Line">
    <w:name w:val="Line"/>
    <w:basedOn w:val="Normal"/>
    <w:rsid w:val="00DD0AEA"/>
    <w:pPr>
      <w:tabs>
        <w:tab w:val="left" w:leader="underscore" w:pos="8640"/>
      </w:tabs>
      <w:spacing w:before="60" w:beforeAutospacing="1" w:after="100" w:afterAutospacing="1" w:line="240" w:lineRule="auto"/>
      <w:jc w:val="both"/>
    </w:pPr>
    <w:rPr>
      <w:rFonts w:ascii="Tahoma" w:eastAsia="Times New Roman" w:hAnsi="Tahoma" w:cs="Times New Roman"/>
      <w:sz w:val="20"/>
      <w:szCs w:val="24"/>
    </w:rPr>
  </w:style>
  <w:style w:type="paragraph" w:customStyle="1" w:styleId="Thankyou">
    <w:name w:val="Thankyou"/>
    <w:basedOn w:val="Normal"/>
    <w:rsid w:val="00DD0AEA"/>
    <w:pPr>
      <w:keepNext/>
      <w:spacing w:before="100" w:beforeAutospacing="1" w:after="100" w:afterAutospacing="1" w:line="240" w:lineRule="auto"/>
      <w:jc w:val="center"/>
    </w:pPr>
    <w:rPr>
      <w:rFonts w:ascii="Tahoma" w:eastAsia="Times New Roman" w:hAnsi="Tahoma" w:cs="Times New Roman"/>
      <w:sz w:val="20"/>
      <w:szCs w:val="24"/>
    </w:rPr>
  </w:style>
  <w:style w:type="character" w:customStyle="1" w:styleId="maintitle">
    <w:name w:val="maintitle"/>
    <w:basedOn w:val="DefaultParagraphFont"/>
    <w:rsid w:val="00DD0AEA"/>
  </w:style>
  <w:style w:type="paragraph" w:customStyle="1" w:styleId="Tablecell">
    <w:name w:val="Table cell"/>
    <w:rsid w:val="00DD0AEA"/>
    <w:pPr>
      <w:keepLines/>
      <w:suppressAutoHyphens/>
      <w:spacing w:before="40" w:after="40" w:line="240" w:lineRule="auto"/>
    </w:pPr>
    <w:rPr>
      <w:rFonts w:ascii="Arial" w:eastAsia="Times New Roman" w:hAnsi="Arial" w:cs="Arial"/>
      <w:sz w:val="16"/>
      <w:szCs w:val="20"/>
      <w:lang w:val="en-AU"/>
    </w:rPr>
  </w:style>
  <w:style w:type="paragraph" w:styleId="Header">
    <w:name w:val="header"/>
    <w:link w:val="HeaderChar"/>
    <w:uiPriority w:val="99"/>
    <w:unhideWhenUsed/>
    <w:rsid w:val="00DD0AEA"/>
    <w:pPr>
      <w:tabs>
        <w:tab w:val="center" w:pos="4513"/>
        <w:tab w:val="right" w:pos="9026"/>
      </w:tabs>
      <w:spacing w:after="240" w:line="240" w:lineRule="auto"/>
    </w:pPr>
    <w:rPr>
      <w:rFonts w:ascii="Calibri" w:hAnsi="Calibri"/>
      <w:sz w:val="23"/>
      <w:lang w:val="en-AU"/>
    </w:rPr>
  </w:style>
  <w:style w:type="character" w:customStyle="1" w:styleId="HeaderChar">
    <w:name w:val="Header Char"/>
    <w:basedOn w:val="DefaultParagraphFont"/>
    <w:link w:val="Header"/>
    <w:uiPriority w:val="99"/>
    <w:rsid w:val="00DD0AEA"/>
    <w:rPr>
      <w:rFonts w:ascii="Calibri" w:hAnsi="Calibri"/>
      <w:sz w:val="23"/>
      <w:lang w:val="en-AU"/>
    </w:rPr>
  </w:style>
  <w:style w:type="paragraph" w:styleId="TOC1">
    <w:name w:val="toc 1"/>
    <w:basedOn w:val="Normal"/>
    <w:next w:val="Normal"/>
    <w:autoRedefine/>
    <w:uiPriority w:val="39"/>
    <w:unhideWhenUsed/>
    <w:qFormat/>
    <w:rsid w:val="00DD0AEA"/>
    <w:pPr>
      <w:tabs>
        <w:tab w:val="left" w:pos="440"/>
        <w:tab w:val="right" w:leader="dot" w:pos="9016"/>
      </w:tabs>
      <w:spacing w:before="120" w:after="120" w:line="240" w:lineRule="auto"/>
      <w:jc w:val="both"/>
    </w:pPr>
    <w:rPr>
      <w:rFonts w:ascii="Calibri" w:eastAsiaTheme="minorEastAsia" w:hAnsi="Calibri"/>
      <w:sz w:val="24"/>
      <w:lang w:eastAsia="en-AU"/>
    </w:rPr>
  </w:style>
  <w:style w:type="paragraph" w:styleId="TOC2">
    <w:name w:val="toc 2"/>
    <w:basedOn w:val="Normal"/>
    <w:next w:val="Normal"/>
    <w:autoRedefine/>
    <w:uiPriority w:val="39"/>
    <w:unhideWhenUsed/>
    <w:qFormat/>
    <w:rsid w:val="00DD0AEA"/>
    <w:pPr>
      <w:tabs>
        <w:tab w:val="left" w:pos="880"/>
        <w:tab w:val="right" w:leader="dot" w:pos="9016"/>
      </w:tabs>
      <w:spacing w:before="120" w:after="120" w:line="240" w:lineRule="auto"/>
      <w:ind w:left="232"/>
      <w:jc w:val="both"/>
    </w:pPr>
    <w:rPr>
      <w:rFonts w:ascii="Calibri" w:eastAsiaTheme="minorEastAsia" w:hAnsi="Calibri"/>
      <w:noProof/>
      <w:sz w:val="24"/>
      <w:lang w:eastAsia="en-AU"/>
    </w:rPr>
  </w:style>
  <w:style w:type="paragraph" w:styleId="TOC3">
    <w:name w:val="toc 3"/>
    <w:basedOn w:val="Normal"/>
    <w:next w:val="Normal"/>
    <w:autoRedefine/>
    <w:uiPriority w:val="39"/>
    <w:unhideWhenUsed/>
    <w:qFormat/>
    <w:rsid w:val="00DD0AEA"/>
    <w:pPr>
      <w:tabs>
        <w:tab w:val="left" w:pos="1320"/>
        <w:tab w:val="right" w:leader="dot" w:pos="9016"/>
      </w:tabs>
      <w:spacing w:before="120" w:after="120" w:line="240" w:lineRule="auto"/>
      <w:ind w:left="459"/>
      <w:jc w:val="both"/>
    </w:pPr>
    <w:rPr>
      <w:rFonts w:ascii="Calibri" w:eastAsiaTheme="minorEastAsia" w:hAnsi="Calibri"/>
      <w:noProof/>
      <w:sz w:val="24"/>
      <w:lang w:eastAsia="en-AU"/>
    </w:rPr>
  </w:style>
  <w:style w:type="numbering" w:customStyle="1" w:styleId="Appendices">
    <w:name w:val="Appendices"/>
    <w:uiPriority w:val="99"/>
    <w:rsid w:val="00DD0AEA"/>
    <w:pPr>
      <w:numPr>
        <w:numId w:val="3"/>
      </w:numPr>
    </w:pPr>
  </w:style>
  <w:style w:type="paragraph" w:styleId="FootnoteText">
    <w:name w:val="footnote text"/>
    <w:link w:val="FootnoteTextChar"/>
    <w:uiPriority w:val="99"/>
    <w:unhideWhenUsed/>
    <w:rsid w:val="00DD0AEA"/>
    <w:pPr>
      <w:spacing w:after="120" w:line="240" w:lineRule="auto"/>
    </w:pPr>
    <w:rPr>
      <w:rFonts w:ascii="Calibri" w:hAnsi="Calibri"/>
      <w:sz w:val="18"/>
      <w:szCs w:val="20"/>
      <w:lang w:val="en-AU"/>
    </w:rPr>
  </w:style>
  <w:style w:type="character" w:customStyle="1" w:styleId="FootnoteTextChar">
    <w:name w:val="Footnote Text Char"/>
    <w:basedOn w:val="DefaultParagraphFont"/>
    <w:link w:val="FootnoteText"/>
    <w:uiPriority w:val="99"/>
    <w:rsid w:val="00DD0AEA"/>
    <w:rPr>
      <w:rFonts w:ascii="Calibri" w:hAnsi="Calibri"/>
      <w:sz w:val="18"/>
      <w:szCs w:val="20"/>
      <w:lang w:val="en-AU"/>
    </w:rPr>
  </w:style>
  <w:style w:type="paragraph" w:styleId="CommentText">
    <w:name w:val="annotation text"/>
    <w:basedOn w:val="Normal"/>
    <w:link w:val="CommentTextChar"/>
    <w:uiPriority w:val="99"/>
    <w:unhideWhenUsed/>
    <w:rsid w:val="00DD0AEA"/>
    <w:pPr>
      <w:spacing w:before="100" w:beforeAutospacing="1" w:after="100" w:afterAutospacing="1" w:line="240" w:lineRule="auto"/>
      <w:jc w:val="both"/>
    </w:pPr>
    <w:rPr>
      <w:rFonts w:ascii="Calibri" w:hAnsi="Calibri"/>
      <w:sz w:val="20"/>
      <w:szCs w:val="20"/>
    </w:rPr>
  </w:style>
  <w:style w:type="character" w:customStyle="1" w:styleId="CommentTextChar">
    <w:name w:val="Comment Text Char"/>
    <w:basedOn w:val="DefaultParagraphFont"/>
    <w:link w:val="CommentText"/>
    <w:uiPriority w:val="99"/>
    <w:rsid w:val="00DD0AEA"/>
    <w:rPr>
      <w:rFonts w:ascii="Calibri" w:hAnsi="Calibri"/>
      <w:sz w:val="20"/>
      <w:szCs w:val="20"/>
      <w:lang w:val="en-AU"/>
    </w:rPr>
  </w:style>
  <w:style w:type="paragraph" w:styleId="Footer">
    <w:name w:val="footer"/>
    <w:basedOn w:val="Normal"/>
    <w:link w:val="FooterChar"/>
    <w:uiPriority w:val="99"/>
    <w:unhideWhenUsed/>
    <w:rsid w:val="00DD0AEA"/>
    <w:pPr>
      <w:tabs>
        <w:tab w:val="center" w:pos="4513"/>
        <w:tab w:val="right" w:pos="9026"/>
      </w:tabs>
      <w:spacing w:before="100" w:beforeAutospacing="1" w:after="100" w:afterAutospacing="1" w:line="240" w:lineRule="auto"/>
      <w:ind w:left="8505"/>
      <w:jc w:val="both"/>
    </w:pPr>
    <w:rPr>
      <w:rFonts w:ascii="Calibri" w:hAnsi="Calibri"/>
      <w:sz w:val="24"/>
    </w:rPr>
  </w:style>
  <w:style w:type="character" w:customStyle="1" w:styleId="FooterChar">
    <w:name w:val="Footer Char"/>
    <w:basedOn w:val="DefaultParagraphFont"/>
    <w:link w:val="Footer"/>
    <w:uiPriority w:val="99"/>
    <w:rsid w:val="00DD0AEA"/>
    <w:rPr>
      <w:rFonts w:ascii="Calibri" w:hAnsi="Calibri"/>
      <w:sz w:val="24"/>
      <w:lang w:val="en-AU"/>
    </w:rPr>
  </w:style>
  <w:style w:type="paragraph" w:styleId="Caption">
    <w:name w:val="caption"/>
    <w:basedOn w:val="Normal"/>
    <w:next w:val="Normal"/>
    <w:uiPriority w:val="35"/>
    <w:unhideWhenUsed/>
    <w:rsid w:val="00DD0AEA"/>
    <w:pPr>
      <w:spacing w:before="100" w:beforeAutospacing="1" w:after="100" w:afterAutospacing="1" w:line="240" w:lineRule="auto"/>
      <w:jc w:val="both"/>
    </w:pPr>
    <w:rPr>
      <w:rFonts w:ascii="Calibri" w:hAnsi="Calibri"/>
      <w:b/>
      <w:bCs/>
      <w:color w:val="4F81BD" w:themeColor="accent1"/>
      <w:sz w:val="18"/>
      <w:szCs w:val="18"/>
    </w:rPr>
  </w:style>
  <w:style w:type="character" w:styleId="FootnoteReference">
    <w:name w:val="footnote reference"/>
    <w:basedOn w:val="DefaultParagraphFont"/>
    <w:uiPriority w:val="99"/>
    <w:unhideWhenUsed/>
    <w:rsid w:val="00DD0AEA"/>
    <w:rPr>
      <w:vertAlign w:val="superscript"/>
    </w:rPr>
  </w:style>
  <w:style w:type="character" w:styleId="CommentReference">
    <w:name w:val="annotation reference"/>
    <w:basedOn w:val="DefaultParagraphFont"/>
    <w:uiPriority w:val="99"/>
    <w:semiHidden/>
    <w:unhideWhenUsed/>
    <w:rsid w:val="00DD0AEA"/>
    <w:rPr>
      <w:sz w:val="16"/>
      <w:szCs w:val="16"/>
    </w:rPr>
  </w:style>
  <w:style w:type="character" w:styleId="EndnoteReference">
    <w:name w:val="endnote reference"/>
    <w:basedOn w:val="DefaultParagraphFont"/>
    <w:uiPriority w:val="99"/>
    <w:semiHidden/>
    <w:unhideWhenUsed/>
    <w:rsid w:val="00DD0AEA"/>
    <w:rPr>
      <w:vertAlign w:val="superscript"/>
    </w:rPr>
  </w:style>
  <w:style w:type="paragraph" w:styleId="EndnoteText">
    <w:name w:val="endnote text"/>
    <w:basedOn w:val="Normal"/>
    <w:link w:val="EndnoteTextChar"/>
    <w:uiPriority w:val="99"/>
    <w:semiHidden/>
    <w:unhideWhenUsed/>
    <w:rsid w:val="00DD0AEA"/>
    <w:pPr>
      <w:spacing w:before="100" w:beforeAutospacing="1" w:after="100" w:afterAutospacing="1" w:line="240" w:lineRule="auto"/>
      <w:jc w:val="both"/>
    </w:pPr>
    <w:rPr>
      <w:rFonts w:ascii="Calibri" w:hAnsi="Calibri"/>
      <w:sz w:val="20"/>
      <w:szCs w:val="20"/>
      <w:lang w:val="en-GB"/>
    </w:rPr>
  </w:style>
  <w:style w:type="character" w:customStyle="1" w:styleId="EndnoteTextChar">
    <w:name w:val="Endnote Text Char"/>
    <w:basedOn w:val="DefaultParagraphFont"/>
    <w:link w:val="EndnoteText"/>
    <w:uiPriority w:val="99"/>
    <w:semiHidden/>
    <w:rsid w:val="00DD0AEA"/>
    <w:rPr>
      <w:rFonts w:ascii="Calibri" w:hAnsi="Calibri"/>
      <w:sz w:val="20"/>
      <w:szCs w:val="20"/>
      <w:lang w:val="en-GB"/>
    </w:rPr>
  </w:style>
  <w:style w:type="paragraph" w:styleId="Title">
    <w:name w:val="Title"/>
    <w:aliases w:val="Submission"/>
    <w:next w:val="Normal"/>
    <w:link w:val="TitleChar"/>
    <w:uiPriority w:val="10"/>
    <w:qFormat/>
    <w:rsid w:val="00DD0AEA"/>
    <w:pPr>
      <w:spacing w:before="2040" w:after="120" w:line="240" w:lineRule="auto"/>
      <w:contextualSpacing/>
      <w:jc w:val="center"/>
    </w:pPr>
    <w:rPr>
      <w:rFonts w:ascii="Calibri" w:eastAsiaTheme="majorEastAsia" w:hAnsi="Calibri" w:cstheme="majorBidi"/>
      <w:b/>
      <w:spacing w:val="5"/>
      <w:kern w:val="28"/>
      <w:sz w:val="52"/>
      <w:szCs w:val="52"/>
      <w:lang w:val="en-AU"/>
    </w:rPr>
  </w:style>
  <w:style w:type="character" w:customStyle="1" w:styleId="TitleChar">
    <w:name w:val="Title Char"/>
    <w:aliases w:val="Submission Char"/>
    <w:basedOn w:val="DefaultParagraphFont"/>
    <w:link w:val="Title"/>
    <w:uiPriority w:val="10"/>
    <w:rsid w:val="00DD0AEA"/>
    <w:rPr>
      <w:rFonts w:ascii="Calibri" w:eastAsiaTheme="majorEastAsia" w:hAnsi="Calibri" w:cstheme="majorBidi"/>
      <w:b/>
      <w:spacing w:val="5"/>
      <w:kern w:val="28"/>
      <w:sz w:val="52"/>
      <w:szCs w:val="52"/>
      <w:lang w:val="en-AU"/>
    </w:rPr>
  </w:style>
  <w:style w:type="paragraph" w:styleId="BodyText">
    <w:name w:val="Body Text"/>
    <w:basedOn w:val="Normal"/>
    <w:link w:val="BodyTextChar"/>
    <w:rsid w:val="00DD0AEA"/>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D0AEA"/>
    <w:rPr>
      <w:rFonts w:ascii="Times New Roman" w:eastAsia="Times New Roman" w:hAnsi="Times New Roman" w:cs="Times New Roman"/>
      <w:sz w:val="24"/>
      <w:szCs w:val="24"/>
      <w:lang w:val="en-AU"/>
    </w:rPr>
  </w:style>
  <w:style w:type="character" w:styleId="Hyperlink">
    <w:name w:val="Hyperlink"/>
    <w:basedOn w:val="DefaultParagraphFont"/>
    <w:uiPriority w:val="99"/>
    <w:unhideWhenUsed/>
    <w:rsid w:val="00DD0AEA"/>
    <w:rPr>
      <w:color w:val="0000FF" w:themeColor="hyperlink"/>
      <w:u w:val="single"/>
    </w:rPr>
  </w:style>
  <w:style w:type="character" w:styleId="Strong">
    <w:name w:val="Strong"/>
    <w:basedOn w:val="DefaultParagraphFont"/>
    <w:uiPriority w:val="22"/>
    <w:rsid w:val="00DD0AEA"/>
    <w:rPr>
      <w:b/>
      <w:bCs/>
    </w:rPr>
  </w:style>
  <w:style w:type="paragraph" w:styleId="NormalWeb">
    <w:name w:val="Normal (Web)"/>
    <w:basedOn w:val="Normal"/>
    <w:uiPriority w:val="99"/>
    <w:semiHidden/>
    <w:unhideWhenUsed/>
    <w:rsid w:val="00DD0AEA"/>
    <w:pPr>
      <w:spacing w:before="140" w:beforeAutospacing="1" w:after="140" w:afterAutospacing="1" w:line="240" w:lineRule="auto"/>
      <w:jc w:val="both"/>
    </w:pPr>
    <w:rPr>
      <w:rFonts w:ascii="Trebuchet MS" w:eastAsia="Times New Roman" w:hAnsi="Trebuchet MS"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DD0AEA"/>
    <w:rPr>
      <w:b/>
      <w:bCs/>
    </w:rPr>
  </w:style>
  <w:style w:type="character" w:customStyle="1" w:styleId="CommentSubjectChar">
    <w:name w:val="Comment Subject Char"/>
    <w:basedOn w:val="CommentTextChar"/>
    <w:link w:val="CommentSubject"/>
    <w:uiPriority w:val="99"/>
    <w:semiHidden/>
    <w:rsid w:val="00DD0AEA"/>
    <w:rPr>
      <w:rFonts w:ascii="Calibri" w:hAnsi="Calibri"/>
      <w:b/>
      <w:bCs/>
      <w:sz w:val="20"/>
      <w:szCs w:val="20"/>
      <w:lang w:val="en-AU"/>
    </w:rPr>
  </w:style>
  <w:style w:type="paragraph" w:styleId="BalloonText">
    <w:name w:val="Balloon Text"/>
    <w:basedOn w:val="Normal"/>
    <w:link w:val="BalloonTextChar"/>
    <w:uiPriority w:val="99"/>
    <w:semiHidden/>
    <w:unhideWhenUsed/>
    <w:rsid w:val="00DD0AEA"/>
    <w:pPr>
      <w:spacing w:before="100" w:beforeAutospacing="1" w:after="100" w:afterAutospacing="1" w:line="240" w:lineRule="auto"/>
      <w:jc w:val="both"/>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DD0AEA"/>
    <w:rPr>
      <w:rFonts w:ascii="Tahoma" w:hAnsi="Tahoma" w:cs="Tahoma"/>
      <w:sz w:val="16"/>
      <w:szCs w:val="16"/>
      <w:lang w:val="en-GB"/>
    </w:rPr>
  </w:style>
  <w:style w:type="table" w:styleId="TableGrid">
    <w:name w:val="Table Grid"/>
    <w:basedOn w:val="TableNormal"/>
    <w:uiPriority w:val="59"/>
    <w:rsid w:val="00DD0AE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0AEA"/>
    <w:pPr>
      <w:spacing w:before="100" w:beforeAutospacing="1" w:after="100" w:afterAutospacing="1" w:line="240" w:lineRule="auto"/>
      <w:ind w:left="720"/>
      <w:contextualSpacing/>
      <w:jc w:val="both"/>
    </w:pPr>
    <w:rPr>
      <w:rFonts w:ascii="Calibri" w:hAnsi="Calibri"/>
      <w:sz w:val="24"/>
    </w:rPr>
  </w:style>
  <w:style w:type="paragraph" w:styleId="TOCHeading">
    <w:name w:val="TOC Heading"/>
    <w:basedOn w:val="Heading1"/>
    <w:next w:val="Normal"/>
    <w:uiPriority w:val="39"/>
    <w:unhideWhenUsed/>
    <w:qFormat/>
    <w:rsid w:val="00DD0AEA"/>
    <w:pPr>
      <w:numPr>
        <w:numId w:val="0"/>
      </w:numPr>
      <w:spacing w:line="276" w:lineRule="auto"/>
      <w:outlineLvl w:val="9"/>
    </w:pPr>
  </w:style>
  <w:style w:type="character" w:styleId="FollowedHyperlink">
    <w:name w:val="FollowedHyperlink"/>
    <w:basedOn w:val="DefaultParagraphFont"/>
    <w:uiPriority w:val="99"/>
    <w:semiHidden/>
    <w:unhideWhenUsed/>
    <w:rsid w:val="00DD0AEA"/>
    <w:rPr>
      <w:color w:val="800080" w:themeColor="followedHyperlink"/>
      <w:u w:val="single"/>
    </w:rPr>
  </w:style>
  <w:style w:type="paragraph" w:styleId="NoSpacing">
    <w:name w:val="No Spacing"/>
    <w:uiPriority w:val="1"/>
    <w:rsid w:val="00DD0AEA"/>
    <w:pPr>
      <w:spacing w:after="0" w:line="240" w:lineRule="auto"/>
    </w:pPr>
    <w:rPr>
      <w:rFonts w:ascii="Calibri" w:eastAsiaTheme="minorEastAsia" w:hAnsi="Calibri"/>
      <w:sz w:val="23"/>
      <w:lang w:val="en-AU" w:eastAsia="en-AU"/>
    </w:rPr>
  </w:style>
  <w:style w:type="paragraph" w:customStyle="1" w:styleId="About">
    <w:name w:val="About"/>
    <w:basedOn w:val="Normal"/>
    <w:link w:val="AboutChar"/>
    <w:qFormat/>
    <w:rsid w:val="00DD0AEA"/>
    <w:pPr>
      <w:spacing w:before="100" w:beforeAutospacing="1" w:after="100" w:afterAutospacing="1" w:line="240" w:lineRule="auto"/>
      <w:jc w:val="both"/>
    </w:pPr>
    <w:rPr>
      <w:rFonts w:ascii="Calibri" w:eastAsiaTheme="minorEastAsia" w:hAnsi="Calibri"/>
      <w:b/>
      <w:sz w:val="24"/>
      <w:lang w:eastAsia="en-AU"/>
    </w:rPr>
  </w:style>
  <w:style w:type="table" w:customStyle="1" w:styleId="ACCANtable">
    <w:name w:val="ACCAN table"/>
    <w:basedOn w:val="TableNormal"/>
    <w:uiPriority w:val="99"/>
    <w:rsid w:val="00DD0AEA"/>
    <w:pPr>
      <w:spacing w:after="0" w:line="240" w:lineRule="auto"/>
    </w:pPr>
    <w:rPr>
      <w:lang w:val="en-AU"/>
    </w:rPr>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DD0AEA"/>
    <w:rPr>
      <w:rFonts w:ascii="Calibri" w:eastAsiaTheme="minorEastAsia" w:hAnsi="Calibri"/>
      <w:b/>
      <w:sz w:val="24"/>
      <w:lang w:val="en-AU" w:eastAsia="en-AU"/>
    </w:rPr>
  </w:style>
  <w:style w:type="paragraph" w:styleId="Subtitle">
    <w:name w:val="Subtitle"/>
    <w:next w:val="Normal"/>
    <w:link w:val="SubtitleChar"/>
    <w:uiPriority w:val="11"/>
    <w:rsid w:val="00DD0AEA"/>
    <w:pPr>
      <w:spacing w:before="360" w:after="360" w:line="240" w:lineRule="auto"/>
      <w:jc w:val="center"/>
    </w:pPr>
    <w:rPr>
      <w:rFonts w:ascii="Calibri" w:eastAsiaTheme="minorEastAsia" w:hAnsi="Calibri"/>
      <w:sz w:val="32"/>
      <w:szCs w:val="32"/>
      <w:lang w:val="en-AU"/>
    </w:rPr>
  </w:style>
  <w:style w:type="character" w:customStyle="1" w:styleId="SubtitleChar">
    <w:name w:val="Subtitle Char"/>
    <w:basedOn w:val="DefaultParagraphFont"/>
    <w:link w:val="Subtitle"/>
    <w:uiPriority w:val="11"/>
    <w:rsid w:val="00DD0AEA"/>
    <w:rPr>
      <w:rFonts w:ascii="Calibri" w:eastAsiaTheme="minorEastAsia" w:hAnsi="Calibri"/>
      <w:sz w:val="32"/>
      <w:szCs w:val="32"/>
      <w:lang w:val="en-AU"/>
    </w:rPr>
  </w:style>
  <w:style w:type="paragraph" w:customStyle="1" w:styleId="Recommendation">
    <w:name w:val="Recommendation"/>
    <w:basedOn w:val="Normal"/>
    <w:link w:val="RecommendationChar"/>
    <w:qFormat/>
    <w:rsid w:val="00DD0AEA"/>
    <w:pPr>
      <w:numPr>
        <w:numId w:val="7"/>
      </w:numPr>
      <w:pBdr>
        <w:top w:val="single" w:sz="8" w:space="6" w:color="44C8F5"/>
        <w:left w:val="single" w:sz="8" w:space="5" w:color="44C8F5"/>
        <w:bottom w:val="single" w:sz="8" w:space="6" w:color="44C8F5"/>
        <w:right w:val="single" w:sz="8" w:space="5" w:color="44C8F5"/>
      </w:pBdr>
      <w:spacing w:before="100" w:beforeAutospacing="1" w:after="100" w:afterAutospacing="1" w:line="240" w:lineRule="auto"/>
      <w:ind w:right="851"/>
      <w:jc w:val="both"/>
    </w:pPr>
    <w:rPr>
      <w:rFonts w:ascii="Calibri" w:eastAsiaTheme="minorEastAsia" w:hAnsi="Calibri"/>
      <w:sz w:val="24"/>
    </w:rPr>
  </w:style>
  <w:style w:type="table" w:styleId="LightShading-Accent1">
    <w:name w:val="Light Shading Accent 1"/>
    <w:basedOn w:val="TableNormal"/>
    <w:uiPriority w:val="60"/>
    <w:rsid w:val="00DD0AEA"/>
    <w:pPr>
      <w:spacing w:after="0" w:line="240" w:lineRule="auto"/>
    </w:pPr>
    <w:rPr>
      <w:color w:val="365F91" w:themeColor="accent1" w:themeShade="BF"/>
      <w:lang w:val="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DD0AEA"/>
    <w:rPr>
      <w:rFonts w:ascii="Calibri" w:eastAsiaTheme="minorEastAsia" w:hAnsi="Calibri"/>
      <w:sz w:val="24"/>
      <w:lang w:val="en-AU"/>
    </w:rPr>
  </w:style>
  <w:style w:type="paragraph" w:customStyle="1" w:styleId="Blockquote">
    <w:name w:val="Blockquote"/>
    <w:basedOn w:val="Normal"/>
    <w:link w:val="BlockquoteChar"/>
    <w:qFormat/>
    <w:rsid w:val="00DD0AEA"/>
    <w:pPr>
      <w:spacing w:before="100" w:beforeAutospacing="1" w:after="100" w:afterAutospacing="1" w:line="240" w:lineRule="auto"/>
      <w:ind w:left="851" w:right="851"/>
      <w:jc w:val="both"/>
    </w:pPr>
    <w:rPr>
      <w:rFonts w:ascii="Calibri" w:eastAsiaTheme="minorEastAsia" w:hAnsi="Calibri"/>
      <w:sz w:val="24"/>
    </w:rPr>
  </w:style>
  <w:style w:type="character" w:customStyle="1" w:styleId="BlockquoteChar">
    <w:name w:val="Blockquote Char"/>
    <w:basedOn w:val="DefaultParagraphFont"/>
    <w:link w:val="Blockquote"/>
    <w:rsid w:val="00DD0AEA"/>
    <w:rPr>
      <w:rFonts w:ascii="Calibri" w:eastAsiaTheme="minorEastAsia" w:hAnsi="Calibri"/>
      <w:sz w:val="24"/>
      <w:lang w:val="en-AU"/>
    </w:rPr>
  </w:style>
  <w:style w:type="numbering" w:customStyle="1" w:styleId="Headings">
    <w:name w:val="Headings"/>
    <w:uiPriority w:val="99"/>
    <w:rsid w:val="00DD0AEA"/>
    <w:pPr>
      <w:numPr>
        <w:numId w:val="1"/>
      </w:numPr>
    </w:pPr>
  </w:style>
  <w:style w:type="numbering" w:customStyle="1" w:styleId="Bullets">
    <w:name w:val="Bullets"/>
    <w:uiPriority w:val="99"/>
    <w:rsid w:val="00DD0AEA"/>
    <w:pPr>
      <w:numPr>
        <w:numId w:val="2"/>
      </w:numPr>
    </w:pPr>
  </w:style>
  <w:style w:type="paragraph" w:customStyle="1" w:styleId="Bulletlist1">
    <w:name w:val="Bullet list 1"/>
    <w:basedOn w:val="Normal"/>
    <w:link w:val="Bulletlist1Char"/>
    <w:qFormat/>
    <w:rsid w:val="00DD0AEA"/>
    <w:pPr>
      <w:numPr>
        <w:numId w:val="2"/>
      </w:numPr>
      <w:spacing w:before="100" w:beforeAutospacing="1" w:after="100" w:afterAutospacing="1" w:line="240" w:lineRule="auto"/>
      <w:jc w:val="both"/>
    </w:pPr>
    <w:rPr>
      <w:rFonts w:ascii="Calibri" w:eastAsiaTheme="minorEastAsia" w:hAnsi="Calibri"/>
      <w:sz w:val="24"/>
      <w:lang w:eastAsia="en-AU"/>
    </w:rPr>
  </w:style>
  <w:style w:type="paragraph" w:customStyle="1" w:styleId="Bulletlist2">
    <w:name w:val="Bullet list 2"/>
    <w:basedOn w:val="Bulletlist1"/>
    <w:link w:val="Bulletlist2Char"/>
    <w:qFormat/>
    <w:rsid w:val="00DD0AEA"/>
    <w:pPr>
      <w:numPr>
        <w:ilvl w:val="1"/>
      </w:numPr>
    </w:pPr>
  </w:style>
  <w:style w:type="character" w:customStyle="1" w:styleId="Bulletlist1Char">
    <w:name w:val="Bullet list 1 Char"/>
    <w:basedOn w:val="DefaultParagraphFont"/>
    <w:link w:val="Bulletlist1"/>
    <w:rsid w:val="00DD0AEA"/>
    <w:rPr>
      <w:rFonts w:ascii="Calibri" w:eastAsiaTheme="minorEastAsia" w:hAnsi="Calibri"/>
      <w:sz w:val="24"/>
      <w:lang w:val="en-AU" w:eastAsia="en-AU"/>
    </w:rPr>
  </w:style>
  <w:style w:type="paragraph" w:customStyle="1" w:styleId="Bulletlist3">
    <w:name w:val="Bullet list 3"/>
    <w:basedOn w:val="Bulletlist2"/>
    <w:link w:val="Bulletlist3Char"/>
    <w:qFormat/>
    <w:rsid w:val="00DD0AEA"/>
    <w:pPr>
      <w:numPr>
        <w:ilvl w:val="2"/>
      </w:numPr>
    </w:pPr>
  </w:style>
  <w:style w:type="character" w:customStyle="1" w:styleId="Bulletlist2Char">
    <w:name w:val="Bullet list 2 Char"/>
    <w:basedOn w:val="Bulletlist1Char"/>
    <w:link w:val="Bulletlist2"/>
    <w:rsid w:val="00DD0AEA"/>
    <w:rPr>
      <w:rFonts w:ascii="Calibri" w:eastAsiaTheme="minorEastAsia" w:hAnsi="Calibri"/>
      <w:sz w:val="24"/>
      <w:lang w:val="en-AU" w:eastAsia="en-AU"/>
    </w:rPr>
  </w:style>
  <w:style w:type="character" w:customStyle="1" w:styleId="Bulletlist3Char">
    <w:name w:val="Bullet list 3 Char"/>
    <w:basedOn w:val="Bulletlist2Char"/>
    <w:link w:val="Bulletlist3"/>
    <w:rsid w:val="00DD0AEA"/>
    <w:rPr>
      <w:rFonts w:ascii="Calibri" w:eastAsiaTheme="minorEastAsia" w:hAnsi="Calibri"/>
      <w:sz w:val="24"/>
      <w:lang w:val="en-AU" w:eastAsia="en-AU"/>
    </w:rPr>
  </w:style>
  <w:style w:type="paragraph" w:customStyle="1" w:styleId="Footerpage1">
    <w:name w:val="Footer page 1"/>
    <w:rsid w:val="00DD0AEA"/>
    <w:pPr>
      <w:spacing w:line="240" w:lineRule="auto"/>
      <w:ind w:left="-754"/>
      <w:contextualSpacing/>
    </w:pPr>
    <w:rPr>
      <w:sz w:val="20"/>
      <w:szCs w:val="20"/>
      <w:lang w:val="en-AU"/>
    </w:rPr>
  </w:style>
  <w:style w:type="paragraph" w:customStyle="1" w:styleId="Celltext">
    <w:name w:val="Cell text"/>
    <w:basedOn w:val="Normal"/>
    <w:qFormat/>
    <w:rsid w:val="00DD0AEA"/>
    <w:pPr>
      <w:spacing w:before="100" w:beforeAutospacing="1" w:after="100" w:afterAutospacing="1" w:line="240" w:lineRule="auto"/>
      <w:contextualSpacing/>
      <w:jc w:val="both"/>
    </w:pPr>
    <w:rPr>
      <w:rFonts w:ascii="Calibri" w:eastAsiaTheme="minorEastAsia" w:hAnsi="Calibri"/>
      <w:sz w:val="20"/>
      <w:lang w:eastAsia="en-AU"/>
    </w:rPr>
  </w:style>
  <w:style w:type="paragraph" w:customStyle="1" w:styleId="Appendixheading1">
    <w:name w:val="Appendix heading 1"/>
    <w:basedOn w:val="Heading1"/>
    <w:next w:val="Normal"/>
    <w:link w:val="Appendixheading1Char"/>
    <w:qFormat/>
    <w:rsid w:val="00DD0AEA"/>
    <w:pPr>
      <w:numPr>
        <w:numId w:val="4"/>
      </w:numPr>
    </w:pPr>
  </w:style>
  <w:style w:type="character" w:customStyle="1" w:styleId="Appendixheading1Char">
    <w:name w:val="Appendix heading 1 Char"/>
    <w:basedOn w:val="Heading1Char"/>
    <w:link w:val="Appendixheading1"/>
    <w:rsid w:val="00DD0AEA"/>
    <w:rPr>
      <w:rFonts w:ascii="Calibri" w:eastAsiaTheme="majorEastAsia" w:hAnsi="Calibri" w:cstheme="majorBidi"/>
      <w:bCs/>
      <w:sz w:val="48"/>
      <w:szCs w:val="28"/>
      <w:lang w:val="en-AU"/>
    </w:rPr>
  </w:style>
  <w:style w:type="paragraph" w:customStyle="1" w:styleId="Appendixheading2">
    <w:name w:val="Appendix heading 2"/>
    <w:basedOn w:val="Heading2"/>
    <w:next w:val="Normal"/>
    <w:link w:val="Appendixheading2Char"/>
    <w:qFormat/>
    <w:rsid w:val="00DD0AEA"/>
    <w:pPr>
      <w:numPr>
        <w:numId w:val="4"/>
      </w:numPr>
    </w:pPr>
    <w:rPr>
      <w:b/>
    </w:rPr>
  </w:style>
  <w:style w:type="character" w:customStyle="1" w:styleId="Appendixheading2Char">
    <w:name w:val="Appendix heading 2 Char"/>
    <w:basedOn w:val="Heading2Char"/>
    <w:link w:val="Appendixheading2"/>
    <w:rsid w:val="00DD0AEA"/>
    <w:rPr>
      <w:rFonts w:ascii="Calibri" w:eastAsia="Times New Roman" w:hAnsi="Calibri" w:cs="Times New Roman"/>
      <w:b/>
      <w:bCs/>
      <w:iCs/>
      <w:sz w:val="32"/>
      <w:szCs w:val="24"/>
      <w:lang w:val="en-AU"/>
    </w:rPr>
  </w:style>
  <w:style w:type="paragraph" w:customStyle="1" w:styleId="Appendixheading3">
    <w:name w:val="Appendix heading 3"/>
    <w:basedOn w:val="Heading3"/>
    <w:next w:val="Normal"/>
    <w:link w:val="Appendixheading3Char"/>
    <w:qFormat/>
    <w:rsid w:val="00DD0AEA"/>
    <w:pPr>
      <w:numPr>
        <w:ilvl w:val="0"/>
        <w:numId w:val="0"/>
      </w:numPr>
    </w:pPr>
    <w:rPr>
      <w:b/>
      <w:sz w:val="24"/>
    </w:rPr>
  </w:style>
  <w:style w:type="character" w:customStyle="1" w:styleId="Appendixheading3Char">
    <w:name w:val="Appendix heading 3 Char"/>
    <w:basedOn w:val="Heading3Char"/>
    <w:link w:val="Appendixheading3"/>
    <w:rsid w:val="00DD0AEA"/>
    <w:rPr>
      <w:rFonts w:ascii="Calibri" w:eastAsia="Times New Roman" w:hAnsi="Calibri" w:cs="Times New Roman"/>
      <w:b/>
      <w:bCs/>
      <w:iCs/>
      <w:sz w:val="24"/>
      <w:szCs w:val="24"/>
      <w:lang w:val="en-AU"/>
    </w:rPr>
  </w:style>
  <w:style w:type="paragraph" w:customStyle="1" w:styleId="Blockquote2">
    <w:name w:val="Blockquote 2"/>
    <w:basedOn w:val="Blockquote"/>
    <w:link w:val="Blockquote2Char"/>
    <w:qFormat/>
    <w:rsid w:val="00DD0AEA"/>
    <w:pPr>
      <w:ind w:left="1418"/>
      <w:contextualSpacing/>
    </w:pPr>
  </w:style>
  <w:style w:type="character" w:customStyle="1" w:styleId="Blockquote2Char">
    <w:name w:val="Blockquote 2 Char"/>
    <w:basedOn w:val="BlockquoteChar"/>
    <w:link w:val="Blockquote2"/>
    <w:rsid w:val="00DD0AEA"/>
    <w:rPr>
      <w:rFonts w:ascii="Calibri" w:eastAsiaTheme="minorEastAsia" w:hAnsi="Calibri"/>
      <w:sz w:val="24"/>
      <w:lang w:val="en-AU"/>
    </w:rPr>
  </w:style>
  <w:style w:type="paragraph" w:customStyle="1" w:styleId="Blockquote3">
    <w:name w:val="Blockquote 3"/>
    <w:basedOn w:val="Blockquote"/>
    <w:link w:val="Blockquote3Char"/>
    <w:qFormat/>
    <w:rsid w:val="00DD0AEA"/>
    <w:pPr>
      <w:ind w:left="1985"/>
      <w:contextualSpacing/>
    </w:pPr>
  </w:style>
  <w:style w:type="character" w:customStyle="1" w:styleId="Blockquote3Char">
    <w:name w:val="Blockquote 3 Char"/>
    <w:basedOn w:val="BlockquoteChar"/>
    <w:link w:val="Blockquote3"/>
    <w:rsid w:val="00DD0AEA"/>
    <w:rPr>
      <w:rFonts w:ascii="Calibri" w:eastAsiaTheme="minorEastAsia" w:hAnsi="Calibri"/>
      <w:sz w:val="24"/>
      <w:lang w:val="en-AU"/>
    </w:rPr>
  </w:style>
  <w:style w:type="paragraph" w:customStyle="1" w:styleId="Blockquotebulletlist1">
    <w:name w:val="Blockquote bullet list 1"/>
    <w:basedOn w:val="Blockquote"/>
    <w:link w:val="Blockquotebulletlist1Char"/>
    <w:qFormat/>
    <w:rsid w:val="00DD0AEA"/>
    <w:pPr>
      <w:numPr>
        <w:numId w:val="5"/>
      </w:numPr>
    </w:pPr>
  </w:style>
  <w:style w:type="character" w:customStyle="1" w:styleId="Blockquotebulletlist1Char">
    <w:name w:val="Blockquote bullet list 1 Char"/>
    <w:basedOn w:val="BlockquoteChar"/>
    <w:link w:val="Blockquotebulletlist1"/>
    <w:rsid w:val="00DD0AEA"/>
    <w:rPr>
      <w:rFonts w:ascii="Calibri" w:eastAsiaTheme="minorEastAsia" w:hAnsi="Calibri"/>
      <w:sz w:val="24"/>
      <w:lang w:val="en-AU"/>
    </w:rPr>
  </w:style>
  <w:style w:type="numbering" w:customStyle="1" w:styleId="Blockquotebullets">
    <w:name w:val="Blockquote bullets"/>
    <w:uiPriority w:val="99"/>
    <w:rsid w:val="00DD0AEA"/>
    <w:pPr>
      <w:numPr>
        <w:numId w:val="5"/>
      </w:numPr>
    </w:pPr>
  </w:style>
  <w:style w:type="paragraph" w:customStyle="1" w:styleId="Casestudyheading">
    <w:name w:val="Case study heading"/>
    <w:basedOn w:val="Normal"/>
    <w:next w:val="Normal"/>
    <w:link w:val="CasestudyheadingChar"/>
    <w:qFormat/>
    <w:rsid w:val="00DD0AEA"/>
    <w:pPr>
      <w:keepNext/>
      <w:spacing w:before="100" w:beforeAutospacing="1" w:after="100" w:afterAutospacing="1" w:line="240" w:lineRule="auto"/>
      <w:ind w:left="851" w:right="851"/>
      <w:jc w:val="both"/>
    </w:pPr>
    <w:rPr>
      <w:rFonts w:ascii="Calibri" w:eastAsiaTheme="minorEastAsia" w:hAnsi="Calibri"/>
      <w:b/>
      <w:sz w:val="24"/>
    </w:rPr>
  </w:style>
  <w:style w:type="character" w:customStyle="1" w:styleId="CasestudyheadingChar">
    <w:name w:val="Case study heading Char"/>
    <w:basedOn w:val="DefaultParagraphFont"/>
    <w:link w:val="Casestudyheading"/>
    <w:rsid w:val="00DD0AEA"/>
    <w:rPr>
      <w:rFonts w:ascii="Calibri" w:eastAsiaTheme="minorEastAsia" w:hAnsi="Calibri"/>
      <w:b/>
      <w:sz w:val="24"/>
      <w:lang w:val="en-AU"/>
    </w:rPr>
  </w:style>
  <w:style w:type="paragraph" w:customStyle="1" w:styleId="Casestudy">
    <w:name w:val="Case study"/>
    <w:basedOn w:val="Casestudyheading"/>
    <w:link w:val="CasestudyChar"/>
    <w:qFormat/>
    <w:rsid w:val="00DD0AEA"/>
    <w:pPr>
      <w:keepNext w:val="0"/>
    </w:pPr>
    <w:rPr>
      <w:b w:val="0"/>
    </w:rPr>
  </w:style>
  <w:style w:type="character" w:customStyle="1" w:styleId="CasestudyChar">
    <w:name w:val="Case study Char"/>
    <w:basedOn w:val="CasestudyheadingChar"/>
    <w:link w:val="Casestudy"/>
    <w:rsid w:val="00DD0AEA"/>
    <w:rPr>
      <w:rFonts w:ascii="Calibri" w:eastAsiaTheme="minorEastAsia" w:hAnsi="Calibri"/>
      <w:b w:val="0"/>
      <w:sz w:val="24"/>
      <w:lang w:val="en-AU"/>
    </w:rPr>
  </w:style>
  <w:style w:type="paragraph" w:customStyle="1" w:styleId="Casestudyquote">
    <w:name w:val="Case study quote"/>
    <w:basedOn w:val="Casestudy"/>
    <w:link w:val="CasestudyquoteChar"/>
    <w:qFormat/>
    <w:rsid w:val="00DD0AEA"/>
    <w:pPr>
      <w:ind w:left="1418" w:right="1418"/>
    </w:pPr>
  </w:style>
  <w:style w:type="character" w:customStyle="1" w:styleId="CasestudyquoteChar">
    <w:name w:val="Case study quote Char"/>
    <w:basedOn w:val="CasestudyChar"/>
    <w:link w:val="Casestudyquote"/>
    <w:rsid w:val="00DD0AEA"/>
    <w:rPr>
      <w:rFonts w:ascii="Calibri" w:eastAsiaTheme="minorEastAsia" w:hAnsi="Calibri"/>
      <w:b w:val="0"/>
      <w:sz w:val="24"/>
      <w:lang w:val="en-AU"/>
    </w:rPr>
  </w:style>
  <w:style w:type="numbering" w:customStyle="1" w:styleId="Recommendations">
    <w:name w:val="Recommendations"/>
    <w:uiPriority w:val="99"/>
    <w:rsid w:val="00DD0AEA"/>
    <w:pPr>
      <w:numPr>
        <w:numId w:val="6"/>
      </w:numPr>
    </w:pPr>
  </w:style>
  <w:style w:type="character" w:customStyle="1" w:styleId="FootnoteReference1">
    <w:name w:val="Footnote Reference1"/>
    <w:basedOn w:val="DefaultParagraphFont"/>
    <w:rsid w:val="00DD0AEA"/>
    <w:rPr>
      <w:vertAlign w:val="superscript"/>
    </w:rPr>
  </w:style>
  <w:style w:type="character" w:customStyle="1" w:styleId="FootnoteCharacters">
    <w:name w:val="Footnote Characters"/>
    <w:rsid w:val="00DD0AEA"/>
  </w:style>
  <w:style w:type="paragraph" w:customStyle="1" w:styleId="FootnoteText1">
    <w:name w:val="Footnote Text1"/>
    <w:rsid w:val="00DD0AEA"/>
    <w:pPr>
      <w:suppressAutoHyphens/>
      <w:spacing w:after="120" w:line="240" w:lineRule="auto"/>
    </w:pPr>
    <w:rPr>
      <w:rFonts w:ascii="Calibri" w:eastAsia="Arial Unicode MS" w:hAnsi="Calibri" w:cs="Arial Unicode MS"/>
      <w:kern w:val="1"/>
      <w:sz w:val="18"/>
      <w:szCs w:val="20"/>
      <w:lang w:val="en-IE" w:eastAsia="hi-IN" w:bidi="hi-IN"/>
    </w:rPr>
  </w:style>
  <w:style w:type="paragraph" w:customStyle="1" w:styleId="Caption1">
    <w:name w:val="Caption1"/>
    <w:basedOn w:val="Normal"/>
    <w:rsid w:val="00DD0AEA"/>
    <w:pPr>
      <w:suppressAutoHyphens/>
      <w:spacing w:before="28" w:after="28" w:line="240" w:lineRule="auto"/>
      <w:jc w:val="both"/>
    </w:pPr>
    <w:rPr>
      <w:rFonts w:ascii="Calibri" w:eastAsia="Arial Unicode MS" w:hAnsi="Calibri" w:cs="Calibri"/>
      <w:b/>
      <w:bCs/>
      <w:color w:val="4F81BD"/>
      <w:kern w:val="1"/>
      <w:sz w:val="18"/>
      <w:szCs w:val="18"/>
      <w:lang w:val="en-IE" w:eastAsia="hi-IN" w:bidi="hi-IN"/>
    </w:rPr>
  </w:style>
  <w:style w:type="paragraph" w:styleId="TOC4">
    <w:name w:val="toc 4"/>
    <w:basedOn w:val="Normal"/>
    <w:next w:val="Normal"/>
    <w:autoRedefine/>
    <w:uiPriority w:val="39"/>
    <w:unhideWhenUsed/>
    <w:rsid w:val="00DD0AEA"/>
    <w:pPr>
      <w:spacing w:after="100"/>
      <w:ind w:left="660"/>
    </w:pPr>
    <w:rPr>
      <w:rFonts w:eastAsiaTheme="minorEastAsia"/>
      <w:lang w:eastAsia="en-AU"/>
    </w:rPr>
  </w:style>
  <w:style w:type="paragraph" w:styleId="TOC5">
    <w:name w:val="toc 5"/>
    <w:basedOn w:val="Normal"/>
    <w:next w:val="Normal"/>
    <w:autoRedefine/>
    <w:uiPriority w:val="39"/>
    <w:unhideWhenUsed/>
    <w:rsid w:val="00DD0AEA"/>
    <w:pPr>
      <w:spacing w:after="100"/>
      <w:ind w:left="880"/>
    </w:pPr>
    <w:rPr>
      <w:rFonts w:eastAsiaTheme="minorEastAsia"/>
      <w:lang w:eastAsia="en-AU"/>
    </w:rPr>
  </w:style>
  <w:style w:type="paragraph" w:styleId="TOC6">
    <w:name w:val="toc 6"/>
    <w:basedOn w:val="Normal"/>
    <w:next w:val="Normal"/>
    <w:autoRedefine/>
    <w:uiPriority w:val="39"/>
    <w:unhideWhenUsed/>
    <w:rsid w:val="00DD0AEA"/>
    <w:pPr>
      <w:spacing w:after="100"/>
      <w:ind w:left="1100"/>
    </w:pPr>
    <w:rPr>
      <w:rFonts w:eastAsiaTheme="minorEastAsia"/>
      <w:lang w:eastAsia="en-AU"/>
    </w:rPr>
  </w:style>
  <w:style w:type="paragraph" w:styleId="TOC7">
    <w:name w:val="toc 7"/>
    <w:basedOn w:val="Normal"/>
    <w:next w:val="Normal"/>
    <w:autoRedefine/>
    <w:uiPriority w:val="39"/>
    <w:unhideWhenUsed/>
    <w:rsid w:val="00DD0AEA"/>
    <w:pPr>
      <w:spacing w:after="100"/>
      <w:ind w:left="1320"/>
    </w:pPr>
    <w:rPr>
      <w:rFonts w:eastAsiaTheme="minorEastAsia"/>
      <w:lang w:eastAsia="en-AU"/>
    </w:rPr>
  </w:style>
  <w:style w:type="paragraph" w:styleId="TOC8">
    <w:name w:val="toc 8"/>
    <w:basedOn w:val="Normal"/>
    <w:next w:val="Normal"/>
    <w:autoRedefine/>
    <w:uiPriority w:val="39"/>
    <w:unhideWhenUsed/>
    <w:rsid w:val="00DD0AEA"/>
    <w:pPr>
      <w:spacing w:after="100"/>
      <w:ind w:left="1540"/>
    </w:pPr>
    <w:rPr>
      <w:rFonts w:eastAsiaTheme="minorEastAsia"/>
      <w:lang w:eastAsia="en-AU"/>
    </w:rPr>
  </w:style>
  <w:style w:type="paragraph" w:styleId="TOC9">
    <w:name w:val="toc 9"/>
    <w:basedOn w:val="Normal"/>
    <w:next w:val="Normal"/>
    <w:autoRedefine/>
    <w:uiPriority w:val="39"/>
    <w:unhideWhenUsed/>
    <w:rsid w:val="00DD0AEA"/>
    <w:pPr>
      <w:spacing w:after="100"/>
      <w:ind w:left="1760"/>
    </w:pPr>
    <w:rPr>
      <w:rFonts w:eastAsiaTheme="minorEastAsia"/>
      <w:lang w:eastAsia="en-AU"/>
    </w:rPr>
  </w:style>
  <w:style w:type="paragraph" w:styleId="Bibliography">
    <w:name w:val="Bibliography"/>
    <w:basedOn w:val="Normal"/>
    <w:next w:val="Normal"/>
    <w:uiPriority w:val="37"/>
    <w:unhideWhenUsed/>
    <w:rsid w:val="00DD0AEA"/>
    <w:pPr>
      <w:spacing w:before="100" w:beforeAutospacing="1" w:after="240" w:afterAutospacing="1" w:line="240" w:lineRule="auto"/>
      <w:ind w:left="720" w:hanging="720"/>
      <w:jc w:val="both"/>
    </w:pPr>
    <w:rPr>
      <w:rFonts w:ascii="Calibri" w:eastAsiaTheme="minorEastAsia" w:hAnsi="Calibri"/>
      <w:sz w:val="24"/>
      <w:lang w:eastAsia="en-AU"/>
    </w:rPr>
  </w:style>
  <w:style w:type="paragraph" w:styleId="Revision">
    <w:name w:val="Revision"/>
    <w:hidden/>
    <w:uiPriority w:val="99"/>
    <w:semiHidden/>
    <w:rsid w:val="00DD0AEA"/>
    <w:pPr>
      <w:spacing w:after="0" w:line="240" w:lineRule="auto"/>
    </w:pPr>
    <w:rPr>
      <w:rFonts w:ascii="Calibri" w:eastAsiaTheme="minorEastAsia" w:hAnsi="Calibri"/>
      <w:sz w:val="24"/>
      <w:lang w:val="en-AU" w:eastAsia="en-AU"/>
    </w:rPr>
  </w:style>
  <w:style w:type="table" w:styleId="LightShading-Accent3">
    <w:name w:val="Light Shading Accent 3"/>
    <w:basedOn w:val="TableNormal"/>
    <w:uiPriority w:val="60"/>
    <w:rsid w:val="00DD0AEA"/>
    <w:pPr>
      <w:spacing w:after="0" w:line="240" w:lineRule="auto"/>
    </w:pPr>
    <w:rPr>
      <w:color w:val="76923C" w:themeColor="accent3" w:themeShade="BF"/>
      <w:lang w:val="en-AU"/>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DD0AEA"/>
    <w:pPr>
      <w:spacing w:after="0" w:line="240" w:lineRule="auto"/>
    </w:pPr>
    <w:rPr>
      <w:lang w:val="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DD0AEA"/>
    <w:pPr>
      <w:spacing w:after="0" w:line="240" w:lineRule="auto"/>
    </w:pPr>
    <w:rPr>
      <w:lang w:val="en-A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BodyText1">
    <w:name w:val="Body Text1"/>
    <w:basedOn w:val="Normal"/>
    <w:qFormat/>
    <w:rsid w:val="007E7F5C"/>
    <w:rPr>
      <w:rFonts w:ascii="Arial" w:eastAsia="Calibri" w:hAnsi="Arial" w:cs="Arial"/>
      <w:color w:val="000000"/>
    </w:rPr>
  </w:style>
  <w:style w:type="character" w:styleId="IntenseEmphasis">
    <w:name w:val="Intense Emphasis"/>
    <w:basedOn w:val="DefaultParagraphFont"/>
    <w:uiPriority w:val="21"/>
    <w:qFormat/>
    <w:rsid w:val="00D46009"/>
    <w:rPr>
      <w:i/>
      <w:iCs/>
      <w:color w:val="4F81BD" w:themeColor="accent1"/>
    </w:rPr>
  </w:style>
  <w:style w:type="character" w:styleId="SubtleEmphasis">
    <w:name w:val="Subtle Emphasis"/>
    <w:basedOn w:val="DefaultParagraphFont"/>
    <w:uiPriority w:val="19"/>
    <w:qFormat/>
    <w:rsid w:val="004F3DB9"/>
    <w:rPr>
      <w:i/>
      <w:iCs/>
      <w:color w:val="404040" w:themeColor="text1" w:themeTint="BF"/>
    </w:rPr>
  </w:style>
  <w:style w:type="paragraph" w:customStyle="1" w:styleId="Default">
    <w:name w:val="Default"/>
    <w:rsid w:val="007C4570"/>
    <w:pPr>
      <w:autoSpaceDE w:val="0"/>
      <w:autoSpaceDN w:val="0"/>
      <w:adjustRightInd w:val="0"/>
      <w:spacing w:after="0" w:line="240" w:lineRule="auto"/>
    </w:pPr>
    <w:rPr>
      <w:rFonts w:ascii="Calibri" w:hAnsi="Calibri" w:cs="Calibri"/>
      <w:color w:val="000000"/>
      <w:sz w:val="24"/>
      <w:szCs w:val="24"/>
      <w:lang w:val="en-AU"/>
    </w:rPr>
  </w:style>
  <w:style w:type="character" w:styleId="IntenseReference">
    <w:name w:val="Intense Reference"/>
    <w:basedOn w:val="DefaultParagraphFont"/>
    <w:uiPriority w:val="32"/>
    <w:qFormat/>
    <w:rsid w:val="00010BA2"/>
    <w:rPr>
      <w:b/>
      <w:bCs/>
      <w:smallCaps/>
      <w:color w:val="4F81BD" w:themeColor="accent1"/>
      <w:spacing w:val="5"/>
    </w:rPr>
  </w:style>
  <w:style w:type="paragraph" w:customStyle="1" w:styleId="CRKListBold">
    <w:name w:val="CRK List Bold"/>
    <w:basedOn w:val="Normal"/>
    <w:qFormat/>
    <w:rsid w:val="00C637A3"/>
    <w:pPr>
      <w:keepNext/>
      <w:keepLines/>
      <w:numPr>
        <w:numId w:val="20"/>
      </w:numPr>
      <w:tabs>
        <w:tab w:val="left" w:pos="540"/>
        <w:tab w:val="left" w:pos="1080"/>
      </w:tabs>
      <w:adjustRightInd w:val="0"/>
      <w:snapToGrid w:val="0"/>
      <w:spacing w:before="60" w:after="180" w:line="240" w:lineRule="auto"/>
      <w:ind w:right="284"/>
      <w:jc w:val="both"/>
    </w:pPr>
    <w:rPr>
      <w:rFonts w:ascii="Avenir Book" w:eastAsia="Times New Roman" w:hAnsi="Avenir Book" w:cs="Times New Roman"/>
      <w:b/>
    </w:rPr>
  </w:style>
  <w:style w:type="paragraph" w:customStyle="1" w:styleId="CRKReportQuoteBullet">
    <w:name w:val="CRK Report Quote Bullet"/>
    <w:basedOn w:val="Normal"/>
    <w:qFormat/>
    <w:rsid w:val="00C637A3"/>
    <w:pPr>
      <w:numPr>
        <w:numId w:val="19"/>
      </w:numPr>
      <w:pBdr>
        <w:top w:val="single" w:sz="36" w:space="1" w:color="E3EEFC"/>
        <w:left w:val="single" w:sz="36" w:space="4" w:color="E3EEFC"/>
        <w:bottom w:val="single" w:sz="36" w:space="1" w:color="E3EEFC"/>
        <w:right w:val="single" w:sz="36" w:space="4" w:color="E3EEFC"/>
      </w:pBdr>
      <w:shd w:val="clear" w:color="auto" w:fill="E3EEFC"/>
      <w:kinsoku w:val="0"/>
      <w:overflowPunct w:val="0"/>
      <w:adjustRightInd w:val="0"/>
      <w:snapToGrid w:val="0"/>
      <w:spacing w:before="240" w:after="0" w:line="240" w:lineRule="auto"/>
      <w:ind w:right="567"/>
      <w:jc w:val="both"/>
      <w:textAlignment w:val="baseline"/>
    </w:pPr>
    <w:rPr>
      <w:rFonts w:ascii="Avenir Medium Oblique" w:eastAsia="MS PGothic" w:hAnsi="Avenir Medium Oblique" w:cs="Arial"/>
      <w:i/>
      <w:iCs/>
      <w:color w:val="17365D" w:themeColor="text2" w:themeShade="BF"/>
      <w:kern w:val="24"/>
      <w:sz w:val="20"/>
      <w:szCs w:val="20"/>
    </w:rPr>
  </w:style>
  <w:style w:type="character" w:styleId="UnresolvedMention">
    <w:name w:val="Unresolved Mention"/>
    <w:basedOn w:val="DefaultParagraphFont"/>
    <w:uiPriority w:val="99"/>
    <w:semiHidden/>
    <w:unhideWhenUsed/>
    <w:rsid w:val="00432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ccan.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mh.com.au/national/health-minister-wants-telehealth-to-continue-after-covid-19-pandemic-20200506-p54qfj.html" TargetMode="External"/><Relationship Id="rId2" Type="http://schemas.openxmlformats.org/officeDocument/2006/relationships/hyperlink" Target="https://www1.nbnco.com.au/corporate-information/about-nbn-co/updates/dashboard-march-2020" TargetMode="External"/><Relationship Id="rId1" Type="http://schemas.openxmlformats.org/officeDocument/2006/relationships/hyperlink" Target="https://www.accc.gov.au/system/files/public-registers/documents/Report%20for%20Special%20Working%20Group%20for%20week%20ending%201%20May%202020%20-%2006.05.20%20-%20PR%20-%20AA1000483%20NB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77C5C-0B03-4C8C-85DD-D19AFC400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2142</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Ward</dc:creator>
  <cp:lastModifiedBy>Una Lawrence</cp:lastModifiedBy>
  <cp:revision>8</cp:revision>
  <cp:lastPrinted>2020-05-22T06:27:00Z</cp:lastPrinted>
  <dcterms:created xsi:type="dcterms:W3CDTF">2020-05-22T05:56:00Z</dcterms:created>
  <dcterms:modified xsi:type="dcterms:W3CDTF">2020-05-22T07:43:00Z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