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5" w:rsidRDefault="003B0E95" w:rsidP="00254613">
      <w:r>
        <w:t xml:space="preserve">Friday 14 June </w:t>
      </w:r>
    </w:p>
    <w:p w:rsidR="003B0E95" w:rsidRDefault="003B0E95" w:rsidP="00254613">
      <w:r>
        <w:t>Jessica Cur</w:t>
      </w:r>
      <w:r w:rsidR="00B017CE">
        <w:t>t</w:t>
      </w:r>
      <w:r>
        <w:t>is</w:t>
      </w:r>
      <w:r w:rsidR="00B017CE">
        <w:br/>
        <w:t>Manager Policy and Regulation</w:t>
      </w:r>
      <w:r w:rsidR="00B017CE">
        <w:br/>
      </w:r>
      <w:r>
        <w:t>Communications Alliance</w:t>
      </w:r>
      <w:r w:rsidR="00B017CE">
        <w:br/>
      </w:r>
      <w:hyperlink r:id="rId9" w:history="1">
        <w:r w:rsidRPr="00896477">
          <w:rPr>
            <w:rStyle w:val="Hyperlink"/>
          </w:rPr>
          <w:t>j.curtis@commsalliance.com.au</w:t>
        </w:r>
      </w:hyperlink>
    </w:p>
    <w:p w:rsidR="00254613" w:rsidRDefault="00254613" w:rsidP="00254613"/>
    <w:p w:rsidR="003B0E95" w:rsidRDefault="003B0E95" w:rsidP="00254613">
      <w:r>
        <w:t>Dear Jessica,</w:t>
      </w:r>
    </w:p>
    <w:p w:rsidR="004D387C" w:rsidRDefault="00B017CE" w:rsidP="00254613">
      <w:pPr>
        <w:rPr>
          <w:b/>
        </w:rPr>
      </w:pPr>
      <w:r>
        <w:rPr>
          <w:b/>
        </w:rPr>
        <w:t>F</w:t>
      </w:r>
      <w:r w:rsidR="003B0E95" w:rsidRPr="003B0E95">
        <w:rPr>
          <w:b/>
        </w:rPr>
        <w:t xml:space="preserve">eedback on </w:t>
      </w:r>
      <w:r>
        <w:rPr>
          <w:b/>
          <w:szCs w:val="20"/>
        </w:rPr>
        <w:t xml:space="preserve">Draft </w:t>
      </w:r>
      <w:r w:rsidRPr="00BC26AE">
        <w:rPr>
          <w:b/>
          <w:szCs w:val="20"/>
        </w:rPr>
        <w:t>Authorised Representatives and Advocates</w:t>
      </w:r>
      <w:r w:rsidRPr="00807F20">
        <w:rPr>
          <w:b/>
          <w:color w:val="FF0000"/>
          <w:szCs w:val="20"/>
        </w:rPr>
        <w:t xml:space="preserve"> </w:t>
      </w:r>
      <w:r w:rsidRPr="00807F20">
        <w:rPr>
          <w:b/>
          <w:szCs w:val="20"/>
        </w:rPr>
        <w:t>Industry Guidance</w:t>
      </w:r>
      <w:r w:rsidR="00254613">
        <w:rPr>
          <w:b/>
          <w:szCs w:val="20"/>
        </w:rPr>
        <w:t xml:space="preserve"> Note</w:t>
      </w:r>
      <w:r>
        <w:rPr>
          <w:b/>
          <w:szCs w:val="20"/>
        </w:rPr>
        <w:t xml:space="preserve"> (IGN 017)</w:t>
      </w:r>
    </w:p>
    <w:p w:rsidR="007A5B07" w:rsidRDefault="003B0E95" w:rsidP="00254613">
      <w:r>
        <w:t xml:space="preserve">ACCAN </w:t>
      </w:r>
      <w:r w:rsidR="005E2088">
        <w:t>welcomes</w:t>
      </w:r>
      <w:r w:rsidR="0069632B">
        <w:t xml:space="preserve"> the</w:t>
      </w:r>
      <w:r w:rsidR="005E2088">
        <w:t xml:space="preserve"> opportunity</w:t>
      </w:r>
      <w:r w:rsidR="00B017CE">
        <w:t xml:space="preserve"> to comment on </w:t>
      </w:r>
      <w:r w:rsidR="005E2088">
        <w:t>Communications Alliance’s</w:t>
      </w:r>
      <w:r w:rsidR="00B017CE">
        <w:t xml:space="preserve"> draft Authorised Representatives and Advocates Industry Guidance Note (</w:t>
      </w:r>
      <w:r w:rsidR="005E2088">
        <w:t xml:space="preserve">hereafter </w:t>
      </w:r>
      <w:r w:rsidR="00B017CE">
        <w:t>IGN</w:t>
      </w:r>
      <w:r w:rsidR="00BA5615">
        <w:t xml:space="preserve"> 01</w:t>
      </w:r>
      <w:r w:rsidR="002D7667">
        <w:t>7</w:t>
      </w:r>
      <w:r w:rsidR="000B2030">
        <w:t>).</w:t>
      </w:r>
    </w:p>
    <w:p w:rsidR="007A5B07" w:rsidRDefault="00F77C5D" w:rsidP="00254613">
      <w:r>
        <w:t>We understand that a review of this IGN will take place in September 2019. Howeve</w:t>
      </w:r>
      <w:r w:rsidR="00426B56">
        <w:t>r,</w:t>
      </w:r>
      <w:r w:rsidR="00BA7729">
        <w:t xml:space="preserve"> we wish to raise three concerns about the substance of IGN 017 </w:t>
      </w:r>
      <w:r w:rsidR="00A738E3">
        <w:t xml:space="preserve">for </w:t>
      </w:r>
      <w:r w:rsidR="00C60192">
        <w:t xml:space="preserve">consideration </w:t>
      </w:r>
      <w:r w:rsidR="00BA7729">
        <w:t>before then</w:t>
      </w:r>
      <w:r w:rsidR="002D7667">
        <w:t xml:space="preserve">. </w:t>
      </w:r>
    </w:p>
    <w:p w:rsidR="00B4714B" w:rsidRDefault="00B4714B" w:rsidP="00254613">
      <w:r>
        <w:t>Our consultation with financial counsellors and lawyers revealed that the authorisation process is unnecessarily arduous. They reported the following challenges:</w:t>
      </w:r>
    </w:p>
    <w:p w:rsidR="00B4714B" w:rsidRDefault="00B4714B" w:rsidP="00254613">
      <w:pPr>
        <w:pStyle w:val="ListParagraph"/>
        <w:numPr>
          <w:ilvl w:val="0"/>
          <w:numId w:val="5"/>
        </w:numPr>
      </w:pPr>
      <w:r>
        <w:t xml:space="preserve">Inconsistency in how the process is applied across and within RSPs </w:t>
      </w:r>
    </w:p>
    <w:p w:rsidR="00B4714B" w:rsidRDefault="00B4714B" w:rsidP="00254613">
      <w:pPr>
        <w:pStyle w:val="ListParagraph"/>
        <w:numPr>
          <w:ilvl w:val="0"/>
          <w:numId w:val="5"/>
        </w:numPr>
      </w:pPr>
      <w:r>
        <w:t>Lengthy delays when RSPs knock back requests for authorisation</w:t>
      </w:r>
    </w:p>
    <w:p w:rsidR="00B4714B" w:rsidRDefault="00B4714B" w:rsidP="00254613">
      <w:pPr>
        <w:pStyle w:val="ListParagraph"/>
        <w:numPr>
          <w:ilvl w:val="0"/>
          <w:numId w:val="5"/>
        </w:numPr>
      </w:pPr>
      <w:r>
        <w:t xml:space="preserve">Identification measures that </w:t>
      </w:r>
      <w:r w:rsidR="00F6012E">
        <w:t>request</w:t>
      </w:r>
      <w:r>
        <w:t xml:space="preserve"> an unnecessary level of personal information</w:t>
      </w:r>
      <w:r w:rsidR="00A738E3">
        <w:t xml:space="preserve"> about the person seeking authorisation</w:t>
      </w:r>
      <w:r>
        <w:t xml:space="preserve"> </w:t>
      </w:r>
      <w:r w:rsidR="00165725">
        <w:t>by</w:t>
      </w:r>
      <w:r>
        <w:t xml:space="preserve"> RSPs (</w:t>
      </w:r>
      <w:proofErr w:type="spellStart"/>
      <w:r>
        <w:t>eg</w:t>
      </w:r>
      <w:proofErr w:type="spellEnd"/>
      <w:r>
        <w:t>. Drivers’ licen</w:t>
      </w:r>
      <w:r w:rsidR="00165725">
        <w:t>c</w:t>
      </w:r>
      <w:r>
        <w:t>e number)</w:t>
      </w:r>
    </w:p>
    <w:p w:rsidR="00B4714B" w:rsidRDefault="004E7EF5" w:rsidP="00254613">
      <w:pPr>
        <w:pStyle w:val="ListParagraph"/>
        <w:numPr>
          <w:ilvl w:val="0"/>
          <w:numId w:val="5"/>
        </w:numPr>
      </w:pPr>
      <w:r>
        <w:t>Legal representatives</w:t>
      </w:r>
      <w:r w:rsidR="00B4714B">
        <w:t xml:space="preserve"> required to undergo the same authorisation process as other representatives.</w:t>
      </w:r>
    </w:p>
    <w:p w:rsidR="007A5B07" w:rsidRPr="00426B56" w:rsidRDefault="007A5B07" w:rsidP="00254613">
      <w:r>
        <w:t xml:space="preserve">We are concerned that IGN 017 </w:t>
      </w:r>
      <w:r w:rsidR="00426B56">
        <w:t xml:space="preserve">lacks detail about </w:t>
      </w:r>
      <w:r w:rsidR="00E60AC1">
        <w:t>a</w:t>
      </w:r>
      <w:r w:rsidR="004B20A7">
        <w:t xml:space="preserve"> </w:t>
      </w:r>
      <w:r w:rsidR="00426B56">
        <w:t>recommended proces</w:t>
      </w:r>
      <w:r w:rsidR="004B20A7">
        <w:t>s for authorising represen</w:t>
      </w:r>
      <w:r w:rsidR="00E60AC1">
        <w:t xml:space="preserve">tatives or advocates (the </w:t>
      </w:r>
      <w:r w:rsidR="004B20A7">
        <w:t>authorisation process)</w:t>
      </w:r>
      <w:r w:rsidR="00E60AC1">
        <w:t>, and overcomplicates the issue</w:t>
      </w:r>
      <w:r w:rsidR="00426B56">
        <w:t>.</w:t>
      </w:r>
      <w:r w:rsidRPr="00426B56">
        <w:t xml:space="preserve"> IGN 017 </w:t>
      </w:r>
      <w:r w:rsidR="00426B56">
        <w:t xml:space="preserve">should </w:t>
      </w:r>
      <w:r w:rsidRPr="00426B56">
        <w:t>be simplified</w:t>
      </w:r>
      <w:r w:rsidR="00426B56" w:rsidRPr="00426B56">
        <w:t xml:space="preserve"> and amended</w:t>
      </w:r>
      <w:r w:rsidRPr="00426B56">
        <w:t xml:space="preserve"> to </w:t>
      </w:r>
      <w:r w:rsidR="00E60AC1">
        <w:t xml:space="preserve">focus on </w:t>
      </w:r>
      <w:r w:rsidRPr="00426B56">
        <w:t xml:space="preserve">the </w:t>
      </w:r>
      <w:r w:rsidR="00426B56" w:rsidRPr="00426B56">
        <w:t>following:</w:t>
      </w:r>
    </w:p>
    <w:p w:rsidR="00426B56" w:rsidRPr="00426B56" w:rsidRDefault="00426B56" w:rsidP="00254613">
      <w:pPr>
        <w:pStyle w:val="ListParagraph"/>
        <w:numPr>
          <w:ilvl w:val="0"/>
          <w:numId w:val="3"/>
        </w:numPr>
      </w:pPr>
      <w:r w:rsidRPr="00426B56">
        <w:t>Emphasis</w:t>
      </w:r>
      <w:r w:rsidR="00E60AC1">
        <w:t xml:space="preserve">e the need to </w:t>
      </w:r>
      <w:r w:rsidR="004E5E28">
        <w:t xml:space="preserve"> </w:t>
      </w:r>
      <w:r w:rsidRPr="00426B56">
        <w:t xml:space="preserve">comply with </w:t>
      </w:r>
      <w:r w:rsidR="004E5E28">
        <w:t xml:space="preserve">the </w:t>
      </w:r>
      <w:r>
        <w:t xml:space="preserve">authorisation process outlined in the </w:t>
      </w:r>
      <w:r w:rsidR="004B20A7">
        <w:t>ACCC</w:t>
      </w:r>
      <w:r w:rsidR="00450A3C">
        <w:t>/ASIC Debt Col</w:t>
      </w:r>
      <w:r w:rsidR="00C60192">
        <w:t>lection Guideline</w:t>
      </w:r>
      <w:r w:rsidR="00450A3C">
        <w:rPr>
          <w:rStyle w:val="FootnoteReference"/>
        </w:rPr>
        <w:footnoteReference w:id="1"/>
      </w:r>
      <w:r w:rsidR="00E60AC1">
        <w:t>, noting that t</w:t>
      </w:r>
      <w:r w:rsidR="004E5E28">
        <w:t>he TCP Code requires RSPs</w:t>
      </w:r>
      <w:r w:rsidR="00450A3C">
        <w:t xml:space="preserve"> to comply with this guideline</w:t>
      </w:r>
    </w:p>
    <w:p w:rsidR="00426B56" w:rsidRPr="00426B56" w:rsidRDefault="004B20A7" w:rsidP="00254613">
      <w:pPr>
        <w:pStyle w:val="ListParagraph"/>
        <w:numPr>
          <w:ilvl w:val="0"/>
          <w:numId w:val="2"/>
        </w:numPr>
      </w:pPr>
      <w:r>
        <w:t>Recommend</w:t>
      </w:r>
      <w:r w:rsidR="00426B56" w:rsidRPr="00426B56">
        <w:t xml:space="preserve"> use</w:t>
      </w:r>
      <w:r w:rsidR="00426B56">
        <w:t xml:space="preserve"> </w:t>
      </w:r>
      <w:r w:rsidR="00E60AC1">
        <w:t xml:space="preserve">of </w:t>
      </w:r>
      <w:r w:rsidR="00D90B84">
        <w:t>a standardised</w:t>
      </w:r>
      <w:r w:rsidR="00426B56" w:rsidRPr="00426B56">
        <w:t xml:space="preserve"> </w:t>
      </w:r>
      <w:r w:rsidR="00426B56">
        <w:t>authorisation</w:t>
      </w:r>
      <w:r w:rsidR="00426B56" w:rsidRPr="00426B56">
        <w:t xml:space="preserve"> form</w:t>
      </w:r>
      <w:r w:rsidR="004E5E28">
        <w:t xml:space="preserve"> </w:t>
      </w:r>
      <w:r w:rsidR="00D90B84">
        <w:t xml:space="preserve">similar to the </w:t>
      </w:r>
      <w:r w:rsidR="00F6012E">
        <w:t xml:space="preserve">Authority Form </w:t>
      </w:r>
      <w:r w:rsidR="00165725">
        <w:t xml:space="preserve">already </w:t>
      </w:r>
      <w:r w:rsidR="00426B56">
        <w:t>developed by Financial Counsellors Australia</w:t>
      </w:r>
      <w:r w:rsidR="003A5186">
        <w:t xml:space="preserve"> (FCA)</w:t>
      </w:r>
      <w:r w:rsidR="00426B56">
        <w:t xml:space="preserve"> </w:t>
      </w:r>
      <w:r w:rsidR="00165725">
        <w:t xml:space="preserve">in consultation with other industries and </w:t>
      </w:r>
      <w:r w:rsidR="00426B56">
        <w:t xml:space="preserve"> Communications Alliance</w:t>
      </w:r>
    </w:p>
    <w:p w:rsidR="00B017CE" w:rsidRPr="004E5E28" w:rsidRDefault="004B20A7" w:rsidP="00254613">
      <w:pPr>
        <w:pStyle w:val="ListParagraph"/>
        <w:numPr>
          <w:ilvl w:val="0"/>
          <w:numId w:val="2"/>
        </w:numPr>
      </w:pPr>
      <w:r>
        <w:t>Recommend</w:t>
      </w:r>
      <w:r w:rsidR="00BA7729">
        <w:t xml:space="preserve"> </w:t>
      </w:r>
      <w:r w:rsidR="00E60AC1">
        <w:t>a</w:t>
      </w:r>
      <w:r>
        <w:t xml:space="preserve"> simplif</w:t>
      </w:r>
      <w:r w:rsidR="00E60AC1">
        <w:t>ication of</w:t>
      </w:r>
      <w:r w:rsidR="00BA7729">
        <w:t xml:space="preserve"> </w:t>
      </w:r>
      <w:r w:rsidR="00C029FE">
        <w:t>the</w:t>
      </w:r>
      <w:r>
        <w:t xml:space="preserve"> </w:t>
      </w:r>
      <w:r w:rsidR="00426B56" w:rsidRPr="00426B56">
        <w:t>authorisation</w:t>
      </w:r>
      <w:r w:rsidR="00C029FE">
        <w:t xml:space="preserve"> process</w:t>
      </w:r>
      <w:r>
        <w:t xml:space="preserve"> for </w:t>
      </w:r>
      <w:r w:rsidR="00D90B84">
        <w:t xml:space="preserve">legal </w:t>
      </w:r>
      <w:r w:rsidR="00C029FE">
        <w:t>representatives</w:t>
      </w:r>
      <w:r w:rsidR="00426B56">
        <w:t>.</w:t>
      </w:r>
    </w:p>
    <w:p w:rsidR="004D387C" w:rsidRPr="004E5E28" w:rsidRDefault="004B20A7" w:rsidP="00254613">
      <w:pPr>
        <w:rPr>
          <w:i/>
          <w:sz w:val="24"/>
        </w:rPr>
      </w:pPr>
      <w:r w:rsidRPr="004E5E28">
        <w:rPr>
          <w:i/>
          <w:sz w:val="24"/>
        </w:rPr>
        <w:t xml:space="preserve">Compliance with </w:t>
      </w:r>
      <w:r w:rsidR="0082376B" w:rsidRPr="004E5E28">
        <w:rPr>
          <w:i/>
          <w:sz w:val="24"/>
        </w:rPr>
        <w:t>ACCC</w:t>
      </w:r>
      <w:r w:rsidR="00450A3C">
        <w:rPr>
          <w:i/>
          <w:sz w:val="24"/>
        </w:rPr>
        <w:t>/ASIC</w:t>
      </w:r>
      <w:r w:rsidR="0082376B" w:rsidRPr="004E5E28">
        <w:rPr>
          <w:i/>
          <w:sz w:val="24"/>
        </w:rPr>
        <w:t xml:space="preserve"> </w:t>
      </w:r>
      <w:r w:rsidR="004E5E28">
        <w:rPr>
          <w:i/>
          <w:sz w:val="24"/>
        </w:rPr>
        <w:t>D</w:t>
      </w:r>
      <w:r w:rsidR="0082376B" w:rsidRPr="004E5E28">
        <w:rPr>
          <w:i/>
          <w:sz w:val="24"/>
        </w:rPr>
        <w:t>ebt</w:t>
      </w:r>
      <w:r w:rsidRPr="004E5E28">
        <w:rPr>
          <w:i/>
          <w:sz w:val="24"/>
        </w:rPr>
        <w:t xml:space="preserve"> </w:t>
      </w:r>
      <w:r w:rsidR="004E5E28">
        <w:rPr>
          <w:i/>
          <w:sz w:val="24"/>
        </w:rPr>
        <w:t>C</w:t>
      </w:r>
      <w:r w:rsidRPr="004E5E28">
        <w:rPr>
          <w:i/>
          <w:sz w:val="24"/>
        </w:rPr>
        <w:t>ollection</w:t>
      </w:r>
      <w:r w:rsidR="004E5E28">
        <w:rPr>
          <w:i/>
          <w:sz w:val="24"/>
        </w:rPr>
        <w:t xml:space="preserve"> G</w:t>
      </w:r>
      <w:r w:rsidR="00450A3C">
        <w:rPr>
          <w:i/>
          <w:sz w:val="24"/>
        </w:rPr>
        <w:t>uideline</w:t>
      </w:r>
    </w:p>
    <w:p w:rsidR="000B2030" w:rsidRDefault="002D7667" w:rsidP="00254613">
      <w:r>
        <w:t>Sect</w:t>
      </w:r>
      <w:r w:rsidR="00C029FE">
        <w:t xml:space="preserve">ion 2.2 of IGN 017 states that one of its key objectives </w:t>
      </w:r>
      <w:r>
        <w:t>is to ‘c</w:t>
      </w:r>
      <w:r w:rsidRPr="002D7667">
        <w:t>larify the methods by which a consumer can appoint an Advocate or Authorised Representative</w:t>
      </w:r>
      <w:r>
        <w:t>’.</w:t>
      </w:r>
      <w:r w:rsidR="004E5E28">
        <w:t xml:space="preserve"> S</w:t>
      </w:r>
      <w:r>
        <w:t xml:space="preserve">ection 5.2.1 </w:t>
      </w:r>
      <w:r w:rsidR="00415F92">
        <w:t>acknowledges the</w:t>
      </w:r>
      <w:r w:rsidR="00450A3C">
        <w:t xml:space="preserve"> </w:t>
      </w:r>
      <w:r w:rsidR="00415F92">
        <w:lastRenderedPageBreak/>
        <w:t>difficult</w:t>
      </w:r>
      <w:r w:rsidR="004E5E28">
        <w:t>y</w:t>
      </w:r>
      <w:r w:rsidR="009E7B22">
        <w:t xml:space="preserve"> of developing a process </w:t>
      </w:r>
      <w:r w:rsidR="00415F92">
        <w:t xml:space="preserve">that </w:t>
      </w:r>
      <w:r w:rsidR="00202004">
        <w:t xml:space="preserve">simultaneously protects consumers </w:t>
      </w:r>
      <w:r w:rsidR="00415F92">
        <w:t>while avoiding undue burden. It offers ‘</w:t>
      </w:r>
      <w:r w:rsidR="00415F92" w:rsidRPr="00BA5615">
        <w:rPr>
          <w:b/>
        </w:rPr>
        <w:t>no clear solution’</w:t>
      </w:r>
      <w:r w:rsidR="00415F92">
        <w:t xml:space="preserve"> to this </w:t>
      </w:r>
      <w:r w:rsidR="004E5E28">
        <w:t>challenge</w:t>
      </w:r>
      <w:r w:rsidR="00415F92">
        <w:t>.</w:t>
      </w:r>
      <w:r w:rsidR="00202004">
        <w:rPr>
          <w:rStyle w:val="FootnoteReference"/>
        </w:rPr>
        <w:footnoteReference w:id="2"/>
      </w:r>
      <w:r w:rsidR="00E60AC1">
        <w:t xml:space="preserve"> While aware of the need to protect against unauthorised access, ACCAN does not consider this to be a helpful approach in a Guidance Note. </w:t>
      </w:r>
    </w:p>
    <w:p w:rsidR="00FB1FE4" w:rsidRDefault="00BA5615" w:rsidP="00254613">
      <w:r>
        <w:t xml:space="preserve">Our solution is this: </w:t>
      </w:r>
      <w:r w:rsidR="00395D09" w:rsidRPr="009E7B22">
        <w:rPr>
          <w:b/>
        </w:rPr>
        <w:t xml:space="preserve">IGN 017 </w:t>
      </w:r>
      <w:r w:rsidR="00C029FE" w:rsidRPr="009E7B22">
        <w:rPr>
          <w:b/>
        </w:rPr>
        <w:t>should</w:t>
      </w:r>
      <w:r w:rsidR="00395D09" w:rsidRPr="009E7B22">
        <w:rPr>
          <w:b/>
        </w:rPr>
        <w:t xml:space="preserve"> </w:t>
      </w:r>
      <w:r w:rsidR="004E5E28" w:rsidRPr="009E7B22">
        <w:rPr>
          <w:b/>
        </w:rPr>
        <w:t>recommend</w:t>
      </w:r>
      <w:r w:rsidR="00A71438" w:rsidRPr="009E7B22">
        <w:rPr>
          <w:b/>
        </w:rPr>
        <w:t xml:space="preserve"> </w:t>
      </w:r>
      <w:r w:rsidR="004D387C" w:rsidRPr="009E7B22">
        <w:rPr>
          <w:b/>
        </w:rPr>
        <w:t xml:space="preserve">a </w:t>
      </w:r>
      <w:r w:rsidRPr="009E7B22">
        <w:rPr>
          <w:b/>
        </w:rPr>
        <w:t>simple</w:t>
      </w:r>
      <w:r w:rsidR="002C6BC4" w:rsidRPr="009E7B22">
        <w:rPr>
          <w:b/>
        </w:rPr>
        <w:t xml:space="preserve"> </w:t>
      </w:r>
      <w:r w:rsidR="004E5E28" w:rsidRPr="009E7B22">
        <w:rPr>
          <w:b/>
        </w:rPr>
        <w:t>authorisation</w:t>
      </w:r>
      <w:r w:rsidR="004D387C" w:rsidRPr="009E7B22">
        <w:rPr>
          <w:b/>
        </w:rPr>
        <w:t xml:space="preserve"> process</w:t>
      </w:r>
      <w:r w:rsidR="004E5E28" w:rsidRPr="009E7B22">
        <w:rPr>
          <w:b/>
        </w:rPr>
        <w:t xml:space="preserve"> in </w:t>
      </w:r>
      <w:r w:rsidR="00186DDB">
        <w:rPr>
          <w:b/>
        </w:rPr>
        <w:t>accordance</w:t>
      </w:r>
      <w:r w:rsidR="004E5E28" w:rsidRPr="009E7B22">
        <w:rPr>
          <w:b/>
        </w:rPr>
        <w:t xml:space="preserve"> with </w:t>
      </w:r>
      <w:r w:rsidR="005E1C21">
        <w:rPr>
          <w:b/>
        </w:rPr>
        <w:t>the ASIC</w:t>
      </w:r>
      <w:r w:rsidR="00BA7729">
        <w:rPr>
          <w:b/>
        </w:rPr>
        <w:t>/</w:t>
      </w:r>
      <w:r w:rsidR="005E1C21">
        <w:rPr>
          <w:b/>
        </w:rPr>
        <w:t xml:space="preserve">ACCC </w:t>
      </w:r>
      <w:r w:rsidR="00450A3C">
        <w:rPr>
          <w:b/>
        </w:rPr>
        <w:t>Guideline</w:t>
      </w:r>
      <w:r w:rsidR="00E675F8">
        <w:rPr>
          <w:b/>
        </w:rPr>
        <w:t xml:space="preserve"> </w:t>
      </w:r>
      <w:r w:rsidR="00E675F8">
        <w:t>(the Guideline)</w:t>
      </w:r>
      <w:r w:rsidR="005E1C21" w:rsidRPr="00BA7729">
        <w:t xml:space="preserve">, as required </w:t>
      </w:r>
      <w:r w:rsidR="00BA7729">
        <w:t xml:space="preserve">under </w:t>
      </w:r>
      <w:r w:rsidR="00A71438">
        <w:t>TCP Code section 6.10.1</w:t>
      </w:r>
      <w:r w:rsidR="00395D09">
        <w:t>A</w:t>
      </w:r>
      <w:r w:rsidR="005E1C21">
        <w:t xml:space="preserve"> in relation to debt collection activities.</w:t>
      </w:r>
      <w:r w:rsidR="00FB1FE4">
        <w:rPr>
          <w:rStyle w:val="FootnoteReference"/>
        </w:rPr>
        <w:footnoteReference w:id="3"/>
      </w:r>
      <w:r w:rsidR="00186DDB">
        <w:t xml:space="preserve"> The Guideline</w:t>
      </w:r>
      <w:r w:rsidR="00450A3C">
        <w:t xml:space="preserve"> </w:t>
      </w:r>
      <w:r w:rsidR="00FB1FE4">
        <w:t>states</w:t>
      </w:r>
      <w:r w:rsidR="004D387C">
        <w:t xml:space="preserve"> that </w:t>
      </w:r>
      <w:r w:rsidR="004E5E28">
        <w:t>RSPs</w:t>
      </w:r>
      <w:r w:rsidR="004D387C">
        <w:t xml:space="preserve"> should not</w:t>
      </w:r>
      <w:r w:rsidR="00FB1FE4">
        <w:t xml:space="preserve">: </w:t>
      </w:r>
      <w:r w:rsidR="004D387C">
        <w:tab/>
      </w:r>
    </w:p>
    <w:p w:rsidR="00BA5615" w:rsidRDefault="004D387C" w:rsidP="00254613">
      <w:pPr>
        <w:ind w:left="720"/>
      </w:pPr>
      <w:r>
        <w:t>“</w:t>
      </w:r>
      <w:proofErr w:type="gramStart"/>
      <w:r w:rsidR="00FB1FE4">
        <w:t>refuse</w:t>
      </w:r>
      <w:proofErr w:type="gramEnd"/>
      <w:r w:rsidR="00FB1FE4">
        <w:t xml:space="preserve"> to deal with an appointed or authorised representative, whether by direct refusal or by</w:t>
      </w:r>
      <w:r>
        <w:t xml:space="preserve"> </w:t>
      </w:r>
      <w:r w:rsidR="00FB1FE4" w:rsidRPr="00F6012E">
        <w:t>placing unnecessary obstacles in the way of the authorised representative, for example</w:t>
      </w:r>
      <w:r w:rsidR="00FB1FE4" w:rsidRPr="00452499">
        <w:rPr>
          <w:b/>
        </w:rPr>
        <w:t>, by insisting o</w:t>
      </w:r>
      <w:r w:rsidR="00FB1FE4" w:rsidRPr="004D387C">
        <w:rPr>
          <w:b/>
        </w:rPr>
        <w:t>n a particular style or form of authorisation when the written authority provided already includes the necessary information</w:t>
      </w:r>
      <w:r>
        <w:t>.”</w:t>
      </w:r>
      <w:r w:rsidR="008D1206">
        <w:rPr>
          <w:rStyle w:val="FootnoteReference"/>
        </w:rPr>
        <w:footnoteReference w:id="4"/>
      </w:r>
    </w:p>
    <w:p w:rsidR="00C029FE" w:rsidRDefault="00450A3C" w:rsidP="00254613">
      <w:r>
        <w:t>We recognise the Guideline</w:t>
      </w:r>
      <w:r w:rsidR="00BA5615">
        <w:t xml:space="preserve"> address</w:t>
      </w:r>
      <w:r w:rsidR="00186DDB">
        <w:t>es</w:t>
      </w:r>
      <w:r w:rsidR="00BA5615">
        <w:t xml:space="preserve"> </w:t>
      </w:r>
      <w:r w:rsidR="004E5E28">
        <w:t>the authorisation process for</w:t>
      </w:r>
      <w:r w:rsidR="00452499">
        <w:t xml:space="preserve"> </w:t>
      </w:r>
      <w:r w:rsidR="00C029FE">
        <w:t>representatives</w:t>
      </w:r>
      <w:r w:rsidR="00430F41">
        <w:t xml:space="preserve"> </w:t>
      </w:r>
      <w:r w:rsidR="004E5E28">
        <w:t>dealing with</w:t>
      </w:r>
      <w:r w:rsidR="00452499">
        <w:t xml:space="preserve"> </w:t>
      </w:r>
      <w:r w:rsidR="004E7EF5">
        <w:t xml:space="preserve">debt collection. However, </w:t>
      </w:r>
      <w:r w:rsidR="00BA5615">
        <w:t>t</w:t>
      </w:r>
      <w:r w:rsidR="004E7EF5">
        <w:t>his limitation</w:t>
      </w:r>
      <w:r w:rsidR="00BA5615">
        <w:t xml:space="preserve"> is </w:t>
      </w:r>
      <w:r w:rsidR="005E1C21">
        <w:t>impractical</w:t>
      </w:r>
      <w:r w:rsidR="00BA5615">
        <w:t xml:space="preserve">. </w:t>
      </w:r>
      <w:r w:rsidR="00C029FE">
        <w:t xml:space="preserve">It is </w:t>
      </w:r>
      <w:r w:rsidR="003A5186">
        <w:t>un</w:t>
      </w:r>
      <w:r w:rsidR="005E1C21">
        <w:t>reasonable for all parties if</w:t>
      </w:r>
      <w:r w:rsidR="003A5186">
        <w:t xml:space="preserve"> the </w:t>
      </w:r>
      <w:r w:rsidR="00186DDB">
        <w:t>Guideline</w:t>
      </w:r>
      <w:r w:rsidR="003A5186">
        <w:t xml:space="preserve"> and TCP </w:t>
      </w:r>
      <w:r w:rsidR="009E7B22">
        <w:t>C</w:t>
      </w:r>
      <w:r w:rsidR="003A5186">
        <w:t>ode</w:t>
      </w:r>
      <w:r w:rsidR="00C029FE">
        <w:t xml:space="preserve"> </w:t>
      </w:r>
      <w:r w:rsidR="009E7B22">
        <w:t>recommend</w:t>
      </w:r>
      <w:r w:rsidR="002379C0">
        <w:t xml:space="preserve"> </w:t>
      </w:r>
      <w:r w:rsidR="003A5186">
        <w:t xml:space="preserve">one </w:t>
      </w:r>
      <w:r w:rsidR="009E7B22">
        <w:t>standard</w:t>
      </w:r>
      <w:r w:rsidR="005E1C21">
        <w:t xml:space="preserve"> approach</w:t>
      </w:r>
      <w:r w:rsidR="00C029FE">
        <w:t xml:space="preserve"> for </w:t>
      </w:r>
      <w:r w:rsidR="009E7B22">
        <w:t xml:space="preserve">authorising </w:t>
      </w:r>
      <w:r w:rsidR="00C029FE">
        <w:t>representatives dealing with debt collection</w:t>
      </w:r>
      <w:r w:rsidR="002379C0">
        <w:t xml:space="preserve">, but none </w:t>
      </w:r>
      <w:r w:rsidR="00C029FE">
        <w:t xml:space="preserve">for those dealing with any other kind </w:t>
      </w:r>
      <w:r w:rsidR="005E1C21">
        <w:t xml:space="preserve">of </w:t>
      </w:r>
      <w:r w:rsidR="00C029FE">
        <w:t xml:space="preserve">communication with RSPs. </w:t>
      </w:r>
    </w:p>
    <w:p w:rsidR="000270DE" w:rsidRDefault="003A5186" w:rsidP="00254613">
      <w:r>
        <w:t>I</w:t>
      </w:r>
      <w:r w:rsidR="00BA5615">
        <w:t xml:space="preserve">GN 017 should </w:t>
      </w:r>
      <w:r>
        <w:t>emphasise that</w:t>
      </w:r>
      <w:r w:rsidR="00D72265">
        <w:t xml:space="preserve"> RSPs </w:t>
      </w:r>
      <w:r w:rsidR="00BF3F0C">
        <w:t>enforcing</w:t>
      </w:r>
      <w:r>
        <w:t xml:space="preserve"> ‘</w:t>
      </w:r>
      <w:r w:rsidRPr="003A5186">
        <w:t xml:space="preserve">a particular style or form of authorisation when the written authority provided </w:t>
      </w:r>
      <w:r>
        <w:t>[</w:t>
      </w:r>
      <w:proofErr w:type="spellStart"/>
      <w:r>
        <w:t>eg</w:t>
      </w:r>
      <w:proofErr w:type="spellEnd"/>
      <w:r>
        <w:t xml:space="preserve">. the FCA form] </w:t>
      </w:r>
      <w:r w:rsidRPr="003A5186">
        <w:t>already includes the necessary information</w:t>
      </w:r>
      <w:r>
        <w:t xml:space="preserve">’ </w:t>
      </w:r>
      <w:r w:rsidR="005E1C21">
        <w:t>can be interpreted as</w:t>
      </w:r>
      <w:r w:rsidR="00BA7729">
        <w:t xml:space="preserve"> </w:t>
      </w:r>
      <w:r>
        <w:t>obstructing the authorisation process.</w:t>
      </w:r>
      <w:r w:rsidR="000270DE">
        <w:t xml:space="preserve"> </w:t>
      </w:r>
      <w:r w:rsidR="009E7B22" w:rsidRPr="009E7B22">
        <w:t>Instead</w:t>
      </w:r>
      <w:r w:rsidR="000270DE">
        <w:t>, t</w:t>
      </w:r>
      <w:r w:rsidR="00BF3F0C">
        <w:t>he process should</w:t>
      </w:r>
      <w:r w:rsidR="000270DE">
        <w:t xml:space="preserve"> </w:t>
      </w:r>
      <w:r w:rsidR="009E7B22">
        <w:t xml:space="preserve">be </w:t>
      </w:r>
      <w:r w:rsidR="000270DE">
        <w:t xml:space="preserve">straightforward for both </w:t>
      </w:r>
      <w:r w:rsidR="00BF3F0C">
        <w:t xml:space="preserve">the customer </w:t>
      </w:r>
      <w:r w:rsidR="000270DE">
        <w:rPr>
          <w:b/>
        </w:rPr>
        <w:t>and</w:t>
      </w:r>
      <w:r w:rsidR="00BF3F0C">
        <w:t xml:space="preserve"> the representative.</w:t>
      </w:r>
      <w:r w:rsidR="009E7B22">
        <w:t xml:space="preserve"> IGN 017 must go further to</w:t>
      </w:r>
      <w:r w:rsidR="007A7087">
        <w:t xml:space="preserve"> ensure </w:t>
      </w:r>
      <w:r w:rsidR="005E1C21">
        <w:t xml:space="preserve">the </w:t>
      </w:r>
      <w:r w:rsidR="007A7087">
        <w:t>standards outlined in th</w:t>
      </w:r>
      <w:r w:rsidR="00186DDB">
        <w:t xml:space="preserve">e </w:t>
      </w:r>
      <w:r w:rsidR="007A7087">
        <w:t xml:space="preserve">Guideline are being met. </w:t>
      </w:r>
      <w:r w:rsidR="009E7B22">
        <w:t xml:space="preserve"> </w:t>
      </w:r>
      <w:r w:rsidR="000270DE">
        <w:t xml:space="preserve"> </w:t>
      </w:r>
    </w:p>
    <w:p w:rsidR="003D7F78" w:rsidRPr="00430F41" w:rsidRDefault="00B017CE" w:rsidP="00254613">
      <w:pPr>
        <w:rPr>
          <w:i/>
          <w:sz w:val="24"/>
        </w:rPr>
      </w:pPr>
      <w:r w:rsidRPr="00EF095C">
        <w:rPr>
          <w:i/>
          <w:sz w:val="24"/>
        </w:rPr>
        <w:t xml:space="preserve">Standardised </w:t>
      </w:r>
      <w:r w:rsidR="007F69D9" w:rsidRPr="00EF095C">
        <w:rPr>
          <w:i/>
          <w:sz w:val="24"/>
        </w:rPr>
        <w:t>authorisation form</w:t>
      </w:r>
      <w:r w:rsidR="000270DE">
        <w:rPr>
          <w:i/>
          <w:sz w:val="24"/>
        </w:rPr>
        <w:t xml:space="preserve"> </w:t>
      </w:r>
    </w:p>
    <w:p w:rsidR="000270DE" w:rsidRDefault="00A07BB5" w:rsidP="00254613">
      <w:r>
        <w:t>It is unclear</w:t>
      </w:r>
      <w:r w:rsidR="000270DE">
        <w:t xml:space="preserve"> why IGN 017 cannot recommend use of a standardised authorisation form at this </w:t>
      </w:r>
      <w:r w:rsidR="00841D7C">
        <w:t xml:space="preserve">time, especially considering </w:t>
      </w:r>
      <w:r w:rsidR="005E1C21">
        <w:t xml:space="preserve">Communications Alliance’s </w:t>
      </w:r>
      <w:r w:rsidR="00B170D9">
        <w:t xml:space="preserve">positive </w:t>
      </w:r>
      <w:r w:rsidR="005E1C21">
        <w:t>engagement and input into the</w:t>
      </w:r>
      <w:r w:rsidR="00B170D9">
        <w:t xml:space="preserve"> FCA</w:t>
      </w:r>
      <w:r w:rsidR="005E1C21">
        <w:t xml:space="preserve"> </w:t>
      </w:r>
      <w:r w:rsidR="00B170D9">
        <w:t xml:space="preserve"> </w:t>
      </w:r>
      <w:r w:rsidR="00841D7C">
        <w:t xml:space="preserve"> </w:t>
      </w:r>
      <w:r w:rsidR="00BA7729">
        <w:t xml:space="preserve">Authority Form </w:t>
      </w:r>
      <w:r w:rsidR="00B170D9">
        <w:t xml:space="preserve">a few years ago. </w:t>
      </w:r>
    </w:p>
    <w:p w:rsidR="000270DE" w:rsidRDefault="00171FD8" w:rsidP="00254613">
      <w:r>
        <w:t>The introduction of a standardised authorisation</w:t>
      </w:r>
      <w:r w:rsidR="000270DE">
        <w:t xml:space="preserve"> form</w:t>
      </w:r>
      <w:r>
        <w:t xml:space="preserve"> would</w:t>
      </w:r>
      <w:r w:rsidR="000270DE">
        <w:t>:</w:t>
      </w:r>
      <w:r>
        <w:t xml:space="preserve"> </w:t>
      </w:r>
    </w:p>
    <w:p w:rsidR="000270DE" w:rsidRDefault="008D1206" w:rsidP="00254613">
      <w:pPr>
        <w:pStyle w:val="ListParagraph"/>
        <w:numPr>
          <w:ilvl w:val="0"/>
          <w:numId w:val="4"/>
        </w:numPr>
      </w:pPr>
      <w:r>
        <w:t>Significantly i</w:t>
      </w:r>
      <w:r w:rsidR="00171FD8">
        <w:t>mprove the</w:t>
      </w:r>
      <w:r w:rsidR="00AB2816">
        <w:t xml:space="preserve"> efficiency of the</w:t>
      </w:r>
      <w:r w:rsidR="00171FD8">
        <w:t xml:space="preserve"> authorisation process</w:t>
      </w:r>
      <w:r w:rsidR="00AB2816">
        <w:t xml:space="preserve"> </w:t>
      </w:r>
      <w:r w:rsidR="000270DE">
        <w:t xml:space="preserve">for </w:t>
      </w:r>
      <w:r w:rsidR="00F6012E">
        <w:t>all parties</w:t>
      </w:r>
    </w:p>
    <w:p w:rsidR="000270DE" w:rsidRDefault="00AB2816" w:rsidP="00254613">
      <w:pPr>
        <w:pStyle w:val="ListParagraph"/>
        <w:numPr>
          <w:ilvl w:val="0"/>
          <w:numId w:val="4"/>
        </w:numPr>
      </w:pPr>
      <w:r>
        <w:t xml:space="preserve">Ensure RSPs are </w:t>
      </w:r>
      <w:r w:rsidR="00A07BB5">
        <w:t>compliant</w:t>
      </w:r>
      <w:r>
        <w:t xml:space="preserve"> with </w:t>
      </w:r>
      <w:r w:rsidR="008D1206">
        <w:t xml:space="preserve">section </w:t>
      </w:r>
      <w:r w:rsidR="008D1206" w:rsidRPr="008D1206">
        <w:t>6.10.1A</w:t>
      </w:r>
      <w:r w:rsidR="008D1206">
        <w:t xml:space="preserve"> of the</w:t>
      </w:r>
      <w:r w:rsidR="008D1206" w:rsidRPr="008D1206">
        <w:t xml:space="preserve"> </w:t>
      </w:r>
      <w:r w:rsidR="008D1206">
        <w:t xml:space="preserve">TCP Code by </w:t>
      </w:r>
      <w:r w:rsidR="00186DDB">
        <w:t>following the</w:t>
      </w:r>
      <w:r w:rsidR="00450A3C">
        <w:t xml:space="preserve"> Guideline</w:t>
      </w:r>
    </w:p>
    <w:p w:rsidR="00AB2816" w:rsidRDefault="00AB2816" w:rsidP="00254613">
      <w:pPr>
        <w:pStyle w:val="ListParagraph"/>
        <w:numPr>
          <w:ilvl w:val="0"/>
          <w:numId w:val="4"/>
        </w:numPr>
      </w:pPr>
      <w:r>
        <w:t>Support industry best practice</w:t>
      </w:r>
    </w:p>
    <w:p w:rsidR="00F6012E" w:rsidRDefault="00841D7C" w:rsidP="00254613">
      <w:r>
        <w:t>C</w:t>
      </w:r>
      <w:r w:rsidR="007D0429">
        <w:t>onsultation</w:t>
      </w:r>
      <w:r w:rsidR="008E343B">
        <w:t xml:space="preserve"> </w:t>
      </w:r>
      <w:r>
        <w:t xml:space="preserve">with our stakeholders </w:t>
      </w:r>
      <w:r w:rsidR="008E343B">
        <w:t>highligh</w:t>
      </w:r>
      <w:r w:rsidR="007D0429">
        <w:t xml:space="preserve">ted that the </w:t>
      </w:r>
      <w:r w:rsidR="00AB2816">
        <w:t>authorisation</w:t>
      </w:r>
      <w:r w:rsidR="007D0429">
        <w:t xml:space="preserve"> process is </w:t>
      </w:r>
      <w:r w:rsidR="00171FD8">
        <w:t xml:space="preserve">applied </w:t>
      </w:r>
      <w:r w:rsidR="007D0429">
        <w:t>inconsistent</w:t>
      </w:r>
      <w:r w:rsidR="00171FD8">
        <w:t>ly across and within RSPs</w:t>
      </w:r>
      <w:r w:rsidR="007D0429">
        <w:t xml:space="preserve">. </w:t>
      </w:r>
      <w:r>
        <w:t>Organisations we spoke to</w:t>
      </w:r>
      <w:r w:rsidR="007D0429">
        <w:t xml:space="preserve"> had different experiences depending on whether they contacted RSPs face-to-face, online or over the phone.</w:t>
      </w:r>
    </w:p>
    <w:p w:rsidR="003D7F78" w:rsidRDefault="007D0429" w:rsidP="00254613">
      <w:r>
        <w:t xml:space="preserve"> This poses a significant chal</w:t>
      </w:r>
      <w:r w:rsidR="00CD7227">
        <w:t xml:space="preserve">lenge, especially for those </w:t>
      </w:r>
      <w:r>
        <w:t>act</w:t>
      </w:r>
      <w:r w:rsidR="00CD7227">
        <w:t>ing</w:t>
      </w:r>
      <w:r>
        <w:t xml:space="preserve"> on behalf of rural, regional and rem</w:t>
      </w:r>
      <w:r w:rsidR="00CD7227">
        <w:t>ote (RRR) consumers. Financial</w:t>
      </w:r>
      <w:r>
        <w:t xml:space="preserve"> counsellors and community lawyers see their RRR clients intermittently. This means that when </w:t>
      </w:r>
      <w:r w:rsidR="00CD7227">
        <w:t>an RSP rejects an authorisation request</w:t>
      </w:r>
      <w:r>
        <w:t>, the pr</w:t>
      </w:r>
      <w:r w:rsidR="00CD7227">
        <w:t xml:space="preserve">ocess can be delayed for </w:t>
      </w:r>
      <w:r w:rsidR="00CD7227">
        <w:lastRenderedPageBreak/>
        <w:t>weeks.</w:t>
      </w:r>
      <w:r w:rsidR="00171FD8">
        <w:t xml:space="preserve"> This is a serious concern for ACCAN: </w:t>
      </w:r>
      <w:r w:rsidR="00171FD8" w:rsidRPr="00450A3C">
        <w:rPr>
          <w:b/>
        </w:rPr>
        <w:t xml:space="preserve">the longer the </w:t>
      </w:r>
      <w:r w:rsidR="00450A3C" w:rsidRPr="00450A3C">
        <w:rPr>
          <w:b/>
        </w:rPr>
        <w:t>authorisation</w:t>
      </w:r>
      <w:r w:rsidR="00171FD8" w:rsidRPr="00450A3C">
        <w:rPr>
          <w:b/>
        </w:rPr>
        <w:t xml:space="preserve"> process</w:t>
      </w:r>
      <w:r w:rsidR="00430F41" w:rsidRPr="00450A3C">
        <w:rPr>
          <w:b/>
        </w:rPr>
        <w:t xml:space="preserve"> takes</w:t>
      </w:r>
      <w:r w:rsidR="00171FD8" w:rsidRPr="00450A3C">
        <w:rPr>
          <w:b/>
        </w:rPr>
        <w:t xml:space="preserve">, the longer the </w:t>
      </w:r>
      <w:r w:rsidR="00450A3C">
        <w:rPr>
          <w:b/>
        </w:rPr>
        <w:t xml:space="preserve">vulnerable </w:t>
      </w:r>
      <w:r w:rsidR="00171FD8" w:rsidRPr="00450A3C">
        <w:rPr>
          <w:b/>
        </w:rPr>
        <w:t>consumer is at risk</w:t>
      </w:r>
      <w:r w:rsidR="00450A3C">
        <w:rPr>
          <w:b/>
        </w:rPr>
        <w:t xml:space="preserve"> of harm</w:t>
      </w:r>
      <w:r w:rsidR="00171FD8">
        <w:t xml:space="preserve">.  </w:t>
      </w:r>
    </w:p>
    <w:p w:rsidR="003D7F78" w:rsidRDefault="00171FD8" w:rsidP="00254613">
      <w:r w:rsidRPr="00450A3C">
        <w:t xml:space="preserve">The solution to </w:t>
      </w:r>
      <w:r w:rsidR="00841D7C" w:rsidRPr="00450A3C">
        <w:t>this challenge</w:t>
      </w:r>
      <w:r w:rsidRPr="00450A3C">
        <w:t xml:space="preserve"> </w:t>
      </w:r>
      <w:r w:rsidR="00841D7C" w:rsidRPr="00450A3C">
        <w:t>is to encourage use of</w:t>
      </w:r>
      <w:r w:rsidRPr="00450A3C">
        <w:t xml:space="preserve"> </w:t>
      </w:r>
      <w:r w:rsidR="002C6BC4" w:rsidRPr="00450A3C">
        <w:t>a</w:t>
      </w:r>
      <w:r w:rsidR="00061E9A" w:rsidRPr="00450A3C">
        <w:t xml:space="preserve"> standardised </w:t>
      </w:r>
      <w:r w:rsidR="00841D7C" w:rsidRPr="00450A3C">
        <w:t>authorisation form</w:t>
      </w:r>
      <w:r w:rsidRPr="00450A3C">
        <w:t>.</w:t>
      </w:r>
      <w:r w:rsidR="00186DDB">
        <w:t xml:space="preserve"> </w:t>
      </w:r>
      <w:r w:rsidR="007E66F9">
        <w:t xml:space="preserve">We recommend </w:t>
      </w:r>
      <w:r w:rsidR="00F6012E">
        <w:t>a</w:t>
      </w:r>
      <w:r w:rsidR="007E66F9">
        <w:t xml:space="preserve"> form</w:t>
      </w:r>
      <w:r w:rsidR="00D90B84">
        <w:t xml:space="preserve"> </w:t>
      </w:r>
      <w:r w:rsidR="00E675F8">
        <w:t>similar to that at</w:t>
      </w:r>
      <w:r w:rsidR="007E66F9">
        <w:t xml:space="preserve"> Appendix D of the Guidelin</w:t>
      </w:r>
      <w:r w:rsidR="00186DDB">
        <w:t>e</w:t>
      </w:r>
      <w:r w:rsidR="00D90B84">
        <w:t>, but adjusted to suit legal and other kinds of representatives</w:t>
      </w:r>
      <w:r w:rsidR="007E66F9">
        <w:t>.</w:t>
      </w:r>
      <w:r w:rsidR="007E66F9">
        <w:rPr>
          <w:rStyle w:val="FootnoteReference"/>
        </w:rPr>
        <w:footnoteReference w:id="5"/>
      </w:r>
      <w:r w:rsidR="0082376B">
        <w:t xml:space="preserve"> </w:t>
      </w:r>
      <w:r w:rsidR="00B170D9">
        <w:t>This is t</w:t>
      </w:r>
      <w:r w:rsidR="00C60192">
        <w:t>he same form referred to above,</w:t>
      </w:r>
      <w:r w:rsidR="0082376B">
        <w:t xml:space="preserve"> developed by </w:t>
      </w:r>
      <w:r w:rsidR="00AB2816">
        <w:t>FCA</w:t>
      </w:r>
      <w:r w:rsidR="0082376B">
        <w:t xml:space="preserve"> in conjunction with key industry stakeholders, </w:t>
      </w:r>
      <w:r w:rsidR="0082376B" w:rsidRPr="00450A3C">
        <w:rPr>
          <w:b/>
        </w:rPr>
        <w:t>including</w:t>
      </w:r>
      <w:r w:rsidR="0082376B">
        <w:t xml:space="preserve"> </w:t>
      </w:r>
      <w:r w:rsidR="0082376B" w:rsidRPr="0082376B">
        <w:rPr>
          <w:b/>
        </w:rPr>
        <w:t>Communications Alliance</w:t>
      </w:r>
      <w:r w:rsidR="00B170D9">
        <w:rPr>
          <w:b/>
        </w:rPr>
        <w:t xml:space="preserve">. </w:t>
      </w:r>
      <w:r w:rsidR="00B170D9" w:rsidRPr="007B1872">
        <w:t xml:space="preserve">It </w:t>
      </w:r>
      <w:r w:rsidR="00186DDB">
        <w:t>is currently used throughout the financial services sector</w:t>
      </w:r>
      <w:r w:rsidR="0082376B">
        <w:t>.</w:t>
      </w:r>
      <w:r w:rsidR="00186DDB">
        <w:t xml:space="preserve"> The</w:t>
      </w:r>
      <w:r w:rsidR="00A103F0">
        <w:t xml:space="preserve"> </w:t>
      </w:r>
      <w:r w:rsidR="00B170D9">
        <w:t>f</w:t>
      </w:r>
      <w:r w:rsidR="00A103F0">
        <w:t xml:space="preserve">orm </w:t>
      </w:r>
      <w:r w:rsidR="00841D7C">
        <w:t>captures the</w:t>
      </w:r>
      <w:r w:rsidR="00A103F0">
        <w:t xml:space="preserve"> contact information </w:t>
      </w:r>
      <w:r w:rsidR="00186DDB">
        <w:t>recommended by the Guideline</w:t>
      </w:r>
      <w:r w:rsidR="000F5A21">
        <w:t xml:space="preserve"> as </w:t>
      </w:r>
      <w:r w:rsidR="0035226A">
        <w:t>necessary</w:t>
      </w:r>
      <w:r w:rsidR="000F5A21">
        <w:t xml:space="preserve"> to prove identification</w:t>
      </w:r>
      <w:r w:rsidR="00430F41">
        <w:t>.</w:t>
      </w:r>
      <w:r w:rsidR="00A103F0">
        <w:rPr>
          <w:rStyle w:val="FootnoteReference"/>
        </w:rPr>
        <w:footnoteReference w:id="6"/>
      </w:r>
      <w:r w:rsidR="004E7EF5">
        <w:t xml:space="preserve"> RSPs could use existing</w:t>
      </w:r>
      <w:r w:rsidR="004E7EF5">
        <w:rPr>
          <w:rFonts w:eastAsiaTheme="minorHAnsi"/>
        </w:rPr>
        <w:t xml:space="preserve"> searchable databases of </w:t>
      </w:r>
      <w:r w:rsidR="00F6012E">
        <w:rPr>
          <w:rFonts w:eastAsiaTheme="minorHAnsi"/>
        </w:rPr>
        <w:t>certified</w:t>
      </w:r>
      <w:r w:rsidR="004E7EF5">
        <w:rPr>
          <w:rFonts w:eastAsiaTheme="minorHAnsi"/>
        </w:rPr>
        <w:t xml:space="preserve"> financial counsellors</w:t>
      </w:r>
      <w:r w:rsidR="004E7EF5">
        <w:rPr>
          <w:rStyle w:val="FootnoteReference"/>
          <w:rFonts w:eastAsiaTheme="minorHAnsi"/>
        </w:rPr>
        <w:footnoteReference w:id="7"/>
      </w:r>
      <w:r w:rsidR="004E7EF5">
        <w:rPr>
          <w:rFonts w:eastAsiaTheme="minorHAnsi"/>
        </w:rPr>
        <w:t xml:space="preserve"> and lawyers</w:t>
      </w:r>
      <w:r w:rsidR="004E7EF5">
        <w:rPr>
          <w:rStyle w:val="FootnoteReference"/>
          <w:rFonts w:eastAsiaTheme="minorHAnsi"/>
        </w:rPr>
        <w:footnoteReference w:id="8"/>
      </w:r>
      <w:r w:rsidR="004E7EF5">
        <w:rPr>
          <w:rFonts w:eastAsiaTheme="minorHAnsi"/>
        </w:rPr>
        <w:t xml:space="preserve"> to </w:t>
      </w:r>
      <w:r w:rsidR="00F6012E">
        <w:rPr>
          <w:rFonts w:eastAsiaTheme="minorHAnsi"/>
        </w:rPr>
        <w:t xml:space="preserve">further </w:t>
      </w:r>
      <w:r w:rsidR="004E7EF5">
        <w:rPr>
          <w:rFonts w:eastAsiaTheme="minorHAnsi"/>
        </w:rPr>
        <w:t>verify their identity if needed.</w:t>
      </w:r>
    </w:p>
    <w:p w:rsidR="00610434" w:rsidRDefault="00610434" w:rsidP="00254613">
      <w:r>
        <w:t xml:space="preserve">We also suggest that in some cases it may be appropriate </w:t>
      </w:r>
      <w:r w:rsidR="00A4017E">
        <w:t xml:space="preserve">and more efficient </w:t>
      </w:r>
      <w:r>
        <w:t>to grant authorisation to organisations, rather than individuals</w:t>
      </w:r>
      <w:r w:rsidR="00A4017E">
        <w:t>. T</w:t>
      </w:r>
      <w:r w:rsidR="00B170D9">
        <w:t xml:space="preserve">his would </w:t>
      </w:r>
      <w:r w:rsidR="00A4017E">
        <w:t>acknowledge the reality</w:t>
      </w:r>
      <w:r w:rsidR="00B170D9">
        <w:t xml:space="preserve"> that more than one case worker in an organisation can act on a client’s behalf</w:t>
      </w:r>
      <w:r w:rsidR="00A4017E">
        <w:t xml:space="preserve">, for example when there </w:t>
      </w:r>
      <w:r w:rsidR="00B170D9">
        <w:t>are personnel changes necessitating case handovers between case workers</w:t>
      </w:r>
      <w:r w:rsidR="00A4017E">
        <w:t xml:space="preserve">. It would also </w:t>
      </w:r>
      <w:r w:rsidR="00B170D9">
        <w:t>allow for case work to continue when lead case workers are on leave</w:t>
      </w:r>
      <w:r w:rsidR="00A4017E">
        <w:t xml:space="preserve">, </w:t>
      </w:r>
      <w:r>
        <w:t xml:space="preserve">without triggering a new authorisation process. </w:t>
      </w:r>
    </w:p>
    <w:p w:rsidR="00AB2816" w:rsidRDefault="00AB2816" w:rsidP="00254613">
      <w:pPr>
        <w:rPr>
          <w:i/>
          <w:sz w:val="24"/>
        </w:rPr>
      </w:pPr>
      <w:r>
        <w:rPr>
          <w:i/>
          <w:sz w:val="24"/>
        </w:rPr>
        <w:t xml:space="preserve">Recognition of professional standing </w:t>
      </w:r>
    </w:p>
    <w:p w:rsidR="00CD49A7" w:rsidRDefault="00ED0D09" w:rsidP="00254613">
      <w:pPr>
        <w:rPr>
          <w:rFonts w:eastAsiaTheme="minorHAnsi"/>
        </w:rPr>
      </w:pPr>
      <w:r>
        <w:rPr>
          <w:rFonts w:eastAsiaTheme="minorHAnsi"/>
        </w:rPr>
        <w:t xml:space="preserve">ACCAN </w:t>
      </w:r>
      <w:r w:rsidR="00C95590">
        <w:rPr>
          <w:rFonts w:eastAsiaTheme="minorHAnsi"/>
        </w:rPr>
        <w:t>is</w:t>
      </w:r>
      <w:r>
        <w:rPr>
          <w:rFonts w:eastAsiaTheme="minorHAnsi"/>
        </w:rPr>
        <w:t xml:space="preserve"> </w:t>
      </w:r>
      <w:r w:rsidR="00C95590">
        <w:rPr>
          <w:rFonts w:eastAsiaTheme="minorHAnsi"/>
        </w:rPr>
        <w:t>unsure</w:t>
      </w:r>
      <w:r w:rsidR="00A103F0">
        <w:rPr>
          <w:rFonts w:eastAsiaTheme="minorHAnsi"/>
        </w:rPr>
        <w:t xml:space="preserve"> about </w:t>
      </w:r>
      <w:r>
        <w:rPr>
          <w:rFonts w:eastAsiaTheme="minorHAnsi"/>
        </w:rPr>
        <w:t>the need for an internal authorisation process</w:t>
      </w:r>
      <w:r w:rsidR="00C87BC5">
        <w:rPr>
          <w:rFonts w:eastAsiaTheme="minorHAnsi"/>
        </w:rPr>
        <w:t xml:space="preserve"> </w:t>
      </w:r>
      <w:r w:rsidR="0035226A">
        <w:rPr>
          <w:rFonts w:eastAsiaTheme="minorHAnsi"/>
        </w:rPr>
        <w:t>for</w:t>
      </w:r>
      <w:r w:rsidR="00A103F0">
        <w:rPr>
          <w:rFonts w:eastAsiaTheme="minorHAnsi"/>
        </w:rPr>
        <w:t xml:space="preserve"> those acting </w:t>
      </w:r>
      <w:r w:rsidR="000F5A21">
        <w:rPr>
          <w:rFonts w:eastAsiaTheme="minorHAnsi"/>
        </w:rPr>
        <w:t>in</w:t>
      </w:r>
      <w:r w:rsidR="00A103F0">
        <w:rPr>
          <w:rFonts w:eastAsiaTheme="minorHAnsi"/>
        </w:rPr>
        <w:t xml:space="preserve"> professional</w:t>
      </w:r>
      <w:r w:rsidR="004E7EF5">
        <w:rPr>
          <w:rFonts w:eastAsiaTheme="minorHAnsi"/>
        </w:rPr>
        <w:t xml:space="preserve"> legal</w:t>
      </w:r>
      <w:r w:rsidR="00A103F0">
        <w:rPr>
          <w:rFonts w:eastAsiaTheme="minorHAnsi"/>
        </w:rPr>
        <w:t xml:space="preserve"> </w:t>
      </w:r>
      <w:r w:rsidR="000F5A21">
        <w:rPr>
          <w:rFonts w:eastAsiaTheme="minorHAnsi"/>
        </w:rPr>
        <w:t>standing</w:t>
      </w:r>
      <w:r w:rsidR="00CD49A7">
        <w:rPr>
          <w:rFonts w:eastAsiaTheme="minorHAnsi"/>
        </w:rPr>
        <w:t xml:space="preserve">. We understand that </w:t>
      </w:r>
      <w:r w:rsidR="004E7EF5">
        <w:rPr>
          <w:rFonts w:eastAsiaTheme="minorHAnsi"/>
        </w:rPr>
        <w:t>an</w:t>
      </w:r>
      <w:r w:rsidR="00CD49A7">
        <w:rPr>
          <w:rFonts w:eastAsiaTheme="minorHAnsi"/>
        </w:rPr>
        <w:t xml:space="preserve"> authorisation process is necessary to prevent fraudulent activity</w:t>
      </w:r>
      <w:r w:rsidR="00D90B84">
        <w:rPr>
          <w:rFonts w:eastAsiaTheme="minorHAnsi"/>
        </w:rPr>
        <w:t xml:space="preserve"> and protect the privacy and security of the client</w:t>
      </w:r>
      <w:r w:rsidR="00CD49A7">
        <w:rPr>
          <w:rFonts w:eastAsiaTheme="minorHAnsi"/>
        </w:rPr>
        <w:t xml:space="preserve">. However, more efficient means to </w:t>
      </w:r>
      <w:r w:rsidR="00D90B84">
        <w:rPr>
          <w:rFonts w:eastAsiaTheme="minorHAnsi"/>
        </w:rPr>
        <w:t>authorise</w:t>
      </w:r>
      <w:r w:rsidR="00CD49A7">
        <w:rPr>
          <w:rFonts w:eastAsiaTheme="minorHAnsi"/>
        </w:rPr>
        <w:t xml:space="preserve"> a</w:t>
      </w:r>
      <w:r w:rsidR="00D90B84">
        <w:rPr>
          <w:rFonts w:eastAsiaTheme="minorHAnsi"/>
        </w:rPr>
        <w:t xml:space="preserve"> representative </w:t>
      </w:r>
      <w:r w:rsidR="00CD49A7">
        <w:rPr>
          <w:rFonts w:eastAsiaTheme="minorHAnsi"/>
        </w:rPr>
        <w:t>shoul</w:t>
      </w:r>
      <w:r w:rsidR="00C95590">
        <w:rPr>
          <w:rFonts w:eastAsiaTheme="minorHAnsi"/>
        </w:rPr>
        <w:t xml:space="preserve">d be pursued where available. </w:t>
      </w:r>
    </w:p>
    <w:p w:rsidR="00D90B84" w:rsidRDefault="00BC27C2" w:rsidP="00254613">
      <w:pPr>
        <w:rPr>
          <w:rFonts w:eastAsiaTheme="minorHAnsi"/>
        </w:rPr>
      </w:pPr>
      <w:r>
        <w:rPr>
          <w:rFonts w:eastAsiaTheme="minorHAnsi"/>
          <w:b/>
        </w:rPr>
        <w:t>Ironically, under current arrangements i</w:t>
      </w:r>
      <w:r w:rsidR="00CD49A7" w:rsidRPr="00C95590">
        <w:rPr>
          <w:rFonts w:eastAsiaTheme="minorHAnsi"/>
          <w:b/>
        </w:rPr>
        <w:t xml:space="preserve">t is </w:t>
      </w:r>
      <w:r w:rsidR="00CD49A7" w:rsidRPr="00C95590">
        <w:rPr>
          <w:b/>
        </w:rPr>
        <w:t>e</w:t>
      </w:r>
      <w:r w:rsidR="00CD49A7" w:rsidRPr="00C95590">
        <w:rPr>
          <w:rFonts w:eastAsiaTheme="minorHAnsi"/>
          <w:b/>
        </w:rPr>
        <w:t xml:space="preserve">asier for a lawyer to sue an RSP on behalf </w:t>
      </w:r>
      <w:r w:rsidR="00E675F8">
        <w:rPr>
          <w:rFonts w:eastAsiaTheme="minorHAnsi"/>
          <w:b/>
        </w:rPr>
        <w:t xml:space="preserve">of </w:t>
      </w:r>
      <w:r w:rsidR="00CD49A7" w:rsidRPr="00C95590">
        <w:rPr>
          <w:rFonts w:eastAsiaTheme="minorHAnsi"/>
          <w:b/>
        </w:rPr>
        <w:t>their client</w:t>
      </w:r>
      <w:r w:rsidR="00E675F8">
        <w:rPr>
          <w:rFonts w:eastAsiaTheme="minorHAnsi"/>
          <w:b/>
        </w:rPr>
        <w:t xml:space="preserve"> due to their standing with the court,</w:t>
      </w:r>
      <w:r w:rsidR="00CD49A7" w:rsidRPr="00C95590">
        <w:rPr>
          <w:rFonts w:eastAsiaTheme="minorHAnsi"/>
          <w:b/>
        </w:rPr>
        <w:t xml:space="preserve"> than to be recognised as an authorised representative by the provider</w:t>
      </w:r>
      <w:r w:rsidR="00C60192">
        <w:rPr>
          <w:rFonts w:eastAsiaTheme="minorHAnsi"/>
        </w:rPr>
        <w:t>.</w:t>
      </w:r>
      <w:r w:rsidR="000E3AC1">
        <w:rPr>
          <w:rFonts w:eastAsiaTheme="minorHAnsi"/>
        </w:rPr>
        <w:t xml:space="preserve"> </w:t>
      </w:r>
      <w:r w:rsidR="00E675F8">
        <w:rPr>
          <w:rFonts w:eastAsiaTheme="minorHAnsi"/>
        </w:rPr>
        <w:t xml:space="preserve">All </w:t>
      </w:r>
      <w:r w:rsidR="000E3AC1">
        <w:rPr>
          <w:rFonts w:eastAsiaTheme="minorHAnsi"/>
        </w:rPr>
        <w:t xml:space="preserve">lawyers must obtain </w:t>
      </w:r>
      <w:r w:rsidR="0072497B">
        <w:rPr>
          <w:rFonts w:eastAsiaTheme="minorHAnsi"/>
        </w:rPr>
        <w:t xml:space="preserve">prior </w:t>
      </w:r>
      <w:r w:rsidR="000E3AC1">
        <w:rPr>
          <w:rFonts w:eastAsiaTheme="minorHAnsi"/>
        </w:rPr>
        <w:t>authority from their clients to act on t</w:t>
      </w:r>
      <w:r w:rsidR="00D90B84">
        <w:rPr>
          <w:rFonts w:eastAsiaTheme="minorHAnsi"/>
        </w:rPr>
        <w:t xml:space="preserve">heir behalf. </w:t>
      </w:r>
      <w:r w:rsidR="00D90B84">
        <w:t>This authority should be sufficient to acknowledge the lawyer as an authorised representative</w:t>
      </w:r>
      <w:r w:rsidR="00E675F8">
        <w:t xml:space="preserve"> </w:t>
      </w:r>
      <w:r w:rsidR="00A256D9">
        <w:t>w</w:t>
      </w:r>
      <w:r w:rsidR="00254613">
        <w:t>hen</w:t>
      </w:r>
      <w:r w:rsidR="0066732C">
        <w:t xml:space="preserve"> engaging with RSPs on behalf of their client</w:t>
      </w:r>
      <w:r w:rsidR="00D90B84">
        <w:t>.</w:t>
      </w:r>
      <w:r w:rsidR="00C95590">
        <w:rPr>
          <w:rFonts w:eastAsiaTheme="minorHAnsi"/>
        </w:rPr>
        <w:t xml:space="preserve"> T</w:t>
      </w:r>
      <w:r w:rsidR="00CD49A7">
        <w:rPr>
          <w:rFonts w:eastAsiaTheme="minorHAnsi"/>
        </w:rPr>
        <w:t xml:space="preserve">o engage in fraudulent behaviour </w:t>
      </w:r>
      <w:r w:rsidR="009877EF">
        <w:rPr>
          <w:rFonts w:eastAsiaTheme="minorHAnsi"/>
        </w:rPr>
        <w:t xml:space="preserve">puts lawyers at </w:t>
      </w:r>
      <w:r w:rsidR="00CD49A7">
        <w:rPr>
          <w:rFonts w:eastAsiaTheme="minorHAnsi"/>
        </w:rPr>
        <w:t xml:space="preserve">risk </w:t>
      </w:r>
      <w:r w:rsidR="009877EF">
        <w:rPr>
          <w:rFonts w:eastAsiaTheme="minorHAnsi"/>
        </w:rPr>
        <w:t xml:space="preserve">of </w:t>
      </w:r>
      <w:r w:rsidR="00CD49A7">
        <w:rPr>
          <w:rFonts w:eastAsiaTheme="minorHAnsi"/>
        </w:rPr>
        <w:t xml:space="preserve">losing </w:t>
      </w:r>
      <w:r w:rsidR="00C95590">
        <w:rPr>
          <w:rFonts w:eastAsiaTheme="minorHAnsi"/>
        </w:rPr>
        <w:t>their practicing certificate</w:t>
      </w:r>
      <w:r w:rsidR="00CD49A7">
        <w:rPr>
          <w:rFonts w:eastAsiaTheme="minorHAnsi"/>
        </w:rPr>
        <w:t>.</w:t>
      </w:r>
      <w:r w:rsidR="00610434">
        <w:rPr>
          <w:rFonts w:eastAsiaTheme="minorHAnsi"/>
        </w:rPr>
        <w:t xml:space="preserve"> Similarly, a financial counse</w:t>
      </w:r>
      <w:r w:rsidR="00C95590">
        <w:rPr>
          <w:rFonts w:eastAsiaTheme="minorHAnsi"/>
        </w:rPr>
        <w:t xml:space="preserve">llor who engages in </w:t>
      </w:r>
      <w:r w:rsidR="00DB4728">
        <w:rPr>
          <w:rFonts w:eastAsiaTheme="minorHAnsi"/>
        </w:rPr>
        <w:t>fraud invites career-ending consequences</w:t>
      </w:r>
      <w:r w:rsidR="00D90B84">
        <w:rPr>
          <w:rFonts w:eastAsiaTheme="minorHAnsi"/>
        </w:rPr>
        <w:t xml:space="preserve">. </w:t>
      </w:r>
    </w:p>
    <w:p w:rsidR="0082329E" w:rsidRDefault="00C95590" w:rsidP="00254613">
      <w:pPr>
        <w:rPr>
          <w:rFonts w:eastAsiaTheme="minorHAnsi"/>
        </w:rPr>
      </w:pPr>
      <w:r>
        <w:rPr>
          <w:rFonts w:eastAsiaTheme="minorHAnsi"/>
        </w:rPr>
        <w:t>IGN 017</w:t>
      </w:r>
      <w:r w:rsidR="00DB4728">
        <w:rPr>
          <w:rFonts w:eastAsiaTheme="minorHAnsi"/>
        </w:rPr>
        <w:t xml:space="preserve"> should</w:t>
      </w:r>
      <w:r>
        <w:rPr>
          <w:rFonts w:eastAsiaTheme="minorHAnsi"/>
        </w:rPr>
        <w:t xml:space="preserve"> </w:t>
      </w:r>
      <w:r w:rsidR="00DB4728">
        <w:rPr>
          <w:rFonts w:eastAsiaTheme="minorHAnsi"/>
        </w:rPr>
        <w:t>legitimise the professional standing of</w:t>
      </w:r>
      <w:r w:rsidR="00D90B84">
        <w:rPr>
          <w:rFonts w:eastAsiaTheme="minorHAnsi"/>
        </w:rPr>
        <w:t xml:space="preserve"> these kinds of representatives</w:t>
      </w:r>
      <w:r w:rsidR="00DB4728">
        <w:rPr>
          <w:rFonts w:eastAsiaTheme="minorHAnsi"/>
        </w:rPr>
        <w:t xml:space="preserve">. </w:t>
      </w:r>
      <w:r>
        <w:rPr>
          <w:rFonts w:eastAsiaTheme="minorHAnsi"/>
        </w:rPr>
        <w:t xml:space="preserve">This includes </w:t>
      </w:r>
      <w:r w:rsidR="00D90B84">
        <w:rPr>
          <w:rFonts w:eastAsiaTheme="minorHAnsi"/>
        </w:rPr>
        <w:t>discouraging</w:t>
      </w:r>
      <w:r w:rsidR="00DB4728">
        <w:rPr>
          <w:rFonts w:eastAsiaTheme="minorHAnsi"/>
        </w:rPr>
        <w:t xml:space="preserve"> </w:t>
      </w:r>
      <w:r w:rsidR="00D90B84">
        <w:rPr>
          <w:rFonts w:eastAsiaTheme="minorHAnsi"/>
        </w:rPr>
        <w:t xml:space="preserve">the practice of </w:t>
      </w:r>
      <w:r w:rsidR="00DB4728">
        <w:rPr>
          <w:rFonts w:eastAsiaTheme="minorHAnsi"/>
        </w:rPr>
        <w:t>document</w:t>
      </w:r>
      <w:r>
        <w:rPr>
          <w:rFonts w:eastAsiaTheme="minorHAnsi"/>
        </w:rPr>
        <w:t xml:space="preserve"> w</w:t>
      </w:r>
      <w:r w:rsidR="00326139">
        <w:rPr>
          <w:rFonts w:eastAsiaTheme="minorHAnsi"/>
        </w:rPr>
        <w:t>itnessing</w:t>
      </w:r>
      <w:r w:rsidR="00D90B84">
        <w:rPr>
          <w:rFonts w:eastAsiaTheme="minorHAnsi"/>
        </w:rPr>
        <w:t xml:space="preserve"> in this context</w:t>
      </w:r>
      <w:r w:rsidR="00326139">
        <w:rPr>
          <w:rFonts w:eastAsiaTheme="minorHAnsi"/>
        </w:rPr>
        <w:t>. Section 5.2.3</w:t>
      </w:r>
      <w:r w:rsidR="00DB4728">
        <w:rPr>
          <w:rFonts w:eastAsiaTheme="minorHAnsi"/>
        </w:rPr>
        <w:t xml:space="preserve"> lists a lawyer</w:t>
      </w:r>
      <w:r w:rsidR="00326139">
        <w:rPr>
          <w:rFonts w:eastAsiaTheme="minorHAnsi"/>
        </w:rPr>
        <w:t xml:space="preserve"> or financial counsellor as</w:t>
      </w:r>
      <w:r w:rsidR="00DB4728">
        <w:rPr>
          <w:rFonts w:eastAsiaTheme="minorHAnsi"/>
        </w:rPr>
        <w:t xml:space="preserve"> acceptable witness</w:t>
      </w:r>
      <w:r w:rsidR="00326139">
        <w:rPr>
          <w:rFonts w:eastAsiaTheme="minorHAnsi"/>
        </w:rPr>
        <w:t>es to an</w:t>
      </w:r>
      <w:r w:rsidR="00DB4728">
        <w:rPr>
          <w:rFonts w:eastAsiaTheme="minorHAnsi"/>
        </w:rPr>
        <w:t xml:space="preserve"> authorisation form</w:t>
      </w:r>
      <w:r w:rsidR="00DB4728" w:rsidRPr="00DB4728">
        <w:rPr>
          <w:rFonts w:eastAsiaTheme="minorHAnsi"/>
          <w:b/>
        </w:rPr>
        <w:t xml:space="preserve">. </w:t>
      </w:r>
      <w:r w:rsidR="009877EF">
        <w:rPr>
          <w:rFonts w:eastAsiaTheme="minorHAnsi"/>
          <w:b/>
        </w:rPr>
        <w:t xml:space="preserve">A further irony is </w:t>
      </w:r>
      <w:r w:rsidR="00DB4728" w:rsidRPr="00DB4728">
        <w:rPr>
          <w:rFonts w:eastAsiaTheme="minorHAnsi"/>
          <w:b/>
        </w:rPr>
        <w:t xml:space="preserve">that a lawyer </w:t>
      </w:r>
      <w:r w:rsidR="00326139">
        <w:rPr>
          <w:rFonts w:eastAsiaTheme="minorHAnsi"/>
          <w:b/>
        </w:rPr>
        <w:t xml:space="preserve">or financial counsellor </w:t>
      </w:r>
      <w:r w:rsidR="00DB4728" w:rsidRPr="00DB4728">
        <w:rPr>
          <w:rFonts w:eastAsiaTheme="minorHAnsi"/>
          <w:b/>
        </w:rPr>
        <w:t xml:space="preserve">is considered appropriate authority to witness </w:t>
      </w:r>
      <w:r w:rsidR="00DB4728">
        <w:rPr>
          <w:rFonts w:eastAsiaTheme="minorHAnsi"/>
          <w:b/>
        </w:rPr>
        <w:t>an</w:t>
      </w:r>
      <w:r w:rsidR="00DB4728" w:rsidRPr="00DB4728">
        <w:rPr>
          <w:rFonts w:eastAsiaTheme="minorHAnsi"/>
          <w:b/>
        </w:rPr>
        <w:t xml:space="preserve"> authorisation form</w:t>
      </w:r>
      <w:r w:rsidR="009877EF">
        <w:rPr>
          <w:rFonts w:eastAsiaTheme="minorHAnsi"/>
          <w:b/>
        </w:rPr>
        <w:t>,</w:t>
      </w:r>
      <w:r w:rsidR="00DB4728" w:rsidRPr="00DB4728">
        <w:rPr>
          <w:rFonts w:eastAsiaTheme="minorHAnsi"/>
          <w:b/>
        </w:rPr>
        <w:t xml:space="preserve"> but</w:t>
      </w:r>
      <w:r w:rsidR="009877EF">
        <w:rPr>
          <w:rFonts w:eastAsiaTheme="minorHAnsi"/>
          <w:b/>
        </w:rPr>
        <w:t xml:space="preserve"> their overall authority to act on their client’s</w:t>
      </w:r>
      <w:r w:rsidR="00DB4728" w:rsidRPr="00DB4728">
        <w:rPr>
          <w:rFonts w:eastAsiaTheme="minorHAnsi"/>
          <w:b/>
        </w:rPr>
        <w:t xml:space="preserve"> </w:t>
      </w:r>
      <w:r w:rsidR="009877EF">
        <w:rPr>
          <w:rFonts w:eastAsiaTheme="minorHAnsi"/>
          <w:b/>
        </w:rPr>
        <w:t xml:space="preserve">behalf </w:t>
      </w:r>
      <w:r w:rsidR="004E7EF5">
        <w:rPr>
          <w:rFonts w:eastAsiaTheme="minorHAnsi"/>
          <w:b/>
        </w:rPr>
        <w:t xml:space="preserve">at times </w:t>
      </w:r>
      <w:r w:rsidR="009877EF">
        <w:rPr>
          <w:rFonts w:eastAsiaTheme="minorHAnsi"/>
          <w:b/>
        </w:rPr>
        <w:t>is not acknowledged by RSPs.</w:t>
      </w:r>
    </w:p>
    <w:p w:rsidR="009877EF" w:rsidRDefault="009877EF" w:rsidP="00254613">
      <w:pPr>
        <w:rPr>
          <w:rFonts w:eastAsiaTheme="minorHAnsi"/>
        </w:rPr>
      </w:pPr>
      <w:r>
        <w:rPr>
          <w:rFonts w:eastAsiaTheme="minorHAnsi"/>
        </w:rPr>
        <w:t xml:space="preserve">These inconsistencies need to be constructively addressed in IGN 017, as they are unhelpful and time-consuming for all involved, industry included.  </w:t>
      </w:r>
    </w:p>
    <w:p w:rsidR="00254613" w:rsidRDefault="00254613" w:rsidP="00254613">
      <w:pPr>
        <w:rPr>
          <w:rFonts w:eastAsiaTheme="minorHAnsi"/>
          <w:i/>
          <w:sz w:val="24"/>
        </w:rPr>
      </w:pPr>
    </w:p>
    <w:p w:rsidR="000F5A21" w:rsidRPr="000F5A21" w:rsidRDefault="000F5A21" w:rsidP="00254613">
      <w:pPr>
        <w:rPr>
          <w:rFonts w:eastAsiaTheme="minorHAnsi"/>
          <w:i/>
          <w:sz w:val="24"/>
        </w:rPr>
      </w:pPr>
      <w:r w:rsidRPr="000F5A21">
        <w:rPr>
          <w:rFonts w:eastAsiaTheme="minorHAnsi"/>
          <w:i/>
          <w:sz w:val="24"/>
        </w:rPr>
        <w:lastRenderedPageBreak/>
        <w:t xml:space="preserve">Final comments </w:t>
      </w:r>
    </w:p>
    <w:p w:rsidR="00051CAF" w:rsidRDefault="00326139" w:rsidP="00254613">
      <w:pPr>
        <w:rPr>
          <w:rFonts w:eastAsiaTheme="minorHAnsi"/>
        </w:rPr>
      </w:pPr>
      <w:r>
        <w:rPr>
          <w:rFonts w:eastAsiaTheme="minorHAnsi"/>
        </w:rPr>
        <w:t xml:space="preserve">Consumers bear the </w:t>
      </w:r>
      <w:r w:rsidR="00DE6E47">
        <w:rPr>
          <w:rFonts w:eastAsiaTheme="minorHAnsi"/>
        </w:rPr>
        <w:t>negative consequences</w:t>
      </w:r>
      <w:r>
        <w:rPr>
          <w:rFonts w:eastAsiaTheme="minorHAnsi"/>
        </w:rPr>
        <w:t xml:space="preserve"> of arduous authorisation processes. Their representatives are required to overcome complex and inconsistently applied bureaucratic hurdles. ACCAN recognise</w:t>
      </w:r>
      <w:r w:rsidR="009877EF">
        <w:rPr>
          <w:rFonts w:eastAsiaTheme="minorHAnsi"/>
        </w:rPr>
        <w:t>s</w:t>
      </w:r>
      <w:r>
        <w:rPr>
          <w:rFonts w:eastAsiaTheme="minorHAnsi"/>
        </w:rPr>
        <w:t xml:space="preserve"> the difficulties of standardising </w:t>
      </w:r>
      <w:r w:rsidR="00DE6E47">
        <w:rPr>
          <w:rFonts w:eastAsiaTheme="minorHAnsi"/>
        </w:rPr>
        <w:t xml:space="preserve">industry </w:t>
      </w:r>
      <w:r>
        <w:rPr>
          <w:rFonts w:eastAsiaTheme="minorHAnsi"/>
        </w:rPr>
        <w:t>p</w:t>
      </w:r>
      <w:r w:rsidR="00051CAF">
        <w:rPr>
          <w:rFonts w:eastAsiaTheme="minorHAnsi"/>
        </w:rPr>
        <w:t>olicies</w:t>
      </w:r>
      <w:r w:rsidR="00DE6E47">
        <w:rPr>
          <w:rFonts w:eastAsiaTheme="minorHAnsi"/>
        </w:rPr>
        <w:t xml:space="preserve"> and </w:t>
      </w:r>
      <w:r w:rsidR="00051CAF">
        <w:rPr>
          <w:rFonts w:eastAsiaTheme="minorHAnsi"/>
        </w:rPr>
        <w:t xml:space="preserve">processes. </w:t>
      </w:r>
      <w:r w:rsidR="00DE6E47">
        <w:rPr>
          <w:rFonts w:eastAsiaTheme="minorHAnsi"/>
        </w:rPr>
        <w:t xml:space="preserve">It is essential that the guidance tools </w:t>
      </w:r>
      <w:r w:rsidR="00051CAF">
        <w:rPr>
          <w:rFonts w:eastAsiaTheme="minorHAnsi"/>
        </w:rPr>
        <w:t>developed</w:t>
      </w:r>
      <w:r w:rsidR="00DE6E47">
        <w:rPr>
          <w:rFonts w:eastAsiaTheme="minorHAnsi"/>
        </w:rPr>
        <w:t xml:space="preserve"> </w:t>
      </w:r>
      <w:r w:rsidR="00C87BC5">
        <w:rPr>
          <w:rFonts w:eastAsiaTheme="minorHAnsi"/>
        </w:rPr>
        <w:t xml:space="preserve">by </w:t>
      </w:r>
      <w:r w:rsidR="00DE6E47">
        <w:rPr>
          <w:rFonts w:eastAsiaTheme="minorHAnsi"/>
        </w:rPr>
        <w:t xml:space="preserve">Communications Alliance are as clear, prescriptive </w:t>
      </w:r>
      <w:r w:rsidR="00051CAF">
        <w:rPr>
          <w:rFonts w:eastAsiaTheme="minorHAnsi"/>
        </w:rPr>
        <w:t xml:space="preserve">and </w:t>
      </w:r>
      <w:r w:rsidR="00DE6E47">
        <w:rPr>
          <w:rFonts w:eastAsiaTheme="minorHAnsi"/>
        </w:rPr>
        <w:t xml:space="preserve">well-thought-out as </w:t>
      </w:r>
      <w:r w:rsidR="00051CAF">
        <w:rPr>
          <w:rFonts w:eastAsiaTheme="minorHAnsi"/>
        </w:rPr>
        <w:t>is practicable</w:t>
      </w:r>
      <w:r w:rsidR="00A07BB5">
        <w:rPr>
          <w:rFonts w:eastAsiaTheme="minorHAnsi"/>
        </w:rPr>
        <w:t xml:space="preserve">. </w:t>
      </w:r>
      <w:bookmarkStart w:id="0" w:name="_GoBack"/>
      <w:bookmarkEnd w:id="0"/>
    </w:p>
    <w:p w:rsidR="000F5A21" w:rsidRDefault="00DB4728" w:rsidP="00254613">
      <w:pPr>
        <w:rPr>
          <w:rFonts w:eastAsiaTheme="minorHAnsi"/>
        </w:rPr>
      </w:pPr>
      <w:r>
        <w:rPr>
          <w:rFonts w:eastAsiaTheme="minorHAnsi"/>
        </w:rPr>
        <w:t>We</w:t>
      </w:r>
      <w:r w:rsidR="00DE6E47">
        <w:rPr>
          <w:rFonts w:eastAsiaTheme="minorHAnsi"/>
        </w:rPr>
        <w:t xml:space="preserve"> look forward to providing more in-</w:t>
      </w:r>
      <w:r>
        <w:rPr>
          <w:rFonts w:eastAsiaTheme="minorHAnsi"/>
        </w:rPr>
        <w:t xml:space="preserve">depth </w:t>
      </w:r>
      <w:r w:rsidR="00326139">
        <w:rPr>
          <w:rFonts w:eastAsiaTheme="minorHAnsi"/>
        </w:rPr>
        <w:t>feedback when IGN 017 is reviewed</w:t>
      </w:r>
      <w:r>
        <w:rPr>
          <w:rFonts w:eastAsiaTheme="minorHAnsi"/>
        </w:rPr>
        <w:t xml:space="preserve"> in September</w:t>
      </w:r>
      <w:r w:rsidR="00326139">
        <w:rPr>
          <w:rFonts w:eastAsiaTheme="minorHAnsi"/>
        </w:rPr>
        <w:t xml:space="preserve"> 2019</w:t>
      </w:r>
      <w:r>
        <w:rPr>
          <w:rFonts w:eastAsiaTheme="minorHAnsi"/>
        </w:rPr>
        <w:t xml:space="preserve">. </w:t>
      </w:r>
      <w:r w:rsidR="00DE6E47">
        <w:rPr>
          <w:rFonts w:eastAsiaTheme="minorHAnsi"/>
        </w:rPr>
        <w:t>Please contact me if you would like to discuss any issues raised in this feedback.</w:t>
      </w:r>
    </w:p>
    <w:p w:rsidR="00DE6E47" w:rsidRDefault="00DE6E47" w:rsidP="00254613">
      <w:pPr>
        <w:rPr>
          <w:rFonts w:eastAsiaTheme="minorHAnsi"/>
        </w:rPr>
      </w:pPr>
    </w:p>
    <w:p w:rsidR="0082329E" w:rsidRDefault="0082329E" w:rsidP="00254613">
      <w:pPr>
        <w:rPr>
          <w:rFonts w:eastAsiaTheme="minorHAnsi"/>
        </w:rPr>
      </w:pPr>
      <w:r>
        <w:rPr>
          <w:rFonts w:eastAsiaTheme="minorHAnsi"/>
        </w:rPr>
        <w:t>Yours sincerely</w:t>
      </w:r>
    </w:p>
    <w:p w:rsidR="0082329E" w:rsidRDefault="0082329E" w:rsidP="00254613">
      <w:pPr>
        <w:rPr>
          <w:rFonts w:eastAsiaTheme="minorHAnsi"/>
        </w:rPr>
      </w:pPr>
    </w:p>
    <w:p w:rsidR="00DE6E47" w:rsidRPr="009F25B2" w:rsidRDefault="00DE6E47" w:rsidP="00254613">
      <w:pPr>
        <w:rPr>
          <w:rFonts w:eastAsiaTheme="minorHAnsi"/>
        </w:rPr>
      </w:pPr>
      <w:r>
        <w:rPr>
          <w:rFonts w:eastAsiaTheme="minorHAnsi"/>
        </w:rPr>
        <w:t>Rebekah Sarkoezy</w:t>
      </w:r>
      <w:r>
        <w:rPr>
          <w:rFonts w:eastAsiaTheme="minorHAnsi"/>
        </w:rPr>
        <w:br/>
        <w:t>Policy Officer</w:t>
      </w:r>
      <w:r>
        <w:rPr>
          <w:rFonts w:eastAsiaTheme="minorHAnsi"/>
        </w:rPr>
        <w:br/>
      </w:r>
      <w:hyperlink r:id="rId10" w:history="1">
        <w:r w:rsidR="009F25B2" w:rsidRPr="005666CC">
          <w:rPr>
            <w:rStyle w:val="Hyperlink"/>
            <w:rFonts w:eastAsiaTheme="minorHAnsi"/>
          </w:rPr>
          <w:t>rebekah.sarkoezy@accan.org.au</w:t>
        </w:r>
      </w:hyperlink>
      <w:r w:rsidR="009F25B2">
        <w:rPr>
          <w:rFonts w:eastAsiaTheme="minorHAnsi"/>
        </w:rPr>
        <w:br/>
      </w:r>
      <w:r>
        <w:rPr>
          <w:rFonts w:eastAsiaTheme="minorHAnsi"/>
        </w:rPr>
        <w:t>(02) 9288 4015</w:t>
      </w:r>
    </w:p>
    <w:sectPr w:rsidR="00DE6E47" w:rsidRPr="009F25B2" w:rsidSect="0082329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1B" w:rsidRDefault="00A3441B" w:rsidP="0082329E">
      <w:pPr>
        <w:spacing w:after="0" w:line="240" w:lineRule="auto"/>
      </w:pPr>
      <w:r>
        <w:separator/>
      </w:r>
    </w:p>
  </w:endnote>
  <w:endnote w:type="continuationSeparator" w:id="0">
    <w:p w:rsidR="00A3441B" w:rsidRDefault="00A3441B" w:rsidP="0082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E" w:rsidRPr="0082329E" w:rsidRDefault="00F6012E" w:rsidP="0082329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B42513">
      <w:rPr>
        <w:noProof/>
      </w:rPr>
      <w:t>2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E" w:rsidRDefault="00F6012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CC8AF4F" wp14:editId="59FA3D3E">
              <wp:simplePos x="0" y="0"/>
              <wp:positionH relativeFrom="column">
                <wp:posOffset>-288925</wp:posOffset>
              </wp:positionH>
              <wp:positionV relativeFrom="paragraph">
                <wp:posOffset>-717940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2E" w:rsidRPr="00E05115" w:rsidRDefault="00F6012E" w:rsidP="0082329E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F6012E" w:rsidRDefault="00F6012E" w:rsidP="0082329E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:rsidR="00F6012E" w:rsidRPr="00E05115" w:rsidRDefault="00F6012E" w:rsidP="0082329E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:rsidR="00F6012E" w:rsidRDefault="00F6012E" w:rsidP="0082329E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:rsidR="00F6012E" w:rsidRDefault="00F6012E" w:rsidP="0082329E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:rsidR="00F6012E" w:rsidRPr="00E05115" w:rsidRDefault="00F6012E" w:rsidP="0082329E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2.75pt;margin-top:-56.55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1600;width:69716;height:1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F6012E" w:rsidRPr="00E05115" w:rsidRDefault="00F6012E" w:rsidP="0082329E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F6012E" w:rsidRDefault="00F6012E" w:rsidP="0082329E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:rsidR="00F6012E" w:rsidRPr="00E05115" w:rsidRDefault="00F6012E" w:rsidP="0082329E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:rsidR="00F6012E" w:rsidRDefault="00F6012E" w:rsidP="0082329E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:rsidR="00F6012E" w:rsidRDefault="00F6012E" w:rsidP="0082329E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:rsidR="00F6012E" w:rsidRPr="00E05115" w:rsidRDefault="00F6012E" w:rsidP="0082329E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1B" w:rsidRDefault="00A3441B" w:rsidP="0082329E">
      <w:pPr>
        <w:spacing w:after="0" w:line="240" w:lineRule="auto"/>
      </w:pPr>
      <w:r>
        <w:separator/>
      </w:r>
    </w:p>
  </w:footnote>
  <w:footnote w:type="continuationSeparator" w:id="0">
    <w:p w:rsidR="00A3441B" w:rsidRDefault="00A3441B" w:rsidP="0082329E">
      <w:pPr>
        <w:spacing w:after="0" w:line="240" w:lineRule="auto"/>
      </w:pPr>
      <w:r>
        <w:continuationSeparator/>
      </w:r>
    </w:p>
  </w:footnote>
  <w:footnote w:id="1">
    <w:p w:rsidR="00F6012E" w:rsidRDefault="00F601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1206">
        <w:t>ACCC</w:t>
      </w:r>
      <w:r>
        <w:t>/ASIC 2015</w:t>
      </w:r>
      <w:r w:rsidRPr="008D1206">
        <w:t xml:space="preserve">, </w:t>
      </w:r>
      <w:hyperlink r:id="rId1" w:history="1">
        <w:r>
          <w:rPr>
            <w:rStyle w:val="Hyperlink"/>
          </w:rPr>
          <w:t>Debt Collection Guidelines</w:t>
        </w:r>
      </w:hyperlink>
      <w:r>
        <w:t>, section 9, p. 21</w:t>
      </w:r>
    </w:p>
    <w:p w:rsidR="00F6012E" w:rsidRDefault="00F6012E">
      <w:pPr>
        <w:pStyle w:val="FootnoteText"/>
      </w:pPr>
    </w:p>
    <w:p w:rsidR="00F6012E" w:rsidRDefault="00F6012E">
      <w:pPr>
        <w:pStyle w:val="FootnoteText"/>
      </w:pPr>
    </w:p>
    <w:p w:rsidR="00F6012E" w:rsidRDefault="00F6012E">
      <w:pPr>
        <w:pStyle w:val="FootnoteText"/>
      </w:pPr>
    </w:p>
  </w:footnote>
  <w:footnote w:id="2">
    <w:p w:rsidR="00F6012E" w:rsidRDefault="00F6012E" w:rsidP="004B20A7">
      <w:pPr>
        <w:pStyle w:val="FootnoteText"/>
      </w:pPr>
      <w:r>
        <w:rPr>
          <w:rStyle w:val="FootnoteReference"/>
        </w:rPr>
        <w:footnoteRef/>
      </w:r>
      <w:r>
        <w:t xml:space="preserve"> Communications Alliance 2019, Industry Guidance Note (DRAFT) IGN 017: Authorised representatives and advocates, p. 6</w:t>
      </w:r>
    </w:p>
  </w:footnote>
  <w:footnote w:id="3">
    <w:p w:rsidR="00F6012E" w:rsidRPr="000B2030" w:rsidRDefault="00F6012E" w:rsidP="00AB2816">
      <w:pPr>
        <w:spacing w:after="0" w:line="240" w:lineRule="auto"/>
        <w:rPr>
          <w:sz w:val="20"/>
        </w:rPr>
      </w:pPr>
      <w:r w:rsidRPr="008D1206">
        <w:rPr>
          <w:rStyle w:val="FootnoteReference"/>
          <w:sz w:val="20"/>
        </w:rPr>
        <w:footnoteRef/>
      </w:r>
      <w:r>
        <w:rPr>
          <w:sz w:val="20"/>
        </w:rPr>
        <w:t xml:space="preserve"> Communications Alliance 2018, </w:t>
      </w:r>
      <w:hyperlink r:id="rId2" w:history="1">
        <w:r w:rsidRPr="00E02A2A">
          <w:rPr>
            <w:rStyle w:val="Hyperlink"/>
            <w:sz w:val="20"/>
          </w:rPr>
          <w:t>Telecommunications Consumer Protection Code</w:t>
        </w:r>
      </w:hyperlink>
      <w:r>
        <w:rPr>
          <w:sz w:val="20"/>
        </w:rPr>
        <w:t xml:space="preserve">, p. 54 </w:t>
      </w:r>
    </w:p>
  </w:footnote>
  <w:footnote w:id="4">
    <w:p w:rsidR="00F6012E" w:rsidRDefault="00F6012E" w:rsidP="00AB28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1206">
        <w:t>ACCC</w:t>
      </w:r>
      <w:r>
        <w:t>/ASIC 2015</w:t>
      </w:r>
      <w:r w:rsidRPr="008D1206">
        <w:t xml:space="preserve">, </w:t>
      </w:r>
      <w:hyperlink r:id="rId3" w:history="1">
        <w:r>
          <w:rPr>
            <w:rStyle w:val="Hyperlink"/>
          </w:rPr>
          <w:t>Debt Collection Guidelines</w:t>
        </w:r>
      </w:hyperlink>
      <w:r>
        <w:t>, section 9, p. 21</w:t>
      </w:r>
    </w:p>
  </w:footnote>
  <w:footnote w:id="5">
    <w:p w:rsidR="00F6012E" w:rsidRDefault="00F6012E">
      <w:pPr>
        <w:pStyle w:val="FootnoteText"/>
      </w:pPr>
      <w:r>
        <w:rPr>
          <w:rStyle w:val="FootnoteReference"/>
        </w:rPr>
        <w:footnoteRef/>
      </w:r>
      <w:r w:rsidR="00254613">
        <w:t xml:space="preserve"> </w:t>
      </w:r>
      <w:r w:rsidRPr="008D1206">
        <w:t>ACCC</w:t>
      </w:r>
      <w:r>
        <w:t>/ASIC 2015</w:t>
      </w:r>
      <w:r w:rsidRPr="008D1206">
        <w:t xml:space="preserve">, </w:t>
      </w:r>
      <w:hyperlink r:id="rId4" w:history="1">
        <w:r>
          <w:rPr>
            <w:rStyle w:val="Hyperlink"/>
          </w:rPr>
          <w:t>Debt Collection Guidelines</w:t>
        </w:r>
      </w:hyperlink>
      <w:r>
        <w:t>, section 9, p.</w:t>
      </w:r>
      <w:r w:rsidR="00B42513">
        <w:t xml:space="preserve"> </w:t>
      </w:r>
      <w:r>
        <w:t>63</w:t>
      </w:r>
    </w:p>
  </w:footnote>
  <w:footnote w:id="6">
    <w:p w:rsidR="00F6012E" w:rsidRDefault="00F601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1206">
        <w:t>ACCC</w:t>
      </w:r>
      <w:r>
        <w:t>/ASIC 2015</w:t>
      </w:r>
      <w:r w:rsidRPr="008D1206">
        <w:t xml:space="preserve">, </w:t>
      </w:r>
      <w:hyperlink r:id="rId5" w:history="1">
        <w:r>
          <w:rPr>
            <w:rStyle w:val="Hyperlink"/>
          </w:rPr>
          <w:t>Debt Collection Guidelines</w:t>
        </w:r>
      </w:hyperlink>
      <w:r>
        <w:t>, section 9</w:t>
      </w:r>
      <w:r w:rsidR="00254613">
        <w:t>C</w:t>
      </w:r>
      <w:r>
        <w:t>, p.</w:t>
      </w:r>
      <w:r w:rsidR="00B42513">
        <w:t xml:space="preserve"> </w:t>
      </w:r>
      <w:r>
        <w:t>63</w:t>
      </w:r>
    </w:p>
  </w:footnote>
  <w:footnote w:id="7">
    <w:p w:rsidR="00F6012E" w:rsidRDefault="00F6012E" w:rsidP="004E7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03128">
          <w:rPr>
            <w:rStyle w:val="Hyperlink"/>
          </w:rPr>
          <w:t>https://www.toolkit.org.au/toolkit/terms-of-use</w:t>
        </w:r>
      </w:hyperlink>
    </w:p>
  </w:footnote>
  <w:footnote w:id="8">
    <w:p w:rsidR="00F6012E" w:rsidRDefault="00F6012E" w:rsidP="004E7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Available on the websites of each State and Territory Law Society.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E" w:rsidRDefault="00F6012E" w:rsidP="00C601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29546" wp14:editId="5F3572A6">
          <wp:simplePos x="0" y="0"/>
          <wp:positionH relativeFrom="column">
            <wp:posOffset>5029200</wp:posOffset>
          </wp:positionH>
          <wp:positionV relativeFrom="paragraph">
            <wp:posOffset>-11430</wp:posOffset>
          </wp:positionV>
          <wp:extent cx="685800" cy="317921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82" cy="319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E" w:rsidRDefault="00F6012E" w:rsidP="00C6019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4A1221" wp14:editId="58A662F0">
          <wp:simplePos x="0" y="0"/>
          <wp:positionH relativeFrom="column">
            <wp:posOffset>4111815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1D3"/>
    <w:multiLevelType w:val="hybridMultilevel"/>
    <w:tmpl w:val="74648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14DDA"/>
    <w:multiLevelType w:val="hybridMultilevel"/>
    <w:tmpl w:val="AABC73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00E5"/>
    <w:multiLevelType w:val="hybridMultilevel"/>
    <w:tmpl w:val="000AF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4A1A"/>
    <w:multiLevelType w:val="hybridMultilevel"/>
    <w:tmpl w:val="2C761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A2CDD"/>
    <w:multiLevelType w:val="hybridMultilevel"/>
    <w:tmpl w:val="ACA2706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07C0E23"/>
    <w:multiLevelType w:val="hybridMultilevel"/>
    <w:tmpl w:val="E9A62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CD"/>
    <w:rsid w:val="00004C7D"/>
    <w:rsid w:val="000124F3"/>
    <w:rsid w:val="000270DE"/>
    <w:rsid w:val="00051CAF"/>
    <w:rsid w:val="00061E9A"/>
    <w:rsid w:val="000B2030"/>
    <w:rsid w:val="000C7FF8"/>
    <w:rsid w:val="000E3AC1"/>
    <w:rsid w:val="000F5A21"/>
    <w:rsid w:val="00165725"/>
    <w:rsid w:val="00171FD8"/>
    <w:rsid w:val="00186DDB"/>
    <w:rsid w:val="0019123D"/>
    <w:rsid w:val="00202004"/>
    <w:rsid w:val="002379C0"/>
    <w:rsid w:val="00254613"/>
    <w:rsid w:val="002C6BC4"/>
    <w:rsid w:val="002D7667"/>
    <w:rsid w:val="00326139"/>
    <w:rsid w:val="0035226A"/>
    <w:rsid w:val="00376423"/>
    <w:rsid w:val="00395D09"/>
    <w:rsid w:val="003A5186"/>
    <w:rsid w:val="003B0E95"/>
    <w:rsid w:val="003D7F78"/>
    <w:rsid w:val="00415F92"/>
    <w:rsid w:val="00426B56"/>
    <w:rsid w:val="00430F41"/>
    <w:rsid w:val="00450A3C"/>
    <w:rsid w:val="00452499"/>
    <w:rsid w:val="004B20A7"/>
    <w:rsid w:val="004D387C"/>
    <w:rsid w:val="004E5E28"/>
    <w:rsid w:val="004E7EF5"/>
    <w:rsid w:val="005B2F10"/>
    <w:rsid w:val="005E1C21"/>
    <w:rsid w:val="005E2088"/>
    <w:rsid w:val="00610434"/>
    <w:rsid w:val="006542A0"/>
    <w:rsid w:val="0066732C"/>
    <w:rsid w:val="0069632B"/>
    <w:rsid w:val="0072497B"/>
    <w:rsid w:val="007A5B07"/>
    <w:rsid w:val="007A7087"/>
    <w:rsid w:val="007B1872"/>
    <w:rsid w:val="007D0429"/>
    <w:rsid w:val="007E66F9"/>
    <w:rsid w:val="007F69D9"/>
    <w:rsid w:val="0082329E"/>
    <w:rsid w:val="0082376B"/>
    <w:rsid w:val="00841D7C"/>
    <w:rsid w:val="008D1206"/>
    <w:rsid w:val="008E343B"/>
    <w:rsid w:val="008E5CB0"/>
    <w:rsid w:val="00970C95"/>
    <w:rsid w:val="009877EF"/>
    <w:rsid w:val="009E7B22"/>
    <w:rsid w:val="009F25B2"/>
    <w:rsid w:val="00A07BB5"/>
    <w:rsid w:val="00A103F0"/>
    <w:rsid w:val="00A256D9"/>
    <w:rsid w:val="00A3441B"/>
    <w:rsid w:val="00A4017E"/>
    <w:rsid w:val="00A71438"/>
    <w:rsid w:val="00A738E3"/>
    <w:rsid w:val="00AB2816"/>
    <w:rsid w:val="00B017CE"/>
    <w:rsid w:val="00B170D9"/>
    <w:rsid w:val="00B42513"/>
    <w:rsid w:val="00B4714B"/>
    <w:rsid w:val="00BA5615"/>
    <w:rsid w:val="00BA7729"/>
    <w:rsid w:val="00BC27C2"/>
    <w:rsid w:val="00BF3F0C"/>
    <w:rsid w:val="00C029FE"/>
    <w:rsid w:val="00C030CD"/>
    <w:rsid w:val="00C5501A"/>
    <w:rsid w:val="00C60192"/>
    <w:rsid w:val="00C73186"/>
    <w:rsid w:val="00C87BC5"/>
    <w:rsid w:val="00C95590"/>
    <w:rsid w:val="00CD49A7"/>
    <w:rsid w:val="00CD7227"/>
    <w:rsid w:val="00D31A1E"/>
    <w:rsid w:val="00D3358E"/>
    <w:rsid w:val="00D72265"/>
    <w:rsid w:val="00D90B84"/>
    <w:rsid w:val="00DB4728"/>
    <w:rsid w:val="00DE6E47"/>
    <w:rsid w:val="00E02A2A"/>
    <w:rsid w:val="00E60AC1"/>
    <w:rsid w:val="00E675F8"/>
    <w:rsid w:val="00E816CA"/>
    <w:rsid w:val="00E914F8"/>
    <w:rsid w:val="00ED0D09"/>
    <w:rsid w:val="00EF095C"/>
    <w:rsid w:val="00F6012E"/>
    <w:rsid w:val="00F77C5D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9E"/>
  </w:style>
  <w:style w:type="paragraph" w:styleId="Footer">
    <w:name w:val="footer"/>
    <w:basedOn w:val="Normal"/>
    <w:link w:val="Foot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9E"/>
  </w:style>
  <w:style w:type="character" w:styleId="Hyperlink">
    <w:name w:val="Hyperlink"/>
    <w:basedOn w:val="DefaultParagraphFont"/>
    <w:uiPriority w:val="99"/>
    <w:unhideWhenUsed/>
    <w:rsid w:val="0082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0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1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9E"/>
  </w:style>
  <w:style w:type="paragraph" w:styleId="Footer">
    <w:name w:val="footer"/>
    <w:basedOn w:val="Normal"/>
    <w:link w:val="Foot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9E"/>
  </w:style>
  <w:style w:type="character" w:styleId="Hyperlink">
    <w:name w:val="Hyperlink"/>
    <w:basedOn w:val="DefaultParagraphFont"/>
    <w:uiPriority w:val="99"/>
    <w:unhideWhenUsed/>
    <w:rsid w:val="00823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5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0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D1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bekah.sarkoezy@accan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curtis@commsalliance.com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wnload.asic.gov.au/media/3549402/rg96-published-29-february-2016.pdf" TargetMode="External"/><Relationship Id="rId2" Type="http://schemas.openxmlformats.org/officeDocument/2006/relationships/hyperlink" Target="https://www.commsalliance.com.au/__data/assets/pdf_file/0004/60988/TCP-C628-2015-incorporating-Variation-No-1-2018.pdf" TargetMode="External"/><Relationship Id="rId1" Type="http://schemas.openxmlformats.org/officeDocument/2006/relationships/hyperlink" Target="https://download.asic.gov.au/media/3549402/rg96-published-29-february-2016.pdf" TargetMode="External"/><Relationship Id="rId6" Type="http://schemas.openxmlformats.org/officeDocument/2006/relationships/hyperlink" Target="https://www.toolkit.org.au/toolkit/terms-of-use" TargetMode="External"/><Relationship Id="rId5" Type="http://schemas.openxmlformats.org/officeDocument/2006/relationships/hyperlink" Target="https://download.asic.gov.au/media/3549402/rg96-published-29-february-2016.pdf" TargetMode="External"/><Relationship Id="rId4" Type="http://schemas.openxmlformats.org/officeDocument/2006/relationships/hyperlink" Target="https://download.asic.gov.au/media/3549402/rg96-published-29-february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8\Letterhead%202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3EE5-7276-4CBA-9ADD-00B090BC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 Pages</Template>
  <TotalTime>10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Sarkoezy</dc:creator>
  <cp:lastModifiedBy>Rebekah Sarkoezy</cp:lastModifiedBy>
  <cp:revision>5</cp:revision>
  <cp:lastPrinted>2019-06-14T03:46:00Z</cp:lastPrinted>
  <dcterms:created xsi:type="dcterms:W3CDTF">2019-06-14T03:45:00Z</dcterms:created>
  <dcterms:modified xsi:type="dcterms:W3CDTF">2019-06-14T05:49:00Z</dcterms:modified>
</cp:coreProperties>
</file>