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008" w:rsidRDefault="00A36008" w:rsidP="00C57099">
      <w:pPr>
        <w:pStyle w:val="Title"/>
      </w:pPr>
    </w:p>
    <w:p w:rsidR="0025617F" w:rsidRDefault="0025617F" w:rsidP="00454062">
      <w:pPr>
        <w:pStyle w:val="Title"/>
      </w:pPr>
      <w:r>
        <w:t xml:space="preserve">Proposals for reduction in telecommunications reporting requirements </w:t>
      </w:r>
    </w:p>
    <w:p w:rsidR="00454062" w:rsidRPr="00454062" w:rsidRDefault="0025617F" w:rsidP="0025617F">
      <w:pPr>
        <w:pStyle w:val="Title"/>
      </w:pPr>
      <w:r>
        <w:t>ACMA Consultation Paper</w:t>
      </w:r>
    </w:p>
    <w:p w:rsidR="005820C9" w:rsidRPr="003441E5" w:rsidRDefault="005820C9" w:rsidP="00B14DFB">
      <w:pPr>
        <w:pStyle w:val="Title"/>
      </w:pPr>
    </w:p>
    <w:p w:rsidR="009F4B9D" w:rsidRPr="003441E5" w:rsidRDefault="00C57099" w:rsidP="00B14DFB">
      <w:pPr>
        <w:pStyle w:val="Subtitle"/>
      </w:pPr>
      <w:r>
        <w:t>Response</w:t>
      </w:r>
      <w:r w:rsidR="009F4B9D" w:rsidRPr="003441E5">
        <w:t xml:space="preserve"> by the Australian Communications Consumer Action Network to the </w:t>
      </w:r>
      <w:r>
        <w:t>Government review of communications regulation</w:t>
      </w:r>
    </w:p>
    <w:p w:rsidR="00004B61" w:rsidRPr="00004B61" w:rsidRDefault="00454062" w:rsidP="00004B61">
      <w:pPr>
        <w:pStyle w:val="Subtitle"/>
      </w:pPr>
      <w:r>
        <w:t>5 May 2014</w:t>
      </w:r>
    </w:p>
    <w:p w:rsidR="00004B61" w:rsidRPr="00004B61" w:rsidRDefault="00004B61" w:rsidP="00004B61">
      <w:pPr>
        <w:jc w:val="center"/>
        <w:rPr>
          <w:sz w:val="44"/>
          <w:szCs w:val="44"/>
          <w:lang w:eastAsia="en-US"/>
        </w:rPr>
      </w:pPr>
      <w:r w:rsidRPr="00004B61">
        <w:rPr>
          <w:sz w:val="44"/>
          <w:szCs w:val="44"/>
          <w:lang w:eastAsia="en-US"/>
        </w:rPr>
        <w:t>SYNOPSIS</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rsidR="009F4B9D" w:rsidRPr="003441E5" w:rsidRDefault="009F4B9D" w:rsidP="00B14DFB">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rsidR="00594A45">
        <w:t xml:space="preserve">represent the views of </w:t>
      </w:r>
      <w:r w:rsidRPr="003441E5">
        <w:t xml:space="preserve">its broad and diverse membership base to </w:t>
      </w:r>
      <w:r w:rsidR="00594A45">
        <w:t>policy makers, governmen</w:t>
      </w:r>
      <w:r w:rsidR="00194151">
        <w:t>t and industry to get</w:t>
      </w:r>
      <w:r w:rsidR="00594A45">
        <w:t xml:space="preserve"> better outcomes for </w:t>
      </w:r>
      <w:r w:rsidRPr="003441E5">
        <w:t>all communications consumers. </w:t>
      </w:r>
    </w:p>
    <w:p w:rsidR="00C57099" w:rsidRDefault="00C57099" w:rsidP="00454062">
      <w:pPr>
        <w:spacing w:before="0" w:beforeAutospacing="0" w:after="0" w:afterAutospacing="0"/>
      </w:pPr>
      <w:r>
        <w:t>Teresa Corbin</w:t>
      </w:r>
    </w:p>
    <w:p w:rsidR="00C57099" w:rsidRDefault="00C57099" w:rsidP="00454062">
      <w:pPr>
        <w:spacing w:before="0" w:beforeAutospacing="0" w:after="0" w:afterAutospacing="0"/>
      </w:pPr>
      <w:r>
        <w:t>C</w:t>
      </w:r>
      <w:r w:rsidR="00454062">
        <w:t xml:space="preserve">hief </w:t>
      </w:r>
      <w:r>
        <w:t>E</w:t>
      </w:r>
      <w:r w:rsidR="00454062">
        <w:t xml:space="preserve">xecutive </w:t>
      </w:r>
      <w:r>
        <w:t>O</w:t>
      </w:r>
      <w:r w:rsidR="00454062">
        <w:t>fficer</w:t>
      </w:r>
    </w:p>
    <w:p w:rsidR="009F4B9D" w:rsidRPr="003441E5" w:rsidRDefault="009F4B9D" w:rsidP="00B14DFB">
      <w:r w:rsidRPr="003441E5">
        <w:t>Suite 402, Level 4</w:t>
      </w:r>
      <w:r w:rsidRPr="003441E5">
        <w:br/>
        <w:t>55 Mountain Street</w:t>
      </w:r>
      <w:r w:rsidRPr="003441E5">
        <w:br/>
        <w:t>Ultimo NSW, 2007</w:t>
      </w:r>
      <w:r w:rsidRPr="003441E5">
        <w:br/>
        <w:t xml:space="preserve">Email: </w:t>
      </w:r>
      <w:hyperlink r:id="rId9" w:history="1">
        <w:r w:rsidRPr="003441E5">
          <w:rPr>
            <w:rStyle w:val="Hyperlink"/>
          </w:rPr>
          <w:t>info@accan.org.au</w:t>
        </w:r>
      </w:hyperlink>
      <w:r w:rsidRPr="003441E5">
        <w:rPr>
          <w:rStyle w:val="Hyperlink"/>
        </w:rPr>
        <w:br/>
      </w:r>
      <w:r w:rsidRPr="003441E5">
        <w:t>Phone: (02) 9288 4000</w:t>
      </w:r>
      <w:r w:rsidRPr="003441E5">
        <w:br/>
        <w:t>Fax: (02) 9288 4019</w:t>
      </w:r>
      <w:r w:rsidRPr="003441E5">
        <w:br/>
        <w:t>TTY: 9281 5322</w:t>
      </w:r>
    </w:p>
    <w:sdt>
      <w:sdtPr>
        <w:rPr>
          <w:rFonts w:eastAsiaTheme="minorEastAsia" w:cstheme="minorBidi"/>
          <w:bCs w:val="0"/>
          <w:sz w:val="23"/>
          <w:szCs w:val="22"/>
          <w:lang w:eastAsia="en-AU"/>
        </w:rPr>
        <w:id w:val="-39521029"/>
        <w:docPartObj>
          <w:docPartGallery w:val="Table of Contents"/>
          <w:docPartUnique/>
        </w:docPartObj>
      </w:sdtPr>
      <w:sdtEndPr>
        <w:rPr>
          <w:rFonts w:eastAsiaTheme="minorHAnsi"/>
          <w:b/>
          <w:noProof/>
          <w:sz w:val="22"/>
          <w:lang w:eastAsia="en-US"/>
        </w:rPr>
      </w:sdtEndPr>
      <w:sdtContent>
        <w:p w:rsidR="00EC1696" w:rsidRDefault="00EC1696">
          <w:pPr>
            <w:pStyle w:val="TOCHeading"/>
          </w:pPr>
        </w:p>
        <w:p w:rsidR="00EC1696" w:rsidRPr="003441E5" w:rsidRDefault="00361EC1" w:rsidP="00454062">
          <w:pPr>
            <w:pStyle w:val="ListParagraph"/>
          </w:pPr>
        </w:p>
      </w:sdtContent>
    </w:sdt>
    <w:p w:rsidR="00AD032B" w:rsidRPr="003441E5" w:rsidRDefault="00AD032B" w:rsidP="00EC1696"/>
    <w:p w:rsidR="00C57099" w:rsidRDefault="00C57099">
      <w:pPr>
        <w:spacing w:before="0" w:beforeAutospacing="0" w:after="0" w:afterAutospacing="0"/>
        <w:rPr>
          <w:lang w:eastAsia="en-US"/>
        </w:rPr>
      </w:pPr>
      <w:r>
        <w:rPr>
          <w:lang w:eastAsia="en-US"/>
        </w:rPr>
        <w:br w:type="page"/>
      </w:r>
    </w:p>
    <w:p w:rsidR="00C57099" w:rsidRPr="00FA70DF" w:rsidRDefault="00303AC1" w:rsidP="00C57099">
      <w:pPr>
        <w:numPr>
          <w:ilvl w:val="0"/>
          <w:numId w:val="27"/>
        </w:numPr>
        <w:rPr>
          <w:b/>
          <w:lang w:eastAsia="en-US"/>
        </w:rPr>
      </w:pPr>
      <w:r w:rsidRPr="00303AC1">
        <w:rPr>
          <w:b/>
        </w:rPr>
        <w:lastRenderedPageBreak/>
        <w:t>Mobile Premium Services consumer information obligations</w:t>
      </w:r>
      <w:r w:rsidRPr="00303AC1">
        <w:rPr>
          <w:b/>
          <w:bCs/>
          <w:lang w:eastAsia="en-US"/>
        </w:rPr>
        <w:t xml:space="preserve"> </w:t>
      </w:r>
    </w:p>
    <w:p w:rsidR="00F652D4" w:rsidRDefault="00F652D4" w:rsidP="00004B61">
      <w:pPr>
        <w:ind w:left="426"/>
        <w:rPr>
          <w:bCs/>
        </w:rPr>
      </w:pPr>
      <w:r>
        <w:rPr>
          <w:bCs/>
        </w:rPr>
        <w:t xml:space="preserve">ACCAN does not support the removal of all of these </w:t>
      </w:r>
      <w:r w:rsidR="00004B61">
        <w:rPr>
          <w:bCs/>
        </w:rPr>
        <w:t xml:space="preserve">requirements </w:t>
      </w:r>
      <w:r>
        <w:rPr>
          <w:bCs/>
        </w:rPr>
        <w:t xml:space="preserve">from </w:t>
      </w:r>
      <w:r w:rsidR="00AF78B6">
        <w:rPr>
          <w:bCs/>
        </w:rPr>
        <w:t>the</w:t>
      </w:r>
      <w:r>
        <w:rPr>
          <w:bCs/>
        </w:rPr>
        <w:t xml:space="preserve"> Determination on the premise that they may be included in a future by an industry code.</w:t>
      </w:r>
      <w:r w:rsidR="00AF78B6">
        <w:rPr>
          <w:bCs/>
        </w:rPr>
        <w:t xml:space="preserve"> However,</w:t>
      </w:r>
      <w:r w:rsidR="00004B61">
        <w:rPr>
          <w:bCs/>
        </w:rPr>
        <w:t xml:space="preserve"> </w:t>
      </w:r>
      <w:r w:rsidR="00AF78B6">
        <w:rPr>
          <w:bCs/>
        </w:rPr>
        <w:t>w</w:t>
      </w:r>
      <w:r w:rsidR="00C66440">
        <w:rPr>
          <w:bCs/>
        </w:rPr>
        <w:t xml:space="preserve">e </w:t>
      </w:r>
      <w:r w:rsidR="00AF78B6">
        <w:rPr>
          <w:bCs/>
        </w:rPr>
        <w:t xml:space="preserve">do </w:t>
      </w:r>
      <w:r w:rsidR="00C66440">
        <w:rPr>
          <w:bCs/>
        </w:rPr>
        <w:t>s</w:t>
      </w:r>
      <w:r w:rsidR="00004B61">
        <w:rPr>
          <w:bCs/>
        </w:rPr>
        <w:t>upport</w:t>
      </w:r>
      <w:r w:rsidR="00C66440">
        <w:rPr>
          <w:bCs/>
        </w:rPr>
        <w:t xml:space="preserve"> the</w:t>
      </w:r>
      <w:r w:rsidR="00004B61">
        <w:rPr>
          <w:bCs/>
        </w:rPr>
        <w:t xml:space="preserve"> repeal of </w:t>
      </w:r>
      <w:r w:rsidR="00C66440">
        <w:rPr>
          <w:bCs/>
        </w:rPr>
        <w:t>Section</w:t>
      </w:r>
      <w:r w:rsidR="00AF78B6">
        <w:rPr>
          <w:bCs/>
        </w:rPr>
        <w:t>s</w:t>
      </w:r>
      <w:r w:rsidR="00004B61">
        <w:rPr>
          <w:bCs/>
        </w:rPr>
        <w:t xml:space="preserve"> 12</w:t>
      </w:r>
      <w:r w:rsidR="00C66440">
        <w:rPr>
          <w:bCs/>
        </w:rPr>
        <w:t>(4) and 12(5)</w:t>
      </w:r>
      <w:r w:rsidR="00004B61">
        <w:rPr>
          <w:bCs/>
        </w:rPr>
        <w:t>.</w:t>
      </w:r>
    </w:p>
    <w:p w:rsidR="00C66440" w:rsidRDefault="00004B61" w:rsidP="00C66440">
      <w:pPr>
        <w:ind w:left="426"/>
        <w:rPr>
          <w:bCs/>
          <w:lang w:eastAsia="en-US"/>
        </w:rPr>
      </w:pPr>
      <w:r w:rsidRPr="002E789D">
        <w:rPr>
          <w:bCs/>
          <w:lang w:eastAsia="en-US"/>
        </w:rPr>
        <w:t>We agree with the ACMA that i</w:t>
      </w:r>
      <w:r w:rsidR="00C66440">
        <w:rPr>
          <w:bCs/>
          <w:lang w:eastAsia="en-US"/>
        </w:rPr>
        <w:t>t</w:t>
      </w:r>
      <w:r w:rsidRPr="002E789D">
        <w:rPr>
          <w:bCs/>
          <w:lang w:eastAsia="en-US"/>
        </w:rPr>
        <w:t xml:space="preserve"> </w:t>
      </w:r>
      <w:r w:rsidR="00C66440">
        <w:rPr>
          <w:bCs/>
          <w:lang w:eastAsia="en-US"/>
        </w:rPr>
        <w:t>i</w:t>
      </w:r>
      <w:r w:rsidRPr="002E789D">
        <w:rPr>
          <w:bCs/>
          <w:lang w:eastAsia="en-US"/>
        </w:rPr>
        <w:t>s vitally important that the barring requirements remain in place and ensure this mechanism continues to be effective</w:t>
      </w:r>
      <w:r w:rsidR="00C66440">
        <w:rPr>
          <w:bCs/>
          <w:lang w:eastAsia="en-US"/>
        </w:rPr>
        <w:t>.</w:t>
      </w:r>
      <w:r w:rsidRPr="002E789D">
        <w:rPr>
          <w:bCs/>
          <w:lang w:eastAsia="en-US"/>
        </w:rPr>
        <w:t xml:space="preserve"> </w:t>
      </w:r>
      <w:r w:rsidR="00C66440">
        <w:rPr>
          <w:bCs/>
          <w:lang w:eastAsia="en-US"/>
        </w:rPr>
        <w:t>W</w:t>
      </w:r>
      <w:r w:rsidRPr="002E789D">
        <w:rPr>
          <w:bCs/>
          <w:lang w:eastAsia="en-US"/>
        </w:rPr>
        <w:t>e</w:t>
      </w:r>
      <w:r w:rsidR="00C66440">
        <w:rPr>
          <w:bCs/>
          <w:lang w:eastAsia="en-US"/>
        </w:rPr>
        <w:t xml:space="preserve"> also</w:t>
      </w:r>
      <w:r w:rsidRPr="002E789D">
        <w:rPr>
          <w:bCs/>
          <w:lang w:eastAsia="en-US"/>
        </w:rPr>
        <w:t xml:space="preserve"> maintain that consumers must at a minimum be informed of this option when signing up for a service and when making an enquiry or complaint. </w:t>
      </w:r>
      <w:r w:rsidR="00AF78B6">
        <w:rPr>
          <w:bCs/>
          <w:lang w:eastAsia="en-US"/>
        </w:rPr>
        <w:t>In recognition of</w:t>
      </w:r>
      <w:r w:rsidR="00C66440">
        <w:rPr>
          <w:bCs/>
          <w:lang w:eastAsia="en-US"/>
        </w:rPr>
        <w:t xml:space="preserve"> the drop in TIO complaint numbers in relation to MPS</w:t>
      </w:r>
      <w:r w:rsidR="001E40AC">
        <w:rPr>
          <w:bCs/>
          <w:lang w:eastAsia="en-US"/>
        </w:rPr>
        <w:t>,</w:t>
      </w:r>
      <w:r w:rsidR="00C66440">
        <w:rPr>
          <w:bCs/>
          <w:lang w:eastAsia="en-US"/>
        </w:rPr>
        <w:t xml:space="preserve"> w</w:t>
      </w:r>
      <w:r w:rsidRPr="002E789D">
        <w:rPr>
          <w:bCs/>
          <w:lang w:eastAsia="en-US"/>
        </w:rPr>
        <w:t xml:space="preserve">e </w:t>
      </w:r>
      <w:r w:rsidR="00AF78B6">
        <w:rPr>
          <w:bCs/>
          <w:lang w:eastAsia="en-US"/>
        </w:rPr>
        <w:t>do not believe</w:t>
      </w:r>
      <w:r w:rsidRPr="002E789D">
        <w:rPr>
          <w:bCs/>
          <w:lang w:eastAsia="en-US"/>
        </w:rPr>
        <w:t xml:space="preserve"> that it is necessary </w:t>
      </w:r>
      <w:r w:rsidR="00C66440">
        <w:rPr>
          <w:bCs/>
          <w:lang w:eastAsia="en-US"/>
        </w:rPr>
        <w:t>to have ongoing</w:t>
      </w:r>
      <w:r w:rsidRPr="002E789D">
        <w:rPr>
          <w:bCs/>
          <w:lang w:eastAsia="en-US"/>
        </w:rPr>
        <w:t xml:space="preserve"> information </w:t>
      </w:r>
      <w:r w:rsidR="00C66440">
        <w:rPr>
          <w:bCs/>
          <w:lang w:eastAsia="en-US"/>
        </w:rPr>
        <w:t>requirement</w:t>
      </w:r>
      <w:r w:rsidR="00AF78B6">
        <w:rPr>
          <w:bCs/>
          <w:lang w:eastAsia="en-US"/>
        </w:rPr>
        <w:t xml:space="preserve"> every 3 to 6 months or</w:t>
      </w:r>
      <w:r w:rsidRPr="002E789D">
        <w:rPr>
          <w:bCs/>
          <w:lang w:eastAsia="en-US"/>
        </w:rPr>
        <w:t xml:space="preserve"> </w:t>
      </w:r>
      <w:r w:rsidR="00C66440">
        <w:rPr>
          <w:bCs/>
          <w:lang w:eastAsia="en-US"/>
        </w:rPr>
        <w:t>on a</w:t>
      </w:r>
      <w:r w:rsidRPr="002E789D">
        <w:rPr>
          <w:bCs/>
          <w:lang w:eastAsia="en-US"/>
        </w:rPr>
        <w:t xml:space="preserve"> </w:t>
      </w:r>
      <w:r w:rsidR="00AF78B6">
        <w:rPr>
          <w:bCs/>
          <w:lang w:eastAsia="en-US"/>
        </w:rPr>
        <w:t xml:space="preserve">customer’s </w:t>
      </w:r>
      <w:r w:rsidRPr="002E789D">
        <w:rPr>
          <w:bCs/>
          <w:lang w:eastAsia="en-US"/>
        </w:rPr>
        <w:t>bill</w:t>
      </w:r>
      <w:r w:rsidR="00C66440">
        <w:rPr>
          <w:bCs/>
          <w:lang w:eastAsia="en-US"/>
        </w:rPr>
        <w:t>.</w:t>
      </w:r>
      <w:r w:rsidR="001E40AC">
        <w:rPr>
          <w:bCs/>
          <w:lang w:eastAsia="en-US"/>
        </w:rPr>
        <w:t xml:space="preserve"> </w:t>
      </w:r>
      <w:r w:rsidR="002D47A3">
        <w:rPr>
          <w:bCs/>
          <w:lang w:eastAsia="en-US"/>
        </w:rPr>
        <w:t>Rather than wholesale removal of sections 11 and 12, t</w:t>
      </w:r>
      <w:r w:rsidR="001E40AC">
        <w:rPr>
          <w:bCs/>
          <w:lang w:eastAsia="en-US"/>
        </w:rPr>
        <w:t>his nuanced amendment is in line with</w:t>
      </w:r>
      <w:r w:rsidR="00E726C1">
        <w:rPr>
          <w:bCs/>
          <w:lang w:eastAsia="en-US"/>
        </w:rPr>
        <w:t xml:space="preserve"> current</w:t>
      </w:r>
      <w:r w:rsidR="001E40AC">
        <w:rPr>
          <w:bCs/>
          <w:lang w:eastAsia="en-US"/>
        </w:rPr>
        <w:t xml:space="preserve"> industry </w:t>
      </w:r>
      <w:r w:rsidR="002D47A3">
        <w:rPr>
          <w:bCs/>
          <w:lang w:eastAsia="en-US"/>
        </w:rPr>
        <w:t>proposals on MPS</w:t>
      </w:r>
      <w:r w:rsidR="000A76B3">
        <w:rPr>
          <w:bCs/>
          <w:lang w:eastAsia="en-US"/>
        </w:rPr>
        <w:t xml:space="preserve"> deregulation</w:t>
      </w:r>
      <w:r w:rsidR="002D47A3">
        <w:rPr>
          <w:bCs/>
          <w:lang w:eastAsia="en-US"/>
        </w:rPr>
        <w:t>.</w:t>
      </w:r>
      <w:r w:rsidR="002D47A3">
        <w:rPr>
          <w:rStyle w:val="FootnoteReference"/>
          <w:bCs/>
          <w:lang w:eastAsia="en-US"/>
        </w:rPr>
        <w:footnoteReference w:id="1"/>
      </w:r>
      <w:r w:rsidR="002D47A3">
        <w:rPr>
          <w:bCs/>
          <w:lang w:eastAsia="en-US"/>
        </w:rPr>
        <w:t xml:space="preserve"> As such we believe it better maintains the balance between burden on industry and effective consumer protection.</w:t>
      </w:r>
    </w:p>
    <w:p w:rsidR="00C57099" w:rsidRPr="00303AC1" w:rsidRDefault="00303AC1" w:rsidP="00C66440">
      <w:pPr>
        <w:ind w:left="426"/>
        <w:rPr>
          <w:b/>
          <w:lang w:eastAsia="en-US"/>
        </w:rPr>
      </w:pPr>
      <w:r w:rsidRPr="00303AC1">
        <w:rPr>
          <w:b/>
        </w:rPr>
        <w:t>Telecommunications annual performance reporting</w:t>
      </w:r>
      <w:r w:rsidRPr="00303AC1">
        <w:rPr>
          <w:b/>
          <w:bCs/>
          <w:lang w:eastAsia="en-US"/>
        </w:rPr>
        <w:t xml:space="preserve"> </w:t>
      </w:r>
      <w:r>
        <w:rPr>
          <w:b/>
          <w:bCs/>
          <w:lang w:eastAsia="en-US"/>
        </w:rPr>
        <w:t>under section 105 TA</w:t>
      </w:r>
    </w:p>
    <w:p w:rsidR="00004B61" w:rsidRDefault="00A40A9E" w:rsidP="00004B61">
      <w:pPr>
        <w:ind w:left="410"/>
      </w:pPr>
      <w:r>
        <w:t xml:space="preserve">ACCAN </w:t>
      </w:r>
      <w:r w:rsidRPr="00C57099">
        <w:t xml:space="preserve">supports </w:t>
      </w:r>
      <w:r>
        <w:t>proposal</w:t>
      </w:r>
      <w:r w:rsidRPr="00C57099">
        <w:t>s</w:t>
      </w:r>
      <w:r>
        <w:t xml:space="preserve"> for a</w:t>
      </w:r>
      <w:r w:rsidR="00F652D4">
        <w:t xml:space="preserve"> longer term </w:t>
      </w:r>
      <w:r w:rsidRPr="00C57099">
        <w:t>review of industry reporting requirements</w:t>
      </w:r>
      <w:r w:rsidR="00E726C1">
        <w:t>.</w:t>
      </w:r>
      <w:r w:rsidRPr="00C57099">
        <w:t xml:space="preserve"> </w:t>
      </w:r>
      <w:r w:rsidR="00E726C1">
        <w:t>However, we</w:t>
      </w:r>
      <w:r>
        <w:t xml:space="preserve"> note the valuable role of data published by the ACMA as a basis for</w:t>
      </w:r>
      <w:r w:rsidR="00B705A5">
        <w:t xml:space="preserve"> informed</w:t>
      </w:r>
      <w:r>
        <w:t xml:space="preserve"> policy development</w:t>
      </w:r>
      <w:r w:rsidR="00B705A5">
        <w:t>.</w:t>
      </w:r>
      <w:r>
        <w:t xml:space="preserve"> </w:t>
      </w:r>
      <w:r w:rsidR="00B705A5">
        <w:t>Ongoing reporting requirements are also vital in</w:t>
      </w:r>
      <w:r>
        <w:t xml:space="preserve"> ensuring transparency and accountability in the communications sector</w:t>
      </w:r>
      <w:r w:rsidRPr="00C57099">
        <w:t>.</w:t>
      </w:r>
    </w:p>
    <w:p w:rsidR="00A40A9E" w:rsidRDefault="00F652D4" w:rsidP="00B75A9B">
      <w:pPr>
        <w:ind w:left="426"/>
      </w:pPr>
      <w:r>
        <w:rPr>
          <w:rFonts w:eastAsiaTheme="minorHAnsi"/>
          <w:lang w:eastAsia="en-US"/>
        </w:rPr>
        <w:t xml:space="preserve">ACCAN believes that we need to retain </w:t>
      </w:r>
      <w:r>
        <w:t xml:space="preserve">the </w:t>
      </w:r>
      <w:r w:rsidR="00A40A9E">
        <w:t xml:space="preserve">knowledge </w:t>
      </w:r>
      <w:r>
        <w:t xml:space="preserve">collated by Section 105 while balancing any onerous requirements of </w:t>
      </w:r>
      <w:r w:rsidR="00A40A9E">
        <w:t xml:space="preserve">record keeping </w:t>
      </w:r>
      <w:r w:rsidR="00B75A9B">
        <w:t xml:space="preserve">on providers. We </w:t>
      </w:r>
      <w:r>
        <w:t xml:space="preserve">recommend </w:t>
      </w:r>
      <w:r w:rsidR="00E726C1">
        <w:t>an ACMA review of the reporting requirements with a clear justification</w:t>
      </w:r>
      <w:r w:rsidR="00361EC1">
        <w:t xml:space="preserve"> for any need to</w:t>
      </w:r>
      <w:r w:rsidR="00361EC1">
        <w:t xml:space="preserve"> remov</w:t>
      </w:r>
      <w:r w:rsidR="00361EC1">
        <w:t>e</w:t>
      </w:r>
      <w:r w:rsidR="00361EC1">
        <w:t xml:space="preserve"> or scaling back</w:t>
      </w:r>
      <w:r w:rsidR="00361EC1">
        <w:t xml:space="preserve"> data collection</w:t>
      </w:r>
      <w:r w:rsidR="00E726C1">
        <w:t>. The decision to remove a requirement should be based upon a finding that it is duplicated elsewhere or a clear demonstration that the cost is out of all proportion with the benefit of collection.</w:t>
      </w:r>
      <w:bookmarkStart w:id="0" w:name="_GoBack"/>
      <w:bookmarkEnd w:id="0"/>
    </w:p>
    <w:p w:rsidR="00C57099" w:rsidRPr="00303AC1" w:rsidRDefault="00303AC1" w:rsidP="00C57099">
      <w:pPr>
        <w:numPr>
          <w:ilvl w:val="0"/>
          <w:numId w:val="27"/>
        </w:numPr>
        <w:rPr>
          <w:b/>
          <w:lang w:eastAsia="en-US"/>
        </w:rPr>
      </w:pPr>
      <w:r w:rsidRPr="00303AC1">
        <w:rPr>
          <w:b/>
        </w:rPr>
        <w:t>Customer Service Guarantee six monthly reporting</w:t>
      </w:r>
      <w:r w:rsidRPr="00303AC1">
        <w:rPr>
          <w:b/>
          <w:bCs/>
          <w:lang w:eastAsia="en-US"/>
        </w:rPr>
        <w:t xml:space="preserve"> </w:t>
      </w:r>
    </w:p>
    <w:p w:rsidR="00C57099" w:rsidRPr="00C57099" w:rsidRDefault="00FA70DF" w:rsidP="00B75A9B">
      <w:pPr>
        <w:ind w:left="426"/>
      </w:pPr>
      <w:r>
        <w:t>ACCAN agrees with the ACMA that reduction from six monthly reporting will not adversely impact on consumers. We support its repeal.</w:t>
      </w:r>
      <w:r w:rsidRPr="00C57099">
        <w:t xml:space="preserve"> </w:t>
      </w:r>
    </w:p>
    <w:p w:rsidR="00C57099" w:rsidRPr="00303AC1" w:rsidRDefault="00303AC1" w:rsidP="00C57099">
      <w:pPr>
        <w:numPr>
          <w:ilvl w:val="0"/>
          <w:numId w:val="27"/>
        </w:numPr>
        <w:rPr>
          <w:b/>
          <w:lang w:eastAsia="en-US"/>
        </w:rPr>
      </w:pPr>
      <w:r w:rsidRPr="00303AC1">
        <w:rPr>
          <w:b/>
        </w:rPr>
        <w:t>Payphone performance six monthly reporting</w:t>
      </w:r>
    </w:p>
    <w:p w:rsidR="00087EC9" w:rsidRPr="00C57099" w:rsidRDefault="00087EC9" w:rsidP="00B75A9B">
      <w:pPr>
        <w:ind w:left="426"/>
        <w:rPr>
          <w:lang w:eastAsia="en-US"/>
        </w:rPr>
      </w:pPr>
      <w:r>
        <w:rPr>
          <w:lang w:eastAsia="en-US"/>
        </w:rPr>
        <w:t>ACCAN agrees with the ACMA that reduction from six monthly reporting will not adversely impact on consumers. We support its repeal.</w:t>
      </w:r>
      <w:r w:rsidR="00360747" w:rsidRPr="00C57099">
        <w:rPr>
          <w:lang w:eastAsia="en-US"/>
        </w:rPr>
        <w:t xml:space="preserve"> </w:t>
      </w:r>
    </w:p>
    <w:p w:rsidR="00360747" w:rsidRPr="00303AC1" w:rsidRDefault="00303AC1" w:rsidP="00360747">
      <w:pPr>
        <w:pStyle w:val="ListParagraph"/>
        <w:numPr>
          <w:ilvl w:val="0"/>
          <w:numId w:val="27"/>
        </w:numPr>
        <w:rPr>
          <w:b/>
        </w:rPr>
      </w:pPr>
      <w:r w:rsidRPr="00303AC1">
        <w:rPr>
          <w:b/>
        </w:rPr>
        <w:t>Integrated Public Number Database Scheme reporting</w:t>
      </w:r>
      <w:r w:rsidRPr="00303AC1">
        <w:rPr>
          <w:b/>
          <w:bCs/>
        </w:rPr>
        <w:t xml:space="preserve"> </w:t>
      </w:r>
    </w:p>
    <w:p w:rsidR="00004B61" w:rsidRDefault="00087EC9" w:rsidP="00B75A9B">
      <w:pPr>
        <w:ind w:left="426"/>
        <w:rPr>
          <w:lang w:eastAsia="en-US"/>
        </w:rPr>
      </w:pPr>
      <w:r>
        <w:rPr>
          <w:lang w:eastAsia="en-US"/>
        </w:rPr>
        <w:t>The Department of Communications is currently reviewing the Integrated Public number database (IPND) and therefor it is our view that the reporting provisions of the IPND should not be considered in isolation</w:t>
      </w:r>
      <w:r w:rsidR="00004B61">
        <w:rPr>
          <w:lang w:eastAsia="en-US"/>
        </w:rPr>
        <w:t>.</w:t>
      </w:r>
    </w:p>
    <w:p w:rsidR="00360747" w:rsidRDefault="00004B61" w:rsidP="00B75A9B">
      <w:pPr>
        <w:ind w:left="426"/>
        <w:rPr>
          <w:lang w:eastAsia="en-US"/>
        </w:rPr>
      </w:pPr>
      <w:r>
        <w:rPr>
          <w:lang w:eastAsia="en-US"/>
        </w:rPr>
        <w:lastRenderedPageBreak/>
        <w:t>We believe there is an important role for reporting related to compliance.</w:t>
      </w:r>
      <w:r w:rsidR="00087EC9">
        <w:rPr>
          <w:lang w:eastAsia="en-US"/>
        </w:rPr>
        <w:t xml:space="preserve"> </w:t>
      </w:r>
    </w:p>
    <w:p w:rsidR="00360747" w:rsidRPr="00303AC1" w:rsidRDefault="00303AC1" w:rsidP="00360747">
      <w:pPr>
        <w:pStyle w:val="ListParagraph"/>
        <w:numPr>
          <w:ilvl w:val="0"/>
          <w:numId w:val="27"/>
        </w:numPr>
        <w:rPr>
          <w:b/>
        </w:rPr>
      </w:pPr>
      <w:r w:rsidRPr="00303AC1">
        <w:rPr>
          <w:b/>
        </w:rPr>
        <w:t>Emergency Call Service record-keeping and reporting</w:t>
      </w:r>
      <w:r w:rsidR="00360747" w:rsidRPr="00303AC1">
        <w:rPr>
          <w:b/>
          <w:bCs/>
        </w:rPr>
        <w:t xml:space="preserve"> </w:t>
      </w:r>
    </w:p>
    <w:p w:rsidR="00B75A9B" w:rsidRPr="003441E5" w:rsidRDefault="00A40896" w:rsidP="00004B61">
      <w:pPr>
        <w:ind w:left="426"/>
        <w:rPr>
          <w:lang w:eastAsia="en-US"/>
        </w:rPr>
      </w:pPr>
      <w:r>
        <w:rPr>
          <w:lang w:eastAsia="en-US"/>
        </w:rPr>
        <w:t xml:space="preserve">The Telecommunications (Emergency Call Service) Determination 2009 (the ECS Determination) is an important element of the regulation ensuring </w:t>
      </w:r>
      <w:r w:rsidR="00457FA7">
        <w:rPr>
          <w:lang w:eastAsia="en-US"/>
        </w:rPr>
        <w:t xml:space="preserve">easy and efficient </w:t>
      </w:r>
      <w:r>
        <w:rPr>
          <w:lang w:eastAsia="en-US"/>
        </w:rPr>
        <w:t>access to emergency services</w:t>
      </w:r>
      <w:r w:rsidR="00457FA7">
        <w:rPr>
          <w:lang w:eastAsia="en-US"/>
        </w:rPr>
        <w:t>. ACCAN agrees with the ACMA that there is potential duplication in some of the record keeping requirements in the ECS determination.  We therefore support the removal of sections 61 and 62 of the ECS Determination because there is also a general requirement covering these written arrangements in section 7. We believe there would be no adverse implications for the effective function of the Emergency Call service if these clauses were to be repealed.</w:t>
      </w:r>
      <w:r w:rsidR="00004B61" w:rsidRPr="003441E5">
        <w:rPr>
          <w:lang w:eastAsia="en-US"/>
        </w:rPr>
        <w:t xml:space="preserve"> </w:t>
      </w:r>
    </w:p>
    <w:sectPr w:rsidR="00B75A9B" w:rsidRPr="003441E5" w:rsidSect="00A13B92">
      <w:headerReference w:type="default" r:id="rId10"/>
      <w:footerReference w:type="default" r:id="rId11"/>
      <w:headerReference w:type="first" r:id="rId12"/>
      <w:footerReference w:type="first" r:id="rId13"/>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5FF" w:rsidRDefault="004125FF" w:rsidP="00B14DFB">
      <w:r>
        <w:separator/>
      </w:r>
    </w:p>
  </w:endnote>
  <w:endnote w:type="continuationSeparator" w:id="0">
    <w:p w:rsidR="004125FF" w:rsidRDefault="004125FF"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0F58CC" w:rsidP="000F58CC">
    <w:pPr>
      <w:spacing w:after="0"/>
      <w:rPr>
        <w:noProof/>
      </w:rPr>
    </w:pPr>
    <w:r w:rsidRPr="00E05115">
      <w:rPr>
        <w:color w:val="23B0E6"/>
      </w:rPr>
      <w:t>www.accan.org.au | info@accan.org.au | twitter: @ACCAN_AU</w:t>
    </w:r>
    <w:r w:rsidR="00F43B24">
      <w:rPr>
        <w:color w:val="23B0E6"/>
      </w:rPr>
      <w:ptab w:relativeTo="margin" w:alignment="right" w:leader="none"/>
    </w:r>
    <w:r w:rsidRPr="00C4251E">
      <w:fldChar w:fldCharType="begin"/>
    </w:r>
    <w:r w:rsidRPr="00C4251E">
      <w:instrText xml:space="preserve"> PAGE   \* MERGEFORMAT </w:instrText>
    </w:r>
    <w:r w:rsidRPr="00C4251E">
      <w:fldChar w:fldCharType="separate"/>
    </w:r>
    <w:r w:rsidR="00361EC1">
      <w:rPr>
        <w:noProof/>
      </w:rPr>
      <w:t>4</w:t>
    </w:r>
    <w:r w:rsidRPr="00C4251E">
      <w:rPr>
        <w:noProof/>
      </w:rPr>
      <w:fldChar w:fldCharType="end"/>
    </w:r>
  </w:p>
  <w:p w:rsidR="00A13B92" w:rsidRPr="000F58CC" w:rsidRDefault="00A13B92"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92" w:rsidRDefault="00A13B92" w:rsidP="00A13B92">
    <w:pPr>
      <w:pStyle w:val="Footerpage1"/>
    </w:pPr>
    <w:r w:rsidRPr="004A0B0A">
      <w:rPr>
        <w:color w:val="44C8F5"/>
      </w:rPr>
      <w:t>Australian Communications Consumer Action Network (ACCAN)</w:t>
    </w:r>
  </w:p>
  <w:p w:rsidR="00A13B92" w:rsidRDefault="00A13B92" w:rsidP="00A13B92">
    <w:pPr>
      <w:pStyle w:val="Footerpage1"/>
      <w:rPr>
        <w:i/>
      </w:rPr>
    </w:pPr>
    <w:r w:rsidRPr="004A0B0A">
      <w:rPr>
        <w:i/>
        <w:color w:val="44C8F5"/>
      </w:rPr>
      <w:t>Australia’s peak telecommunications consumer advocacy organisation</w:t>
    </w:r>
  </w:p>
  <w:p w:rsidR="00A13B92" w:rsidRDefault="00A13B92" w:rsidP="00A13B92">
    <w:pPr>
      <w:pStyle w:val="Footerpage1"/>
    </w:pPr>
    <w:r w:rsidRPr="008E763A">
      <w:rPr>
        <w:noProof/>
        <w:lang w:eastAsia="en-AU"/>
      </w:rPr>
      <mc:AlternateContent>
        <mc:Choice Requires="wps">
          <w:drawing>
            <wp:inline distT="0" distB="0" distL="0" distR="0" wp14:anchorId="0805F258" wp14:editId="672ECE91">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rsidR="00A13B92" w:rsidRDefault="00A13B92" w:rsidP="00A13B92">
    <w:pPr>
      <w:pStyle w:val="Footerpage1"/>
    </w:pPr>
    <w:r w:rsidRPr="008E763A">
      <w:t>Tel: (02) 9288 4000 | TTY: (02) 9281 5322 | Fax: (02) 9288 4019</w:t>
    </w:r>
  </w:p>
  <w:p w:rsidR="00A13B92" w:rsidRDefault="00A13B92"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5FF" w:rsidRDefault="004125FF" w:rsidP="00B14DFB">
      <w:r>
        <w:separator/>
      </w:r>
    </w:p>
  </w:footnote>
  <w:footnote w:type="continuationSeparator" w:id="0">
    <w:p w:rsidR="004125FF" w:rsidRDefault="004125FF" w:rsidP="00B14DFB">
      <w:r>
        <w:continuationSeparator/>
      </w:r>
    </w:p>
  </w:footnote>
  <w:footnote w:id="1">
    <w:p w:rsidR="002D47A3" w:rsidRDefault="002D47A3">
      <w:pPr>
        <w:pStyle w:val="FootnoteText"/>
      </w:pPr>
      <w:r>
        <w:rPr>
          <w:rStyle w:val="FootnoteReference"/>
        </w:rPr>
        <w:footnoteRef/>
      </w:r>
      <w:r>
        <w:t xml:space="preserve"> Optus, 2013, ‘</w:t>
      </w:r>
      <w:r w:rsidRPr="002D47A3">
        <w:t>Deregulation: Initiatives in the Communications Sector</w:t>
      </w:r>
      <w:r>
        <w:t xml:space="preserve">’, Letter to the Minister for Communications, 19 December, 2013, p.21; AMTA, 2013, </w:t>
      </w:r>
      <w:r>
        <w:t>‘</w:t>
      </w:r>
      <w:r w:rsidRPr="002D47A3">
        <w:t>Deregulation: Initiatives in the Communications Sector</w:t>
      </w:r>
      <w:r>
        <w:t>’, Letter to the Minister for Communications, 19 December, 2013, p</w:t>
      </w:r>
      <w:r>
        <w:t>.8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E45E4C">
    <w:pPr>
      <w:pStyle w:val="Header"/>
      <w:jc w:val="right"/>
    </w:pPr>
    <w:r>
      <w:rPr>
        <w:noProof/>
        <w:lang w:eastAsia="en-AU"/>
      </w:rPr>
      <w:drawing>
        <wp:inline distT="0" distB="0" distL="0" distR="0" wp14:anchorId="653C4056" wp14:editId="537D01F3">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B14DFB">
    <w:pPr>
      <w:pStyle w:val="Header"/>
      <w:jc w:val="center"/>
    </w:pPr>
    <w:r>
      <w:rPr>
        <w:noProof/>
        <w:lang w:eastAsia="en-AU"/>
      </w:rPr>
      <w:drawing>
        <wp:inline distT="0" distB="0" distL="0" distR="0" wp14:anchorId="7DC0B7E4" wp14:editId="655BA641">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FC4"/>
    <w:multiLevelType w:val="hybridMultilevel"/>
    <w:tmpl w:val="6C8A538E"/>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
    <w:nsid w:val="0CB8174B"/>
    <w:multiLevelType w:val="hybridMultilevel"/>
    <w:tmpl w:val="7EDA1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70771F"/>
    <w:multiLevelType w:val="hybridMultilevel"/>
    <w:tmpl w:val="666A4C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4">
    <w:nsid w:val="326B7BF3"/>
    <w:multiLevelType w:val="hybridMultilevel"/>
    <w:tmpl w:val="0754990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37C5FB2"/>
    <w:multiLevelType w:val="multilevel"/>
    <w:tmpl w:val="6AFEEB4C"/>
    <w:numStyleLink w:val="Bullets"/>
  </w:abstractNum>
  <w:abstractNum w:abstractNumId="6">
    <w:nsid w:val="33D9536F"/>
    <w:multiLevelType w:val="multilevel"/>
    <w:tmpl w:val="A7920A6E"/>
    <w:numStyleLink w:val="Headings"/>
  </w:abstractNum>
  <w:abstractNum w:abstractNumId="7">
    <w:nsid w:val="35733BDB"/>
    <w:multiLevelType w:val="hybridMultilevel"/>
    <w:tmpl w:val="0944C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9">
    <w:nsid w:val="39860C67"/>
    <w:multiLevelType w:val="multilevel"/>
    <w:tmpl w:val="A7920A6E"/>
    <w:numStyleLink w:val="Headings"/>
  </w:abstractNum>
  <w:abstractNum w:abstractNumId="10">
    <w:nsid w:val="3DF936BD"/>
    <w:multiLevelType w:val="multilevel"/>
    <w:tmpl w:val="A7920A6E"/>
    <w:numStyleLink w:val="Headings"/>
  </w:abstractNum>
  <w:abstractNum w:abstractNumId="11">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nsid w:val="5576673A"/>
    <w:multiLevelType w:val="hybridMultilevel"/>
    <w:tmpl w:val="30348F1E"/>
    <w:lvl w:ilvl="0" w:tplc="2C92645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5A467144"/>
    <w:multiLevelType w:val="multilevel"/>
    <w:tmpl w:val="989E8E90"/>
    <w:numStyleLink w:val="Appendices"/>
  </w:abstractNum>
  <w:abstractNum w:abstractNumId="14">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66D9634C"/>
    <w:multiLevelType w:val="hybridMultilevel"/>
    <w:tmpl w:val="ED64A0F8"/>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6">
    <w:nsid w:val="6AAF098D"/>
    <w:multiLevelType w:val="multilevel"/>
    <w:tmpl w:val="A7920A6E"/>
    <w:numStyleLink w:val="Headings"/>
  </w:abstractNum>
  <w:abstractNum w:abstractNumId="17">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nsid w:val="713D7368"/>
    <w:multiLevelType w:val="hybridMultilevel"/>
    <w:tmpl w:val="6C8A538E"/>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9">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14"/>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3"/>
  </w:num>
  <w:num w:numId="7">
    <w:abstractNumId w:val="10"/>
  </w:num>
  <w:num w:numId="8">
    <w:abstractNumId w:val="5"/>
  </w:num>
  <w:num w:numId="9">
    <w:abstractNumId w:val="5"/>
  </w:num>
  <w:num w:numId="10">
    <w:abstractNumId w:val="5"/>
  </w:num>
  <w:num w:numId="11">
    <w:abstractNumId w:val="5"/>
  </w:num>
  <w:num w:numId="12">
    <w:abstractNumId w:val="3"/>
  </w:num>
  <w:num w:numId="13">
    <w:abstractNumId w:val="6"/>
  </w:num>
  <w:num w:numId="14">
    <w:abstractNumId w:val="6"/>
  </w:num>
  <w:num w:numId="15">
    <w:abstractNumId w:val="6"/>
  </w:num>
  <w:num w:numId="16">
    <w:abstractNumId w:val="19"/>
  </w:num>
  <w:num w:numId="17">
    <w:abstractNumId w:val="11"/>
  </w:num>
  <w:num w:numId="18">
    <w:abstractNumId w:val="13"/>
  </w:num>
  <w:num w:numId="19">
    <w:abstractNumId w:val="13"/>
  </w:num>
  <w:num w:numId="20">
    <w:abstractNumId w:val="17"/>
  </w:num>
  <w:num w:numId="21">
    <w:abstractNumId w:val="17"/>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
  </w:num>
  <w:num w:numId="27">
    <w:abstractNumId w:val="0"/>
  </w:num>
  <w:num w:numId="28">
    <w:abstractNumId w:val="15"/>
  </w:num>
  <w:num w:numId="29">
    <w:abstractNumId w:val="7"/>
  </w:num>
  <w:num w:numId="30">
    <w:abstractNumId w:val="4"/>
  </w:num>
  <w:num w:numId="31">
    <w:abstractNumId w:val="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9E"/>
    <w:rsid w:val="00004B61"/>
    <w:rsid w:val="00027253"/>
    <w:rsid w:val="00047257"/>
    <w:rsid w:val="00052986"/>
    <w:rsid w:val="00080BF0"/>
    <w:rsid w:val="00087EC9"/>
    <w:rsid w:val="000A76B3"/>
    <w:rsid w:val="000C07FB"/>
    <w:rsid w:val="000D51F4"/>
    <w:rsid w:val="000F58CC"/>
    <w:rsid w:val="00105D90"/>
    <w:rsid w:val="00147A7F"/>
    <w:rsid w:val="00194151"/>
    <w:rsid w:val="001A5553"/>
    <w:rsid w:val="001C28E7"/>
    <w:rsid w:val="001C6657"/>
    <w:rsid w:val="001E193A"/>
    <w:rsid w:val="001E40AC"/>
    <w:rsid w:val="001F029E"/>
    <w:rsid w:val="002127F0"/>
    <w:rsid w:val="00234042"/>
    <w:rsid w:val="0023635B"/>
    <w:rsid w:val="00247339"/>
    <w:rsid w:val="0025617F"/>
    <w:rsid w:val="00267ED6"/>
    <w:rsid w:val="00297516"/>
    <w:rsid w:val="002A629E"/>
    <w:rsid w:val="002D27F3"/>
    <w:rsid w:val="002D47A3"/>
    <w:rsid w:val="002E24A4"/>
    <w:rsid w:val="002E4872"/>
    <w:rsid w:val="002E789D"/>
    <w:rsid w:val="00303AC1"/>
    <w:rsid w:val="003173EC"/>
    <w:rsid w:val="00320A8D"/>
    <w:rsid w:val="00321EC2"/>
    <w:rsid w:val="003441E5"/>
    <w:rsid w:val="003544C2"/>
    <w:rsid w:val="00360747"/>
    <w:rsid w:val="00361EC1"/>
    <w:rsid w:val="0036351B"/>
    <w:rsid w:val="003B1499"/>
    <w:rsid w:val="003E6503"/>
    <w:rsid w:val="003E76C5"/>
    <w:rsid w:val="003F6199"/>
    <w:rsid w:val="004125FF"/>
    <w:rsid w:val="00416E5F"/>
    <w:rsid w:val="00447E1F"/>
    <w:rsid w:val="00454062"/>
    <w:rsid w:val="004552EA"/>
    <w:rsid w:val="00457FA7"/>
    <w:rsid w:val="00472C7E"/>
    <w:rsid w:val="00472CA7"/>
    <w:rsid w:val="00477BDB"/>
    <w:rsid w:val="004A01EB"/>
    <w:rsid w:val="004A55CC"/>
    <w:rsid w:val="004A791B"/>
    <w:rsid w:val="004B7462"/>
    <w:rsid w:val="004C3886"/>
    <w:rsid w:val="004F2201"/>
    <w:rsid w:val="00511400"/>
    <w:rsid w:val="00512E95"/>
    <w:rsid w:val="00542267"/>
    <w:rsid w:val="00553427"/>
    <w:rsid w:val="00562712"/>
    <w:rsid w:val="005812EA"/>
    <w:rsid w:val="005820C9"/>
    <w:rsid w:val="00592615"/>
    <w:rsid w:val="00593975"/>
    <w:rsid w:val="00594A45"/>
    <w:rsid w:val="005A673E"/>
    <w:rsid w:val="005C2EBF"/>
    <w:rsid w:val="005F4334"/>
    <w:rsid w:val="00613698"/>
    <w:rsid w:val="0065441A"/>
    <w:rsid w:val="00654E49"/>
    <w:rsid w:val="006578D7"/>
    <w:rsid w:val="006C7C58"/>
    <w:rsid w:val="006D153D"/>
    <w:rsid w:val="006D4B09"/>
    <w:rsid w:val="00704256"/>
    <w:rsid w:val="007506AE"/>
    <w:rsid w:val="0075199E"/>
    <w:rsid w:val="007548F2"/>
    <w:rsid w:val="007571FD"/>
    <w:rsid w:val="007617B4"/>
    <w:rsid w:val="00790A04"/>
    <w:rsid w:val="007A3E1A"/>
    <w:rsid w:val="007B1BE2"/>
    <w:rsid w:val="007D3F16"/>
    <w:rsid w:val="007F0737"/>
    <w:rsid w:val="00804BBC"/>
    <w:rsid w:val="0082106B"/>
    <w:rsid w:val="008338A0"/>
    <w:rsid w:val="008433BF"/>
    <w:rsid w:val="00874386"/>
    <w:rsid w:val="0088571C"/>
    <w:rsid w:val="00886444"/>
    <w:rsid w:val="008A19E7"/>
    <w:rsid w:val="008D7013"/>
    <w:rsid w:val="008E1CC4"/>
    <w:rsid w:val="008F5B88"/>
    <w:rsid w:val="008F7E90"/>
    <w:rsid w:val="009216EC"/>
    <w:rsid w:val="00927102"/>
    <w:rsid w:val="00950D30"/>
    <w:rsid w:val="00961284"/>
    <w:rsid w:val="009A227B"/>
    <w:rsid w:val="009A6CC8"/>
    <w:rsid w:val="009B32D1"/>
    <w:rsid w:val="009C61C5"/>
    <w:rsid w:val="009D6F40"/>
    <w:rsid w:val="009F4B9D"/>
    <w:rsid w:val="00A022BC"/>
    <w:rsid w:val="00A13B92"/>
    <w:rsid w:val="00A36008"/>
    <w:rsid w:val="00A40062"/>
    <w:rsid w:val="00A40896"/>
    <w:rsid w:val="00A40A9E"/>
    <w:rsid w:val="00A4447D"/>
    <w:rsid w:val="00A803D0"/>
    <w:rsid w:val="00A96349"/>
    <w:rsid w:val="00AA686C"/>
    <w:rsid w:val="00AC4F09"/>
    <w:rsid w:val="00AD032B"/>
    <w:rsid w:val="00AD691C"/>
    <w:rsid w:val="00AE2840"/>
    <w:rsid w:val="00AF78B6"/>
    <w:rsid w:val="00B02AEB"/>
    <w:rsid w:val="00B121D1"/>
    <w:rsid w:val="00B14DFB"/>
    <w:rsid w:val="00B34FCC"/>
    <w:rsid w:val="00B4140A"/>
    <w:rsid w:val="00B418A0"/>
    <w:rsid w:val="00B421F9"/>
    <w:rsid w:val="00B705A5"/>
    <w:rsid w:val="00B75A9B"/>
    <w:rsid w:val="00B87233"/>
    <w:rsid w:val="00B967E3"/>
    <w:rsid w:val="00BA5C36"/>
    <w:rsid w:val="00BD11B7"/>
    <w:rsid w:val="00C02722"/>
    <w:rsid w:val="00C07AB7"/>
    <w:rsid w:val="00C12182"/>
    <w:rsid w:val="00C22A54"/>
    <w:rsid w:val="00C57099"/>
    <w:rsid w:val="00C613FC"/>
    <w:rsid w:val="00C66440"/>
    <w:rsid w:val="00C721F6"/>
    <w:rsid w:val="00C860BB"/>
    <w:rsid w:val="00C97251"/>
    <w:rsid w:val="00CF5B31"/>
    <w:rsid w:val="00D17C22"/>
    <w:rsid w:val="00D34878"/>
    <w:rsid w:val="00D3636E"/>
    <w:rsid w:val="00D62BCE"/>
    <w:rsid w:val="00D76C0E"/>
    <w:rsid w:val="00DD7C1C"/>
    <w:rsid w:val="00DF2349"/>
    <w:rsid w:val="00DF287A"/>
    <w:rsid w:val="00E042E9"/>
    <w:rsid w:val="00E05115"/>
    <w:rsid w:val="00E30643"/>
    <w:rsid w:val="00E45E4C"/>
    <w:rsid w:val="00E54047"/>
    <w:rsid w:val="00E726C1"/>
    <w:rsid w:val="00E81ECD"/>
    <w:rsid w:val="00E879CE"/>
    <w:rsid w:val="00E961A3"/>
    <w:rsid w:val="00EC1696"/>
    <w:rsid w:val="00EE1CFF"/>
    <w:rsid w:val="00F01C3E"/>
    <w:rsid w:val="00F12A72"/>
    <w:rsid w:val="00F43B24"/>
    <w:rsid w:val="00F61950"/>
    <w:rsid w:val="00F627A6"/>
    <w:rsid w:val="00F64824"/>
    <w:rsid w:val="00F652D4"/>
    <w:rsid w:val="00F77AEE"/>
    <w:rsid w:val="00F85A0E"/>
    <w:rsid w:val="00F860D4"/>
    <w:rsid w:val="00F91DBB"/>
    <w:rsid w:val="00FA70DF"/>
    <w:rsid w:val="00FE2F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88298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29FB9-4187-44D2-A1D1-7E417BE0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Lawrence</dc:creator>
  <cp:lastModifiedBy>Xavier O'Halloran</cp:lastModifiedBy>
  <cp:revision>5</cp:revision>
  <cp:lastPrinted>2013-12-17T03:54:00Z</cp:lastPrinted>
  <dcterms:created xsi:type="dcterms:W3CDTF">2014-05-01T23:30:00Z</dcterms:created>
  <dcterms:modified xsi:type="dcterms:W3CDTF">2014-05-02T02:07:00Z</dcterms:modified>
</cp:coreProperties>
</file>