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D4C73" w14:textId="77777777" w:rsidR="005820C9" w:rsidRPr="00E451AB" w:rsidRDefault="005820C9" w:rsidP="00E451AB">
      <w:pPr>
        <w:spacing w:after="0"/>
        <w:sectPr w:rsidR="005820C9" w:rsidRPr="00E451AB" w:rsidSect="00002D94">
          <w:headerReference w:type="default" r:id="rId9"/>
          <w:footerReference w:type="default" r:id="rId10"/>
          <w:type w:val="continuous"/>
          <w:pgSz w:w="11906" w:h="16838" w:code="9"/>
          <w:pgMar w:top="1824" w:right="707" w:bottom="567" w:left="1134" w:header="567" w:footer="1474" w:gutter="0"/>
          <w:cols w:space="708"/>
          <w:docGrid w:linePitch="360"/>
        </w:sectPr>
      </w:pPr>
      <w:bookmarkStart w:id="0" w:name="_GoBack"/>
      <w:bookmarkEnd w:id="0"/>
    </w:p>
    <w:p w14:paraId="42EAB9B5" w14:textId="1E2A66AC" w:rsidR="00AF1DE4" w:rsidRPr="00E451AB" w:rsidRDefault="00A44A8A" w:rsidP="00E451AB">
      <w:pPr>
        <w:rPr>
          <w:rFonts w:ascii="Times New Roman" w:hAnsi="Times New Roman" w:cs="Times New Roman"/>
          <w:color w:val="000000" w:themeColor="text1"/>
        </w:rPr>
      </w:pPr>
      <w:r w:rsidRPr="00E451AB">
        <w:rPr>
          <w:rFonts w:ascii="Times New Roman" w:hAnsi="Times New Roman" w:cs="Times New Roman"/>
          <w:color w:val="000000" w:themeColor="text1"/>
        </w:rPr>
        <w:lastRenderedPageBreak/>
        <w:t xml:space="preserve">5 November </w:t>
      </w:r>
      <w:r w:rsidR="00AF1DE4" w:rsidRPr="00E451AB">
        <w:rPr>
          <w:rFonts w:ascii="Times New Roman" w:hAnsi="Times New Roman" w:cs="Times New Roman"/>
          <w:color w:val="000000" w:themeColor="text1"/>
        </w:rPr>
        <w:t>2018</w:t>
      </w:r>
    </w:p>
    <w:p w14:paraId="41E33E1A" w14:textId="77777777" w:rsidR="00AF1DE4" w:rsidRPr="00E451AB" w:rsidRDefault="00AF1DE4" w:rsidP="00E451AB">
      <w:pPr>
        <w:spacing w:after="0"/>
        <w:rPr>
          <w:rFonts w:ascii="Times New Roman" w:hAnsi="Times New Roman" w:cs="Times New Roman"/>
          <w:color w:val="000000" w:themeColor="text1"/>
        </w:rPr>
      </w:pPr>
      <w:r w:rsidRPr="00E451AB">
        <w:rPr>
          <w:rFonts w:ascii="Times New Roman" w:hAnsi="Times New Roman" w:cs="Times New Roman"/>
          <w:color w:val="000000" w:themeColor="text1"/>
        </w:rPr>
        <w:t>Facilities Access Code Consultation</w:t>
      </w:r>
    </w:p>
    <w:p w14:paraId="45D2541F" w14:textId="77777777" w:rsidR="00AF1DE4" w:rsidRPr="00E451AB" w:rsidRDefault="00AF1DE4" w:rsidP="00E451AB">
      <w:pPr>
        <w:spacing w:after="0"/>
        <w:rPr>
          <w:rFonts w:ascii="Times New Roman" w:hAnsi="Times New Roman" w:cs="Times New Roman"/>
          <w:color w:val="000000" w:themeColor="text1"/>
        </w:rPr>
      </w:pPr>
      <w:r w:rsidRPr="00E451AB">
        <w:rPr>
          <w:rFonts w:ascii="Times New Roman" w:hAnsi="Times New Roman" w:cs="Times New Roman"/>
          <w:color w:val="000000" w:themeColor="text1"/>
        </w:rPr>
        <w:t>Australian Competition and Consumer Commission</w:t>
      </w:r>
    </w:p>
    <w:p w14:paraId="30F1F996" w14:textId="1F49316B" w:rsidR="00AF1DE4" w:rsidRPr="00E451AB" w:rsidRDefault="00F038F7" w:rsidP="00E451AB">
      <w:pPr>
        <w:spacing w:after="0"/>
        <w:rPr>
          <w:rFonts w:ascii="Times New Roman" w:hAnsi="Times New Roman" w:cs="Times New Roman"/>
          <w:color w:val="000000" w:themeColor="text1"/>
        </w:rPr>
      </w:pPr>
      <w:hyperlink r:id="rId11" w:history="1">
        <w:r w:rsidR="00AF1DE4" w:rsidRPr="00E451AB">
          <w:rPr>
            <w:rStyle w:val="Hyperlink"/>
            <w:rFonts w:ascii="Times New Roman" w:hAnsi="Times New Roman" w:cs="Times New Roman"/>
            <w:color w:val="000000" w:themeColor="text1"/>
          </w:rPr>
          <w:t>Grahame.oleary@accc.gov.au</w:t>
        </w:r>
      </w:hyperlink>
      <w:r w:rsidR="00AF1DE4" w:rsidRPr="00E451AB">
        <w:rPr>
          <w:rFonts w:ascii="Times New Roman" w:hAnsi="Times New Roman" w:cs="Times New Roman"/>
          <w:color w:val="000000" w:themeColor="text1"/>
        </w:rPr>
        <w:t xml:space="preserve"> </w:t>
      </w:r>
    </w:p>
    <w:p w14:paraId="4E00BE8A" w14:textId="77777777" w:rsidR="00AF1DE4" w:rsidRPr="00E451AB" w:rsidRDefault="00AF1DE4" w:rsidP="00E451AB">
      <w:pPr>
        <w:spacing w:after="0"/>
        <w:jc w:val="both"/>
        <w:rPr>
          <w:rFonts w:ascii="Times New Roman" w:hAnsi="Times New Roman" w:cs="Times New Roman"/>
          <w:color w:val="000000" w:themeColor="text1"/>
        </w:rPr>
      </w:pPr>
    </w:p>
    <w:p w14:paraId="0D9AA62D" w14:textId="77777777" w:rsidR="00AF1DE4" w:rsidRPr="00E451AB" w:rsidRDefault="00AF1DE4"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Dear Mr O’Leary,</w:t>
      </w:r>
    </w:p>
    <w:p w14:paraId="00E5D15C" w14:textId="77777777" w:rsidR="00AF1DE4" w:rsidRPr="00E451AB" w:rsidRDefault="00AF1DE4" w:rsidP="00E451AB">
      <w:pPr>
        <w:spacing w:after="0"/>
        <w:rPr>
          <w:rFonts w:ascii="Times New Roman" w:hAnsi="Times New Roman" w:cs="Times New Roman"/>
        </w:rPr>
      </w:pPr>
    </w:p>
    <w:p w14:paraId="0B9D7511" w14:textId="77777777" w:rsidR="00EA45FC" w:rsidRPr="00E451AB" w:rsidRDefault="00AF1DE4" w:rsidP="00E451AB">
      <w:pPr>
        <w:spacing w:after="0"/>
        <w:jc w:val="both"/>
        <w:rPr>
          <w:rFonts w:ascii="Times New Roman" w:hAnsi="Times New Roman" w:cs="Times New Roman"/>
        </w:rPr>
      </w:pPr>
      <w:r w:rsidRPr="00E451AB">
        <w:rPr>
          <w:rFonts w:ascii="Times New Roman" w:hAnsi="Times New Roman" w:cs="Times New Roman"/>
        </w:rPr>
        <w:t xml:space="preserve">ACCAN thanks the ACCC for the opportunity to contribute to its consultation on the Facilities Access Code (the code). The Australian Communications Consumer Action Network (ACCAN) is Australia’s peak communications consumer organisation representing individuals, small businesses and not-for-profit groups as consumers of communications products and services. </w:t>
      </w:r>
    </w:p>
    <w:p w14:paraId="2E961503" w14:textId="4757AAB9" w:rsidR="00D1106A" w:rsidRPr="00E451AB" w:rsidRDefault="00D1106A" w:rsidP="00E451AB">
      <w:pPr>
        <w:spacing w:after="0"/>
        <w:jc w:val="both"/>
        <w:rPr>
          <w:rFonts w:ascii="Times New Roman" w:hAnsi="Times New Roman" w:cs="Times New Roman"/>
        </w:rPr>
      </w:pPr>
    </w:p>
    <w:p w14:paraId="36ADD158" w14:textId="0650DD54" w:rsidR="00F7224B" w:rsidRPr="00E451AB" w:rsidRDefault="00C34F71"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 xml:space="preserve">ACCAN supports further refinement to the code, in order to ensure that it remains effective and fit-for-purpose. </w:t>
      </w:r>
      <w:r w:rsidR="004B6640" w:rsidRPr="00E451AB">
        <w:rPr>
          <w:rFonts w:ascii="Times New Roman" w:hAnsi="Times New Roman" w:cs="Times New Roman"/>
          <w:color w:val="000000" w:themeColor="text1"/>
        </w:rPr>
        <w:t>Although the code has been</w:t>
      </w:r>
      <w:r w:rsidRPr="00E451AB">
        <w:rPr>
          <w:rFonts w:ascii="Times New Roman" w:hAnsi="Times New Roman" w:cs="Times New Roman"/>
          <w:color w:val="000000" w:themeColor="text1"/>
        </w:rPr>
        <w:t xml:space="preserve"> </w:t>
      </w:r>
      <w:r w:rsidR="004B6640" w:rsidRPr="00E451AB">
        <w:rPr>
          <w:rFonts w:ascii="Times New Roman" w:hAnsi="Times New Roman" w:cs="Times New Roman"/>
          <w:color w:val="000000" w:themeColor="text1"/>
        </w:rPr>
        <w:t xml:space="preserve">broadly </w:t>
      </w:r>
      <w:r w:rsidRPr="00E451AB">
        <w:rPr>
          <w:rFonts w:ascii="Times New Roman" w:hAnsi="Times New Roman" w:cs="Times New Roman"/>
          <w:color w:val="000000" w:themeColor="text1"/>
        </w:rPr>
        <w:t>effective</w:t>
      </w:r>
      <w:r w:rsidR="004B6640" w:rsidRPr="00E451AB">
        <w:rPr>
          <w:rFonts w:ascii="Times New Roman" w:hAnsi="Times New Roman" w:cs="Times New Roman"/>
          <w:color w:val="000000" w:themeColor="text1"/>
        </w:rPr>
        <w:t xml:space="preserve"> thus far</w:t>
      </w:r>
      <w:r w:rsidRPr="00E451AB">
        <w:rPr>
          <w:rFonts w:ascii="Times New Roman" w:hAnsi="Times New Roman" w:cs="Times New Roman"/>
          <w:color w:val="000000" w:themeColor="text1"/>
        </w:rPr>
        <w:t xml:space="preserve"> in promoting its </w:t>
      </w:r>
      <w:r w:rsidR="00E639C3" w:rsidRPr="00E451AB">
        <w:rPr>
          <w:rFonts w:ascii="Times New Roman" w:hAnsi="Times New Roman" w:cs="Times New Roman"/>
          <w:color w:val="000000" w:themeColor="text1"/>
        </w:rPr>
        <w:t xml:space="preserve">objectives, </w:t>
      </w:r>
      <w:r w:rsidR="004B6640" w:rsidRPr="00E451AB">
        <w:rPr>
          <w:rFonts w:ascii="Times New Roman" w:hAnsi="Times New Roman" w:cs="Times New Roman"/>
          <w:color w:val="000000" w:themeColor="text1"/>
        </w:rPr>
        <w:t>in some instances the code has not facilitated the achievement of the best possible outcome</w:t>
      </w:r>
      <w:r w:rsidR="00BA31D9" w:rsidRPr="00E451AB">
        <w:rPr>
          <w:rFonts w:ascii="Times New Roman" w:hAnsi="Times New Roman" w:cs="Times New Roman"/>
          <w:color w:val="000000" w:themeColor="text1"/>
        </w:rPr>
        <w:t xml:space="preserve"> for consumers</w:t>
      </w:r>
      <w:r w:rsidR="004B6640" w:rsidRPr="00E451AB">
        <w:rPr>
          <w:rFonts w:ascii="Times New Roman" w:hAnsi="Times New Roman" w:cs="Times New Roman"/>
          <w:color w:val="000000" w:themeColor="text1"/>
        </w:rPr>
        <w:t xml:space="preserve">. Accordingly, </w:t>
      </w:r>
      <w:r w:rsidR="00E639C3" w:rsidRPr="00E451AB">
        <w:rPr>
          <w:rFonts w:ascii="Times New Roman" w:hAnsi="Times New Roman" w:cs="Times New Roman"/>
          <w:color w:val="000000" w:themeColor="text1"/>
        </w:rPr>
        <w:t>ACCAN welcomes the reforms proposed by the ACCC as representing</w:t>
      </w:r>
      <w:r w:rsidR="00A32FC6" w:rsidRPr="00E451AB">
        <w:rPr>
          <w:rFonts w:ascii="Times New Roman" w:hAnsi="Times New Roman" w:cs="Times New Roman"/>
          <w:color w:val="000000" w:themeColor="text1"/>
        </w:rPr>
        <w:t xml:space="preserve"> targeted</w:t>
      </w:r>
      <w:r w:rsidR="00BA31D9" w:rsidRPr="00E451AB">
        <w:rPr>
          <w:rFonts w:ascii="Times New Roman" w:hAnsi="Times New Roman" w:cs="Times New Roman"/>
          <w:color w:val="000000" w:themeColor="text1"/>
        </w:rPr>
        <w:t>, proportionate</w:t>
      </w:r>
      <w:r w:rsidR="00A32FC6" w:rsidRPr="00E451AB">
        <w:rPr>
          <w:rFonts w:ascii="Times New Roman" w:hAnsi="Times New Roman" w:cs="Times New Roman"/>
          <w:color w:val="000000" w:themeColor="text1"/>
        </w:rPr>
        <w:t xml:space="preserve"> and considered </w:t>
      </w:r>
      <w:r w:rsidR="00DA1182" w:rsidRPr="00E451AB">
        <w:rPr>
          <w:rFonts w:ascii="Times New Roman" w:hAnsi="Times New Roman" w:cs="Times New Roman"/>
          <w:color w:val="000000" w:themeColor="text1"/>
        </w:rPr>
        <w:t xml:space="preserve">reforms that are commensurate </w:t>
      </w:r>
      <w:r w:rsidR="005746FF" w:rsidRPr="00E451AB">
        <w:rPr>
          <w:rFonts w:ascii="Times New Roman" w:hAnsi="Times New Roman" w:cs="Times New Roman"/>
          <w:color w:val="000000" w:themeColor="text1"/>
        </w:rPr>
        <w:t>with</w:t>
      </w:r>
      <w:r w:rsidR="00DA1182" w:rsidRPr="00E451AB">
        <w:rPr>
          <w:rFonts w:ascii="Times New Roman" w:hAnsi="Times New Roman" w:cs="Times New Roman"/>
          <w:color w:val="000000" w:themeColor="text1"/>
        </w:rPr>
        <w:t xml:space="preserve"> best practice </w:t>
      </w:r>
      <w:r w:rsidR="005746FF" w:rsidRPr="00E451AB">
        <w:rPr>
          <w:rFonts w:ascii="Times New Roman" w:hAnsi="Times New Roman" w:cs="Times New Roman"/>
          <w:noProof/>
          <w:color w:val="000000" w:themeColor="text1"/>
        </w:rPr>
        <w:t>(OECD 2012)</w:t>
      </w:r>
      <w:r w:rsidR="005746FF" w:rsidRPr="00E451AB">
        <w:rPr>
          <w:rFonts w:ascii="Times New Roman" w:hAnsi="Times New Roman" w:cs="Times New Roman"/>
          <w:color w:val="000000" w:themeColor="text1"/>
        </w:rPr>
        <w:t xml:space="preserve">. </w:t>
      </w:r>
    </w:p>
    <w:p w14:paraId="0E4CB079" w14:textId="2F1AD578" w:rsidR="00094623" w:rsidRPr="00E451AB" w:rsidRDefault="00094623" w:rsidP="00E451AB">
      <w:pPr>
        <w:spacing w:after="0"/>
        <w:jc w:val="both"/>
        <w:rPr>
          <w:rFonts w:ascii="Times New Roman" w:hAnsi="Times New Roman" w:cs="Times New Roman"/>
          <w:color w:val="000000" w:themeColor="text1"/>
        </w:rPr>
      </w:pPr>
    </w:p>
    <w:p w14:paraId="3755032C" w14:textId="0882E6A2" w:rsidR="00C4270C" w:rsidRPr="00E451AB" w:rsidRDefault="00E91F4B"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 xml:space="preserve">As noted in ACCAN’s previous submissions concerning the </w:t>
      </w:r>
      <w:r w:rsidR="00C1766E" w:rsidRPr="00E451AB">
        <w:rPr>
          <w:rFonts w:ascii="Times New Roman" w:hAnsi="Times New Roman" w:cs="Times New Roman"/>
          <w:color w:val="000000" w:themeColor="text1"/>
        </w:rPr>
        <w:t xml:space="preserve">code, there is little </w:t>
      </w:r>
      <w:r w:rsidR="008347BD" w:rsidRPr="00E451AB">
        <w:rPr>
          <w:rFonts w:ascii="Times New Roman" w:hAnsi="Times New Roman" w:cs="Times New Roman"/>
          <w:color w:val="000000" w:themeColor="text1"/>
        </w:rPr>
        <w:t>publicly</w:t>
      </w:r>
      <w:r w:rsidR="00C1766E" w:rsidRPr="00E451AB">
        <w:rPr>
          <w:rFonts w:ascii="Times New Roman" w:hAnsi="Times New Roman" w:cs="Times New Roman"/>
          <w:color w:val="000000" w:themeColor="text1"/>
        </w:rPr>
        <w:t xml:space="preserve"> available information on the extent of co-lo</w:t>
      </w:r>
      <w:r w:rsidR="00523C22" w:rsidRPr="00E451AB">
        <w:rPr>
          <w:rFonts w:ascii="Times New Roman" w:hAnsi="Times New Roman" w:cs="Times New Roman"/>
          <w:color w:val="000000" w:themeColor="text1"/>
        </w:rPr>
        <w:t>c</w:t>
      </w:r>
      <w:r w:rsidR="00C1766E" w:rsidRPr="00E451AB">
        <w:rPr>
          <w:rFonts w:ascii="Times New Roman" w:hAnsi="Times New Roman" w:cs="Times New Roman"/>
          <w:color w:val="000000" w:themeColor="text1"/>
        </w:rPr>
        <w:t>ation of infrastructure overall, and no publicly available breakdown</w:t>
      </w:r>
      <w:r w:rsidR="00C15B53" w:rsidRPr="00E451AB">
        <w:rPr>
          <w:rFonts w:ascii="Times New Roman" w:hAnsi="Times New Roman" w:cs="Times New Roman"/>
          <w:color w:val="000000" w:themeColor="text1"/>
        </w:rPr>
        <w:t xml:space="preserve"> of co-location based on geographic classific</w:t>
      </w:r>
      <w:r w:rsidR="001929AB" w:rsidRPr="00E451AB">
        <w:rPr>
          <w:rFonts w:ascii="Times New Roman" w:hAnsi="Times New Roman" w:cs="Times New Roman"/>
          <w:color w:val="000000" w:themeColor="text1"/>
        </w:rPr>
        <w:t xml:space="preserve">ations. </w:t>
      </w:r>
      <w:r w:rsidR="00C15B53" w:rsidRPr="00E451AB">
        <w:rPr>
          <w:rFonts w:ascii="Times New Roman" w:hAnsi="Times New Roman" w:cs="Times New Roman"/>
          <w:color w:val="000000" w:themeColor="text1"/>
        </w:rPr>
        <w:t>Accordingly</w:t>
      </w:r>
      <w:r w:rsidR="00B8150C" w:rsidRPr="00E451AB">
        <w:rPr>
          <w:rFonts w:ascii="Times New Roman" w:hAnsi="Times New Roman" w:cs="Times New Roman"/>
          <w:color w:val="000000" w:themeColor="text1"/>
        </w:rPr>
        <w:t>,</w:t>
      </w:r>
      <w:r w:rsidR="00C15B53" w:rsidRPr="00E451AB">
        <w:rPr>
          <w:rFonts w:ascii="Times New Roman" w:hAnsi="Times New Roman" w:cs="Times New Roman"/>
          <w:color w:val="000000" w:themeColor="text1"/>
        </w:rPr>
        <w:t xml:space="preserve"> ACCAN</w:t>
      </w:r>
      <w:r w:rsidR="00B8150C" w:rsidRPr="00E451AB">
        <w:rPr>
          <w:rFonts w:ascii="Times New Roman" w:hAnsi="Times New Roman" w:cs="Times New Roman"/>
          <w:color w:val="000000" w:themeColor="text1"/>
        </w:rPr>
        <w:t>’s</w:t>
      </w:r>
      <w:r w:rsidR="00C15B53" w:rsidRPr="00E451AB">
        <w:rPr>
          <w:rFonts w:ascii="Times New Roman" w:hAnsi="Times New Roman" w:cs="Times New Roman"/>
          <w:color w:val="000000" w:themeColor="text1"/>
        </w:rPr>
        <w:t xml:space="preserve"> </w:t>
      </w:r>
      <w:r w:rsidR="00F7689F" w:rsidRPr="00E451AB">
        <w:rPr>
          <w:rFonts w:ascii="Times New Roman" w:hAnsi="Times New Roman" w:cs="Times New Roman"/>
          <w:color w:val="000000" w:themeColor="text1"/>
        </w:rPr>
        <w:t xml:space="preserve">views on reform are </w:t>
      </w:r>
      <w:r w:rsidR="00B8150C" w:rsidRPr="00E451AB">
        <w:rPr>
          <w:rFonts w:ascii="Times New Roman" w:hAnsi="Times New Roman" w:cs="Times New Roman"/>
          <w:color w:val="000000" w:themeColor="text1"/>
        </w:rPr>
        <w:t>informed by our consultations with relevant stakeholders.</w:t>
      </w:r>
      <w:r w:rsidR="00FB73ED" w:rsidRPr="00E451AB">
        <w:rPr>
          <w:rFonts w:ascii="Times New Roman" w:hAnsi="Times New Roman" w:cs="Times New Roman"/>
          <w:color w:val="000000" w:themeColor="text1"/>
        </w:rPr>
        <w:t xml:space="preserve"> </w:t>
      </w:r>
    </w:p>
    <w:p w14:paraId="29A5FFA1" w14:textId="5395EAE5" w:rsidR="006920E1" w:rsidRPr="00E451AB" w:rsidRDefault="006920E1" w:rsidP="00E451AB">
      <w:pPr>
        <w:spacing w:after="0"/>
        <w:jc w:val="both"/>
        <w:rPr>
          <w:rFonts w:ascii="Times New Roman" w:hAnsi="Times New Roman" w:cs="Times New Roman"/>
          <w:color w:val="000000" w:themeColor="text1"/>
        </w:rPr>
      </w:pPr>
    </w:p>
    <w:p w14:paraId="488A729B" w14:textId="3127131A" w:rsidR="00C4270C" w:rsidRPr="00E451AB" w:rsidRDefault="00FF577B" w:rsidP="00E451AB">
      <w:pPr>
        <w:spacing w:after="0"/>
        <w:jc w:val="both"/>
        <w:rPr>
          <w:rFonts w:ascii="Times New Roman" w:hAnsi="Times New Roman" w:cs="Times New Roman"/>
        </w:rPr>
      </w:pPr>
      <w:r w:rsidRPr="00E451AB">
        <w:rPr>
          <w:rFonts w:ascii="Times New Roman" w:hAnsi="Times New Roman" w:cs="Times New Roman"/>
        </w:rPr>
        <w:t>In the absence of detailed publicly available information on the issues raised within the discussion paper, ACCAN would encourage the ACCC to undertake a regulatory assessment of the fitness-of-purpose of the code in accordance with</w:t>
      </w:r>
      <w:r w:rsidR="00BA31D9" w:rsidRPr="00E451AB">
        <w:rPr>
          <w:rFonts w:ascii="Times New Roman" w:hAnsi="Times New Roman" w:cs="Times New Roman"/>
        </w:rPr>
        <w:t xml:space="preserve"> existing</w:t>
      </w:r>
      <w:r w:rsidRPr="00E451AB">
        <w:rPr>
          <w:rFonts w:ascii="Times New Roman" w:hAnsi="Times New Roman" w:cs="Times New Roman"/>
        </w:rPr>
        <w:t xml:space="preserve"> </w:t>
      </w:r>
      <w:r w:rsidR="0068375D" w:rsidRPr="00E451AB">
        <w:rPr>
          <w:rFonts w:ascii="Times New Roman" w:hAnsi="Times New Roman" w:cs="Times New Roman"/>
        </w:rPr>
        <w:t xml:space="preserve">guidance concerning regulatory </w:t>
      </w:r>
      <w:r w:rsidRPr="00E451AB">
        <w:rPr>
          <w:rFonts w:ascii="Times New Roman" w:hAnsi="Times New Roman" w:cs="Times New Roman"/>
        </w:rPr>
        <w:t>best practice</w:t>
      </w:r>
      <w:r w:rsidR="00661E1D" w:rsidRPr="00E451AB">
        <w:rPr>
          <w:rFonts w:ascii="Times New Roman" w:hAnsi="Times New Roman" w:cs="Times New Roman"/>
        </w:rPr>
        <w:t xml:space="preserve"> </w:t>
      </w:r>
      <w:r w:rsidR="004E1AF2" w:rsidRPr="00E451AB">
        <w:rPr>
          <w:rFonts w:ascii="Times New Roman" w:hAnsi="Times New Roman" w:cs="Times New Roman"/>
          <w:noProof/>
        </w:rPr>
        <w:t>(DPMC 2014)</w:t>
      </w:r>
      <w:r w:rsidRPr="00E451AB">
        <w:rPr>
          <w:rFonts w:ascii="Times New Roman" w:hAnsi="Times New Roman" w:cs="Times New Roman"/>
        </w:rPr>
        <w:t xml:space="preserve">. </w:t>
      </w:r>
      <w:r w:rsidR="005C7AC4" w:rsidRPr="00E451AB">
        <w:rPr>
          <w:rFonts w:ascii="Times New Roman" w:hAnsi="Times New Roman" w:cs="Times New Roman"/>
        </w:rPr>
        <w:t>In keeping with this approach ACCAN has formulated our response to the discussion paper</w:t>
      </w:r>
      <w:r w:rsidR="00132FBE" w:rsidRPr="00E451AB">
        <w:rPr>
          <w:rFonts w:ascii="Times New Roman" w:hAnsi="Times New Roman" w:cs="Times New Roman"/>
        </w:rPr>
        <w:t xml:space="preserve"> </w:t>
      </w:r>
      <w:r w:rsidR="005C7AC4" w:rsidRPr="00E451AB">
        <w:rPr>
          <w:rFonts w:ascii="Times New Roman" w:hAnsi="Times New Roman" w:cs="Times New Roman"/>
        </w:rPr>
        <w:t>by referenc</w:t>
      </w:r>
      <w:r w:rsidR="002551E8" w:rsidRPr="00E451AB">
        <w:rPr>
          <w:rFonts w:ascii="Times New Roman" w:hAnsi="Times New Roman" w:cs="Times New Roman"/>
        </w:rPr>
        <w:t>e</w:t>
      </w:r>
      <w:r w:rsidR="005C7AC4" w:rsidRPr="00E451AB">
        <w:rPr>
          <w:rFonts w:ascii="Times New Roman" w:hAnsi="Times New Roman" w:cs="Times New Roman"/>
        </w:rPr>
        <w:t xml:space="preserve"> to a first principles </w:t>
      </w:r>
      <w:r w:rsidR="008B0458" w:rsidRPr="00E451AB">
        <w:rPr>
          <w:rFonts w:ascii="Times New Roman" w:hAnsi="Times New Roman" w:cs="Times New Roman"/>
        </w:rPr>
        <w:t>assessment</w:t>
      </w:r>
      <w:r w:rsidR="00132FBE" w:rsidRPr="00E451AB">
        <w:rPr>
          <w:rFonts w:ascii="Times New Roman" w:hAnsi="Times New Roman" w:cs="Times New Roman"/>
        </w:rPr>
        <w:t xml:space="preserve"> of the need for the code and examined the potential for benefits with respect to the potential reforms raised. </w:t>
      </w:r>
    </w:p>
    <w:p w14:paraId="4F5DA10E" w14:textId="3C7E7317" w:rsidR="002C7D1D" w:rsidRPr="00E451AB" w:rsidRDefault="002C7D1D" w:rsidP="00E451AB">
      <w:pPr>
        <w:spacing w:after="0"/>
        <w:jc w:val="both"/>
        <w:rPr>
          <w:rFonts w:ascii="Times New Roman" w:hAnsi="Times New Roman" w:cs="Times New Roman"/>
          <w:color w:val="000000" w:themeColor="text1"/>
        </w:rPr>
      </w:pPr>
    </w:p>
    <w:p w14:paraId="28534A9B" w14:textId="7FFD0333" w:rsidR="001929AB" w:rsidRPr="00E451AB" w:rsidRDefault="00FA7266" w:rsidP="00E451AB">
      <w:pPr>
        <w:spacing w:after="0"/>
        <w:jc w:val="both"/>
        <w:rPr>
          <w:rFonts w:ascii="Times New Roman" w:hAnsi="Times New Roman" w:cs="Times New Roman"/>
          <w:b/>
          <w:color w:val="000000" w:themeColor="text1"/>
        </w:rPr>
      </w:pPr>
      <w:r w:rsidRPr="00E451AB">
        <w:rPr>
          <w:rFonts w:ascii="Times New Roman" w:hAnsi="Times New Roman" w:cs="Times New Roman"/>
          <w:b/>
          <w:color w:val="000000" w:themeColor="text1"/>
        </w:rPr>
        <w:t>What is the problem</w:t>
      </w:r>
      <w:r w:rsidR="000971DE" w:rsidRPr="00E451AB">
        <w:rPr>
          <w:rFonts w:ascii="Times New Roman" w:hAnsi="Times New Roman" w:cs="Times New Roman"/>
          <w:b/>
          <w:color w:val="000000" w:themeColor="text1"/>
        </w:rPr>
        <w:t>?</w:t>
      </w:r>
    </w:p>
    <w:p w14:paraId="2A337AC5" w14:textId="39858AC4" w:rsidR="001929AB" w:rsidRPr="00E451AB" w:rsidRDefault="001929AB" w:rsidP="00E451AB">
      <w:pPr>
        <w:spacing w:after="0"/>
        <w:jc w:val="both"/>
        <w:rPr>
          <w:rFonts w:ascii="Times New Roman" w:hAnsi="Times New Roman" w:cs="Times New Roman"/>
          <w:color w:val="000000" w:themeColor="text1"/>
        </w:rPr>
      </w:pPr>
    </w:p>
    <w:p w14:paraId="50835878" w14:textId="77777777" w:rsidR="002551E8" w:rsidRPr="00E451AB" w:rsidRDefault="00FA7266"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There are two core problems that the code seeks to address</w:t>
      </w:r>
      <w:r w:rsidR="002551E8" w:rsidRPr="00E451AB">
        <w:rPr>
          <w:rFonts w:ascii="Times New Roman" w:hAnsi="Times New Roman" w:cs="Times New Roman"/>
          <w:color w:val="000000" w:themeColor="text1"/>
        </w:rPr>
        <w:t>:</w:t>
      </w:r>
    </w:p>
    <w:p w14:paraId="604BE9E4" w14:textId="77777777" w:rsidR="002551E8" w:rsidRPr="00E451AB" w:rsidRDefault="002551E8" w:rsidP="00E451AB">
      <w:pPr>
        <w:spacing w:after="0"/>
        <w:jc w:val="both"/>
        <w:rPr>
          <w:rFonts w:ascii="Times New Roman" w:hAnsi="Times New Roman" w:cs="Times New Roman"/>
          <w:color w:val="000000" w:themeColor="text1"/>
        </w:rPr>
      </w:pPr>
    </w:p>
    <w:p w14:paraId="6E9E4920" w14:textId="387AC74D" w:rsidR="002551E8" w:rsidRPr="00E451AB" w:rsidRDefault="002551E8" w:rsidP="00E451AB">
      <w:pPr>
        <w:pStyle w:val="ListParagraph"/>
        <w:numPr>
          <w:ilvl w:val="0"/>
          <w:numId w:val="4"/>
        </w:numPr>
        <w:spacing w:line="276" w:lineRule="auto"/>
        <w:jc w:val="both"/>
        <w:rPr>
          <w:rFonts w:ascii="Times New Roman" w:hAnsi="Times New Roman" w:cs="Times New Roman"/>
          <w:color w:val="000000" w:themeColor="text1"/>
        </w:rPr>
      </w:pPr>
      <w:r w:rsidRPr="00E451AB">
        <w:rPr>
          <w:rFonts w:ascii="Times New Roman" w:hAnsi="Times New Roman" w:cs="Times New Roman"/>
          <w:color w:val="000000" w:themeColor="text1"/>
        </w:rPr>
        <w:t xml:space="preserve">the potential loss of environmental amenity through unnecessary and duplicative infrastructure </w:t>
      </w:r>
    </w:p>
    <w:p w14:paraId="1032096E" w14:textId="149B70EB" w:rsidR="00E451AB" w:rsidRDefault="002551E8" w:rsidP="00E451AB">
      <w:pPr>
        <w:pStyle w:val="ListParagraph"/>
        <w:numPr>
          <w:ilvl w:val="0"/>
          <w:numId w:val="4"/>
        </w:numPr>
        <w:spacing w:line="276" w:lineRule="auto"/>
        <w:jc w:val="both"/>
        <w:rPr>
          <w:rFonts w:ascii="Times New Roman" w:hAnsi="Times New Roman" w:cs="Times New Roman"/>
          <w:color w:val="000000" w:themeColor="text1"/>
        </w:rPr>
      </w:pPr>
      <w:r w:rsidRPr="00E451AB">
        <w:rPr>
          <w:rFonts w:ascii="Times New Roman" w:hAnsi="Times New Roman" w:cs="Times New Roman"/>
          <w:color w:val="000000" w:themeColor="text1"/>
        </w:rPr>
        <w:t>the potential f</w:t>
      </w:r>
      <w:r w:rsidR="00070960" w:rsidRPr="00E451AB">
        <w:rPr>
          <w:rFonts w:ascii="Times New Roman" w:hAnsi="Times New Roman" w:cs="Times New Roman"/>
          <w:color w:val="000000" w:themeColor="text1"/>
        </w:rPr>
        <w:t>or existing infrastructure owners to preclude access on reasonable terms to deter competition by entrant service providers.</w:t>
      </w:r>
    </w:p>
    <w:p w14:paraId="2A479F6B" w14:textId="77777777" w:rsidR="00E451AB" w:rsidRDefault="00E451AB" w:rsidP="00E451AB">
      <w:pPr>
        <w:jc w:val="both"/>
        <w:rPr>
          <w:rFonts w:ascii="Times New Roman" w:hAnsi="Times New Roman" w:cs="Times New Roman"/>
          <w:color w:val="000000" w:themeColor="text1"/>
        </w:rPr>
      </w:pPr>
    </w:p>
    <w:p w14:paraId="1B96AAC1" w14:textId="77777777" w:rsidR="00E451AB" w:rsidRPr="00E451AB" w:rsidRDefault="00E451AB" w:rsidP="00E451AB">
      <w:pPr>
        <w:jc w:val="both"/>
        <w:rPr>
          <w:rFonts w:ascii="Times New Roman" w:hAnsi="Times New Roman" w:cs="Times New Roman"/>
          <w:color w:val="000000" w:themeColor="text1"/>
        </w:rPr>
      </w:pPr>
    </w:p>
    <w:p w14:paraId="5EEA5B58" w14:textId="48340DB9" w:rsidR="00C4270C" w:rsidRDefault="00ED1CB2"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lastRenderedPageBreak/>
        <w:t xml:space="preserve">The problems that the code seeks to address </w:t>
      </w:r>
      <w:r w:rsidR="00515891" w:rsidRPr="00E451AB">
        <w:rPr>
          <w:rFonts w:ascii="Times New Roman" w:hAnsi="Times New Roman" w:cs="Times New Roman"/>
          <w:color w:val="000000" w:themeColor="text1"/>
        </w:rPr>
        <w:t>persist and</w:t>
      </w:r>
      <w:r w:rsidR="00C92094" w:rsidRPr="00E451AB">
        <w:rPr>
          <w:rFonts w:ascii="Times New Roman" w:hAnsi="Times New Roman" w:cs="Times New Roman"/>
          <w:color w:val="000000" w:themeColor="text1"/>
        </w:rPr>
        <w:t xml:space="preserve"> are well documented policy </w:t>
      </w:r>
      <w:r w:rsidR="006355C8" w:rsidRPr="00E451AB">
        <w:rPr>
          <w:rFonts w:ascii="Times New Roman" w:hAnsi="Times New Roman" w:cs="Times New Roman"/>
          <w:color w:val="000000" w:themeColor="text1"/>
        </w:rPr>
        <w:t xml:space="preserve">problems </w:t>
      </w:r>
      <w:r w:rsidR="00C92094" w:rsidRPr="00E451AB">
        <w:rPr>
          <w:rFonts w:ascii="Times New Roman" w:hAnsi="Times New Roman" w:cs="Times New Roman"/>
          <w:color w:val="000000" w:themeColor="text1"/>
        </w:rPr>
        <w:t xml:space="preserve">- </w:t>
      </w:r>
      <w:r w:rsidRPr="00E451AB">
        <w:rPr>
          <w:rFonts w:ascii="Times New Roman" w:hAnsi="Times New Roman" w:cs="Times New Roman"/>
          <w:color w:val="000000" w:themeColor="text1"/>
        </w:rPr>
        <w:t xml:space="preserve">that form the basis of regulatory intervention in </w:t>
      </w:r>
      <w:r w:rsidR="0004158E" w:rsidRPr="00E451AB">
        <w:rPr>
          <w:rFonts w:ascii="Times New Roman" w:hAnsi="Times New Roman" w:cs="Times New Roman"/>
          <w:color w:val="000000" w:themeColor="text1"/>
        </w:rPr>
        <w:t>the telecommunications</w:t>
      </w:r>
      <w:r w:rsidR="00AA203B" w:rsidRPr="00E451AB">
        <w:rPr>
          <w:rFonts w:ascii="Times New Roman" w:hAnsi="Times New Roman" w:cs="Times New Roman"/>
          <w:color w:val="000000" w:themeColor="text1"/>
        </w:rPr>
        <w:t xml:space="preserve"> sector</w:t>
      </w:r>
      <w:r w:rsidR="00C92094" w:rsidRPr="00E451AB">
        <w:rPr>
          <w:rFonts w:ascii="Times New Roman" w:hAnsi="Times New Roman" w:cs="Times New Roman"/>
          <w:color w:val="000000" w:themeColor="text1"/>
        </w:rPr>
        <w:t xml:space="preserve"> and a variety of other markets</w:t>
      </w:r>
      <w:r w:rsidR="00AA203B" w:rsidRPr="00E451AB">
        <w:rPr>
          <w:rFonts w:ascii="Times New Roman" w:hAnsi="Times New Roman" w:cs="Times New Roman"/>
          <w:color w:val="000000" w:themeColor="text1"/>
        </w:rPr>
        <w:t xml:space="preserve"> </w:t>
      </w:r>
      <w:r w:rsidR="00C92094" w:rsidRPr="00E451AB">
        <w:rPr>
          <w:rFonts w:ascii="Times New Roman" w:hAnsi="Times New Roman" w:cs="Times New Roman"/>
          <w:noProof/>
          <w:color w:val="000000" w:themeColor="text1"/>
        </w:rPr>
        <w:t>(Buchanan &amp; Stubblebine 2000; King 2009)</w:t>
      </w:r>
      <w:r w:rsidR="00C92094" w:rsidRPr="00E451AB">
        <w:rPr>
          <w:rFonts w:ascii="Times New Roman" w:hAnsi="Times New Roman" w:cs="Times New Roman"/>
          <w:color w:val="000000" w:themeColor="text1"/>
        </w:rPr>
        <w:t>.</w:t>
      </w:r>
      <w:r w:rsidR="009D7387" w:rsidRPr="00E451AB">
        <w:rPr>
          <w:rStyle w:val="FootnoteReference"/>
          <w:rFonts w:ascii="Times New Roman" w:hAnsi="Times New Roman" w:cs="Times New Roman"/>
          <w:color w:val="000000" w:themeColor="text1"/>
        </w:rPr>
        <w:footnoteReference w:id="1"/>
      </w:r>
      <w:r w:rsidR="00C92094" w:rsidRPr="00E451AB">
        <w:rPr>
          <w:rFonts w:ascii="Times New Roman" w:hAnsi="Times New Roman" w:cs="Times New Roman"/>
          <w:color w:val="000000" w:themeColor="text1"/>
        </w:rPr>
        <w:t xml:space="preserve"> </w:t>
      </w:r>
      <w:r w:rsidR="00A4487F" w:rsidRPr="00E451AB">
        <w:rPr>
          <w:rFonts w:ascii="Times New Roman" w:hAnsi="Times New Roman" w:cs="Times New Roman"/>
          <w:color w:val="000000" w:themeColor="text1"/>
        </w:rPr>
        <w:t>There is accordingly a sound basis for regulatory interventions to address these problems.</w:t>
      </w:r>
    </w:p>
    <w:p w14:paraId="74A58AA4" w14:textId="77777777" w:rsidR="007F2576" w:rsidRPr="00E451AB" w:rsidRDefault="007F2576" w:rsidP="00E451AB">
      <w:pPr>
        <w:spacing w:after="0"/>
        <w:jc w:val="both"/>
        <w:rPr>
          <w:rFonts w:ascii="Times New Roman" w:hAnsi="Times New Roman" w:cs="Times New Roman"/>
          <w:b/>
          <w:color w:val="000000" w:themeColor="text1"/>
        </w:rPr>
      </w:pPr>
    </w:p>
    <w:p w14:paraId="5C11ABF5" w14:textId="6C517126" w:rsidR="002551E8" w:rsidRPr="00E451AB" w:rsidRDefault="002551E8" w:rsidP="00E451AB">
      <w:pPr>
        <w:spacing w:after="0"/>
        <w:jc w:val="both"/>
        <w:rPr>
          <w:rFonts w:ascii="Times New Roman" w:hAnsi="Times New Roman" w:cs="Times New Roman"/>
          <w:b/>
          <w:color w:val="000000" w:themeColor="text1"/>
        </w:rPr>
      </w:pPr>
      <w:r w:rsidRPr="00E451AB">
        <w:rPr>
          <w:rFonts w:ascii="Times New Roman" w:hAnsi="Times New Roman" w:cs="Times New Roman"/>
          <w:b/>
          <w:color w:val="000000" w:themeColor="text1"/>
        </w:rPr>
        <w:t>What are the objectives</w:t>
      </w:r>
      <w:r w:rsidR="001A58FC" w:rsidRPr="00E451AB">
        <w:rPr>
          <w:rFonts w:ascii="Times New Roman" w:hAnsi="Times New Roman" w:cs="Times New Roman"/>
          <w:b/>
          <w:color w:val="000000" w:themeColor="text1"/>
        </w:rPr>
        <w:t xml:space="preserve"> of the code</w:t>
      </w:r>
      <w:r w:rsidR="00784E39" w:rsidRPr="00E451AB">
        <w:rPr>
          <w:rFonts w:ascii="Times New Roman" w:hAnsi="Times New Roman" w:cs="Times New Roman"/>
          <w:b/>
          <w:color w:val="000000" w:themeColor="text1"/>
        </w:rPr>
        <w:t>?</w:t>
      </w:r>
    </w:p>
    <w:p w14:paraId="2CFECFB0" w14:textId="77777777" w:rsidR="002551E8" w:rsidRPr="00E451AB" w:rsidRDefault="002551E8" w:rsidP="00E451AB">
      <w:pPr>
        <w:spacing w:after="0"/>
        <w:jc w:val="both"/>
        <w:rPr>
          <w:rFonts w:ascii="Times New Roman" w:hAnsi="Times New Roman" w:cs="Times New Roman"/>
          <w:color w:val="BFBFBF" w:themeColor="background1" w:themeShade="BF"/>
        </w:rPr>
      </w:pPr>
    </w:p>
    <w:p w14:paraId="46726C2D" w14:textId="57725CD2" w:rsidR="002551E8" w:rsidRPr="00E451AB" w:rsidRDefault="002551E8" w:rsidP="00E451AB">
      <w:pPr>
        <w:spacing w:after="0"/>
        <w:jc w:val="both"/>
        <w:rPr>
          <w:rFonts w:ascii="Times New Roman" w:hAnsi="Times New Roman" w:cs="Times New Roman"/>
        </w:rPr>
      </w:pPr>
      <w:r w:rsidRPr="00E451AB">
        <w:rPr>
          <w:rFonts w:ascii="Times New Roman" w:hAnsi="Times New Roman" w:cs="Times New Roman"/>
        </w:rPr>
        <w:t>As noted in the discussion paper the stated objectives of the code are:</w:t>
      </w:r>
    </w:p>
    <w:p w14:paraId="2EACE100" w14:textId="77777777" w:rsidR="002551E8" w:rsidRPr="00E451AB" w:rsidRDefault="002551E8" w:rsidP="00E451AB">
      <w:pPr>
        <w:spacing w:after="0"/>
        <w:jc w:val="both"/>
        <w:rPr>
          <w:rFonts w:ascii="Times New Roman" w:hAnsi="Times New Roman" w:cs="Times New Roman"/>
        </w:rPr>
      </w:pPr>
    </w:p>
    <w:p w14:paraId="394090FF" w14:textId="77777777" w:rsidR="002551E8" w:rsidRPr="00E451AB" w:rsidRDefault="002551E8" w:rsidP="00E451AB">
      <w:pPr>
        <w:pStyle w:val="ListParagraph"/>
        <w:numPr>
          <w:ilvl w:val="0"/>
          <w:numId w:val="1"/>
        </w:numPr>
        <w:spacing w:line="276" w:lineRule="auto"/>
        <w:jc w:val="both"/>
        <w:rPr>
          <w:rFonts w:ascii="Times New Roman" w:hAnsi="Times New Roman" w:cs="Times New Roman"/>
        </w:rPr>
      </w:pPr>
      <w:r w:rsidRPr="00E451AB">
        <w:rPr>
          <w:rFonts w:ascii="Times New Roman" w:hAnsi="Times New Roman" w:cs="Times New Roman"/>
        </w:rPr>
        <w:t>The improvement of environmental amenity by avoiding a proliferation of mobile towers and cables;</w:t>
      </w:r>
    </w:p>
    <w:p w14:paraId="7D0751DC" w14:textId="77777777" w:rsidR="002551E8" w:rsidRPr="00E451AB" w:rsidRDefault="002551E8" w:rsidP="00E451AB">
      <w:pPr>
        <w:pStyle w:val="ListParagraph"/>
        <w:numPr>
          <w:ilvl w:val="0"/>
          <w:numId w:val="1"/>
        </w:numPr>
        <w:spacing w:line="276" w:lineRule="auto"/>
        <w:jc w:val="both"/>
        <w:rPr>
          <w:rFonts w:ascii="Times New Roman" w:hAnsi="Times New Roman" w:cs="Times New Roman"/>
          <w:color w:val="000000" w:themeColor="text1"/>
        </w:rPr>
      </w:pPr>
      <w:r w:rsidRPr="00E451AB">
        <w:rPr>
          <w:rFonts w:ascii="Times New Roman" w:hAnsi="Times New Roman" w:cs="Times New Roman"/>
        </w:rPr>
        <w:t xml:space="preserve">The promotion of competition and efficiency in the provision of telecommunications services by facilitating the entry of mobile and fixed line telecommunication operators, who could use </w:t>
      </w:r>
      <w:r w:rsidRPr="00E451AB">
        <w:rPr>
          <w:rFonts w:ascii="Times New Roman" w:hAnsi="Times New Roman" w:cs="Times New Roman"/>
          <w:color w:val="000000" w:themeColor="text1"/>
        </w:rPr>
        <w:t xml:space="preserve">existing infrastructure without having to invest in new infrastructure. </w:t>
      </w:r>
    </w:p>
    <w:p w14:paraId="644362FE" w14:textId="05D0F127" w:rsidR="002551E8" w:rsidRPr="00E451AB" w:rsidRDefault="002551E8" w:rsidP="00E451AB">
      <w:pPr>
        <w:spacing w:after="0"/>
        <w:jc w:val="both"/>
        <w:rPr>
          <w:rFonts w:ascii="Times New Roman" w:hAnsi="Times New Roman" w:cs="Times New Roman"/>
          <w:color w:val="BFBFBF" w:themeColor="background1" w:themeShade="BF"/>
        </w:rPr>
      </w:pPr>
    </w:p>
    <w:p w14:paraId="262F22C7" w14:textId="0EF11136" w:rsidR="00085FE8" w:rsidRPr="00E451AB" w:rsidRDefault="006355C8" w:rsidP="00E451AB">
      <w:pPr>
        <w:spacing w:after="0"/>
        <w:jc w:val="both"/>
        <w:rPr>
          <w:rFonts w:ascii="Times New Roman" w:hAnsi="Times New Roman" w:cs="Times New Roman"/>
        </w:rPr>
      </w:pPr>
      <w:r w:rsidRPr="00E451AB">
        <w:rPr>
          <w:rFonts w:ascii="Times New Roman" w:hAnsi="Times New Roman" w:cs="Times New Roman"/>
        </w:rPr>
        <w:t xml:space="preserve">The code aims to </w:t>
      </w:r>
      <w:r w:rsidR="00281326" w:rsidRPr="00E451AB">
        <w:rPr>
          <w:rFonts w:ascii="Times New Roman" w:hAnsi="Times New Roman" w:cs="Times New Roman"/>
        </w:rPr>
        <w:t xml:space="preserve">promote </w:t>
      </w:r>
      <w:r w:rsidR="0013781B" w:rsidRPr="00E451AB">
        <w:rPr>
          <w:rFonts w:ascii="Times New Roman" w:hAnsi="Times New Roman" w:cs="Times New Roman"/>
        </w:rPr>
        <w:t>competition by ensuring th</w:t>
      </w:r>
      <w:r w:rsidR="00281326" w:rsidRPr="00E451AB">
        <w:rPr>
          <w:rFonts w:ascii="Times New Roman" w:hAnsi="Times New Roman" w:cs="Times New Roman"/>
        </w:rPr>
        <w:t xml:space="preserve">at service providers can access </w:t>
      </w:r>
      <w:r w:rsidR="0013781B" w:rsidRPr="00E451AB">
        <w:rPr>
          <w:rFonts w:ascii="Times New Roman" w:hAnsi="Times New Roman" w:cs="Times New Roman"/>
        </w:rPr>
        <w:t>facilities</w:t>
      </w:r>
      <w:r w:rsidR="00281326" w:rsidRPr="00E451AB">
        <w:rPr>
          <w:rFonts w:ascii="Times New Roman" w:hAnsi="Times New Roman" w:cs="Times New Roman"/>
        </w:rPr>
        <w:t xml:space="preserve"> owned by their competitors</w:t>
      </w:r>
      <w:r w:rsidR="004D24C0" w:rsidRPr="00E451AB">
        <w:rPr>
          <w:rFonts w:ascii="Times New Roman" w:hAnsi="Times New Roman" w:cs="Times New Roman"/>
        </w:rPr>
        <w:t xml:space="preserve"> (and third parties)</w:t>
      </w:r>
      <w:r w:rsidR="0013781B" w:rsidRPr="00E451AB">
        <w:rPr>
          <w:rFonts w:ascii="Times New Roman" w:hAnsi="Times New Roman" w:cs="Times New Roman"/>
        </w:rPr>
        <w:t xml:space="preserve"> and thus provide serv</w:t>
      </w:r>
      <w:r w:rsidR="00281326" w:rsidRPr="00E451AB">
        <w:rPr>
          <w:rFonts w:ascii="Times New Roman" w:hAnsi="Times New Roman" w:cs="Times New Roman"/>
        </w:rPr>
        <w:t xml:space="preserve">ices at lower cost to consumers, </w:t>
      </w:r>
      <w:r w:rsidRPr="00E451AB">
        <w:rPr>
          <w:rFonts w:ascii="Times New Roman" w:hAnsi="Times New Roman" w:cs="Times New Roman"/>
        </w:rPr>
        <w:t xml:space="preserve">and to ameliorate the negative effects on amenity as a result of duplicative infrastructure construction. </w:t>
      </w:r>
      <w:r w:rsidR="00832041" w:rsidRPr="00E451AB">
        <w:rPr>
          <w:rFonts w:ascii="Times New Roman" w:hAnsi="Times New Roman" w:cs="Times New Roman"/>
        </w:rPr>
        <w:t xml:space="preserve">In addition to these objectives, the code has a broader objective of promoting efficient investment in telecommunications infrastructure through greater co-location and co-building of facilities. </w:t>
      </w:r>
    </w:p>
    <w:p w14:paraId="70C95F77" w14:textId="77777777" w:rsidR="00085FE8" w:rsidRPr="00E451AB" w:rsidRDefault="00085FE8" w:rsidP="00E451AB">
      <w:pPr>
        <w:spacing w:after="0"/>
        <w:jc w:val="both"/>
        <w:rPr>
          <w:rFonts w:ascii="Times New Roman" w:hAnsi="Times New Roman" w:cs="Times New Roman"/>
        </w:rPr>
      </w:pPr>
    </w:p>
    <w:p w14:paraId="0EADEA55" w14:textId="7E098B2C" w:rsidR="00473A12" w:rsidRPr="00E451AB" w:rsidRDefault="00832041" w:rsidP="00E451AB">
      <w:pPr>
        <w:spacing w:after="0"/>
        <w:jc w:val="both"/>
        <w:rPr>
          <w:rFonts w:ascii="Times New Roman" w:hAnsi="Times New Roman" w:cs="Times New Roman"/>
          <w:color w:val="FF0000"/>
        </w:rPr>
      </w:pPr>
      <w:r w:rsidRPr="00E451AB">
        <w:rPr>
          <w:rFonts w:ascii="Times New Roman" w:hAnsi="Times New Roman" w:cs="Times New Roman"/>
        </w:rPr>
        <w:t>For consumers</w:t>
      </w:r>
      <w:r w:rsidR="007F2576" w:rsidRPr="00E451AB">
        <w:rPr>
          <w:rFonts w:ascii="Times New Roman" w:hAnsi="Times New Roman" w:cs="Times New Roman"/>
        </w:rPr>
        <w:t>,</w:t>
      </w:r>
      <w:r w:rsidRPr="00E451AB">
        <w:rPr>
          <w:rFonts w:ascii="Times New Roman" w:hAnsi="Times New Roman" w:cs="Times New Roman"/>
        </w:rPr>
        <w:t xml:space="preserve"> increased co-operation in the construction of infrastructure has the potential to reduce the costs of building facilities and therefore reduce the cost of services. </w:t>
      </w:r>
      <w:r w:rsidR="00473A12" w:rsidRPr="00E451AB">
        <w:rPr>
          <w:rFonts w:ascii="Times New Roman" w:hAnsi="Times New Roman" w:cs="Times New Roman"/>
          <w:color w:val="000000" w:themeColor="text1"/>
        </w:rPr>
        <w:t xml:space="preserve">This is particularly important </w:t>
      </w:r>
      <w:r w:rsidR="006843A0" w:rsidRPr="00E451AB">
        <w:rPr>
          <w:rFonts w:ascii="Times New Roman" w:hAnsi="Times New Roman" w:cs="Times New Roman"/>
          <w:color w:val="000000" w:themeColor="text1"/>
        </w:rPr>
        <w:t xml:space="preserve">in extending </w:t>
      </w:r>
      <w:r w:rsidR="00F91FDF" w:rsidRPr="00E451AB">
        <w:rPr>
          <w:rFonts w:ascii="Times New Roman" w:hAnsi="Times New Roman" w:cs="Times New Roman"/>
          <w:color w:val="000000" w:themeColor="text1"/>
        </w:rPr>
        <w:t xml:space="preserve">or improving </w:t>
      </w:r>
      <w:r w:rsidR="006843A0" w:rsidRPr="00E451AB">
        <w:rPr>
          <w:rFonts w:ascii="Times New Roman" w:hAnsi="Times New Roman" w:cs="Times New Roman"/>
          <w:color w:val="000000" w:themeColor="text1"/>
        </w:rPr>
        <w:t>coverage in those areas where the construction of facilities may not be financially viable where funded by one service provider, particularly in regional and remote Australia.</w:t>
      </w:r>
    </w:p>
    <w:p w14:paraId="0E696558" w14:textId="77777777" w:rsidR="0013781B" w:rsidRPr="00E451AB" w:rsidRDefault="0013781B" w:rsidP="00E451AB">
      <w:pPr>
        <w:spacing w:after="0"/>
        <w:jc w:val="both"/>
        <w:rPr>
          <w:rFonts w:ascii="Times New Roman" w:hAnsi="Times New Roman" w:cs="Times New Roman"/>
        </w:rPr>
      </w:pPr>
    </w:p>
    <w:p w14:paraId="05BBA116" w14:textId="311B6F73" w:rsidR="001A58FC" w:rsidRPr="00E451AB" w:rsidRDefault="001A58FC" w:rsidP="00E451AB">
      <w:pPr>
        <w:spacing w:after="0"/>
        <w:jc w:val="both"/>
        <w:rPr>
          <w:rFonts w:ascii="Times New Roman" w:hAnsi="Times New Roman" w:cs="Times New Roman"/>
          <w:b/>
        </w:rPr>
      </w:pPr>
      <w:r w:rsidRPr="00E451AB">
        <w:rPr>
          <w:rFonts w:ascii="Times New Roman" w:hAnsi="Times New Roman" w:cs="Times New Roman"/>
          <w:b/>
        </w:rPr>
        <w:t>Has the code achieved its objectives?</w:t>
      </w:r>
    </w:p>
    <w:p w14:paraId="04E36B03" w14:textId="048F658C" w:rsidR="00784E39" w:rsidRPr="00E451AB" w:rsidRDefault="00784E39" w:rsidP="00E451AB">
      <w:pPr>
        <w:spacing w:after="0"/>
        <w:jc w:val="both"/>
        <w:rPr>
          <w:rFonts w:ascii="Times New Roman" w:hAnsi="Times New Roman" w:cs="Times New Roman"/>
          <w:color w:val="BFBFBF" w:themeColor="background1" w:themeShade="BF"/>
        </w:rPr>
      </w:pPr>
    </w:p>
    <w:p w14:paraId="52F3165B" w14:textId="5E81DD62" w:rsidR="000D164A" w:rsidRPr="00E451AB" w:rsidRDefault="000D164A" w:rsidP="00E451AB">
      <w:pPr>
        <w:spacing w:after="0"/>
        <w:jc w:val="both"/>
        <w:rPr>
          <w:rFonts w:ascii="Times New Roman" w:hAnsi="Times New Roman" w:cs="Times New Roman"/>
        </w:rPr>
      </w:pPr>
      <w:r w:rsidRPr="00E451AB">
        <w:rPr>
          <w:rFonts w:ascii="Times New Roman" w:hAnsi="Times New Roman" w:cs="Times New Roman"/>
        </w:rPr>
        <w:t xml:space="preserve">The code has promoted beneficial outcomes for consumers by reducing the loss of amenity from unnecessary duplication of infrastructure, as well as reduced service costs as a result of co-investment. Although these benefits appear to have been material, in the absence of clear evidence to demonstrate this, we cannot conclude that the code has been </w:t>
      </w:r>
      <w:r w:rsidR="009D5810" w:rsidRPr="00E451AB">
        <w:rPr>
          <w:rFonts w:ascii="Times New Roman" w:hAnsi="Times New Roman" w:cs="Times New Roman"/>
        </w:rPr>
        <w:t xml:space="preserve">fully </w:t>
      </w:r>
      <w:r w:rsidRPr="00E451AB">
        <w:rPr>
          <w:rFonts w:ascii="Times New Roman" w:hAnsi="Times New Roman" w:cs="Times New Roman"/>
        </w:rPr>
        <w:t>effective in achieving its stated objectives.</w:t>
      </w:r>
      <w:r w:rsidR="00C4270C" w:rsidRPr="00E451AB">
        <w:rPr>
          <w:rStyle w:val="FootnoteReference"/>
          <w:rFonts w:ascii="Times New Roman" w:hAnsi="Times New Roman" w:cs="Times New Roman"/>
        </w:rPr>
        <w:footnoteReference w:id="2"/>
      </w:r>
    </w:p>
    <w:p w14:paraId="52AD8384" w14:textId="77777777" w:rsidR="000D164A" w:rsidRPr="00E451AB" w:rsidRDefault="000D164A" w:rsidP="00E451AB">
      <w:pPr>
        <w:spacing w:after="0"/>
        <w:jc w:val="both"/>
        <w:rPr>
          <w:rFonts w:ascii="Times New Roman" w:hAnsi="Times New Roman" w:cs="Times New Roman"/>
        </w:rPr>
      </w:pPr>
    </w:p>
    <w:p w14:paraId="659B435B" w14:textId="77342DC5" w:rsidR="000D164A" w:rsidRPr="00E451AB" w:rsidRDefault="000D164A" w:rsidP="00E451AB">
      <w:pPr>
        <w:spacing w:after="0"/>
        <w:jc w:val="both"/>
        <w:rPr>
          <w:rFonts w:ascii="Times New Roman" w:hAnsi="Times New Roman" w:cs="Times New Roman"/>
        </w:rPr>
      </w:pPr>
      <w:r w:rsidRPr="00E451AB">
        <w:rPr>
          <w:rFonts w:ascii="Times New Roman" w:hAnsi="Times New Roman" w:cs="Times New Roman"/>
        </w:rPr>
        <w:t>The code appears to have promoted greater investment in telecommunications service infrastructure, with the private sector investing $5951.5 million in 2016-17 (BITRE 2017, p.259). This represents a record level of investment by the private sector (over $1 billion higher than the preceding year), which follows over a decade of exceptionally strong private investment in telecommunications infrastructure.</w:t>
      </w:r>
    </w:p>
    <w:p w14:paraId="1073E330" w14:textId="77777777" w:rsidR="000D164A" w:rsidRDefault="000D164A" w:rsidP="00E451AB">
      <w:pPr>
        <w:spacing w:after="0"/>
        <w:jc w:val="both"/>
        <w:rPr>
          <w:rFonts w:ascii="Times New Roman" w:hAnsi="Times New Roman" w:cs="Times New Roman"/>
          <w:color w:val="A6A6A6" w:themeColor="background1" w:themeShade="A6"/>
        </w:rPr>
      </w:pPr>
    </w:p>
    <w:p w14:paraId="6AA07A94" w14:textId="77777777" w:rsidR="00E451AB" w:rsidRDefault="00E451AB" w:rsidP="00E451AB">
      <w:pPr>
        <w:spacing w:after="0"/>
        <w:jc w:val="both"/>
        <w:rPr>
          <w:rFonts w:ascii="Times New Roman" w:hAnsi="Times New Roman" w:cs="Times New Roman"/>
          <w:color w:val="A6A6A6" w:themeColor="background1" w:themeShade="A6"/>
        </w:rPr>
      </w:pPr>
    </w:p>
    <w:p w14:paraId="298B73C2" w14:textId="77777777" w:rsidR="00E451AB" w:rsidRDefault="00E451AB" w:rsidP="00E451AB">
      <w:pPr>
        <w:spacing w:after="0"/>
        <w:jc w:val="both"/>
        <w:rPr>
          <w:rFonts w:ascii="Times New Roman" w:hAnsi="Times New Roman" w:cs="Times New Roman"/>
          <w:color w:val="A6A6A6" w:themeColor="background1" w:themeShade="A6"/>
        </w:rPr>
      </w:pPr>
    </w:p>
    <w:p w14:paraId="65E493D8" w14:textId="77777777" w:rsidR="00E451AB" w:rsidRDefault="00E451AB" w:rsidP="00E451AB">
      <w:pPr>
        <w:spacing w:after="0"/>
        <w:jc w:val="both"/>
        <w:rPr>
          <w:rFonts w:ascii="Times New Roman" w:hAnsi="Times New Roman" w:cs="Times New Roman"/>
          <w:color w:val="A6A6A6" w:themeColor="background1" w:themeShade="A6"/>
        </w:rPr>
      </w:pPr>
    </w:p>
    <w:p w14:paraId="0D08B26B" w14:textId="77777777" w:rsidR="00E451AB" w:rsidRDefault="00E451AB" w:rsidP="00E451AB">
      <w:pPr>
        <w:spacing w:after="0"/>
        <w:jc w:val="both"/>
        <w:rPr>
          <w:rFonts w:ascii="Times New Roman" w:hAnsi="Times New Roman" w:cs="Times New Roman"/>
          <w:color w:val="A6A6A6" w:themeColor="background1" w:themeShade="A6"/>
        </w:rPr>
      </w:pPr>
    </w:p>
    <w:p w14:paraId="2E4B6F06" w14:textId="77777777" w:rsidR="00E451AB" w:rsidRPr="00E451AB" w:rsidRDefault="00E451AB" w:rsidP="00E451AB">
      <w:pPr>
        <w:spacing w:after="0"/>
        <w:jc w:val="both"/>
        <w:rPr>
          <w:rFonts w:ascii="Times New Roman" w:hAnsi="Times New Roman" w:cs="Times New Roman"/>
          <w:color w:val="A6A6A6" w:themeColor="background1" w:themeShade="A6"/>
        </w:rPr>
      </w:pPr>
    </w:p>
    <w:p w14:paraId="220402D2" w14:textId="28AADDF1" w:rsidR="009D5810" w:rsidRPr="00E451AB" w:rsidRDefault="000D164A" w:rsidP="00E451AB">
      <w:pPr>
        <w:spacing w:after="0"/>
        <w:jc w:val="both"/>
        <w:rPr>
          <w:rFonts w:ascii="Times New Roman" w:hAnsi="Times New Roman" w:cs="Times New Roman"/>
        </w:rPr>
      </w:pPr>
      <w:r w:rsidRPr="00E451AB">
        <w:rPr>
          <w:rFonts w:ascii="Times New Roman" w:hAnsi="Times New Roman" w:cs="Times New Roman"/>
        </w:rPr>
        <w:lastRenderedPageBreak/>
        <w:t>However, the benefits of greater investment</w:t>
      </w:r>
      <w:r w:rsidR="008F115C" w:rsidRPr="00E451AB">
        <w:rPr>
          <w:rFonts w:ascii="Times New Roman" w:hAnsi="Times New Roman" w:cs="Times New Roman"/>
        </w:rPr>
        <w:t xml:space="preserve"> and lower infrastructure costs</w:t>
      </w:r>
      <w:r w:rsidRPr="00E451AB">
        <w:rPr>
          <w:rFonts w:ascii="Times New Roman" w:hAnsi="Times New Roman" w:cs="Times New Roman"/>
        </w:rPr>
        <w:t xml:space="preserve"> have not been evenly spread, and for consumers in regional and remote areas</w:t>
      </w:r>
      <w:r w:rsidR="008F115C" w:rsidRPr="00E451AB">
        <w:rPr>
          <w:rFonts w:ascii="Times New Roman" w:hAnsi="Times New Roman" w:cs="Times New Roman"/>
        </w:rPr>
        <w:t>,</w:t>
      </w:r>
      <w:r w:rsidRPr="00E451AB">
        <w:rPr>
          <w:rFonts w:ascii="Times New Roman" w:hAnsi="Times New Roman" w:cs="Times New Roman"/>
        </w:rPr>
        <w:t xml:space="preserve"> the </w:t>
      </w:r>
      <w:r w:rsidR="008F115C" w:rsidRPr="00E451AB">
        <w:rPr>
          <w:rFonts w:ascii="Times New Roman" w:hAnsi="Times New Roman" w:cs="Times New Roman"/>
        </w:rPr>
        <w:t xml:space="preserve">code </w:t>
      </w:r>
      <w:r w:rsidRPr="00E451AB">
        <w:rPr>
          <w:rFonts w:ascii="Times New Roman" w:hAnsi="Times New Roman" w:cs="Times New Roman"/>
        </w:rPr>
        <w:t>does not appear to have facilitated investment or competition</w:t>
      </w:r>
      <w:r w:rsidR="00DF4315" w:rsidRPr="00E451AB">
        <w:rPr>
          <w:rFonts w:ascii="Times New Roman" w:hAnsi="Times New Roman" w:cs="Times New Roman"/>
        </w:rPr>
        <w:t>, with Telstra maintaining its regional dominance (ACCC 2018, p. 5</w:t>
      </w:r>
      <w:r w:rsidR="00FD15F3" w:rsidRPr="00E451AB">
        <w:rPr>
          <w:rFonts w:ascii="Times New Roman" w:hAnsi="Times New Roman" w:cs="Times New Roman"/>
        </w:rPr>
        <w:t>, p. 133</w:t>
      </w:r>
      <w:r w:rsidR="00DF4315" w:rsidRPr="00E451AB">
        <w:rPr>
          <w:rFonts w:ascii="Times New Roman" w:hAnsi="Times New Roman" w:cs="Times New Roman"/>
        </w:rPr>
        <w:t>)</w:t>
      </w:r>
      <w:r w:rsidRPr="00E451AB">
        <w:rPr>
          <w:rFonts w:ascii="Times New Roman" w:hAnsi="Times New Roman" w:cs="Times New Roman"/>
        </w:rPr>
        <w:t xml:space="preserve">. </w:t>
      </w:r>
      <w:r w:rsidR="00FD15F3" w:rsidRPr="00E451AB">
        <w:rPr>
          <w:rFonts w:ascii="Times New Roman" w:hAnsi="Times New Roman" w:cs="Times New Roman"/>
        </w:rPr>
        <w:t>However, as noted by the ACCC (2018, p. 162) regional consumers are likely to benefit through greater co-location and co-building, and t</w:t>
      </w:r>
      <w:r w:rsidR="00301182" w:rsidRPr="00E451AB">
        <w:rPr>
          <w:rFonts w:ascii="Times New Roman" w:hAnsi="Times New Roman" w:cs="Times New Roman"/>
        </w:rPr>
        <w:t xml:space="preserve">here is accordingly scope for further reform to ensure that the code is effective in achieving </w:t>
      </w:r>
      <w:r w:rsidR="008F3BC0" w:rsidRPr="00E451AB">
        <w:rPr>
          <w:rFonts w:ascii="Times New Roman" w:hAnsi="Times New Roman" w:cs="Times New Roman"/>
        </w:rPr>
        <w:t xml:space="preserve">better outcomes for all consumers, not just those residing in metropolitan areas. </w:t>
      </w:r>
    </w:p>
    <w:p w14:paraId="3C5E1600" w14:textId="28BF3863" w:rsidR="0073069C" w:rsidRPr="00E451AB" w:rsidRDefault="0073069C" w:rsidP="00E451AB">
      <w:pPr>
        <w:spacing w:after="0"/>
        <w:jc w:val="both"/>
        <w:rPr>
          <w:rFonts w:ascii="Times New Roman" w:hAnsi="Times New Roman" w:cs="Times New Roman"/>
          <w:color w:val="BFBFBF" w:themeColor="background1" w:themeShade="BF"/>
        </w:rPr>
      </w:pPr>
    </w:p>
    <w:p w14:paraId="2014FF17" w14:textId="09F2C666" w:rsidR="0073069C" w:rsidRDefault="0073069C"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 xml:space="preserve">For consumers in regional and remote areas, greater investment in infrastructure to provide the essential services that they rely upon is crucial. </w:t>
      </w:r>
      <w:r w:rsidR="003A2475" w:rsidRPr="00E451AB">
        <w:rPr>
          <w:rFonts w:ascii="Times New Roman" w:hAnsi="Times New Roman" w:cs="Times New Roman"/>
          <w:color w:val="000000" w:themeColor="text1"/>
        </w:rPr>
        <w:t>In particular ACCAN believes that there is a compelling case for reforms to ensure greater consultation, co-location and co-building of infrastructure</w:t>
      </w:r>
      <w:r w:rsidR="008C1F6B" w:rsidRPr="00E451AB">
        <w:rPr>
          <w:rFonts w:ascii="Times New Roman" w:hAnsi="Times New Roman" w:cs="Times New Roman"/>
          <w:color w:val="000000" w:themeColor="text1"/>
        </w:rPr>
        <w:t xml:space="preserve"> not merely on economic grounds, but also to promote better public safety outcomes</w:t>
      </w:r>
      <w:r w:rsidR="00110D0C" w:rsidRPr="00E451AB">
        <w:rPr>
          <w:rFonts w:ascii="Times New Roman" w:hAnsi="Times New Roman" w:cs="Times New Roman"/>
          <w:color w:val="000000" w:themeColor="text1"/>
        </w:rPr>
        <w:t xml:space="preserve"> which are too often undervalued</w:t>
      </w:r>
      <w:r w:rsidR="008C1F6B" w:rsidRPr="00E451AB">
        <w:rPr>
          <w:rFonts w:ascii="Times New Roman" w:hAnsi="Times New Roman" w:cs="Times New Roman"/>
          <w:color w:val="000000" w:themeColor="text1"/>
        </w:rPr>
        <w:t xml:space="preserve"> </w:t>
      </w:r>
      <w:r w:rsidR="00110D0C" w:rsidRPr="00E451AB">
        <w:rPr>
          <w:rFonts w:ascii="Times New Roman" w:hAnsi="Times New Roman" w:cs="Times New Roman"/>
          <w:noProof/>
          <w:color w:val="000000" w:themeColor="text1"/>
        </w:rPr>
        <w:t>(Viscusi &amp; Masterman 2017)</w:t>
      </w:r>
      <w:r w:rsidR="00110D0C" w:rsidRPr="00E451AB">
        <w:rPr>
          <w:rFonts w:ascii="Times New Roman" w:hAnsi="Times New Roman" w:cs="Times New Roman"/>
          <w:color w:val="000000" w:themeColor="text1"/>
        </w:rPr>
        <w:t>.</w:t>
      </w:r>
    </w:p>
    <w:p w14:paraId="41B1FD30" w14:textId="77777777" w:rsidR="00C46625" w:rsidRPr="00E451AB" w:rsidRDefault="00C46625" w:rsidP="00E451AB">
      <w:pPr>
        <w:spacing w:after="0"/>
        <w:jc w:val="both"/>
        <w:rPr>
          <w:rFonts w:ascii="Times New Roman" w:hAnsi="Times New Roman" w:cs="Times New Roman"/>
          <w:color w:val="BFBFBF" w:themeColor="background1" w:themeShade="BF"/>
        </w:rPr>
      </w:pPr>
    </w:p>
    <w:p w14:paraId="68380872" w14:textId="77777777" w:rsidR="00020F9F" w:rsidRPr="00E451AB" w:rsidRDefault="00020F9F" w:rsidP="00E451AB">
      <w:pPr>
        <w:spacing w:after="0"/>
        <w:jc w:val="both"/>
        <w:rPr>
          <w:rFonts w:ascii="Times New Roman" w:hAnsi="Times New Roman" w:cs="Times New Roman"/>
          <w:i/>
        </w:rPr>
      </w:pPr>
      <w:r w:rsidRPr="00E451AB">
        <w:rPr>
          <w:rFonts w:ascii="Times New Roman" w:hAnsi="Times New Roman" w:cs="Times New Roman"/>
          <w:i/>
        </w:rPr>
        <w:t xml:space="preserve">Environmental amenity </w:t>
      </w:r>
    </w:p>
    <w:p w14:paraId="48A8E5F0" w14:textId="77777777" w:rsidR="00020F9F" w:rsidRPr="00E451AB" w:rsidRDefault="00020F9F" w:rsidP="00E451AB">
      <w:pPr>
        <w:spacing w:after="0"/>
        <w:jc w:val="both"/>
        <w:rPr>
          <w:rFonts w:ascii="Times New Roman" w:hAnsi="Times New Roman" w:cs="Times New Roman"/>
          <w:color w:val="000000" w:themeColor="text1"/>
        </w:rPr>
      </w:pPr>
    </w:p>
    <w:p w14:paraId="55B89E7A" w14:textId="02053235" w:rsidR="00020F9F" w:rsidRPr="00E451AB" w:rsidRDefault="00020F9F"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 xml:space="preserve">ACCAN supports efforts to constrain the negative effects on amenity that arise as a result of the </w:t>
      </w:r>
      <w:r w:rsidRPr="00E451AB">
        <w:rPr>
          <w:rFonts w:ascii="Times New Roman" w:hAnsi="Times New Roman" w:cs="Times New Roman"/>
          <w:i/>
          <w:color w:val="000000" w:themeColor="text1"/>
        </w:rPr>
        <w:t>unnecessary</w:t>
      </w:r>
      <w:r w:rsidRPr="00E451AB">
        <w:rPr>
          <w:rFonts w:ascii="Times New Roman" w:hAnsi="Times New Roman" w:cs="Times New Roman"/>
          <w:color w:val="000000" w:themeColor="text1"/>
        </w:rPr>
        <w:t xml:space="preserve"> proliferation of mobile towers or cables. Although encouraging the rollout of infrastructure to provide consumers access to telecommunications, there is a need to manage this process to maximise the benefits of additional coverage while minimising the loss of amenity for communities as a result of the duplication of infrastructure. </w:t>
      </w:r>
    </w:p>
    <w:p w14:paraId="1C63C657" w14:textId="7275525B" w:rsidR="00A75733" w:rsidRPr="00E451AB" w:rsidRDefault="00A75733" w:rsidP="00E451AB">
      <w:pPr>
        <w:spacing w:after="0"/>
        <w:jc w:val="both"/>
        <w:rPr>
          <w:rFonts w:ascii="Times New Roman" w:hAnsi="Times New Roman" w:cs="Times New Roman"/>
          <w:color w:val="000000" w:themeColor="text1"/>
        </w:rPr>
      </w:pPr>
    </w:p>
    <w:p w14:paraId="1A870E05" w14:textId="5833455A" w:rsidR="00D325AA" w:rsidRPr="00E451AB" w:rsidRDefault="00A75733"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Losses to environmental amenity, including visual amenity continue to be expressed by communities, and although the code appears to have been partially successful in arresting the unnecessary construction of duplicate facilities, it is clear that in some instances duplication is still occurring. T</w:t>
      </w:r>
      <w:r w:rsidR="00B52680" w:rsidRPr="00E451AB">
        <w:rPr>
          <w:rFonts w:ascii="Times New Roman" w:hAnsi="Times New Roman" w:cs="Times New Roman"/>
          <w:color w:val="000000" w:themeColor="text1"/>
        </w:rPr>
        <w:t xml:space="preserve">here is accordingly scope for further reforms to enhance the </w:t>
      </w:r>
      <w:r w:rsidR="003516B4" w:rsidRPr="00E451AB">
        <w:rPr>
          <w:rFonts w:ascii="Times New Roman" w:hAnsi="Times New Roman" w:cs="Times New Roman"/>
          <w:color w:val="000000" w:themeColor="text1"/>
        </w:rPr>
        <w:t>code and</w:t>
      </w:r>
      <w:r w:rsidR="00B52680" w:rsidRPr="00E451AB">
        <w:rPr>
          <w:rFonts w:ascii="Times New Roman" w:hAnsi="Times New Roman" w:cs="Times New Roman"/>
          <w:color w:val="000000" w:themeColor="text1"/>
        </w:rPr>
        <w:t xml:space="preserve"> promote bett</w:t>
      </w:r>
      <w:r w:rsidR="001A41EF" w:rsidRPr="00E451AB">
        <w:rPr>
          <w:rFonts w:ascii="Times New Roman" w:hAnsi="Times New Roman" w:cs="Times New Roman"/>
          <w:color w:val="000000" w:themeColor="text1"/>
        </w:rPr>
        <w:t>er consumer outcomes.</w:t>
      </w:r>
    </w:p>
    <w:p w14:paraId="3501350F" w14:textId="79B05108" w:rsidR="000D164A" w:rsidRPr="00E451AB" w:rsidRDefault="000D164A" w:rsidP="00E451AB">
      <w:pPr>
        <w:spacing w:after="0"/>
        <w:jc w:val="both"/>
        <w:rPr>
          <w:rFonts w:ascii="Times New Roman" w:hAnsi="Times New Roman" w:cs="Times New Roman"/>
        </w:rPr>
      </w:pPr>
    </w:p>
    <w:p w14:paraId="5D3831D7" w14:textId="57F58CB9" w:rsidR="00020F9F" w:rsidRPr="00E451AB" w:rsidRDefault="00020F9F" w:rsidP="00E451AB">
      <w:pPr>
        <w:spacing w:after="0"/>
        <w:jc w:val="both"/>
        <w:rPr>
          <w:rFonts w:ascii="Times New Roman" w:hAnsi="Times New Roman" w:cs="Times New Roman"/>
          <w:i/>
        </w:rPr>
      </w:pPr>
      <w:r w:rsidRPr="00E451AB">
        <w:rPr>
          <w:rFonts w:ascii="Times New Roman" w:hAnsi="Times New Roman" w:cs="Times New Roman"/>
          <w:i/>
        </w:rPr>
        <w:t xml:space="preserve">Access and competition </w:t>
      </w:r>
    </w:p>
    <w:p w14:paraId="02247F76" w14:textId="77777777" w:rsidR="00AE4022" w:rsidRPr="00E451AB" w:rsidRDefault="00AE4022" w:rsidP="00E451AB">
      <w:pPr>
        <w:spacing w:after="0"/>
        <w:jc w:val="both"/>
        <w:rPr>
          <w:rFonts w:ascii="Times New Roman" w:hAnsi="Times New Roman" w:cs="Times New Roman"/>
          <w:i/>
        </w:rPr>
      </w:pPr>
    </w:p>
    <w:p w14:paraId="7191ECAD" w14:textId="644AF4E0" w:rsidR="00020F9F" w:rsidRPr="00E451AB" w:rsidRDefault="00020F9F" w:rsidP="00E451AB">
      <w:pPr>
        <w:spacing w:after="0"/>
        <w:jc w:val="both"/>
        <w:rPr>
          <w:rFonts w:ascii="Times New Roman" w:hAnsi="Times New Roman" w:cs="Times New Roman"/>
        </w:rPr>
      </w:pPr>
      <w:r w:rsidRPr="00E451AB">
        <w:rPr>
          <w:rFonts w:ascii="Times New Roman" w:hAnsi="Times New Roman" w:cs="Times New Roman"/>
        </w:rPr>
        <w:t xml:space="preserve">The code appears to have been effective in promoting greater access to infrastructure within metropolitan areas, where the economic benefits of co-sharing and co-location (in terms of reduced infrastructure costs) appear to outweigh the strategic or competitive benefits that flow from a refusal to grant access (e.g. an incremental increase in market share).  </w:t>
      </w:r>
      <w:r w:rsidR="004A4A18" w:rsidRPr="00E451AB">
        <w:rPr>
          <w:rFonts w:ascii="Times New Roman" w:hAnsi="Times New Roman" w:cs="Times New Roman"/>
        </w:rPr>
        <w:t>This is to say the additional benefit to a service provider of engaging in strategic behaviour to exclude a competitor from accessing facilities is likely to be lower than the additional cost (in terms of investment and operation) of individually providing infrastructure.</w:t>
      </w:r>
    </w:p>
    <w:p w14:paraId="7B8A565A" w14:textId="77777777" w:rsidR="00D325AA" w:rsidRPr="00E451AB" w:rsidRDefault="00D325AA" w:rsidP="00E451AB">
      <w:pPr>
        <w:spacing w:after="0"/>
        <w:jc w:val="both"/>
        <w:rPr>
          <w:rFonts w:ascii="Times New Roman" w:hAnsi="Times New Roman" w:cs="Times New Roman"/>
        </w:rPr>
      </w:pPr>
    </w:p>
    <w:p w14:paraId="529760AF" w14:textId="43807485" w:rsidR="00E11DFD" w:rsidRPr="00E451AB" w:rsidRDefault="00020F9F" w:rsidP="00E451AB">
      <w:pPr>
        <w:spacing w:after="0"/>
        <w:jc w:val="both"/>
        <w:rPr>
          <w:rFonts w:ascii="Times New Roman" w:hAnsi="Times New Roman" w:cs="Times New Roman"/>
        </w:rPr>
      </w:pPr>
      <w:r w:rsidRPr="00E451AB">
        <w:rPr>
          <w:rFonts w:ascii="Times New Roman" w:hAnsi="Times New Roman" w:cs="Times New Roman"/>
        </w:rPr>
        <w:t>In metropolitan areas, although coverage is an important factor for consumers when selecting their service provider, efforts by one carrier to exclude another from an individual tower are unlikely to be sufficient to encourage consumers to switch to them</w:t>
      </w:r>
      <w:r w:rsidR="004C0689" w:rsidRPr="00E451AB">
        <w:rPr>
          <w:rFonts w:ascii="Times New Roman" w:hAnsi="Times New Roman" w:cs="Times New Roman"/>
        </w:rPr>
        <w:t>, except where the coverage of the alternative network is exceptionally poor</w:t>
      </w:r>
      <w:r w:rsidRPr="00E451AB">
        <w:rPr>
          <w:rFonts w:ascii="Times New Roman" w:hAnsi="Times New Roman" w:cs="Times New Roman"/>
        </w:rPr>
        <w:t>.</w:t>
      </w:r>
      <w:r w:rsidRPr="00E451AB">
        <w:rPr>
          <w:rStyle w:val="FootnoteReference"/>
          <w:rFonts w:ascii="Times New Roman" w:hAnsi="Times New Roman" w:cs="Times New Roman"/>
        </w:rPr>
        <w:footnoteReference w:id="3"/>
      </w:r>
    </w:p>
    <w:p w14:paraId="37214CA6" w14:textId="77777777" w:rsidR="00020F9F" w:rsidRDefault="00020F9F" w:rsidP="00E451AB">
      <w:pPr>
        <w:spacing w:after="0"/>
        <w:jc w:val="both"/>
        <w:rPr>
          <w:rFonts w:ascii="Times New Roman" w:hAnsi="Times New Roman" w:cs="Times New Roman"/>
          <w:color w:val="808080" w:themeColor="background1" w:themeShade="80"/>
        </w:rPr>
      </w:pPr>
    </w:p>
    <w:p w14:paraId="1EEEF3DA" w14:textId="77777777" w:rsidR="00E451AB" w:rsidRPr="00E451AB" w:rsidRDefault="00E451AB" w:rsidP="00E451AB">
      <w:pPr>
        <w:spacing w:after="0"/>
        <w:jc w:val="both"/>
        <w:rPr>
          <w:rFonts w:ascii="Times New Roman" w:hAnsi="Times New Roman" w:cs="Times New Roman"/>
          <w:color w:val="808080" w:themeColor="background1" w:themeShade="80"/>
        </w:rPr>
      </w:pPr>
    </w:p>
    <w:p w14:paraId="13863EB2" w14:textId="2D2DA758" w:rsidR="00020F9F" w:rsidRPr="00E451AB" w:rsidRDefault="00020F9F"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lastRenderedPageBreak/>
        <w:t xml:space="preserve">The competitive dynamics in place in metropolitan and regional telecommunications markets are </w:t>
      </w:r>
      <w:r w:rsidR="00774768" w:rsidRPr="00E451AB">
        <w:rPr>
          <w:rFonts w:ascii="Times New Roman" w:hAnsi="Times New Roman" w:cs="Times New Roman"/>
          <w:color w:val="000000" w:themeColor="text1"/>
        </w:rPr>
        <w:t xml:space="preserve">however </w:t>
      </w:r>
      <w:r w:rsidRPr="00E451AB">
        <w:rPr>
          <w:rFonts w:ascii="Times New Roman" w:hAnsi="Times New Roman" w:cs="Times New Roman"/>
          <w:color w:val="000000" w:themeColor="text1"/>
        </w:rPr>
        <w:t>radically different, and as a consequence the financial implications of co-investment and co-operation vary. Within metropolitan markets the individual market share of service providers is lower, and as a consequence refusal to co-investment or provide access is</w:t>
      </w:r>
      <w:r w:rsidR="005358D6" w:rsidRPr="00E451AB">
        <w:rPr>
          <w:rFonts w:ascii="Times New Roman" w:hAnsi="Times New Roman" w:cs="Times New Roman"/>
          <w:color w:val="000000" w:themeColor="text1"/>
        </w:rPr>
        <w:t xml:space="preserve"> unlikely to benefit facilities owners insofar that it reinforces a competitive advantage based on coverage.</w:t>
      </w:r>
      <w:r w:rsidRPr="00E451AB">
        <w:rPr>
          <w:rFonts w:ascii="Times New Roman" w:hAnsi="Times New Roman" w:cs="Times New Roman"/>
          <w:color w:val="000000" w:themeColor="text1"/>
        </w:rPr>
        <w:t xml:space="preserve"> </w:t>
      </w:r>
      <w:r w:rsidR="005358D6" w:rsidRPr="00E451AB">
        <w:rPr>
          <w:rFonts w:ascii="Times New Roman" w:hAnsi="Times New Roman" w:cs="Times New Roman"/>
          <w:color w:val="000000" w:themeColor="text1"/>
        </w:rPr>
        <w:t xml:space="preserve">In comparison the exceptionally high levels of concentration in regional and remote </w:t>
      </w:r>
      <w:r w:rsidR="00AA0E19" w:rsidRPr="00E451AB">
        <w:rPr>
          <w:rFonts w:ascii="Times New Roman" w:hAnsi="Times New Roman" w:cs="Times New Roman"/>
          <w:color w:val="000000" w:themeColor="text1"/>
        </w:rPr>
        <w:t>areas are such that provision of access has the potential to erode the market position of the incumbent service provider. Accordingly, any incentives to provide access to infrastructure or co-invest in infrastructure are muted by the potential losses to market share which are likely to outweigh any cost savings on infrastructure.</w:t>
      </w:r>
      <w:r w:rsidR="00AA0E19" w:rsidRPr="00E451AB">
        <w:rPr>
          <w:rStyle w:val="FootnoteReference"/>
          <w:rFonts w:ascii="Times New Roman" w:hAnsi="Times New Roman" w:cs="Times New Roman"/>
          <w:color w:val="000000" w:themeColor="text1"/>
        </w:rPr>
        <w:footnoteReference w:id="4"/>
      </w:r>
      <w:r w:rsidR="00AA0E19" w:rsidRPr="00E451AB">
        <w:rPr>
          <w:rFonts w:ascii="Times New Roman" w:hAnsi="Times New Roman" w:cs="Times New Roman"/>
          <w:color w:val="000000" w:themeColor="text1"/>
        </w:rPr>
        <w:t xml:space="preserve"> </w:t>
      </w:r>
    </w:p>
    <w:p w14:paraId="78CE04FF" w14:textId="77777777" w:rsidR="004A4A18" w:rsidRPr="00E451AB" w:rsidRDefault="004A4A18" w:rsidP="00E451AB">
      <w:pPr>
        <w:spacing w:after="0"/>
        <w:jc w:val="both"/>
        <w:rPr>
          <w:rFonts w:ascii="Times New Roman" w:hAnsi="Times New Roman" w:cs="Times New Roman"/>
          <w:color w:val="A6A6A6" w:themeColor="background1" w:themeShade="A6"/>
        </w:rPr>
      </w:pPr>
    </w:p>
    <w:p w14:paraId="6D3DBDA0" w14:textId="25E120A2" w:rsidR="008E713D" w:rsidRPr="00E451AB" w:rsidRDefault="004A4A18" w:rsidP="00E451AB">
      <w:pPr>
        <w:spacing w:after="0"/>
        <w:jc w:val="both"/>
        <w:rPr>
          <w:rFonts w:ascii="Times New Roman" w:hAnsi="Times New Roman" w:cs="Times New Roman"/>
          <w:b/>
        </w:rPr>
      </w:pPr>
      <w:r w:rsidRPr="00E451AB">
        <w:rPr>
          <w:rFonts w:ascii="Times New Roman" w:hAnsi="Times New Roman" w:cs="Times New Roman"/>
          <w:b/>
        </w:rPr>
        <w:t>The case for reform</w:t>
      </w:r>
    </w:p>
    <w:p w14:paraId="11E21DA1" w14:textId="6586BEEE" w:rsidR="00132E2F" w:rsidRPr="00E451AB" w:rsidRDefault="00132E2F" w:rsidP="00E451AB">
      <w:pPr>
        <w:spacing w:after="0"/>
        <w:jc w:val="both"/>
        <w:rPr>
          <w:rFonts w:ascii="Times New Roman" w:hAnsi="Times New Roman" w:cs="Times New Roman"/>
          <w:i/>
        </w:rPr>
      </w:pPr>
    </w:p>
    <w:p w14:paraId="68510884" w14:textId="500DAE4A" w:rsidR="00E451AB" w:rsidRPr="00E451AB" w:rsidRDefault="00BE6EF7" w:rsidP="00E451AB">
      <w:pPr>
        <w:spacing w:after="0"/>
        <w:jc w:val="both"/>
        <w:rPr>
          <w:rFonts w:ascii="Times New Roman" w:hAnsi="Times New Roman" w:cs="Times New Roman"/>
        </w:rPr>
      </w:pPr>
      <w:r w:rsidRPr="00E451AB">
        <w:rPr>
          <w:rFonts w:ascii="Times New Roman" w:hAnsi="Times New Roman" w:cs="Times New Roman"/>
        </w:rPr>
        <w:t xml:space="preserve">Reforms to regulation are merited where the expected costs of reform are likely to be outweighed by the expected </w:t>
      </w:r>
      <w:r w:rsidR="00C46625" w:rsidRPr="00E451AB">
        <w:rPr>
          <w:rFonts w:ascii="Times New Roman" w:hAnsi="Times New Roman" w:cs="Times New Roman"/>
        </w:rPr>
        <w:t>benefit - that is</w:t>
      </w:r>
      <w:r w:rsidRPr="00E451AB">
        <w:rPr>
          <w:rFonts w:ascii="Times New Roman" w:hAnsi="Times New Roman" w:cs="Times New Roman"/>
        </w:rPr>
        <w:t xml:space="preserve"> there are net benefits to changing the code </w:t>
      </w:r>
      <w:r w:rsidRPr="00E451AB">
        <w:rPr>
          <w:rFonts w:ascii="Times New Roman" w:hAnsi="Times New Roman" w:cs="Times New Roman"/>
          <w:noProof/>
        </w:rPr>
        <w:t>(Kaldor 1939; Hicks 1939)</w:t>
      </w:r>
      <w:r w:rsidRPr="00E451AB">
        <w:rPr>
          <w:rFonts w:ascii="Times New Roman" w:hAnsi="Times New Roman" w:cs="Times New Roman"/>
        </w:rPr>
        <w:t xml:space="preserve">. ACCAN is supportive of the reforms to the code outlined within the discussion </w:t>
      </w:r>
      <w:r w:rsidR="00505AC7" w:rsidRPr="00E451AB">
        <w:rPr>
          <w:rFonts w:ascii="Times New Roman" w:hAnsi="Times New Roman" w:cs="Times New Roman"/>
        </w:rPr>
        <w:t>paper and</w:t>
      </w:r>
      <w:r w:rsidRPr="00E451AB">
        <w:rPr>
          <w:rFonts w:ascii="Times New Roman" w:hAnsi="Times New Roman" w:cs="Times New Roman"/>
        </w:rPr>
        <w:t xml:space="preserve"> notes that on the limited available evidence that these reforms are likely to provide material net benefits to consumers, particularly those residing in regional areas</w:t>
      </w:r>
      <w:r w:rsidR="00FD15F3" w:rsidRPr="00E451AB">
        <w:rPr>
          <w:rFonts w:ascii="Times New Roman" w:hAnsi="Times New Roman" w:cs="Times New Roman"/>
        </w:rPr>
        <w:t xml:space="preserve"> who benefit significantly from incremental investments and increased co-location (2018, p. 162)</w:t>
      </w:r>
      <w:r w:rsidRPr="00E451AB">
        <w:rPr>
          <w:rFonts w:ascii="Times New Roman" w:hAnsi="Times New Roman" w:cs="Times New Roman"/>
        </w:rPr>
        <w:t>.</w:t>
      </w:r>
    </w:p>
    <w:p w14:paraId="7BAD7319" w14:textId="77777777" w:rsidR="00505AC7" w:rsidRPr="00E451AB" w:rsidRDefault="00505AC7" w:rsidP="00E451AB">
      <w:pPr>
        <w:spacing w:after="0"/>
        <w:jc w:val="both"/>
        <w:rPr>
          <w:rFonts w:ascii="Times New Roman" w:hAnsi="Times New Roman" w:cs="Times New Roman"/>
        </w:rPr>
      </w:pPr>
    </w:p>
    <w:p w14:paraId="5494053A" w14:textId="12192A47" w:rsidR="00BE6EF7" w:rsidRPr="00E451AB" w:rsidRDefault="00505AC7" w:rsidP="00E451AB">
      <w:pPr>
        <w:spacing w:after="0"/>
        <w:jc w:val="both"/>
        <w:rPr>
          <w:rFonts w:ascii="Times New Roman" w:hAnsi="Times New Roman" w:cs="Times New Roman"/>
        </w:rPr>
      </w:pPr>
      <w:r w:rsidRPr="00E451AB">
        <w:rPr>
          <w:rFonts w:ascii="Times New Roman" w:hAnsi="Times New Roman" w:cs="Times New Roman"/>
        </w:rPr>
        <w:t xml:space="preserve">The reforms outlined within the discussion paper primarily touch upon matters of process and governance of arrangements for access to facilities and co-investment and do not impose strict regulatory controls on facilities access. </w:t>
      </w:r>
      <w:r w:rsidR="009C0D92" w:rsidRPr="00E451AB">
        <w:rPr>
          <w:rFonts w:ascii="Times New Roman" w:hAnsi="Times New Roman" w:cs="Times New Roman"/>
        </w:rPr>
        <w:t>Accordingly, the</w:t>
      </w:r>
      <w:r w:rsidR="009C7BA5" w:rsidRPr="00E451AB">
        <w:rPr>
          <w:rFonts w:ascii="Times New Roman" w:hAnsi="Times New Roman" w:cs="Times New Roman"/>
        </w:rPr>
        <w:t xml:space="preserve"> regulatory</w:t>
      </w:r>
      <w:r w:rsidR="009C0D92" w:rsidRPr="00E451AB">
        <w:rPr>
          <w:rFonts w:ascii="Times New Roman" w:hAnsi="Times New Roman" w:cs="Times New Roman"/>
        </w:rPr>
        <w:t xml:space="preserve"> costs associated with these reforms are likely to be minimal</w:t>
      </w:r>
      <w:r w:rsidR="00D2134C" w:rsidRPr="00E451AB">
        <w:rPr>
          <w:rFonts w:ascii="Times New Roman" w:hAnsi="Times New Roman" w:cs="Times New Roman"/>
        </w:rPr>
        <w:t xml:space="preserve"> </w:t>
      </w:r>
      <w:r w:rsidR="00AF129C" w:rsidRPr="00E451AB">
        <w:rPr>
          <w:rFonts w:ascii="Times New Roman" w:hAnsi="Times New Roman" w:cs="Times New Roman"/>
          <w:noProof/>
        </w:rPr>
        <w:t>(Marneffe &amp; Vereeck 2011)</w:t>
      </w:r>
      <w:r w:rsidR="009C0D92" w:rsidRPr="00E451AB">
        <w:rPr>
          <w:rFonts w:ascii="Times New Roman" w:hAnsi="Times New Roman" w:cs="Times New Roman"/>
        </w:rPr>
        <w:t>, an</w:t>
      </w:r>
      <w:r w:rsidR="00D2134C" w:rsidRPr="00E451AB">
        <w:rPr>
          <w:rFonts w:ascii="Times New Roman" w:hAnsi="Times New Roman" w:cs="Times New Roman"/>
        </w:rPr>
        <w:t>d their potential to benefit consumers through greater coverage and lower costs is likely to exceed any cost imposed.</w:t>
      </w:r>
      <w:r w:rsidR="00AF129C" w:rsidRPr="00E451AB">
        <w:rPr>
          <w:rFonts w:ascii="Times New Roman" w:hAnsi="Times New Roman" w:cs="Times New Roman"/>
        </w:rPr>
        <w:t xml:space="preserve"> </w:t>
      </w:r>
    </w:p>
    <w:p w14:paraId="6CA51934" w14:textId="14C4DB86" w:rsidR="00AF129C" w:rsidRPr="00E451AB" w:rsidRDefault="00AF129C" w:rsidP="00E451AB">
      <w:pPr>
        <w:spacing w:after="0"/>
        <w:jc w:val="both"/>
        <w:rPr>
          <w:rFonts w:ascii="Times New Roman" w:hAnsi="Times New Roman" w:cs="Times New Roman"/>
        </w:rPr>
      </w:pPr>
    </w:p>
    <w:p w14:paraId="5F26726E" w14:textId="37FF9E1E" w:rsidR="00AF129C" w:rsidRPr="00E451AB" w:rsidRDefault="0070380C" w:rsidP="00E451AB">
      <w:pPr>
        <w:spacing w:after="0"/>
        <w:jc w:val="both"/>
        <w:rPr>
          <w:rFonts w:ascii="Times New Roman" w:hAnsi="Times New Roman" w:cs="Times New Roman"/>
        </w:rPr>
      </w:pPr>
      <w:r w:rsidRPr="00E451AB">
        <w:rPr>
          <w:rFonts w:ascii="Times New Roman" w:hAnsi="Times New Roman" w:cs="Times New Roman"/>
        </w:rPr>
        <w:t>Moreover,</w:t>
      </w:r>
      <w:r w:rsidR="00AF129C" w:rsidRPr="00E451AB">
        <w:rPr>
          <w:rFonts w:ascii="Times New Roman" w:hAnsi="Times New Roman" w:cs="Times New Roman"/>
        </w:rPr>
        <w:t xml:space="preserve"> the proposals outlined by the ACCC provide an adequate regulatory backstop against non-agreement between facilities owners, access seekers and for carriers seeking to co-locate</w:t>
      </w:r>
      <w:r w:rsidR="00327D35" w:rsidRPr="00E451AB">
        <w:rPr>
          <w:rFonts w:ascii="Times New Roman" w:hAnsi="Times New Roman" w:cs="Times New Roman"/>
        </w:rPr>
        <w:t xml:space="preserve">. </w:t>
      </w:r>
      <w:r w:rsidR="00CF5828" w:rsidRPr="00E451AB">
        <w:rPr>
          <w:rFonts w:ascii="Times New Roman" w:hAnsi="Times New Roman" w:cs="Times New Roman"/>
        </w:rPr>
        <w:t xml:space="preserve">This backstop in the form of mandatory consultation and dispute resolution processes should be supported, given the </w:t>
      </w:r>
      <w:r w:rsidR="00F27B86" w:rsidRPr="00E451AB">
        <w:rPr>
          <w:rFonts w:ascii="Times New Roman" w:hAnsi="Times New Roman" w:cs="Times New Roman"/>
        </w:rPr>
        <w:t>limitations associated</w:t>
      </w:r>
      <w:r w:rsidR="00CF5828" w:rsidRPr="00E451AB">
        <w:rPr>
          <w:rFonts w:ascii="Times New Roman" w:hAnsi="Times New Roman" w:cs="Times New Roman"/>
        </w:rPr>
        <w:t xml:space="preserve"> with forming long-term agreements with respect to infrastructure</w:t>
      </w:r>
      <w:r w:rsidR="00F27B86" w:rsidRPr="00E451AB">
        <w:rPr>
          <w:rFonts w:ascii="Times New Roman" w:hAnsi="Times New Roman" w:cs="Times New Roman"/>
        </w:rPr>
        <w:t xml:space="preserve">, and the </w:t>
      </w:r>
      <w:r w:rsidRPr="00E451AB">
        <w:rPr>
          <w:rFonts w:ascii="Times New Roman" w:hAnsi="Times New Roman" w:cs="Times New Roman"/>
        </w:rPr>
        <w:t>inadequacy</w:t>
      </w:r>
      <w:r w:rsidR="00F27B86" w:rsidRPr="00E451AB">
        <w:rPr>
          <w:rFonts w:ascii="Times New Roman" w:hAnsi="Times New Roman" w:cs="Times New Roman"/>
        </w:rPr>
        <w:t xml:space="preserve"> of contractual mechanisms as a governance framework</w:t>
      </w:r>
      <w:r w:rsidRPr="00E451AB">
        <w:rPr>
          <w:rFonts w:ascii="Times New Roman" w:hAnsi="Times New Roman" w:cs="Times New Roman"/>
        </w:rPr>
        <w:t xml:space="preserve"> for such investments</w:t>
      </w:r>
      <w:r w:rsidR="00F27B86" w:rsidRPr="00E451AB">
        <w:rPr>
          <w:rFonts w:ascii="Times New Roman" w:hAnsi="Times New Roman" w:cs="Times New Roman"/>
        </w:rPr>
        <w:t xml:space="preserve"> </w:t>
      </w:r>
      <w:r w:rsidRPr="00E451AB">
        <w:rPr>
          <w:rFonts w:ascii="Times New Roman" w:hAnsi="Times New Roman" w:cs="Times New Roman"/>
          <w:noProof/>
        </w:rPr>
        <w:t>(Williamson 1979)</w:t>
      </w:r>
      <w:r w:rsidRPr="00E451AB">
        <w:rPr>
          <w:rFonts w:ascii="Times New Roman" w:hAnsi="Times New Roman" w:cs="Times New Roman"/>
        </w:rPr>
        <w:t>.</w:t>
      </w:r>
    </w:p>
    <w:p w14:paraId="7FD85272" w14:textId="6E672329" w:rsidR="00E140AD" w:rsidRPr="00E451AB" w:rsidRDefault="00E140AD" w:rsidP="00E451AB">
      <w:pPr>
        <w:spacing w:after="0"/>
        <w:jc w:val="both"/>
        <w:rPr>
          <w:rFonts w:ascii="Times New Roman" w:hAnsi="Times New Roman" w:cs="Times New Roman"/>
          <w:i/>
        </w:rPr>
      </w:pPr>
    </w:p>
    <w:p w14:paraId="6E8BA329" w14:textId="59704718" w:rsidR="00E15A7C" w:rsidRPr="00E451AB" w:rsidRDefault="00E15A7C" w:rsidP="00E451AB">
      <w:pPr>
        <w:spacing w:after="0"/>
        <w:jc w:val="both"/>
        <w:rPr>
          <w:rFonts w:ascii="Times New Roman" w:hAnsi="Times New Roman" w:cs="Times New Roman"/>
          <w:i/>
        </w:rPr>
      </w:pPr>
      <w:r w:rsidRPr="00E451AB">
        <w:rPr>
          <w:rFonts w:ascii="Times New Roman" w:hAnsi="Times New Roman" w:cs="Times New Roman"/>
          <w:i/>
        </w:rPr>
        <w:t>Question 1: Should the words ‘may choose to’ be deleted and replaced with ‘must’ in Sub-clause 4.5.1 of the Facilities Access Code?</w:t>
      </w:r>
    </w:p>
    <w:p w14:paraId="6B383E4C" w14:textId="3764E1A0" w:rsidR="007819CF" w:rsidRPr="00E451AB" w:rsidRDefault="007819CF" w:rsidP="00E451AB">
      <w:pPr>
        <w:spacing w:after="0"/>
        <w:jc w:val="both"/>
        <w:rPr>
          <w:rFonts w:ascii="Times New Roman" w:hAnsi="Times New Roman" w:cs="Times New Roman"/>
          <w:i/>
        </w:rPr>
      </w:pPr>
    </w:p>
    <w:p w14:paraId="343098D5" w14:textId="1691D193" w:rsidR="00D1106A" w:rsidRPr="00E451AB" w:rsidRDefault="00D1106A" w:rsidP="00E451AB">
      <w:pPr>
        <w:spacing w:after="0"/>
        <w:jc w:val="both"/>
        <w:rPr>
          <w:rFonts w:ascii="Times New Roman" w:hAnsi="Times New Roman" w:cs="Times New Roman"/>
        </w:rPr>
      </w:pPr>
      <w:r w:rsidRPr="00E451AB">
        <w:rPr>
          <w:rFonts w:ascii="Times New Roman" w:hAnsi="Times New Roman" w:cs="Times New Roman"/>
        </w:rPr>
        <w:t>ACCAN supports the pro</w:t>
      </w:r>
      <w:r w:rsidR="005A69ED" w:rsidRPr="00E451AB">
        <w:rPr>
          <w:rFonts w:ascii="Times New Roman" w:hAnsi="Times New Roman" w:cs="Times New Roman"/>
        </w:rPr>
        <w:t xml:space="preserve">posed change to the code, as it imposes a mandatory consultation process on carriers. </w:t>
      </w:r>
      <w:r w:rsidR="00562B43" w:rsidRPr="00E451AB">
        <w:rPr>
          <w:rFonts w:ascii="Times New Roman" w:hAnsi="Times New Roman" w:cs="Times New Roman"/>
        </w:rPr>
        <w:t>Although the current drafting of the code has been effective in promoting consultation in broad terms, in some areas there are indications that the lack of mandatory consultation</w:t>
      </w:r>
      <w:r w:rsidR="001B05F4" w:rsidRPr="00E451AB">
        <w:rPr>
          <w:rFonts w:ascii="Times New Roman" w:hAnsi="Times New Roman" w:cs="Times New Roman"/>
        </w:rPr>
        <w:t xml:space="preserve"> processes has resulted in consultation being avoided where it may lead to co-location and loss of market share.</w:t>
      </w:r>
    </w:p>
    <w:p w14:paraId="1EE1838E" w14:textId="77777777" w:rsidR="00E451AB" w:rsidRDefault="00E451AB" w:rsidP="00E451AB">
      <w:pPr>
        <w:spacing w:after="0"/>
        <w:jc w:val="both"/>
        <w:rPr>
          <w:rFonts w:ascii="Times New Roman" w:hAnsi="Times New Roman" w:cs="Times New Roman"/>
        </w:rPr>
      </w:pPr>
    </w:p>
    <w:p w14:paraId="4C80B37B" w14:textId="77777777" w:rsidR="00E451AB" w:rsidRDefault="00E451AB" w:rsidP="00E451AB">
      <w:pPr>
        <w:spacing w:after="0"/>
        <w:jc w:val="both"/>
        <w:rPr>
          <w:rFonts w:ascii="Times New Roman" w:hAnsi="Times New Roman" w:cs="Times New Roman"/>
        </w:rPr>
      </w:pPr>
    </w:p>
    <w:p w14:paraId="007247CF" w14:textId="77777777" w:rsidR="00E451AB" w:rsidRDefault="00E451AB" w:rsidP="00E451AB">
      <w:pPr>
        <w:spacing w:after="0"/>
        <w:jc w:val="both"/>
        <w:rPr>
          <w:rFonts w:ascii="Times New Roman" w:hAnsi="Times New Roman" w:cs="Times New Roman"/>
        </w:rPr>
      </w:pPr>
    </w:p>
    <w:p w14:paraId="3B3986AC" w14:textId="77777777" w:rsidR="00E451AB" w:rsidRDefault="00E451AB" w:rsidP="00E451AB">
      <w:pPr>
        <w:spacing w:after="0"/>
        <w:jc w:val="both"/>
        <w:rPr>
          <w:rFonts w:ascii="Times New Roman" w:hAnsi="Times New Roman" w:cs="Times New Roman"/>
        </w:rPr>
      </w:pPr>
    </w:p>
    <w:p w14:paraId="28F05059" w14:textId="77777777" w:rsidR="00E451AB" w:rsidRPr="00E451AB" w:rsidRDefault="00E451AB" w:rsidP="00E451AB">
      <w:pPr>
        <w:spacing w:after="0"/>
        <w:jc w:val="both"/>
        <w:rPr>
          <w:rFonts w:ascii="Times New Roman" w:hAnsi="Times New Roman" w:cs="Times New Roman"/>
        </w:rPr>
      </w:pPr>
    </w:p>
    <w:p w14:paraId="2551FACC" w14:textId="40A6859B" w:rsidR="0070380C" w:rsidRPr="00E451AB" w:rsidRDefault="004E37C4" w:rsidP="00E451AB">
      <w:pPr>
        <w:spacing w:after="0"/>
        <w:jc w:val="both"/>
        <w:rPr>
          <w:rFonts w:ascii="Times New Roman" w:hAnsi="Times New Roman" w:cs="Times New Roman"/>
        </w:rPr>
      </w:pPr>
      <w:r w:rsidRPr="00E451AB">
        <w:rPr>
          <w:rFonts w:ascii="Times New Roman" w:hAnsi="Times New Roman" w:cs="Times New Roman"/>
        </w:rPr>
        <w:lastRenderedPageBreak/>
        <w:t xml:space="preserve">A mandatory consultation process has the potential to provide material benefits to consumers through efficient investment in infrastructure and reduction of costs, and therefore prices. The process is </w:t>
      </w:r>
      <w:r w:rsidR="00A4193F" w:rsidRPr="00E451AB">
        <w:rPr>
          <w:rFonts w:ascii="Times New Roman" w:hAnsi="Times New Roman" w:cs="Times New Roman"/>
        </w:rPr>
        <w:t>unlikely</w:t>
      </w:r>
      <w:r w:rsidRPr="00E451AB">
        <w:rPr>
          <w:rFonts w:ascii="Times New Roman" w:hAnsi="Times New Roman" w:cs="Times New Roman"/>
        </w:rPr>
        <w:t xml:space="preserve"> to result in material costs, and ACCAN would note that any costs that did arise would only </w:t>
      </w:r>
      <w:r w:rsidR="00245BBF" w:rsidRPr="00E451AB">
        <w:rPr>
          <w:rFonts w:ascii="Times New Roman" w:hAnsi="Times New Roman" w:cs="Times New Roman"/>
        </w:rPr>
        <w:t xml:space="preserve">occur </w:t>
      </w:r>
      <w:r w:rsidRPr="00E451AB">
        <w:rPr>
          <w:rFonts w:ascii="Times New Roman" w:hAnsi="Times New Roman" w:cs="Times New Roman"/>
        </w:rPr>
        <w:t>where service providers had a genuine interest in co-building or co-investment.</w:t>
      </w:r>
      <w:r w:rsidR="00A4193F" w:rsidRPr="00E451AB">
        <w:rPr>
          <w:rStyle w:val="FootnoteReference"/>
          <w:rFonts w:ascii="Times New Roman" w:hAnsi="Times New Roman" w:cs="Times New Roman"/>
        </w:rPr>
        <w:footnoteReference w:id="5"/>
      </w:r>
    </w:p>
    <w:p w14:paraId="3A2ECBD7" w14:textId="1ACCC774" w:rsidR="00D1106A" w:rsidRPr="00E451AB" w:rsidRDefault="00D1106A" w:rsidP="00E451AB">
      <w:pPr>
        <w:spacing w:after="0"/>
        <w:jc w:val="both"/>
        <w:rPr>
          <w:rFonts w:ascii="Times New Roman" w:hAnsi="Times New Roman" w:cs="Times New Roman"/>
        </w:rPr>
      </w:pPr>
    </w:p>
    <w:p w14:paraId="2C4E9154" w14:textId="78768F86" w:rsidR="00B97558" w:rsidRPr="00E451AB" w:rsidRDefault="00B97558" w:rsidP="00E451AB">
      <w:pPr>
        <w:spacing w:after="0"/>
        <w:jc w:val="both"/>
        <w:rPr>
          <w:rFonts w:ascii="Times New Roman" w:hAnsi="Times New Roman" w:cs="Times New Roman"/>
          <w:i/>
        </w:rPr>
      </w:pPr>
      <w:r w:rsidRPr="00E451AB">
        <w:rPr>
          <w:rFonts w:ascii="Times New Roman" w:hAnsi="Times New Roman" w:cs="Times New Roman"/>
          <w:i/>
        </w:rPr>
        <w:t>Question 2: Should the words ‘including by public notice’ be inserted in to Sub-clause 4.5.2.?</w:t>
      </w:r>
    </w:p>
    <w:p w14:paraId="776CF299" w14:textId="29A3DF94" w:rsidR="00B97558" w:rsidRPr="00E451AB" w:rsidRDefault="00B97558" w:rsidP="00E451AB">
      <w:pPr>
        <w:spacing w:after="0"/>
        <w:jc w:val="both"/>
        <w:rPr>
          <w:rFonts w:ascii="Times New Roman" w:hAnsi="Times New Roman" w:cs="Times New Roman"/>
          <w:i/>
        </w:rPr>
      </w:pPr>
    </w:p>
    <w:p w14:paraId="066ADD24" w14:textId="77777777" w:rsidR="00D710AB" w:rsidRPr="00E451AB" w:rsidRDefault="00D53F0A" w:rsidP="00E451AB">
      <w:pPr>
        <w:spacing w:after="0"/>
        <w:jc w:val="both"/>
        <w:rPr>
          <w:rFonts w:ascii="Times New Roman" w:hAnsi="Times New Roman" w:cs="Times New Roman"/>
        </w:rPr>
      </w:pPr>
      <w:r w:rsidRPr="00E451AB">
        <w:rPr>
          <w:rFonts w:ascii="Times New Roman" w:hAnsi="Times New Roman" w:cs="Times New Roman"/>
        </w:rPr>
        <w:t xml:space="preserve">ACCAN supports the introduction of </w:t>
      </w:r>
      <w:r w:rsidR="00FF4BB3" w:rsidRPr="00E451AB">
        <w:rPr>
          <w:rFonts w:ascii="Times New Roman" w:hAnsi="Times New Roman" w:cs="Times New Roman"/>
        </w:rPr>
        <w:t>clearer</w:t>
      </w:r>
      <w:r w:rsidRPr="00E451AB">
        <w:rPr>
          <w:rFonts w:ascii="Times New Roman" w:hAnsi="Times New Roman" w:cs="Times New Roman"/>
        </w:rPr>
        <w:t xml:space="preserve"> obligations </w:t>
      </w:r>
      <w:r w:rsidR="00FF4BB3" w:rsidRPr="00E451AB">
        <w:rPr>
          <w:rFonts w:ascii="Times New Roman" w:hAnsi="Times New Roman" w:cs="Times New Roman"/>
        </w:rPr>
        <w:t>on carriers to advise other carriers of proposed facili</w:t>
      </w:r>
      <w:r w:rsidR="004C1DDE" w:rsidRPr="00E451AB">
        <w:rPr>
          <w:rFonts w:ascii="Times New Roman" w:hAnsi="Times New Roman" w:cs="Times New Roman"/>
        </w:rPr>
        <w:t xml:space="preserve">ties development opportunities. The obligation to provide a public notice </w:t>
      </w:r>
      <w:r w:rsidR="00041B57" w:rsidRPr="00E451AB">
        <w:rPr>
          <w:rFonts w:ascii="Times New Roman" w:hAnsi="Times New Roman" w:cs="Times New Roman"/>
        </w:rPr>
        <w:t>concerning</w:t>
      </w:r>
      <w:r w:rsidR="004C1DDE" w:rsidRPr="00E451AB">
        <w:rPr>
          <w:rFonts w:ascii="Times New Roman" w:hAnsi="Times New Roman" w:cs="Times New Roman"/>
        </w:rPr>
        <w:t xml:space="preserve"> proposed developments creates a clear benchmark for assessing whether a carrier has complied with the code and limits the </w:t>
      </w:r>
      <w:r w:rsidR="00041B57" w:rsidRPr="00E451AB">
        <w:rPr>
          <w:rFonts w:ascii="Times New Roman" w:hAnsi="Times New Roman" w:cs="Times New Roman"/>
        </w:rPr>
        <w:t>potential</w:t>
      </w:r>
      <w:r w:rsidR="004C1DDE" w:rsidRPr="00E451AB">
        <w:rPr>
          <w:rFonts w:ascii="Times New Roman" w:hAnsi="Times New Roman" w:cs="Times New Roman"/>
        </w:rPr>
        <w:t xml:space="preserve"> for </w:t>
      </w:r>
      <w:r w:rsidR="00386C61" w:rsidRPr="00E451AB">
        <w:rPr>
          <w:rFonts w:ascii="Times New Roman" w:hAnsi="Times New Roman" w:cs="Times New Roman"/>
        </w:rPr>
        <w:t>gaming to avoid consultation processes.</w:t>
      </w:r>
      <w:r w:rsidR="0070380C" w:rsidRPr="00E451AB">
        <w:rPr>
          <w:rFonts w:ascii="Times New Roman" w:hAnsi="Times New Roman" w:cs="Times New Roman"/>
        </w:rPr>
        <w:t xml:space="preserve"> </w:t>
      </w:r>
    </w:p>
    <w:p w14:paraId="0CA17A66" w14:textId="77777777" w:rsidR="00D710AB" w:rsidRPr="00E451AB" w:rsidRDefault="00D710AB" w:rsidP="00E451AB">
      <w:pPr>
        <w:spacing w:after="0"/>
        <w:jc w:val="both"/>
        <w:rPr>
          <w:rFonts w:ascii="Times New Roman" w:hAnsi="Times New Roman" w:cs="Times New Roman"/>
        </w:rPr>
      </w:pPr>
    </w:p>
    <w:p w14:paraId="59228761" w14:textId="6E176E9A" w:rsidR="00AF1DE4" w:rsidRPr="00E451AB" w:rsidRDefault="004C1DDE" w:rsidP="00E451AB">
      <w:pPr>
        <w:spacing w:after="0"/>
        <w:jc w:val="both"/>
        <w:rPr>
          <w:rFonts w:ascii="Times New Roman" w:hAnsi="Times New Roman" w:cs="Times New Roman"/>
        </w:rPr>
      </w:pPr>
      <w:r w:rsidRPr="00E451AB">
        <w:rPr>
          <w:rFonts w:ascii="Times New Roman" w:hAnsi="Times New Roman" w:cs="Times New Roman"/>
        </w:rPr>
        <w:t>As part of defining this obligation ACCAN believes that it is appropriate that what constitutes ‘</w:t>
      </w:r>
      <w:r w:rsidR="004A4255" w:rsidRPr="00E451AB">
        <w:rPr>
          <w:rFonts w:ascii="Times New Roman" w:hAnsi="Times New Roman" w:cs="Times New Roman"/>
        </w:rPr>
        <w:t xml:space="preserve">public notice’ is adequately defined to ensure that the obligations that carriers must abide by are sufficiently clear to facilitate compliance. </w:t>
      </w:r>
      <w:r w:rsidR="00D710AB" w:rsidRPr="00E451AB">
        <w:rPr>
          <w:rFonts w:ascii="Times New Roman" w:hAnsi="Times New Roman" w:cs="Times New Roman"/>
        </w:rPr>
        <w:t>In the absence of clear obligations to publicly notify other</w:t>
      </w:r>
      <w:r w:rsidR="00151ACD" w:rsidRPr="00E451AB">
        <w:rPr>
          <w:rFonts w:ascii="Times New Roman" w:hAnsi="Times New Roman" w:cs="Times New Roman"/>
        </w:rPr>
        <w:t xml:space="preserve"> Mobile Network Operators</w:t>
      </w:r>
      <w:r w:rsidR="00D710AB" w:rsidRPr="00E451AB">
        <w:rPr>
          <w:rFonts w:ascii="Times New Roman" w:hAnsi="Times New Roman" w:cs="Times New Roman"/>
        </w:rPr>
        <w:t xml:space="preserve"> </w:t>
      </w:r>
      <w:r w:rsidR="00151ACD" w:rsidRPr="00E451AB">
        <w:rPr>
          <w:rFonts w:ascii="Times New Roman" w:hAnsi="Times New Roman" w:cs="Times New Roman"/>
        </w:rPr>
        <w:t>(</w:t>
      </w:r>
      <w:r w:rsidR="00D710AB" w:rsidRPr="00E451AB">
        <w:rPr>
          <w:rFonts w:ascii="Times New Roman" w:hAnsi="Times New Roman" w:cs="Times New Roman"/>
        </w:rPr>
        <w:t>MNOs</w:t>
      </w:r>
      <w:r w:rsidR="00151ACD" w:rsidRPr="00E451AB">
        <w:rPr>
          <w:rFonts w:ascii="Times New Roman" w:hAnsi="Times New Roman" w:cs="Times New Roman"/>
        </w:rPr>
        <w:t>)</w:t>
      </w:r>
      <w:r w:rsidR="00D710AB" w:rsidRPr="00E451AB">
        <w:rPr>
          <w:rFonts w:ascii="Times New Roman" w:hAnsi="Times New Roman" w:cs="Times New Roman"/>
        </w:rPr>
        <w:t xml:space="preserve"> there is the potential for opportunities for co-location and co-investment to unnecessarily be forgone, to the detriment of consumer outcomes in terms of coverage and cost.</w:t>
      </w:r>
    </w:p>
    <w:p w14:paraId="4294FE4C" w14:textId="77777777" w:rsidR="0070380C" w:rsidRPr="00E451AB" w:rsidRDefault="0070380C" w:rsidP="00E451AB">
      <w:pPr>
        <w:spacing w:after="0"/>
        <w:jc w:val="both"/>
        <w:rPr>
          <w:rFonts w:ascii="Times New Roman" w:hAnsi="Times New Roman" w:cs="Times New Roman"/>
        </w:rPr>
      </w:pPr>
    </w:p>
    <w:p w14:paraId="29304564" w14:textId="3F7BDDF2" w:rsidR="00547ACB" w:rsidRPr="00E451AB" w:rsidRDefault="00547ACB" w:rsidP="00E451AB">
      <w:pPr>
        <w:spacing w:after="0"/>
        <w:jc w:val="both"/>
        <w:rPr>
          <w:rFonts w:ascii="Times New Roman" w:hAnsi="Times New Roman" w:cs="Times New Roman"/>
          <w:i/>
        </w:rPr>
      </w:pPr>
      <w:r w:rsidRPr="00E451AB">
        <w:rPr>
          <w:rFonts w:ascii="Times New Roman" w:hAnsi="Times New Roman" w:cs="Times New Roman"/>
          <w:i/>
        </w:rPr>
        <w:t xml:space="preserve">Question 3: Should the co-location consultation process in Clause 4.5 of the Facilities Access Code be made a mandatory condition of the Code? If so, should it relate to all eligible facilities? If not, please </w:t>
      </w:r>
      <w:r w:rsidR="009C576C" w:rsidRPr="00E451AB">
        <w:rPr>
          <w:rFonts w:ascii="Times New Roman" w:hAnsi="Times New Roman" w:cs="Times New Roman"/>
          <w:i/>
        </w:rPr>
        <w:t>specif</w:t>
      </w:r>
      <w:r w:rsidR="00163811" w:rsidRPr="00E451AB">
        <w:rPr>
          <w:rFonts w:ascii="Times New Roman" w:hAnsi="Times New Roman" w:cs="Times New Roman"/>
          <w:i/>
        </w:rPr>
        <w:t>y</w:t>
      </w:r>
      <w:r w:rsidR="009C576C" w:rsidRPr="00E451AB">
        <w:rPr>
          <w:rFonts w:ascii="Times New Roman" w:hAnsi="Times New Roman" w:cs="Times New Roman"/>
          <w:i/>
        </w:rPr>
        <w:t xml:space="preserve"> the eligible </w:t>
      </w:r>
      <w:r w:rsidR="00163811" w:rsidRPr="00E451AB">
        <w:rPr>
          <w:rFonts w:ascii="Times New Roman" w:hAnsi="Times New Roman" w:cs="Times New Roman"/>
          <w:i/>
        </w:rPr>
        <w:t>facilities</w:t>
      </w:r>
      <w:r w:rsidR="009C576C" w:rsidRPr="00E451AB">
        <w:rPr>
          <w:rFonts w:ascii="Times New Roman" w:hAnsi="Times New Roman" w:cs="Times New Roman"/>
          <w:i/>
        </w:rPr>
        <w:t xml:space="preserve"> to which Clause 4.5 should apply</w:t>
      </w:r>
      <w:r w:rsidR="00224CA3" w:rsidRPr="00E451AB">
        <w:rPr>
          <w:rFonts w:ascii="Times New Roman" w:hAnsi="Times New Roman" w:cs="Times New Roman"/>
          <w:i/>
        </w:rPr>
        <w:t>?</w:t>
      </w:r>
    </w:p>
    <w:p w14:paraId="6848E385" w14:textId="4F4D50EA" w:rsidR="00547ACB" w:rsidRPr="00E451AB" w:rsidRDefault="00547ACB" w:rsidP="00E451AB">
      <w:pPr>
        <w:spacing w:after="0"/>
        <w:jc w:val="both"/>
        <w:rPr>
          <w:rFonts w:ascii="Times New Roman" w:hAnsi="Times New Roman" w:cs="Times New Roman"/>
          <w:i/>
        </w:rPr>
      </w:pPr>
    </w:p>
    <w:p w14:paraId="6425F48D" w14:textId="13FB0761" w:rsidR="00547ACB" w:rsidRPr="00E451AB" w:rsidRDefault="00953838" w:rsidP="00E451AB">
      <w:pPr>
        <w:spacing w:after="0"/>
        <w:jc w:val="both"/>
        <w:rPr>
          <w:rFonts w:ascii="Times New Roman" w:hAnsi="Times New Roman" w:cs="Times New Roman"/>
        </w:rPr>
      </w:pPr>
      <w:r w:rsidRPr="00E451AB">
        <w:rPr>
          <w:rFonts w:ascii="Times New Roman" w:hAnsi="Times New Roman" w:cs="Times New Roman"/>
        </w:rPr>
        <w:t xml:space="preserve">The co-location consultation process should be made a mandatory condition of the code, and the obligation to undertake consultation processes should be </w:t>
      </w:r>
      <w:r w:rsidR="003473F7" w:rsidRPr="00E451AB">
        <w:rPr>
          <w:rFonts w:ascii="Times New Roman" w:hAnsi="Times New Roman" w:cs="Times New Roman"/>
        </w:rPr>
        <w:t xml:space="preserve">imposed upon all eligible facilities. </w:t>
      </w:r>
      <w:r w:rsidR="002540AF" w:rsidRPr="00E451AB">
        <w:rPr>
          <w:rFonts w:ascii="Times New Roman" w:hAnsi="Times New Roman" w:cs="Times New Roman"/>
        </w:rPr>
        <w:t xml:space="preserve">In the absence of comprehensive consultation obligations, there is the potential that </w:t>
      </w:r>
      <w:r w:rsidR="000A6A16" w:rsidRPr="00E451AB">
        <w:rPr>
          <w:rFonts w:ascii="Times New Roman" w:hAnsi="Times New Roman" w:cs="Times New Roman"/>
        </w:rPr>
        <w:t>carriers and facilities owners may seek to use gaps in the code to preclude access to essential facilities.</w:t>
      </w:r>
    </w:p>
    <w:p w14:paraId="117E0294" w14:textId="77777777" w:rsidR="00000F12" w:rsidRPr="00E451AB" w:rsidRDefault="00000F12" w:rsidP="00E451AB">
      <w:pPr>
        <w:spacing w:after="0"/>
        <w:jc w:val="both"/>
        <w:rPr>
          <w:rFonts w:ascii="Times New Roman" w:hAnsi="Times New Roman" w:cs="Times New Roman"/>
        </w:rPr>
      </w:pPr>
    </w:p>
    <w:p w14:paraId="1ADAD8F9" w14:textId="60BD40C1" w:rsidR="003473F7" w:rsidRPr="00E451AB" w:rsidRDefault="009E4F54" w:rsidP="00E451AB">
      <w:pPr>
        <w:spacing w:after="0"/>
        <w:jc w:val="both"/>
        <w:rPr>
          <w:rFonts w:ascii="Times New Roman" w:hAnsi="Times New Roman" w:cs="Times New Roman"/>
        </w:rPr>
      </w:pPr>
      <w:r w:rsidRPr="00E451AB">
        <w:rPr>
          <w:rFonts w:ascii="Times New Roman" w:hAnsi="Times New Roman" w:cs="Times New Roman"/>
        </w:rPr>
        <w:t>All elements of the infrastructure supply chain should ideally be subjected to the mandatory consultation process to preclude ga</w:t>
      </w:r>
      <w:r w:rsidR="008E3E45" w:rsidRPr="00E451AB">
        <w:rPr>
          <w:rFonts w:ascii="Times New Roman" w:hAnsi="Times New Roman" w:cs="Times New Roman"/>
        </w:rPr>
        <w:t>ming by prospective co-locaters. A failure to regulate some facilities may allow for hold-up problems to emerg</w:t>
      </w:r>
      <w:r w:rsidR="00891740" w:rsidRPr="00E451AB">
        <w:rPr>
          <w:rFonts w:ascii="Times New Roman" w:hAnsi="Times New Roman" w:cs="Times New Roman"/>
        </w:rPr>
        <w:t xml:space="preserve">e </w:t>
      </w:r>
      <w:r w:rsidR="005C253F" w:rsidRPr="00E451AB">
        <w:rPr>
          <w:rFonts w:ascii="Times New Roman" w:hAnsi="Times New Roman" w:cs="Times New Roman"/>
          <w:noProof/>
        </w:rPr>
        <w:t>(Biggar 2009)</w:t>
      </w:r>
      <w:r w:rsidR="005C253F" w:rsidRPr="00E451AB">
        <w:rPr>
          <w:rFonts w:ascii="Times New Roman" w:hAnsi="Times New Roman" w:cs="Times New Roman"/>
        </w:rPr>
        <w:t>, with service providers seeking to opportunistic</w:t>
      </w:r>
      <w:r w:rsidR="00905F3A" w:rsidRPr="00E451AB">
        <w:rPr>
          <w:rFonts w:ascii="Times New Roman" w:hAnsi="Times New Roman" w:cs="Times New Roman"/>
        </w:rPr>
        <w:t>ally</w:t>
      </w:r>
      <w:r w:rsidR="005C253F" w:rsidRPr="00E451AB">
        <w:rPr>
          <w:rFonts w:ascii="Times New Roman" w:hAnsi="Times New Roman" w:cs="Times New Roman"/>
        </w:rPr>
        <w:t xml:space="preserve"> maximise the return on their </w:t>
      </w:r>
      <w:r w:rsidR="007F5573" w:rsidRPr="00E451AB">
        <w:rPr>
          <w:rFonts w:ascii="Times New Roman" w:hAnsi="Times New Roman" w:cs="Times New Roman"/>
        </w:rPr>
        <w:t>investments</w:t>
      </w:r>
      <w:r w:rsidR="005C253F" w:rsidRPr="00E451AB">
        <w:rPr>
          <w:rFonts w:ascii="Times New Roman" w:hAnsi="Times New Roman" w:cs="Times New Roman"/>
        </w:rPr>
        <w:t xml:space="preserve"> by only offering access on unfavourable terms for those facilities that are unregulated </w:t>
      </w:r>
      <w:r w:rsidR="002C06F0" w:rsidRPr="00E451AB">
        <w:rPr>
          <w:rFonts w:ascii="Times New Roman" w:hAnsi="Times New Roman" w:cs="Times New Roman"/>
          <w:noProof/>
        </w:rPr>
        <w:t>(Klein 1988)</w:t>
      </w:r>
      <w:r w:rsidR="002C06F0" w:rsidRPr="00E451AB">
        <w:rPr>
          <w:rFonts w:ascii="Times New Roman" w:hAnsi="Times New Roman" w:cs="Times New Roman"/>
        </w:rPr>
        <w:t>.</w:t>
      </w:r>
      <w:r w:rsidR="007F5573" w:rsidRPr="00E451AB">
        <w:rPr>
          <w:rStyle w:val="FootnoteReference"/>
          <w:rFonts w:ascii="Times New Roman" w:hAnsi="Times New Roman" w:cs="Times New Roman"/>
        </w:rPr>
        <w:footnoteReference w:id="6"/>
      </w:r>
    </w:p>
    <w:p w14:paraId="5F5B1923" w14:textId="17993FEF" w:rsidR="000A6A16" w:rsidRPr="00E451AB" w:rsidRDefault="000A6A16" w:rsidP="00E451AB">
      <w:pPr>
        <w:spacing w:after="0"/>
        <w:jc w:val="both"/>
        <w:rPr>
          <w:rFonts w:ascii="Times New Roman" w:hAnsi="Times New Roman" w:cs="Times New Roman"/>
        </w:rPr>
      </w:pPr>
    </w:p>
    <w:p w14:paraId="22BFE220" w14:textId="4C6B6489" w:rsidR="003473F7" w:rsidRPr="00E451AB" w:rsidRDefault="000A6A16" w:rsidP="00E451AB">
      <w:pPr>
        <w:spacing w:after="0"/>
        <w:jc w:val="both"/>
        <w:rPr>
          <w:rFonts w:ascii="Times New Roman" w:hAnsi="Times New Roman" w:cs="Times New Roman"/>
        </w:rPr>
      </w:pPr>
      <w:r w:rsidRPr="00E451AB">
        <w:rPr>
          <w:rFonts w:ascii="Times New Roman" w:hAnsi="Times New Roman" w:cs="Times New Roman"/>
        </w:rPr>
        <w:t>In the course of ACCAN’s consultations, anecdotal evidence has been provided to the effect that some service providers are seeking to build in areas in order to foreclose or pre-empt competitors from being able to access sites</w:t>
      </w:r>
      <w:r w:rsidR="00D6092E" w:rsidRPr="00E451AB">
        <w:rPr>
          <w:rFonts w:ascii="Times New Roman" w:hAnsi="Times New Roman" w:cs="Times New Roman"/>
        </w:rPr>
        <w:t xml:space="preserve"> as part of the rollout of 5G</w:t>
      </w:r>
      <w:r w:rsidRPr="00E451AB">
        <w:rPr>
          <w:rFonts w:ascii="Times New Roman" w:hAnsi="Times New Roman" w:cs="Times New Roman"/>
        </w:rPr>
        <w:t xml:space="preserve"> </w:t>
      </w:r>
      <w:r w:rsidRPr="00E451AB">
        <w:rPr>
          <w:rFonts w:ascii="Times New Roman" w:hAnsi="Times New Roman" w:cs="Times New Roman"/>
          <w:noProof/>
        </w:rPr>
        <w:t>(Rey &amp; Tirole 2007)</w:t>
      </w:r>
      <w:r w:rsidRPr="00E451AB">
        <w:rPr>
          <w:rFonts w:ascii="Times New Roman" w:hAnsi="Times New Roman" w:cs="Times New Roman"/>
        </w:rPr>
        <w:t xml:space="preserve">. </w:t>
      </w:r>
      <w:r w:rsidR="00D26550" w:rsidRPr="00E451AB">
        <w:rPr>
          <w:rFonts w:ascii="Times New Roman" w:hAnsi="Times New Roman" w:cs="Times New Roman"/>
        </w:rPr>
        <w:t>Accordingly, we consider that incenti</w:t>
      </w:r>
      <w:r w:rsidR="00D6092E" w:rsidRPr="00E451AB">
        <w:rPr>
          <w:rFonts w:ascii="Times New Roman" w:hAnsi="Times New Roman" w:cs="Times New Roman"/>
        </w:rPr>
        <w:t>ves remain in some instances to engage in conduct detrimental to competition and consumer interests and that comprehensive regulation is required.</w:t>
      </w:r>
    </w:p>
    <w:p w14:paraId="69F524D5" w14:textId="77777777" w:rsidR="00D6092E" w:rsidRPr="00E451AB" w:rsidRDefault="00D6092E" w:rsidP="00E451AB">
      <w:pPr>
        <w:spacing w:after="0"/>
        <w:jc w:val="both"/>
        <w:rPr>
          <w:rFonts w:ascii="Times New Roman" w:hAnsi="Times New Roman" w:cs="Times New Roman"/>
          <w:color w:val="000000" w:themeColor="text1"/>
        </w:rPr>
      </w:pPr>
    </w:p>
    <w:p w14:paraId="26473FCC" w14:textId="77777777" w:rsidR="00E451AB" w:rsidRDefault="00E451AB" w:rsidP="00E451AB">
      <w:pPr>
        <w:spacing w:after="0"/>
        <w:jc w:val="both"/>
        <w:rPr>
          <w:rFonts w:ascii="Times New Roman" w:hAnsi="Times New Roman" w:cs="Times New Roman"/>
          <w:i/>
          <w:color w:val="000000" w:themeColor="text1"/>
        </w:rPr>
      </w:pPr>
    </w:p>
    <w:p w14:paraId="16674A4E" w14:textId="77777777" w:rsidR="00E451AB" w:rsidRDefault="00E451AB" w:rsidP="00E451AB">
      <w:pPr>
        <w:spacing w:after="0"/>
        <w:jc w:val="both"/>
        <w:rPr>
          <w:rFonts w:ascii="Times New Roman" w:hAnsi="Times New Roman" w:cs="Times New Roman"/>
          <w:i/>
          <w:color w:val="000000" w:themeColor="text1"/>
        </w:rPr>
      </w:pPr>
    </w:p>
    <w:p w14:paraId="139A59F8" w14:textId="77777777" w:rsidR="00E451AB" w:rsidRDefault="00E451AB" w:rsidP="00E451AB">
      <w:pPr>
        <w:spacing w:after="0"/>
        <w:jc w:val="both"/>
        <w:rPr>
          <w:rFonts w:ascii="Times New Roman" w:hAnsi="Times New Roman" w:cs="Times New Roman"/>
          <w:i/>
          <w:color w:val="000000" w:themeColor="text1"/>
        </w:rPr>
      </w:pPr>
    </w:p>
    <w:p w14:paraId="237A4B73" w14:textId="77777777" w:rsidR="00E451AB" w:rsidRDefault="00E451AB" w:rsidP="00E451AB">
      <w:pPr>
        <w:spacing w:after="0"/>
        <w:jc w:val="both"/>
        <w:rPr>
          <w:rFonts w:ascii="Times New Roman" w:hAnsi="Times New Roman" w:cs="Times New Roman"/>
          <w:i/>
          <w:color w:val="000000" w:themeColor="text1"/>
        </w:rPr>
      </w:pPr>
    </w:p>
    <w:p w14:paraId="25AD31C7" w14:textId="77777777" w:rsidR="00E451AB" w:rsidRDefault="00E451AB" w:rsidP="00E451AB">
      <w:pPr>
        <w:spacing w:after="0"/>
        <w:jc w:val="both"/>
        <w:rPr>
          <w:rFonts w:ascii="Times New Roman" w:hAnsi="Times New Roman" w:cs="Times New Roman"/>
          <w:i/>
          <w:color w:val="000000" w:themeColor="text1"/>
        </w:rPr>
      </w:pPr>
    </w:p>
    <w:p w14:paraId="3534DED6" w14:textId="7CE09ED6" w:rsidR="00BF0979" w:rsidRPr="00E451AB" w:rsidRDefault="00BF0979" w:rsidP="00E451AB">
      <w:pPr>
        <w:spacing w:after="0"/>
        <w:jc w:val="both"/>
        <w:rPr>
          <w:rFonts w:ascii="Times New Roman" w:hAnsi="Times New Roman" w:cs="Times New Roman"/>
          <w:i/>
          <w:color w:val="000000" w:themeColor="text1"/>
        </w:rPr>
      </w:pPr>
      <w:r w:rsidRPr="00E451AB">
        <w:rPr>
          <w:rFonts w:ascii="Times New Roman" w:hAnsi="Times New Roman" w:cs="Times New Roman"/>
          <w:i/>
          <w:color w:val="000000" w:themeColor="text1"/>
        </w:rPr>
        <w:t xml:space="preserve">Question 4: </w:t>
      </w:r>
      <w:r w:rsidR="009C576C" w:rsidRPr="00E451AB">
        <w:rPr>
          <w:rFonts w:ascii="Times New Roman" w:hAnsi="Times New Roman" w:cs="Times New Roman"/>
          <w:i/>
          <w:color w:val="000000" w:themeColor="text1"/>
        </w:rPr>
        <w:t xml:space="preserve">Should any of the co-location negotiation processes be changed? If so, why? </w:t>
      </w:r>
    </w:p>
    <w:p w14:paraId="5F69EFD9" w14:textId="7E2334D1" w:rsidR="00BF0979" w:rsidRPr="00E451AB" w:rsidRDefault="00BF0979" w:rsidP="00E451AB">
      <w:pPr>
        <w:spacing w:after="0"/>
        <w:jc w:val="both"/>
        <w:rPr>
          <w:rFonts w:ascii="Times New Roman" w:hAnsi="Times New Roman" w:cs="Times New Roman"/>
          <w:i/>
        </w:rPr>
      </w:pPr>
    </w:p>
    <w:p w14:paraId="440BCE37" w14:textId="5A52C081" w:rsidR="00D710AB" w:rsidRPr="00E451AB" w:rsidRDefault="00BF0979" w:rsidP="00E451AB">
      <w:pPr>
        <w:spacing w:after="0"/>
        <w:jc w:val="both"/>
        <w:rPr>
          <w:rFonts w:ascii="Times New Roman" w:hAnsi="Times New Roman" w:cs="Times New Roman"/>
        </w:rPr>
      </w:pPr>
      <w:r w:rsidRPr="00E451AB">
        <w:rPr>
          <w:rFonts w:ascii="Times New Roman" w:hAnsi="Times New Roman" w:cs="Times New Roman"/>
        </w:rPr>
        <w:t xml:space="preserve">ACCAN supports the development of formal processes for consultation as set out within the discussion </w:t>
      </w:r>
      <w:r w:rsidR="00676306" w:rsidRPr="00E451AB">
        <w:rPr>
          <w:rFonts w:ascii="Times New Roman" w:hAnsi="Times New Roman" w:cs="Times New Roman"/>
        </w:rPr>
        <w:t>paper and notes that there is evidence that these arrangements have been effective as part of the second round of the Mobile Blackspot Program</w:t>
      </w:r>
      <w:r w:rsidR="007800EB" w:rsidRPr="00E451AB">
        <w:rPr>
          <w:rFonts w:ascii="Times New Roman" w:hAnsi="Times New Roman" w:cs="Times New Roman"/>
        </w:rPr>
        <w:t>.</w:t>
      </w:r>
      <w:r w:rsidR="002477D2" w:rsidRPr="00E451AB">
        <w:rPr>
          <w:rFonts w:ascii="Times New Roman" w:hAnsi="Times New Roman" w:cs="Times New Roman"/>
        </w:rPr>
        <w:t xml:space="preserve"> </w:t>
      </w:r>
      <w:r w:rsidR="00A065B1" w:rsidRPr="00E451AB">
        <w:rPr>
          <w:rFonts w:ascii="Times New Roman" w:hAnsi="Times New Roman" w:cs="Times New Roman"/>
        </w:rPr>
        <w:t xml:space="preserve">These reforms would include: </w:t>
      </w:r>
    </w:p>
    <w:p w14:paraId="38C68852" w14:textId="5E06AE42" w:rsidR="00A065B1" w:rsidRPr="00E451AB" w:rsidRDefault="00A065B1" w:rsidP="00E451AB">
      <w:pPr>
        <w:spacing w:after="0"/>
        <w:jc w:val="both"/>
        <w:rPr>
          <w:rFonts w:ascii="Times New Roman" w:hAnsi="Times New Roman" w:cs="Times New Roman"/>
        </w:rPr>
      </w:pPr>
    </w:p>
    <w:p w14:paraId="4158062C" w14:textId="03B55AE2" w:rsidR="00A065B1" w:rsidRPr="00E451AB" w:rsidRDefault="00A065B1" w:rsidP="00E451AB">
      <w:pPr>
        <w:pStyle w:val="ListParagraph"/>
        <w:numPr>
          <w:ilvl w:val="0"/>
          <w:numId w:val="6"/>
        </w:numPr>
        <w:spacing w:line="276" w:lineRule="auto"/>
        <w:jc w:val="both"/>
        <w:rPr>
          <w:rFonts w:ascii="Times New Roman" w:hAnsi="Times New Roman" w:cs="Times New Roman"/>
        </w:rPr>
      </w:pPr>
      <w:r w:rsidRPr="00E451AB">
        <w:rPr>
          <w:rFonts w:ascii="Times New Roman" w:hAnsi="Times New Roman" w:cs="Times New Roman"/>
        </w:rPr>
        <w:t>A formal process every quarter, declaring areas where MNOs wish to invest in new sites</w:t>
      </w:r>
      <w:r w:rsidR="00366599" w:rsidRPr="00E451AB">
        <w:rPr>
          <w:rFonts w:ascii="Times New Roman" w:hAnsi="Times New Roman" w:cs="Times New Roman"/>
        </w:rPr>
        <w:t xml:space="preserve">; </w:t>
      </w:r>
    </w:p>
    <w:p w14:paraId="5F6C3ACF" w14:textId="2056CA44" w:rsidR="00FA5BE2" w:rsidRPr="00E451AB" w:rsidRDefault="00FA5BE2" w:rsidP="00E451AB">
      <w:pPr>
        <w:pStyle w:val="ListParagraph"/>
        <w:numPr>
          <w:ilvl w:val="0"/>
          <w:numId w:val="6"/>
        </w:numPr>
        <w:spacing w:line="276" w:lineRule="auto"/>
        <w:jc w:val="both"/>
        <w:rPr>
          <w:rFonts w:ascii="Times New Roman" w:hAnsi="Times New Roman" w:cs="Times New Roman"/>
        </w:rPr>
      </w:pPr>
      <w:r w:rsidRPr="00E451AB">
        <w:rPr>
          <w:rFonts w:ascii="Times New Roman" w:hAnsi="Times New Roman" w:cs="Times New Roman"/>
        </w:rPr>
        <w:t>A minimum two-month period for non-lead MNOs to nominate sites that they wish to engage in pre-design processes;</w:t>
      </w:r>
    </w:p>
    <w:p w14:paraId="2733C617" w14:textId="59E579E9" w:rsidR="00366599" w:rsidRPr="00E451AB" w:rsidRDefault="00366599" w:rsidP="00E451AB">
      <w:pPr>
        <w:pStyle w:val="ListParagraph"/>
        <w:numPr>
          <w:ilvl w:val="0"/>
          <w:numId w:val="6"/>
        </w:numPr>
        <w:spacing w:line="276" w:lineRule="auto"/>
        <w:jc w:val="both"/>
        <w:rPr>
          <w:rFonts w:ascii="Times New Roman" w:hAnsi="Times New Roman" w:cs="Times New Roman"/>
        </w:rPr>
      </w:pPr>
      <w:r w:rsidRPr="00E451AB">
        <w:rPr>
          <w:rFonts w:ascii="Times New Roman" w:hAnsi="Times New Roman" w:cs="Times New Roman"/>
        </w:rPr>
        <w:t>Reference offer designs for sites that accommodate one, two or three MNOs, to preclude the use of design changes to game the process;</w:t>
      </w:r>
    </w:p>
    <w:p w14:paraId="5382BA88" w14:textId="24AA855D" w:rsidR="00366599" w:rsidRPr="00E451AB" w:rsidRDefault="00366599" w:rsidP="00E451AB">
      <w:pPr>
        <w:pStyle w:val="ListParagraph"/>
        <w:numPr>
          <w:ilvl w:val="0"/>
          <w:numId w:val="6"/>
        </w:numPr>
        <w:spacing w:line="276" w:lineRule="auto"/>
        <w:jc w:val="both"/>
        <w:rPr>
          <w:rFonts w:ascii="Times New Roman" w:hAnsi="Times New Roman" w:cs="Times New Roman"/>
        </w:rPr>
      </w:pPr>
      <w:r w:rsidRPr="00E451AB">
        <w:rPr>
          <w:rFonts w:ascii="Times New Roman" w:hAnsi="Times New Roman" w:cs="Times New Roman"/>
        </w:rPr>
        <w:t xml:space="preserve">Clear assignment of </w:t>
      </w:r>
      <w:r w:rsidR="00FA5BE2" w:rsidRPr="00E451AB">
        <w:rPr>
          <w:rFonts w:ascii="Times New Roman" w:hAnsi="Times New Roman" w:cs="Times New Roman"/>
        </w:rPr>
        <w:t>responsibility to seek development approvals to the lead MNO;</w:t>
      </w:r>
    </w:p>
    <w:p w14:paraId="3CCAF430" w14:textId="65F2EB5C" w:rsidR="00FA5BE2" w:rsidRPr="00E451AB" w:rsidRDefault="00FA5BE2" w:rsidP="00E451AB">
      <w:pPr>
        <w:pStyle w:val="ListParagraph"/>
        <w:numPr>
          <w:ilvl w:val="0"/>
          <w:numId w:val="6"/>
        </w:numPr>
        <w:spacing w:line="276" w:lineRule="auto"/>
        <w:jc w:val="both"/>
        <w:rPr>
          <w:rFonts w:ascii="Times New Roman" w:hAnsi="Times New Roman" w:cs="Times New Roman"/>
        </w:rPr>
      </w:pPr>
      <w:r w:rsidRPr="00E451AB">
        <w:rPr>
          <w:rFonts w:ascii="Times New Roman" w:hAnsi="Times New Roman" w:cs="Times New Roman"/>
        </w:rPr>
        <w:t>The clear provision of space on the tower under sub-leasing arrangements;</w:t>
      </w:r>
    </w:p>
    <w:p w14:paraId="641806F3" w14:textId="20C36CB4" w:rsidR="00366599" w:rsidRPr="00E451AB" w:rsidRDefault="00366599" w:rsidP="00E451AB">
      <w:pPr>
        <w:pStyle w:val="ListParagraph"/>
        <w:numPr>
          <w:ilvl w:val="0"/>
          <w:numId w:val="6"/>
        </w:numPr>
        <w:spacing w:line="276" w:lineRule="auto"/>
        <w:jc w:val="both"/>
        <w:rPr>
          <w:rFonts w:ascii="Times New Roman" w:hAnsi="Times New Roman" w:cs="Times New Roman"/>
        </w:rPr>
      </w:pPr>
      <w:r w:rsidRPr="00E451AB">
        <w:rPr>
          <w:rFonts w:ascii="Times New Roman" w:hAnsi="Times New Roman" w:cs="Times New Roman"/>
        </w:rPr>
        <w:t>Allocation of installation and build obligations to one MNOs crew to reduce overall costs.</w:t>
      </w:r>
    </w:p>
    <w:p w14:paraId="685E312F" w14:textId="0091D0CA" w:rsidR="00D710AB" w:rsidRPr="00E451AB" w:rsidRDefault="00D710AB" w:rsidP="00E451AB">
      <w:pPr>
        <w:spacing w:after="0"/>
        <w:jc w:val="both"/>
        <w:rPr>
          <w:rFonts w:ascii="Times New Roman" w:hAnsi="Times New Roman" w:cs="Times New Roman"/>
        </w:rPr>
      </w:pPr>
    </w:p>
    <w:p w14:paraId="1DE15354" w14:textId="6C767DBA" w:rsidR="00781A1A" w:rsidRPr="00E451AB" w:rsidRDefault="00FA5BE2" w:rsidP="00E451AB">
      <w:pPr>
        <w:spacing w:after="0"/>
        <w:jc w:val="both"/>
        <w:rPr>
          <w:rFonts w:ascii="Times New Roman" w:hAnsi="Times New Roman" w:cs="Times New Roman"/>
        </w:rPr>
      </w:pPr>
      <w:r w:rsidRPr="00E451AB">
        <w:rPr>
          <w:rFonts w:ascii="Times New Roman" w:hAnsi="Times New Roman" w:cs="Times New Roman"/>
        </w:rPr>
        <w:t>In addition to these reforms to the negotiation process, we also support proposals for minimum requirements to be built into nominated sites as outlined within the discussion paper to ensure that access can be achieved (</w:t>
      </w:r>
      <w:r w:rsidR="00676306" w:rsidRPr="00E451AB">
        <w:rPr>
          <w:rFonts w:ascii="Times New Roman" w:hAnsi="Times New Roman" w:cs="Times New Roman"/>
        </w:rPr>
        <w:t>e.g. requirements to build additional huts, minimum co-location specifications and sufficient power to allow co-location).</w:t>
      </w:r>
      <w:r w:rsidR="004E545B" w:rsidRPr="00E451AB">
        <w:rPr>
          <w:rFonts w:ascii="Times New Roman" w:hAnsi="Times New Roman" w:cs="Times New Roman"/>
        </w:rPr>
        <w:t xml:space="preserve"> </w:t>
      </w:r>
      <w:r w:rsidR="00D35314" w:rsidRPr="00E451AB">
        <w:rPr>
          <w:rFonts w:ascii="Times New Roman" w:hAnsi="Times New Roman" w:cs="Times New Roman"/>
        </w:rPr>
        <w:t>However, we do not have a view as to the efficient allocation of costs between parties and the approach that should be taken with respect to this process.</w:t>
      </w:r>
    </w:p>
    <w:p w14:paraId="18C24135" w14:textId="2D818F8B" w:rsidR="007F7A31" w:rsidRPr="00E451AB" w:rsidRDefault="007F7A31" w:rsidP="00E451AB">
      <w:pPr>
        <w:spacing w:after="0"/>
        <w:jc w:val="both"/>
        <w:rPr>
          <w:rFonts w:ascii="Times New Roman" w:hAnsi="Times New Roman" w:cs="Times New Roman"/>
        </w:rPr>
      </w:pPr>
    </w:p>
    <w:p w14:paraId="5E6C9A37" w14:textId="58042AAB" w:rsidR="007F7A31" w:rsidRPr="00E451AB" w:rsidRDefault="007F7A31" w:rsidP="00E451AB">
      <w:pPr>
        <w:spacing w:after="0"/>
        <w:jc w:val="both"/>
        <w:rPr>
          <w:rFonts w:ascii="Times New Roman" w:hAnsi="Times New Roman" w:cs="Times New Roman"/>
        </w:rPr>
      </w:pPr>
      <w:r w:rsidRPr="00E451AB">
        <w:rPr>
          <w:rFonts w:ascii="Times New Roman" w:hAnsi="Times New Roman" w:cs="Times New Roman"/>
        </w:rPr>
        <w:t>The adoption of changes to the co-location negotiation process should occur in order to facilitate the achievement of the stated objectives of the code. The modification of consultation processes would allow for the transparent negotiation of access and construction of new facilities in an efficient manner, producing material benefits for consumers.</w:t>
      </w:r>
    </w:p>
    <w:p w14:paraId="325B49F9" w14:textId="77777777" w:rsidR="00676306" w:rsidRPr="00E451AB" w:rsidRDefault="00676306" w:rsidP="00E451AB">
      <w:pPr>
        <w:spacing w:after="0"/>
        <w:jc w:val="both"/>
        <w:rPr>
          <w:rFonts w:ascii="Times New Roman" w:hAnsi="Times New Roman" w:cs="Times New Roman"/>
        </w:rPr>
      </w:pPr>
    </w:p>
    <w:p w14:paraId="5A416080" w14:textId="0B468923" w:rsidR="00B672AE" w:rsidRPr="00E451AB" w:rsidRDefault="00BE12FC" w:rsidP="00E451AB">
      <w:pPr>
        <w:spacing w:after="0"/>
        <w:jc w:val="both"/>
        <w:rPr>
          <w:rFonts w:ascii="Times New Roman" w:hAnsi="Times New Roman" w:cs="Times New Roman"/>
          <w:i/>
          <w:color w:val="FF0000"/>
        </w:rPr>
      </w:pPr>
      <w:r w:rsidRPr="00E451AB">
        <w:rPr>
          <w:rFonts w:ascii="Times New Roman" w:hAnsi="Times New Roman" w:cs="Times New Roman"/>
          <w:i/>
          <w:color w:val="000000" w:themeColor="text1"/>
        </w:rPr>
        <w:t xml:space="preserve">Question </w:t>
      </w:r>
      <w:r w:rsidR="00BF76CD" w:rsidRPr="00E451AB">
        <w:rPr>
          <w:rFonts w:ascii="Times New Roman" w:hAnsi="Times New Roman" w:cs="Times New Roman"/>
          <w:i/>
          <w:color w:val="000000" w:themeColor="text1"/>
        </w:rPr>
        <w:t xml:space="preserve">5: </w:t>
      </w:r>
      <w:r w:rsidR="00B672AE" w:rsidRPr="00E451AB">
        <w:rPr>
          <w:rFonts w:ascii="Times New Roman" w:hAnsi="Times New Roman" w:cs="Times New Roman"/>
          <w:i/>
          <w:color w:val="000000" w:themeColor="text1"/>
        </w:rPr>
        <w:t>Do any of these co-location negotiation processes require further clarification? For example, should ‘reasonable in clause 4.5.2 of the Facilities Access Code be defined?</w:t>
      </w:r>
    </w:p>
    <w:p w14:paraId="2C07CA26" w14:textId="77777777" w:rsidR="00377FED" w:rsidRPr="00E451AB" w:rsidRDefault="00377FED" w:rsidP="00E451AB">
      <w:pPr>
        <w:spacing w:after="0"/>
        <w:jc w:val="both"/>
        <w:rPr>
          <w:rFonts w:ascii="Times New Roman" w:hAnsi="Times New Roman" w:cs="Times New Roman"/>
          <w:color w:val="000000" w:themeColor="text1"/>
        </w:rPr>
      </w:pPr>
    </w:p>
    <w:p w14:paraId="487AD17E" w14:textId="2AC3B2F4" w:rsidR="00E451AB" w:rsidRPr="00E451AB" w:rsidRDefault="00E83786"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ACCAN supports the specification of a non-exclusionary list of factors that are relevant to the assessment of what constitutes reasonable efforts for Clause 4.5.2. of the code. Although reasonableness is a useful concept, as</w:t>
      </w:r>
      <w:r w:rsidR="00D22508" w:rsidRPr="00E451AB">
        <w:rPr>
          <w:rFonts w:ascii="Times New Roman" w:hAnsi="Times New Roman" w:cs="Times New Roman"/>
          <w:color w:val="000000" w:themeColor="text1"/>
        </w:rPr>
        <w:t xml:space="preserve"> it</w:t>
      </w:r>
      <w:r w:rsidRPr="00E451AB">
        <w:rPr>
          <w:rFonts w:ascii="Times New Roman" w:hAnsi="Times New Roman" w:cs="Times New Roman"/>
          <w:color w:val="000000" w:themeColor="text1"/>
        </w:rPr>
        <w:t xml:space="preserve"> provides for a principles-based approach to regulating conduct and precludes avoidance on technical grounds, further clarification would support greater compliance with the intent of the clause. </w:t>
      </w:r>
      <w:r w:rsidR="00B672AE" w:rsidRPr="00E451AB">
        <w:rPr>
          <w:rFonts w:ascii="Times New Roman" w:hAnsi="Times New Roman" w:cs="Times New Roman"/>
          <w:color w:val="000000" w:themeColor="text1"/>
        </w:rPr>
        <w:t xml:space="preserve"> The difficulty for carriers in complying with a revised reasonableness requirement should be minimal, and ACCAN would note that this approach is consistent with economy-wide regulatory measures including those in place under the </w:t>
      </w:r>
      <w:r w:rsidR="00B672AE" w:rsidRPr="00E451AB">
        <w:rPr>
          <w:rFonts w:ascii="Times New Roman" w:hAnsi="Times New Roman" w:cs="Times New Roman"/>
          <w:i/>
          <w:color w:val="000000" w:themeColor="text1"/>
        </w:rPr>
        <w:t xml:space="preserve">Work Health and Safety Act 2011 </w:t>
      </w:r>
      <w:r w:rsidR="00B672AE" w:rsidRPr="00E451AB">
        <w:rPr>
          <w:rFonts w:ascii="Times New Roman" w:hAnsi="Times New Roman" w:cs="Times New Roman"/>
          <w:color w:val="000000" w:themeColor="text1"/>
        </w:rPr>
        <w:t>(Cth) ss. 18-19</w:t>
      </w:r>
      <w:r w:rsidR="00163811" w:rsidRPr="00E451AB">
        <w:rPr>
          <w:rFonts w:ascii="Times New Roman" w:hAnsi="Times New Roman" w:cs="Times New Roman"/>
          <w:color w:val="000000" w:themeColor="text1"/>
        </w:rPr>
        <w:t xml:space="preserve">. </w:t>
      </w:r>
    </w:p>
    <w:p w14:paraId="510F03E9" w14:textId="77777777" w:rsidR="00E451AB" w:rsidRDefault="00E451AB" w:rsidP="00E451AB">
      <w:pPr>
        <w:spacing w:after="0"/>
        <w:jc w:val="both"/>
        <w:rPr>
          <w:rFonts w:ascii="Times New Roman" w:hAnsi="Times New Roman" w:cs="Times New Roman"/>
          <w:i/>
          <w:color w:val="000000" w:themeColor="text1"/>
        </w:rPr>
      </w:pPr>
    </w:p>
    <w:p w14:paraId="4384B729" w14:textId="2D138420" w:rsidR="000C2C0C" w:rsidRPr="00E451AB" w:rsidRDefault="000C2C0C" w:rsidP="00E451AB">
      <w:pPr>
        <w:spacing w:after="0"/>
        <w:jc w:val="both"/>
        <w:rPr>
          <w:rFonts w:ascii="Times New Roman" w:hAnsi="Times New Roman" w:cs="Times New Roman"/>
          <w:i/>
          <w:color w:val="000000" w:themeColor="text1"/>
        </w:rPr>
      </w:pPr>
      <w:r w:rsidRPr="00E451AB">
        <w:rPr>
          <w:rFonts w:ascii="Times New Roman" w:hAnsi="Times New Roman" w:cs="Times New Roman"/>
          <w:i/>
          <w:color w:val="000000" w:themeColor="text1"/>
        </w:rPr>
        <w:t xml:space="preserve">Question 6: </w:t>
      </w:r>
      <w:r w:rsidR="00163811" w:rsidRPr="00E451AB">
        <w:rPr>
          <w:rFonts w:ascii="Times New Roman" w:hAnsi="Times New Roman" w:cs="Times New Roman"/>
          <w:i/>
          <w:color w:val="000000" w:themeColor="text1"/>
        </w:rPr>
        <w:t>Are there any new processes that should be added to Clause 4.5, or any other part of the Facilities Access Code to promote co-location of eligible facilities?</w:t>
      </w:r>
    </w:p>
    <w:p w14:paraId="2B8214F9" w14:textId="4E86E012" w:rsidR="00163811" w:rsidRPr="00E451AB" w:rsidRDefault="00163811" w:rsidP="00E451AB">
      <w:pPr>
        <w:spacing w:after="0"/>
        <w:jc w:val="both"/>
        <w:rPr>
          <w:rFonts w:ascii="Times New Roman" w:hAnsi="Times New Roman" w:cs="Times New Roman"/>
          <w:i/>
          <w:color w:val="FF0000"/>
        </w:rPr>
      </w:pPr>
    </w:p>
    <w:p w14:paraId="304B2458" w14:textId="396BE3EF" w:rsidR="00547ACB" w:rsidRPr="00E451AB" w:rsidRDefault="00D22508"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ACCAN is supportive of the inclusion of the measures and processes outlined with</w:t>
      </w:r>
      <w:r w:rsidR="00872FC8" w:rsidRPr="00E451AB">
        <w:rPr>
          <w:rFonts w:ascii="Times New Roman" w:hAnsi="Times New Roman" w:cs="Times New Roman"/>
          <w:color w:val="000000" w:themeColor="text1"/>
        </w:rPr>
        <w:t>in</w:t>
      </w:r>
      <w:r w:rsidRPr="00E451AB">
        <w:rPr>
          <w:rFonts w:ascii="Times New Roman" w:hAnsi="Times New Roman" w:cs="Times New Roman"/>
          <w:color w:val="000000" w:themeColor="text1"/>
        </w:rPr>
        <w:t xml:space="preserve"> the </w:t>
      </w:r>
      <w:r w:rsidR="00265C3D" w:rsidRPr="00E451AB">
        <w:rPr>
          <w:rFonts w:ascii="Times New Roman" w:hAnsi="Times New Roman" w:cs="Times New Roman"/>
          <w:color w:val="000000" w:themeColor="text1"/>
        </w:rPr>
        <w:t xml:space="preserve">discussion </w:t>
      </w:r>
      <w:r w:rsidR="00781A1A" w:rsidRPr="00E451AB">
        <w:rPr>
          <w:rFonts w:ascii="Times New Roman" w:hAnsi="Times New Roman" w:cs="Times New Roman"/>
          <w:color w:val="000000" w:themeColor="text1"/>
        </w:rPr>
        <w:t>paper and set out briefly above. For further details see the response to question 4.</w:t>
      </w:r>
    </w:p>
    <w:p w14:paraId="1114852D" w14:textId="4D5FB35A" w:rsidR="00547ACB" w:rsidRPr="00E451AB" w:rsidRDefault="00547ACB" w:rsidP="00E451AB">
      <w:pPr>
        <w:spacing w:after="0"/>
        <w:jc w:val="both"/>
        <w:rPr>
          <w:rFonts w:ascii="Times New Roman" w:hAnsi="Times New Roman" w:cs="Times New Roman"/>
          <w:color w:val="000000" w:themeColor="text1"/>
        </w:rPr>
      </w:pPr>
    </w:p>
    <w:p w14:paraId="26F3A729" w14:textId="6B2FF0D0" w:rsidR="00521DB7" w:rsidRPr="00E451AB" w:rsidRDefault="000C2C0C" w:rsidP="00E451AB">
      <w:pPr>
        <w:spacing w:after="0"/>
        <w:jc w:val="both"/>
        <w:rPr>
          <w:rFonts w:ascii="Times New Roman" w:hAnsi="Times New Roman" w:cs="Times New Roman"/>
          <w:i/>
        </w:rPr>
      </w:pPr>
      <w:r w:rsidRPr="00E451AB">
        <w:rPr>
          <w:rFonts w:ascii="Times New Roman" w:hAnsi="Times New Roman" w:cs="Times New Roman"/>
          <w:i/>
        </w:rPr>
        <w:lastRenderedPageBreak/>
        <w:t xml:space="preserve">Question 7: Should the Facilities Access Code impose a ‘use it or lose it obligation’ </w:t>
      </w:r>
      <w:r w:rsidR="004C4116" w:rsidRPr="00E451AB">
        <w:rPr>
          <w:rFonts w:ascii="Times New Roman" w:hAnsi="Times New Roman" w:cs="Times New Roman"/>
          <w:i/>
        </w:rPr>
        <w:t xml:space="preserve">as a mandatory or non-mandatory code condition. If so, should it apply to all eligible facilities and carriers using the facility? What time period should apply? </w:t>
      </w:r>
    </w:p>
    <w:p w14:paraId="50A7A223" w14:textId="77777777" w:rsidR="00521DB7" w:rsidRPr="00E451AB" w:rsidRDefault="00521DB7" w:rsidP="00E451AB">
      <w:pPr>
        <w:spacing w:after="0"/>
        <w:jc w:val="both"/>
        <w:rPr>
          <w:rFonts w:ascii="Times New Roman" w:hAnsi="Times New Roman" w:cs="Times New Roman"/>
          <w:i/>
        </w:rPr>
      </w:pPr>
    </w:p>
    <w:p w14:paraId="16AC3B58" w14:textId="46EDA6E8" w:rsidR="004C4116" w:rsidRPr="00E451AB" w:rsidRDefault="001C5C4C" w:rsidP="00E451AB">
      <w:pPr>
        <w:spacing w:after="0"/>
        <w:jc w:val="both"/>
        <w:rPr>
          <w:rFonts w:ascii="Times New Roman" w:hAnsi="Times New Roman" w:cs="Times New Roman"/>
        </w:rPr>
      </w:pPr>
      <w:r w:rsidRPr="00E451AB">
        <w:rPr>
          <w:rFonts w:ascii="Times New Roman" w:hAnsi="Times New Roman" w:cs="Times New Roman"/>
        </w:rPr>
        <w:t xml:space="preserve">ACCAN supports the introduction of </w:t>
      </w:r>
      <w:r w:rsidR="009B60C0" w:rsidRPr="00E451AB">
        <w:rPr>
          <w:rFonts w:ascii="Times New Roman" w:hAnsi="Times New Roman" w:cs="Times New Roman"/>
        </w:rPr>
        <w:t>a</w:t>
      </w:r>
      <w:r w:rsidRPr="00E451AB">
        <w:rPr>
          <w:rFonts w:ascii="Times New Roman" w:hAnsi="Times New Roman" w:cs="Times New Roman"/>
        </w:rPr>
        <w:t xml:space="preserve"> mandatory</w:t>
      </w:r>
      <w:r w:rsidR="009B60C0" w:rsidRPr="00E451AB">
        <w:rPr>
          <w:rFonts w:ascii="Times New Roman" w:hAnsi="Times New Roman" w:cs="Times New Roman"/>
        </w:rPr>
        <w:t xml:space="preserve"> use-it or lose-it obligation </w:t>
      </w:r>
      <w:r w:rsidRPr="00E451AB">
        <w:rPr>
          <w:rFonts w:ascii="Times New Roman" w:hAnsi="Times New Roman" w:cs="Times New Roman"/>
        </w:rPr>
        <w:t xml:space="preserve">to </w:t>
      </w:r>
      <w:r w:rsidR="009B60C0" w:rsidRPr="00E451AB">
        <w:rPr>
          <w:rFonts w:ascii="Times New Roman" w:hAnsi="Times New Roman" w:cs="Times New Roman"/>
        </w:rPr>
        <w:t>reduce</w:t>
      </w:r>
      <w:r w:rsidR="00521DB7" w:rsidRPr="00E451AB">
        <w:rPr>
          <w:rFonts w:ascii="Times New Roman" w:hAnsi="Times New Roman" w:cs="Times New Roman"/>
        </w:rPr>
        <w:t xml:space="preserve"> </w:t>
      </w:r>
      <w:r w:rsidR="00743055" w:rsidRPr="00E451AB">
        <w:rPr>
          <w:rFonts w:ascii="Times New Roman" w:hAnsi="Times New Roman" w:cs="Times New Roman"/>
        </w:rPr>
        <w:t xml:space="preserve">incentives for service providers </w:t>
      </w:r>
      <w:r w:rsidR="00386C61" w:rsidRPr="00E451AB">
        <w:rPr>
          <w:rFonts w:ascii="Times New Roman" w:hAnsi="Times New Roman" w:cs="Times New Roman"/>
        </w:rPr>
        <w:t>and</w:t>
      </w:r>
      <w:r w:rsidR="00743055" w:rsidRPr="00E451AB">
        <w:rPr>
          <w:rFonts w:ascii="Times New Roman" w:hAnsi="Times New Roman" w:cs="Times New Roman"/>
        </w:rPr>
        <w:t xml:space="preserve"> facilities owners to opportunistically seek to </w:t>
      </w:r>
      <w:r w:rsidR="00386C61" w:rsidRPr="00E451AB">
        <w:rPr>
          <w:rFonts w:ascii="Times New Roman" w:hAnsi="Times New Roman" w:cs="Times New Roman"/>
        </w:rPr>
        <w:t>foreclose access for the purposes of deterring competition</w:t>
      </w:r>
      <w:r w:rsidRPr="00E451AB">
        <w:rPr>
          <w:rFonts w:ascii="Times New Roman" w:hAnsi="Times New Roman" w:cs="Times New Roman"/>
        </w:rPr>
        <w:t xml:space="preserve">. As part of this </w:t>
      </w:r>
      <w:r w:rsidR="002E6464" w:rsidRPr="00E451AB">
        <w:rPr>
          <w:rFonts w:ascii="Times New Roman" w:hAnsi="Times New Roman" w:cs="Times New Roman"/>
        </w:rPr>
        <w:t>mandatory obligation</w:t>
      </w:r>
      <w:r w:rsidRPr="00E451AB">
        <w:rPr>
          <w:rFonts w:ascii="Times New Roman" w:hAnsi="Times New Roman" w:cs="Times New Roman"/>
        </w:rPr>
        <w:t xml:space="preserve"> </w:t>
      </w:r>
      <w:r w:rsidR="00ED7493" w:rsidRPr="00E451AB">
        <w:rPr>
          <w:rFonts w:ascii="Times New Roman" w:hAnsi="Times New Roman" w:cs="Times New Roman"/>
        </w:rPr>
        <w:t>we</w:t>
      </w:r>
      <w:r w:rsidRPr="00E451AB">
        <w:rPr>
          <w:rFonts w:ascii="Times New Roman" w:hAnsi="Times New Roman" w:cs="Times New Roman"/>
        </w:rPr>
        <w:t xml:space="preserve"> support the re</w:t>
      </w:r>
      <w:r w:rsidR="002E6464" w:rsidRPr="00E451AB">
        <w:rPr>
          <w:rFonts w:ascii="Times New Roman" w:hAnsi="Times New Roman" w:cs="Times New Roman"/>
        </w:rPr>
        <w:t>porting of instances where a carrier or facilities owner has failed to use reserved facilities in order to aid the ACCC in the assessment of whether a party is seeking to foreclose access</w:t>
      </w:r>
      <w:r w:rsidR="00ED7493" w:rsidRPr="00E451AB">
        <w:rPr>
          <w:rFonts w:ascii="Times New Roman" w:hAnsi="Times New Roman" w:cs="Times New Roman"/>
        </w:rPr>
        <w:t xml:space="preserve"> or engaging in anti-competitive behaviour</w:t>
      </w:r>
      <w:r w:rsidR="002E6464" w:rsidRPr="00E451AB">
        <w:rPr>
          <w:rFonts w:ascii="Times New Roman" w:hAnsi="Times New Roman" w:cs="Times New Roman"/>
        </w:rPr>
        <w:t xml:space="preserve">. </w:t>
      </w:r>
    </w:p>
    <w:p w14:paraId="645BD20D" w14:textId="62202634" w:rsidR="002E6464" w:rsidRPr="00E451AB" w:rsidRDefault="002E6464" w:rsidP="00E451AB">
      <w:pPr>
        <w:spacing w:after="0"/>
        <w:jc w:val="both"/>
        <w:rPr>
          <w:rFonts w:ascii="Times New Roman" w:hAnsi="Times New Roman" w:cs="Times New Roman"/>
        </w:rPr>
      </w:pPr>
    </w:p>
    <w:p w14:paraId="1F591B70" w14:textId="401D598C" w:rsidR="002E6464" w:rsidRPr="00E451AB" w:rsidRDefault="00ED7493" w:rsidP="00E451AB">
      <w:pPr>
        <w:spacing w:after="0"/>
        <w:jc w:val="both"/>
        <w:rPr>
          <w:rFonts w:ascii="Times New Roman" w:hAnsi="Times New Roman" w:cs="Times New Roman"/>
        </w:rPr>
      </w:pPr>
      <w:r w:rsidRPr="00E451AB">
        <w:rPr>
          <w:rFonts w:ascii="Times New Roman" w:hAnsi="Times New Roman" w:cs="Times New Roman"/>
        </w:rPr>
        <w:t xml:space="preserve">The obligation should apply to all eligible </w:t>
      </w:r>
      <w:r w:rsidR="00C3063C" w:rsidRPr="00E451AB">
        <w:rPr>
          <w:rFonts w:ascii="Times New Roman" w:hAnsi="Times New Roman" w:cs="Times New Roman"/>
        </w:rPr>
        <w:t>facilities</w:t>
      </w:r>
      <w:r w:rsidRPr="00E451AB">
        <w:rPr>
          <w:rFonts w:ascii="Times New Roman" w:hAnsi="Times New Roman" w:cs="Times New Roman"/>
        </w:rPr>
        <w:t xml:space="preserve"> in order to preclude gaming, noting that thus far the majority of reports concerning anti-competitive reservation of space have primarily concerned mobile tower space. </w:t>
      </w:r>
      <w:r w:rsidR="00C3063C" w:rsidRPr="00E451AB">
        <w:rPr>
          <w:rFonts w:ascii="Times New Roman" w:hAnsi="Times New Roman" w:cs="Times New Roman"/>
        </w:rPr>
        <w:t xml:space="preserve">The obligation should impose a two-year period for the loss of reserved access to facilities, although ACCAN supports ongoing consideration of the suitability of this period for different types of facilities. </w:t>
      </w:r>
    </w:p>
    <w:p w14:paraId="45C05655" w14:textId="77777777" w:rsidR="00F008F8" w:rsidRPr="00E451AB" w:rsidRDefault="00F008F8" w:rsidP="00E451AB">
      <w:pPr>
        <w:spacing w:after="0"/>
        <w:jc w:val="both"/>
        <w:rPr>
          <w:rFonts w:ascii="Times New Roman" w:hAnsi="Times New Roman" w:cs="Times New Roman"/>
          <w:i/>
        </w:rPr>
      </w:pPr>
    </w:p>
    <w:p w14:paraId="2091B055" w14:textId="70E6834E" w:rsidR="00547ACB" w:rsidRPr="00E451AB" w:rsidRDefault="00521DB7" w:rsidP="00E451AB">
      <w:pPr>
        <w:spacing w:after="0"/>
        <w:jc w:val="both"/>
        <w:rPr>
          <w:rFonts w:ascii="Times New Roman" w:hAnsi="Times New Roman" w:cs="Times New Roman"/>
          <w:i/>
        </w:rPr>
      </w:pPr>
      <w:r w:rsidRPr="00E451AB">
        <w:rPr>
          <w:rFonts w:ascii="Times New Roman" w:hAnsi="Times New Roman" w:cs="Times New Roman"/>
          <w:i/>
        </w:rPr>
        <w:t>Question 8: How would a ‘use it or lose it’ obligation operate? For example, should a carrier lose access to any portion of the facility that it does not use within the designated timeframe?</w:t>
      </w:r>
    </w:p>
    <w:p w14:paraId="564829CA" w14:textId="29781E4C" w:rsidR="00521DB7" w:rsidRPr="00E451AB" w:rsidRDefault="00521DB7" w:rsidP="00E451AB">
      <w:pPr>
        <w:spacing w:after="0"/>
        <w:jc w:val="both"/>
        <w:rPr>
          <w:rFonts w:ascii="Times New Roman" w:hAnsi="Times New Roman" w:cs="Times New Roman"/>
          <w:i/>
        </w:rPr>
      </w:pPr>
    </w:p>
    <w:p w14:paraId="002F2361" w14:textId="0B158EE9" w:rsidR="00521DB7" w:rsidRPr="00E451AB" w:rsidRDefault="00F4690E" w:rsidP="00E451AB">
      <w:pPr>
        <w:spacing w:after="0"/>
        <w:jc w:val="both"/>
        <w:rPr>
          <w:rFonts w:ascii="Times New Roman" w:hAnsi="Times New Roman" w:cs="Times New Roman"/>
        </w:rPr>
      </w:pPr>
      <w:r w:rsidRPr="00E451AB">
        <w:rPr>
          <w:rFonts w:ascii="Times New Roman" w:hAnsi="Times New Roman" w:cs="Times New Roman"/>
        </w:rPr>
        <w:t xml:space="preserve">The obligation should result in a carrier losing access to a defined </w:t>
      </w:r>
      <w:r w:rsidR="00C55B60" w:rsidRPr="00E451AB">
        <w:rPr>
          <w:rFonts w:ascii="Times New Roman" w:hAnsi="Times New Roman" w:cs="Times New Roman"/>
        </w:rPr>
        <w:t xml:space="preserve">portion of the facility </w:t>
      </w:r>
      <w:r w:rsidR="00AC3171" w:rsidRPr="00E451AB">
        <w:rPr>
          <w:rFonts w:ascii="Times New Roman" w:hAnsi="Times New Roman" w:cs="Times New Roman"/>
        </w:rPr>
        <w:t>that it does not use within the designated timeframe</w:t>
      </w:r>
      <w:r w:rsidR="00FA4DA4" w:rsidRPr="00E451AB">
        <w:rPr>
          <w:rFonts w:ascii="Times New Roman" w:hAnsi="Times New Roman" w:cs="Times New Roman"/>
        </w:rPr>
        <w:t xml:space="preserve">. </w:t>
      </w:r>
      <w:r w:rsidR="00867CD8" w:rsidRPr="00E451AB">
        <w:rPr>
          <w:rFonts w:ascii="Times New Roman" w:hAnsi="Times New Roman" w:cs="Times New Roman"/>
        </w:rPr>
        <w:t xml:space="preserve">As part of the loss of access, a </w:t>
      </w:r>
      <w:r w:rsidR="00F10B18" w:rsidRPr="00E451AB">
        <w:rPr>
          <w:rFonts w:ascii="Times New Roman" w:hAnsi="Times New Roman" w:cs="Times New Roman"/>
        </w:rPr>
        <w:t>carrier</w:t>
      </w:r>
      <w:r w:rsidR="00867CD8" w:rsidRPr="00E451AB">
        <w:rPr>
          <w:rFonts w:ascii="Times New Roman" w:hAnsi="Times New Roman" w:cs="Times New Roman"/>
        </w:rPr>
        <w:t xml:space="preserve"> that is seeking access to the </w:t>
      </w:r>
      <w:r w:rsidR="00F10B18" w:rsidRPr="00E451AB">
        <w:rPr>
          <w:rFonts w:ascii="Times New Roman" w:hAnsi="Times New Roman" w:cs="Times New Roman"/>
        </w:rPr>
        <w:t>unused area within the facility should lodge an application for the area, and the losing carrier would need to demonstrate to the ACCC why on the merits the application should be rejected. This process could be undertaken within the context of the existing regulatory arbitration regime and would preclude the use of the obligation to disturb genuine attempts to use reserved facilities (e.g. where construction runs over be a period of months or days).</w:t>
      </w:r>
    </w:p>
    <w:p w14:paraId="6EB8CE89" w14:textId="66F15723" w:rsidR="00547ACB" w:rsidRPr="00E451AB" w:rsidRDefault="00547ACB" w:rsidP="00E451AB">
      <w:pPr>
        <w:spacing w:after="0"/>
        <w:jc w:val="both"/>
        <w:rPr>
          <w:rFonts w:ascii="Times New Roman" w:hAnsi="Times New Roman" w:cs="Times New Roman"/>
        </w:rPr>
      </w:pPr>
    </w:p>
    <w:p w14:paraId="20CD5A2D" w14:textId="40FBD938" w:rsidR="009C2D47" w:rsidRPr="00E451AB" w:rsidRDefault="009C2D47" w:rsidP="00E451AB">
      <w:pPr>
        <w:spacing w:after="0"/>
        <w:jc w:val="both"/>
        <w:rPr>
          <w:rFonts w:ascii="Times New Roman" w:hAnsi="Times New Roman" w:cs="Times New Roman"/>
          <w:i/>
        </w:rPr>
      </w:pPr>
      <w:r w:rsidRPr="00E451AB">
        <w:rPr>
          <w:rFonts w:ascii="Times New Roman" w:hAnsi="Times New Roman" w:cs="Times New Roman"/>
          <w:i/>
        </w:rPr>
        <w:t>Question 9:</w:t>
      </w:r>
      <w:r w:rsidR="00F10B18" w:rsidRPr="00E451AB">
        <w:rPr>
          <w:rFonts w:ascii="Times New Roman" w:hAnsi="Times New Roman" w:cs="Times New Roman"/>
          <w:i/>
        </w:rPr>
        <w:t xml:space="preserve"> </w:t>
      </w:r>
      <w:r w:rsidR="00900B0F" w:rsidRPr="00E451AB">
        <w:rPr>
          <w:rFonts w:ascii="Times New Roman" w:hAnsi="Times New Roman" w:cs="Times New Roman"/>
          <w:i/>
        </w:rPr>
        <w:t>Are there any improvements that could be made</w:t>
      </w:r>
      <w:r w:rsidR="003E018A" w:rsidRPr="00E451AB">
        <w:rPr>
          <w:rFonts w:ascii="Times New Roman" w:hAnsi="Times New Roman" w:cs="Times New Roman"/>
          <w:i/>
        </w:rPr>
        <w:t xml:space="preserve"> to the Facilities Access Code to further facilitate access to eligible facilities owned and/or operated by NBN Co?</w:t>
      </w:r>
    </w:p>
    <w:p w14:paraId="7952BAB8" w14:textId="75D20AD1" w:rsidR="009C2D47" w:rsidRPr="00E451AB" w:rsidRDefault="009C2D47" w:rsidP="00E451AB">
      <w:pPr>
        <w:spacing w:after="0"/>
        <w:jc w:val="both"/>
        <w:rPr>
          <w:rFonts w:ascii="Times New Roman" w:hAnsi="Times New Roman" w:cs="Times New Roman"/>
          <w:i/>
        </w:rPr>
      </w:pPr>
    </w:p>
    <w:p w14:paraId="5883E84E" w14:textId="0B1DA867" w:rsidR="00D44632" w:rsidRPr="00E451AB" w:rsidRDefault="009C2D47" w:rsidP="00E451AB">
      <w:pPr>
        <w:spacing w:after="0"/>
        <w:jc w:val="both"/>
        <w:rPr>
          <w:rFonts w:ascii="Times New Roman" w:hAnsi="Times New Roman" w:cs="Times New Roman"/>
        </w:rPr>
      </w:pPr>
      <w:r w:rsidRPr="00E451AB">
        <w:rPr>
          <w:rFonts w:ascii="Times New Roman" w:hAnsi="Times New Roman" w:cs="Times New Roman"/>
        </w:rPr>
        <w:t xml:space="preserve">ACCAN is broadly supportive of measures to leverage existing </w:t>
      </w:r>
      <w:r w:rsidR="00A95222" w:rsidRPr="00E451AB">
        <w:rPr>
          <w:rFonts w:ascii="Times New Roman" w:hAnsi="Times New Roman" w:cs="Times New Roman"/>
        </w:rPr>
        <w:t>infrastructure</w:t>
      </w:r>
      <w:r w:rsidRPr="00E451AB">
        <w:rPr>
          <w:rFonts w:ascii="Times New Roman" w:hAnsi="Times New Roman" w:cs="Times New Roman"/>
        </w:rPr>
        <w:t xml:space="preserve"> including nbn facilities to </w:t>
      </w:r>
      <w:r w:rsidR="003E018A" w:rsidRPr="00E451AB">
        <w:rPr>
          <w:rFonts w:ascii="Times New Roman" w:hAnsi="Times New Roman" w:cs="Times New Roman"/>
        </w:rPr>
        <w:t xml:space="preserve">provide </w:t>
      </w:r>
      <w:r w:rsidR="00DB734E" w:rsidRPr="00E451AB">
        <w:rPr>
          <w:rFonts w:ascii="Times New Roman" w:hAnsi="Times New Roman" w:cs="Times New Roman"/>
        </w:rPr>
        <w:t xml:space="preserve">increased </w:t>
      </w:r>
      <w:r w:rsidR="003E018A" w:rsidRPr="00E451AB">
        <w:rPr>
          <w:rFonts w:ascii="Times New Roman" w:hAnsi="Times New Roman" w:cs="Times New Roman"/>
        </w:rPr>
        <w:t>coverage</w:t>
      </w:r>
      <w:r w:rsidR="00DB734E" w:rsidRPr="00E451AB">
        <w:rPr>
          <w:rFonts w:ascii="Times New Roman" w:hAnsi="Times New Roman" w:cs="Times New Roman"/>
        </w:rPr>
        <w:t xml:space="preserve"> and more cost-effective services for consumers</w:t>
      </w:r>
      <w:r w:rsidR="003E018A" w:rsidRPr="00E451AB">
        <w:rPr>
          <w:rFonts w:ascii="Times New Roman" w:hAnsi="Times New Roman" w:cs="Times New Roman"/>
        </w:rPr>
        <w:t>. In the absence of technical barriers to ac</w:t>
      </w:r>
      <w:r w:rsidR="00964792" w:rsidRPr="00E451AB">
        <w:rPr>
          <w:rFonts w:ascii="Times New Roman" w:hAnsi="Times New Roman" w:cs="Times New Roman"/>
        </w:rPr>
        <w:t xml:space="preserve">cessing these facilities </w:t>
      </w:r>
      <w:r w:rsidR="00DB734E" w:rsidRPr="00E451AB">
        <w:rPr>
          <w:rFonts w:ascii="Times New Roman" w:hAnsi="Times New Roman" w:cs="Times New Roman"/>
        </w:rPr>
        <w:t>ACCAN would support</w:t>
      </w:r>
      <w:r w:rsidR="002A0FFE" w:rsidRPr="00E451AB">
        <w:rPr>
          <w:rFonts w:ascii="Times New Roman" w:hAnsi="Times New Roman" w:cs="Times New Roman"/>
        </w:rPr>
        <w:t xml:space="preserve"> the facilities being subject to the terms of a reformed code, and for</w:t>
      </w:r>
      <w:r w:rsidR="00DB734E" w:rsidRPr="00E451AB">
        <w:rPr>
          <w:rFonts w:ascii="Times New Roman" w:hAnsi="Times New Roman" w:cs="Times New Roman"/>
        </w:rPr>
        <w:t xml:space="preserve"> further consultation concerning the potential for </w:t>
      </w:r>
      <w:r w:rsidR="002A0FFE" w:rsidRPr="00E451AB">
        <w:rPr>
          <w:rFonts w:ascii="Times New Roman" w:hAnsi="Times New Roman" w:cs="Times New Roman"/>
        </w:rPr>
        <w:t xml:space="preserve">specific reforms </w:t>
      </w:r>
      <w:r w:rsidR="00DB734E" w:rsidRPr="00E451AB">
        <w:rPr>
          <w:rFonts w:ascii="Times New Roman" w:hAnsi="Times New Roman" w:cs="Times New Roman"/>
        </w:rPr>
        <w:t xml:space="preserve">to access arrangements for these facilities. </w:t>
      </w:r>
    </w:p>
    <w:p w14:paraId="11F5375E" w14:textId="77777777" w:rsidR="004E1457" w:rsidRPr="00E451AB" w:rsidRDefault="004E1457" w:rsidP="00E451AB">
      <w:pPr>
        <w:spacing w:after="0"/>
        <w:jc w:val="both"/>
        <w:rPr>
          <w:rFonts w:ascii="Times New Roman" w:hAnsi="Times New Roman" w:cs="Times New Roman"/>
          <w:i/>
        </w:rPr>
      </w:pPr>
    </w:p>
    <w:p w14:paraId="142ED136" w14:textId="42761586" w:rsidR="00AC3171" w:rsidRPr="00E451AB" w:rsidRDefault="001914FD" w:rsidP="00E451AB">
      <w:pPr>
        <w:spacing w:after="0"/>
        <w:jc w:val="both"/>
        <w:rPr>
          <w:rFonts w:ascii="Times New Roman" w:hAnsi="Times New Roman" w:cs="Times New Roman"/>
          <w:i/>
        </w:rPr>
      </w:pPr>
      <w:r w:rsidRPr="00E451AB">
        <w:rPr>
          <w:rFonts w:ascii="Times New Roman" w:hAnsi="Times New Roman" w:cs="Times New Roman"/>
          <w:i/>
        </w:rPr>
        <w:t xml:space="preserve">Question 10: </w:t>
      </w:r>
      <w:r w:rsidR="00900B0F" w:rsidRPr="00E451AB">
        <w:rPr>
          <w:rFonts w:ascii="Times New Roman" w:hAnsi="Times New Roman" w:cs="Times New Roman"/>
          <w:i/>
        </w:rPr>
        <w:t>Are there any improvements that could be made to the Facilities Access Code to facilitate the deployment of distributed antenna systems?</w:t>
      </w:r>
    </w:p>
    <w:p w14:paraId="04ED7194" w14:textId="2636C1F9" w:rsidR="001914FD" w:rsidRPr="00E451AB" w:rsidRDefault="001914FD" w:rsidP="00E451AB">
      <w:pPr>
        <w:spacing w:after="0"/>
        <w:jc w:val="both"/>
        <w:rPr>
          <w:rFonts w:ascii="Times New Roman" w:hAnsi="Times New Roman" w:cs="Times New Roman"/>
          <w:i/>
        </w:rPr>
      </w:pPr>
    </w:p>
    <w:p w14:paraId="1DBC40DB" w14:textId="26E16A6E" w:rsidR="001914FD" w:rsidRDefault="001914FD" w:rsidP="00E451AB">
      <w:pPr>
        <w:spacing w:after="0"/>
        <w:jc w:val="both"/>
        <w:rPr>
          <w:rFonts w:ascii="Times New Roman" w:hAnsi="Times New Roman" w:cs="Times New Roman"/>
        </w:rPr>
      </w:pPr>
      <w:r w:rsidRPr="00E451AB">
        <w:rPr>
          <w:rFonts w:ascii="Times New Roman" w:hAnsi="Times New Roman" w:cs="Times New Roman"/>
        </w:rPr>
        <w:t xml:space="preserve">ACCAN has been advised that there is the potential for antennae systems and the supporting infrastructure to be designed to facilitate co-location and for supporting infrastructure to be designed to be carrier neutral. ACCAN supports modifications to the code insofar that it is technically and economically feasible for carrier neutral antennae structures to be developed and </w:t>
      </w:r>
      <w:r w:rsidR="003B64C1" w:rsidRPr="00E451AB">
        <w:rPr>
          <w:rFonts w:ascii="Times New Roman" w:hAnsi="Times New Roman" w:cs="Times New Roman"/>
        </w:rPr>
        <w:t>deployed and</w:t>
      </w:r>
      <w:r w:rsidR="003E49AA" w:rsidRPr="00E451AB">
        <w:rPr>
          <w:rFonts w:ascii="Times New Roman" w:hAnsi="Times New Roman" w:cs="Times New Roman"/>
        </w:rPr>
        <w:t xml:space="preserve"> would note that the proposals outlined </w:t>
      </w:r>
      <w:r w:rsidR="00F10B18" w:rsidRPr="00E451AB">
        <w:rPr>
          <w:rFonts w:ascii="Times New Roman" w:hAnsi="Times New Roman" w:cs="Times New Roman"/>
        </w:rPr>
        <w:t>with respect to pre-</w:t>
      </w:r>
      <w:r w:rsidR="003B64C1" w:rsidRPr="00E451AB">
        <w:rPr>
          <w:rFonts w:ascii="Times New Roman" w:hAnsi="Times New Roman" w:cs="Times New Roman"/>
        </w:rPr>
        <w:t>build discussions within the discussion paper would facilitate the achievement of this objective.</w:t>
      </w:r>
    </w:p>
    <w:p w14:paraId="07C0A299" w14:textId="77777777" w:rsidR="00E451AB" w:rsidRDefault="00E451AB" w:rsidP="00E451AB">
      <w:pPr>
        <w:spacing w:after="0"/>
        <w:jc w:val="both"/>
        <w:rPr>
          <w:rFonts w:ascii="Times New Roman" w:hAnsi="Times New Roman" w:cs="Times New Roman"/>
        </w:rPr>
      </w:pPr>
    </w:p>
    <w:p w14:paraId="042A779D" w14:textId="77777777" w:rsidR="00E451AB" w:rsidRDefault="00E451AB" w:rsidP="00E451AB">
      <w:pPr>
        <w:spacing w:after="0"/>
        <w:jc w:val="both"/>
        <w:rPr>
          <w:rFonts w:ascii="Times New Roman" w:hAnsi="Times New Roman" w:cs="Times New Roman"/>
        </w:rPr>
      </w:pPr>
    </w:p>
    <w:p w14:paraId="15C4CE58" w14:textId="3A2CC1C3" w:rsidR="00900B0F" w:rsidRPr="00E451AB" w:rsidRDefault="00900B0F" w:rsidP="00E451AB">
      <w:pPr>
        <w:spacing w:after="0"/>
        <w:jc w:val="both"/>
        <w:rPr>
          <w:rFonts w:ascii="Times New Roman" w:hAnsi="Times New Roman" w:cs="Times New Roman"/>
        </w:rPr>
      </w:pPr>
    </w:p>
    <w:p w14:paraId="62122DBB" w14:textId="196C9809" w:rsidR="00900B0F" w:rsidRPr="00E451AB" w:rsidRDefault="00900B0F" w:rsidP="00E451AB">
      <w:pPr>
        <w:spacing w:after="0"/>
        <w:jc w:val="both"/>
        <w:rPr>
          <w:rFonts w:ascii="Times New Roman" w:hAnsi="Times New Roman" w:cs="Times New Roman"/>
          <w:i/>
        </w:rPr>
      </w:pPr>
      <w:r w:rsidRPr="00E451AB">
        <w:rPr>
          <w:rFonts w:ascii="Times New Roman" w:hAnsi="Times New Roman" w:cs="Times New Roman"/>
          <w:i/>
        </w:rPr>
        <w:t xml:space="preserve">Question 11: </w:t>
      </w:r>
      <w:r w:rsidR="006E6416" w:rsidRPr="00E451AB">
        <w:rPr>
          <w:rFonts w:ascii="Times New Roman" w:hAnsi="Times New Roman" w:cs="Times New Roman"/>
          <w:i/>
        </w:rPr>
        <w:t>Are there any barriers to accessing underground facilities, particularly leading to the NBN POI sites and data centres? If so, how could the Facilities Access Code be amended to mitigate these barriers?</w:t>
      </w:r>
    </w:p>
    <w:p w14:paraId="761148CA" w14:textId="30C1C308" w:rsidR="006E6416" w:rsidRPr="00E451AB" w:rsidRDefault="006E6416" w:rsidP="00E451AB">
      <w:pPr>
        <w:spacing w:after="0"/>
        <w:jc w:val="both"/>
        <w:rPr>
          <w:rFonts w:ascii="Times New Roman" w:hAnsi="Times New Roman" w:cs="Times New Roman"/>
          <w:i/>
        </w:rPr>
      </w:pPr>
    </w:p>
    <w:p w14:paraId="45B0D5DC" w14:textId="296FBD96" w:rsidR="003F7826" w:rsidRPr="00E451AB" w:rsidRDefault="006E6416" w:rsidP="00E451AB">
      <w:pPr>
        <w:spacing w:after="0"/>
        <w:jc w:val="both"/>
        <w:rPr>
          <w:rFonts w:ascii="Times New Roman" w:hAnsi="Times New Roman" w:cs="Times New Roman"/>
        </w:rPr>
      </w:pPr>
      <w:r w:rsidRPr="00E451AB">
        <w:rPr>
          <w:rFonts w:ascii="Times New Roman" w:hAnsi="Times New Roman" w:cs="Times New Roman"/>
        </w:rPr>
        <w:t xml:space="preserve">ACCAN has been advised in the course of its consultations that some carriers are facing difficulties in </w:t>
      </w:r>
      <w:r w:rsidR="003F7826" w:rsidRPr="00E451AB">
        <w:rPr>
          <w:rFonts w:ascii="Times New Roman" w:hAnsi="Times New Roman" w:cs="Times New Roman"/>
        </w:rPr>
        <w:t>accessing NBN facilities</w:t>
      </w:r>
      <w:r w:rsidR="007F7A31" w:rsidRPr="00E451AB">
        <w:rPr>
          <w:rFonts w:ascii="Times New Roman" w:hAnsi="Times New Roman" w:cs="Times New Roman"/>
        </w:rPr>
        <w:t>, however specific barriers were not identified. In principle ACCAN is supportive of greater access to facilities in order to facilitate the efficient use of infrastructure and the provision of affordable services to consumers. In the absence of any technical or logistical barriers to greater use of nbn sites and data centres ACCAN would support measures to increase access being articulated in the code.</w:t>
      </w:r>
    </w:p>
    <w:p w14:paraId="515810F3" w14:textId="77777777" w:rsidR="001914FD" w:rsidRPr="00E451AB" w:rsidRDefault="001914FD" w:rsidP="00E451AB">
      <w:pPr>
        <w:spacing w:after="0"/>
        <w:jc w:val="both"/>
        <w:rPr>
          <w:rFonts w:ascii="Times New Roman" w:hAnsi="Times New Roman" w:cs="Times New Roman"/>
          <w:i/>
        </w:rPr>
      </w:pPr>
    </w:p>
    <w:p w14:paraId="3DBD631C" w14:textId="4234611F" w:rsidR="00AD75B9" w:rsidRPr="00E451AB" w:rsidRDefault="00AD75B9" w:rsidP="00E451AB">
      <w:pPr>
        <w:spacing w:after="0"/>
        <w:jc w:val="both"/>
        <w:rPr>
          <w:rFonts w:ascii="Times New Roman" w:hAnsi="Times New Roman" w:cs="Times New Roman"/>
          <w:i/>
        </w:rPr>
      </w:pPr>
      <w:r w:rsidRPr="00E451AB">
        <w:rPr>
          <w:rFonts w:ascii="Times New Roman" w:hAnsi="Times New Roman" w:cs="Times New Roman"/>
          <w:i/>
        </w:rPr>
        <w:t xml:space="preserve">Question 12: </w:t>
      </w:r>
      <w:r w:rsidR="00706CD2" w:rsidRPr="00E451AB">
        <w:rPr>
          <w:rFonts w:ascii="Times New Roman" w:hAnsi="Times New Roman" w:cs="Times New Roman"/>
          <w:i/>
        </w:rPr>
        <w:t>Are there any changes to the Facilities Access Code required to facilitate the roll-out of 5G technologies?</w:t>
      </w:r>
    </w:p>
    <w:p w14:paraId="6E7EC05F" w14:textId="0FA6DBC0" w:rsidR="00706CD2" w:rsidRPr="00E451AB" w:rsidRDefault="00706CD2" w:rsidP="00E451AB">
      <w:pPr>
        <w:spacing w:after="0"/>
        <w:jc w:val="both"/>
        <w:rPr>
          <w:rFonts w:ascii="Times New Roman" w:hAnsi="Times New Roman" w:cs="Times New Roman"/>
          <w:i/>
        </w:rPr>
      </w:pPr>
    </w:p>
    <w:p w14:paraId="0A73CC6F" w14:textId="751413F5" w:rsidR="00B14025" w:rsidRPr="00E451AB" w:rsidRDefault="009C65B2" w:rsidP="00E451AB">
      <w:pPr>
        <w:spacing w:after="0"/>
        <w:jc w:val="both"/>
        <w:rPr>
          <w:rFonts w:ascii="Times New Roman" w:hAnsi="Times New Roman" w:cs="Times New Roman"/>
        </w:rPr>
      </w:pPr>
      <w:r w:rsidRPr="00E451AB">
        <w:rPr>
          <w:rFonts w:ascii="Times New Roman" w:hAnsi="Times New Roman" w:cs="Times New Roman"/>
          <w:color w:val="000000" w:themeColor="text1"/>
        </w:rPr>
        <w:t xml:space="preserve">As noted </w:t>
      </w:r>
      <w:r w:rsidR="00FE0E99" w:rsidRPr="00E451AB">
        <w:rPr>
          <w:rFonts w:ascii="Times New Roman" w:hAnsi="Times New Roman" w:cs="Times New Roman"/>
          <w:color w:val="000000" w:themeColor="text1"/>
        </w:rPr>
        <w:t xml:space="preserve">in the discussion paper </w:t>
      </w:r>
      <w:r w:rsidR="004D0BF0" w:rsidRPr="00E451AB">
        <w:rPr>
          <w:rFonts w:ascii="Times New Roman" w:hAnsi="Times New Roman" w:cs="Times New Roman"/>
          <w:color w:val="000000" w:themeColor="text1"/>
        </w:rPr>
        <w:t>the propagation characteristics of 5G are such that it is likely as part of the rollout of 5G services that there will be significant investment in small cell facilities</w:t>
      </w:r>
      <w:r w:rsidR="00655156" w:rsidRPr="00E451AB">
        <w:rPr>
          <w:rFonts w:ascii="Times New Roman" w:hAnsi="Times New Roman" w:cs="Times New Roman"/>
          <w:color w:val="000000" w:themeColor="text1"/>
        </w:rPr>
        <w:t xml:space="preserve"> and increased density of facilities within a given area.</w:t>
      </w:r>
      <w:r w:rsidR="004D0BF0" w:rsidRPr="00E451AB">
        <w:rPr>
          <w:rFonts w:ascii="Times New Roman" w:hAnsi="Times New Roman" w:cs="Times New Roman"/>
          <w:color w:val="000000" w:themeColor="text1"/>
        </w:rPr>
        <w:t xml:space="preserve"> </w:t>
      </w:r>
      <w:r w:rsidR="00A021EB" w:rsidRPr="00E451AB">
        <w:rPr>
          <w:rFonts w:ascii="Times New Roman" w:hAnsi="Times New Roman" w:cs="Times New Roman"/>
          <w:color w:val="000000" w:themeColor="text1"/>
        </w:rPr>
        <w:t xml:space="preserve">In </w:t>
      </w:r>
      <w:r w:rsidR="00B14025" w:rsidRPr="00E451AB">
        <w:rPr>
          <w:rFonts w:ascii="Times New Roman" w:hAnsi="Times New Roman" w:cs="Times New Roman"/>
        </w:rPr>
        <w:t xml:space="preserve">light of the need for greater investments in infrastructure as part of the rollout of 5G services in metropolitan areas, ACCAN considers that the code should be updated to encourage greater co-location to minimise unnecessary loss of amenity by communities. </w:t>
      </w:r>
    </w:p>
    <w:p w14:paraId="3001E8E6" w14:textId="77777777" w:rsidR="00F008F8" w:rsidRPr="00E451AB" w:rsidRDefault="00F008F8" w:rsidP="00E451AB">
      <w:pPr>
        <w:spacing w:after="0"/>
        <w:jc w:val="both"/>
        <w:rPr>
          <w:rFonts w:ascii="Times New Roman" w:hAnsi="Times New Roman" w:cs="Times New Roman"/>
        </w:rPr>
      </w:pPr>
    </w:p>
    <w:p w14:paraId="48BE916A" w14:textId="77777777" w:rsidR="00706B7A" w:rsidRPr="00E451AB" w:rsidRDefault="00000452"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 xml:space="preserve">In the course of its consultations, ACCAN has been advised that some service providers are in the process of seeking access to facilities on terms that would preclude competitor service providers from using these facilities, as part of their 5G rollout. </w:t>
      </w:r>
      <w:r w:rsidR="00B14025" w:rsidRPr="00E451AB">
        <w:rPr>
          <w:rFonts w:ascii="Times New Roman" w:hAnsi="Times New Roman" w:cs="Times New Roman"/>
          <w:color w:val="000000" w:themeColor="text1"/>
        </w:rPr>
        <w:t xml:space="preserve">Although these comments have been anecdotal, ACCAN believes that there are sufficient grounds for reforms to increase consultation obligations to preclude such behaviour going forward. </w:t>
      </w:r>
    </w:p>
    <w:p w14:paraId="22A8934D" w14:textId="77777777" w:rsidR="00706B7A" w:rsidRPr="00E451AB" w:rsidRDefault="00706B7A" w:rsidP="00E451AB">
      <w:pPr>
        <w:spacing w:after="0"/>
        <w:jc w:val="both"/>
        <w:rPr>
          <w:rFonts w:ascii="Times New Roman" w:hAnsi="Times New Roman" w:cs="Times New Roman"/>
          <w:color w:val="000000" w:themeColor="text1"/>
        </w:rPr>
      </w:pPr>
    </w:p>
    <w:p w14:paraId="4545E401" w14:textId="1E4E822F" w:rsidR="00547ACB" w:rsidRPr="00E451AB" w:rsidRDefault="00B14025" w:rsidP="00E451AB">
      <w:pPr>
        <w:spacing w:after="0"/>
        <w:jc w:val="both"/>
        <w:rPr>
          <w:rFonts w:ascii="Times New Roman" w:hAnsi="Times New Roman" w:cs="Times New Roman"/>
        </w:rPr>
      </w:pPr>
      <w:r w:rsidRPr="00E451AB">
        <w:rPr>
          <w:rFonts w:ascii="Times New Roman" w:hAnsi="Times New Roman" w:cs="Times New Roman"/>
          <w:color w:val="000000" w:themeColor="text1"/>
        </w:rPr>
        <w:t xml:space="preserve">We believe reform is merited as such behaviour will cause detriment to consumers and communities by increasing the overall cost of infrastructure, and therefore services, reduce visual amenity and for carriers </w:t>
      </w:r>
      <w:r w:rsidR="00A021EB" w:rsidRPr="00E451AB">
        <w:rPr>
          <w:rFonts w:ascii="Times New Roman" w:hAnsi="Times New Roman" w:cs="Times New Roman"/>
          <w:color w:val="000000" w:themeColor="text1"/>
        </w:rPr>
        <w:t xml:space="preserve">to </w:t>
      </w:r>
      <w:r w:rsidRPr="00E451AB">
        <w:rPr>
          <w:rFonts w:ascii="Times New Roman" w:hAnsi="Times New Roman" w:cs="Times New Roman"/>
          <w:color w:val="000000" w:themeColor="text1"/>
        </w:rPr>
        <w:t>undermine their social license with respect to infrastructure and facilities construction.</w:t>
      </w:r>
      <w:r w:rsidR="00706B7A" w:rsidRPr="00E451AB">
        <w:rPr>
          <w:rFonts w:ascii="Times New Roman" w:hAnsi="Times New Roman" w:cs="Times New Roman"/>
          <w:color w:val="000000" w:themeColor="text1"/>
        </w:rPr>
        <w:t xml:space="preserve"> The adoption of the reforms outlined within the discussion paper and the adoption of mandatory consultation processes and public notice requirements are likely to go some way to addressing this problem. </w:t>
      </w:r>
      <w:r w:rsidR="00C36092" w:rsidRPr="00E451AB">
        <w:rPr>
          <w:rFonts w:ascii="Times New Roman" w:hAnsi="Times New Roman" w:cs="Times New Roman"/>
          <w:color w:val="000000" w:themeColor="text1"/>
        </w:rPr>
        <w:t>However,</w:t>
      </w:r>
      <w:r w:rsidR="00706B7A" w:rsidRPr="00E451AB">
        <w:rPr>
          <w:rFonts w:ascii="Times New Roman" w:hAnsi="Times New Roman" w:cs="Times New Roman"/>
          <w:color w:val="000000" w:themeColor="text1"/>
        </w:rPr>
        <w:t xml:space="preserve"> given the scale of investment required as part of the rollout of 5G, we support the current position of the ACCC to maintain a watching brief and review the need for further regulatory intervention to preclude unnecessary loss through duplication of facilities </w:t>
      </w:r>
      <w:r w:rsidR="00706B7A" w:rsidRPr="00E451AB">
        <w:rPr>
          <w:rFonts w:ascii="Times New Roman" w:hAnsi="Times New Roman" w:cs="Times New Roman"/>
          <w:color w:val="000000" w:themeColor="text1"/>
          <w:lang w:val="en-US"/>
        </w:rPr>
        <w:t>(2018, p.143–4)</w:t>
      </w:r>
      <w:r w:rsidR="00706B7A" w:rsidRPr="00E451AB">
        <w:rPr>
          <w:rFonts w:ascii="Times New Roman" w:hAnsi="Times New Roman" w:cs="Times New Roman"/>
          <w:color w:val="000000" w:themeColor="text1"/>
        </w:rPr>
        <w:t>.</w:t>
      </w:r>
    </w:p>
    <w:p w14:paraId="65CECF90" w14:textId="550A5F48" w:rsidR="008F3BC0" w:rsidRPr="00E451AB" w:rsidRDefault="008F3BC0" w:rsidP="00E451AB">
      <w:pPr>
        <w:spacing w:after="0"/>
        <w:jc w:val="both"/>
        <w:rPr>
          <w:rFonts w:ascii="Times New Roman" w:hAnsi="Times New Roman" w:cs="Times New Roman"/>
          <w:b/>
        </w:rPr>
      </w:pPr>
    </w:p>
    <w:p w14:paraId="2D07EE0E" w14:textId="77777777" w:rsidR="00E451AB" w:rsidRDefault="00E451AB" w:rsidP="00E451AB">
      <w:pPr>
        <w:spacing w:after="0"/>
        <w:jc w:val="both"/>
        <w:rPr>
          <w:rFonts w:ascii="Times New Roman" w:hAnsi="Times New Roman" w:cs="Times New Roman"/>
          <w:b/>
        </w:rPr>
      </w:pPr>
    </w:p>
    <w:p w14:paraId="24446AA6" w14:textId="77777777" w:rsidR="00E451AB" w:rsidRDefault="00E451AB" w:rsidP="00E451AB">
      <w:pPr>
        <w:spacing w:after="0"/>
        <w:jc w:val="both"/>
        <w:rPr>
          <w:rFonts w:ascii="Times New Roman" w:hAnsi="Times New Roman" w:cs="Times New Roman"/>
          <w:b/>
        </w:rPr>
      </w:pPr>
    </w:p>
    <w:p w14:paraId="6FBC3ACB" w14:textId="77777777" w:rsidR="00E451AB" w:rsidRDefault="00E451AB" w:rsidP="00E451AB">
      <w:pPr>
        <w:spacing w:after="0"/>
        <w:jc w:val="both"/>
        <w:rPr>
          <w:rFonts w:ascii="Times New Roman" w:hAnsi="Times New Roman" w:cs="Times New Roman"/>
          <w:b/>
        </w:rPr>
      </w:pPr>
    </w:p>
    <w:p w14:paraId="23286B71" w14:textId="77777777" w:rsidR="00E451AB" w:rsidRDefault="00E451AB" w:rsidP="00E451AB">
      <w:pPr>
        <w:spacing w:after="0"/>
        <w:jc w:val="both"/>
        <w:rPr>
          <w:rFonts w:ascii="Times New Roman" w:hAnsi="Times New Roman" w:cs="Times New Roman"/>
          <w:b/>
        </w:rPr>
      </w:pPr>
    </w:p>
    <w:p w14:paraId="60AEA4E4" w14:textId="77777777" w:rsidR="00E451AB" w:rsidRDefault="00E451AB" w:rsidP="00E451AB">
      <w:pPr>
        <w:spacing w:after="0"/>
        <w:jc w:val="both"/>
        <w:rPr>
          <w:rFonts w:ascii="Times New Roman" w:hAnsi="Times New Roman" w:cs="Times New Roman"/>
          <w:b/>
        </w:rPr>
      </w:pPr>
    </w:p>
    <w:p w14:paraId="26F8ACAD" w14:textId="77777777" w:rsidR="00E451AB" w:rsidRDefault="00E451AB" w:rsidP="00E451AB">
      <w:pPr>
        <w:spacing w:after="0"/>
        <w:jc w:val="both"/>
        <w:rPr>
          <w:rFonts w:ascii="Times New Roman" w:hAnsi="Times New Roman" w:cs="Times New Roman"/>
          <w:b/>
        </w:rPr>
      </w:pPr>
    </w:p>
    <w:p w14:paraId="2D052744" w14:textId="77777777" w:rsidR="00E451AB" w:rsidRDefault="00E451AB" w:rsidP="00E451AB">
      <w:pPr>
        <w:spacing w:after="0"/>
        <w:jc w:val="both"/>
        <w:rPr>
          <w:rFonts w:ascii="Times New Roman" w:hAnsi="Times New Roman" w:cs="Times New Roman"/>
          <w:b/>
        </w:rPr>
      </w:pPr>
    </w:p>
    <w:p w14:paraId="39C01AF1" w14:textId="77777777" w:rsidR="00E451AB" w:rsidRDefault="00E451AB" w:rsidP="00E451AB">
      <w:pPr>
        <w:spacing w:after="0"/>
        <w:jc w:val="both"/>
        <w:rPr>
          <w:rFonts w:ascii="Times New Roman" w:hAnsi="Times New Roman" w:cs="Times New Roman"/>
          <w:b/>
        </w:rPr>
      </w:pPr>
    </w:p>
    <w:p w14:paraId="19D67515" w14:textId="77777777" w:rsidR="00E451AB" w:rsidRDefault="00E451AB" w:rsidP="00E451AB">
      <w:pPr>
        <w:spacing w:after="0"/>
        <w:jc w:val="both"/>
        <w:rPr>
          <w:rFonts w:ascii="Times New Roman" w:hAnsi="Times New Roman" w:cs="Times New Roman"/>
          <w:b/>
        </w:rPr>
      </w:pPr>
    </w:p>
    <w:p w14:paraId="53565ED3" w14:textId="77777777" w:rsidR="00E451AB" w:rsidRDefault="00E451AB" w:rsidP="00E451AB">
      <w:pPr>
        <w:spacing w:after="0"/>
        <w:jc w:val="both"/>
        <w:rPr>
          <w:rFonts w:ascii="Times New Roman" w:hAnsi="Times New Roman" w:cs="Times New Roman"/>
          <w:b/>
        </w:rPr>
      </w:pPr>
    </w:p>
    <w:p w14:paraId="3380A756" w14:textId="77777777" w:rsidR="00E451AB" w:rsidRDefault="00E451AB" w:rsidP="00E451AB">
      <w:pPr>
        <w:spacing w:after="0"/>
        <w:jc w:val="both"/>
        <w:rPr>
          <w:rFonts w:ascii="Times New Roman" w:hAnsi="Times New Roman" w:cs="Times New Roman"/>
          <w:b/>
        </w:rPr>
      </w:pPr>
    </w:p>
    <w:p w14:paraId="442AC8E4" w14:textId="6934FD83" w:rsidR="00BA6687" w:rsidRPr="00E451AB" w:rsidRDefault="000931B0" w:rsidP="00E451AB">
      <w:pPr>
        <w:spacing w:after="0"/>
        <w:jc w:val="both"/>
        <w:rPr>
          <w:rFonts w:ascii="Times New Roman" w:hAnsi="Times New Roman" w:cs="Times New Roman"/>
          <w:b/>
        </w:rPr>
      </w:pPr>
      <w:r w:rsidRPr="00E451AB">
        <w:rPr>
          <w:rFonts w:ascii="Times New Roman" w:hAnsi="Times New Roman" w:cs="Times New Roman"/>
          <w:b/>
        </w:rPr>
        <w:lastRenderedPageBreak/>
        <w:t>Concluding remarks</w:t>
      </w:r>
    </w:p>
    <w:p w14:paraId="30EE78FF" w14:textId="192A54AD" w:rsidR="000931B0" w:rsidRPr="00E451AB" w:rsidRDefault="000931B0" w:rsidP="00E451AB">
      <w:pPr>
        <w:spacing w:after="0"/>
        <w:jc w:val="both"/>
        <w:rPr>
          <w:rFonts w:ascii="Times New Roman" w:hAnsi="Times New Roman" w:cs="Times New Roman"/>
          <w:b/>
        </w:rPr>
      </w:pPr>
    </w:p>
    <w:p w14:paraId="07FF1EDB" w14:textId="44E5195E" w:rsidR="00AC3171" w:rsidRPr="00E451AB" w:rsidRDefault="00AC3171" w:rsidP="00E451AB">
      <w:pPr>
        <w:spacing w:after="0"/>
        <w:jc w:val="both"/>
        <w:rPr>
          <w:rFonts w:ascii="Times New Roman" w:hAnsi="Times New Roman" w:cs="Times New Roman"/>
        </w:rPr>
      </w:pPr>
      <w:r w:rsidRPr="00E451AB">
        <w:rPr>
          <w:rFonts w:ascii="Times New Roman" w:hAnsi="Times New Roman" w:cs="Times New Roman"/>
        </w:rPr>
        <w:t xml:space="preserve">ACCAN supports the proposed reforms set out within the discussion </w:t>
      </w:r>
      <w:r w:rsidR="00706B7A" w:rsidRPr="00E451AB">
        <w:rPr>
          <w:rFonts w:ascii="Times New Roman" w:hAnsi="Times New Roman" w:cs="Times New Roman"/>
        </w:rPr>
        <w:t>paper and</w:t>
      </w:r>
      <w:r w:rsidRPr="00E451AB">
        <w:rPr>
          <w:rFonts w:ascii="Times New Roman" w:hAnsi="Times New Roman" w:cs="Times New Roman"/>
        </w:rPr>
        <w:t xml:space="preserve"> note</w:t>
      </w:r>
      <w:r w:rsidR="00A021EB" w:rsidRPr="00E451AB">
        <w:rPr>
          <w:rFonts w:ascii="Times New Roman" w:hAnsi="Times New Roman" w:cs="Times New Roman"/>
        </w:rPr>
        <w:t>s</w:t>
      </w:r>
      <w:r w:rsidRPr="00E451AB">
        <w:rPr>
          <w:rFonts w:ascii="Times New Roman" w:hAnsi="Times New Roman" w:cs="Times New Roman"/>
        </w:rPr>
        <w:t xml:space="preserve"> that the measures are proportionate and targeted to the substantive problems that exist with the current formulation of the code</w:t>
      </w:r>
      <w:r w:rsidR="00706B7A" w:rsidRPr="00E451AB">
        <w:rPr>
          <w:rFonts w:ascii="Times New Roman" w:hAnsi="Times New Roman" w:cs="Times New Roman"/>
        </w:rPr>
        <w:t xml:space="preserve"> </w:t>
      </w:r>
      <w:r w:rsidR="00706B7A" w:rsidRPr="00E451AB">
        <w:rPr>
          <w:rFonts w:ascii="Times New Roman" w:hAnsi="Times New Roman" w:cs="Times New Roman"/>
          <w:noProof/>
        </w:rPr>
        <w:t>(OECD 2012)</w:t>
      </w:r>
      <w:r w:rsidRPr="00E451AB">
        <w:rPr>
          <w:rFonts w:ascii="Times New Roman" w:hAnsi="Times New Roman" w:cs="Times New Roman"/>
        </w:rPr>
        <w:t xml:space="preserve">. </w:t>
      </w:r>
      <w:r w:rsidR="00A630CE" w:rsidRPr="00E451AB">
        <w:rPr>
          <w:rFonts w:ascii="Times New Roman" w:hAnsi="Times New Roman" w:cs="Times New Roman"/>
        </w:rPr>
        <w:t xml:space="preserve">We consider that the absence of public information concerning access arrangements, co-location and co-investment in infrastructure is problematic from the perspective of assessing the merits of the existing code, and code reforms. </w:t>
      </w:r>
    </w:p>
    <w:p w14:paraId="52FDEAAD" w14:textId="1E4B80A3" w:rsidR="00A630CE" w:rsidRPr="00E451AB" w:rsidRDefault="00A630CE" w:rsidP="00E451AB">
      <w:pPr>
        <w:spacing w:after="0"/>
        <w:jc w:val="both"/>
        <w:rPr>
          <w:rFonts w:ascii="Times New Roman" w:hAnsi="Times New Roman" w:cs="Times New Roman"/>
          <w:color w:val="000000" w:themeColor="text1"/>
        </w:rPr>
      </w:pPr>
    </w:p>
    <w:p w14:paraId="65685549" w14:textId="30B50EDC" w:rsidR="00E451AB" w:rsidRDefault="00A630CE" w:rsidP="00E451AB">
      <w:pPr>
        <w:spacing w:after="0"/>
        <w:jc w:val="both"/>
        <w:rPr>
          <w:rFonts w:ascii="Times New Roman" w:hAnsi="Times New Roman" w:cs="Times New Roman"/>
          <w:color w:val="000000" w:themeColor="text1"/>
        </w:rPr>
      </w:pPr>
      <w:r w:rsidRPr="00E451AB">
        <w:rPr>
          <w:rFonts w:ascii="Times New Roman" w:hAnsi="Times New Roman" w:cs="Times New Roman"/>
          <w:color w:val="000000" w:themeColor="text1"/>
        </w:rPr>
        <w:t xml:space="preserve">The lack of information concerning the extent to which the code has promoted co-location and co-building of infrastructure is </w:t>
      </w:r>
      <w:r w:rsidR="000245A0" w:rsidRPr="00E451AB">
        <w:rPr>
          <w:rFonts w:ascii="Times New Roman" w:hAnsi="Times New Roman" w:cs="Times New Roman"/>
          <w:color w:val="000000" w:themeColor="text1"/>
        </w:rPr>
        <w:t>however of concern</w:t>
      </w:r>
      <w:r w:rsidRPr="00E451AB">
        <w:rPr>
          <w:rFonts w:ascii="Times New Roman" w:hAnsi="Times New Roman" w:cs="Times New Roman"/>
          <w:color w:val="000000" w:themeColor="text1"/>
        </w:rPr>
        <w:t>,</w:t>
      </w:r>
      <w:r w:rsidR="000245A0" w:rsidRPr="00E451AB">
        <w:rPr>
          <w:rFonts w:ascii="Times New Roman" w:hAnsi="Times New Roman" w:cs="Times New Roman"/>
          <w:color w:val="000000" w:themeColor="text1"/>
        </w:rPr>
        <w:t xml:space="preserve"> and ACCAN would support greater disclosure by carriers, noting that the withholding of essential information may be a tactic to preclude regulatory scrutiny </w:t>
      </w:r>
      <w:r w:rsidR="000245A0" w:rsidRPr="00E451AB">
        <w:rPr>
          <w:rFonts w:ascii="Times New Roman" w:hAnsi="Times New Roman" w:cs="Times New Roman"/>
          <w:noProof/>
          <w:color w:val="000000" w:themeColor="text1"/>
        </w:rPr>
        <w:t>(Quirk 2014)</w:t>
      </w:r>
      <w:r w:rsidR="000245A0" w:rsidRPr="00E451AB">
        <w:rPr>
          <w:rFonts w:ascii="Times New Roman" w:hAnsi="Times New Roman" w:cs="Times New Roman"/>
          <w:color w:val="000000" w:themeColor="text1"/>
        </w:rPr>
        <w:t>. More relevantly, ACCAN w</w:t>
      </w:r>
      <w:r w:rsidRPr="00E451AB">
        <w:rPr>
          <w:rFonts w:ascii="Times New Roman" w:hAnsi="Times New Roman" w:cs="Times New Roman"/>
          <w:color w:val="000000" w:themeColor="text1"/>
        </w:rPr>
        <w:t xml:space="preserve">ould note that the </w:t>
      </w:r>
      <w:r w:rsidR="000931B0" w:rsidRPr="00E451AB">
        <w:rPr>
          <w:rFonts w:ascii="Times New Roman" w:hAnsi="Times New Roman" w:cs="Times New Roman"/>
          <w:color w:val="000000" w:themeColor="text1"/>
        </w:rPr>
        <w:t>absence of</w:t>
      </w:r>
      <w:r w:rsidR="00EE6215" w:rsidRPr="00E451AB">
        <w:rPr>
          <w:rFonts w:ascii="Times New Roman" w:hAnsi="Times New Roman" w:cs="Times New Roman"/>
          <w:color w:val="000000" w:themeColor="text1"/>
        </w:rPr>
        <w:t xml:space="preserve"> evidence has been documented as a significant problem in the development of policy and the assessment of the impacts of regulation domestically </w:t>
      </w:r>
      <w:r w:rsidR="00674B56" w:rsidRPr="00E451AB">
        <w:rPr>
          <w:rFonts w:ascii="Times New Roman" w:hAnsi="Times New Roman" w:cs="Times New Roman"/>
          <w:noProof/>
          <w:color w:val="000000" w:themeColor="text1"/>
        </w:rPr>
        <w:t>(PC 2012, p.11)</w:t>
      </w:r>
      <w:r w:rsidRPr="00E451AB">
        <w:rPr>
          <w:rFonts w:ascii="Times New Roman" w:hAnsi="Times New Roman" w:cs="Times New Roman"/>
          <w:color w:val="000000" w:themeColor="text1"/>
        </w:rPr>
        <w:t xml:space="preserve"> </w:t>
      </w:r>
      <w:r w:rsidR="00EE6215" w:rsidRPr="00E451AB">
        <w:rPr>
          <w:rFonts w:ascii="Times New Roman" w:hAnsi="Times New Roman" w:cs="Times New Roman"/>
          <w:color w:val="000000" w:themeColor="text1"/>
        </w:rPr>
        <w:t xml:space="preserve">and internationally </w:t>
      </w:r>
      <w:r w:rsidR="000F690B" w:rsidRPr="00E451AB">
        <w:rPr>
          <w:rFonts w:ascii="Times New Roman" w:hAnsi="Times New Roman" w:cs="Times New Roman"/>
          <w:noProof/>
          <w:color w:val="000000" w:themeColor="text1"/>
        </w:rPr>
        <w:t>(Cecot et al. 2008; Hahn &amp; Hird 1991; Hahn 1998; Hahn et al. 2000; Hahn &amp; Dudley 2007; Hahn &amp; Tetlock 2008)</w:t>
      </w:r>
      <w:r w:rsidR="000F690B" w:rsidRPr="00E451AB">
        <w:rPr>
          <w:rFonts w:ascii="Times New Roman" w:hAnsi="Times New Roman" w:cs="Times New Roman"/>
          <w:color w:val="000000" w:themeColor="text1"/>
        </w:rPr>
        <w:t>.</w:t>
      </w:r>
    </w:p>
    <w:p w14:paraId="6E9CAFA0" w14:textId="77777777" w:rsidR="00E451AB" w:rsidRDefault="00E451AB" w:rsidP="00E451AB">
      <w:pPr>
        <w:spacing w:after="0"/>
        <w:jc w:val="both"/>
        <w:rPr>
          <w:rFonts w:ascii="Times New Roman" w:hAnsi="Times New Roman" w:cs="Times New Roman"/>
          <w:color w:val="000000" w:themeColor="text1"/>
        </w:rPr>
      </w:pPr>
    </w:p>
    <w:p w14:paraId="1FD65257" w14:textId="45A5ABB7" w:rsidR="00892094" w:rsidRPr="00E451AB" w:rsidRDefault="00E27E03" w:rsidP="00E451AB">
      <w:pPr>
        <w:spacing w:after="0"/>
        <w:jc w:val="both"/>
        <w:rPr>
          <w:rFonts w:ascii="Times New Roman" w:hAnsi="Times New Roman" w:cs="Times New Roman"/>
          <w:b/>
        </w:rPr>
      </w:pPr>
      <w:r w:rsidRPr="00E451AB">
        <w:rPr>
          <w:rFonts w:ascii="Times New Roman" w:hAnsi="Times New Roman" w:cs="Times New Roman"/>
          <w:color w:val="000000" w:themeColor="text1"/>
        </w:rPr>
        <w:t xml:space="preserve">Noting the constraints that exist </w:t>
      </w:r>
      <w:r w:rsidR="00F757AE" w:rsidRPr="00E451AB">
        <w:rPr>
          <w:rFonts w:ascii="Times New Roman" w:hAnsi="Times New Roman" w:cs="Times New Roman"/>
          <w:color w:val="000000" w:themeColor="text1"/>
        </w:rPr>
        <w:t>due</w:t>
      </w:r>
      <w:r w:rsidRPr="00E451AB">
        <w:rPr>
          <w:rFonts w:ascii="Times New Roman" w:hAnsi="Times New Roman" w:cs="Times New Roman"/>
          <w:color w:val="000000" w:themeColor="text1"/>
        </w:rPr>
        <w:t xml:space="preserve"> to the limited publicly available information, ACCAN is very supportive of the proposed reforms noting that they represent a measured and considered response to the issues surrounding the suitability of the code. </w:t>
      </w:r>
      <w:r w:rsidR="00BC74BA" w:rsidRPr="00E451AB">
        <w:rPr>
          <w:rFonts w:ascii="Times New Roman" w:hAnsi="Times New Roman" w:cs="Times New Roman"/>
          <w:color w:val="000000" w:themeColor="text1"/>
        </w:rPr>
        <w:t>Accordingly,</w:t>
      </w:r>
      <w:r w:rsidR="00D72848" w:rsidRPr="00E451AB">
        <w:rPr>
          <w:rFonts w:ascii="Times New Roman" w:hAnsi="Times New Roman" w:cs="Times New Roman"/>
          <w:color w:val="000000" w:themeColor="text1"/>
        </w:rPr>
        <w:t xml:space="preserve"> we believe that the proposals outlined within the discussion paper are likely to provide significant benefits to consumers through increased coverage, more affordable services and reduce the negative effects to amenity associated with </w:t>
      </w:r>
      <w:r w:rsidR="0038143B" w:rsidRPr="00E451AB">
        <w:rPr>
          <w:rFonts w:ascii="Times New Roman" w:hAnsi="Times New Roman" w:cs="Times New Roman"/>
          <w:color w:val="000000" w:themeColor="text1"/>
        </w:rPr>
        <w:t xml:space="preserve">duplicating </w:t>
      </w:r>
      <w:r w:rsidR="00D72848" w:rsidRPr="00E451AB">
        <w:rPr>
          <w:rFonts w:ascii="Times New Roman" w:hAnsi="Times New Roman" w:cs="Times New Roman"/>
          <w:color w:val="000000" w:themeColor="text1"/>
        </w:rPr>
        <w:t>facilities.</w:t>
      </w:r>
    </w:p>
    <w:p w14:paraId="21DED2E0" w14:textId="7C4C9EE2" w:rsidR="00EB73C8" w:rsidRPr="00E451AB" w:rsidRDefault="00EB73C8" w:rsidP="00E451AB">
      <w:pPr>
        <w:spacing w:after="0"/>
        <w:jc w:val="both"/>
        <w:rPr>
          <w:rFonts w:ascii="Times New Roman" w:hAnsi="Times New Roman" w:cs="Times New Roman"/>
          <w:b/>
        </w:rPr>
      </w:pPr>
    </w:p>
    <w:p w14:paraId="5F62DAC5" w14:textId="7EBCDA69" w:rsidR="00D53901" w:rsidRPr="00E451AB" w:rsidRDefault="00E7226E" w:rsidP="00E451AB">
      <w:pPr>
        <w:pStyle w:val="BodyText1"/>
        <w:jc w:val="both"/>
        <w:rPr>
          <w:rFonts w:ascii="Times New Roman" w:hAnsi="Times New Roman" w:cs="Times New Roman"/>
          <w:color w:val="auto"/>
        </w:rPr>
      </w:pPr>
      <w:r w:rsidRPr="00E451AB">
        <w:rPr>
          <w:rFonts w:ascii="Times New Roman" w:hAnsi="Times New Roman" w:cs="Times New Roman"/>
          <w:color w:val="auto"/>
        </w:rPr>
        <w:t xml:space="preserve">Should you wish to discuss this submission further please do not hesitate to get in contact.  </w:t>
      </w:r>
    </w:p>
    <w:p w14:paraId="0C0A92BA" w14:textId="77777777" w:rsidR="00E451AB" w:rsidRDefault="00E451AB" w:rsidP="00E451AB">
      <w:pPr>
        <w:pStyle w:val="BodyText1"/>
        <w:rPr>
          <w:rFonts w:ascii="Times New Roman" w:hAnsi="Times New Roman" w:cs="Times New Roman"/>
          <w:color w:val="auto"/>
        </w:rPr>
      </w:pPr>
    </w:p>
    <w:p w14:paraId="7E4ABA6D" w14:textId="77777777" w:rsidR="00E7226E" w:rsidRPr="00E451AB" w:rsidRDefault="00E7226E" w:rsidP="00E451AB">
      <w:pPr>
        <w:pStyle w:val="BodyText1"/>
        <w:rPr>
          <w:rFonts w:ascii="Times New Roman" w:hAnsi="Times New Roman" w:cs="Times New Roman"/>
          <w:color w:val="auto"/>
        </w:rPr>
      </w:pPr>
      <w:r w:rsidRPr="00E451AB">
        <w:rPr>
          <w:rFonts w:ascii="Times New Roman" w:hAnsi="Times New Roman" w:cs="Times New Roman"/>
          <w:color w:val="auto"/>
        </w:rPr>
        <w:t>Yours sincerely,</w:t>
      </w:r>
    </w:p>
    <w:p w14:paraId="13DEDB97" w14:textId="77777777" w:rsidR="00E7226E" w:rsidRDefault="00E7226E" w:rsidP="00E451AB">
      <w:pPr>
        <w:pStyle w:val="BodyText1"/>
        <w:rPr>
          <w:rFonts w:ascii="Times New Roman" w:hAnsi="Times New Roman" w:cs="Times New Roman"/>
          <w:color w:val="auto"/>
        </w:rPr>
      </w:pPr>
    </w:p>
    <w:p w14:paraId="6289BBFC" w14:textId="77777777" w:rsidR="00E451AB" w:rsidRPr="00E451AB" w:rsidRDefault="00E451AB" w:rsidP="00E451AB">
      <w:pPr>
        <w:pStyle w:val="BodyText1"/>
        <w:rPr>
          <w:rFonts w:ascii="Times New Roman" w:hAnsi="Times New Roman" w:cs="Times New Roman"/>
          <w:color w:val="auto"/>
        </w:rPr>
      </w:pPr>
    </w:p>
    <w:p w14:paraId="69A04A2F" w14:textId="454AD2E7" w:rsidR="00E451AB" w:rsidRPr="00E451AB" w:rsidRDefault="00E7226E" w:rsidP="00E451AB">
      <w:pPr>
        <w:pStyle w:val="BodyText1"/>
        <w:rPr>
          <w:rFonts w:ascii="Times New Roman" w:hAnsi="Times New Roman" w:cs="Times New Roman"/>
          <w:color w:val="auto"/>
        </w:rPr>
      </w:pPr>
      <w:r w:rsidRPr="00E451AB">
        <w:rPr>
          <w:rFonts w:ascii="Times New Roman" w:hAnsi="Times New Roman" w:cs="Times New Roman"/>
          <w:color w:val="auto"/>
        </w:rPr>
        <w:t>Gareth Downing</w:t>
      </w:r>
    </w:p>
    <w:p w14:paraId="3D1879A7" w14:textId="77777777" w:rsidR="00E7226E" w:rsidRPr="00E451AB" w:rsidRDefault="00E7226E" w:rsidP="00E451AB">
      <w:pPr>
        <w:pStyle w:val="BodyText1"/>
        <w:rPr>
          <w:rFonts w:ascii="Times New Roman" w:hAnsi="Times New Roman" w:cs="Times New Roman"/>
          <w:color w:val="auto"/>
        </w:rPr>
      </w:pPr>
      <w:r w:rsidRPr="00E451AB">
        <w:rPr>
          <w:rFonts w:ascii="Times New Roman" w:hAnsi="Times New Roman" w:cs="Times New Roman"/>
          <w:color w:val="auto"/>
        </w:rPr>
        <w:t xml:space="preserve">Senior Policy Analyst </w:t>
      </w:r>
    </w:p>
    <w:p w14:paraId="22783732" w14:textId="78EA2CA3" w:rsidR="00EB73C8" w:rsidRDefault="00EB73C8" w:rsidP="00E451AB">
      <w:pPr>
        <w:spacing w:after="0"/>
        <w:jc w:val="both"/>
        <w:rPr>
          <w:rFonts w:ascii="Times New Roman" w:hAnsi="Times New Roman" w:cs="Times New Roman"/>
          <w:b/>
        </w:rPr>
      </w:pPr>
    </w:p>
    <w:p w14:paraId="0CAB97F4" w14:textId="77777777" w:rsidR="00E451AB" w:rsidRDefault="00E451AB" w:rsidP="00E451AB">
      <w:pPr>
        <w:spacing w:after="0"/>
        <w:jc w:val="both"/>
        <w:rPr>
          <w:rFonts w:ascii="Times New Roman" w:hAnsi="Times New Roman" w:cs="Times New Roman"/>
          <w:b/>
        </w:rPr>
      </w:pPr>
    </w:p>
    <w:p w14:paraId="2DF12FD4" w14:textId="77777777" w:rsidR="00E451AB" w:rsidRDefault="00E451AB" w:rsidP="00E451AB">
      <w:pPr>
        <w:spacing w:after="0"/>
        <w:jc w:val="both"/>
        <w:rPr>
          <w:rFonts w:ascii="Times New Roman" w:hAnsi="Times New Roman" w:cs="Times New Roman"/>
          <w:b/>
        </w:rPr>
      </w:pPr>
    </w:p>
    <w:p w14:paraId="18C496BC" w14:textId="77777777" w:rsidR="00E451AB" w:rsidRDefault="00E451AB" w:rsidP="00E451AB">
      <w:pPr>
        <w:spacing w:after="0"/>
        <w:jc w:val="both"/>
        <w:rPr>
          <w:rFonts w:ascii="Times New Roman" w:hAnsi="Times New Roman" w:cs="Times New Roman"/>
          <w:b/>
        </w:rPr>
      </w:pPr>
    </w:p>
    <w:p w14:paraId="48D75F0C" w14:textId="77777777" w:rsidR="00E451AB" w:rsidRDefault="00E451AB" w:rsidP="00E451AB">
      <w:pPr>
        <w:spacing w:after="0"/>
        <w:jc w:val="both"/>
        <w:rPr>
          <w:rFonts w:ascii="Times New Roman" w:hAnsi="Times New Roman" w:cs="Times New Roman"/>
          <w:b/>
        </w:rPr>
      </w:pPr>
    </w:p>
    <w:p w14:paraId="09662468" w14:textId="77777777" w:rsidR="00E451AB" w:rsidRDefault="00E451AB" w:rsidP="00E451AB">
      <w:pPr>
        <w:spacing w:after="0"/>
        <w:jc w:val="both"/>
        <w:rPr>
          <w:rFonts w:ascii="Times New Roman" w:hAnsi="Times New Roman" w:cs="Times New Roman"/>
          <w:b/>
        </w:rPr>
      </w:pPr>
    </w:p>
    <w:p w14:paraId="2E8F637A" w14:textId="77777777" w:rsidR="00E451AB" w:rsidRDefault="00E451AB" w:rsidP="00E451AB">
      <w:pPr>
        <w:spacing w:after="0"/>
        <w:jc w:val="both"/>
        <w:rPr>
          <w:rFonts w:ascii="Times New Roman" w:hAnsi="Times New Roman" w:cs="Times New Roman"/>
          <w:b/>
        </w:rPr>
      </w:pPr>
    </w:p>
    <w:p w14:paraId="4DE813EA" w14:textId="77777777" w:rsidR="00E451AB" w:rsidRDefault="00E451AB" w:rsidP="00E451AB">
      <w:pPr>
        <w:spacing w:after="0"/>
        <w:jc w:val="both"/>
        <w:rPr>
          <w:rFonts w:ascii="Times New Roman" w:hAnsi="Times New Roman" w:cs="Times New Roman"/>
          <w:b/>
        </w:rPr>
      </w:pPr>
    </w:p>
    <w:p w14:paraId="5B50D49E" w14:textId="77777777" w:rsidR="00E451AB" w:rsidRDefault="00E451AB" w:rsidP="00E451AB">
      <w:pPr>
        <w:spacing w:after="0"/>
        <w:jc w:val="both"/>
        <w:rPr>
          <w:rFonts w:ascii="Times New Roman" w:hAnsi="Times New Roman" w:cs="Times New Roman"/>
          <w:b/>
        </w:rPr>
      </w:pPr>
    </w:p>
    <w:p w14:paraId="46F99EB8" w14:textId="77777777" w:rsidR="00E451AB" w:rsidRDefault="00E451AB" w:rsidP="00E451AB">
      <w:pPr>
        <w:spacing w:after="0"/>
        <w:jc w:val="both"/>
        <w:rPr>
          <w:rFonts w:ascii="Times New Roman" w:hAnsi="Times New Roman" w:cs="Times New Roman"/>
          <w:b/>
        </w:rPr>
      </w:pPr>
    </w:p>
    <w:p w14:paraId="714AD334" w14:textId="77777777" w:rsidR="00E451AB" w:rsidRDefault="00E451AB" w:rsidP="00E451AB">
      <w:pPr>
        <w:spacing w:after="0"/>
        <w:jc w:val="both"/>
        <w:rPr>
          <w:rFonts w:ascii="Times New Roman" w:hAnsi="Times New Roman" w:cs="Times New Roman"/>
          <w:b/>
        </w:rPr>
      </w:pPr>
    </w:p>
    <w:p w14:paraId="5E957457" w14:textId="77777777" w:rsidR="00E451AB" w:rsidRDefault="00E451AB" w:rsidP="00E451AB">
      <w:pPr>
        <w:spacing w:after="0"/>
        <w:jc w:val="both"/>
        <w:rPr>
          <w:rFonts w:ascii="Times New Roman" w:hAnsi="Times New Roman" w:cs="Times New Roman"/>
          <w:b/>
        </w:rPr>
      </w:pPr>
    </w:p>
    <w:p w14:paraId="240EDCE2" w14:textId="77777777" w:rsidR="00E451AB" w:rsidRPr="00E451AB" w:rsidRDefault="00E451AB" w:rsidP="00E451AB">
      <w:pPr>
        <w:spacing w:after="0"/>
        <w:jc w:val="both"/>
        <w:rPr>
          <w:rFonts w:ascii="Times New Roman" w:hAnsi="Times New Roman" w:cs="Times New Roman"/>
          <w:b/>
        </w:rPr>
      </w:pPr>
    </w:p>
    <w:p w14:paraId="29BA7E64" w14:textId="4E725E37" w:rsidR="00AF1DE4" w:rsidRPr="00E451AB" w:rsidRDefault="00AF1DE4" w:rsidP="00E451AB">
      <w:pPr>
        <w:spacing w:after="0"/>
        <w:jc w:val="both"/>
        <w:rPr>
          <w:rFonts w:ascii="Times New Roman" w:hAnsi="Times New Roman" w:cs="Times New Roman"/>
          <w:b/>
        </w:rPr>
      </w:pPr>
      <w:r w:rsidRPr="00E451AB">
        <w:rPr>
          <w:rFonts w:ascii="Times New Roman" w:hAnsi="Times New Roman" w:cs="Times New Roman"/>
          <w:b/>
        </w:rPr>
        <w:lastRenderedPageBreak/>
        <w:t xml:space="preserve">Reference List </w:t>
      </w:r>
    </w:p>
    <w:p w14:paraId="728F8310" w14:textId="77777777" w:rsidR="00AF1DE4" w:rsidRPr="00E451AB" w:rsidRDefault="00AF1DE4" w:rsidP="00E451AB">
      <w:pPr>
        <w:spacing w:after="0"/>
        <w:jc w:val="both"/>
        <w:rPr>
          <w:rFonts w:ascii="Times New Roman" w:hAnsi="Times New Roman" w:cs="Times New Roman"/>
        </w:rPr>
      </w:pPr>
    </w:p>
    <w:p w14:paraId="2703C3D6" w14:textId="17018976" w:rsidR="00964792" w:rsidRPr="00E451AB" w:rsidRDefault="00706B7A" w:rsidP="00E451AB">
      <w:pPr>
        <w:pStyle w:val="Bibliography"/>
        <w:spacing w:line="276" w:lineRule="auto"/>
        <w:rPr>
          <w:rFonts w:ascii="Times New Roman" w:hAnsi="Times New Roman" w:cs="Times New Roman"/>
          <w:lang w:val="en-US"/>
        </w:rPr>
      </w:pPr>
      <w:r w:rsidRPr="00E451AB">
        <w:rPr>
          <w:lang w:val="en-US"/>
        </w:rPr>
        <w:t xml:space="preserve"> </w:t>
      </w:r>
      <w:r w:rsidR="00D53901" w:rsidRPr="00E451AB">
        <w:rPr>
          <w:rFonts w:ascii="Times New Roman" w:hAnsi="Times New Roman" w:cs="Times New Roman"/>
          <w:lang w:val="en-US"/>
        </w:rPr>
        <w:t>ACCC (</w:t>
      </w:r>
      <w:r w:rsidR="00964792" w:rsidRPr="00E451AB">
        <w:rPr>
          <w:rFonts w:ascii="Times New Roman" w:hAnsi="Times New Roman" w:cs="Times New Roman"/>
          <w:lang w:val="en-US"/>
        </w:rPr>
        <w:t>Australian Competition and Consumer Commission</w:t>
      </w:r>
      <w:r w:rsidR="00D53901" w:rsidRPr="00E451AB">
        <w:rPr>
          <w:rFonts w:ascii="Times New Roman" w:hAnsi="Times New Roman" w:cs="Times New Roman"/>
          <w:lang w:val="en-US"/>
        </w:rPr>
        <w:t>)</w:t>
      </w:r>
      <w:r w:rsidR="00964792" w:rsidRPr="00E451AB">
        <w:rPr>
          <w:rFonts w:ascii="Times New Roman" w:hAnsi="Times New Roman" w:cs="Times New Roman"/>
          <w:lang w:val="en-US"/>
        </w:rPr>
        <w:t xml:space="preserve"> 2018, </w:t>
      </w:r>
      <w:r w:rsidR="00964792" w:rsidRPr="00E451AB">
        <w:rPr>
          <w:rFonts w:ascii="Times New Roman" w:hAnsi="Times New Roman" w:cs="Times New Roman"/>
          <w:i/>
          <w:iCs/>
          <w:lang w:val="en-US"/>
        </w:rPr>
        <w:t>Communications Sector Market Study</w:t>
      </w:r>
      <w:r w:rsidR="00D53901" w:rsidRPr="00E451AB">
        <w:rPr>
          <w:rFonts w:ascii="Times New Roman" w:hAnsi="Times New Roman" w:cs="Times New Roman"/>
          <w:lang w:val="en-US"/>
        </w:rPr>
        <w:t>.</w:t>
      </w:r>
    </w:p>
    <w:p w14:paraId="567CB6E4"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Biggar, D. 2009, ‘Is protecting sunk investments by consumers a key rationale for natural monopoly regulation?’, </w:t>
      </w:r>
      <w:r w:rsidRPr="00E451AB">
        <w:rPr>
          <w:rFonts w:ascii="Times New Roman" w:hAnsi="Times New Roman" w:cs="Times New Roman"/>
          <w:i/>
          <w:iCs/>
          <w:lang w:val="en-US"/>
        </w:rPr>
        <w:t>Review of Network Economics</w:t>
      </w:r>
      <w:r w:rsidRPr="00E451AB">
        <w:rPr>
          <w:rFonts w:ascii="Times New Roman" w:hAnsi="Times New Roman" w:cs="Times New Roman"/>
          <w:lang w:val="en-US"/>
        </w:rPr>
        <w:t>, vol. 8, no. 2.</w:t>
      </w:r>
    </w:p>
    <w:p w14:paraId="098133FB"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Buchanan, J.M. &amp; Stubblebine, W.C. 2000, ‘Externality’, in C. Gopalakrishnan (ed.), </w:t>
      </w:r>
      <w:r w:rsidRPr="00E451AB">
        <w:rPr>
          <w:rFonts w:ascii="Times New Roman" w:hAnsi="Times New Roman" w:cs="Times New Roman"/>
          <w:i/>
          <w:iCs/>
          <w:lang w:val="en-US"/>
        </w:rPr>
        <w:t>Classic Papers in Natural Resource Economics</w:t>
      </w:r>
      <w:r w:rsidRPr="00E451AB">
        <w:rPr>
          <w:rFonts w:ascii="Times New Roman" w:hAnsi="Times New Roman" w:cs="Times New Roman"/>
          <w:lang w:val="en-US"/>
        </w:rPr>
        <w:t>, Palgrave Macmillan UK, London, pp. 138–54.</w:t>
      </w:r>
    </w:p>
    <w:p w14:paraId="3CB3CDEB" w14:textId="597872DC" w:rsidR="00964792" w:rsidRPr="00E451AB" w:rsidRDefault="00CD44AA"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BITRE (</w:t>
      </w:r>
      <w:r w:rsidR="00964792" w:rsidRPr="00E451AB">
        <w:rPr>
          <w:rFonts w:ascii="Times New Roman" w:hAnsi="Times New Roman" w:cs="Times New Roman"/>
          <w:lang w:val="en-US"/>
        </w:rPr>
        <w:t>Bureau of Infrastructure, Transport and Regional Economics</w:t>
      </w:r>
      <w:r w:rsidRPr="00E451AB">
        <w:rPr>
          <w:rFonts w:ascii="Times New Roman" w:hAnsi="Times New Roman" w:cs="Times New Roman"/>
          <w:lang w:val="en-US"/>
        </w:rPr>
        <w:t>)</w:t>
      </w:r>
      <w:r w:rsidR="00964792" w:rsidRPr="00E451AB">
        <w:rPr>
          <w:rFonts w:ascii="Times New Roman" w:hAnsi="Times New Roman" w:cs="Times New Roman"/>
          <w:lang w:val="en-US"/>
        </w:rPr>
        <w:t xml:space="preserve"> 2017, </w:t>
      </w:r>
      <w:r w:rsidR="00964792" w:rsidRPr="00E451AB">
        <w:rPr>
          <w:rFonts w:ascii="Times New Roman" w:hAnsi="Times New Roman" w:cs="Times New Roman"/>
          <w:i/>
          <w:iCs/>
          <w:lang w:val="en-US"/>
        </w:rPr>
        <w:t>Australian Infrastructure Statistics Yearbook 2017</w:t>
      </w:r>
      <w:r w:rsidR="00964792" w:rsidRPr="00E451AB">
        <w:rPr>
          <w:rFonts w:ascii="Times New Roman" w:hAnsi="Times New Roman" w:cs="Times New Roman"/>
          <w:lang w:val="en-US"/>
        </w:rPr>
        <w:t>, Canberra.</w:t>
      </w:r>
    </w:p>
    <w:p w14:paraId="58EF90E1"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Cecot, C., Hahn, R., Renda, A. &amp; Schrefler, L. 2008, ‘An evaluation of the quality of impact assessment in the European Union with lessons for the US and the EU’, </w:t>
      </w:r>
      <w:r w:rsidRPr="00E451AB">
        <w:rPr>
          <w:rFonts w:ascii="Times New Roman" w:hAnsi="Times New Roman" w:cs="Times New Roman"/>
          <w:i/>
          <w:iCs/>
          <w:lang w:val="en-US"/>
        </w:rPr>
        <w:t>Regulation and Governance</w:t>
      </w:r>
      <w:r w:rsidRPr="00E451AB">
        <w:rPr>
          <w:rFonts w:ascii="Times New Roman" w:hAnsi="Times New Roman" w:cs="Times New Roman"/>
          <w:lang w:val="en-US"/>
        </w:rPr>
        <w:t>, vol. 2, no. 4, pp. 405–24.</w:t>
      </w:r>
    </w:p>
    <w:p w14:paraId="7995DFC7" w14:textId="16F02C63" w:rsidR="00964792" w:rsidRPr="00E451AB" w:rsidRDefault="00D53901"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DPMC (</w:t>
      </w:r>
      <w:r w:rsidR="00964792" w:rsidRPr="00E451AB">
        <w:rPr>
          <w:rFonts w:ascii="Times New Roman" w:hAnsi="Times New Roman" w:cs="Times New Roman"/>
          <w:lang w:val="en-US"/>
        </w:rPr>
        <w:t>Department of Prime Minister and Cabinet</w:t>
      </w:r>
      <w:r w:rsidRPr="00E451AB">
        <w:rPr>
          <w:rFonts w:ascii="Times New Roman" w:hAnsi="Times New Roman" w:cs="Times New Roman"/>
          <w:lang w:val="en-US"/>
        </w:rPr>
        <w:t>)</w:t>
      </w:r>
      <w:r w:rsidR="00964792" w:rsidRPr="00E451AB">
        <w:rPr>
          <w:rFonts w:ascii="Times New Roman" w:hAnsi="Times New Roman" w:cs="Times New Roman"/>
          <w:lang w:val="en-US"/>
        </w:rPr>
        <w:t xml:space="preserve"> 2014, </w:t>
      </w:r>
      <w:r w:rsidR="00964792" w:rsidRPr="00E451AB">
        <w:rPr>
          <w:rFonts w:ascii="Times New Roman" w:hAnsi="Times New Roman" w:cs="Times New Roman"/>
          <w:i/>
          <w:iCs/>
          <w:lang w:val="en-US"/>
        </w:rPr>
        <w:t>The Australian Government Guide to Regulation</w:t>
      </w:r>
      <w:r w:rsidR="00964792" w:rsidRPr="00E451AB">
        <w:rPr>
          <w:rFonts w:ascii="Times New Roman" w:hAnsi="Times New Roman" w:cs="Times New Roman"/>
          <w:lang w:val="en-US"/>
        </w:rPr>
        <w:t>.</w:t>
      </w:r>
    </w:p>
    <w:p w14:paraId="05B6BF8C"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Hahn, R. 1998, ‘Government Analysis of the Benefits of Regulation’, </w:t>
      </w:r>
      <w:r w:rsidRPr="00E451AB">
        <w:rPr>
          <w:rFonts w:ascii="Times New Roman" w:hAnsi="Times New Roman" w:cs="Times New Roman"/>
          <w:i/>
          <w:iCs/>
          <w:lang w:val="en-US"/>
        </w:rPr>
        <w:t>Journal of Economic Perspectives</w:t>
      </w:r>
      <w:r w:rsidRPr="00E451AB">
        <w:rPr>
          <w:rFonts w:ascii="Times New Roman" w:hAnsi="Times New Roman" w:cs="Times New Roman"/>
          <w:lang w:val="en-US"/>
        </w:rPr>
        <w:t>, vol. 12, no. 4, pp. 201–10.</w:t>
      </w:r>
    </w:p>
    <w:p w14:paraId="4EDF00DA"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Hahn, R., Burnett, J., Chan, Y., Mader, E. &amp; Moyle, P. 2000, ‘Assessing the quality of regulatory impact analyses’, </w:t>
      </w:r>
      <w:r w:rsidRPr="00E451AB">
        <w:rPr>
          <w:rFonts w:ascii="Times New Roman" w:hAnsi="Times New Roman" w:cs="Times New Roman"/>
          <w:i/>
          <w:iCs/>
          <w:lang w:val="en-US"/>
        </w:rPr>
        <w:t>The Harvard Journal of Law and Public Policy</w:t>
      </w:r>
      <w:r w:rsidRPr="00E451AB">
        <w:rPr>
          <w:rFonts w:ascii="Times New Roman" w:hAnsi="Times New Roman" w:cs="Times New Roman"/>
          <w:lang w:val="en-US"/>
        </w:rPr>
        <w:t>, vol. 23, no. 3, pp. 859–86.</w:t>
      </w:r>
    </w:p>
    <w:p w14:paraId="5C307E5D"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Hahn, R. &amp; Dudley, P. 2007, ‘How well does the US government do benefit-cost analysis?’, </w:t>
      </w:r>
      <w:r w:rsidRPr="00E451AB">
        <w:rPr>
          <w:rFonts w:ascii="Times New Roman" w:hAnsi="Times New Roman" w:cs="Times New Roman"/>
          <w:i/>
          <w:iCs/>
          <w:lang w:val="en-US"/>
        </w:rPr>
        <w:t>Review of Environmental Economics and Policy</w:t>
      </w:r>
      <w:r w:rsidRPr="00E451AB">
        <w:rPr>
          <w:rFonts w:ascii="Times New Roman" w:hAnsi="Times New Roman" w:cs="Times New Roman"/>
          <w:lang w:val="en-US"/>
        </w:rPr>
        <w:t>, vol. 1, no. 2, pp. 192–211.</w:t>
      </w:r>
    </w:p>
    <w:p w14:paraId="4B6CA773"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Hahn, R. &amp; Hird, J. 1991, ‘The Costs and Benefits of Regulation: Review and Synthesis’, </w:t>
      </w:r>
      <w:r w:rsidRPr="00E451AB">
        <w:rPr>
          <w:rFonts w:ascii="Times New Roman" w:hAnsi="Times New Roman" w:cs="Times New Roman"/>
          <w:i/>
          <w:iCs/>
          <w:lang w:val="en-US"/>
        </w:rPr>
        <w:t>Yale Journal of Regulation</w:t>
      </w:r>
      <w:r w:rsidRPr="00E451AB">
        <w:rPr>
          <w:rFonts w:ascii="Times New Roman" w:hAnsi="Times New Roman" w:cs="Times New Roman"/>
          <w:lang w:val="en-US"/>
        </w:rPr>
        <w:t>, vol. 8, no. 1, pp. 235–78.</w:t>
      </w:r>
    </w:p>
    <w:p w14:paraId="2260D5AC"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Hahn, R. &amp; Tetlock, P. 2008, ‘Has economic analysis improved regulatory decisions’, </w:t>
      </w:r>
      <w:r w:rsidRPr="00E451AB">
        <w:rPr>
          <w:rFonts w:ascii="Times New Roman" w:hAnsi="Times New Roman" w:cs="Times New Roman"/>
          <w:i/>
          <w:iCs/>
          <w:lang w:val="en-US"/>
        </w:rPr>
        <w:t>Journal of Economic Perspectives</w:t>
      </w:r>
      <w:r w:rsidRPr="00E451AB">
        <w:rPr>
          <w:rFonts w:ascii="Times New Roman" w:hAnsi="Times New Roman" w:cs="Times New Roman"/>
          <w:lang w:val="en-US"/>
        </w:rPr>
        <w:t>, vol. 22, no. 1, pp. 67–84.</w:t>
      </w:r>
    </w:p>
    <w:p w14:paraId="77F1FABA"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Hicks, J. 1939, ‘The Foundations of Welfare Economics’, </w:t>
      </w:r>
      <w:r w:rsidRPr="00E451AB">
        <w:rPr>
          <w:rFonts w:ascii="Times New Roman" w:hAnsi="Times New Roman" w:cs="Times New Roman"/>
          <w:i/>
          <w:iCs/>
          <w:lang w:val="en-US"/>
        </w:rPr>
        <w:t>The Economic Journal</w:t>
      </w:r>
      <w:r w:rsidRPr="00E451AB">
        <w:rPr>
          <w:rFonts w:ascii="Times New Roman" w:hAnsi="Times New Roman" w:cs="Times New Roman"/>
          <w:lang w:val="en-US"/>
        </w:rPr>
        <w:t>, vol. 49, no. 196, pp. 676–712.</w:t>
      </w:r>
    </w:p>
    <w:p w14:paraId="192CAA35"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Kaldor, N. 1939, ‘Welfare Propositions of Economics and Interpersonal Comparisons of Utility’, </w:t>
      </w:r>
      <w:r w:rsidRPr="00E451AB">
        <w:rPr>
          <w:rFonts w:ascii="Times New Roman" w:hAnsi="Times New Roman" w:cs="Times New Roman"/>
          <w:i/>
          <w:iCs/>
          <w:lang w:val="en-US"/>
        </w:rPr>
        <w:t>The Economic Journal</w:t>
      </w:r>
      <w:r w:rsidRPr="00E451AB">
        <w:rPr>
          <w:rFonts w:ascii="Times New Roman" w:hAnsi="Times New Roman" w:cs="Times New Roman"/>
          <w:lang w:val="en-US"/>
        </w:rPr>
        <w:t>, vol. 49, no. 195, pp. 549–52.</w:t>
      </w:r>
    </w:p>
    <w:p w14:paraId="618A77D0"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King, S. 2009, ‘The 2008 ACCC Merger Guidelines: How and Why Have They Changes’, </w:t>
      </w:r>
      <w:r w:rsidRPr="00E451AB">
        <w:rPr>
          <w:rFonts w:ascii="Times New Roman" w:hAnsi="Times New Roman" w:cs="Times New Roman"/>
          <w:i/>
          <w:iCs/>
          <w:lang w:val="en-US"/>
        </w:rPr>
        <w:t>UNSW Law Journal</w:t>
      </w:r>
      <w:r w:rsidRPr="00E451AB">
        <w:rPr>
          <w:rFonts w:ascii="Times New Roman" w:hAnsi="Times New Roman" w:cs="Times New Roman"/>
          <w:lang w:val="en-US"/>
        </w:rPr>
        <w:t>, vol. 32, no. 1, pp. 263–74.</w:t>
      </w:r>
    </w:p>
    <w:p w14:paraId="1823481F"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Klein, B. 1988, ‘Vertical integration as organizational ownership: The Fisher Body-General Motors relationship revisited’, </w:t>
      </w:r>
      <w:r w:rsidRPr="00E451AB">
        <w:rPr>
          <w:rFonts w:ascii="Times New Roman" w:hAnsi="Times New Roman" w:cs="Times New Roman"/>
          <w:i/>
          <w:iCs/>
          <w:lang w:val="en-US"/>
        </w:rPr>
        <w:t>Journal of Law, Economics, &amp; Organization</w:t>
      </w:r>
      <w:r w:rsidRPr="00E451AB">
        <w:rPr>
          <w:rFonts w:ascii="Times New Roman" w:hAnsi="Times New Roman" w:cs="Times New Roman"/>
          <w:lang w:val="en-US"/>
        </w:rPr>
        <w:t>, vol. 4, no. 1, pp. 199–213.</w:t>
      </w:r>
    </w:p>
    <w:p w14:paraId="1C9293C6"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lastRenderedPageBreak/>
        <w:t xml:space="preserve">Marneffe, W. &amp; Vereeck, L. 2011, ‘The meaning of regulatory costs’, </w:t>
      </w:r>
      <w:r w:rsidRPr="00E451AB">
        <w:rPr>
          <w:rFonts w:ascii="Times New Roman" w:hAnsi="Times New Roman" w:cs="Times New Roman"/>
          <w:i/>
          <w:iCs/>
          <w:lang w:val="en-US"/>
        </w:rPr>
        <w:t>European Journal of Law and Economics</w:t>
      </w:r>
      <w:r w:rsidRPr="00E451AB">
        <w:rPr>
          <w:rFonts w:ascii="Times New Roman" w:hAnsi="Times New Roman" w:cs="Times New Roman"/>
          <w:lang w:val="en-US"/>
        </w:rPr>
        <w:t>, vol. 32, no. 3, pp. 341–56.</w:t>
      </w:r>
    </w:p>
    <w:p w14:paraId="3E3BC37C" w14:textId="50675356" w:rsidR="00964792" w:rsidRPr="00E451AB" w:rsidRDefault="00D53901"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OECD (</w:t>
      </w:r>
      <w:r w:rsidR="00964792" w:rsidRPr="00E451AB">
        <w:rPr>
          <w:rFonts w:ascii="Times New Roman" w:hAnsi="Times New Roman" w:cs="Times New Roman"/>
          <w:lang w:val="en-US"/>
        </w:rPr>
        <w:t>Organisation for Economic Co-operation and Development</w:t>
      </w:r>
      <w:r w:rsidRPr="00E451AB">
        <w:rPr>
          <w:rFonts w:ascii="Times New Roman" w:hAnsi="Times New Roman" w:cs="Times New Roman"/>
          <w:lang w:val="en-US"/>
        </w:rPr>
        <w:t>)</w:t>
      </w:r>
      <w:r w:rsidR="00964792" w:rsidRPr="00E451AB">
        <w:rPr>
          <w:rFonts w:ascii="Times New Roman" w:hAnsi="Times New Roman" w:cs="Times New Roman"/>
          <w:lang w:val="en-US"/>
        </w:rPr>
        <w:t xml:space="preserve"> 2012, </w:t>
      </w:r>
      <w:r w:rsidR="00964792" w:rsidRPr="00E451AB">
        <w:rPr>
          <w:rFonts w:ascii="Times New Roman" w:hAnsi="Times New Roman" w:cs="Times New Roman"/>
          <w:i/>
          <w:iCs/>
          <w:lang w:val="en-US"/>
        </w:rPr>
        <w:t>Recommendation of the Council on Regulatory Policy and Governance</w:t>
      </w:r>
      <w:r w:rsidR="00964792" w:rsidRPr="00E451AB">
        <w:rPr>
          <w:rFonts w:ascii="Times New Roman" w:hAnsi="Times New Roman" w:cs="Times New Roman"/>
          <w:lang w:val="en-US"/>
        </w:rPr>
        <w:t>, Paris.</w:t>
      </w:r>
    </w:p>
    <w:p w14:paraId="15C73A80" w14:textId="39FB2FCC" w:rsidR="00964792" w:rsidRPr="00E451AB" w:rsidRDefault="00D76450"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PC (</w:t>
      </w:r>
      <w:r w:rsidR="00964792" w:rsidRPr="00E451AB">
        <w:rPr>
          <w:rFonts w:ascii="Times New Roman" w:hAnsi="Times New Roman" w:cs="Times New Roman"/>
          <w:lang w:val="en-US"/>
        </w:rPr>
        <w:t>Productivity Commission</w:t>
      </w:r>
      <w:r w:rsidRPr="00E451AB">
        <w:rPr>
          <w:rFonts w:ascii="Times New Roman" w:hAnsi="Times New Roman" w:cs="Times New Roman"/>
          <w:lang w:val="en-US"/>
        </w:rPr>
        <w:t>)</w:t>
      </w:r>
      <w:r w:rsidR="00964792" w:rsidRPr="00E451AB">
        <w:rPr>
          <w:rFonts w:ascii="Times New Roman" w:hAnsi="Times New Roman" w:cs="Times New Roman"/>
          <w:lang w:val="en-US"/>
        </w:rPr>
        <w:t xml:space="preserve"> 2012, </w:t>
      </w:r>
      <w:r w:rsidR="00964792" w:rsidRPr="00E451AB">
        <w:rPr>
          <w:rFonts w:ascii="Times New Roman" w:hAnsi="Times New Roman" w:cs="Times New Roman"/>
          <w:i/>
          <w:iCs/>
          <w:lang w:val="en-US"/>
        </w:rPr>
        <w:t>Regulatory Impact Analysis: Benchmarking</w:t>
      </w:r>
      <w:r w:rsidR="00964792" w:rsidRPr="00E451AB">
        <w:rPr>
          <w:rFonts w:ascii="Times New Roman" w:hAnsi="Times New Roman" w:cs="Times New Roman"/>
          <w:lang w:val="en-US"/>
        </w:rPr>
        <w:t>, Canberra.</w:t>
      </w:r>
    </w:p>
    <w:p w14:paraId="171BFACC"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Quirk, P.J. 2014, </w:t>
      </w:r>
      <w:r w:rsidRPr="00E451AB">
        <w:rPr>
          <w:rFonts w:ascii="Times New Roman" w:hAnsi="Times New Roman" w:cs="Times New Roman"/>
          <w:i/>
          <w:iCs/>
          <w:lang w:val="en-US"/>
        </w:rPr>
        <w:t>Industry influence in federal regulatory agencies</w:t>
      </w:r>
      <w:r w:rsidRPr="00E451AB">
        <w:rPr>
          <w:rFonts w:ascii="Times New Roman" w:hAnsi="Times New Roman" w:cs="Times New Roman"/>
          <w:lang w:val="en-US"/>
        </w:rPr>
        <w:t>, vol. 84, Princeton University Press.</w:t>
      </w:r>
    </w:p>
    <w:p w14:paraId="277123BA"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Rey, P. &amp; Tirole, J. 2007, ‘A primer on foreclosure’, </w:t>
      </w:r>
      <w:r w:rsidRPr="00E451AB">
        <w:rPr>
          <w:rFonts w:ascii="Times New Roman" w:hAnsi="Times New Roman" w:cs="Times New Roman"/>
          <w:i/>
          <w:iCs/>
          <w:lang w:val="en-US"/>
        </w:rPr>
        <w:t>Handbook of industrial organization</w:t>
      </w:r>
      <w:r w:rsidRPr="00E451AB">
        <w:rPr>
          <w:rFonts w:ascii="Times New Roman" w:hAnsi="Times New Roman" w:cs="Times New Roman"/>
          <w:lang w:val="en-US"/>
        </w:rPr>
        <w:t>, vol. 3, pp. 2145–220.</w:t>
      </w:r>
    </w:p>
    <w:p w14:paraId="3A745237"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Viscusi, K. &amp; Masterman, C. 2017, ‘Income Elasticities and Global Values of a Statistical Life’, </w:t>
      </w:r>
      <w:r w:rsidRPr="00E451AB">
        <w:rPr>
          <w:rFonts w:ascii="Times New Roman" w:hAnsi="Times New Roman" w:cs="Times New Roman"/>
          <w:i/>
          <w:iCs/>
          <w:lang w:val="en-US"/>
        </w:rPr>
        <w:t>Journal of Benefit-Cost Analysis</w:t>
      </w:r>
      <w:r w:rsidRPr="00E451AB">
        <w:rPr>
          <w:rFonts w:ascii="Times New Roman" w:hAnsi="Times New Roman" w:cs="Times New Roman"/>
          <w:lang w:val="en-US"/>
        </w:rPr>
        <w:t>, vol. 8, no. 2, pp. 226–50.</w:t>
      </w:r>
    </w:p>
    <w:p w14:paraId="1B82D1F0" w14:textId="77777777" w:rsidR="00964792" w:rsidRPr="00E451AB" w:rsidRDefault="00964792" w:rsidP="00E451AB">
      <w:pPr>
        <w:pStyle w:val="Bibliography"/>
        <w:spacing w:line="276" w:lineRule="auto"/>
        <w:rPr>
          <w:rFonts w:ascii="Times New Roman" w:hAnsi="Times New Roman" w:cs="Times New Roman"/>
          <w:lang w:val="en-US"/>
        </w:rPr>
      </w:pPr>
      <w:r w:rsidRPr="00E451AB">
        <w:rPr>
          <w:rFonts w:ascii="Times New Roman" w:hAnsi="Times New Roman" w:cs="Times New Roman"/>
          <w:lang w:val="en-US"/>
        </w:rPr>
        <w:t xml:space="preserve">Williamson, O. 1979, ‘Transaction-Cost Economics: The Governance of Contractual Relations’, </w:t>
      </w:r>
      <w:r w:rsidRPr="00E451AB">
        <w:rPr>
          <w:rFonts w:ascii="Times New Roman" w:hAnsi="Times New Roman" w:cs="Times New Roman"/>
          <w:i/>
          <w:iCs/>
          <w:lang w:val="en-US"/>
        </w:rPr>
        <w:t>The Journal of Law and Economics</w:t>
      </w:r>
      <w:r w:rsidRPr="00E451AB">
        <w:rPr>
          <w:rFonts w:ascii="Times New Roman" w:hAnsi="Times New Roman" w:cs="Times New Roman"/>
          <w:lang w:val="en-US"/>
        </w:rPr>
        <w:t>, vol. 22, no. 2, pp. 235–61.</w:t>
      </w:r>
    </w:p>
    <w:p w14:paraId="0DB786E9" w14:textId="2766E1F5" w:rsidR="00DD1B6E" w:rsidRPr="00E451AB" w:rsidRDefault="00DD1B6E" w:rsidP="00E451AB">
      <w:pPr>
        <w:pStyle w:val="BodyText1"/>
        <w:rPr>
          <w:rFonts w:asciiTheme="minorHAnsi" w:hAnsiTheme="minorHAnsi" w:cstheme="minorHAnsi"/>
          <w:color w:val="auto"/>
        </w:rPr>
      </w:pPr>
    </w:p>
    <w:sectPr w:rsidR="00DD1B6E" w:rsidRPr="00E451AB"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ACD3A" w14:textId="77777777" w:rsidR="0051236D" w:rsidRDefault="0051236D" w:rsidP="005820C9">
      <w:pPr>
        <w:spacing w:after="0" w:line="240" w:lineRule="auto"/>
      </w:pPr>
      <w:r>
        <w:separator/>
      </w:r>
    </w:p>
  </w:endnote>
  <w:endnote w:type="continuationSeparator" w:id="0">
    <w:p w14:paraId="3FC1D028" w14:textId="77777777" w:rsidR="0051236D" w:rsidRDefault="0051236D"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2EF7" w14:textId="77777777" w:rsidR="00002D94" w:rsidRDefault="00084A5B" w:rsidP="00002D94">
    <w:pPr>
      <w:pStyle w:val="Footer"/>
    </w:pPr>
    <w:r>
      <w:rPr>
        <w:noProof/>
        <w:lang w:val="en-US"/>
      </w:rPr>
      <mc:AlternateContent>
        <mc:Choice Requires="wpg">
          <w:drawing>
            <wp:anchor distT="0" distB="0" distL="114300" distR="114300" simplePos="0" relativeHeight="251657216" behindDoc="1" locked="0" layoutInCell="1" allowOverlap="1" wp14:anchorId="4AFCF47C" wp14:editId="653C229E">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14:paraId="2E7B80AA" w14:textId="77777777" w:rsidR="00002D94" w:rsidRDefault="00002D94" w:rsidP="001C28E7">
                            <w:pPr>
                              <w:spacing w:after="0" w:line="240" w:lineRule="auto"/>
                              <w:rPr>
                                <w:color w:val="23B0E6"/>
                                <w:sz w:val="20"/>
                                <w:szCs w:val="20"/>
                              </w:rPr>
                            </w:pPr>
                          </w:p>
                          <w:p w14:paraId="5303CD4D" w14:textId="77777777"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14:paraId="53E7F11E" w14:textId="77777777"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14:paraId="0419E631" w14:textId="77777777" w:rsidR="00084A5B" w:rsidRPr="00002D94" w:rsidRDefault="00084A5B" w:rsidP="007D3F16">
                            <w:pPr>
                              <w:spacing w:after="0" w:line="240" w:lineRule="auto"/>
                              <w:rPr>
                                <w:sz w:val="20"/>
                                <w:szCs w:val="20"/>
                              </w:rPr>
                            </w:pPr>
                            <w:r w:rsidRPr="00002D94">
                              <w:rPr>
                                <w:sz w:val="20"/>
                                <w:szCs w:val="20"/>
                              </w:rPr>
                              <w:t>Suite 4.02, 55 Mountain St, Ultimo NSW 2007</w:t>
                            </w:r>
                          </w:p>
                          <w:p w14:paraId="70A0948E" w14:textId="77777777" w:rsidR="00084A5B" w:rsidRPr="00002D94" w:rsidRDefault="00084A5B" w:rsidP="007D3F16">
                            <w:pPr>
                              <w:spacing w:after="0" w:line="240" w:lineRule="auto"/>
                              <w:rPr>
                                <w:sz w:val="20"/>
                                <w:szCs w:val="20"/>
                              </w:rPr>
                            </w:pPr>
                            <w:r w:rsidRPr="00002D94">
                              <w:rPr>
                                <w:sz w:val="20"/>
                                <w:szCs w:val="20"/>
                              </w:rPr>
                              <w:t>Tel: (02) 9288 4000 | TTY: (02) 9281 5322 | Fax: (02) 9288 4019</w:t>
                            </w:r>
                          </w:p>
                          <w:p w14:paraId="5B6FF29C" w14:textId="77777777"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FCF47C" id="Group 3" o:spid="_x0000_s1026" style="position:absolute;margin-left:-28.65pt;margin-top:-5.75pt;width:548.95pt;height:104.25pt;z-index:-251659264;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" filled="f" stroked="f">
                <v:textbox>
                  <w:txbxContent>
                    <w:p w14:paraId="2E7B80AA" w14:textId="77777777" w:rsidR="00002D94" w:rsidRDefault="00002D94" w:rsidP="001C28E7">
                      <w:pPr>
                        <w:spacing w:after="0" w:line="240" w:lineRule="auto"/>
                        <w:rPr>
                          <w:color w:val="23B0E6"/>
                          <w:sz w:val="20"/>
                          <w:szCs w:val="20"/>
                        </w:rPr>
                      </w:pPr>
                    </w:p>
                    <w:p w14:paraId="5303CD4D" w14:textId="77777777"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14:paraId="53E7F11E" w14:textId="77777777"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14:paraId="0419E631" w14:textId="77777777" w:rsidR="00084A5B" w:rsidRPr="00002D94" w:rsidRDefault="00084A5B" w:rsidP="007D3F16">
                      <w:pPr>
                        <w:spacing w:after="0" w:line="240" w:lineRule="auto"/>
                        <w:rPr>
                          <w:sz w:val="20"/>
                          <w:szCs w:val="20"/>
                        </w:rPr>
                      </w:pPr>
                      <w:r w:rsidRPr="00002D94">
                        <w:rPr>
                          <w:sz w:val="20"/>
                          <w:szCs w:val="20"/>
                        </w:rPr>
                        <w:t>Suite 4.02, 55 Mountain St, Ultimo NSW 2007</w:t>
                      </w:r>
                    </w:p>
                    <w:p w14:paraId="70A0948E" w14:textId="77777777" w:rsidR="00084A5B" w:rsidRPr="00002D94" w:rsidRDefault="00084A5B" w:rsidP="007D3F16">
                      <w:pPr>
                        <w:spacing w:after="0" w:line="240" w:lineRule="auto"/>
                        <w:rPr>
                          <w:sz w:val="20"/>
                          <w:szCs w:val="20"/>
                        </w:rPr>
                      </w:pPr>
                      <w:r w:rsidRPr="00002D94">
                        <w:rPr>
                          <w:sz w:val="20"/>
                          <w:szCs w:val="20"/>
                        </w:rPr>
                        <w:t>Tel: (02) 9288 4000 | TTY: (02) 9281 5322 | Fax: (02) 9288 4019</w:t>
                      </w:r>
                    </w:p>
                    <w:p w14:paraId="5B6FF29C" w14:textId="77777777"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C820" w14:textId="77777777"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F038F7">
      <w:rPr>
        <w:noProof/>
      </w:rPr>
      <w:t>2</w:t>
    </w:r>
    <w:r w:rsidRPr="00C4251E">
      <w:rPr>
        <w:noProof/>
      </w:rPr>
      <w:fldChar w:fldCharType="end"/>
    </w:r>
  </w:p>
  <w:p w14:paraId="27A366CB" w14:textId="77777777"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8AFD0" w14:textId="77777777" w:rsidR="0051236D" w:rsidRDefault="0051236D" w:rsidP="005820C9">
      <w:pPr>
        <w:spacing w:after="0" w:line="240" w:lineRule="auto"/>
      </w:pPr>
      <w:r>
        <w:separator/>
      </w:r>
    </w:p>
  </w:footnote>
  <w:footnote w:type="continuationSeparator" w:id="0">
    <w:p w14:paraId="4199CF22" w14:textId="77777777" w:rsidR="0051236D" w:rsidRDefault="0051236D" w:rsidP="005820C9">
      <w:pPr>
        <w:spacing w:after="0" w:line="240" w:lineRule="auto"/>
      </w:pPr>
      <w:r>
        <w:continuationSeparator/>
      </w:r>
    </w:p>
  </w:footnote>
  <w:footnote w:id="1">
    <w:p w14:paraId="7D18C833" w14:textId="578DAD62" w:rsidR="009D7387" w:rsidRPr="001A027F" w:rsidRDefault="009D7387">
      <w:pPr>
        <w:pStyle w:val="FootnoteText"/>
        <w:rPr>
          <w:rFonts w:ascii="Times New Roman" w:hAnsi="Times New Roman" w:cs="Times New Roman"/>
          <w:szCs w:val="16"/>
          <w:lang w:val="en-AU"/>
        </w:rPr>
      </w:pPr>
      <w:r w:rsidRPr="001A027F">
        <w:rPr>
          <w:rStyle w:val="FootnoteReference"/>
          <w:rFonts w:ascii="Times New Roman" w:hAnsi="Times New Roman" w:cs="Times New Roman"/>
          <w:szCs w:val="16"/>
        </w:rPr>
        <w:footnoteRef/>
      </w:r>
      <w:r w:rsidRPr="001A027F">
        <w:rPr>
          <w:rFonts w:ascii="Times New Roman" w:hAnsi="Times New Roman" w:cs="Times New Roman"/>
          <w:szCs w:val="16"/>
        </w:rPr>
        <w:t>. The probl</w:t>
      </w:r>
      <w:r w:rsidR="006355C8" w:rsidRPr="001A027F">
        <w:rPr>
          <w:rFonts w:ascii="Times New Roman" w:hAnsi="Times New Roman" w:cs="Times New Roman"/>
          <w:szCs w:val="16"/>
        </w:rPr>
        <w:t>ems may be described technical terms</w:t>
      </w:r>
      <w:r w:rsidRPr="001A027F">
        <w:rPr>
          <w:rFonts w:ascii="Times New Roman" w:hAnsi="Times New Roman" w:cs="Times New Roman"/>
          <w:szCs w:val="16"/>
        </w:rPr>
        <w:t xml:space="preserve"> as a negative externality (Buchanan &amp; Stubblebine 2000) and market power (King 2009).</w:t>
      </w:r>
    </w:p>
  </w:footnote>
  <w:footnote w:id="2">
    <w:p w14:paraId="0DDCAD05" w14:textId="0E2F2410" w:rsidR="00C4270C" w:rsidRPr="001A027F" w:rsidRDefault="00C4270C">
      <w:pPr>
        <w:pStyle w:val="FootnoteText"/>
        <w:rPr>
          <w:rFonts w:ascii="Times New Roman" w:hAnsi="Times New Roman" w:cs="Times New Roman"/>
          <w:szCs w:val="16"/>
          <w:lang w:val="en-AU"/>
        </w:rPr>
      </w:pPr>
      <w:r w:rsidRPr="001A027F">
        <w:rPr>
          <w:rStyle w:val="FootnoteReference"/>
          <w:rFonts w:ascii="Times New Roman" w:hAnsi="Times New Roman" w:cs="Times New Roman"/>
          <w:szCs w:val="16"/>
        </w:rPr>
        <w:footnoteRef/>
      </w:r>
      <w:r w:rsidRPr="001A027F">
        <w:rPr>
          <w:rFonts w:ascii="Times New Roman" w:hAnsi="Times New Roman" w:cs="Times New Roman"/>
          <w:szCs w:val="16"/>
        </w:rPr>
        <w:t>. The absence of evidence concerning a problem is not evidence of absence.</w:t>
      </w:r>
    </w:p>
  </w:footnote>
  <w:footnote w:id="3">
    <w:p w14:paraId="605138F1" w14:textId="5E0AC11F" w:rsidR="00020F9F" w:rsidRPr="001A027F" w:rsidRDefault="00020F9F" w:rsidP="00020F9F">
      <w:pPr>
        <w:pStyle w:val="FootnoteText"/>
        <w:rPr>
          <w:rFonts w:ascii="Times New Roman" w:hAnsi="Times New Roman" w:cs="Times New Roman"/>
          <w:szCs w:val="16"/>
        </w:rPr>
      </w:pPr>
      <w:r w:rsidRPr="001A027F">
        <w:rPr>
          <w:rStyle w:val="FootnoteReference"/>
          <w:rFonts w:ascii="Times New Roman" w:hAnsi="Times New Roman" w:cs="Times New Roman"/>
          <w:szCs w:val="16"/>
        </w:rPr>
        <w:footnoteRef/>
      </w:r>
      <w:r w:rsidRPr="001A027F">
        <w:rPr>
          <w:rFonts w:ascii="Times New Roman" w:hAnsi="Times New Roman" w:cs="Times New Roman"/>
          <w:szCs w:val="16"/>
        </w:rPr>
        <w:t xml:space="preserve">. That is the incremental cost of exclusion is unlikely to garner a sufficient additional </w:t>
      </w:r>
      <w:r w:rsidR="0006664C" w:rsidRPr="001A027F">
        <w:rPr>
          <w:rFonts w:ascii="Times New Roman" w:hAnsi="Times New Roman" w:cs="Times New Roman"/>
          <w:szCs w:val="16"/>
        </w:rPr>
        <w:t>number</w:t>
      </w:r>
      <w:r w:rsidRPr="001A027F">
        <w:rPr>
          <w:rFonts w:ascii="Times New Roman" w:hAnsi="Times New Roman" w:cs="Times New Roman"/>
          <w:szCs w:val="16"/>
        </w:rPr>
        <w:t xml:space="preserve"> of new customers and revenue to justify the additional investment/operating costs associated with operating a standalone facility. </w:t>
      </w:r>
    </w:p>
  </w:footnote>
  <w:footnote w:id="4">
    <w:p w14:paraId="4B799C61" w14:textId="02490640" w:rsidR="00AA0E19" w:rsidRPr="001A027F" w:rsidRDefault="00AA0E19">
      <w:pPr>
        <w:pStyle w:val="FootnoteText"/>
        <w:rPr>
          <w:rFonts w:ascii="Times New Roman" w:hAnsi="Times New Roman" w:cs="Times New Roman"/>
          <w:szCs w:val="16"/>
          <w:lang w:val="en-AU"/>
        </w:rPr>
      </w:pPr>
      <w:r w:rsidRPr="001A027F">
        <w:rPr>
          <w:rStyle w:val="FootnoteReference"/>
          <w:rFonts w:ascii="Times New Roman" w:hAnsi="Times New Roman" w:cs="Times New Roman"/>
          <w:szCs w:val="16"/>
        </w:rPr>
        <w:footnoteRef/>
      </w:r>
      <w:r w:rsidRPr="001A027F">
        <w:rPr>
          <w:rFonts w:ascii="Times New Roman" w:hAnsi="Times New Roman" w:cs="Times New Roman"/>
          <w:szCs w:val="16"/>
        </w:rPr>
        <w:t xml:space="preserve">. </w:t>
      </w:r>
      <w:r w:rsidR="00285558" w:rsidRPr="001A027F">
        <w:rPr>
          <w:rFonts w:ascii="Times New Roman" w:hAnsi="Times New Roman" w:cs="Times New Roman"/>
          <w:szCs w:val="16"/>
        </w:rPr>
        <w:t>Profit = Revenue</w:t>
      </w:r>
      <w:r w:rsidR="00A01D09" w:rsidRPr="001A027F">
        <w:rPr>
          <w:rFonts w:ascii="Times New Roman" w:hAnsi="Times New Roman" w:cs="Times New Roman"/>
          <w:szCs w:val="16"/>
        </w:rPr>
        <w:t xml:space="preserve"> </w:t>
      </w:r>
      <w:r w:rsidR="00285558" w:rsidRPr="001A027F">
        <w:rPr>
          <w:rFonts w:ascii="Times New Roman" w:hAnsi="Times New Roman" w:cs="Times New Roman"/>
          <w:szCs w:val="16"/>
        </w:rPr>
        <w:t>[</w:t>
      </w:r>
      <w:r w:rsidR="00A01D09" w:rsidRPr="001A027F">
        <w:rPr>
          <w:rFonts w:ascii="Times New Roman" w:hAnsi="Times New Roman" w:cs="Times New Roman"/>
          <w:szCs w:val="16"/>
        </w:rPr>
        <w:t>Quantity x Price</w:t>
      </w:r>
      <w:r w:rsidR="00285558" w:rsidRPr="001A027F">
        <w:rPr>
          <w:rFonts w:ascii="Times New Roman" w:hAnsi="Times New Roman" w:cs="Times New Roman"/>
          <w:szCs w:val="16"/>
        </w:rPr>
        <w:t>] - Costs</w:t>
      </w:r>
      <w:r w:rsidR="00A01D09" w:rsidRPr="001A027F">
        <w:rPr>
          <w:rFonts w:ascii="Times New Roman" w:hAnsi="Times New Roman" w:cs="Times New Roman"/>
          <w:szCs w:val="16"/>
        </w:rPr>
        <w:t xml:space="preserve">; </w:t>
      </w:r>
      <w:r w:rsidR="006D44D8" w:rsidRPr="001A027F">
        <w:rPr>
          <w:rFonts w:ascii="Times New Roman" w:hAnsi="Times New Roman" w:cs="Times New Roman"/>
          <w:szCs w:val="16"/>
        </w:rPr>
        <w:t xml:space="preserve">with market share reflecting the split in quantity sold by each provider. Where access results in a decline in quantity </w:t>
      </w:r>
      <w:r w:rsidR="00E82251" w:rsidRPr="001A027F">
        <w:rPr>
          <w:rFonts w:ascii="Times New Roman" w:hAnsi="Times New Roman" w:cs="Times New Roman"/>
          <w:szCs w:val="16"/>
        </w:rPr>
        <w:t xml:space="preserve">of services sold </w:t>
      </w:r>
      <w:r w:rsidR="006D44D8" w:rsidRPr="001A027F">
        <w:rPr>
          <w:rFonts w:ascii="Times New Roman" w:hAnsi="Times New Roman" w:cs="Times New Roman"/>
          <w:szCs w:val="16"/>
        </w:rPr>
        <w:t>that is greater than the savings tha</w:t>
      </w:r>
      <w:r w:rsidR="00E82251" w:rsidRPr="001A027F">
        <w:rPr>
          <w:rFonts w:ascii="Times New Roman" w:hAnsi="Times New Roman" w:cs="Times New Roman"/>
          <w:szCs w:val="16"/>
        </w:rPr>
        <w:t xml:space="preserve">t are attained through sharing of infrastructure </w:t>
      </w:r>
      <w:r w:rsidR="00285558" w:rsidRPr="001A027F">
        <w:rPr>
          <w:rFonts w:ascii="Times New Roman" w:hAnsi="Times New Roman" w:cs="Times New Roman"/>
          <w:szCs w:val="16"/>
        </w:rPr>
        <w:t xml:space="preserve">in terms of reduced costs service providers will seek to preclude access. </w:t>
      </w:r>
    </w:p>
  </w:footnote>
  <w:footnote w:id="5">
    <w:p w14:paraId="14372D37" w14:textId="7029C3D0" w:rsidR="00A4193F" w:rsidRPr="001A027F" w:rsidRDefault="00A4193F">
      <w:pPr>
        <w:pStyle w:val="FootnoteText"/>
        <w:rPr>
          <w:rFonts w:ascii="Times New Roman" w:hAnsi="Times New Roman" w:cs="Times New Roman"/>
          <w:szCs w:val="16"/>
          <w:lang w:val="en-AU"/>
        </w:rPr>
      </w:pPr>
      <w:r w:rsidRPr="001A027F">
        <w:rPr>
          <w:rStyle w:val="FootnoteReference"/>
          <w:rFonts w:ascii="Times New Roman" w:hAnsi="Times New Roman" w:cs="Times New Roman"/>
          <w:szCs w:val="16"/>
        </w:rPr>
        <w:footnoteRef/>
      </w:r>
      <w:r w:rsidRPr="001A027F">
        <w:rPr>
          <w:rFonts w:ascii="Times New Roman" w:hAnsi="Times New Roman" w:cs="Times New Roman"/>
          <w:szCs w:val="16"/>
        </w:rPr>
        <w:t xml:space="preserve">. A service provider would be unlikely to seek to engage with a </w:t>
      </w:r>
      <w:r w:rsidR="003473F7" w:rsidRPr="001A027F">
        <w:rPr>
          <w:rFonts w:ascii="Times New Roman" w:hAnsi="Times New Roman" w:cs="Times New Roman"/>
          <w:szCs w:val="16"/>
        </w:rPr>
        <w:t xml:space="preserve">consultation process if they were not genuinely interested in co-location as doing so would just increase their costs. </w:t>
      </w:r>
    </w:p>
  </w:footnote>
  <w:footnote w:id="6">
    <w:p w14:paraId="0F58362E" w14:textId="26B0224E" w:rsidR="007F5573" w:rsidRPr="001A027F" w:rsidRDefault="007F5573">
      <w:pPr>
        <w:pStyle w:val="FootnoteText"/>
        <w:rPr>
          <w:rFonts w:ascii="Times New Roman" w:hAnsi="Times New Roman" w:cs="Times New Roman"/>
          <w:szCs w:val="16"/>
          <w:lang w:val="en-AU"/>
        </w:rPr>
      </w:pPr>
      <w:r w:rsidRPr="001A027F">
        <w:rPr>
          <w:rStyle w:val="FootnoteReference"/>
          <w:rFonts w:ascii="Times New Roman" w:hAnsi="Times New Roman" w:cs="Times New Roman"/>
          <w:szCs w:val="16"/>
        </w:rPr>
        <w:footnoteRef/>
      </w:r>
      <w:r w:rsidRPr="001A027F">
        <w:rPr>
          <w:rFonts w:ascii="Times New Roman" w:hAnsi="Times New Roman" w:cs="Times New Roman"/>
          <w:szCs w:val="16"/>
        </w:rPr>
        <w:t xml:space="preserve">. Klein notes that hold-up problems may </w:t>
      </w:r>
      <w:r w:rsidR="001A027F" w:rsidRPr="001A027F">
        <w:rPr>
          <w:rFonts w:ascii="Times New Roman" w:hAnsi="Times New Roman" w:cs="Times New Roman"/>
          <w:szCs w:val="16"/>
        </w:rPr>
        <w:t>occur</w:t>
      </w:r>
      <w:r w:rsidRPr="001A027F">
        <w:rPr>
          <w:rFonts w:ascii="Times New Roman" w:hAnsi="Times New Roman" w:cs="Times New Roman"/>
          <w:szCs w:val="16"/>
        </w:rPr>
        <w:t xml:space="preserve"> as a result of contractual gaps, and that the incomplete nature of contracts (and indeed regulation) may result </w:t>
      </w:r>
      <w:r w:rsidR="00905F3A" w:rsidRPr="001A027F">
        <w:rPr>
          <w:rFonts w:ascii="Times New Roman" w:hAnsi="Times New Roman" w:cs="Times New Roman"/>
          <w:szCs w:val="16"/>
        </w:rPr>
        <w:t>i</w:t>
      </w:r>
      <w:r w:rsidRPr="001A027F">
        <w:rPr>
          <w:rFonts w:ascii="Times New Roman" w:hAnsi="Times New Roman" w:cs="Times New Roman"/>
          <w:szCs w:val="16"/>
        </w:rPr>
        <w:t>n a distortion, with a party seeking to maximise profits by exploiting loop-holes within arrangements.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2D592" w14:textId="77777777" w:rsidR="00084A5B" w:rsidRDefault="00084A5B" w:rsidP="00DD7C1C">
    <w:pPr>
      <w:pStyle w:val="Header"/>
      <w:tabs>
        <w:tab w:val="clear" w:pos="4513"/>
        <w:tab w:val="clear" w:pos="9026"/>
      </w:tabs>
      <w:ind w:right="-1"/>
      <w:jc w:val="right"/>
    </w:pPr>
    <w:r>
      <w:rPr>
        <w:noProof/>
        <w:lang w:val="en-US"/>
      </w:rPr>
      <w:drawing>
        <wp:anchor distT="0" distB="0" distL="114300" distR="114300" simplePos="0" relativeHeight="251659264" behindDoc="1" locked="0" layoutInCell="1" allowOverlap="1" wp14:anchorId="2F657A50" wp14:editId="63122AB3">
          <wp:simplePos x="0" y="0"/>
          <wp:positionH relativeFrom="column">
            <wp:posOffset>4785812</wp:posOffset>
          </wp:positionH>
          <wp:positionV relativeFrom="paragraph">
            <wp:posOffset>117807</wp:posOffset>
          </wp:positionV>
          <wp:extent cx="1630800" cy="756000"/>
          <wp:effectExtent l="0" t="0" r="762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6DF3" w14:textId="77777777"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955"/>
    <w:multiLevelType w:val="hybridMultilevel"/>
    <w:tmpl w:val="A5E2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D0585"/>
    <w:multiLevelType w:val="hybridMultilevel"/>
    <w:tmpl w:val="C634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23779"/>
    <w:multiLevelType w:val="hybridMultilevel"/>
    <w:tmpl w:val="960E3D1C"/>
    <w:lvl w:ilvl="0" w:tplc="21DE868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073F3"/>
    <w:multiLevelType w:val="hybridMultilevel"/>
    <w:tmpl w:val="E604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872ED"/>
    <w:multiLevelType w:val="hybridMultilevel"/>
    <w:tmpl w:val="849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B4429"/>
    <w:multiLevelType w:val="hybridMultilevel"/>
    <w:tmpl w:val="1C5E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E4"/>
    <w:rsid w:val="00000452"/>
    <w:rsid w:val="00000F12"/>
    <w:rsid w:val="00002D94"/>
    <w:rsid w:val="00020F9F"/>
    <w:rsid w:val="00023DFC"/>
    <w:rsid w:val="000245A0"/>
    <w:rsid w:val="00027253"/>
    <w:rsid w:val="0003527F"/>
    <w:rsid w:val="000403C4"/>
    <w:rsid w:val="0004158E"/>
    <w:rsid w:val="00041B57"/>
    <w:rsid w:val="00052420"/>
    <w:rsid w:val="000575D6"/>
    <w:rsid w:val="000640AE"/>
    <w:rsid w:val="0006664C"/>
    <w:rsid w:val="00070960"/>
    <w:rsid w:val="00084A5B"/>
    <w:rsid w:val="00085FE8"/>
    <w:rsid w:val="0008728F"/>
    <w:rsid w:val="000901C1"/>
    <w:rsid w:val="00091C29"/>
    <w:rsid w:val="000922F8"/>
    <w:rsid w:val="000931B0"/>
    <w:rsid w:val="00094623"/>
    <w:rsid w:val="000971DE"/>
    <w:rsid w:val="000A36BF"/>
    <w:rsid w:val="000A6A16"/>
    <w:rsid w:val="000C2C0C"/>
    <w:rsid w:val="000D164A"/>
    <w:rsid w:val="000D1CDD"/>
    <w:rsid w:val="000D2537"/>
    <w:rsid w:val="000D6AFC"/>
    <w:rsid w:val="000E4D43"/>
    <w:rsid w:val="000F1169"/>
    <w:rsid w:val="000F2D17"/>
    <w:rsid w:val="000F690B"/>
    <w:rsid w:val="00102689"/>
    <w:rsid w:val="00110D0C"/>
    <w:rsid w:val="00132E2F"/>
    <w:rsid w:val="00132FBE"/>
    <w:rsid w:val="001343FA"/>
    <w:rsid w:val="0013781B"/>
    <w:rsid w:val="00140112"/>
    <w:rsid w:val="00151ACD"/>
    <w:rsid w:val="00154D44"/>
    <w:rsid w:val="0016107F"/>
    <w:rsid w:val="001627E8"/>
    <w:rsid w:val="00163811"/>
    <w:rsid w:val="00185D00"/>
    <w:rsid w:val="001914FD"/>
    <w:rsid w:val="001929AB"/>
    <w:rsid w:val="001941AA"/>
    <w:rsid w:val="001944F6"/>
    <w:rsid w:val="00196E5E"/>
    <w:rsid w:val="001A027F"/>
    <w:rsid w:val="001A3ED3"/>
    <w:rsid w:val="001A41EF"/>
    <w:rsid w:val="001A4BC6"/>
    <w:rsid w:val="001A58FC"/>
    <w:rsid w:val="001B05F4"/>
    <w:rsid w:val="001B4695"/>
    <w:rsid w:val="001C13C7"/>
    <w:rsid w:val="001C28E7"/>
    <w:rsid w:val="001C3405"/>
    <w:rsid w:val="001C5C4C"/>
    <w:rsid w:val="001E781D"/>
    <w:rsid w:val="00200447"/>
    <w:rsid w:val="002230F7"/>
    <w:rsid w:val="00224CA3"/>
    <w:rsid w:val="00226AC8"/>
    <w:rsid w:val="002271B6"/>
    <w:rsid w:val="00234042"/>
    <w:rsid w:val="00240462"/>
    <w:rsid w:val="00245BBF"/>
    <w:rsid w:val="002477D2"/>
    <w:rsid w:val="00250116"/>
    <w:rsid w:val="002540AF"/>
    <w:rsid w:val="0025428E"/>
    <w:rsid w:val="002551E8"/>
    <w:rsid w:val="0025746E"/>
    <w:rsid w:val="00265C3D"/>
    <w:rsid w:val="002706CE"/>
    <w:rsid w:val="00271CD3"/>
    <w:rsid w:val="0028097C"/>
    <w:rsid w:val="00281326"/>
    <w:rsid w:val="00283D0C"/>
    <w:rsid w:val="00285558"/>
    <w:rsid w:val="002931AA"/>
    <w:rsid w:val="00295F39"/>
    <w:rsid w:val="002A0FFE"/>
    <w:rsid w:val="002A2562"/>
    <w:rsid w:val="002A30A3"/>
    <w:rsid w:val="002A67B9"/>
    <w:rsid w:val="002A79CD"/>
    <w:rsid w:val="002B59C1"/>
    <w:rsid w:val="002B775A"/>
    <w:rsid w:val="002C06F0"/>
    <w:rsid w:val="002C27FC"/>
    <w:rsid w:val="002C7D1D"/>
    <w:rsid w:val="002D0940"/>
    <w:rsid w:val="002D404C"/>
    <w:rsid w:val="002E6464"/>
    <w:rsid w:val="002F049B"/>
    <w:rsid w:val="003006A2"/>
    <w:rsid w:val="00301182"/>
    <w:rsid w:val="003035BA"/>
    <w:rsid w:val="00305E84"/>
    <w:rsid w:val="00312F65"/>
    <w:rsid w:val="00323758"/>
    <w:rsid w:val="00327D35"/>
    <w:rsid w:val="003366FD"/>
    <w:rsid w:val="003473F7"/>
    <w:rsid w:val="0034755C"/>
    <w:rsid w:val="003516B4"/>
    <w:rsid w:val="00353C27"/>
    <w:rsid w:val="00366599"/>
    <w:rsid w:val="0036666E"/>
    <w:rsid w:val="00367452"/>
    <w:rsid w:val="00377E20"/>
    <w:rsid w:val="00377FED"/>
    <w:rsid w:val="0038143B"/>
    <w:rsid w:val="0038698B"/>
    <w:rsid w:val="00386C61"/>
    <w:rsid w:val="003A2475"/>
    <w:rsid w:val="003B1499"/>
    <w:rsid w:val="003B60EC"/>
    <w:rsid w:val="003B64C1"/>
    <w:rsid w:val="003C445D"/>
    <w:rsid w:val="003C44D7"/>
    <w:rsid w:val="003E018A"/>
    <w:rsid w:val="003E49AA"/>
    <w:rsid w:val="003E6503"/>
    <w:rsid w:val="003E6D7E"/>
    <w:rsid w:val="003F2B35"/>
    <w:rsid w:val="003F7826"/>
    <w:rsid w:val="003F7BB2"/>
    <w:rsid w:val="00415844"/>
    <w:rsid w:val="0044146E"/>
    <w:rsid w:val="00444551"/>
    <w:rsid w:val="00444806"/>
    <w:rsid w:val="0044797D"/>
    <w:rsid w:val="004552EA"/>
    <w:rsid w:val="00471943"/>
    <w:rsid w:val="00471B89"/>
    <w:rsid w:val="00472C7E"/>
    <w:rsid w:val="00473A12"/>
    <w:rsid w:val="00473BC9"/>
    <w:rsid w:val="004850E4"/>
    <w:rsid w:val="00487942"/>
    <w:rsid w:val="00497D2D"/>
    <w:rsid w:val="004A01EB"/>
    <w:rsid w:val="004A251E"/>
    <w:rsid w:val="004A4255"/>
    <w:rsid w:val="004A4A18"/>
    <w:rsid w:val="004A4FF7"/>
    <w:rsid w:val="004B470C"/>
    <w:rsid w:val="004B5F63"/>
    <w:rsid w:val="004B6021"/>
    <w:rsid w:val="004B6640"/>
    <w:rsid w:val="004C0689"/>
    <w:rsid w:val="004C1DDE"/>
    <w:rsid w:val="004C3886"/>
    <w:rsid w:val="004C4116"/>
    <w:rsid w:val="004D0BF0"/>
    <w:rsid w:val="004D24C0"/>
    <w:rsid w:val="004D40C4"/>
    <w:rsid w:val="004E1457"/>
    <w:rsid w:val="004E1AF2"/>
    <w:rsid w:val="004E37C4"/>
    <w:rsid w:val="004E545B"/>
    <w:rsid w:val="004E7271"/>
    <w:rsid w:val="004F0479"/>
    <w:rsid w:val="00505AC7"/>
    <w:rsid w:val="0051236D"/>
    <w:rsid w:val="00515891"/>
    <w:rsid w:val="00521DB7"/>
    <w:rsid w:val="00523C22"/>
    <w:rsid w:val="005333B4"/>
    <w:rsid w:val="005358D6"/>
    <w:rsid w:val="00540C98"/>
    <w:rsid w:val="00547ACB"/>
    <w:rsid w:val="0055192C"/>
    <w:rsid w:val="00562B43"/>
    <w:rsid w:val="005668DC"/>
    <w:rsid w:val="00567F65"/>
    <w:rsid w:val="005746FF"/>
    <w:rsid w:val="005820C9"/>
    <w:rsid w:val="005945C3"/>
    <w:rsid w:val="005A167D"/>
    <w:rsid w:val="005A4728"/>
    <w:rsid w:val="005A673E"/>
    <w:rsid w:val="005A69ED"/>
    <w:rsid w:val="005B0F35"/>
    <w:rsid w:val="005B1C4D"/>
    <w:rsid w:val="005C253F"/>
    <w:rsid w:val="005C3E47"/>
    <w:rsid w:val="005C4373"/>
    <w:rsid w:val="005C7AC4"/>
    <w:rsid w:val="005D1376"/>
    <w:rsid w:val="005D3FD6"/>
    <w:rsid w:val="005E020A"/>
    <w:rsid w:val="005E0CF8"/>
    <w:rsid w:val="00605832"/>
    <w:rsid w:val="0061359B"/>
    <w:rsid w:val="006355C8"/>
    <w:rsid w:val="00655156"/>
    <w:rsid w:val="00661E1D"/>
    <w:rsid w:val="00664B48"/>
    <w:rsid w:val="00665A01"/>
    <w:rsid w:val="00673A47"/>
    <w:rsid w:val="00674B56"/>
    <w:rsid w:val="00676306"/>
    <w:rsid w:val="0068375D"/>
    <w:rsid w:val="006843A0"/>
    <w:rsid w:val="00686243"/>
    <w:rsid w:val="006920E1"/>
    <w:rsid w:val="006C0FF4"/>
    <w:rsid w:val="006D4167"/>
    <w:rsid w:val="006D44D8"/>
    <w:rsid w:val="006D7537"/>
    <w:rsid w:val="006E113F"/>
    <w:rsid w:val="006E6416"/>
    <w:rsid w:val="007034F9"/>
    <w:rsid w:val="0070380C"/>
    <w:rsid w:val="00706B7A"/>
    <w:rsid w:val="00706CD2"/>
    <w:rsid w:val="00715A83"/>
    <w:rsid w:val="00715F3F"/>
    <w:rsid w:val="007211D1"/>
    <w:rsid w:val="0073069C"/>
    <w:rsid w:val="00737F9B"/>
    <w:rsid w:val="00743055"/>
    <w:rsid w:val="007506AE"/>
    <w:rsid w:val="00752A06"/>
    <w:rsid w:val="007630FC"/>
    <w:rsid w:val="00774768"/>
    <w:rsid w:val="007800EB"/>
    <w:rsid w:val="00780B44"/>
    <w:rsid w:val="007810E1"/>
    <w:rsid w:val="0078121B"/>
    <w:rsid w:val="007819CF"/>
    <w:rsid w:val="00781A1A"/>
    <w:rsid w:val="00784E39"/>
    <w:rsid w:val="007A3E1A"/>
    <w:rsid w:val="007B2E21"/>
    <w:rsid w:val="007C0E1E"/>
    <w:rsid w:val="007C6B25"/>
    <w:rsid w:val="007C7544"/>
    <w:rsid w:val="007D3F16"/>
    <w:rsid w:val="007D549C"/>
    <w:rsid w:val="007F10B6"/>
    <w:rsid w:val="007F2576"/>
    <w:rsid w:val="007F5573"/>
    <w:rsid w:val="007F7A31"/>
    <w:rsid w:val="007F7A4B"/>
    <w:rsid w:val="008040DC"/>
    <w:rsid w:val="00832041"/>
    <w:rsid w:val="008346D3"/>
    <w:rsid w:val="008347BD"/>
    <w:rsid w:val="00845FF6"/>
    <w:rsid w:val="00867CD8"/>
    <w:rsid w:val="00872FC8"/>
    <w:rsid w:val="00874727"/>
    <w:rsid w:val="00891740"/>
    <w:rsid w:val="00892094"/>
    <w:rsid w:val="00892B75"/>
    <w:rsid w:val="0089394E"/>
    <w:rsid w:val="008A19E7"/>
    <w:rsid w:val="008A255A"/>
    <w:rsid w:val="008B0458"/>
    <w:rsid w:val="008B35A8"/>
    <w:rsid w:val="008C1F6B"/>
    <w:rsid w:val="008D32A7"/>
    <w:rsid w:val="008E3E45"/>
    <w:rsid w:val="008E713D"/>
    <w:rsid w:val="008F115C"/>
    <w:rsid w:val="008F3BC0"/>
    <w:rsid w:val="008F46E1"/>
    <w:rsid w:val="008F7E90"/>
    <w:rsid w:val="00900B0F"/>
    <w:rsid w:val="00905F3A"/>
    <w:rsid w:val="0091781A"/>
    <w:rsid w:val="00922306"/>
    <w:rsid w:val="0092330C"/>
    <w:rsid w:val="009306F3"/>
    <w:rsid w:val="0094279E"/>
    <w:rsid w:val="009447A9"/>
    <w:rsid w:val="00953831"/>
    <w:rsid w:val="00953838"/>
    <w:rsid w:val="009547FD"/>
    <w:rsid w:val="00955674"/>
    <w:rsid w:val="00955D18"/>
    <w:rsid w:val="00956EF5"/>
    <w:rsid w:val="00964792"/>
    <w:rsid w:val="00970D95"/>
    <w:rsid w:val="00972E24"/>
    <w:rsid w:val="00980DF8"/>
    <w:rsid w:val="009A227B"/>
    <w:rsid w:val="009A310A"/>
    <w:rsid w:val="009A5D93"/>
    <w:rsid w:val="009B60C0"/>
    <w:rsid w:val="009C0D92"/>
    <w:rsid w:val="009C2D47"/>
    <w:rsid w:val="009C576C"/>
    <w:rsid w:val="009C65B2"/>
    <w:rsid w:val="009C7BA5"/>
    <w:rsid w:val="009D27A0"/>
    <w:rsid w:val="009D3AAF"/>
    <w:rsid w:val="009D5810"/>
    <w:rsid w:val="009D7387"/>
    <w:rsid w:val="009E4F54"/>
    <w:rsid w:val="009F1040"/>
    <w:rsid w:val="009F2D88"/>
    <w:rsid w:val="00A01D09"/>
    <w:rsid w:val="00A021EB"/>
    <w:rsid w:val="00A065B1"/>
    <w:rsid w:val="00A22F25"/>
    <w:rsid w:val="00A3282C"/>
    <w:rsid w:val="00A32FC6"/>
    <w:rsid w:val="00A4193F"/>
    <w:rsid w:val="00A41FD0"/>
    <w:rsid w:val="00A4447D"/>
    <w:rsid w:val="00A4487F"/>
    <w:rsid w:val="00A44A8A"/>
    <w:rsid w:val="00A51A21"/>
    <w:rsid w:val="00A5368F"/>
    <w:rsid w:val="00A6007D"/>
    <w:rsid w:val="00A630CE"/>
    <w:rsid w:val="00A75733"/>
    <w:rsid w:val="00A76A23"/>
    <w:rsid w:val="00A95222"/>
    <w:rsid w:val="00AA0E19"/>
    <w:rsid w:val="00AA203B"/>
    <w:rsid w:val="00AA686C"/>
    <w:rsid w:val="00AB4C51"/>
    <w:rsid w:val="00AB6445"/>
    <w:rsid w:val="00AC3171"/>
    <w:rsid w:val="00AC4549"/>
    <w:rsid w:val="00AD1E70"/>
    <w:rsid w:val="00AD2739"/>
    <w:rsid w:val="00AD56B6"/>
    <w:rsid w:val="00AD75B9"/>
    <w:rsid w:val="00AE2840"/>
    <w:rsid w:val="00AE4022"/>
    <w:rsid w:val="00AE52D6"/>
    <w:rsid w:val="00AF129C"/>
    <w:rsid w:val="00AF1DE4"/>
    <w:rsid w:val="00B14025"/>
    <w:rsid w:val="00B23DD2"/>
    <w:rsid w:val="00B31A36"/>
    <w:rsid w:val="00B3557C"/>
    <w:rsid w:val="00B412E6"/>
    <w:rsid w:val="00B4140A"/>
    <w:rsid w:val="00B418A0"/>
    <w:rsid w:val="00B4337E"/>
    <w:rsid w:val="00B52680"/>
    <w:rsid w:val="00B56B89"/>
    <w:rsid w:val="00B6052F"/>
    <w:rsid w:val="00B672AE"/>
    <w:rsid w:val="00B8150C"/>
    <w:rsid w:val="00B82B2D"/>
    <w:rsid w:val="00B87233"/>
    <w:rsid w:val="00B8758D"/>
    <w:rsid w:val="00B94449"/>
    <w:rsid w:val="00B965D1"/>
    <w:rsid w:val="00B97558"/>
    <w:rsid w:val="00BA31D9"/>
    <w:rsid w:val="00BA4103"/>
    <w:rsid w:val="00BA6687"/>
    <w:rsid w:val="00BA7054"/>
    <w:rsid w:val="00BB5B50"/>
    <w:rsid w:val="00BC74BA"/>
    <w:rsid w:val="00BE12FC"/>
    <w:rsid w:val="00BE4BC5"/>
    <w:rsid w:val="00BE6EF7"/>
    <w:rsid w:val="00BF0979"/>
    <w:rsid w:val="00BF54D7"/>
    <w:rsid w:val="00BF76CD"/>
    <w:rsid w:val="00C15B53"/>
    <w:rsid w:val="00C1766E"/>
    <w:rsid w:val="00C260D9"/>
    <w:rsid w:val="00C3063C"/>
    <w:rsid w:val="00C32DD1"/>
    <w:rsid w:val="00C34F71"/>
    <w:rsid w:val="00C36092"/>
    <w:rsid w:val="00C4251E"/>
    <w:rsid w:val="00C4270C"/>
    <w:rsid w:val="00C43C58"/>
    <w:rsid w:val="00C44468"/>
    <w:rsid w:val="00C45186"/>
    <w:rsid w:val="00C45FF2"/>
    <w:rsid w:val="00C46625"/>
    <w:rsid w:val="00C47E43"/>
    <w:rsid w:val="00C51C07"/>
    <w:rsid w:val="00C55B60"/>
    <w:rsid w:val="00C57D2B"/>
    <w:rsid w:val="00C613FC"/>
    <w:rsid w:val="00C8652E"/>
    <w:rsid w:val="00C92094"/>
    <w:rsid w:val="00CA1BC0"/>
    <w:rsid w:val="00CD44AA"/>
    <w:rsid w:val="00CE2D7F"/>
    <w:rsid w:val="00CE6AC5"/>
    <w:rsid w:val="00CF5828"/>
    <w:rsid w:val="00CF5B31"/>
    <w:rsid w:val="00D01579"/>
    <w:rsid w:val="00D10309"/>
    <w:rsid w:val="00D1106A"/>
    <w:rsid w:val="00D203A8"/>
    <w:rsid w:val="00D2134C"/>
    <w:rsid w:val="00D22508"/>
    <w:rsid w:val="00D26550"/>
    <w:rsid w:val="00D325AA"/>
    <w:rsid w:val="00D35314"/>
    <w:rsid w:val="00D3636E"/>
    <w:rsid w:val="00D40723"/>
    <w:rsid w:val="00D433BE"/>
    <w:rsid w:val="00D44632"/>
    <w:rsid w:val="00D50329"/>
    <w:rsid w:val="00D53901"/>
    <w:rsid w:val="00D53F0A"/>
    <w:rsid w:val="00D6092E"/>
    <w:rsid w:val="00D661C1"/>
    <w:rsid w:val="00D66D95"/>
    <w:rsid w:val="00D710AB"/>
    <w:rsid w:val="00D72848"/>
    <w:rsid w:val="00D76450"/>
    <w:rsid w:val="00D80550"/>
    <w:rsid w:val="00D843DA"/>
    <w:rsid w:val="00D93C6F"/>
    <w:rsid w:val="00DA1182"/>
    <w:rsid w:val="00DB734E"/>
    <w:rsid w:val="00DB7C2D"/>
    <w:rsid w:val="00DC3A09"/>
    <w:rsid w:val="00DD1B6E"/>
    <w:rsid w:val="00DD7C1C"/>
    <w:rsid w:val="00DE0C0C"/>
    <w:rsid w:val="00DE5E3C"/>
    <w:rsid w:val="00DF1D11"/>
    <w:rsid w:val="00DF4315"/>
    <w:rsid w:val="00E04750"/>
    <w:rsid w:val="00E05115"/>
    <w:rsid w:val="00E11DFD"/>
    <w:rsid w:val="00E140AD"/>
    <w:rsid w:val="00E15A7C"/>
    <w:rsid w:val="00E27E03"/>
    <w:rsid w:val="00E3738E"/>
    <w:rsid w:val="00E451AB"/>
    <w:rsid w:val="00E454E9"/>
    <w:rsid w:val="00E54047"/>
    <w:rsid w:val="00E639C3"/>
    <w:rsid w:val="00E70DD0"/>
    <w:rsid w:val="00E7226E"/>
    <w:rsid w:val="00E76363"/>
    <w:rsid w:val="00E81C64"/>
    <w:rsid w:val="00E81ECD"/>
    <w:rsid w:val="00E82251"/>
    <w:rsid w:val="00E83786"/>
    <w:rsid w:val="00E91F4B"/>
    <w:rsid w:val="00EA2F57"/>
    <w:rsid w:val="00EA45FC"/>
    <w:rsid w:val="00EA4E63"/>
    <w:rsid w:val="00EB73C8"/>
    <w:rsid w:val="00EC5DBE"/>
    <w:rsid w:val="00ED035A"/>
    <w:rsid w:val="00ED1CB2"/>
    <w:rsid w:val="00ED7493"/>
    <w:rsid w:val="00EE6215"/>
    <w:rsid w:val="00EF0CEF"/>
    <w:rsid w:val="00EF3410"/>
    <w:rsid w:val="00F008F8"/>
    <w:rsid w:val="00F038F7"/>
    <w:rsid w:val="00F07025"/>
    <w:rsid w:val="00F10B18"/>
    <w:rsid w:val="00F27B86"/>
    <w:rsid w:val="00F41F46"/>
    <w:rsid w:val="00F4690E"/>
    <w:rsid w:val="00F47C64"/>
    <w:rsid w:val="00F51CE6"/>
    <w:rsid w:val="00F57B0F"/>
    <w:rsid w:val="00F61950"/>
    <w:rsid w:val="00F66995"/>
    <w:rsid w:val="00F7224B"/>
    <w:rsid w:val="00F7476B"/>
    <w:rsid w:val="00F757AE"/>
    <w:rsid w:val="00F76389"/>
    <w:rsid w:val="00F76853"/>
    <w:rsid w:val="00F7689F"/>
    <w:rsid w:val="00F81178"/>
    <w:rsid w:val="00F8370A"/>
    <w:rsid w:val="00F860D4"/>
    <w:rsid w:val="00F91FDF"/>
    <w:rsid w:val="00F9280D"/>
    <w:rsid w:val="00FA3CDB"/>
    <w:rsid w:val="00FA4DA4"/>
    <w:rsid w:val="00FA4E59"/>
    <w:rsid w:val="00FA5BE2"/>
    <w:rsid w:val="00FA7266"/>
    <w:rsid w:val="00FB4060"/>
    <w:rsid w:val="00FB73ED"/>
    <w:rsid w:val="00FD15F3"/>
    <w:rsid w:val="00FE0E99"/>
    <w:rsid w:val="00FF4BB3"/>
    <w:rsid w:val="00FF577B"/>
    <w:rsid w:val="00FF5AF4"/>
    <w:rsid w:val="00FF7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B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styleId="Revision">
    <w:name w:val="Revision"/>
    <w:hidden/>
    <w:uiPriority w:val="99"/>
    <w:semiHidden/>
    <w:rsid w:val="00C47E43"/>
    <w:rPr>
      <w:rFonts w:eastAsiaTheme="minorEastAsia"/>
      <w:lang w:eastAsia="en-AU"/>
    </w:rPr>
  </w:style>
  <w:style w:type="paragraph" w:styleId="Bibliography">
    <w:name w:val="Bibliography"/>
    <w:basedOn w:val="Normal"/>
    <w:next w:val="Normal"/>
    <w:uiPriority w:val="37"/>
    <w:unhideWhenUsed/>
    <w:rsid w:val="00F7476B"/>
    <w:pPr>
      <w:spacing w:after="24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styleId="Revision">
    <w:name w:val="Revision"/>
    <w:hidden/>
    <w:uiPriority w:val="99"/>
    <w:semiHidden/>
    <w:rsid w:val="00C47E43"/>
    <w:rPr>
      <w:rFonts w:eastAsiaTheme="minorEastAsia"/>
      <w:lang w:eastAsia="en-AU"/>
    </w:rPr>
  </w:style>
  <w:style w:type="paragraph" w:styleId="Bibliography">
    <w:name w:val="Bibliography"/>
    <w:basedOn w:val="Normal"/>
    <w:next w:val="Normal"/>
    <w:uiPriority w:val="37"/>
    <w:unhideWhenUsed/>
    <w:rsid w:val="00F7476B"/>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hame.oleary@acc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124C-4629-49E9-B3F5-A88CB9D0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4140</Words>
  <Characters>23601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Durie</cp:lastModifiedBy>
  <cp:revision>2</cp:revision>
  <cp:lastPrinted>2012-12-11T06:08:00Z</cp:lastPrinted>
  <dcterms:created xsi:type="dcterms:W3CDTF">2018-10-04T23:47:00Z</dcterms:created>
  <dcterms:modified xsi:type="dcterms:W3CDTF">2018-10-04T23:47:00Z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zotero-version="5.0.55.1"&gt;&lt;session id="t6VRWsFM"/&gt;&lt;style id="http://www.zotero.org/styles/harvard-university-of-technology-sydney" hasBibliography="1" bibliographyStyleHasBeenSet="1"/&gt;&lt;prefs&gt;&lt;pref name="fieldType" value="Field"/&gt;&lt;pr</vt:lpwstr>
  </property>
  <property fmtid="{D5CDD505-2E9C-101B-9397-08002B2CF9AE}" pid="3" name="ZOTERO_PREF_2">
    <vt:lpwstr>ef name="automaticJournalAbbreviations" value="true"/&gt;&lt;pref name="dontAskDelayCitationUpdates" value="true"/&gt;&lt;/prefs&gt;&lt;/data&gt;</vt:lpwstr>
  </property>
</Properties>
</file>