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46" w:rsidRDefault="00336046" w:rsidP="00336046">
      <w:pPr>
        <w:pStyle w:val="Title"/>
      </w:pPr>
      <w:bookmarkStart w:id="0" w:name="_Toc348623476"/>
      <w:bookmarkStart w:id="1" w:name="_Toc348626199"/>
      <w:bookmarkStart w:id="2" w:name="_Toc351035241"/>
      <w:bookmarkStart w:id="3" w:name="_Toc355599064"/>
      <w:bookmarkStart w:id="4" w:name="_Toc356541523"/>
      <w:r>
        <w:t>Review of the declaration of the Domestic Mobile Terminating Access Service</w:t>
      </w:r>
      <w:bookmarkEnd w:id="0"/>
      <w:bookmarkEnd w:id="1"/>
      <w:bookmarkEnd w:id="2"/>
      <w:bookmarkEnd w:id="3"/>
      <w:bookmarkEnd w:id="4"/>
    </w:p>
    <w:p w:rsidR="009F4B9D" w:rsidRPr="003441E5" w:rsidRDefault="009F4B9D" w:rsidP="00B14DFB">
      <w:pPr>
        <w:pStyle w:val="Subtitle"/>
      </w:pPr>
      <w:r w:rsidRPr="003441E5">
        <w:t xml:space="preserve">Submission by the Australian Communications Consumer Action Network to the </w:t>
      </w:r>
      <w:r w:rsidR="00336046">
        <w:t>Australian Competition and Consumer Commission</w:t>
      </w:r>
    </w:p>
    <w:p w:rsidR="009F4B9D" w:rsidRPr="003441E5" w:rsidRDefault="000A5D59" w:rsidP="00B14DFB">
      <w:pPr>
        <w:pStyle w:val="Subtitle"/>
      </w:pPr>
      <w:r>
        <w:t>July</w:t>
      </w:r>
      <w:r w:rsidR="00336046">
        <w:t xml:space="preserve"> 2013</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336046" w:rsidRDefault="00336046" w:rsidP="00336046">
      <w:r>
        <w:t>Xavier O’Halloran</w:t>
      </w:r>
    </w:p>
    <w:p w:rsidR="00336046" w:rsidRPr="003441E5" w:rsidRDefault="00336046" w:rsidP="00336046">
      <w: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22689F"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360784586" w:history="1">
            <w:r w:rsidR="0022689F" w:rsidRPr="007025C6">
              <w:rPr>
                <w:rStyle w:val="Hyperlink"/>
                <w:rFonts w:eastAsia="Times New Roman"/>
                <w:noProof/>
              </w:rPr>
              <w:t>1.</w:t>
            </w:r>
            <w:r w:rsidR="0022689F">
              <w:rPr>
                <w:rFonts w:asciiTheme="minorHAnsi" w:hAnsiTheme="minorHAnsi"/>
                <w:noProof/>
              </w:rPr>
              <w:tab/>
            </w:r>
            <w:r w:rsidR="0022689F" w:rsidRPr="007025C6">
              <w:rPr>
                <w:rStyle w:val="Hyperlink"/>
                <w:rFonts w:eastAsia="Times New Roman"/>
                <w:noProof/>
              </w:rPr>
              <w:t>Should mobile voice termination still be declared?</w:t>
            </w:r>
            <w:r w:rsidR="0022689F">
              <w:rPr>
                <w:noProof/>
                <w:webHidden/>
              </w:rPr>
              <w:tab/>
            </w:r>
            <w:r w:rsidR="0022689F">
              <w:rPr>
                <w:noProof/>
                <w:webHidden/>
              </w:rPr>
              <w:fldChar w:fldCharType="begin"/>
            </w:r>
            <w:r w:rsidR="0022689F">
              <w:rPr>
                <w:noProof/>
                <w:webHidden/>
              </w:rPr>
              <w:instrText xml:space="preserve"> PAGEREF _Toc360784586 \h </w:instrText>
            </w:r>
            <w:r w:rsidR="0022689F">
              <w:rPr>
                <w:noProof/>
                <w:webHidden/>
              </w:rPr>
            </w:r>
            <w:r w:rsidR="0022689F">
              <w:rPr>
                <w:noProof/>
                <w:webHidden/>
              </w:rPr>
              <w:fldChar w:fldCharType="separate"/>
            </w:r>
            <w:r w:rsidR="0022689F">
              <w:rPr>
                <w:noProof/>
                <w:webHidden/>
              </w:rPr>
              <w:t>4</w:t>
            </w:r>
            <w:r w:rsidR="0022689F">
              <w:rPr>
                <w:noProof/>
                <w:webHidden/>
              </w:rPr>
              <w:fldChar w:fldCharType="end"/>
            </w:r>
          </w:hyperlink>
        </w:p>
        <w:p w:rsidR="0022689F" w:rsidRDefault="0022689F">
          <w:pPr>
            <w:pStyle w:val="TOC2"/>
            <w:rPr>
              <w:rFonts w:asciiTheme="minorHAnsi" w:hAnsiTheme="minorHAnsi"/>
            </w:rPr>
          </w:pPr>
          <w:hyperlink w:anchor="_Toc360784587" w:history="1">
            <w:r w:rsidRPr="007025C6">
              <w:rPr>
                <w:rStyle w:val="Hyperlink"/>
              </w:rPr>
              <w:t>1.1.</w:t>
            </w:r>
            <w:r>
              <w:rPr>
                <w:rFonts w:asciiTheme="minorHAnsi" w:hAnsiTheme="minorHAnsi"/>
              </w:rPr>
              <w:tab/>
            </w:r>
            <w:r w:rsidRPr="007025C6">
              <w:rPr>
                <w:rStyle w:val="Hyperlink"/>
              </w:rPr>
              <w:t>Promoting competition</w:t>
            </w:r>
            <w:r>
              <w:rPr>
                <w:webHidden/>
              </w:rPr>
              <w:tab/>
            </w:r>
            <w:r>
              <w:rPr>
                <w:webHidden/>
              </w:rPr>
              <w:fldChar w:fldCharType="begin"/>
            </w:r>
            <w:r>
              <w:rPr>
                <w:webHidden/>
              </w:rPr>
              <w:instrText xml:space="preserve"> PAGEREF _Toc360784587 \h </w:instrText>
            </w:r>
            <w:r>
              <w:rPr>
                <w:webHidden/>
              </w:rPr>
            </w:r>
            <w:r>
              <w:rPr>
                <w:webHidden/>
              </w:rPr>
              <w:fldChar w:fldCharType="separate"/>
            </w:r>
            <w:r>
              <w:rPr>
                <w:webHidden/>
              </w:rPr>
              <w:t>4</w:t>
            </w:r>
            <w:r>
              <w:rPr>
                <w:webHidden/>
              </w:rPr>
              <w:fldChar w:fldCharType="end"/>
            </w:r>
          </w:hyperlink>
        </w:p>
        <w:p w:rsidR="0022689F" w:rsidRDefault="0022689F">
          <w:pPr>
            <w:pStyle w:val="TOC2"/>
            <w:rPr>
              <w:rFonts w:asciiTheme="minorHAnsi" w:hAnsiTheme="minorHAnsi"/>
            </w:rPr>
          </w:pPr>
          <w:hyperlink w:anchor="_Toc360784588" w:history="1">
            <w:r w:rsidRPr="007025C6">
              <w:rPr>
                <w:rStyle w:val="Hyperlink"/>
              </w:rPr>
              <w:t>1.2.</w:t>
            </w:r>
            <w:r>
              <w:rPr>
                <w:rFonts w:asciiTheme="minorHAnsi" w:hAnsiTheme="minorHAnsi"/>
              </w:rPr>
              <w:tab/>
            </w:r>
            <w:r w:rsidRPr="007025C6">
              <w:rPr>
                <w:rStyle w:val="Hyperlink"/>
              </w:rPr>
              <w:t>Any-to-any connectivity</w:t>
            </w:r>
            <w:r>
              <w:rPr>
                <w:webHidden/>
              </w:rPr>
              <w:tab/>
            </w:r>
            <w:r>
              <w:rPr>
                <w:webHidden/>
              </w:rPr>
              <w:fldChar w:fldCharType="begin"/>
            </w:r>
            <w:r>
              <w:rPr>
                <w:webHidden/>
              </w:rPr>
              <w:instrText xml:space="preserve"> PAGEREF _Toc360784588 \h </w:instrText>
            </w:r>
            <w:r>
              <w:rPr>
                <w:webHidden/>
              </w:rPr>
            </w:r>
            <w:r>
              <w:rPr>
                <w:webHidden/>
              </w:rPr>
              <w:fldChar w:fldCharType="separate"/>
            </w:r>
            <w:r>
              <w:rPr>
                <w:webHidden/>
              </w:rPr>
              <w:t>7</w:t>
            </w:r>
            <w:r>
              <w:rPr>
                <w:webHidden/>
              </w:rPr>
              <w:fldChar w:fldCharType="end"/>
            </w:r>
          </w:hyperlink>
        </w:p>
        <w:p w:rsidR="0022689F" w:rsidRDefault="0022689F">
          <w:pPr>
            <w:pStyle w:val="TOC2"/>
            <w:rPr>
              <w:rFonts w:asciiTheme="minorHAnsi" w:hAnsiTheme="minorHAnsi"/>
            </w:rPr>
          </w:pPr>
          <w:hyperlink w:anchor="_Toc360784589" w:history="1">
            <w:r w:rsidRPr="007025C6">
              <w:rPr>
                <w:rStyle w:val="Hyperlink"/>
              </w:rPr>
              <w:t>1.3.</w:t>
            </w:r>
            <w:r>
              <w:rPr>
                <w:rFonts w:asciiTheme="minorHAnsi" w:hAnsiTheme="minorHAnsi"/>
              </w:rPr>
              <w:tab/>
            </w:r>
            <w:r w:rsidRPr="007025C6">
              <w:rPr>
                <w:rStyle w:val="Hyperlink"/>
              </w:rPr>
              <w:t>Efficient use and investment in infrastructure</w:t>
            </w:r>
            <w:r>
              <w:rPr>
                <w:webHidden/>
              </w:rPr>
              <w:tab/>
            </w:r>
            <w:r>
              <w:rPr>
                <w:webHidden/>
              </w:rPr>
              <w:fldChar w:fldCharType="begin"/>
            </w:r>
            <w:r>
              <w:rPr>
                <w:webHidden/>
              </w:rPr>
              <w:instrText xml:space="preserve"> PAGEREF _Toc360784589 \h </w:instrText>
            </w:r>
            <w:r>
              <w:rPr>
                <w:webHidden/>
              </w:rPr>
            </w:r>
            <w:r>
              <w:rPr>
                <w:webHidden/>
              </w:rPr>
              <w:fldChar w:fldCharType="separate"/>
            </w:r>
            <w:r>
              <w:rPr>
                <w:webHidden/>
              </w:rPr>
              <w:t>8</w:t>
            </w:r>
            <w:r>
              <w:rPr>
                <w:webHidden/>
              </w:rPr>
              <w:fldChar w:fldCharType="end"/>
            </w:r>
          </w:hyperlink>
        </w:p>
        <w:p w:rsidR="0022689F" w:rsidRDefault="0022689F">
          <w:pPr>
            <w:pStyle w:val="TOC2"/>
            <w:rPr>
              <w:rFonts w:asciiTheme="minorHAnsi" w:hAnsiTheme="minorHAnsi"/>
            </w:rPr>
          </w:pPr>
          <w:hyperlink w:anchor="_Toc360784590" w:history="1">
            <w:r w:rsidRPr="007025C6">
              <w:rPr>
                <w:rStyle w:val="Hyperlink"/>
              </w:rPr>
              <w:t>1.4.</w:t>
            </w:r>
            <w:r>
              <w:rPr>
                <w:rFonts w:asciiTheme="minorHAnsi" w:hAnsiTheme="minorHAnsi"/>
              </w:rPr>
              <w:tab/>
            </w:r>
            <w:r w:rsidRPr="007025C6">
              <w:rPr>
                <w:rStyle w:val="Hyperlink"/>
              </w:rPr>
              <w:t>Should SMS be declared?</w:t>
            </w:r>
            <w:r>
              <w:rPr>
                <w:webHidden/>
              </w:rPr>
              <w:tab/>
            </w:r>
            <w:r>
              <w:rPr>
                <w:webHidden/>
              </w:rPr>
              <w:fldChar w:fldCharType="begin"/>
            </w:r>
            <w:r>
              <w:rPr>
                <w:webHidden/>
              </w:rPr>
              <w:instrText xml:space="preserve"> PAGEREF _Toc360784590 \h </w:instrText>
            </w:r>
            <w:r>
              <w:rPr>
                <w:webHidden/>
              </w:rPr>
            </w:r>
            <w:r>
              <w:rPr>
                <w:webHidden/>
              </w:rPr>
              <w:fldChar w:fldCharType="separate"/>
            </w:r>
            <w:r>
              <w:rPr>
                <w:webHidden/>
              </w:rPr>
              <w:t>9</w:t>
            </w:r>
            <w:r>
              <w:rPr>
                <w:webHidden/>
              </w:rPr>
              <w:fldChar w:fldCharType="end"/>
            </w:r>
          </w:hyperlink>
        </w:p>
        <w:p w:rsidR="0022689F" w:rsidRDefault="0022689F">
          <w:pPr>
            <w:pStyle w:val="TOC2"/>
            <w:rPr>
              <w:rFonts w:asciiTheme="minorHAnsi" w:hAnsiTheme="minorHAnsi"/>
            </w:rPr>
          </w:pPr>
          <w:hyperlink w:anchor="_Toc360784591" w:history="1">
            <w:r w:rsidRPr="007025C6">
              <w:rPr>
                <w:rStyle w:val="Hyperlink"/>
              </w:rPr>
              <w:t>1.5.</w:t>
            </w:r>
            <w:r>
              <w:rPr>
                <w:rFonts w:asciiTheme="minorHAnsi" w:hAnsiTheme="minorHAnsi"/>
              </w:rPr>
              <w:tab/>
            </w:r>
            <w:r w:rsidRPr="007025C6">
              <w:rPr>
                <w:rStyle w:val="Hyperlink"/>
              </w:rPr>
              <w:t>How long should an MTAS declaration apply?</w:t>
            </w:r>
            <w:r>
              <w:rPr>
                <w:webHidden/>
              </w:rPr>
              <w:tab/>
            </w:r>
            <w:r>
              <w:rPr>
                <w:webHidden/>
              </w:rPr>
              <w:fldChar w:fldCharType="begin"/>
            </w:r>
            <w:r>
              <w:rPr>
                <w:webHidden/>
              </w:rPr>
              <w:instrText xml:space="preserve"> PAGEREF _Toc360784591 \h </w:instrText>
            </w:r>
            <w:r>
              <w:rPr>
                <w:webHidden/>
              </w:rPr>
            </w:r>
            <w:r>
              <w:rPr>
                <w:webHidden/>
              </w:rPr>
              <w:fldChar w:fldCharType="separate"/>
            </w:r>
            <w:r>
              <w:rPr>
                <w:webHidden/>
              </w:rPr>
              <w:t>9</w:t>
            </w:r>
            <w:r>
              <w:rPr>
                <w:webHidden/>
              </w:rPr>
              <w:fldChar w:fldCharType="end"/>
            </w:r>
          </w:hyperlink>
        </w:p>
        <w:p w:rsidR="00EC1696" w:rsidRPr="003441E5" w:rsidRDefault="00EC1696" w:rsidP="00F36D62">
          <w:pPr>
            <w:tabs>
              <w:tab w:val="left" w:pos="8220"/>
            </w:tabs>
          </w:pPr>
          <w:r w:rsidRPr="003441E5">
            <w:rPr>
              <w:b/>
              <w:bCs/>
              <w:noProof/>
            </w:rPr>
            <w:fldChar w:fldCharType="end"/>
          </w:r>
          <w:r w:rsidR="00F36D62">
            <w:rPr>
              <w:b/>
              <w:bCs/>
              <w:noProof/>
            </w:rPr>
            <w:tab/>
          </w:r>
        </w:p>
      </w:sdtContent>
    </w:sdt>
    <w:p w:rsidR="00AD032B" w:rsidRPr="003441E5" w:rsidRDefault="00AD032B" w:rsidP="00EC1696"/>
    <w:p w:rsidR="009F4B9D" w:rsidRPr="003441E5" w:rsidRDefault="009F4B9D" w:rsidP="00B14DFB">
      <w:pPr>
        <w:rPr>
          <w:lang w:eastAsia="en-US"/>
        </w:rPr>
      </w:pPr>
    </w:p>
    <w:p w:rsidR="00542267" w:rsidRPr="003441E5" w:rsidRDefault="00542267" w:rsidP="00542267"/>
    <w:p w:rsidR="00992BE6" w:rsidRDefault="00992BE6" w:rsidP="00992BE6">
      <w:pPr>
        <w:pStyle w:val="Heading1"/>
        <w:numPr>
          <w:ilvl w:val="0"/>
          <w:numId w:val="27"/>
        </w:numPr>
        <w:rPr>
          <w:rFonts w:eastAsia="Times New Roman"/>
        </w:rPr>
      </w:pPr>
      <w:bookmarkStart w:id="5" w:name="_Toc360784586"/>
      <w:r w:rsidRPr="00992BE6">
        <w:rPr>
          <w:rFonts w:eastAsia="Times New Roman"/>
        </w:rPr>
        <w:lastRenderedPageBreak/>
        <w:t>Should mobile voice termination still be declared?</w:t>
      </w:r>
      <w:bookmarkEnd w:id="5"/>
    </w:p>
    <w:p w:rsidR="005F178E" w:rsidRDefault="00FC5906" w:rsidP="00E0415D">
      <w:pPr>
        <w:rPr>
          <w:lang w:eastAsia="en-US"/>
        </w:rPr>
      </w:pPr>
      <w:r>
        <w:rPr>
          <w:lang w:eastAsia="en-US"/>
        </w:rPr>
        <w:t xml:space="preserve">ACCAN </w:t>
      </w:r>
      <w:r w:rsidR="00AA6B8A">
        <w:rPr>
          <w:lang w:eastAsia="en-US"/>
        </w:rPr>
        <w:t>believes an</w:t>
      </w:r>
      <w:r>
        <w:rPr>
          <w:lang w:eastAsia="en-US"/>
        </w:rPr>
        <w:t xml:space="preserve"> </w:t>
      </w:r>
      <w:r w:rsidR="005F178E">
        <w:rPr>
          <w:lang w:eastAsia="en-US"/>
        </w:rPr>
        <w:t>extension</w:t>
      </w:r>
      <w:r>
        <w:rPr>
          <w:lang w:eastAsia="en-US"/>
        </w:rPr>
        <w:t xml:space="preserve"> of the</w:t>
      </w:r>
      <w:r w:rsidR="005F178E">
        <w:rPr>
          <w:lang w:eastAsia="en-US"/>
        </w:rPr>
        <w:t xml:space="preserve"> MTAS</w:t>
      </w:r>
      <w:r>
        <w:rPr>
          <w:lang w:eastAsia="en-US"/>
        </w:rPr>
        <w:t xml:space="preserve"> declaration </w:t>
      </w:r>
      <w:r w:rsidR="00AA6B8A">
        <w:rPr>
          <w:lang w:eastAsia="en-US"/>
        </w:rPr>
        <w:t>is the best way of achieving</w:t>
      </w:r>
      <w:r w:rsidR="005F178E">
        <w:rPr>
          <w:lang w:eastAsia="en-US"/>
        </w:rPr>
        <w:t xml:space="preserve"> the ACCC’s objectives in</w:t>
      </w:r>
      <w:r w:rsidR="007E49B7">
        <w:rPr>
          <w:lang w:eastAsia="en-US"/>
        </w:rPr>
        <w:t xml:space="preserve"> promoting the </w:t>
      </w:r>
      <w:r w:rsidR="007E49B7" w:rsidRPr="007E49B7">
        <w:rPr>
          <w:lang w:eastAsia="en-US"/>
        </w:rPr>
        <w:t>long-term interests of end-users</w:t>
      </w:r>
      <w:r w:rsidR="007E49B7">
        <w:rPr>
          <w:lang w:eastAsia="en-US"/>
        </w:rPr>
        <w:t xml:space="preserve"> </w:t>
      </w:r>
      <w:r w:rsidR="003400F5">
        <w:rPr>
          <w:lang w:eastAsia="en-US"/>
        </w:rPr>
        <w:t>through</w:t>
      </w:r>
      <w:r w:rsidR="005F178E">
        <w:rPr>
          <w:lang w:eastAsia="en-US"/>
        </w:rPr>
        <w:t>:</w:t>
      </w:r>
    </w:p>
    <w:p w:rsidR="005F178E" w:rsidRDefault="007E49B7" w:rsidP="005F178E">
      <w:pPr>
        <w:pStyle w:val="ListParagraph"/>
        <w:numPr>
          <w:ilvl w:val="0"/>
          <w:numId w:val="29"/>
        </w:numPr>
      </w:pPr>
      <w:r>
        <w:t>Promoting</w:t>
      </w:r>
      <w:r w:rsidR="005F178E">
        <w:t xml:space="preserve"> competition in markets for telecommunications services</w:t>
      </w:r>
      <w:r w:rsidR="00ED7B1E">
        <w:t>,</w:t>
      </w:r>
    </w:p>
    <w:p w:rsidR="005F178E" w:rsidRDefault="005F178E" w:rsidP="005F178E">
      <w:pPr>
        <w:pStyle w:val="ListParagraph"/>
        <w:numPr>
          <w:ilvl w:val="0"/>
          <w:numId w:val="29"/>
        </w:numPr>
      </w:pPr>
      <w:r>
        <w:t>Achieving any-to-any connectivity in relation to carriage services that involve communication between end-users; and</w:t>
      </w:r>
    </w:p>
    <w:p w:rsidR="005F178E" w:rsidRDefault="005F178E" w:rsidP="005F178E">
      <w:pPr>
        <w:pStyle w:val="ListParagraph"/>
        <w:numPr>
          <w:ilvl w:val="0"/>
          <w:numId w:val="29"/>
        </w:numPr>
      </w:pPr>
      <w:r>
        <w:t>Encouraging the economically efficient use of, and the economically efficient investment in, the infrastructure by which telecommunications services are supplied.</w:t>
      </w:r>
      <w:r>
        <w:rPr>
          <w:rStyle w:val="FootnoteReference"/>
        </w:rPr>
        <w:footnoteReference w:id="1"/>
      </w:r>
    </w:p>
    <w:p w:rsidR="0072259A" w:rsidRDefault="0072259A" w:rsidP="0072259A">
      <w:pPr>
        <w:pStyle w:val="Recommendation"/>
      </w:pPr>
      <w:r>
        <w:t xml:space="preserve">That the Mobile Terminating Access Service (MTAS) Declaration should be extended and </w:t>
      </w:r>
      <w:r w:rsidR="000A5D59">
        <w:t>updated</w:t>
      </w:r>
      <w:r>
        <w:t xml:space="preserve"> to make reference to the </w:t>
      </w:r>
      <w:r>
        <w:rPr>
          <w:i/>
        </w:rPr>
        <w:t>Competition and Consumer Act 2010</w:t>
      </w:r>
      <w:r>
        <w:t>.</w:t>
      </w:r>
    </w:p>
    <w:p w:rsidR="00FA6169" w:rsidRDefault="00FA6169" w:rsidP="009B20F7">
      <w:pPr>
        <w:pStyle w:val="Heading2"/>
      </w:pPr>
      <w:bookmarkStart w:id="6" w:name="_Toc360784587"/>
      <w:r w:rsidRPr="00FA6169">
        <w:t>Promoting competition</w:t>
      </w:r>
      <w:bookmarkEnd w:id="6"/>
    </w:p>
    <w:p w:rsidR="00146E10" w:rsidRPr="00146E10" w:rsidRDefault="00146E10" w:rsidP="00E0415D">
      <w:pPr>
        <w:rPr>
          <w:lang w:eastAsia="en-US"/>
        </w:rPr>
      </w:pPr>
      <w:r>
        <w:rPr>
          <w:lang w:eastAsia="en-US"/>
        </w:rPr>
        <w:t>ACCAN notes that there are a range of factors which impact on market competitiveness</w:t>
      </w:r>
      <w:r w:rsidR="003400F5">
        <w:rPr>
          <w:lang w:eastAsia="en-US"/>
        </w:rPr>
        <w:t xml:space="preserve"> in the mobile market</w:t>
      </w:r>
      <w:r>
        <w:rPr>
          <w:lang w:eastAsia="en-US"/>
        </w:rPr>
        <w:t>. The MTAS is one lever by which the ACCC can encourage competition. It would be disingenuous to argue that the MTAS declaration is the sole or even primary contributor to competition. The following</w:t>
      </w:r>
      <w:r w:rsidR="0072259A">
        <w:rPr>
          <w:lang w:eastAsia="en-US"/>
        </w:rPr>
        <w:t xml:space="preserve"> is an</w:t>
      </w:r>
      <w:r>
        <w:rPr>
          <w:lang w:eastAsia="en-US"/>
        </w:rPr>
        <w:t xml:space="preserve"> analysis of the level of competitiveness in the market</w:t>
      </w:r>
      <w:r w:rsidR="0072259A">
        <w:rPr>
          <w:lang w:eastAsia="en-US"/>
        </w:rPr>
        <w:t>. It</w:t>
      </w:r>
      <w:r>
        <w:rPr>
          <w:lang w:eastAsia="en-US"/>
        </w:rPr>
        <w:t xml:space="preserve"> is meant as a snapshot of key </w:t>
      </w:r>
      <w:r w:rsidR="003400F5">
        <w:rPr>
          <w:lang w:eastAsia="en-US"/>
        </w:rPr>
        <w:t>issues</w:t>
      </w:r>
      <w:r>
        <w:rPr>
          <w:lang w:eastAsia="en-US"/>
        </w:rPr>
        <w:t xml:space="preserve"> ACCAN believes should</w:t>
      </w:r>
      <w:r w:rsidR="0072259A">
        <w:rPr>
          <w:lang w:eastAsia="en-US"/>
        </w:rPr>
        <w:t xml:space="preserve"> be</w:t>
      </w:r>
      <w:r>
        <w:rPr>
          <w:lang w:eastAsia="en-US"/>
        </w:rPr>
        <w:t xml:space="preserve"> take</w:t>
      </w:r>
      <w:r w:rsidR="0072259A">
        <w:rPr>
          <w:lang w:eastAsia="en-US"/>
        </w:rPr>
        <w:t>n</w:t>
      </w:r>
      <w:r>
        <w:rPr>
          <w:lang w:eastAsia="en-US"/>
        </w:rPr>
        <w:t xml:space="preserve"> into account when considering</w:t>
      </w:r>
      <w:r w:rsidR="0072259A">
        <w:rPr>
          <w:lang w:eastAsia="en-US"/>
        </w:rPr>
        <w:t xml:space="preserve"> the</w:t>
      </w:r>
      <w:r>
        <w:rPr>
          <w:lang w:eastAsia="en-US"/>
        </w:rPr>
        <w:t xml:space="preserve"> </w:t>
      </w:r>
      <w:r w:rsidR="00C9577E">
        <w:rPr>
          <w:lang w:eastAsia="en-US"/>
        </w:rPr>
        <w:t>re-declar</w:t>
      </w:r>
      <w:r w:rsidR="0072259A">
        <w:rPr>
          <w:lang w:eastAsia="en-US"/>
        </w:rPr>
        <w:t xml:space="preserve">ation of </w:t>
      </w:r>
      <w:r w:rsidR="00C9577E">
        <w:rPr>
          <w:lang w:eastAsia="en-US"/>
        </w:rPr>
        <w:t>MTAS</w:t>
      </w:r>
      <w:r>
        <w:rPr>
          <w:lang w:eastAsia="en-US"/>
        </w:rPr>
        <w:t xml:space="preserve">. It </w:t>
      </w:r>
      <w:r w:rsidR="00C9577E">
        <w:rPr>
          <w:lang w:eastAsia="en-US"/>
        </w:rPr>
        <w:t>analyses</w:t>
      </w:r>
      <w:r>
        <w:rPr>
          <w:lang w:eastAsia="en-US"/>
        </w:rPr>
        <w:t xml:space="preserve"> factors</w:t>
      </w:r>
      <w:r w:rsidR="0072259A">
        <w:rPr>
          <w:lang w:eastAsia="en-US"/>
        </w:rPr>
        <w:t xml:space="preserve"> such</w:t>
      </w:r>
      <w:r>
        <w:rPr>
          <w:lang w:eastAsia="en-US"/>
        </w:rPr>
        <w:t xml:space="preserve"> as</w:t>
      </w:r>
      <w:r w:rsidR="00304FAA">
        <w:rPr>
          <w:lang w:eastAsia="en-US"/>
        </w:rPr>
        <w:t xml:space="preserve"> market concentration, competition on pricing and advertising spending.</w:t>
      </w:r>
    </w:p>
    <w:p w:rsidR="00146E10" w:rsidRPr="00146E10" w:rsidRDefault="00146E10" w:rsidP="00E0415D">
      <w:pPr>
        <w:rPr>
          <w:b/>
          <w:lang w:eastAsia="en-US"/>
        </w:rPr>
      </w:pPr>
      <w:r w:rsidRPr="00146E10">
        <w:rPr>
          <w:b/>
          <w:lang w:eastAsia="en-US"/>
        </w:rPr>
        <w:t>Market concentration</w:t>
      </w:r>
    </w:p>
    <w:p w:rsidR="00C47AA7" w:rsidRDefault="00FA6169" w:rsidP="00FA6169">
      <w:pPr>
        <w:rPr>
          <w:lang w:eastAsia="en-US"/>
        </w:rPr>
      </w:pPr>
      <w:r>
        <w:rPr>
          <w:lang w:eastAsia="en-US"/>
        </w:rPr>
        <w:t xml:space="preserve">The ACCC recognised in </w:t>
      </w:r>
      <w:r w:rsidR="005019D4">
        <w:rPr>
          <w:lang w:eastAsia="en-US"/>
        </w:rPr>
        <w:t>its</w:t>
      </w:r>
      <w:r>
        <w:rPr>
          <w:lang w:eastAsia="en-US"/>
        </w:rPr>
        <w:t xml:space="preserve"> discussion paper</w:t>
      </w:r>
      <w:r w:rsidR="0072259A">
        <w:rPr>
          <w:lang w:eastAsia="en-US"/>
        </w:rPr>
        <w:t>,</w:t>
      </w:r>
      <w:r>
        <w:rPr>
          <w:lang w:eastAsia="en-US"/>
        </w:rPr>
        <w:t xml:space="preserve"> that since the last declaration</w:t>
      </w:r>
      <w:r w:rsidR="0072259A">
        <w:rPr>
          <w:lang w:eastAsia="en-US"/>
        </w:rPr>
        <w:t>,</w:t>
      </w:r>
      <w:r>
        <w:rPr>
          <w:lang w:eastAsia="en-US"/>
        </w:rPr>
        <w:t xml:space="preserve"> there have been significant changes in the ownership and </w:t>
      </w:r>
      <w:r w:rsidR="003D7EE9">
        <w:rPr>
          <w:lang w:eastAsia="en-US"/>
        </w:rPr>
        <w:t xml:space="preserve">retail </w:t>
      </w:r>
      <w:r>
        <w:rPr>
          <w:lang w:eastAsia="en-US"/>
        </w:rPr>
        <w:t>market shares of Australian Mobile Network Operators</w:t>
      </w:r>
      <w:r w:rsidR="0072259A">
        <w:rPr>
          <w:lang w:eastAsia="en-US"/>
        </w:rPr>
        <w:t xml:space="preserve"> (MNOs)</w:t>
      </w:r>
      <w:r>
        <w:rPr>
          <w:lang w:eastAsia="en-US"/>
        </w:rPr>
        <w:t>.</w:t>
      </w:r>
      <w:r>
        <w:rPr>
          <w:rStyle w:val="FootnoteReference"/>
          <w:lang w:eastAsia="en-US"/>
        </w:rPr>
        <w:footnoteReference w:id="2"/>
      </w:r>
      <w:r>
        <w:rPr>
          <w:lang w:eastAsia="en-US"/>
        </w:rPr>
        <w:t xml:space="preserve"> The</w:t>
      </w:r>
      <w:r w:rsidR="0072259A">
        <w:rPr>
          <w:lang w:eastAsia="en-US"/>
        </w:rPr>
        <w:t xml:space="preserve"> last declaration period is marked by</w:t>
      </w:r>
      <w:r>
        <w:rPr>
          <w:lang w:eastAsia="en-US"/>
        </w:rPr>
        <w:t xml:space="preserve"> greater concentration </w:t>
      </w:r>
      <w:r w:rsidR="00245AE2">
        <w:rPr>
          <w:lang w:eastAsia="en-US"/>
        </w:rPr>
        <w:t>of</w:t>
      </w:r>
      <w:r>
        <w:rPr>
          <w:lang w:eastAsia="en-US"/>
        </w:rPr>
        <w:t xml:space="preserve"> market players</w:t>
      </w:r>
      <w:r w:rsidR="0072259A">
        <w:rPr>
          <w:lang w:eastAsia="en-US"/>
        </w:rPr>
        <w:t>,</w:t>
      </w:r>
      <w:r>
        <w:rPr>
          <w:lang w:eastAsia="en-US"/>
        </w:rPr>
        <w:t xml:space="preserve"> with Telstra steadily increasing </w:t>
      </w:r>
      <w:r w:rsidR="005019D4">
        <w:rPr>
          <w:lang w:eastAsia="en-US"/>
        </w:rPr>
        <w:t>its</w:t>
      </w:r>
      <w:r>
        <w:rPr>
          <w:lang w:eastAsia="en-US"/>
        </w:rPr>
        <w:t xml:space="preserve"> share.</w:t>
      </w:r>
      <w:r w:rsidR="0099334C">
        <w:rPr>
          <w:lang w:eastAsia="en-US"/>
        </w:rPr>
        <w:t xml:space="preserve"> The most recent A</w:t>
      </w:r>
      <w:r w:rsidR="00C9577E">
        <w:rPr>
          <w:lang w:eastAsia="en-US"/>
        </w:rPr>
        <w:t xml:space="preserve">ustralian </w:t>
      </w:r>
      <w:r w:rsidR="0099334C">
        <w:rPr>
          <w:lang w:eastAsia="en-US"/>
        </w:rPr>
        <w:t>C</w:t>
      </w:r>
      <w:r w:rsidR="00C9577E">
        <w:rPr>
          <w:lang w:eastAsia="en-US"/>
        </w:rPr>
        <w:t xml:space="preserve">ommunications and </w:t>
      </w:r>
      <w:r w:rsidR="0099334C">
        <w:rPr>
          <w:lang w:eastAsia="en-US"/>
        </w:rPr>
        <w:t>M</w:t>
      </w:r>
      <w:r w:rsidR="00C9577E">
        <w:rPr>
          <w:lang w:eastAsia="en-US"/>
        </w:rPr>
        <w:t xml:space="preserve">edia </w:t>
      </w:r>
      <w:r w:rsidR="0099334C">
        <w:rPr>
          <w:lang w:eastAsia="en-US"/>
        </w:rPr>
        <w:t>A</w:t>
      </w:r>
      <w:r w:rsidR="00C9577E">
        <w:rPr>
          <w:lang w:eastAsia="en-US"/>
        </w:rPr>
        <w:t>uthority (ACMA)</w:t>
      </w:r>
      <w:r w:rsidR="0099334C">
        <w:rPr>
          <w:lang w:eastAsia="en-US"/>
        </w:rPr>
        <w:t xml:space="preserve"> report put Telstra’s mobile services market share at 46 per cent</w:t>
      </w:r>
      <w:r w:rsidR="00C9577E">
        <w:rPr>
          <w:lang w:eastAsia="en-US"/>
        </w:rPr>
        <w:t>,</w:t>
      </w:r>
      <w:r w:rsidR="0099334C">
        <w:rPr>
          <w:lang w:eastAsia="en-US"/>
        </w:rPr>
        <w:t xml:space="preserve"> up 4 percentage points on the previous year.</w:t>
      </w:r>
      <w:r w:rsidR="0099334C">
        <w:rPr>
          <w:rStyle w:val="FootnoteReference"/>
          <w:lang w:eastAsia="en-US"/>
        </w:rPr>
        <w:footnoteReference w:id="3"/>
      </w:r>
      <w:r w:rsidR="0099334C">
        <w:rPr>
          <w:lang w:eastAsia="en-US"/>
        </w:rPr>
        <w:t xml:space="preserve"> Optus remained the same at 31 per cent</w:t>
      </w:r>
      <w:r w:rsidR="00245AE2">
        <w:rPr>
          <w:lang w:eastAsia="en-US"/>
        </w:rPr>
        <w:t>,</w:t>
      </w:r>
      <w:r w:rsidR="0099334C">
        <w:rPr>
          <w:lang w:eastAsia="en-US"/>
        </w:rPr>
        <w:t xml:space="preserve"> while VHA’s share slipped 4 percentage points to 23 per cent.</w:t>
      </w:r>
      <w:r w:rsidR="0099334C">
        <w:rPr>
          <w:rStyle w:val="FootnoteReference"/>
          <w:lang w:eastAsia="en-US"/>
        </w:rPr>
        <w:footnoteReference w:id="4"/>
      </w:r>
      <w:r w:rsidR="00304FAA">
        <w:rPr>
          <w:lang w:eastAsia="en-US"/>
        </w:rPr>
        <w:t xml:space="preserve"> </w:t>
      </w:r>
    </w:p>
    <w:p w:rsidR="00C9577E" w:rsidRDefault="00C9577E" w:rsidP="00FA6169">
      <w:pPr>
        <w:rPr>
          <w:lang w:eastAsia="en-US"/>
        </w:rPr>
      </w:pPr>
      <w:r>
        <w:rPr>
          <w:lang w:eastAsia="en-US"/>
        </w:rPr>
        <w:t xml:space="preserve">In the current climate of increased market concentration, it becomes particularly important that the MTAS be re-declared. As the ACCC outlined </w:t>
      </w:r>
      <w:r w:rsidR="00667906">
        <w:rPr>
          <w:lang w:eastAsia="en-US"/>
        </w:rPr>
        <w:t xml:space="preserve">in the 2009 declaration, competition is not best served </w:t>
      </w:r>
      <w:r w:rsidR="00667906">
        <w:rPr>
          <w:lang w:eastAsia="en-US"/>
        </w:rPr>
        <w:lastRenderedPageBreak/>
        <w:t>where operators control pricing to connect to their network.</w:t>
      </w:r>
      <w:r w:rsidR="00667906">
        <w:rPr>
          <w:rStyle w:val="FootnoteReference"/>
          <w:lang w:eastAsia="en-US"/>
        </w:rPr>
        <w:footnoteReference w:id="5"/>
      </w:r>
      <w:r w:rsidR="00667906">
        <w:rPr>
          <w:lang w:eastAsia="en-US"/>
        </w:rPr>
        <w:t xml:space="preserve"> The fact that operators maintain a monopoly over their networks means they can potentially set connection prices well above cost, thus staving off competition from smaller operators and new entrants. </w:t>
      </w:r>
    </w:p>
    <w:p w:rsidR="00E67DE2" w:rsidRDefault="0099334C" w:rsidP="00FA6169">
      <w:pPr>
        <w:rPr>
          <w:lang w:eastAsia="en-US"/>
        </w:rPr>
      </w:pPr>
      <w:r>
        <w:rPr>
          <w:lang w:eastAsia="en-US"/>
        </w:rPr>
        <w:t>On its own</w:t>
      </w:r>
      <w:r w:rsidR="005019D4">
        <w:rPr>
          <w:lang w:eastAsia="en-US"/>
        </w:rPr>
        <w:t>,</w:t>
      </w:r>
      <w:r>
        <w:rPr>
          <w:lang w:eastAsia="en-US"/>
        </w:rPr>
        <w:t xml:space="preserve"> increased market concentration does not mean there has been a softening in competition. </w:t>
      </w:r>
      <w:r w:rsidR="00337EAC">
        <w:rPr>
          <w:lang w:eastAsia="en-US"/>
        </w:rPr>
        <w:t>C</w:t>
      </w:r>
      <w:r w:rsidR="00E67DE2">
        <w:rPr>
          <w:lang w:eastAsia="en-US"/>
        </w:rPr>
        <w:t>ompetition in mobile service pricing and other factors, such as advertising spending</w:t>
      </w:r>
      <w:r w:rsidR="00C47AA7">
        <w:rPr>
          <w:lang w:eastAsia="en-US"/>
        </w:rPr>
        <w:t>,</w:t>
      </w:r>
      <w:r w:rsidR="00337EAC">
        <w:rPr>
          <w:lang w:eastAsia="en-US"/>
        </w:rPr>
        <w:t xml:space="preserve"> are important indicators of the</w:t>
      </w:r>
      <w:r w:rsidR="00C47AA7">
        <w:rPr>
          <w:lang w:eastAsia="en-US"/>
        </w:rPr>
        <w:t xml:space="preserve"> current</w:t>
      </w:r>
      <w:r w:rsidR="00337EAC">
        <w:rPr>
          <w:lang w:eastAsia="en-US"/>
        </w:rPr>
        <w:t xml:space="preserve"> level of competition in the market</w:t>
      </w:r>
      <w:r w:rsidR="00E67DE2">
        <w:rPr>
          <w:lang w:eastAsia="en-US"/>
        </w:rPr>
        <w:t>.</w:t>
      </w:r>
    </w:p>
    <w:p w:rsidR="00E67DE2" w:rsidRPr="00E67DE2" w:rsidRDefault="00E67DE2" w:rsidP="00FA6169">
      <w:pPr>
        <w:rPr>
          <w:b/>
          <w:lang w:eastAsia="en-US"/>
        </w:rPr>
      </w:pPr>
      <w:r w:rsidRPr="00E67DE2">
        <w:rPr>
          <w:b/>
          <w:lang w:eastAsia="en-US"/>
        </w:rPr>
        <w:t>Mobile</w:t>
      </w:r>
      <w:r w:rsidR="006A07D1">
        <w:rPr>
          <w:b/>
          <w:lang w:eastAsia="en-US"/>
        </w:rPr>
        <w:t xml:space="preserve"> to mobile</w:t>
      </w:r>
      <w:r w:rsidRPr="00E67DE2">
        <w:rPr>
          <w:b/>
          <w:lang w:eastAsia="en-US"/>
        </w:rPr>
        <w:t xml:space="preserve"> pricing</w:t>
      </w:r>
    </w:p>
    <w:p w:rsidR="00337EAC" w:rsidRDefault="002E20E4" w:rsidP="00357231">
      <w:r>
        <w:t>As the ACCC notes, there is a real difficulty in measuring actual reductions in mobile telephony pricing over the last declaration period.</w:t>
      </w:r>
      <w:r w:rsidR="00AF1A81">
        <w:rPr>
          <w:rStyle w:val="FootnoteReference"/>
        </w:rPr>
        <w:footnoteReference w:id="6"/>
      </w:r>
      <w:r>
        <w:t xml:space="preserve"> </w:t>
      </w:r>
      <w:r w:rsidR="00245AE2">
        <w:t>This is</w:t>
      </w:r>
      <w:r w:rsidR="007F0B67">
        <w:t xml:space="preserve"> because of the differences in plan structures across the industry. The use of </w:t>
      </w:r>
      <w:r w:rsidR="00245AE2">
        <w:t>‘</w:t>
      </w:r>
      <w:r w:rsidR="007F0B67">
        <w:t>included value</w:t>
      </w:r>
      <w:r w:rsidR="00245AE2">
        <w:t>’</w:t>
      </w:r>
      <w:r w:rsidR="007F0B67">
        <w:t xml:space="preserve"> and additional charges such as </w:t>
      </w:r>
      <w:r w:rsidR="00245AE2">
        <w:t>‘</w:t>
      </w:r>
      <w:r w:rsidR="007F0B67">
        <w:t>flag fall</w:t>
      </w:r>
      <w:r w:rsidR="00245AE2">
        <w:t>’</w:t>
      </w:r>
      <w:r w:rsidR="007F0B67">
        <w:t xml:space="preserve"> all complicate price consideration</w:t>
      </w:r>
      <w:r w:rsidR="009F61A4">
        <w:t>s</w:t>
      </w:r>
      <w:r w:rsidR="007F0B67">
        <w:t xml:space="preserve">. </w:t>
      </w:r>
      <w:r w:rsidR="00357231">
        <w:t>On top of this</w:t>
      </w:r>
      <w:r w:rsidR="00C47AA7">
        <w:t>,</w:t>
      </w:r>
      <w:r w:rsidR="00357231">
        <w:t xml:space="preserve"> there is a tendency </w:t>
      </w:r>
      <w:r w:rsidR="009F61A4">
        <w:t>for providers</w:t>
      </w:r>
      <w:r w:rsidR="00357231">
        <w:t xml:space="preserve"> to fix nominal prices in their plans at certain price points (</w:t>
      </w:r>
      <w:proofErr w:type="spellStart"/>
      <w:r w:rsidR="00357231">
        <w:t>eg</w:t>
      </w:r>
      <w:proofErr w:type="spellEnd"/>
      <w:r w:rsidR="00357231">
        <w:t xml:space="preserve">: $29, $49, $69) and then </w:t>
      </w:r>
      <w:r w:rsidR="009F61A4">
        <w:t>over time change</w:t>
      </w:r>
      <w:r w:rsidR="00357231">
        <w:t xml:space="preserve"> the inclusions within those plans.</w:t>
      </w:r>
      <w:r w:rsidR="00357231">
        <w:rPr>
          <w:rStyle w:val="FootnoteReference"/>
        </w:rPr>
        <w:footnoteReference w:id="7"/>
      </w:r>
      <w:r w:rsidR="00357231">
        <w:t xml:space="preserve"> </w:t>
      </w:r>
      <w:r w:rsidR="00337EAC">
        <w:t>C</w:t>
      </w:r>
      <w:r w:rsidR="00357231">
        <w:t>hanges in these inclusions are not directly reflected in the ACCC’s mobile pricing data.</w:t>
      </w:r>
    </w:p>
    <w:p w:rsidR="007F0B67" w:rsidRDefault="00337EAC" w:rsidP="00357231">
      <w:r>
        <w:t>Without accurate data</w:t>
      </w:r>
      <w:r w:rsidR="00ED7B1E">
        <w:t xml:space="preserve"> </w:t>
      </w:r>
      <w:r>
        <w:t xml:space="preserve">it becomes very difficult to assess the degree to which the long term interests of end users are being met. </w:t>
      </w:r>
      <w:r w:rsidR="00ED7B1E">
        <w:t>As such ACCAN believes the ACCC should review its metrics around measuring retail mobile pricing</w:t>
      </w:r>
      <w:r>
        <w:t>,</w:t>
      </w:r>
      <w:r w:rsidR="00ED7B1E">
        <w:t xml:space="preserve"> in an attempt to get a better picture of year on year changes.</w:t>
      </w:r>
    </w:p>
    <w:p w:rsidR="00ED7B1E" w:rsidRDefault="00ED7B1E" w:rsidP="00ED7B1E">
      <w:pPr>
        <w:pStyle w:val="Recommendation"/>
      </w:pPr>
      <w:r>
        <w:t>The ACCC</w:t>
      </w:r>
      <w:r w:rsidR="00677CA7">
        <w:t xml:space="preserve"> </w:t>
      </w:r>
      <w:r>
        <w:t>review its metrics for measuring retail pricing in the mobile market</w:t>
      </w:r>
      <w:r w:rsidR="00677CA7">
        <w:t xml:space="preserve"> to better assess the impact of MTAS regulation</w:t>
      </w:r>
      <w:r>
        <w:t>.</w:t>
      </w:r>
    </w:p>
    <w:p w:rsidR="00651984" w:rsidRDefault="00ED7AA9" w:rsidP="002E20E4">
      <w:r>
        <w:t>Keeping in mind these difficulties</w:t>
      </w:r>
      <w:r w:rsidR="00147FE8">
        <w:t>,</w:t>
      </w:r>
      <w:r>
        <w:t xml:space="preserve"> t</w:t>
      </w:r>
      <w:r w:rsidR="002E20E4">
        <w:t>he ACCC’s data indicates a decline of just 1</w:t>
      </w:r>
      <w:r w:rsidR="007E1807">
        <w:t>per cent</w:t>
      </w:r>
      <w:r w:rsidR="002E20E4">
        <w:t xml:space="preserve"> in the </w:t>
      </w:r>
      <w:r w:rsidR="007F0B67">
        <w:t xml:space="preserve">real </w:t>
      </w:r>
      <w:r w:rsidR="002E20E4">
        <w:t xml:space="preserve">average price for mobile services </w:t>
      </w:r>
      <w:r w:rsidR="007F0B67">
        <w:t>during 2011-2012</w:t>
      </w:r>
      <w:r w:rsidR="002E20E4">
        <w:t>.</w:t>
      </w:r>
      <w:r w:rsidR="009F61A4">
        <w:rPr>
          <w:rStyle w:val="FootnoteReference"/>
        </w:rPr>
        <w:footnoteReference w:id="8"/>
      </w:r>
      <w:r w:rsidR="002E20E4">
        <w:t xml:space="preserve"> </w:t>
      </w:r>
      <w:r w:rsidR="007F0B67">
        <w:t xml:space="preserve">This is </w:t>
      </w:r>
      <w:proofErr w:type="gramStart"/>
      <w:r w:rsidR="007F0B67">
        <w:t>despite a</w:t>
      </w:r>
      <w:proofErr w:type="gramEnd"/>
      <w:r w:rsidR="007F0B67">
        <w:t xml:space="preserve"> 3 cents per minute or 33 per cent drop in the MTAS fee over the same period.</w:t>
      </w:r>
      <w:r w:rsidR="009F61A4">
        <w:rPr>
          <w:rStyle w:val="FootnoteReference"/>
        </w:rPr>
        <w:footnoteReference w:id="9"/>
      </w:r>
      <w:r w:rsidR="007F0B67">
        <w:t xml:space="preserve"> </w:t>
      </w:r>
      <w:r w:rsidR="00651984">
        <w:t>As a result of such a large drop in wholesale pricing we would have expected to see increased competition on retail pricing</w:t>
      </w:r>
      <w:r w:rsidR="00C47AA7">
        <w:t xml:space="preserve"> and pass through to consumers</w:t>
      </w:r>
      <w:r w:rsidR="00651984">
        <w:t xml:space="preserve">. </w:t>
      </w:r>
      <w:r w:rsidR="006A07D1">
        <w:t xml:space="preserve">This lack of </w:t>
      </w:r>
      <w:r w:rsidR="00C47AA7">
        <w:t>competition</w:t>
      </w:r>
      <w:r w:rsidR="006A07D1">
        <w:t xml:space="preserve"> is confirmed in</w:t>
      </w:r>
      <w:r w:rsidR="00C47AA7">
        <w:t xml:space="preserve"> the latest</w:t>
      </w:r>
      <w:r w:rsidR="006A07D1">
        <w:t xml:space="preserve"> Goldman Sachs pricing survey, which suggests competition in the Australian mobile market remains relatively benign.</w:t>
      </w:r>
      <w:r w:rsidR="006A07D1">
        <w:rPr>
          <w:rStyle w:val="FootnoteReference"/>
        </w:rPr>
        <w:footnoteReference w:id="10"/>
      </w:r>
      <w:r w:rsidR="00651984">
        <w:t xml:space="preserve"> </w:t>
      </w:r>
    </w:p>
    <w:p w:rsidR="007F0B67" w:rsidRDefault="00651984" w:rsidP="002E20E4">
      <w:r>
        <w:t xml:space="preserve">It is possible that </w:t>
      </w:r>
      <w:r w:rsidR="00AF0F4C">
        <w:t>it</w:t>
      </w:r>
      <w:r>
        <w:t xml:space="preserve"> will take time for wholesale </w:t>
      </w:r>
      <w:r w:rsidR="00AF0F4C">
        <w:t xml:space="preserve">price </w:t>
      </w:r>
      <w:r>
        <w:t>reduction</w:t>
      </w:r>
      <w:r w:rsidR="00AF0F4C">
        <w:t>s</w:t>
      </w:r>
      <w:r>
        <w:t xml:space="preserve"> to work </w:t>
      </w:r>
      <w:r w:rsidR="00C47AA7">
        <w:t>their</w:t>
      </w:r>
      <w:r>
        <w:t xml:space="preserve"> way through to retail pricing. </w:t>
      </w:r>
      <w:r w:rsidR="00C47AA7">
        <w:t>Without pre-empting the next phase of MTAS, in developing its pricing principles we</w:t>
      </w:r>
      <w:r>
        <w:t xml:space="preserve"> would be encouraged to see</w:t>
      </w:r>
      <w:r w:rsidR="00C47AA7">
        <w:t xml:space="preserve"> ACCC</w:t>
      </w:r>
      <w:r>
        <w:t xml:space="preserve"> modelling that pass through was in fact occurring</w:t>
      </w:r>
      <w:r w:rsidR="00C47AA7">
        <w:t>. Failing this, we would like to see</w:t>
      </w:r>
      <w:r>
        <w:t xml:space="preserve"> </w:t>
      </w:r>
      <w:r w:rsidR="00C47AA7">
        <w:t>some explanation from industry as to why the</w:t>
      </w:r>
      <w:r>
        <w:t xml:space="preserve"> price reduction </w:t>
      </w:r>
      <w:r w:rsidR="00C47AA7">
        <w:t>is</w:t>
      </w:r>
      <w:r>
        <w:t xml:space="preserve"> being absorbed.</w:t>
      </w:r>
      <w:r w:rsidR="00C47AA7">
        <w:t xml:space="preserve"> </w:t>
      </w:r>
    </w:p>
    <w:p w:rsidR="006A07D1" w:rsidRDefault="006A07D1" w:rsidP="002E20E4">
      <w:pPr>
        <w:rPr>
          <w:b/>
        </w:rPr>
      </w:pPr>
      <w:r w:rsidRPr="006A07D1">
        <w:rPr>
          <w:b/>
        </w:rPr>
        <w:t>Fixed to mobile pricing</w:t>
      </w:r>
    </w:p>
    <w:p w:rsidR="006A07D1" w:rsidRDefault="008A6697" w:rsidP="002E20E4">
      <w:r>
        <w:t xml:space="preserve">ACCAN is concerned there </w:t>
      </w:r>
      <w:r w:rsidR="005019D4">
        <w:t>is</w:t>
      </w:r>
      <w:r>
        <w:t xml:space="preserve"> little consideration of fixed to mobile pricing in the ACCC discussion paper.</w:t>
      </w:r>
      <w:r w:rsidR="00AF0F4C">
        <w:t xml:space="preserve"> However,</w:t>
      </w:r>
      <w:r>
        <w:t xml:space="preserve"> </w:t>
      </w:r>
      <w:r w:rsidR="00AF0F4C">
        <w:t>w</w:t>
      </w:r>
      <w:r w:rsidR="0039212F">
        <w:t xml:space="preserve">e are </w:t>
      </w:r>
      <w:r w:rsidR="00616843">
        <w:t>encouraged</w:t>
      </w:r>
      <w:r w:rsidR="0039212F">
        <w:t xml:space="preserve"> to see</w:t>
      </w:r>
      <w:r w:rsidR="007D29C5">
        <w:t xml:space="preserve"> fixed to mobile prices</w:t>
      </w:r>
      <w:r w:rsidR="00AF0F4C">
        <w:t xml:space="preserve"> have</w:t>
      </w:r>
      <w:r w:rsidR="007D29C5">
        <w:t xml:space="preserve"> fall</w:t>
      </w:r>
      <w:r w:rsidR="00AF0F4C">
        <w:t>en</w:t>
      </w:r>
      <w:r w:rsidR="001163D5">
        <w:t xml:space="preserve">, albeit from a very high </w:t>
      </w:r>
      <w:r w:rsidR="001163D5">
        <w:lastRenderedPageBreak/>
        <w:t>base,</w:t>
      </w:r>
      <w:r w:rsidR="007D29C5">
        <w:t xml:space="preserve"> over 10</w:t>
      </w:r>
      <w:r w:rsidR="007E1807">
        <w:t xml:space="preserve"> per cent</w:t>
      </w:r>
      <w:r w:rsidR="007D29C5">
        <w:t xml:space="preserve"> each year</w:t>
      </w:r>
      <w:r w:rsidR="00616843">
        <w:t xml:space="preserve"> on residential lines</w:t>
      </w:r>
      <w:r w:rsidR="007D29C5">
        <w:t xml:space="preserve"> for the last three years</w:t>
      </w:r>
      <w:r w:rsidR="0039212F">
        <w:t>.</w:t>
      </w:r>
      <w:r w:rsidR="0039212F">
        <w:rPr>
          <w:rStyle w:val="FootnoteReference"/>
        </w:rPr>
        <w:footnoteReference w:id="11"/>
      </w:r>
      <w:r w:rsidR="0039212F">
        <w:t xml:space="preserve"> </w:t>
      </w:r>
      <w:r w:rsidR="00651984">
        <w:t>H</w:t>
      </w:r>
      <w:r w:rsidR="0039212F">
        <w:t>istorically there has been a large gap between Telstra’s unit revenue from fixed to mobile calls and network unit costs.</w:t>
      </w:r>
      <w:r w:rsidR="0039212F">
        <w:rPr>
          <w:rStyle w:val="FootnoteReference"/>
        </w:rPr>
        <w:footnoteReference w:id="12"/>
      </w:r>
      <w:r w:rsidR="00AF0F4C">
        <w:t xml:space="preserve"> The reductions </w:t>
      </w:r>
      <w:r w:rsidR="004836D5">
        <w:t>in</w:t>
      </w:r>
      <w:r w:rsidR="00AF0F4C">
        <w:t xml:space="preserve"> </w:t>
      </w:r>
      <w:r w:rsidR="00616843">
        <w:t>2011-2012 represent a 10.4 per cent decrease in retail pricing on residential lines despite a 33 per cent decrease in the MTAS rate</w:t>
      </w:r>
      <w:r w:rsidR="004836D5">
        <w:t xml:space="preserve"> over the same period</w:t>
      </w:r>
      <w:r w:rsidR="00616843">
        <w:t>.</w:t>
      </w:r>
      <w:r w:rsidR="00AC1162">
        <w:rPr>
          <w:rStyle w:val="FootnoteReference"/>
        </w:rPr>
        <w:footnoteReference w:id="13"/>
      </w:r>
      <w:r w:rsidR="00AC1162">
        <w:t xml:space="preserve"> </w:t>
      </w:r>
      <w:r w:rsidR="00677CA7">
        <w:t xml:space="preserve"> </w:t>
      </w:r>
      <w:r w:rsidR="004836D5">
        <w:t>So while the reductions are welcome</w:t>
      </w:r>
      <w:r w:rsidR="00AC1162">
        <w:t>,</w:t>
      </w:r>
      <w:r w:rsidR="004836D5">
        <w:t xml:space="preserve"> they come off a high base and are not keeping pace with reductions at the wholesale level.</w:t>
      </w:r>
      <w:r w:rsidR="00616843">
        <w:t xml:space="preserve"> </w:t>
      </w:r>
      <w:r w:rsidR="00677CA7">
        <w:t xml:space="preserve">ACCAN would like </w:t>
      </w:r>
      <w:r w:rsidR="00AF0F4C">
        <w:t xml:space="preserve">to see </w:t>
      </w:r>
      <w:r w:rsidR="0094220C">
        <w:t>more attention given to</w:t>
      </w:r>
      <w:r w:rsidR="001163D5">
        <w:t xml:space="preserve"> </w:t>
      </w:r>
      <w:r w:rsidR="0094220C">
        <w:t xml:space="preserve">the </w:t>
      </w:r>
      <w:r w:rsidR="001163D5">
        <w:t>fixed to mobile market</w:t>
      </w:r>
      <w:r w:rsidR="00AF0F4C">
        <w:t xml:space="preserve"> </w:t>
      </w:r>
      <w:r w:rsidR="003400F5">
        <w:t>in future consultations</w:t>
      </w:r>
      <w:r w:rsidR="005019D4">
        <w:t>,</w:t>
      </w:r>
      <w:r w:rsidR="001163D5">
        <w:t xml:space="preserve"> </w:t>
      </w:r>
      <w:r w:rsidR="005019D4">
        <w:t>e</w:t>
      </w:r>
      <w:r w:rsidR="001163D5">
        <w:t xml:space="preserve">specially </w:t>
      </w:r>
      <w:r w:rsidR="00AF0F4C">
        <w:t>given the vital role fixed lines</w:t>
      </w:r>
      <w:r w:rsidR="008117F8">
        <w:t xml:space="preserve"> still</w:t>
      </w:r>
      <w:r w:rsidR="00AF0F4C">
        <w:t xml:space="preserve"> play for </w:t>
      </w:r>
      <w:r w:rsidR="005E5BC2">
        <w:t xml:space="preserve">many Australians, including </w:t>
      </w:r>
      <w:r w:rsidR="00AF0F4C">
        <w:t>older</w:t>
      </w:r>
      <w:r w:rsidR="003400F5">
        <w:t>,</w:t>
      </w:r>
      <w:r w:rsidR="00AF0F4C">
        <w:t xml:space="preserve"> rural and regional </w:t>
      </w:r>
      <w:r w:rsidR="003400F5">
        <w:t>consumers</w:t>
      </w:r>
      <w:r w:rsidR="00AF0F4C">
        <w:t>.</w:t>
      </w:r>
    </w:p>
    <w:p w:rsidR="004836D5" w:rsidRDefault="00AF0F4C" w:rsidP="002E20E4">
      <w:r>
        <w:t>According to research commissioned by the ACMA, 8</w:t>
      </w:r>
      <w:r w:rsidR="007E1807">
        <w:t xml:space="preserve"> per cent</w:t>
      </w:r>
      <w:r>
        <w:t xml:space="preserve"> of adult Australians have access to a fixed line but no mobile.</w:t>
      </w:r>
      <w:r>
        <w:rPr>
          <w:rStyle w:val="FootnoteReference"/>
        </w:rPr>
        <w:footnoteReference w:id="14"/>
      </w:r>
      <w:r>
        <w:t xml:space="preserve"> This propensity to rely solely on a fixed line increases with age</w:t>
      </w:r>
      <w:r w:rsidR="00562180">
        <w:t>,</w:t>
      </w:r>
      <w:r w:rsidR="008117F8">
        <w:t xml:space="preserve"> as</w:t>
      </w:r>
      <w:r>
        <w:t xml:space="preserve"> 23</w:t>
      </w:r>
      <w:r w:rsidR="007E1807">
        <w:t xml:space="preserve"> per cent</w:t>
      </w:r>
      <w:r>
        <w:t xml:space="preserve"> of older A</w:t>
      </w:r>
      <w:r w:rsidR="008117F8">
        <w:t>u</w:t>
      </w:r>
      <w:r>
        <w:t>stralian</w:t>
      </w:r>
      <w:r w:rsidR="008117F8">
        <w:t>s (65+) have a home phone and no mobile.</w:t>
      </w:r>
      <w:r w:rsidR="008117F8">
        <w:rPr>
          <w:rStyle w:val="FootnoteReference"/>
        </w:rPr>
        <w:footnoteReference w:id="15"/>
      </w:r>
      <w:r w:rsidR="008117F8">
        <w:t xml:space="preserve"> </w:t>
      </w:r>
      <w:r w:rsidR="00BC119B">
        <w:t>Fixed lines also remain important for those living in regional Australia, with 43 per cent nominating it as their main form of communication, compared with 29 per cent of those in capital cities.</w:t>
      </w:r>
      <w:r w:rsidR="00BC119B">
        <w:rPr>
          <w:rStyle w:val="FootnoteReference"/>
        </w:rPr>
        <w:footnoteReference w:id="16"/>
      </w:r>
      <w:r w:rsidR="004836D5">
        <w:t xml:space="preserve"> </w:t>
      </w:r>
    </w:p>
    <w:p w:rsidR="00B356DD" w:rsidRDefault="00677CA7" w:rsidP="002E20E4">
      <w:r>
        <w:t>According to Telecommunications Industry Ombudsman</w:t>
      </w:r>
      <w:r w:rsidR="00466618">
        <w:t xml:space="preserve"> (TIO)</w:t>
      </w:r>
      <w:r>
        <w:t xml:space="preserve"> </w:t>
      </w:r>
      <w:r w:rsidR="00466618">
        <w:t>data,</w:t>
      </w:r>
      <w:r>
        <w:t xml:space="preserve"> </w:t>
      </w:r>
      <w:r w:rsidR="00466618">
        <w:t>m</w:t>
      </w:r>
      <w:r>
        <w:t xml:space="preserve">obile network coverage </w:t>
      </w:r>
      <w:r w:rsidR="00BC119B">
        <w:t>continues to be</w:t>
      </w:r>
      <w:r>
        <w:t xml:space="preserve"> the most</w:t>
      </w:r>
      <w:r w:rsidR="00466618">
        <w:t xml:space="preserve"> common issue for mobile complaints.</w:t>
      </w:r>
      <w:r w:rsidR="00466618">
        <w:rPr>
          <w:rStyle w:val="FootnoteReference"/>
        </w:rPr>
        <w:footnoteReference w:id="17"/>
      </w:r>
      <w:r w:rsidR="00466618">
        <w:t xml:space="preserve"> In </w:t>
      </w:r>
      <w:r w:rsidR="00035848">
        <w:t>some</w:t>
      </w:r>
      <w:r w:rsidR="00466618">
        <w:t xml:space="preserve"> situations</w:t>
      </w:r>
      <w:r w:rsidR="00562180">
        <w:t xml:space="preserve"> poor mobile coverage means</w:t>
      </w:r>
      <w:r w:rsidR="00035848">
        <w:t xml:space="preserve"> consumers are reliant on</w:t>
      </w:r>
      <w:r w:rsidR="00466618">
        <w:t xml:space="preserve"> fixed lines </w:t>
      </w:r>
      <w:r w:rsidR="00035848">
        <w:t>to make and receive calls to mobiles</w:t>
      </w:r>
      <w:r w:rsidR="00562180">
        <w:t xml:space="preserve">. </w:t>
      </w:r>
      <w:r w:rsidR="00E732BE">
        <w:t>In most circumstances mobiles are a substitutable service for fixed lines, but this is</w:t>
      </w:r>
      <w:r w:rsidR="005019D4">
        <w:t xml:space="preserve"> by </w:t>
      </w:r>
      <w:r w:rsidR="00E732BE">
        <w:t>no</w:t>
      </w:r>
      <w:r w:rsidR="005019D4">
        <w:t xml:space="preserve"> means</w:t>
      </w:r>
      <w:r w:rsidR="00E732BE">
        <w:t xml:space="preserve"> the universal experience</w:t>
      </w:r>
      <w:r w:rsidR="00562180">
        <w:t xml:space="preserve">. </w:t>
      </w:r>
    </w:p>
    <w:p w:rsidR="00A31FBB" w:rsidRDefault="00EB07A6" w:rsidP="002E20E4">
      <w:r>
        <w:t xml:space="preserve">Consumer preference also plays some part in fixed-line telephone use. </w:t>
      </w:r>
      <w:r w:rsidR="0076329D">
        <w:t xml:space="preserve">Currently </w:t>
      </w:r>
      <w:r>
        <w:t xml:space="preserve">22 per cent of the population </w:t>
      </w:r>
      <w:r w:rsidR="00FA4D24">
        <w:t>prefer to use their fixed line over other services</w:t>
      </w:r>
      <w:r>
        <w:t>.</w:t>
      </w:r>
      <w:r w:rsidR="00647275">
        <w:rPr>
          <w:rStyle w:val="FootnoteReference"/>
        </w:rPr>
        <w:footnoteReference w:id="18"/>
      </w:r>
      <w:r w:rsidR="00FA4D24">
        <w:t xml:space="preserve"> </w:t>
      </w:r>
      <w:r w:rsidR="00647275">
        <w:t>ACCAN believes these consumers are being punished with high fixed to mobile call rates for their preference.</w:t>
      </w:r>
    </w:p>
    <w:p w:rsidR="00AF0F4C" w:rsidRDefault="005E5BC2" w:rsidP="002E20E4">
      <w:r>
        <w:t xml:space="preserve">Despite reductions, ACCAN maintains there are still relatively </w:t>
      </w:r>
      <w:r w:rsidR="00E732BE">
        <w:t>high rates for fixed to mobile calls</w:t>
      </w:r>
      <w:r w:rsidR="00B356DD">
        <w:t xml:space="preserve"> and many end users are reliant </w:t>
      </w:r>
      <w:r w:rsidR="005019D4">
        <w:t>on</w:t>
      </w:r>
      <w:r w:rsidR="00B356DD">
        <w:t xml:space="preserve"> fixed lines</w:t>
      </w:r>
      <w:r>
        <w:t xml:space="preserve">. </w:t>
      </w:r>
      <w:r w:rsidR="00562180">
        <w:t xml:space="preserve"> </w:t>
      </w:r>
      <w:r>
        <w:t>We</w:t>
      </w:r>
      <w:r w:rsidR="00562180">
        <w:t xml:space="preserve"> would be encouraged to see greater modelling of the impact of MTAS on competitive retail pricing for fixed to mobile calls</w:t>
      </w:r>
      <w:r>
        <w:t xml:space="preserve"> in future deliberations</w:t>
      </w:r>
      <w:r w:rsidR="00562180">
        <w:t>.</w:t>
      </w:r>
      <w:r w:rsidR="00B356DD">
        <w:t xml:space="preserve"> </w:t>
      </w:r>
      <w:r w:rsidR="00562180">
        <w:t xml:space="preserve">In principle </w:t>
      </w:r>
      <w:r w:rsidR="00AF0F4C">
        <w:t>ACCAN believes renewing the MTAS declaration will be the best measure</w:t>
      </w:r>
      <w:r w:rsidR="001163D5">
        <w:t xml:space="preserve"> in serving the interests of older</w:t>
      </w:r>
      <w:r w:rsidR="00E732BE">
        <w:t xml:space="preserve"> consumers</w:t>
      </w:r>
      <w:r w:rsidR="001163D5">
        <w:t xml:space="preserve"> and </w:t>
      </w:r>
      <w:r w:rsidR="00E732BE">
        <w:t>those with poor mobile coverage</w:t>
      </w:r>
      <w:r w:rsidR="00562180">
        <w:t xml:space="preserve">. </w:t>
      </w:r>
      <w:r w:rsidR="00E732BE">
        <w:t>However, w</w:t>
      </w:r>
      <w:r w:rsidR="00562180">
        <w:t xml:space="preserve">e </w:t>
      </w:r>
      <w:r w:rsidR="00E732BE">
        <w:t xml:space="preserve">would like to see greater evidence from industry and the ACCC that </w:t>
      </w:r>
      <w:r w:rsidR="00812306">
        <w:t>all previous reductions in</w:t>
      </w:r>
      <w:r w:rsidR="00E732BE">
        <w:t xml:space="preserve"> MTAS pricing ha</w:t>
      </w:r>
      <w:r w:rsidR="00812306">
        <w:t xml:space="preserve">ve </w:t>
      </w:r>
      <w:r w:rsidR="0094220C">
        <w:t>been</w:t>
      </w:r>
      <w:r w:rsidR="00812306">
        <w:t xml:space="preserve"> fully</w:t>
      </w:r>
      <w:r w:rsidR="0094220C">
        <w:t xml:space="preserve"> passed through to</w:t>
      </w:r>
      <w:r w:rsidR="00E732BE">
        <w:t xml:space="preserve"> end users.</w:t>
      </w:r>
    </w:p>
    <w:p w:rsidR="00B356DD" w:rsidRDefault="00B356DD" w:rsidP="00B356DD">
      <w:pPr>
        <w:pStyle w:val="Recommendation"/>
      </w:pPr>
      <w:r>
        <w:t>The ACCC review</w:t>
      </w:r>
      <w:r w:rsidR="007C25F0">
        <w:t xml:space="preserve"> historic price reductions on MTAS</w:t>
      </w:r>
      <w:r>
        <w:t xml:space="preserve"> </w:t>
      </w:r>
      <w:r w:rsidR="007C25F0">
        <w:t xml:space="preserve">and </w:t>
      </w:r>
      <w:r w:rsidR="00812306">
        <w:t>pass through</w:t>
      </w:r>
      <w:r>
        <w:t xml:space="preserve"> </w:t>
      </w:r>
      <w:r w:rsidR="007C25F0">
        <w:t>to</w:t>
      </w:r>
      <w:r>
        <w:t xml:space="preserve"> </w:t>
      </w:r>
      <w:proofErr w:type="gramStart"/>
      <w:r>
        <w:t>fixed</w:t>
      </w:r>
      <w:proofErr w:type="gramEnd"/>
      <w:r>
        <w:t xml:space="preserve"> to mobile retail pricing.</w:t>
      </w:r>
    </w:p>
    <w:p w:rsidR="006B76DA" w:rsidRDefault="006B76DA" w:rsidP="002E20E4">
      <w:pPr>
        <w:rPr>
          <w:b/>
        </w:rPr>
      </w:pPr>
    </w:p>
    <w:p w:rsidR="005254D1" w:rsidRDefault="005254D1" w:rsidP="002E20E4">
      <w:pPr>
        <w:rPr>
          <w:b/>
        </w:rPr>
      </w:pPr>
      <w:r>
        <w:rPr>
          <w:b/>
        </w:rPr>
        <w:lastRenderedPageBreak/>
        <w:t>Advertising spending</w:t>
      </w:r>
    </w:p>
    <w:p w:rsidR="005254D1" w:rsidRDefault="005254D1" w:rsidP="002E20E4">
      <w:r>
        <w:t>One measure of competition within a market is to view the relative level of advertising spending being undertaken by competitors. These figures can give some indication of</w:t>
      </w:r>
      <w:r w:rsidR="005019D4">
        <w:t xml:space="preserve"> a</w:t>
      </w:r>
      <w:r>
        <w:t xml:space="preserve"> </w:t>
      </w:r>
      <w:r w:rsidR="00377AF4">
        <w:t xml:space="preserve">provider’s investment in attracting new customers to their range of offerings. The latest research on advertising spending shows </w:t>
      </w:r>
      <w:r w:rsidR="00ED0D87">
        <w:t>it</w:t>
      </w:r>
      <w:r w:rsidR="00377AF4">
        <w:t xml:space="preserve"> was down 19.1</w:t>
      </w:r>
      <w:r w:rsidR="00ED0D87">
        <w:t xml:space="preserve"> </w:t>
      </w:r>
      <w:r w:rsidR="007E1807">
        <w:t>per cent</w:t>
      </w:r>
      <w:r w:rsidR="00377AF4">
        <w:t xml:space="preserve"> </w:t>
      </w:r>
      <w:r w:rsidR="005E5BC2">
        <w:t>in the first five months of 2013 compared with</w:t>
      </w:r>
      <w:r w:rsidR="00377AF4">
        <w:t xml:space="preserve"> 2012 levels.</w:t>
      </w:r>
      <w:r w:rsidR="00377AF4">
        <w:rPr>
          <w:rStyle w:val="FootnoteReference"/>
        </w:rPr>
        <w:footnoteReference w:id="19"/>
      </w:r>
      <w:r w:rsidR="00377AF4">
        <w:t xml:space="preserve"> </w:t>
      </w:r>
      <w:r w:rsidR="00ED0D87">
        <w:t xml:space="preserve">While this might be partly explained away by seasonality, </w:t>
      </w:r>
      <w:r w:rsidR="006B76DA">
        <w:t>the Goldman Sachs report concludes</w:t>
      </w:r>
      <w:r w:rsidR="00ED0D87">
        <w:t xml:space="preserve"> that the current level of competition for customers is relatively benign.</w:t>
      </w:r>
      <w:r w:rsidR="006B76DA">
        <w:rPr>
          <w:rStyle w:val="FootnoteReference"/>
        </w:rPr>
        <w:footnoteReference w:id="20"/>
      </w:r>
    </w:p>
    <w:p w:rsidR="005E5BC2" w:rsidRPr="005E5BC2" w:rsidRDefault="005E5BC2" w:rsidP="002E20E4">
      <w:pPr>
        <w:rPr>
          <w:b/>
        </w:rPr>
      </w:pPr>
      <w:r>
        <w:rPr>
          <w:b/>
        </w:rPr>
        <w:t>Conclusion on competitiveness</w:t>
      </w:r>
    </w:p>
    <w:p w:rsidR="00A8193E" w:rsidRPr="006A07D1" w:rsidRDefault="00ED0D87" w:rsidP="002E20E4">
      <w:r>
        <w:t xml:space="preserve">Overall ACCAN believes the current snapshot of the market shows low levels of competition. </w:t>
      </w:r>
      <w:r w:rsidR="00E9701F">
        <w:t>Taking into account increased market concentration, limited competition in mobile pricing and low rates of advertising spending</w:t>
      </w:r>
      <w:r>
        <w:t>,</w:t>
      </w:r>
      <w:r w:rsidR="00E9701F">
        <w:t xml:space="preserve"> </w:t>
      </w:r>
      <w:r w:rsidR="007C25F0">
        <w:t>it is in the best interests of consumers to maintain ACCC oversight of wholesale MTAS pricing.</w:t>
      </w:r>
      <w:bookmarkStart w:id="7" w:name="_GoBack"/>
      <w:bookmarkEnd w:id="7"/>
    </w:p>
    <w:p w:rsidR="00147FE8" w:rsidRDefault="009B20F7" w:rsidP="009B20F7">
      <w:pPr>
        <w:pStyle w:val="Heading2"/>
      </w:pPr>
      <w:bookmarkStart w:id="8" w:name="_Toc360784588"/>
      <w:r>
        <w:t>Any-to-any connectivity</w:t>
      </w:r>
      <w:bookmarkEnd w:id="8"/>
    </w:p>
    <w:p w:rsidR="00E017C6" w:rsidRDefault="009B20F7" w:rsidP="002E20E4">
      <w:r>
        <w:t xml:space="preserve">ACCAN concurs with the ACCC </w:t>
      </w:r>
      <w:r w:rsidR="005E5BC2">
        <w:t>on</w:t>
      </w:r>
      <w:r>
        <w:t xml:space="preserve"> the importance of MTAS in maintaining any-to-any connectivity. </w:t>
      </w:r>
      <w:r w:rsidR="00421ECE">
        <w:t>M</w:t>
      </w:r>
      <w:r w:rsidR="00596128">
        <w:t>obile termination schemes</w:t>
      </w:r>
      <w:r w:rsidR="00421ECE">
        <w:t xml:space="preserve"> are </w:t>
      </w:r>
      <w:r w:rsidR="0094220C">
        <w:t xml:space="preserve">in </w:t>
      </w:r>
      <w:r w:rsidR="00421ECE">
        <w:t>use all over the world to ensure</w:t>
      </w:r>
      <w:r w:rsidR="00596128">
        <w:t xml:space="preserve"> any-to-any connectivity</w:t>
      </w:r>
      <w:r w:rsidR="0094220C">
        <w:t xml:space="preserve"> is maintained</w:t>
      </w:r>
      <w:r w:rsidR="00596128">
        <w:t>.</w:t>
      </w:r>
      <w:r w:rsidR="00421ECE">
        <w:t xml:space="preserve"> It is particularly important in the Australian market, where the disparity in market size between players has the potential to lead to disparity in bargaining power. </w:t>
      </w:r>
      <w:r w:rsidR="0094220C">
        <w:t xml:space="preserve">Contained below </w:t>
      </w:r>
      <w:proofErr w:type="gramStart"/>
      <w:r w:rsidR="0094220C">
        <w:t>is</w:t>
      </w:r>
      <w:proofErr w:type="gramEnd"/>
      <w:r w:rsidR="0094220C">
        <w:t xml:space="preserve"> an assessment of substitutable services and the importance of the MTAS declaration in their development.</w:t>
      </w:r>
    </w:p>
    <w:p w:rsidR="00421ECE" w:rsidRPr="004B0031" w:rsidRDefault="00421ECE" w:rsidP="00421ECE">
      <w:pPr>
        <w:rPr>
          <w:b/>
        </w:rPr>
      </w:pPr>
      <w:r>
        <w:rPr>
          <w:b/>
        </w:rPr>
        <w:t>Substitutes to MTAS: VoIP and OTT services</w:t>
      </w:r>
    </w:p>
    <w:p w:rsidR="005E36D3" w:rsidRDefault="005E36D3" w:rsidP="002E20E4">
      <w:r>
        <w:t>When coupled with appropriate pricing principles</w:t>
      </w:r>
      <w:r w:rsidR="00B75F74">
        <w:t>,</w:t>
      </w:r>
      <w:r>
        <w:t xml:space="preserve"> re</w:t>
      </w:r>
      <w:r w:rsidR="005E5BC2">
        <w:t>-</w:t>
      </w:r>
      <w:r>
        <w:t xml:space="preserve">declaring MTAS has the potential </w:t>
      </w:r>
      <w:r w:rsidR="00812E4A">
        <w:t xml:space="preserve">to make mobile call costs significantly cheaper for end users. </w:t>
      </w:r>
      <w:r w:rsidR="00C20562">
        <w:t>A re</w:t>
      </w:r>
      <w:r w:rsidR="005E5BC2">
        <w:t>-</w:t>
      </w:r>
      <w:r w:rsidR="00C20562">
        <w:t>declaration will mean low</w:t>
      </w:r>
      <w:r w:rsidR="0094220C">
        <w:t>er</w:t>
      </w:r>
      <w:r w:rsidR="00C20562">
        <w:t xml:space="preserve"> barriers to entry for new players and smaller operators.</w:t>
      </w:r>
      <w:r w:rsidR="009A69E4">
        <w:t xml:space="preserve"> This is especially valuable to end users</w:t>
      </w:r>
      <w:r w:rsidR="0094220C">
        <w:t>,</w:t>
      </w:r>
      <w:r w:rsidR="009A69E4">
        <w:t xml:space="preserve"> where those new players develop technology which greatly reduces the cost of providing voice calls</w:t>
      </w:r>
      <w:r w:rsidR="00C20562">
        <w:t xml:space="preserve">. </w:t>
      </w:r>
      <w:r w:rsidR="00812E4A">
        <w:t>G</w:t>
      </w:r>
      <w:r w:rsidR="00C20562">
        <w:t>mail, for example,</w:t>
      </w:r>
      <w:r w:rsidR="00812E4A">
        <w:t xml:space="preserve"> allow</w:t>
      </w:r>
      <w:r w:rsidR="00C20562">
        <w:t>s</w:t>
      </w:r>
      <w:r w:rsidR="00812E4A">
        <w:t xml:space="preserve"> users to make free</w:t>
      </w:r>
      <w:r w:rsidR="00C20562">
        <w:t xml:space="preserve"> or very cheap</w:t>
      </w:r>
      <w:r w:rsidR="00812E4A">
        <w:t xml:space="preserve"> calls to</w:t>
      </w:r>
      <w:r w:rsidR="00C20562">
        <w:t xml:space="preserve"> local and international</w:t>
      </w:r>
      <w:r w:rsidR="00812E4A">
        <w:t xml:space="preserve"> mobile networks </w:t>
      </w:r>
      <w:r w:rsidR="00421ECE">
        <w:t>when</w:t>
      </w:r>
      <w:r w:rsidR="00812E4A">
        <w:t xml:space="preserve"> originate</w:t>
      </w:r>
      <w:r w:rsidR="005018A1">
        <w:t>d</w:t>
      </w:r>
      <w:r w:rsidR="00812E4A">
        <w:t xml:space="preserve"> from an IP network.</w:t>
      </w:r>
    </w:p>
    <w:p w:rsidR="001E323D" w:rsidRDefault="001E323D" w:rsidP="001E323D">
      <w:r>
        <w:t xml:space="preserve">ACCAN believes re-declaring MTAS at this stage may be important to the survival of new entrants operating IP to switch based network business models. Google and Microsoft offer these services through Gmail and Skype respectively. The heightened use of these services, indicated in the ACMA data, shows the importance consumers are placing on them as viable alternatives. Skype for example, on its most cost </w:t>
      </w:r>
      <w:r w:rsidR="00B75F74">
        <w:t>effective</w:t>
      </w:r>
      <w:r>
        <w:t xml:space="preserve"> plan, offers calls to mobiles at</w:t>
      </w:r>
      <w:r w:rsidR="00B75F74">
        <w:t xml:space="preserve"> </w:t>
      </w:r>
      <w:proofErr w:type="gramStart"/>
      <w:r w:rsidR="00B75F74">
        <w:t>a per</w:t>
      </w:r>
      <w:proofErr w:type="gramEnd"/>
      <w:r w:rsidR="00B75F74">
        <w:t xml:space="preserve"> minute rate of just $0.014</w:t>
      </w:r>
      <w:r>
        <w:t xml:space="preserve"> above the current MTAS deter</w:t>
      </w:r>
      <w:r w:rsidR="00B75F74">
        <w:t>mined price of $0.048</w:t>
      </w:r>
      <w:r>
        <w:t>.</w:t>
      </w:r>
      <w:r>
        <w:rPr>
          <w:rStyle w:val="FootnoteReference"/>
        </w:rPr>
        <w:footnoteReference w:id="21"/>
      </w:r>
      <w:r w:rsidR="00B75F74">
        <w:t xml:space="preserve"> Skype estimates these calls use just 1MB of data for one minute of calling</w:t>
      </w:r>
      <w:r w:rsidR="00BE5792">
        <w:t xml:space="preserve"> time</w:t>
      </w:r>
      <w:r w:rsidR="00B75F74">
        <w:t>.</w:t>
      </w:r>
      <w:r w:rsidR="00B75F74">
        <w:rPr>
          <w:rStyle w:val="FootnoteReference"/>
        </w:rPr>
        <w:footnoteReference w:id="22"/>
      </w:r>
    </w:p>
    <w:p w:rsidR="0014329D" w:rsidRDefault="0014329D" w:rsidP="002E20E4">
      <w:r>
        <w:lastRenderedPageBreak/>
        <w:t xml:space="preserve">ACCAN </w:t>
      </w:r>
      <w:r w:rsidR="00E933EE">
        <w:t>acknowledges</w:t>
      </w:r>
      <w:r w:rsidR="007E1807">
        <w:t xml:space="preserve"> that</w:t>
      </w:r>
      <w:r>
        <w:t xml:space="preserve"> the rise of </w:t>
      </w:r>
      <w:r w:rsidR="00E32F91">
        <w:t xml:space="preserve">substitutes </w:t>
      </w:r>
      <w:r>
        <w:t>to t</w:t>
      </w:r>
      <w:r w:rsidR="00E32F91">
        <w:t>raditional mobile voice calls</w:t>
      </w:r>
      <w:r w:rsidR="007E1807">
        <w:t xml:space="preserve"> may</w:t>
      </w:r>
      <w:r w:rsidR="00A6704D">
        <w:t xml:space="preserve"> eventually</w:t>
      </w:r>
      <w:r w:rsidR="007E1807">
        <w:t xml:space="preserve"> obviate the need for regulation to protect any-to-any connectivity</w:t>
      </w:r>
      <w:r w:rsidR="00E32F91">
        <w:t xml:space="preserve">. Voice over Internet Protocol (VoIP) and ‘Over </w:t>
      </w:r>
      <w:proofErr w:type="gramStart"/>
      <w:r w:rsidR="00E32F91">
        <w:t>The</w:t>
      </w:r>
      <w:proofErr w:type="gramEnd"/>
      <w:r w:rsidR="00E32F91">
        <w:t xml:space="preserve"> Top’ (OTT) services like Skype, Google </w:t>
      </w:r>
      <w:r w:rsidR="00421ECE">
        <w:t>Voice</w:t>
      </w:r>
      <w:r w:rsidR="00E32F91">
        <w:t xml:space="preserve"> and ‘</w:t>
      </w:r>
      <w:proofErr w:type="spellStart"/>
      <w:r w:rsidR="00E32F91">
        <w:t>Whatsapp</w:t>
      </w:r>
      <w:proofErr w:type="spellEnd"/>
      <w:r w:rsidR="00E32F91">
        <w:t>’</w:t>
      </w:r>
      <w:r w:rsidR="0070558A">
        <w:t xml:space="preserve"> allow for voice calls in an almost barrier-free way. </w:t>
      </w:r>
      <w:r w:rsidR="007E1807">
        <w:t>Mobile VoIP grew 133 per cent in 2011-12, to 616,000 users out of 24 million mobile subscribers.</w:t>
      </w:r>
      <w:r w:rsidR="00AA2967">
        <w:rPr>
          <w:rStyle w:val="FootnoteReference"/>
        </w:rPr>
        <w:footnoteReference w:id="23"/>
      </w:r>
      <w:r w:rsidR="007E1807">
        <w:t xml:space="preserve"> As smartphone uptake increases</w:t>
      </w:r>
      <w:r w:rsidR="00421ECE">
        <w:t xml:space="preserve"> </w:t>
      </w:r>
      <w:r w:rsidR="007E1807">
        <w:t>so too will the use of these substitutes.</w:t>
      </w:r>
      <w:r w:rsidR="00EE363B">
        <w:t xml:space="preserve"> </w:t>
      </w:r>
    </w:p>
    <w:p w:rsidR="00977675" w:rsidRDefault="00977675" w:rsidP="00977675">
      <w:r>
        <w:t>We note that now and in the foreseeable future, voice calls are likely to remain the dominant revenue source for mobile service providers.</w:t>
      </w:r>
      <w:r>
        <w:rPr>
          <w:rStyle w:val="FootnoteReference"/>
        </w:rPr>
        <w:footnoteReference w:id="24"/>
      </w:r>
      <w:r>
        <w:t xml:space="preserve"> OTT services are a potential threat to these revenues. As such, close attention needs to be paid to competition between traditional providers and these new </w:t>
      </w:r>
      <w:r w:rsidR="001E323D">
        <w:t>entrants</w:t>
      </w:r>
      <w:r>
        <w:t>. Traditional providers have control over the data networks used by OTT services to connect with end users. In a similar fashion to the way MTAS regulates the bottleneck between networks, there is potentially a developing bottleneck in OTT services accessing data networks. At this stage ACCAN is unaware of any evidence that service providers are restricting access or bandwidth to OTT services. However, ACCAN believes it would be valuable to maintain a ‘watching brief’ over this potential bottleneck.</w:t>
      </w:r>
    </w:p>
    <w:p w:rsidR="00977675" w:rsidRDefault="00977675" w:rsidP="00AF4688">
      <w:r>
        <w:t xml:space="preserve">Despite the developments in OTT </w:t>
      </w:r>
      <w:r w:rsidR="001E323D">
        <w:t xml:space="preserve">and VoIP </w:t>
      </w:r>
      <w:r>
        <w:t xml:space="preserve">technology, ACCAN maintains that </w:t>
      </w:r>
      <w:r w:rsidR="0071383A">
        <w:t xml:space="preserve">due to limited uptake and </w:t>
      </w:r>
      <w:r w:rsidR="001E323D">
        <w:t xml:space="preserve">their </w:t>
      </w:r>
      <w:r w:rsidR="0071383A">
        <w:t xml:space="preserve">reliance on a robust data connection, </w:t>
      </w:r>
      <w:r>
        <w:t>the</w:t>
      </w:r>
      <w:r w:rsidR="001E323D">
        <w:t>y</w:t>
      </w:r>
      <w:r w:rsidR="0071383A">
        <w:t xml:space="preserve"> are</w:t>
      </w:r>
      <w:r>
        <w:t xml:space="preserve"> not yet substitutable for traditional mobile voice calls. </w:t>
      </w:r>
      <w:r w:rsidR="0071383A">
        <w:t>We believe in the current environment of continued disparity in market size, network monopolies and new entrants gaining prominence, any-to-any connectivity is best served by a re-declaration.</w:t>
      </w:r>
    </w:p>
    <w:p w:rsidR="009B20F7" w:rsidRDefault="00EE363B" w:rsidP="00EE363B">
      <w:pPr>
        <w:pStyle w:val="Heading2"/>
      </w:pPr>
      <w:bookmarkStart w:id="9" w:name="_Toc360784589"/>
      <w:r>
        <w:t>Efficient use and investment in infrastructure</w:t>
      </w:r>
      <w:bookmarkEnd w:id="9"/>
    </w:p>
    <w:p w:rsidR="005E36D3" w:rsidRDefault="005E36D3" w:rsidP="005E36D3">
      <w:r>
        <w:t>Encouraging the economically efficient use of, and the economically efficient investment in, the infrastructure by which telecommunications services are supplied</w:t>
      </w:r>
      <w:r w:rsidR="006D32C6">
        <w:t xml:space="preserve"> is another important goal of the MTAS declaration.</w:t>
      </w:r>
      <w:r w:rsidR="00613A55">
        <w:t xml:space="preserve"> ACCAN agrees with the ACCC’s view that</w:t>
      </w:r>
      <w:r w:rsidR="006D32C6">
        <w:t xml:space="preserve"> </w:t>
      </w:r>
      <w:r w:rsidR="00613A55">
        <w:t>efficient use and investment is most likely to occur in circumstances where</w:t>
      </w:r>
      <w:r w:rsidR="001E323D">
        <w:t xml:space="preserve"> regulated</w:t>
      </w:r>
      <w:r w:rsidR="00613A55">
        <w:t xml:space="preserve"> prices are closely aligned with costs</w:t>
      </w:r>
      <w:r w:rsidR="0071383A">
        <w:t>.</w:t>
      </w:r>
      <w:r w:rsidR="00E621A3">
        <w:rPr>
          <w:rStyle w:val="FootnoteReference"/>
        </w:rPr>
        <w:footnoteReference w:id="25"/>
      </w:r>
      <w:r w:rsidR="00613A55">
        <w:t xml:space="preserve"> </w:t>
      </w:r>
      <w:r w:rsidR="00686F1F" w:rsidRPr="00686F1F">
        <w:rPr>
          <w:i/>
        </w:rPr>
        <w:t>If</w:t>
      </w:r>
      <w:r w:rsidR="00613A55">
        <w:t xml:space="preserve"> these prices </w:t>
      </w:r>
      <w:r w:rsidR="00E621A3">
        <w:t>are</w:t>
      </w:r>
      <w:r w:rsidR="00613A55">
        <w:t xml:space="preserve"> passed through to consumers</w:t>
      </w:r>
      <w:r w:rsidR="00DC342D">
        <w:t>,</w:t>
      </w:r>
      <w:r w:rsidR="00686F1F">
        <w:t xml:space="preserve"> the market can then</w:t>
      </w:r>
      <w:r w:rsidR="0071383A">
        <w:t xml:space="preserve"> direct investment decisions</w:t>
      </w:r>
      <w:r w:rsidR="00686F1F">
        <w:t xml:space="preserve"> towards efficient outcomes</w:t>
      </w:r>
      <w:r w:rsidR="00613A55">
        <w:t>.</w:t>
      </w:r>
      <w:r w:rsidR="00613A55">
        <w:rPr>
          <w:rStyle w:val="FootnoteReference"/>
        </w:rPr>
        <w:footnoteReference w:id="26"/>
      </w:r>
      <w:r w:rsidR="00686F1F">
        <w:t xml:space="preserve"> </w:t>
      </w:r>
    </w:p>
    <w:p w:rsidR="00613A55" w:rsidRDefault="00613A55" w:rsidP="005E36D3">
      <w:pPr>
        <w:rPr>
          <w:lang w:eastAsia="en-US"/>
        </w:rPr>
      </w:pPr>
      <w:r>
        <w:rPr>
          <w:lang w:eastAsia="en-US"/>
        </w:rPr>
        <w:t>The most important infrastructure investment over the life of the next MTAS</w:t>
      </w:r>
      <w:r w:rsidR="003035CD">
        <w:rPr>
          <w:lang w:eastAsia="en-US"/>
        </w:rPr>
        <w:t>,</w:t>
      </w:r>
      <w:r>
        <w:rPr>
          <w:lang w:eastAsia="en-US"/>
        </w:rPr>
        <w:t xml:space="preserve"> if re-declared</w:t>
      </w:r>
      <w:r w:rsidR="003035CD">
        <w:rPr>
          <w:lang w:eastAsia="en-US"/>
        </w:rPr>
        <w:t>,</w:t>
      </w:r>
      <w:r>
        <w:rPr>
          <w:lang w:eastAsia="en-US"/>
        </w:rPr>
        <w:t xml:space="preserve"> </w:t>
      </w:r>
      <w:r w:rsidR="00FB1FDF">
        <w:rPr>
          <w:lang w:eastAsia="en-US"/>
        </w:rPr>
        <w:t>will</w:t>
      </w:r>
      <w:r>
        <w:rPr>
          <w:lang w:eastAsia="en-US"/>
        </w:rPr>
        <w:t xml:space="preserve"> be the National Broadband Network (NBN) and </w:t>
      </w:r>
      <w:r w:rsidR="00D106F3">
        <w:rPr>
          <w:lang w:eastAsia="en-US"/>
        </w:rPr>
        <w:t xml:space="preserve">the Long Term Evolution (LTE) network. </w:t>
      </w:r>
      <w:r w:rsidR="003035CD">
        <w:rPr>
          <w:lang w:eastAsia="en-US"/>
        </w:rPr>
        <w:t>Both technologies have the potential to offer higher quality voice calls at cheaper rates.</w:t>
      </w:r>
      <w:r w:rsidR="003035CD">
        <w:rPr>
          <w:rStyle w:val="FootnoteReference"/>
          <w:lang w:eastAsia="en-US"/>
        </w:rPr>
        <w:footnoteReference w:id="27"/>
      </w:r>
    </w:p>
    <w:p w:rsidR="005553D1" w:rsidRDefault="00A318A8" w:rsidP="005E36D3">
      <w:pPr>
        <w:rPr>
          <w:lang w:eastAsia="en-US"/>
        </w:rPr>
      </w:pPr>
      <w:r>
        <w:rPr>
          <w:lang w:eastAsia="en-US"/>
        </w:rPr>
        <w:t xml:space="preserve">The current focus of LTE in Australia has been to improve data services. </w:t>
      </w:r>
      <w:r w:rsidR="005E36D3">
        <w:rPr>
          <w:lang w:eastAsia="en-US"/>
        </w:rPr>
        <w:t>Australian providers are currently</w:t>
      </w:r>
      <w:r w:rsidR="00D6494A">
        <w:rPr>
          <w:lang w:eastAsia="en-US"/>
        </w:rPr>
        <w:t xml:space="preserve"> yet to commit to</w:t>
      </w:r>
      <w:r w:rsidR="007D6C06">
        <w:rPr>
          <w:lang w:eastAsia="en-US"/>
        </w:rPr>
        <w:t xml:space="preserve"> Voice o</w:t>
      </w:r>
      <w:r w:rsidR="008A16AB">
        <w:rPr>
          <w:lang w:eastAsia="en-US"/>
        </w:rPr>
        <w:t>ver LTE (</w:t>
      </w:r>
      <w:proofErr w:type="spellStart"/>
      <w:r w:rsidR="00D6494A">
        <w:rPr>
          <w:lang w:eastAsia="en-US"/>
        </w:rPr>
        <w:t>VoLTE</w:t>
      </w:r>
      <w:proofErr w:type="spellEnd"/>
      <w:r w:rsidR="008A16AB">
        <w:rPr>
          <w:lang w:eastAsia="en-US"/>
        </w:rPr>
        <w:t>)</w:t>
      </w:r>
      <w:r w:rsidR="00D6494A">
        <w:rPr>
          <w:lang w:eastAsia="en-US"/>
        </w:rPr>
        <w:t xml:space="preserve"> or are</w:t>
      </w:r>
      <w:r w:rsidR="005E36D3">
        <w:rPr>
          <w:lang w:eastAsia="en-US"/>
        </w:rPr>
        <w:t xml:space="preserve"> in the testing phase </w:t>
      </w:r>
      <w:r w:rsidR="00D6494A">
        <w:rPr>
          <w:lang w:eastAsia="en-US"/>
        </w:rPr>
        <w:t>of</w:t>
      </w:r>
      <w:r w:rsidR="005E36D3">
        <w:rPr>
          <w:lang w:eastAsia="en-US"/>
        </w:rPr>
        <w:t xml:space="preserve"> their </w:t>
      </w:r>
      <w:proofErr w:type="spellStart"/>
      <w:r w:rsidR="005E36D3">
        <w:rPr>
          <w:lang w:eastAsia="en-US"/>
        </w:rPr>
        <w:t>VoLTE</w:t>
      </w:r>
      <w:proofErr w:type="spellEnd"/>
      <w:r w:rsidR="005E36D3">
        <w:rPr>
          <w:lang w:eastAsia="en-US"/>
        </w:rPr>
        <w:t xml:space="preserve"> development.</w:t>
      </w:r>
      <w:r w:rsidR="00881606">
        <w:rPr>
          <w:rStyle w:val="FootnoteReference"/>
          <w:lang w:eastAsia="en-US"/>
        </w:rPr>
        <w:footnoteReference w:id="28"/>
      </w:r>
      <w:r w:rsidR="005E36D3">
        <w:rPr>
          <w:lang w:eastAsia="en-US"/>
        </w:rPr>
        <w:t xml:space="preserve"> This technology has already been rolled out </w:t>
      </w:r>
      <w:r w:rsidR="00686F1F">
        <w:rPr>
          <w:lang w:eastAsia="en-US"/>
        </w:rPr>
        <w:t>on networks in</w:t>
      </w:r>
      <w:r w:rsidR="005E36D3">
        <w:rPr>
          <w:lang w:eastAsia="en-US"/>
        </w:rPr>
        <w:t xml:space="preserve"> the United States and </w:t>
      </w:r>
      <w:r w:rsidR="00881606">
        <w:rPr>
          <w:lang w:eastAsia="en-US"/>
        </w:rPr>
        <w:lastRenderedPageBreak/>
        <w:t>South Korea</w:t>
      </w:r>
      <w:r w:rsidR="005E36D3">
        <w:rPr>
          <w:lang w:eastAsia="en-US"/>
        </w:rPr>
        <w:t>.</w:t>
      </w:r>
      <w:r w:rsidR="00881606">
        <w:rPr>
          <w:rStyle w:val="FootnoteReference"/>
          <w:lang w:eastAsia="en-US"/>
        </w:rPr>
        <w:footnoteReference w:id="29"/>
      </w:r>
      <w:r w:rsidR="005E36D3">
        <w:rPr>
          <w:lang w:eastAsia="en-US"/>
        </w:rPr>
        <w:t xml:space="preserve"> Research suggests that </w:t>
      </w:r>
      <w:proofErr w:type="spellStart"/>
      <w:r w:rsidR="00D6494A">
        <w:rPr>
          <w:lang w:eastAsia="en-US"/>
        </w:rPr>
        <w:t>VoLTE</w:t>
      </w:r>
      <w:proofErr w:type="spellEnd"/>
      <w:r w:rsidR="005E36D3">
        <w:rPr>
          <w:lang w:eastAsia="en-US"/>
        </w:rPr>
        <w:t xml:space="preserve"> may be up to four times more efficient in its </w:t>
      </w:r>
      <w:r w:rsidR="00FB1FDF">
        <w:rPr>
          <w:lang w:eastAsia="en-US"/>
        </w:rPr>
        <w:t>frequency utilisation.</w:t>
      </w:r>
      <w:r w:rsidR="00FB1FDF">
        <w:rPr>
          <w:rStyle w:val="FootnoteReference"/>
        </w:rPr>
        <w:footnoteReference w:id="30"/>
      </w:r>
      <w:r w:rsidR="00FB1FDF">
        <w:rPr>
          <w:lang w:eastAsia="en-US"/>
        </w:rPr>
        <w:t xml:space="preserve"> It also</w:t>
      </w:r>
      <w:r>
        <w:rPr>
          <w:lang w:eastAsia="en-US"/>
        </w:rPr>
        <w:t xml:space="preserve"> has the potential to</w:t>
      </w:r>
      <w:r w:rsidR="005E36D3">
        <w:rPr>
          <w:lang w:eastAsia="en-US"/>
        </w:rPr>
        <w:t xml:space="preserve"> offer faster call connection time and better call quality tha</w:t>
      </w:r>
      <w:r w:rsidR="00881606">
        <w:rPr>
          <w:lang w:eastAsia="en-US"/>
        </w:rPr>
        <w:t>n</w:t>
      </w:r>
      <w:r w:rsidR="005E36D3">
        <w:rPr>
          <w:lang w:eastAsia="en-US"/>
        </w:rPr>
        <w:t xml:space="preserve"> traditional switch based networks.</w:t>
      </w:r>
      <w:r w:rsidR="00FB1FDF">
        <w:rPr>
          <w:rStyle w:val="FootnoteReference"/>
        </w:rPr>
        <w:footnoteReference w:id="31"/>
      </w:r>
      <w:r w:rsidR="005E36D3">
        <w:rPr>
          <w:lang w:eastAsia="en-US"/>
        </w:rPr>
        <w:t xml:space="preserve"> </w:t>
      </w:r>
      <w:r>
        <w:rPr>
          <w:lang w:eastAsia="en-US"/>
        </w:rPr>
        <w:t>ACCAN maintains that if there is a re-declaration</w:t>
      </w:r>
      <w:r w:rsidR="00DB7C5B">
        <w:rPr>
          <w:lang w:eastAsia="en-US"/>
        </w:rPr>
        <w:t>,</w:t>
      </w:r>
      <w:r>
        <w:rPr>
          <w:lang w:eastAsia="en-US"/>
        </w:rPr>
        <w:t xml:space="preserve"> consideration of the appropriate pricing principles should have strong reference to </w:t>
      </w:r>
      <w:r w:rsidR="00DB7C5B">
        <w:rPr>
          <w:lang w:eastAsia="en-US"/>
        </w:rPr>
        <w:t>investment in</w:t>
      </w:r>
      <w:r w:rsidR="00B64F36">
        <w:rPr>
          <w:lang w:eastAsia="en-US"/>
        </w:rPr>
        <w:t xml:space="preserve"> the potentially more efficient</w:t>
      </w:r>
      <w:r w:rsidR="00DB7C5B">
        <w:rPr>
          <w:lang w:eastAsia="en-US"/>
        </w:rPr>
        <w:t xml:space="preserve"> </w:t>
      </w:r>
      <w:proofErr w:type="spellStart"/>
      <w:r w:rsidR="00DB7C5B">
        <w:rPr>
          <w:lang w:eastAsia="en-US"/>
        </w:rPr>
        <w:t>VoLTE</w:t>
      </w:r>
      <w:proofErr w:type="spellEnd"/>
      <w:r w:rsidR="00DB7C5B">
        <w:rPr>
          <w:lang w:eastAsia="en-US"/>
        </w:rPr>
        <w:t>.</w:t>
      </w:r>
    </w:p>
    <w:p w:rsidR="00A318A8" w:rsidRPr="005E36D3" w:rsidRDefault="00A318A8" w:rsidP="00A318A8">
      <w:pPr>
        <w:rPr>
          <w:b/>
          <w:lang w:eastAsia="en-US"/>
        </w:rPr>
      </w:pPr>
      <w:r>
        <w:rPr>
          <w:b/>
          <w:lang w:eastAsia="en-US"/>
        </w:rPr>
        <w:t>Need to declare LTE networks?</w:t>
      </w:r>
    </w:p>
    <w:p w:rsidR="005E36D3" w:rsidRDefault="00A318A8" w:rsidP="005E36D3">
      <w:pPr>
        <w:rPr>
          <w:lang w:eastAsia="en-US"/>
        </w:rPr>
      </w:pPr>
      <w:r>
        <w:rPr>
          <w:lang w:eastAsia="en-US"/>
        </w:rPr>
        <w:t>ACCAN understands that the declaration is currently technology neutral.</w:t>
      </w:r>
      <w:r w:rsidR="00F36D62">
        <w:rPr>
          <w:lang w:eastAsia="en-US"/>
        </w:rPr>
        <w:t xml:space="preserve"> If voice calls are eventually offered</w:t>
      </w:r>
      <w:r>
        <w:rPr>
          <w:lang w:eastAsia="en-US"/>
        </w:rPr>
        <w:t xml:space="preserve"> </w:t>
      </w:r>
      <w:r w:rsidR="00F36D62">
        <w:rPr>
          <w:lang w:eastAsia="en-US"/>
        </w:rPr>
        <w:t>over the LTE network, then</w:t>
      </w:r>
      <w:r>
        <w:rPr>
          <w:lang w:eastAsia="en-US"/>
        </w:rPr>
        <w:t xml:space="preserve"> </w:t>
      </w:r>
      <w:r w:rsidR="00F36D62">
        <w:rPr>
          <w:lang w:eastAsia="en-US"/>
        </w:rPr>
        <w:t>MTAS should apply</w:t>
      </w:r>
      <w:r>
        <w:rPr>
          <w:lang w:eastAsia="en-US"/>
        </w:rPr>
        <w:t xml:space="preserve">. </w:t>
      </w:r>
      <w:r w:rsidR="008A16AB">
        <w:rPr>
          <w:lang w:eastAsia="en-US"/>
        </w:rPr>
        <w:t>Given the potential for the LTE network to be used for voice calls</w:t>
      </w:r>
      <w:r w:rsidR="00F36D62">
        <w:rPr>
          <w:lang w:eastAsia="en-US"/>
        </w:rPr>
        <w:t>,</w:t>
      </w:r>
      <w:r w:rsidR="008A16AB">
        <w:rPr>
          <w:lang w:eastAsia="en-US"/>
        </w:rPr>
        <w:t xml:space="preserve"> it stands to reason</w:t>
      </w:r>
      <w:r w:rsidR="00DB7C5B">
        <w:rPr>
          <w:lang w:eastAsia="en-US"/>
        </w:rPr>
        <w:t xml:space="preserve"> that it should be a declared network</w:t>
      </w:r>
      <w:r w:rsidR="008A16AB">
        <w:rPr>
          <w:lang w:eastAsia="en-US"/>
        </w:rPr>
        <w:t xml:space="preserve">. Moving away from a technology neutral declaration could lead to a two tier system for voice calls. </w:t>
      </w:r>
      <w:r w:rsidR="001E323D">
        <w:rPr>
          <w:lang w:eastAsia="en-US"/>
        </w:rPr>
        <w:t>An</w:t>
      </w:r>
      <w:r w:rsidR="00E621A3">
        <w:rPr>
          <w:lang w:eastAsia="en-US"/>
        </w:rPr>
        <w:t xml:space="preserve"> undeclared network would be just as susceptible to the problems already outlined in this submission.</w:t>
      </w:r>
    </w:p>
    <w:p w:rsidR="00F36D62" w:rsidRDefault="00E621A3" w:rsidP="00F36D62">
      <w:pPr>
        <w:rPr>
          <w:lang w:eastAsia="en-US"/>
        </w:rPr>
      </w:pPr>
      <w:r>
        <w:rPr>
          <w:lang w:eastAsia="en-US"/>
        </w:rPr>
        <w:t>G</w:t>
      </w:r>
      <w:r w:rsidR="005E36D3">
        <w:rPr>
          <w:lang w:eastAsia="en-US"/>
        </w:rPr>
        <w:t xml:space="preserve">iven the importance of any-to-any connectivity and </w:t>
      </w:r>
      <w:r>
        <w:rPr>
          <w:lang w:eastAsia="en-US"/>
        </w:rPr>
        <w:t>existing network</w:t>
      </w:r>
      <w:r w:rsidR="005E36D3">
        <w:rPr>
          <w:lang w:eastAsia="en-US"/>
        </w:rPr>
        <w:t xml:space="preserve"> monopol</w:t>
      </w:r>
      <w:r>
        <w:rPr>
          <w:lang w:eastAsia="en-US"/>
        </w:rPr>
        <w:t>ies</w:t>
      </w:r>
      <w:r w:rsidR="005E36D3">
        <w:rPr>
          <w:lang w:eastAsia="en-US"/>
        </w:rPr>
        <w:t xml:space="preserve"> the need for a further declaration remains as strong as ever. </w:t>
      </w:r>
      <w:r>
        <w:rPr>
          <w:lang w:eastAsia="en-US"/>
        </w:rPr>
        <w:t>The</w:t>
      </w:r>
      <w:r w:rsidR="005E36D3">
        <w:rPr>
          <w:lang w:eastAsia="en-US"/>
        </w:rPr>
        <w:t xml:space="preserve"> technology neutral approach</w:t>
      </w:r>
      <w:r>
        <w:rPr>
          <w:lang w:eastAsia="en-US"/>
        </w:rPr>
        <w:t xml:space="preserve"> of</w:t>
      </w:r>
      <w:r w:rsidR="005E36D3">
        <w:rPr>
          <w:lang w:eastAsia="en-US"/>
        </w:rPr>
        <w:t xml:space="preserve"> MTAS </w:t>
      </w:r>
      <w:r>
        <w:rPr>
          <w:lang w:eastAsia="en-US"/>
        </w:rPr>
        <w:t xml:space="preserve">is important to ensuring a two tier </w:t>
      </w:r>
      <w:r w:rsidR="00F36D62">
        <w:rPr>
          <w:lang w:eastAsia="en-US"/>
        </w:rPr>
        <w:t>market for voice calls does not occur.</w:t>
      </w:r>
    </w:p>
    <w:p w:rsidR="00992BE6" w:rsidRDefault="00992BE6" w:rsidP="00D60C65">
      <w:pPr>
        <w:pStyle w:val="Heading2"/>
      </w:pPr>
      <w:bookmarkStart w:id="10" w:name="_Toc360784590"/>
      <w:r w:rsidRPr="00992BE6">
        <w:t>Should SMS be declared?</w:t>
      </w:r>
      <w:bookmarkEnd w:id="10"/>
    </w:p>
    <w:p w:rsidR="00D60C65" w:rsidRDefault="009E46BC" w:rsidP="00D60C65">
      <w:pPr>
        <w:rPr>
          <w:lang w:eastAsia="en-US"/>
        </w:rPr>
      </w:pPr>
      <w:r>
        <w:rPr>
          <w:lang w:eastAsia="en-US"/>
        </w:rPr>
        <w:t>ACCAN is unaware of any evidence that a lack of declaration for SMS has resulted in detriment to consumers. There are a number of well-developed and commonly used substitutes to SMS available to smartphone users. Services like</w:t>
      </w:r>
      <w:r w:rsidR="00AA6B8A">
        <w:rPr>
          <w:lang w:eastAsia="en-US"/>
        </w:rPr>
        <w:t xml:space="preserve"> </w:t>
      </w:r>
      <w:proofErr w:type="spellStart"/>
      <w:r w:rsidR="00AA6B8A">
        <w:rPr>
          <w:lang w:eastAsia="en-US"/>
        </w:rPr>
        <w:t>iMessage</w:t>
      </w:r>
      <w:proofErr w:type="spellEnd"/>
      <w:r w:rsidR="00AA6B8A">
        <w:rPr>
          <w:lang w:eastAsia="en-US"/>
        </w:rPr>
        <w:t xml:space="preserve">, </w:t>
      </w:r>
      <w:proofErr w:type="spellStart"/>
      <w:r w:rsidR="00AA6B8A">
        <w:rPr>
          <w:lang w:eastAsia="en-US"/>
        </w:rPr>
        <w:t>Whatsapp</w:t>
      </w:r>
      <w:proofErr w:type="spellEnd"/>
      <w:r w:rsidR="00AA6B8A">
        <w:rPr>
          <w:lang w:eastAsia="en-US"/>
        </w:rPr>
        <w:t xml:space="preserve">, </w:t>
      </w:r>
      <w:r>
        <w:rPr>
          <w:lang w:eastAsia="en-US"/>
        </w:rPr>
        <w:t xml:space="preserve">and various social media apps offer </w:t>
      </w:r>
      <w:r w:rsidR="00D66356">
        <w:rPr>
          <w:lang w:eastAsia="en-US"/>
        </w:rPr>
        <w:t>essentially the same capability as SMS for free and only require the use of small amounts of data.</w:t>
      </w:r>
      <w:r w:rsidR="00D60C65">
        <w:rPr>
          <w:lang w:eastAsia="en-US"/>
        </w:rPr>
        <w:t xml:space="preserve"> At this time we do not believe SMS should be a declared service.</w:t>
      </w:r>
    </w:p>
    <w:p w:rsidR="00992BE6" w:rsidRDefault="00F36D62" w:rsidP="00D60C65">
      <w:pPr>
        <w:pStyle w:val="Heading2"/>
      </w:pPr>
      <w:r w:rsidRPr="00992BE6">
        <w:t xml:space="preserve"> </w:t>
      </w:r>
      <w:bookmarkStart w:id="11" w:name="_Toc360784591"/>
      <w:r w:rsidR="00992BE6" w:rsidRPr="00992BE6">
        <w:t xml:space="preserve">How long should an MTAS </w:t>
      </w:r>
      <w:proofErr w:type="gramStart"/>
      <w:r w:rsidR="00992BE6" w:rsidRPr="00992BE6">
        <w:t>declaration apply</w:t>
      </w:r>
      <w:proofErr w:type="gramEnd"/>
      <w:r w:rsidR="00992BE6" w:rsidRPr="00992BE6">
        <w:t>?</w:t>
      </w:r>
      <w:bookmarkEnd w:id="11"/>
    </w:p>
    <w:p w:rsidR="00D8369B" w:rsidRDefault="00D8369B" w:rsidP="00D8369B">
      <w:pPr>
        <w:rPr>
          <w:lang w:eastAsia="en-US"/>
        </w:rPr>
      </w:pPr>
      <w:r>
        <w:rPr>
          <w:lang w:eastAsia="en-US"/>
        </w:rPr>
        <w:t xml:space="preserve">The new declaration should </w:t>
      </w:r>
      <w:r w:rsidR="00D60C65">
        <w:rPr>
          <w:lang w:eastAsia="en-US"/>
        </w:rPr>
        <w:t>take into account the need for</w:t>
      </w:r>
      <w:r>
        <w:rPr>
          <w:lang w:eastAsia="en-US"/>
        </w:rPr>
        <w:t xml:space="preserve"> business </w:t>
      </w:r>
      <w:r w:rsidR="00D60C65">
        <w:rPr>
          <w:lang w:eastAsia="en-US"/>
        </w:rPr>
        <w:t xml:space="preserve">to have </w:t>
      </w:r>
      <w:r>
        <w:rPr>
          <w:lang w:eastAsia="en-US"/>
        </w:rPr>
        <w:t xml:space="preserve">certainty in investment. The last declaration lasted five years and ACCAN believes a similar duration is reasonable in the circumstances. </w:t>
      </w:r>
    </w:p>
    <w:p w:rsidR="00C63DD0" w:rsidRPr="00D8369B" w:rsidRDefault="00C63DD0" w:rsidP="00D8369B">
      <w:pPr>
        <w:rPr>
          <w:lang w:eastAsia="en-US"/>
        </w:rPr>
      </w:pPr>
      <w:r>
        <w:rPr>
          <w:lang w:eastAsia="en-US"/>
        </w:rPr>
        <w:t>The next five years is a potentially crucial time for wholesale connection regulation. As the NBN and LTE are harnessed</w:t>
      </w:r>
      <w:r w:rsidR="00D66356">
        <w:rPr>
          <w:lang w:eastAsia="en-US"/>
        </w:rPr>
        <w:t>,</w:t>
      </w:r>
      <w:r>
        <w:rPr>
          <w:lang w:eastAsia="en-US"/>
        </w:rPr>
        <w:t xml:space="preserve"> barriers to market entry should decrease and there will be opportunities for new </w:t>
      </w:r>
      <w:r w:rsidR="00D60C65">
        <w:rPr>
          <w:lang w:eastAsia="en-US"/>
        </w:rPr>
        <w:t>entrants</w:t>
      </w:r>
      <w:r>
        <w:rPr>
          <w:lang w:eastAsia="en-US"/>
        </w:rPr>
        <w:t xml:space="preserve">. Ensuring </w:t>
      </w:r>
      <w:r w:rsidR="00D60C65">
        <w:rPr>
          <w:lang w:eastAsia="en-US"/>
        </w:rPr>
        <w:t xml:space="preserve">these </w:t>
      </w:r>
      <w:r>
        <w:rPr>
          <w:lang w:eastAsia="en-US"/>
        </w:rPr>
        <w:t>entrants have access to existing networks will be important in promoting sustainable competition in the market. It should also encourage innovation</w:t>
      </w:r>
      <w:r w:rsidR="00D60C65">
        <w:rPr>
          <w:lang w:eastAsia="en-US"/>
        </w:rPr>
        <w:t>,</w:t>
      </w:r>
      <w:r w:rsidR="00D66356">
        <w:rPr>
          <w:lang w:eastAsia="en-US"/>
        </w:rPr>
        <w:t xml:space="preserve"> as existing and new </w:t>
      </w:r>
      <w:r w:rsidR="00D60C65">
        <w:rPr>
          <w:lang w:eastAsia="en-US"/>
        </w:rPr>
        <w:t>participants</w:t>
      </w:r>
      <w:r w:rsidR="00D66356">
        <w:rPr>
          <w:lang w:eastAsia="en-US"/>
        </w:rPr>
        <w:t xml:space="preserve"> seek to make use of the expanded data capabilities</w:t>
      </w:r>
      <w:r w:rsidR="006361E7">
        <w:rPr>
          <w:lang w:eastAsia="en-US"/>
        </w:rPr>
        <w:t>.</w:t>
      </w:r>
    </w:p>
    <w:tbl>
      <w:tblPr>
        <w:tblStyle w:val="ACCANtable"/>
        <w:tblW w:w="0" w:type="auto"/>
        <w:tblLook w:val="04A0" w:firstRow="1" w:lastRow="0" w:firstColumn="1" w:lastColumn="0" w:noHBand="0" w:noVBand="1"/>
      </w:tblPr>
      <w:tblGrid>
        <w:gridCol w:w="4621"/>
        <w:gridCol w:w="4621"/>
      </w:tblGrid>
      <w:tr w:rsidR="0036351B" w:rsidTr="0036351B">
        <w:trPr>
          <w:cnfStyle w:val="100000000000" w:firstRow="1" w:lastRow="0" w:firstColumn="0" w:lastColumn="0" w:oddVBand="0" w:evenVBand="0" w:oddHBand="0" w:evenHBand="0" w:firstRowFirstColumn="0" w:firstRowLastColumn="0" w:lastRowFirstColumn="0" w:lastRowLastColumn="0"/>
        </w:trPr>
        <w:tc>
          <w:tcPr>
            <w:tcW w:w="4621" w:type="dxa"/>
          </w:tcPr>
          <w:p w:rsidR="0036351B" w:rsidRDefault="0036351B" w:rsidP="00B14DFB">
            <w:pPr>
              <w:rPr>
                <w:lang w:eastAsia="en-US"/>
              </w:rPr>
            </w:pPr>
          </w:p>
        </w:tc>
        <w:tc>
          <w:tcPr>
            <w:tcW w:w="4621" w:type="dxa"/>
          </w:tcPr>
          <w:p w:rsidR="0036351B" w:rsidRDefault="0036351B" w:rsidP="00B14DFB">
            <w:pPr>
              <w:rPr>
                <w:lang w:eastAsia="en-US"/>
              </w:rPr>
            </w:pPr>
          </w:p>
        </w:tc>
      </w:tr>
    </w:tbl>
    <w:p w:rsidR="008E1CC4" w:rsidRPr="003441E5" w:rsidRDefault="008E1CC4" w:rsidP="00D66356">
      <w:pPr>
        <w:pStyle w:val="About"/>
      </w:pPr>
    </w:p>
    <w:sectPr w:rsidR="008E1CC4" w:rsidRPr="003441E5"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71B" w:rsidRDefault="00D0571B" w:rsidP="00B14DFB">
      <w:r>
        <w:separator/>
      </w:r>
    </w:p>
  </w:endnote>
  <w:endnote w:type="continuationSeparator" w:id="0">
    <w:p w:rsidR="00D0571B" w:rsidRDefault="00D0571B"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I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31" w:rsidRDefault="004B0031"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22689F">
      <w:rPr>
        <w:noProof/>
      </w:rPr>
      <w:t>7</w:t>
    </w:r>
    <w:r w:rsidRPr="00C4251E">
      <w:rPr>
        <w:noProof/>
      </w:rPr>
      <w:fldChar w:fldCharType="end"/>
    </w:r>
  </w:p>
  <w:p w:rsidR="004B0031" w:rsidRPr="000F58CC" w:rsidRDefault="004B0031"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31" w:rsidRDefault="004B0031" w:rsidP="00A13B92">
    <w:pPr>
      <w:pStyle w:val="Footerpage1"/>
    </w:pPr>
    <w:r w:rsidRPr="004A0B0A">
      <w:rPr>
        <w:color w:val="44C8F5"/>
      </w:rPr>
      <w:t>Australian Communications Consumer Action Network (ACCAN)</w:t>
    </w:r>
  </w:p>
  <w:p w:rsidR="004B0031" w:rsidRDefault="004B0031" w:rsidP="00A13B92">
    <w:pPr>
      <w:pStyle w:val="Footerpage1"/>
      <w:rPr>
        <w:i/>
      </w:rPr>
    </w:pPr>
    <w:r w:rsidRPr="004A0B0A">
      <w:rPr>
        <w:i/>
        <w:color w:val="44C8F5"/>
      </w:rPr>
      <w:t>Australia’s peak telecommunications consumer advocacy organisation</w:t>
    </w:r>
  </w:p>
  <w:p w:rsidR="004B0031" w:rsidRDefault="004B0031"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4B0031" w:rsidRDefault="004B0031" w:rsidP="00A13B92">
    <w:pPr>
      <w:pStyle w:val="Footerpage1"/>
    </w:pPr>
    <w:r w:rsidRPr="008E763A">
      <w:t>Tel: (02) 9288 4000 | TTY: (02) 9281 5322 | Fax: (02) 9288 4019</w:t>
    </w:r>
  </w:p>
  <w:p w:rsidR="004B0031" w:rsidRDefault="004B0031"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71B" w:rsidRDefault="00D0571B" w:rsidP="00B14DFB">
      <w:r>
        <w:separator/>
      </w:r>
    </w:p>
  </w:footnote>
  <w:footnote w:type="continuationSeparator" w:id="0">
    <w:p w:rsidR="00D0571B" w:rsidRDefault="00D0571B" w:rsidP="00B14DFB">
      <w:r>
        <w:continuationSeparator/>
      </w:r>
    </w:p>
  </w:footnote>
  <w:footnote w:id="1">
    <w:p w:rsidR="004B0031" w:rsidRPr="00183047" w:rsidRDefault="004B0031">
      <w:pPr>
        <w:pStyle w:val="FootnoteText"/>
      </w:pPr>
      <w:r>
        <w:rPr>
          <w:rStyle w:val="FootnoteReference"/>
        </w:rPr>
        <w:footnoteRef/>
      </w:r>
      <w:r>
        <w:t xml:space="preserve"> </w:t>
      </w:r>
      <w:r>
        <w:rPr>
          <w:i/>
        </w:rPr>
        <w:t>Competition and Consumer Act 2010</w:t>
      </w:r>
      <w:r>
        <w:t xml:space="preserve"> s154AB(2)</w:t>
      </w:r>
    </w:p>
  </w:footnote>
  <w:footnote w:id="2">
    <w:p w:rsidR="004B0031" w:rsidRDefault="004B0031">
      <w:pPr>
        <w:pStyle w:val="FootnoteText"/>
      </w:pPr>
      <w:r>
        <w:rPr>
          <w:rStyle w:val="FootnoteReference"/>
        </w:rPr>
        <w:footnoteRef/>
      </w:r>
      <w:r>
        <w:t xml:space="preserve"> ACCC, 2013, ‘Review of the declaration of the Domestic Mobile Terminating Access Service: Discussion Paper’, May 2013, p.14</w:t>
      </w:r>
    </w:p>
  </w:footnote>
  <w:footnote w:id="3">
    <w:p w:rsidR="004B0031" w:rsidRDefault="004B0031" w:rsidP="0099334C">
      <w:pPr>
        <w:pStyle w:val="FootnoteText"/>
      </w:pPr>
      <w:r>
        <w:rPr>
          <w:rStyle w:val="FootnoteReference"/>
        </w:rPr>
        <w:footnoteRef/>
      </w:r>
      <w:r>
        <w:t xml:space="preserve"> ACMA, 2012, ‘Communications Report 2011-12’, p.22</w:t>
      </w:r>
    </w:p>
  </w:footnote>
  <w:footnote w:id="4">
    <w:p w:rsidR="004B0031" w:rsidRDefault="004B0031" w:rsidP="0099334C">
      <w:pPr>
        <w:pStyle w:val="FootnoteText"/>
      </w:pPr>
      <w:r>
        <w:rPr>
          <w:rStyle w:val="FootnoteReference"/>
        </w:rPr>
        <w:footnoteRef/>
      </w:r>
      <w:r>
        <w:t xml:space="preserve"> ACMA, 2012, ‘Communications Report 2011-12’, p.22</w:t>
      </w:r>
    </w:p>
  </w:footnote>
  <w:footnote w:id="5">
    <w:p w:rsidR="00667906" w:rsidRDefault="00667906">
      <w:pPr>
        <w:pStyle w:val="FootnoteText"/>
      </w:pPr>
      <w:r>
        <w:rPr>
          <w:rStyle w:val="FootnoteReference"/>
        </w:rPr>
        <w:footnoteRef/>
      </w:r>
      <w:r>
        <w:t xml:space="preserve"> ACCC, 2009, ‘Mobile Terminating Access Service – Final Report’, May 2009</w:t>
      </w:r>
    </w:p>
  </w:footnote>
  <w:footnote w:id="6">
    <w:p w:rsidR="004B0031" w:rsidRDefault="004B0031">
      <w:pPr>
        <w:pStyle w:val="FootnoteText"/>
      </w:pPr>
      <w:r>
        <w:rPr>
          <w:rStyle w:val="FootnoteReference"/>
        </w:rPr>
        <w:footnoteRef/>
      </w:r>
      <w:r>
        <w:t xml:space="preserve"> ACCC, 2013, ‘Review of the declaration of the Domestic Mobile Terminating Access Service: Discussion Paper’, May 2013</w:t>
      </w:r>
    </w:p>
  </w:footnote>
  <w:footnote w:id="7">
    <w:p w:rsidR="004B0031" w:rsidRDefault="004B0031">
      <w:pPr>
        <w:pStyle w:val="FootnoteText"/>
      </w:pPr>
      <w:r>
        <w:rPr>
          <w:rStyle w:val="FootnoteReference"/>
        </w:rPr>
        <w:footnoteRef/>
      </w:r>
      <w:r>
        <w:t xml:space="preserve"> ACCC, 2013, ‘Report 2 – Changes in prices paid for telecommunications services in Australia, 2011-12’, </w:t>
      </w:r>
      <w:hyperlink r:id="rId1" w:history="1">
        <w:r w:rsidRPr="00FC42B0">
          <w:rPr>
            <w:rStyle w:val="Hyperlink"/>
          </w:rPr>
          <w:t>http://www.accc.gov.au/</w:t>
        </w:r>
      </w:hyperlink>
      <w:r>
        <w:t xml:space="preserve"> </w:t>
      </w:r>
    </w:p>
  </w:footnote>
  <w:footnote w:id="8">
    <w:p w:rsidR="004B0031" w:rsidRDefault="004B0031">
      <w:pPr>
        <w:pStyle w:val="FootnoteText"/>
      </w:pPr>
      <w:r>
        <w:rPr>
          <w:rStyle w:val="FootnoteReference"/>
        </w:rPr>
        <w:footnoteRef/>
      </w:r>
      <w:r>
        <w:t xml:space="preserve"> ACCC, 2013, ‘Report 2 – Changes in prices paid for telecommunications services in Australia, 2011-12’, pp. 91-94</w:t>
      </w:r>
    </w:p>
  </w:footnote>
  <w:footnote w:id="9">
    <w:p w:rsidR="004B0031" w:rsidRDefault="004B0031">
      <w:pPr>
        <w:pStyle w:val="FootnoteText"/>
      </w:pPr>
      <w:r>
        <w:rPr>
          <w:rStyle w:val="FootnoteReference"/>
        </w:rPr>
        <w:footnoteRef/>
      </w:r>
      <w:r>
        <w:t xml:space="preserve"> ACCC, 2011, ‘Final Access Determination No.7 of 2011 (MTAS)’, Date of decision: 7 December 2011</w:t>
      </w:r>
    </w:p>
  </w:footnote>
  <w:footnote w:id="10">
    <w:p w:rsidR="004B0031" w:rsidRDefault="004B0031">
      <w:pPr>
        <w:pStyle w:val="FootnoteText"/>
      </w:pPr>
      <w:r>
        <w:rPr>
          <w:rStyle w:val="FootnoteReference"/>
        </w:rPr>
        <w:footnoteRef/>
      </w:r>
      <w:r>
        <w:t xml:space="preserve"> Goldman Sachs, 2013, ‘Australia: Telecom Services’, June 19, 2013</w:t>
      </w:r>
    </w:p>
  </w:footnote>
  <w:footnote w:id="11">
    <w:p w:rsidR="004B0031" w:rsidRDefault="004B0031">
      <w:pPr>
        <w:pStyle w:val="FootnoteText"/>
      </w:pPr>
      <w:r>
        <w:rPr>
          <w:rStyle w:val="FootnoteReference"/>
        </w:rPr>
        <w:footnoteRef/>
      </w:r>
      <w:r>
        <w:t xml:space="preserve"> ACCC, 2013, ‘Report 2 – Changes in prices paid for telecommunications services in Australia, 2011-12’, p.76</w:t>
      </w:r>
    </w:p>
  </w:footnote>
  <w:footnote w:id="12">
    <w:p w:rsidR="004B0031" w:rsidRDefault="004B0031" w:rsidP="0039212F">
      <w:pPr>
        <w:pStyle w:val="FootnoteText"/>
      </w:pPr>
      <w:r>
        <w:rPr>
          <w:rStyle w:val="FootnoteReference"/>
        </w:rPr>
        <w:footnoteRef/>
      </w:r>
      <w:r>
        <w:t xml:space="preserve"> </w:t>
      </w:r>
      <w:r w:rsidRPr="0039212F">
        <w:t>Telstra</w:t>
      </w:r>
      <w:r>
        <w:t>, 2012,</w:t>
      </w:r>
      <w:r w:rsidRPr="0039212F">
        <w:t xml:space="preserve"> </w:t>
      </w:r>
      <w:r>
        <w:t xml:space="preserve">‘Telstra TEM Substantiation Report Quarter 1 – 2012/13’, </w:t>
      </w:r>
      <w:r w:rsidRPr="0039212F">
        <w:t>14 December 2012</w:t>
      </w:r>
    </w:p>
  </w:footnote>
  <w:footnote w:id="13">
    <w:p w:rsidR="00AC1162" w:rsidRDefault="00AC1162" w:rsidP="00AC1162">
      <w:pPr>
        <w:pStyle w:val="FootnoteText"/>
      </w:pPr>
      <w:r>
        <w:rPr>
          <w:rStyle w:val="FootnoteReference"/>
        </w:rPr>
        <w:footnoteRef/>
      </w:r>
      <w:r>
        <w:t xml:space="preserve"> ACCC, 2013, ‘Report 2 – Changes in prices paid for telecommunications services in Australia, 2011-12’, p.76</w:t>
      </w:r>
    </w:p>
  </w:footnote>
  <w:footnote w:id="14">
    <w:p w:rsidR="004B0031" w:rsidRDefault="004B0031">
      <w:pPr>
        <w:pStyle w:val="FootnoteText"/>
      </w:pPr>
      <w:r>
        <w:rPr>
          <w:rStyle w:val="FootnoteReference"/>
        </w:rPr>
        <w:footnoteRef/>
      </w:r>
      <w:r>
        <w:t xml:space="preserve"> ACMA, 2012, ‘Communications Report 2011-12’, p.24</w:t>
      </w:r>
    </w:p>
  </w:footnote>
  <w:footnote w:id="15">
    <w:p w:rsidR="004B0031" w:rsidRDefault="004B0031">
      <w:pPr>
        <w:pStyle w:val="FootnoteText"/>
      </w:pPr>
      <w:r>
        <w:rPr>
          <w:rStyle w:val="FootnoteReference"/>
        </w:rPr>
        <w:footnoteRef/>
      </w:r>
      <w:r>
        <w:t xml:space="preserve"> ACMA, 2012, ‘Communications Report 2011-12’, p.24</w:t>
      </w:r>
    </w:p>
  </w:footnote>
  <w:footnote w:id="16">
    <w:p w:rsidR="00BC119B" w:rsidRDefault="00BC119B">
      <w:pPr>
        <w:pStyle w:val="FootnoteText"/>
      </w:pPr>
      <w:r>
        <w:rPr>
          <w:rStyle w:val="FootnoteReference"/>
        </w:rPr>
        <w:footnoteRef/>
      </w:r>
      <w:r>
        <w:t xml:space="preserve"> ACMA, 2011, ‘Numbering: Implications of research into consumer issues consultation paper 4’, p. 74</w:t>
      </w:r>
    </w:p>
  </w:footnote>
  <w:footnote w:id="17">
    <w:p w:rsidR="004B0031" w:rsidRDefault="004B0031">
      <w:pPr>
        <w:pStyle w:val="FootnoteText"/>
      </w:pPr>
      <w:r>
        <w:rPr>
          <w:rStyle w:val="FootnoteReference"/>
        </w:rPr>
        <w:footnoteRef/>
      </w:r>
      <w:r>
        <w:t xml:space="preserve"> TIO, 2013, ‘TIO talks’, Telecommunications Industry Ombudsman No. 2, 2013, p.3</w:t>
      </w:r>
    </w:p>
  </w:footnote>
  <w:footnote w:id="18">
    <w:p w:rsidR="00647275" w:rsidRDefault="00647275">
      <w:pPr>
        <w:pStyle w:val="FootnoteText"/>
      </w:pPr>
      <w:r>
        <w:rPr>
          <w:rStyle w:val="FootnoteReference"/>
        </w:rPr>
        <w:footnoteRef/>
      </w:r>
      <w:r>
        <w:t xml:space="preserve"> ACMA, 2012, ‘Communications Report 2011-12’, p.19</w:t>
      </w:r>
    </w:p>
  </w:footnote>
  <w:footnote w:id="19">
    <w:p w:rsidR="004B0031" w:rsidRDefault="004B0031">
      <w:pPr>
        <w:pStyle w:val="FootnoteText"/>
      </w:pPr>
      <w:r>
        <w:rPr>
          <w:rStyle w:val="FootnoteReference"/>
        </w:rPr>
        <w:footnoteRef/>
      </w:r>
      <w:r>
        <w:t xml:space="preserve"> Goldman Sachs, 2013, ‘Australia: Telecom Services’, June 19, 2013</w:t>
      </w:r>
    </w:p>
  </w:footnote>
  <w:footnote w:id="20">
    <w:p w:rsidR="006B76DA" w:rsidRDefault="006B76DA" w:rsidP="006B76DA">
      <w:pPr>
        <w:pStyle w:val="FootnoteText"/>
      </w:pPr>
      <w:r>
        <w:rPr>
          <w:rStyle w:val="FootnoteReference"/>
        </w:rPr>
        <w:footnoteRef/>
      </w:r>
      <w:r>
        <w:t xml:space="preserve"> Goldman Sachs, 2013, ‘Australia: Telecom Services’, June 19, 2013</w:t>
      </w:r>
    </w:p>
  </w:footnote>
  <w:footnote w:id="21">
    <w:p w:rsidR="001E323D" w:rsidRDefault="001E323D" w:rsidP="001E323D">
      <w:pPr>
        <w:pStyle w:val="FootnoteText"/>
      </w:pPr>
      <w:r>
        <w:rPr>
          <w:rStyle w:val="FootnoteReference"/>
        </w:rPr>
        <w:footnoteRef/>
      </w:r>
      <w:r>
        <w:t xml:space="preserve"> Skype rates page, accessed 1/7/2013 &lt;</w:t>
      </w:r>
      <w:hyperlink r:id="rId2" w:history="1">
        <w:r>
          <w:rPr>
            <w:rStyle w:val="Hyperlink"/>
          </w:rPr>
          <w:t>http://www.skype.com/en/rates/</w:t>
        </w:r>
      </w:hyperlink>
      <w:r>
        <w:t>&gt;</w:t>
      </w:r>
    </w:p>
  </w:footnote>
  <w:footnote w:id="22">
    <w:p w:rsidR="00B75F74" w:rsidRDefault="00B75F74">
      <w:pPr>
        <w:pStyle w:val="FootnoteText"/>
      </w:pPr>
      <w:r>
        <w:rPr>
          <w:rStyle w:val="FootnoteReference"/>
        </w:rPr>
        <w:footnoteRef/>
      </w:r>
      <w:r>
        <w:t xml:space="preserve"> Skype, 2013, ‘</w:t>
      </w:r>
      <w:r w:rsidRPr="00B75F74">
        <w:t>How much data will Skype use on my mobile phone?</w:t>
      </w:r>
      <w:r>
        <w:t>’ accessed 1/7/2013 &lt;</w:t>
      </w:r>
      <w:hyperlink r:id="rId3" w:history="1">
        <w:r>
          <w:rPr>
            <w:rStyle w:val="Hyperlink"/>
          </w:rPr>
          <w:t>https://support.skype.com/en/faq/FA10853/how-much-data-will-skype-use-on-my-mobile-phone</w:t>
        </w:r>
      </w:hyperlink>
      <w:r>
        <w:t>&gt;</w:t>
      </w:r>
    </w:p>
  </w:footnote>
  <w:footnote w:id="23">
    <w:p w:rsidR="004B0031" w:rsidRDefault="004B0031">
      <w:pPr>
        <w:pStyle w:val="FootnoteText"/>
      </w:pPr>
      <w:r>
        <w:rPr>
          <w:rStyle w:val="FootnoteReference"/>
        </w:rPr>
        <w:footnoteRef/>
      </w:r>
      <w:r>
        <w:t xml:space="preserve"> ACMA, 2012, ‘Communications Report 2011-12’, p. 21</w:t>
      </w:r>
    </w:p>
  </w:footnote>
  <w:footnote w:id="24">
    <w:p w:rsidR="00977675" w:rsidRPr="00AA2967" w:rsidRDefault="00977675" w:rsidP="00977675">
      <w:pPr>
        <w:pStyle w:val="FootnoteText"/>
      </w:pPr>
      <w:r>
        <w:rPr>
          <w:rStyle w:val="FootnoteReference"/>
        </w:rPr>
        <w:footnoteRef/>
      </w:r>
      <w:r>
        <w:t xml:space="preserve"> </w:t>
      </w:r>
      <w:proofErr w:type="spellStart"/>
      <w:proofErr w:type="gramStart"/>
      <w:r>
        <w:t>Qunhui</w:t>
      </w:r>
      <w:proofErr w:type="spellEnd"/>
      <w:r>
        <w:t xml:space="preserve">, C., 2011, ‘Evolution and development of </w:t>
      </w:r>
      <w:proofErr w:type="spellStart"/>
      <w:r>
        <w:t>VoLTE</w:t>
      </w:r>
      <w:proofErr w:type="spellEnd"/>
      <w:r>
        <w:t xml:space="preserve">’, </w:t>
      </w:r>
      <w:r>
        <w:rPr>
          <w:i/>
        </w:rPr>
        <w:t>Huawei Communicate</w:t>
      </w:r>
      <w:r>
        <w:t xml:space="preserve">, Sep 2011, </w:t>
      </w:r>
      <w:proofErr w:type="spellStart"/>
      <w:r>
        <w:t>Iss</w:t>
      </w:r>
      <w:proofErr w:type="spellEnd"/>
      <w:r>
        <w:t>.</w:t>
      </w:r>
      <w:proofErr w:type="gramEnd"/>
      <w:r>
        <w:t xml:space="preserve"> 61, p.52</w:t>
      </w:r>
    </w:p>
  </w:footnote>
  <w:footnote w:id="25">
    <w:p w:rsidR="00E621A3" w:rsidRDefault="00E621A3" w:rsidP="00E621A3">
      <w:pPr>
        <w:pStyle w:val="FootnoteText"/>
      </w:pPr>
      <w:r>
        <w:rPr>
          <w:rStyle w:val="FootnoteReference"/>
        </w:rPr>
        <w:footnoteRef/>
      </w:r>
      <w:r>
        <w:t xml:space="preserve"> ACCC, 2009, ‘Mobile Terminating Access Service – An ACCC Final Report’, May 2009, p.34</w:t>
      </w:r>
    </w:p>
  </w:footnote>
  <w:footnote w:id="26">
    <w:p w:rsidR="00613A55" w:rsidRDefault="00613A55">
      <w:pPr>
        <w:pStyle w:val="FootnoteText"/>
      </w:pPr>
      <w:r>
        <w:rPr>
          <w:rStyle w:val="FootnoteReference"/>
        </w:rPr>
        <w:footnoteRef/>
      </w:r>
      <w:r>
        <w:t xml:space="preserve"> ACCC, 2009, ‘Mobile Terminating Access Service – An ACCC Final Report’, May 2009, p.34</w:t>
      </w:r>
    </w:p>
  </w:footnote>
  <w:footnote w:id="27">
    <w:p w:rsidR="003035CD" w:rsidRDefault="003035CD">
      <w:pPr>
        <w:pStyle w:val="FootnoteText"/>
      </w:pPr>
      <w:r>
        <w:rPr>
          <w:rStyle w:val="FootnoteReference"/>
        </w:rPr>
        <w:footnoteRef/>
      </w:r>
      <w:r>
        <w:t xml:space="preserve"> ABC, 2012, ‘</w:t>
      </w:r>
      <w:r w:rsidRPr="003035CD">
        <w:t>Baby Boomers embrace the NBN for cheap, high-quality phone calls</w:t>
      </w:r>
      <w:r>
        <w:t>’, 19/11/2012, accessed: &lt;</w:t>
      </w:r>
      <w:hyperlink r:id="rId4" w:history="1">
        <w:r>
          <w:rPr>
            <w:rStyle w:val="Hyperlink"/>
          </w:rPr>
          <w:t>http://www.abc.net.au/technology/articles/2012/11/19/3635997.htm</w:t>
        </w:r>
      </w:hyperlink>
      <w:r>
        <w:t xml:space="preserve">&gt;; </w:t>
      </w:r>
      <w:proofErr w:type="spellStart"/>
      <w:r w:rsidR="00FB1FDF">
        <w:t>Qunhui</w:t>
      </w:r>
      <w:proofErr w:type="spellEnd"/>
      <w:r w:rsidR="00FB1FDF">
        <w:t xml:space="preserve">, C., 2011, ‘Evolution and development of </w:t>
      </w:r>
      <w:proofErr w:type="spellStart"/>
      <w:r w:rsidR="00FB1FDF">
        <w:t>VoLTE</w:t>
      </w:r>
      <w:proofErr w:type="spellEnd"/>
      <w:r w:rsidR="00FB1FDF">
        <w:t xml:space="preserve">’, </w:t>
      </w:r>
      <w:r w:rsidR="00FB1FDF">
        <w:rPr>
          <w:i/>
        </w:rPr>
        <w:t>Huawei Communicate</w:t>
      </w:r>
      <w:r w:rsidR="00FB1FDF">
        <w:t xml:space="preserve">, Sep 2011, </w:t>
      </w:r>
      <w:proofErr w:type="spellStart"/>
      <w:r w:rsidR="00FB1FDF">
        <w:t>Iss</w:t>
      </w:r>
      <w:proofErr w:type="spellEnd"/>
      <w:r w:rsidR="00FB1FDF">
        <w:t>. 61</w:t>
      </w:r>
    </w:p>
  </w:footnote>
  <w:footnote w:id="28">
    <w:p w:rsidR="00881606" w:rsidRDefault="00881606" w:rsidP="00881606">
      <w:pPr>
        <w:pStyle w:val="FootnoteText"/>
      </w:pPr>
      <w:r>
        <w:rPr>
          <w:rStyle w:val="FootnoteReference"/>
        </w:rPr>
        <w:footnoteRef/>
      </w:r>
      <w:r>
        <w:t xml:space="preserve"> Communications Day, 2013, ‘Ericsson pegs </w:t>
      </w:r>
      <w:proofErr w:type="spellStart"/>
      <w:r>
        <w:t>VoLTE</w:t>
      </w:r>
      <w:proofErr w:type="spellEnd"/>
      <w:r>
        <w:t xml:space="preserve">, other IP </w:t>
      </w:r>
      <w:proofErr w:type="spellStart"/>
      <w:r>
        <w:t>comms</w:t>
      </w:r>
      <w:proofErr w:type="spellEnd"/>
      <w:r>
        <w:t xml:space="preserve"> services to help operators ‘monetise beyond telephony’’</w:t>
      </w:r>
      <w:r w:rsidR="00D6494A">
        <w:t>, 11/06/2013</w:t>
      </w:r>
    </w:p>
  </w:footnote>
  <w:footnote w:id="29">
    <w:p w:rsidR="00881606" w:rsidRDefault="00881606">
      <w:pPr>
        <w:pStyle w:val="FootnoteText"/>
      </w:pPr>
      <w:r>
        <w:rPr>
          <w:rStyle w:val="FootnoteReference"/>
        </w:rPr>
        <w:footnoteRef/>
      </w:r>
      <w:r>
        <w:t xml:space="preserve"> Wireless Industry News, 2012, ‘</w:t>
      </w:r>
      <w:r w:rsidRPr="00881606">
        <w:t>Which country will be first to provide Voice over LTE (</w:t>
      </w:r>
      <w:proofErr w:type="spellStart"/>
      <w:r w:rsidRPr="00881606">
        <w:t>VoLTE</w:t>
      </w:r>
      <w:proofErr w:type="spellEnd"/>
      <w:r w:rsidRPr="00881606">
        <w:t>)</w:t>
      </w:r>
      <w:r>
        <w:t>’, 9/8/2012, accessed 1/7/2013, &lt;</w:t>
      </w:r>
      <w:hyperlink r:id="rId5" w:history="1">
        <w:r>
          <w:rPr>
            <w:rStyle w:val="Hyperlink"/>
          </w:rPr>
          <w:t>http://www.wirelessindustrynews.org/news-aug-2012/3204-08092012-win-news.html</w:t>
        </w:r>
      </w:hyperlink>
      <w:r>
        <w:t>&gt;</w:t>
      </w:r>
    </w:p>
  </w:footnote>
  <w:footnote w:id="30">
    <w:p w:rsidR="00FB1FDF" w:rsidRPr="00AA2967" w:rsidRDefault="00FB1FDF" w:rsidP="00FB1FDF">
      <w:pPr>
        <w:pStyle w:val="FootnoteText"/>
      </w:pPr>
      <w:r>
        <w:rPr>
          <w:rStyle w:val="FootnoteReference"/>
        </w:rPr>
        <w:footnoteRef/>
      </w:r>
      <w:r>
        <w:t xml:space="preserve"> </w:t>
      </w:r>
      <w:proofErr w:type="spellStart"/>
      <w:proofErr w:type="gramStart"/>
      <w:r>
        <w:t>Qunhui</w:t>
      </w:r>
      <w:proofErr w:type="spellEnd"/>
      <w:r>
        <w:t xml:space="preserve">, C., 2011, ‘Evolution and development of </w:t>
      </w:r>
      <w:proofErr w:type="spellStart"/>
      <w:r>
        <w:t>VoLTE</w:t>
      </w:r>
      <w:proofErr w:type="spellEnd"/>
      <w:r>
        <w:t xml:space="preserve">’, </w:t>
      </w:r>
      <w:r>
        <w:rPr>
          <w:i/>
        </w:rPr>
        <w:t>Huawei Communicate</w:t>
      </w:r>
      <w:r>
        <w:t xml:space="preserve">, Sep </w:t>
      </w:r>
      <w:r w:rsidR="00881606">
        <w:t xml:space="preserve">2011, </w:t>
      </w:r>
      <w:proofErr w:type="spellStart"/>
      <w:r w:rsidR="00881606">
        <w:t>Iss</w:t>
      </w:r>
      <w:proofErr w:type="spellEnd"/>
      <w:r w:rsidR="00881606">
        <w:t>.</w:t>
      </w:r>
      <w:proofErr w:type="gramEnd"/>
      <w:r w:rsidR="00881606">
        <w:t xml:space="preserve"> 61</w:t>
      </w:r>
    </w:p>
  </w:footnote>
  <w:footnote w:id="31">
    <w:p w:rsidR="00FB1FDF" w:rsidRPr="00AA2967" w:rsidRDefault="00FB1FDF" w:rsidP="00FB1FDF">
      <w:pPr>
        <w:pStyle w:val="FootnoteText"/>
      </w:pPr>
      <w:r>
        <w:rPr>
          <w:rStyle w:val="FootnoteReference"/>
        </w:rPr>
        <w:footnoteRef/>
      </w:r>
      <w:r>
        <w:t xml:space="preserve"> </w:t>
      </w:r>
      <w:proofErr w:type="spellStart"/>
      <w:proofErr w:type="gramStart"/>
      <w:r>
        <w:t>Qunhui</w:t>
      </w:r>
      <w:proofErr w:type="spellEnd"/>
      <w:r>
        <w:t xml:space="preserve">, C., 2011, ‘Evolution and development of </w:t>
      </w:r>
      <w:proofErr w:type="spellStart"/>
      <w:r>
        <w:t>VoLTE</w:t>
      </w:r>
      <w:proofErr w:type="spellEnd"/>
      <w:r>
        <w:t xml:space="preserve">’, </w:t>
      </w:r>
      <w:r>
        <w:rPr>
          <w:i/>
        </w:rPr>
        <w:t>Huawei Communicate</w:t>
      </w:r>
      <w:r>
        <w:t xml:space="preserve">, Sep </w:t>
      </w:r>
      <w:r w:rsidR="00881606">
        <w:t xml:space="preserve">2011, </w:t>
      </w:r>
      <w:proofErr w:type="spellStart"/>
      <w:r w:rsidR="00881606">
        <w:t>Iss</w:t>
      </w:r>
      <w:proofErr w:type="spellEnd"/>
      <w:r w:rsidR="00881606">
        <w:t>.</w:t>
      </w:r>
      <w:proofErr w:type="gramEnd"/>
      <w:r w:rsidR="00881606">
        <w:t xml:space="preserve">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31" w:rsidRDefault="004B0031"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31" w:rsidRDefault="004B0031"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D708FF60"/>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D708FF60"/>
    <w:numStyleLink w:val="Headings"/>
  </w:abstractNum>
  <w:abstractNum w:abstractNumId="5">
    <w:nsid w:val="3DF936BD"/>
    <w:multiLevelType w:val="multilevel"/>
    <w:tmpl w:val="D708FF60"/>
    <w:numStyleLink w:val="Headings"/>
  </w:abstractNum>
  <w:abstractNum w:abstractNumId="6">
    <w:nsid w:val="3F822E55"/>
    <w:multiLevelType w:val="hybridMultilevel"/>
    <w:tmpl w:val="4CBC5358"/>
    <w:lvl w:ilvl="0" w:tplc="A8C88F9E">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C0D1C18"/>
    <w:multiLevelType w:val="hybridMultilevel"/>
    <w:tmpl w:val="FCBEC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7556263"/>
    <w:multiLevelType w:val="hybridMultilevel"/>
    <w:tmpl w:val="6604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AAF098D"/>
    <w:multiLevelType w:val="multilevel"/>
    <w:tmpl w:val="D708FF60"/>
    <w:numStyleLink w:val="Headings"/>
  </w:abstractNum>
  <w:abstractNum w:abstractNumId="1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6D7F6F08"/>
    <w:multiLevelType w:val="hybridMultilevel"/>
    <w:tmpl w:val="A1D4E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FF45ED"/>
    <w:multiLevelType w:val="multilevel"/>
    <w:tmpl w:val="D708FF60"/>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6">
    <w:nsid w:val="78C320AC"/>
    <w:multiLevelType w:val="hybridMultilevel"/>
    <w:tmpl w:val="D29C3772"/>
    <w:lvl w:ilvl="0" w:tplc="CB82C8B8">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5"/>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7">
    <w:abstractNumId w:val="7"/>
  </w:num>
  <w:num w:numId="18">
    <w:abstractNumId w:val="8"/>
  </w:num>
  <w:num w:numId="19">
    <w:abstractNumId w:val="8"/>
  </w:num>
  <w:num w:numId="20">
    <w:abstractNumId w:val="13"/>
  </w:num>
  <w:num w:numId="21">
    <w:abstractNumId w:val="1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15"/>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none"/>
        <w:suff w:val="nothing"/>
        <w:lvlText w:val=""/>
        <w:lvlJc w:val="left"/>
        <w:pPr>
          <w:ind w:left="0" w:firstLine="0"/>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8">
    <w:abstractNumId w:val="16"/>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C0"/>
    <w:rsid w:val="0002220A"/>
    <w:rsid w:val="00027253"/>
    <w:rsid w:val="00035848"/>
    <w:rsid w:val="00047257"/>
    <w:rsid w:val="000A5D59"/>
    <w:rsid w:val="000D51F4"/>
    <w:rsid w:val="000F58CC"/>
    <w:rsid w:val="000F6A6C"/>
    <w:rsid w:val="001163D5"/>
    <w:rsid w:val="0014329D"/>
    <w:rsid w:val="00146E10"/>
    <w:rsid w:val="00147A7F"/>
    <w:rsid w:val="00147FE8"/>
    <w:rsid w:val="001769CD"/>
    <w:rsid w:val="00183047"/>
    <w:rsid w:val="00187F0A"/>
    <w:rsid w:val="00192660"/>
    <w:rsid w:val="00194CBB"/>
    <w:rsid w:val="001C28E7"/>
    <w:rsid w:val="001C6657"/>
    <w:rsid w:val="001E323D"/>
    <w:rsid w:val="00211260"/>
    <w:rsid w:val="002127F0"/>
    <w:rsid w:val="00223858"/>
    <w:rsid w:val="0022689F"/>
    <w:rsid w:val="00234042"/>
    <w:rsid w:val="00236273"/>
    <w:rsid w:val="00245AE2"/>
    <w:rsid w:val="002715DF"/>
    <w:rsid w:val="002725D3"/>
    <w:rsid w:val="002736A1"/>
    <w:rsid w:val="00297897"/>
    <w:rsid w:val="002A4BD4"/>
    <w:rsid w:val="002A629E"/>
    <w:rsid w:val="002E20E4"/>
    <w:rsid w:val="002E4872"/>
    <w:rsid w:val="003035CD"/>
    <w:rsid w:val="00304FAA"/>
    <w:rsid w:val="00336046"/>
    <w:rsid w:val="00337EAC"/>
    <w:rsid w:val="003400F5"/>
    <w:rsid w:val="003441E5"/>
    <w:rsid w:val="00357231"/>
    <w:rsid w:val="0036173D"/>
    <w:rsid w:val="0036351B"/>
    <w:rsid w:val="00377AF4"/>
    <w:rsid w:val="0039212F"/>
    <w:rsid w:val="003B1499"/>
    <w:rsid w:val="003D7EE9"/>
    <w:rsid w:val="003E3A28"/>
    <w:rsid w:val="003E6503"/>
    <w:rsid w:val="003E76C5"/>
    <w:rsid w:val="003F6199"/>
    <w:rsid w:val="00421ECE"/>
    <w:rsid w:val="0043686B"/>
    <w:rsid w:val="00447E1F"/>
    <w:rsid w:val="004552EA"/>
    <w:rsid w:val="00466618"/>
    <w:rsid w:val="00472C7E"/>
    <w:rsid w:val="00472CA7"/>
    <w:rsid w:val="00477BDB"/>
    <w:rsid w:val="004836D5"/>
    <w:rsid w:val="0049115C"/>
    <w:rsid w:val="004A01EB"/>
    <w:rsid w:val="004A47AE"/>
    <w:rsid w:val="004A55CC"/>
    <w:rsid w:val="004A791B"/>
    <w:rsid w:val="004B0031"/>
    <w:rsid w:val="004B7462"/>
    <w:rsid w:val="004C3886"/>
    <w:rsid w:val="004F2201"/>
    <w:rsid w:val="005018A1"/>
    <w:rsid w:val="005019D4"/>
    <w:rsid w:val="00511400"/>
    <w:rsid w:val="005245FD"/>
    <w:rsid w:val="005254D1"/>
    <w:rsid w:val="00542267"/>
    <w:rsid w:val="00553427"/>
    <w:rsid w:val="005553D1"/>
    <w:rsid w:val="00562180"/>
    <w:rsid w:val="00564337"/>
    <w:rsid w:val="005820C9"/>
    <w:rsid w:val="00592615"/>
    <w:rsid w:val="00593975"/>
    <w:rsid w:val="00596128"/>
    <w:rsid w:val="005A673E"/>
    <w:rsid w:val="005C2EBF"/>
    <w:rsid w:val="005E36D3"/>
    <w:rsid w:val="005E5BC2"/>
    <w:rsid w:val="005F178E"/>
    <w:rsid w:val="00613698"/>
    <w:rsid w:val="00613A55"/>
    <w:rsid w:val="00615347"/>
    <w:rsid w:val="00616843"/>
    <w:rsid w:val="006361E7"/>
    <w:rsid w:val="00646DA8"/>
    <w:rsid w:val="00647275"/>
    <w:rsid w:val="00651984"/>
    <w:rsid w:val="00654E49"/>
    <w:rsid w:val="006578D7"/>
    <w:rsid w:val="00667906"/>
    <w:rsid w:val="00670D3E"/>
    <w:rsid w:val="00677CA7"/>
    <w:rsid w:val="006844F8"/>
    <w:rsid w:val="00686F1F"/>
    <w:rsid w:val="006A07D1"/>
    <w:rsid w:val="006A4F0F"/>
    <w:rsid w:val="006B76DA"/>
    <w:rsid w:val="006C7C58"/>
    <w:rsid w:val="006D153D"/>
    <w:rsid w:val="006D32C6"/>
    <w:rsid w:val="006D4B09"/>
    <w:rsid w:val="0070558A"/>
    <w:rsid w:val="0071383A"/>
    <w:rsid w:val="0072259A"/>
    <w:rsid w:val="007470A4"/>
    <w:rsid w:val="007506AE"/>
    <w:rsid w:val="007571FD"/>
    <w:rsid w:val="0076329D"/>
    <w:rsid w:val="007A3E1A"/>
    <w:rsid w:val="007B591B"/>
    <w:rsid w:val="007C25F0"/>
    <w:rsid w:val="007D29C5"/>
    <w:rsid w:val="007D2B36"/>
    <w:rsid w:val="007D3F16"/>
    <w:rsid w:val="007D6C06"/>
    <w:rsid w:val="007E1807"/>
    <w:rsid w:val="007E49B7"/>
    <w:rsid w:val="007F0737"/>
    <w:rsid w:val="007F0B67"/>
    <w:rsid w:val="008117F8"/>
    <w:rsid w:val="00812306"/>
    <w:rsid w:val="00812E4A"/>
    <w:rsid w:val="008338A0"/>
    <w:rsid w:val="008736A1"/>
    <w:rsid w:val="00874386"/>
    <w:rsid w:val="00881606"/>
    <w:rsid w:val="0088571C"/>
    <w:rsid w:val="00885BB6"/>
    <w:rsid w:val="00886444"/>
    <w:rsid w:val="00897978"/>
    <w:rsid w:val="008A16AB"/>
    <w:rsid w:val="008A19E7"/>
    <w:rsid w:val="008A6697"/>
    <w:rsid w:val="008C597A"/>
    <w:rsid w:val="008D7013"/>
    <w:rsid w:val="008E1CC4"/>
    <w:rsid w:val="008E7708"/>
    <w:rsid w:val="008F7E90"/>
    <w:rsid w:val="00927102"/>
    <w:rsid w:val="0093419F"/>
    <w:rsid w:val="0094220C"/>
    <w:rsid w:val="00944C6A"/>
    <w:rsid w:val="00965D51"/>
    <w:rsid w:val="00977675"/>
    <w:rsid w:val="00987685"/>
    <w:rsid w:val="00992BE6"/>
    <w:rsid w:val="0099334C"/>
    <w:rsid w:val="009A227B"/>
    <w:rsid w:val="009A69E4"/>
    <w:rsid w:val="009B0F09"/>
    <w:rsid w:val="009B20F7"/>
    <w:rsid w:val="009C61C5"/>
    <w:rsid w:val="009E46BC"/>
    <w:rsid w:val="009F4B9D"/>
    <w:rsid w:val="009F61A4"/>
    <w:rsid w:val="00A022BC"/>
    <w:rsid w:val="00A13B92"/>
    <w:rsid w:val="00A318A8"/>
    <w:rsid w:val="00A31FBB"/>
    <w:rsid w:val="00A4447D"/>
    <w:rsid w:val="00A53769"/>
    <w:rsid w:val="00A6704D"/>
    <w:rsid w:val="00A8193E"/>
    <w:rsid w:val="00A96349"/>
    <w:rsid w:val="00AA2967"/>
    <w:rsid w:val="00AA686C"/>
    <w:rsid w:val="00AA6B8A"/>
    <w:rsid w:val="00AC1162"/>
    <w:rsid w:val="00AC384A"/>
    <w:rsid w:val="00AD032B"/>
    <w:rsid w:val="00AE2840"/>
    <w:rsid w:val="00AE5856"/>
    <w:rsid w:val="00AF0F4C"/>
    <w:rsid w:val="00AF1A81"/>
    <w:rsid w:val="00AF32C1"/>
    <w:rsid w:val="00AF3D32"/>
    <w:rsid w:val="00AF4688"/>
    <w:rsid w:val="00B02AEB"/>
    <w:rsid w:val="00B14DFB"/>
    <w:rsid w:val="00B26C1D"/>
    <w:rsid w:val="00B26C74"/>
    <w:rsid w:val="00B356DD"/>
    <w:rsid w:val="00B4140A"/>
    <w:rsid w:val="00B418A0"/>
    <w:rsid w:val="00B516A0"/>
    <w:rsid w:val="00B64F36"/>
    <w:rsid w:val="00B75F74"/>
    <w:rsid w:val="00B87233"/>
    <w:rsid w:val="00BA5C36"/>
    <w:rsid w:val="00BC119B"/>
    <w:rsid w:val="00BE5792"/>
    <w:rsid w:val="00BF075F"/>
    <w:rsid w:val="00BF17A4"/>
    <w:rsid w:val="00C02722"/>
    <w:rsid w:val="00C12182"/>
    <w:rsid w:val="00C20562"/>
    <w:rsid w:val="00C47AA7"/>
    <w:rsid w:val="00C613FC"/>
    <w:rsid w:val="00C63DD0"/>
    <w:rsid w:val="00C73FBB"/>
    <w:rsid w:val="00C860BB"/>
    <w:rsid w:val="00C92E7E"/>
    <w:rsid w:val="00C9577E"/>
    <w:rsid w:val="00CB7B7B"/>
    <w:rsid w:val="00CF5B31"/>
    <w:rsid w:val="00D0119F"/>
    <w:rsid w:val="00D0571B"/>
    <w:rsid w:val="00D106F3"/>
    <w:rsid w:val="00D17C22"/>
    <w:rsid w:val="00D34878"/>
    <w:rsid w:val="00D3636E"/>
    <w:rsid w:val="00D37411"/>
    <w:rsid w:val="00D563B6"/>
    <w:rsid w:val="00D60C65"/>
    <w:rsid w:val="00D62BCE"/>
    <w:rsid w:val="00D6494A"/>
    <w:rsid w:val="00D66356"/>
    <w:rsid w:val="00D7681B"/>
    <w:rsid w:val="00D76C0E"/>
    <w:rsid w:val="00D8369B"/>
    <w:rsid w:val="00DB7C5B"/>
    <w:rsid w:val="00DC342D"/>
    <w:rsid w:val="00DD7C1C"/>
    <w:rsid w:val="00DF2349"/>
    <w:rsid w:val="00DF287A"/>
    <w:rsid w:val="00E017C6"/>
    <w:rsid w:val="00E02EA9"/>
    <w:rsid w:val="00E0415D"/>
    <w:rsid w:val="00E05115"/>
    <w:rsid w:val="00E30643"/>
    <w:rsid w:val="00E32F91"/>
    <w:rsid w:val="00E432C0"/>
    <w:rsid w:val="00E447E0"/>
    <w:rsid w:val="00E45E4C"/>
    <w:rsid w:val="00E54047"/>
    <w:rsid w:val="00E56C40"/>
    <w:rsid w:val="00E621A3"/>
    <w:rsid w:val="00E67DE2"/>
    <w:rsid w:val="00E732BE"/>
    <w:rsid w:val="00E81ECD"/>
    <w:rsid w:val="00E879CE"/>
    <w:rsid w:val="00E933EE"/>
    <w:rsid w:val="00E9701F"/>
    <w:rsid w:val="00EB07A6"/>
    <w:rsid w:val="00EC1696"/>
    <w:rsid w:val="00ED0D87"/>
    <w:rsid w:val="00ED7AA9"/>
    <w:rsid w:val="00ED7B1E"/>
    <w:rsid w:val="00EE1CFF"/>
    <w:rsid w:val="00EE363B"/>
    <w:rsid w:val="00F12A72"/>
    <w:rsid w:val="00F27406"/>
    <w:rsid w:val="00F36D62"/>
    <w:rsid w:val="00F43B24"/>
    <w:rsid w:val="00F61950"/>
    <w:rsid w:val="00F627A6"/>
    <w:rsid w:val="00F77AEE"/>
    <w:rsid w:val="00F77B70"/>
    <w:rsid w:val="00F860D4"/>
    <w:rsid w:val="00F8704C"/>
    <w:rsid w:val="00F91DBB"/>
    <w:rsid w:val="00FA4D24"/>
    <w:rsid w:val="00FA6169"/>
    <w:rsid w:val="00FB1182"/>
    <w:rsid w:val="00FB1FDF"/>
    <w:rsid w:val="00FC5906"/>
    <w:rsid w:val="00FC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01bodytext">
    <w:name w:val="01 body text"/>
    <w:basedOn w:val="Normal"/>
    <w:uiPriority w:val="99"/>
    <w:rsid w:val="003E3A28"/>
    <w:pPr>
      <w:widowControl w:val="0"/>
      <w:suppressAutoHyphens/>
      <w:autoSpaceDE w:val="0"/>
      <w:autoSpaceDN w:val="0"/>
      <w:adjustRightInd w:val="0"/>
      <w:spacing w:before="113" w:beforeAutospacing="0" w:after="0" w:afterAutospacing="0" w:line="240" w:lineRule="atLeast"/>
      <w:textAlignment w:val="center"/>
    </w:pPr>
    <w:rPr>
      <w:rFonts w:ascii="Arial" w:eastAsia="Times New Roman" w:hAnsi="Arial" w:cs="HelveticaNeueLTStd-Lt"/>
      <w:color w:val="000000"/>
      <w:sz w:val="17"/>
      <w:szCs w:val="17"/>
      <w:lang w:val="en-GB"/>
    </w:rPr>
  </w:style>
  <w:style w:type="paragraph" w:customStyle="1" w:styleId="02heading4">
    <w:name w:val="02 heading 4"/>
    <w:basedOn w:val="Normal"/>
    <w:uiPriority w:val="99"/>
    <w:rsid w:val="003E3A28"/>
    <w:pPr>
      <w:keepNext/>
      <w:keepLines/>
      <w:widowControl w:val="0"/>
      <w:suppressAutoHyphens/>
      <w:autoSpaceDE w:val="0"/>
      <w:autoSpaceDN w:val="0"/>
      <w:adjustRightInd w:val="0"/>
      <w:spacing w:before="227" w:beforeAutospacing="0" w:after="0" w:afterAutospacing="0" w:line="230" w:lineRule="atLeast"/>
      <w:textAlignment w:val="center"/>
    </w:pPr>
    <w:rPr>
      <w:rFonts w:ascii="Arial" w:eastAsia="Times New Roman" w:hAnsi="Arial" w:cs="HelveticaNeueLTStd-It"/>
      <w:i/>
      <w:iCs/>
      <w:color w:val="196DFF"/>
      <w:sz w:val="19"/>
      <w:szCs w:val="19"/>
      <w:lang w:val="en-GB"/>
    </w:rPr>
  </w:style>
  <w:style w:type="paragraph" w:customStyle="1" w:styleId="04Footnote">
    <w:name w:val="04 Footnote"/>
    <w:basedOn w:val="Normal"/>
    <w:uiPriority w:val="99"/>
    <w:rsid w:val="003E3A28"/>
    <w:pPr>
      <w:widowControl w:val="0"/>
      <w:tabs>
        <w:tab w:val="left" w:pos="283"/>
      </w:tabs>
      <w:suppressAutoHyphens/>
      <w:autoSpaceDE w:val="0"/>
      <w:autoSpaceDN w:val="0"/>
      <w:adjustRightInd w:val="0"/>
      <w:spacing w:before="57" w:beforeAutospacing="0" w:after="0" w:afterAutospacing="0" w:line="170" w:lineRule="atLeast"/>
      <w:ind w:left="283" w:hanging="283"/>
      <w:textAlignment w:val="center"/>
    </w:pPr>
    <w:rPr>
      <w:rFonts w:ascii="HelveticaNeueLTStd-Lt" w:eastAsia="Times New Roman" w:hAnsi="HelveticaNeueLTStd-Lt" w:cs="HelveticaNeueLTStd-Lt"/>
      <w:color w:val="000000"/>
      <w:sz w:val="13"/>
      <w:szCs w:val="13"/>
      <w:lang w:val="en-US"/>
    </w:rPr>
  </w:style>
  <w:style w:type="character" w:customStyle="1" w:styleId="01bodyitalic">
    <w:name w:val="01 body italic"/>
    <w:uiPriority w:val="99"/>
    <w:rsid w:val="003E3A28"/>
    <w:rPr>
      <w:i/>
      <w:iCs/>
    </w:rPr>
  </w:style>
  <w:style w:type="character" w:customStyle="1" w:styleId="01superscript">
    <w:name w:val="01 superscript"/>
    <w:uiPriority w:val="99"/>
    <w:rsid w:val="003E3A28"/>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customStyle="1" w:styleId="01bodytext">
    <w:name w:val="01 body text"/>
    <w:basedOn w:val="Normal"/>
    <w:uiPriority w:val="99"/>
    <w:rsid w:val="003E3A28"/>
    <w:pPr>
      <w:widowControl w:val="0"/>
      <w:suppressAutoHyphens/>
      <w:autoSpaceDE w:val="0"/>
      <w:autoSpaceDN w:val="0"/>
      <w:adjustRightInd w:val="0"/>
      <w:spacing w:before="113" w:beforeAutospacing="0" w:after="0" w:afterAutospacing="0" w:line="240" w:lineRule="atLeast"/>
      <w:textAlignment w:val="center"/>
    </w:pPr>
    <w:rPr>
      <w:rFonts w:ascii="Arial" w:eastAsia="Times New Roman" w:hAnsi="Arial" w:cs="HelveticaNeueLTStd-Lt"/>
      <w:color w:val="000000"/>
      <w:sz w:val="17"/>
      <w:szCs w:val="17"/>
      <w:lang w:val="en-GB"/>
    </w:rPr>
  </w:style>
  <w:style w:type="paragraph" w:customStyle="1" w:styleId="02heading4">
    <w:name w:val="02 heading 4"/>
    <w:basedOn w:val="Normal"/>
    <w:uiPriority w:val="99"/>
    <w:rsid w:val="003E3A28"/>
    <w:pPr>
      <w:keepNext/>
      <w:keepLines/>
      <w:widowControl w:val="0"/>
      <w:suppressAutoHyphens/>
      <w:autoSpaceDE w:val="0"/>
      <w:autoSpaceDN w:val="0"/>
      <w:adjustRightInd w:val="0"/>
      <w:spacing w:before="227" w:beforeAutospacing="0" w:after="0" w:afterAutospacing="0" w:line="230" w:lineRule="atLeast"/>
      <w:textAlignment w:val="center"/>
    </w:pPr>
    <w:rPr>
      <w:rFonts w:ascii="Arial" w:eastAsia="Times New Roman" w:hAnsi="Arial" w:cs="HelveticaNeueLTStd-It"/>
      <w:i/>
      <w:iCs/>
      <w:color w:val="196DFF"/>
      <w:sz w:val="19"/>
      <w:szCs w:val="19"/>
      <w:lang w:val="en-GB"/>
    </w:rPr>
  </w:style>
  <w:style w:type="paragraph" w:customStyle="1" w:styleId="04Footnote">
    <w:name w:val="04 Footnote"/>
    <w:basedOn w:val="Normal"/>
    <w:uiPriority w:val="99"/>
    <w:rsid w:val="003E3A28"/>
    <w:pPr>
      <w:widowControl w:val="0"/>
      <w:tabs>
        <w:tab w:val="left" w:pos="283"/>
      </w:tabs>
      <w:suppressAutoHyphens/>
      <w:autoSpaceDE w:val="0"/>
      <w:autoSpaceDN w:val="0"/>
      <w:adjustRightInd w:val="0"/>
      <w:spacing w:before="57" w:beforeAutospacing="0" w:after="0" w:afterAutospacing="0" w:line="170" w:lineRule="atLeast"/>
      <w:ind w:left="283" w:hanging="283"/>
      <w:textAlignment w:val="center"/>
    </w:pPr>
    <w:rPr>
      <w:rFonts w:ascii="HelveticaNeueLTStd-Lt" w:eastAsia="Times New Roman" w:hAnsi="HelveticaNeueLTStd-Lt" w:cs="HelveticaNeueLTStd-Lt"/>
      <w:color w:val="000000"/>
      <w:sz w:val="13"/>
      <w:szCs w:val="13"/>
      <w:lang w:val="en-US"/>
    </w:rPr>
  </w:style>
  <w:style w:type="character" w:customStyle="1" w:styleId="01bodyitalic">
    <w:name w:val="01 body italic"/>
    <w:uiPriority w:val="99"/>
    <w:rsid w:val="003E3A28"/>
    <w:rPr>
      <w:i/>
      <w:iCs/>
    </w:rPr>
  </w:style>
  <w:style w:type="character" w:customStyle="1" w:styleId="01superscript">
    <w:name w:val="01 superscript"/>
    <w:uiPriority w:val="99"/>
    <w:rsid w:val="003E3A2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751">
      <w:bodyDiv w:val="1"/>
      <w:marLeft w:val="0"/>
      <w:marRight w:val="0"/>
      <w:marTop w:val="0"/>
      <w:marBottom w:val="0"/>
      <w:divBdr>
        <w:top w:val="none" w:sz="0" w:space="0" w:color="auto"/>
        <w:left w:val="none" w:sz="0" w:space="0" w:color="auto"/>
        <w:bottom w:val="none" w:sz="0" w:space="0" w:color="auto"/>
        <w:right w:val="none" w:sz="0" w:space="0" w:color="auto"/>
      </w:divBdr>
    </w:div>
    <w:div w:id="185801606">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142456061">
      <w:bodyDiv w:val="1"/>
      <w:marLeft w:val="0"/>
      <w:marRight w:val="0"/>
      <w:marTop w:val="0"/>
      <w:marBottom w:val="0"/>
      <w:divBdr>
        <w:top w:val="none" w:sz="0" w:space="0" w:color="auto"/>
        <w:left w:val="none" w:sz="0" w:space="0" w:color="auto"/>
        <w:bottom w:val="none" w:sz="0" w:space="0" w:color="auto"/>
        <w:right w:val="none" w:sz="0" w:space="0" w:color="auto"/>
      </w:divBdr>
    </w:div>
    <w:div w:id="12621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upport.skype.com/en/faq/FA10853/how-much-data-will-skype-use-on-my-mobile-phone" TargetMode="External"/><Relationship Id="rId2" Type="http://schemas.openxmlformats.org/officeDocument/2006/relationships/hyperlink" Target="http://www.skype.com/en/rates/" TargetMode="External"/><Relationship Id="rId1" Type="http://schemas.openxmlformats.org/officeDocument/2006/relationships/hyperlink" Target="http://www.accc.gov.au/" TargetMode="External"/><Relationship Id="rId5" Type="http://schemas.openxmlformats.org/officeDocument/2006/relationships/hyperlink" Target="http://www.wirelessindustrynews.org/news-aug-2012/3204-08092012-win-news.html" TargetMode="External"/><Relationship Id="rId4" Type="http://schemas.openxmlformats.org/officeDocument/2006/relationships/hyperlink" Target="http://www.abc.net.au/technology/articles/2012/11/19/363599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E7F77-9337-4026-B1A1-136C18CC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Template>
  <TotalTime>2158</TotalTime>
  <Pages>9</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 O'Halloran</dc:creator>
  <cp:lastModifiedBy>Xavier O'Halloran</cp:lastModifiedBy>
  <cp:revision>40</cp:revision>
  <cp:lastPrinted>2012-12-12T00:31:00Z</cp:lastPrinted>
  <dcterms:created xsi:type="dcterms:W3CDTF">2013-05-31T04:24:00Z</dcterms:created>
  <dcterms:modified xsi:type="dcterms:W3CDTF">2013-07-05T00:48:00Z</dcterms:modified>
</cp:coreProperties>
</file>