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46" w:rsidRDefault="002B0F95" w:rsidP="00336046">
      <w:pPr>
        <w:pStyle w:val="Title"/>
      </w:pPr>
      <w:bookmarkStart w:id="0" w:name="_Toc348623476"/>
      <w:bookmarkStart w:id="1" w:name="_Toc348626199"/>
      <w:bookmarkStart w:id="2" w:name="_Toc351035241"/>
      <w:bookmarkStart w:id="3" w:name="_Toc355599064"/>
      <w:bookmarkStart w:id="4" w:name="_Toc356541523"/>
      <w:bookmarkStart w:id="5" w:name="_GoBack"/>
      <w:bookmarkEnd w:id="5"/>
      <w:r>
        <w:rPr>
          <w:rFonts w:cs="Arial"/>
        </w:rPr>
        <w:t>Regulatory Issues Framing Paper</w:t>
      </w:r>
      <w:bookmarkEnd w:id="0"/>
      <w:bookmarkEnd w:id="1"/>
      <w:bookmarkEnd w:id="2"/>
      <w:bookmarkEnd w:id="3"/>
      <w:bookmarkEnd w:id="4"/>
    </w:p>
    <w:p w:rsidR="009F4B9D" w:rsidRPr="003441E5" w:rsidRDefault="009F4B9D" w:rsidP="00B14DFB">
      <w:pPr>
        <w:pStyle w:val="Subtitle"/>
      </w:pPr>
      <w:r w:rsidRPr="003441E5">
        <w:t xml:space="preserve">Submission by </w:t>
      </w:r>
      <w:r w:rsidR="00226DE2">
        <w:t>ACCAN</w:t>
      </w:r>
      <w:r w:rsidRPr="003441E5">
        <w:t xml:space="preserve"> to the </w:t>
      </w:r>
      <w:r w:rsidR="002B0F95">
        <w:t>Panel conducting a Cost-Benefit Analysis and Review of Regulatory Arrangements for the National Broadband Network</w:t>
      </w:r>
    </w:p>
    <w:p w:rsidR="009F4B9D" w:rsidRPr="00226DE2" w:rsidRDefault="00207CC2" w:rsidP="00B14DFB">
      <w:pPr>
        <w:pStyle w:val="Subtitle"/>
        <w:rPr>
          <w:sz w:val="20"/>
          <w:szCs w:val="20"/>
        </w:rPr>
      </w:pPr>
      <w:r>
        <w:rPr>
          <w:sz w:val="20"/>
          <w:szCs w:val="20"/>
        </w:rPr>
        <w:t>March</w:t>
      </w:r>
      <w:r w:rsidR="00226DE2" w:rsidRPr="00226DE2">
        <w:rPr>
          <w:sz w:val="20"/>
          <w:szCs w:val="20"/>
        </w:rPr>
        <w:t xml:space="preserve"> 2014</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The Australian Communications Consumer Action Network (ACCAN) is the peak body that represents all consumers on communications issues including telecommunications, broadband and emerging new services. ACCAN provides a strong unified voice to industry and government</w:t>
      </w:r>
      <w:r w:rsidR="00EA6C56">
        <w:t xml:space="preserve"> and advocates</w:t>
      </w:r>
      <w:r w:rsidRPr="003441E5">
        <w:t xml:space="preserve">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rsidR="00C117B8">
        <w:t>work with</w:t>
      </w:r>
      <w:r w:rsidRPr="003441E5">
        <w:t xml:space="preserve"> its broad and diverse membership base to get a better deal for all communications consumers. </w:t>
      </w:r>
    </w:p>
    <w:p w:rsidR="009F4B9D" w:rsidRPr="003441E5" w:rsidRDefault="009F4B9D" w:rsidP="00B14DFB">
      <w:pPr>
        <w:pStyle w:val="About"/>
      </w:pPr>
      <w:r w:rsidRPr="003441E5">
        <w:t>Contact</w:t>
      </w:r>
    </w:p>
    <w:p w:rsidR="00226DE2" w:rsidRDefault="00226DE2" w:rsidP="00336046">
      <w:r>
        <w:t>Jonathan Gadir</w:t>
      </w:r>
    </w:p>
    <w:p w:rsidR="00336046" w:rsidRPr="003441E5" w:rsidRDefault="00226DE2" w:rsidP="00336046">
      <w:r>
        <w:t>Senior Adviser – Policy and Research</w:t>
      </w:r>
    </w:p>
    <w:p w:rsidR="009F4B9D"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rsidR="005A7975" w:rsidRPr="003441E5" w:rsidRDefault="005A7975" w:rsidP="00B14DFB"/>
    <w:p w:rsidR="00336806" w:rsidRDefault="00336806"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rPr>
          <w:b/>
          <w:u w:val="single"/>
        </w:rPr>
      </w:pPr>
    </w:p>
    <w:p w:rsidR="005A7975" w:rsidRPr="000D5B64" w:rsidRDefault="005A7975"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rPr>
          <w:b/>
          <w:u w:val="single"/>
        </w:rPr>
      </w:pPr>
      <w:r w:rsidRPr="000D5B64">
        <w:rPr>
          <w:b/>
          <w:u w:val="single"/>
        </w:rPr>
        <w:t>ACCAN’s Four Principles for Our Broadband Future</w:t>
      </w:r>
    </w:p>
    <w:p w:rsidR="005A7975" w:rsidRDefault="005A7975"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rPr>
          <w:b/>
        </w:rPr>
      </w:pPr>
    </w:p>
    <w:p w:rsidR="00336806" w:rsidRDefault="00336806"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rPr>
          <w:b/>
        </w:rPr>
      </w:pPr>
    </w:p>
    <w:p w:rsidR="005A7975" w:rsidRPr="000C5389" w:rsidRDefault="005A7975"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pPr>
      <w:proofErr w:type="gramStart"/>
      <w:r w:rsidRPr="000C5389">
        <w:rPr>
          <w:b/>
        </w:rPr>
        <w:t>Broadband for all.</w:t>
      </w:r>
      <w:proofErr w:type="gramEnd"/>
      <w:r w:rsidRPr="000C5389">
        <w:t xml:space="preserve"> Policies need to be developed to ensure high-</w:t>
      </w:r>
      <w:proofErr w:type="gramStart"/>
      <w:r w:rsidRPr="000C5389">
        <w:t>quality,</w:t>
      </w:r>
      <w:proofErr w:type="gramEnd"/>
      <w:r w:rsidRPr="000C5389">
        <w:t xml:space="preserve"> affordable broadband can be accessed by all Australians who want it. Industry and consumers should work together to address market shortcomings, particularly the needs of people with disabilities, and low-income and rural consumers.</w:t>
      </w:r>
    </w:p>
    <w:p w:rsidR="005A7975" w:rsidRPr="000C5389" w:rsidRDefault="005A7975"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pPr>
    </w:p>
    <w:p w:rsidR="005A7975" w:rsidRPr="000C5389" w:rsidRDefault="005A7975"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pPr>
      <w:r w:rsidRPr="00B617AB">
        <w:rPr>
          <w:b/>
        </w:rPr>
        <w:t>No consumer should be worse off</w:t>
      </w:r>
      <w:r w:rsidRPr="000C5389">
        <w:t xml:space="preserve"> during the transition and following the implementation of the National Broadband Network (NBN).</w:t>
      </w:r>
    </w:p>
    <w:p w:rsidR="005A7975" w:rsidRPr="000C5389" w:rsidRDefault="005A7975"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pPr>
    </w:p>
    <w:p w:rsidR="005A7975" w:rsidRPr="000C5389" w:rsidRDefault="005A7975"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pPr>
      <w:r w:rsidRPr="00B617AB">
        <w:rPr>
          <w:b/>
        </w:rPr>
        <w:t>Robust consumer protections</w:t>
      </w:r>
      <w:r w:rsidRPr="000C5389">
        <w:t xml:space="preserve"> and consumer engagement must be maintained. </w:t>
      </w:r>
    </w:p>
    <w:p w:rsidR="005A7975" w:rsidRPr="000C5389" w:rsidRDefault="005A7975"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pPr>
    </w:p>
    <w:p w:rsidR="005A7975" w:rsidRDefault="005A7975"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pPr>
      <w:r w:rsidRPr="000C5389">
        <w:t xml:space="preserve">Services need to be provided in </w:t>
      </w:r>
      <w:r w:rsidRPr="007B513E">
        <w:rPr>
          <w:b/>
        </w:rPr>
        <w:t>a competitive and fair market</w:t>
      </w:r>
      <w:r w:rsidRPr="000C5389">
        <w:t xml:space="preserve">. The Australian Competition and Consumer Commission (ACCC) must actively and pre-emptively intervene as required to prevent the development of market power or unfair practices. </w:t>
      </w:r>
    </w:p>
    <w:p w:rsidR="00336806" w:rsidRPr="000C5389" w:rsidRDefault="00336806" w:rsidP="005A7975">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ind w:left="720"/>
      </w:pPr>
    </w:p>
    <w:p w:rsidR="00226DE2" w:rsidRDefault="00226DE2" w:rsidP="00EC1696">
      <w:pPr>
        <w:rPr>
          <w:sz w:val="23"/>
        </w:rPr>
      </w:pPr>
    </w:p>
    <w:p w:rsidR="005A7975" w:rsidRDefault="005A7975" w:rsidP="005A7975">
      <w:pPr>
        <w:autoSpaceDE w:val="0"/>
        <w:autoSpaceDN w:val="0"/>
        <w:adjustRightInd w:val="0"/>
        <w:spacing w:before="0" w:beforeAutospacing="0" w:after="0" w:afterAutospacing="0"/>
      </w:pPr>
      <w:r>
        <w:lastRenderedPageBreak/>
        <w:t>ACCAN thanks the Panel for the opportunity to provide comment. We will address selected questions from the Framing Paper on which we are able to give input.</w:t>
      </w:r>
    </w:p>
    <w:p w:rsidR="005A7975" w:rsidRDefault="005A7975" w:rsidP="005A7975">
      <w:pPr>
        <w:autoSpaceDE w:val="0"/>
        <w:autoSpaceDN w:val="0"/>
        <w:adjustRightInd w:val="0"/>
        <w:spacing w:before="0" w:beforeAutospacing="0" w:after="0" w:afterAutospacing="0"/>
      </w:pPr>
    </w:p>
    <w:p w:rsidR="005A7975" w:rsidRDefault="005A7975" w:rsidP="005A7975">
      <w:pPr>
        <w:autoSpaceDE w:val="0"/>
        <w:autoSpaceDN w:val="0"/>
        <w:adjustRightInd w:val="0"/>
        <w:spacing w:before="0" w:beforeAutospacing="0" w:after="0" w:afterAutospacing="0"/>
      </w:pPr>
    </w:p>
    <w:p w:rsidR="005A7975" w:rsidRPr="003B24B4" w:rsidRDefault="005A7975" w:rsidP="003B24B4">
      <w:pPr>
        <w:pStyle w:val="Default"/>
        <w:pBdr>
          <w:top w:val="single" w:sz="4" w:space="1" w:color="auto"/>
          <w:left w:val="single" w:sz="4" w:space="4" w:color="auto"/>
          <w:bottom w:val="single" w:sz="4" w:space="1" w:color="auto"/>
          <w:right w:val="single" w:sz="4" w:space="4" w:color="auto"/>
        </w:pBdr>
        <w:shd w:val="pct12" w:color="auto" w:fill="auto"/>
        <w:rPr>
          <w:color w:val="3B3B3A"/>
          <w:sz w:val="22"/>
          <w:szCs w:val="22"/>
        </w:rPr>
      </w:pPr>
      <w:r w:rsidRPr="003B24B4">
        <w:rPr>
          <w:color w:val="3B3B3A"/>
          <w:sz w:val="22"/>
          <w:szCs w:val="22"/>
        </w:rPr>
        <w:t xml:space="preserve">What broader structural model or models for the industry should the panel consider? Why? Should the panel be considering significantly different industry scenarios to those outlined above? If so, what are those scenarios and why should they be considered? </w:t>
      </w:r>
    </w:p>
    <w:p w:rsidR="009E63B5" w:rsidRDefault="009E63B5" w:rsidP="009E63B5">
      <w:pPr>
        <w:pStyle w:val="Default"/>
        <w:rPr>
          <w:rFonts w:eastAsiaTheme="minorEastAsia" w:cstheme="minorBidi"/>
          <w:b/>
          <w:color w:val="auto"/>
          <w:sz w:val="22"/>
          <w:szCs w:val="22"/>
          <w:lang w:eastAsia="en-AU"/>
        </w:rPr>
      </w:pPr>
    </w:p>
    <w:p w:rsidR="00C75B4B" w:rsidRDefault="00C75B4B" w:rsidP="004C29ED">
      <w:pPr>
        <w:autoSpaceDE w:val="0"/>
        <w:autoSpaceDN w:val="0"/>
        <w:adjustRightInd w:val="0"/>
        <w:spacing w:before="0" w:beforeAutospacing="0" w:after="0" w:afterAutospacing="0"/>
      </w:pPr>
    </w:p>
    <w:p w:rsidR="00FD71C7" w:rsidRDefault="00FD71C7" w:rsidP="004C29ED">
      <w:pPr>
        <w:autoSpaceDE w:val="0"/>
        <w:autoSpaceDN w:val="0"/>
        <w:adjustRightInd w:val="0"/>
        <w:spacing w:before="0" w:beforeAutospacing="0" w:after="0" w:afterAutospacing="0"/>
      </w:pPr>
      <w:r>
        <w:t xml:space="preserve">ACCAN is satisfied that many of the structural questions raised by this Review have in </w:t>
      </w:r>
      <w:r w:rsidR="00F97945">
        <w:t xml:space="preserve">recent years been </w:t>
      </w:r>
      <w:r>
        <w:t xml:space="preserve">the subject of extensive </w:t>
      </w:r>
      <w:r w:rsidR="00B617AB">
        <w:t xml:space="preserve">debate </w:t>
      </w:r>
      <w:r>
        <w:t xml:space="preserve">and detailed industry consultations. The fundamental policy objectives </w:t>
      </w:r>
      <w:r w:rsidR="000C5389">
        <w:t>pursued</w:t>
      </w:r>
      <w:r w:rsidR="00F97945">
        <w:t xml:space="preserve"> by government with broad industry and consumer support</w:t>
      </w:r>
      <w:r w:rsidR="000C5389">
        <w:t xml:space="preserve"> since 200</w:t>
      </w:r>
      <w:r w:rsidR="00F97945">
        <w:t>9</w:t>
      </w:r>
      <w:r w:rsidR="00EA6C56">
        <w:t xml:space="preserve"> remain policy objectives that </w:t>
      </w:r>
      <w:r w:rsidR="00F14D12">
        <w:t>accord with</w:t>
      </w:r>
      <w:r w:rsidR="00EA6C56">
        <w:t xml:space="preserve"> ACCAN’s </w:t>
      </w:r>
      <w:r w:rsidR="00F14D12">
        <w:t>priorities</w:t>
      </w:r>
      <w:r w:rsidR="00EA6C56">
        <w:t xml:space="preserve">: </w:t>
      </w:r>
    </w:p>
    <w:p w:rsidR="00FD71C7" w:rsidRDefault="00FD71C7" w:rsidP="004C29ED">
      <w:pPr>
        <w:autoSpaceDE w:val="0"/>
        <w:autoSpaceDN w:val="0"/>
        <w:adjustRightInd w:val="0"/>
        <w:spacing w:before="0" w:beforeAutospacing="0" w:after="0" w:afterAutospacing="0"/>
      </w:pPr>
    </w:p>
    <w:p w:rsidR="00FD71C7" w:rsidRDefault="00FD71C7" w:rsidP="00FD71C7">
      <w:pPr>
        <w:pStyle w:val="ListParagraph"/>
        <w:numPr>
          <w:ilvl w:val="0"/>
          <w:numId w:val="34"/>
        </w:numPr>
        <w:autoSpaceDE w:val="0"/>
        <w:autoSpaceDN w:val="0"/>
        <w:adjustRightInd w:val="0"/>
        <w:spacing w:before="0" w:beforeAutospacing="0" w:after="0" w:afterAutospacing="0"/>
      </w:pPr>
      <w:r>
        <w:t>structural separation via progressive migration of end-users from Telstra’s network onto  high-speed wholesale</w:t>
      </w:r>
      <w:r w:rsidR="00EA6C56">
        <w:t>-</w:t>
      </w:r>
      <w:r>
        <w:t>only non-Telstra network</w:t>
      </w:r>
      <w:r w:rsidR="00F14D12">
        <w:t>s</w:t>
      </w:r>
      <w:r>
        <w:t>; and</w:t>
      </w:r>
    </w:p>
    <w:p w:rsidR="00C75B4B" w:rsidRDefault="00C75B4B" w:rsidP="00C75B4B">
      <w:pPr>
        <w:pStyle w:val="ListParagraph"/>
        <w:autoSpaceDE w:val="0"/>
        <w:autoSpaceDN w:val="0"/>
        <w:adjustRightInd w:val="0"/>
        <w:spacing w:before="0" w:beforeAutospacing="0" w:after="0" w:afterAutospacing="0"/>
      </w:pPr>
    </w:p>
    <w:p w:rsidR="00FD71C7" w:rsidRDefault="00FD71C7" w:rsidP="00FD71C7">
      <w:pPr>
        <w:pStyle w:val="ListParagraph"/>
        <w:numPr>
          <w:ilvl w:val="0"/>
          <w:numId w:val="34"/>
        </w:numPr>
        <w:autoSpaceDE w:val="0"/>
        <w:autoSpaceDN w:val="0"/>
        <w:adjustRightInd w:val="0"/>
        <w:spacing w:before="0" w:beforeAutospacing="0" w:after="0" w:afterAutospacing="0"/>
      </w:pPr>
      <w:proofErr w:type="gramStart"/>
      <w:r>
        <w:t>a</w:t>
      </w:r>
      <w:proofErr w:type="gramEnd"/>
      <w:r>
        <w:t xml:space="preserve"> technology upgrade of the broadband infrastructure to substantially resolve </w:t>
      </w:r>
      <w:r w:rsidR="007855BD">
        <w:t>non-urban</w:t>
      </w:r>
      <w:r>
        <w:t xml:space="preserve"> disadvantage, broadband black holes and patchy service quality across Australia.</w:t>
      </w:r>
    </w:p>
    <w:p w:rsidR="00FD71C7" w:rsidRDefault="00FD71C7" w:rsidP="00FD71C7">
      <w:pPr>
        <w:autoSpaceDE w:val="0"/>
        <w:autoSpaceDN w:val="0"/>
        <w:adjustRightInd w:val="0"/>
        <w:spacing w:before="0" w:beforeAutospacing="0" w:after="0" w:afterAutospacing="0"/>
      </w:pPr>
    </w:p>
    <w:p w:rsidR="009A5F29" w:rsidRDefault="009A5F29" w:rsidP="009A5F29">
      <w:pPr>
        <w:autoSpaceDE w:val="0"/>
        <w:autoSpaceDN w:val="0"/>
        <w:adjustRightInd w:val="0"/>
        <w:spacing w:before="0" w:beforeAutospacing="0" w:after="0" w:afterAutospacing="0"/>
      </w:pPr>
      <w:r>
        <w:t>The pursuit of these goals by government is ultimately about serving the interests of consumers. The consumer interest needs to remain the centre of policy focus, and we need to be mindful that</w:t>
      </w:r>
      <w:r w:rsidR="007A76B6">
        <w:t xml:space="preserve"> satisfying particular industry</w:t>
      </w:r>
      <w:r>
        <w:t xml:space="preserve"> </w:t>
      </w:r>
      <w:r w:rsidR="007A76B6">
        <w:t>interests does not become a goal in itself which displaces the focus on the needs of consumers.</w:t>
      </w:r>
    </w:p>
    <w:p w:rsidR="009A5F29" w:rsidRDefault="009A5F29" w:rsidP="00DF7782">
      <w:pPr>
        <w:autoSpaceDE w:val="0"/>
        <w:autoSpaceDN w:val="0"/>
        <w:adjustRightInd w:val="0"/>
        <w:spacing w:before="0" w:beforeAutospacing="0" w:after="0" w:afterAutospacing="0"/>
      </w:pPr>
    </w:p>
    <w:p w:rsidR="00DF7782" w:rsidRDefault="00957246" w:rsidP="00DF7782">
      <w:pPr>
        <w:autoSpaceDE w:val="0"/>
        <w:autoSpaceDN w:val="0"/>
        <w:adjustRightInd w:val="0"/>
        <w:spacing w:before="0" w:beforeAutospacing="0" w:after="0" w:afterAutospacing="0"/>
      </w:pPr>
      <w:r>
        <w:t xml:space="preserve">As the </w:t>
      </w:r>
      <w:r w:rsidR="00D65EF7">
        <w:t>Framing Paper</w:t>
      </w:r>
      <w:r>
        <w:t xml:space="preserve"> </w:t>
      </w:r>
      <w:r w:rsidR="00D65EF7">
        <w:t>r</w:t>
      </w:r>
      <w:r>
        <w:t>aise</w:t>
      </w:r>
      <w:r w:rsidR="00D65EF7">
        <w:t>s</w:t>
      </w:r>
      <w:r>
        <w:t xml:space="preserve"> </w:t>
      </w:r>
      <w:r w:rsidR="00D65EF7">
        <w:t xml:space="preserve">a variety of </w:t>
      </w:r>
      <w:r>
        <w:t>questions regarding non-NBN Co</w:t>
      </w:r>
      <w:r w:rsidR="00D65EF7">
        <w:t xml:space="preserve"> networks, w</w:t>
      </w:r>
      <w:r>
        <w:t xml:space="preserve">e </w:t>
      </w:r>
      <w:r w:rsidR="00D65EF7">
        <w:t>wish to record our</w:t>
      </w:r>
      <w:r>
        <w:t xml:space="preserve"> </w:t>
      </w:r>
      <w:r w:rsidR="00D65EF7">
        <w:t xml:space="preserve">general </w:t>
      </w:r>
      <w:r>
        <w:t>concern at the additional complexity</w:t>
      </w:r>
      <w:r w:rsidR="009A5F29">
        <w:t xml:space="preserve"> that would be</w:t>
      </w:r>
      <w:r>
        <w:t xml:space="preserve"> introduced by </w:t>
      </w:r>
      <w:r w:rsidR="009A5F29">
        <w:t>the expansion of</w:t>
      </w:r>
      <w:r w:rsidR="00D65EF7">
        <w:t xml:space="preserve"> </w:t>
      </w:r>
      <w:r>
        <w:t>non-NBN Co</w:t>
      </w:r>
      <w:r w:rsidR="00D65EF7">
        <w:t xml:space="preserve"> </w:t>
      </w:r>
      <w:r w:rsidR="00C117B8">
        <w:t xml:space="preserve">fixed-line </w:t>
      </w:r>
      <w:r w:rsidR="00D65EF7">
        <w:t xml:space="preserve">wholesale </w:t>
      </w:r>
      <w:r>
        <w:t>networks</w:t>
      </w:r>
      <w:r w:rsidR="00790366">
        <w:t xml:space="preserve"> </w:t>
      </w:r>
      <w:r w:rsidR="00D65EF7">
        <w:t xml:space="preserve">particularly </w:t>
      </w:r>
      <w:r w:rsidR="00E22309">
        <w:t>in achieving</w:t>
      </w:r>
      <w:r w:rsidR="00D65EF7">
        <w:t xml:space="preserve"> the</w:t>
      </w:r>
      <w:r>
        <w:t xml:space="preserve"> </w:t>
      </w:r>
      <w:r w:rsidR="00D65EF7">
        <w:t xml:space="preserve">objective of </w:t>
      </w:r>
      <w:r>
        <w:t>structural separation</w:t>
      </w:r>
      <w:r w:rsidR="005373F5">
        <w:t xml:space="preserve"> as currently envisaged by Telstra’s S</w:t>
      </w:r>
      <w:r w:rsidR="009A5F29">
        <w:t xml:space="preserve">tructural </w:t>
      </w:r>
      <w:r w:rsidR="005373F5">
        <w:t>S</w:t>
      </w:r>
      <w:r w:rsidR="009A5F29">
        <w:t xml:space="preserve">eparation </w:t>
      </w:r>
      <w:r w:rsidR="005373F5">
        <w:t>U</w:t>
      </w:r>
      <w:r w:rsidR="009A5F29">
        <w:t>ndertaking</w:t>
      </w:r>
      <w:r>
        <w:t>.</w:t>
      </w:r>
    </w:p>
    <w:p w:rsidR="003B24B4" w:rsidRDefault="003B24B4" w:rsidP="00DF7782">
      <w:pPr>
        <w:autoSpaceDE w:val="0"/>
        <w:autoSpaceDN w:val="0"/>
        <w:adjustRightInd w:val="0"/>
        <w:spacing w:before="0" w:beforeAutospacing="0" w:after="0" w:afterAutospacing="0"/>
      </w:pPr>
    </w:p>
    <w:p w:rsidR="003B24B4" w:rsidRDefault="003B24B4" w:rsidP="00DF7782">
      <w:pPr>
        <w:autoSpaceDE w:val="0"/>
        <w:autoSpaceDN w:val="0"/>
        <w:adjustRightInd w:val="0"/>
        <w:spacing w:before="0" w:beforeAutospacing="0" w:after="0" w:afterAutospacing="0"/>
        <w:rPr>
          <w:rFonts w:eastAsiaTheme="minorHAnsi" w:cs="Calibri"/>
          <w:b/>
          <w:color w:val="000000"/>
          <w:sz w:val="24"/>
          <w:szCs w:val="24"/>
          <w:lang w:eastAsia="en-US"/>
        </w:rPr>
      </w:pPr>
    </w:p>
    <w:p w:rsidR="003B24B4" w:rsidRPr="00957246" w:rsidRDefault="003B24B4" w:rsidP="00DF7782">
      <w:pPr>
        <w:autoSpaceDE w:val="0"/>
        <w:autoSpaceDN w:val="0"/>
        <w:adjustRightInd w:val="0"/>
        <w:spacing w:before="0" w:beforeAutospacing="0" w:after="0" w:afterAutospacing="0"/>
        <w:rPr>
          <w:rFonts w:eastAsiaTheme="minorHAnsi" w:cs="Calibri"/>
          <w:b/>
          <w:color w:val="000000"/>
          <w:sz w:val="24"/>
          <w:szCs w:val="24"/>
          <w:lang w:eastAsia="en-US"/>
        </w:rPr>
      </w:pPr>
    </w:p>
    <w:p w:rsidR="00DF7782" w:rsidRPr="003B24B4" w:rsidRDefault="00DF7782" w:rsidP="003B24B4">
      <w:pPr>
        <w:pStyle w:val="Default"/>
        <w:pBdr>
          <w:top w:val="single" w:sz="4" w:space="1" w:color="auto"/>
          <w:left w:val="single" w:sz="4" w:space="4" w:color="auto"/>
          <w:bottom w:val="single" w:sz="4" w:space="1" w:color="auto"/>
          <w:right w:val="single" w:sz="4" w:space="4" w:color="auto"/>
        </w:pBdr>
        <w:shd w:val="pct12" w:color="auto" w:fill="auto"/>
        <w:rPr>
          <w:color w:val="3B3B3A"/>
          <w:sz w:val="22"/>
          <w:szCs w:val="22"/>
        </w:rPr>
      </w:pPr>
      <w:r w:rsidRPr="003B24B4">
        <w:rPr>
          <w:color w:val="3B3B3A"/>
          <w:sz w:val="22"/>
          <w:szCs w:val="22"/>
        </w:rPr>
        <w:t xml:space="preserve">Should the panel consider and adopt working assumptions other than the ones outlined on page 5 above? </w:t>
      </w:r>
    </w:p>
    <w:p w:rsidR="004C29ED" w:rsidRPr="004C29ED" w:rsidRDefault="004C29ED" w:rsidP="004C29ED">
      <w:pPr>
        <w:autoSpaceDE w:val="0"/>
        <w:autoSpaceDN w:val="0"/>
        <w:adjustRightInd w:val="0"/>
        <w:spacing w:before="0" w:beforeAutospacing="0" w:after="0" w:afterAutospacing="0"/>
      </w:pPr>
    </w:p>
    <w:p w:rsidR="009E63B5" w:rsidRPr="00DF7782" w:rsidRDefault="00DF7782" w:rsidP="009E63B5">
      <w:pPr>
        <w:pStyle w:val="Default"/>
        <w:rPr>
          <w:rFonts w:eastAsiaTheme="minorEastAsia" w:cstheme="minorBidi"/>
          <w:color w:val="auto"/>
          <w:sz w:val="22"/>
          <w:szCs w:val="22"/>
          <w:lang w:eastAsia="en-AU"/>
        </w:rPr>
      </w:pPr>
      <w:r>
        <w:rPr>
          <w:rFonts w:eastAsiaTheme="minorEastAsia" w:cstheme="minorBidi"/>
          <w:color w:val="auto"/>
          <w:sz w:val="22"/>
          <w:szCs w:val="22"/>
          <w:lang w:eastAsia="en-AU"/>
        </w:rPr>
        <w:t>ACCAN agrees with all the working assumptions outlined and considers them sufficient.</w:t>
      </w:r>
    </w:p>
    <w:p w:rsidR="00DF7782" w:rsidRDefault="00DF7782" w:rsidP="009E63B5">
      <w:pPr>
        <w:pStyle w:val="Default"/>
        <w:rPr>
          <w:rFonts w:eastAsiaTheme="minorEastAsia" w:cstheme="minorBidi"/>
          <w:b/>
          <w:color w:val="auto"/>
          <w:sz w:val="22"/>
          <w:szCs w:val="22"/>
          <w:lang w:eastAsia="en-AU"/>
        </w:rPr>
      </w:pPr>
    </w:p>
    <w:p w:rsidR="003B24B4" w:rsidRDefault="003B24B4" w:rsidP="009E63B5">
      <w:pPr>
        <w:pStyle w:val="Default"/>
        <w:rPr>
          <w:rFonts w:eastAsiaTheme="minorEastAsia" w:cstheme="minorBidi"/>
          <w:b/>
          <w:color w:val="auto"/>
          <w:sz w:val="22"/>
          <w:szCs w:val="22"/>
          <w:lang w:eastAsia="en-AU"/>
        </w:rPr>
      </w:pPr>
    </w:p>
    <w:p w:rsidR="009E63B5" w:rsidRDefault="009E63B5" w:rsidP="003B24B4">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3B24B4">
        <w:rPr>
          <w:color w:val="3B3B3A"/>
          <w:sz w:val="22"/>
          <w:szCs w:val="22"/>
        </w:rPr>
        <w:t xml:space="preserve">Should NBN Co continue to be subject to wholesale-only (structural separation) and open access requirements? If so, to what extent and under what circumstances, if any, should those obligations apply to other market participants? </w:t>
      </w:r>
    </w:p>
    <w:p w:rsidR="00AC60B9" w:rsidRPr="003B24B4" w:rsidRDefault="00AC60B9" w:rsidP="003B24B4">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p>
    <w:p w:rsidR="009E63B5" w:rsidRPr="003B24B4" w:rsidRDefault="00EA6C56" w:rsidP="003B24B4">
      <w:pPr>
        <w:pStyle w:val="Default"/>
        <w:pBdr>
          <w:top w:val="single" w:sz="4" w:space="1" w:color="auto"/>
          <w:left w:val="single" w:sz="4" w:space="4" w:color="auto"/>
          <w:bottom w:val="single" w:sz="4" w:space="3" w:color="auto"/>
          <w:right w:val="single" w:sz="4" w:space="4" w:color="auto"/>
        </w:pBdr>
        <w:shd w:val="pct12" w:color="auto" w:fill="auto"/>
        <w:rPr>
          <w:rFonts w:eastAsiaTheme="minorEastAsia" w:cstheme="minorBidi"/>
          <w:b/>
          <w:color w:val="auto"/>
          <w:sz w:val="22"/>
          <w:szCs w:val="22"/>
          <w:lang w:eastAsia="en-AU"/>
        </w:rPr>
      </w:pPr>
      <w:r w:rsidRPr="003B24B4">
        <w:rPr>
          <w:color w:val="3B3B3A"/>
          <w:sz w:val="22"/>
          <w:szCs w:val="22"/>
        </w:rPr>
        <w:t xml:space="preserve">Were it not feasible or sustainable in a competitive market for NBN Co to earn sufficient revenue to enable it to cross-subsidise uneconomic customers, how should services to those customers be provided and funded? </w:t>
      </w:r>
    </w:p>
    <w:p w:rsidR="00EA6C56" w:rsidRDefault="00EA6C56" w:rsidP="009E63B5">
      <w:pPr>
        <w:pStyle w:val="Default"/>
        <w:rPr>
          <w:rFonts w:eastAsiaTheme="minorEastAsia" w:cstheme="minorBidi"/>
          <w:b/>
          <w:color w:val="auto"/>
          <w:sz w:val="22"/>
          <w:szCs w:val="22"/>
          <w:lang w:eastAsia="en-AU"/>
        </w:rPr>
      </w:pPr>
    </w:p>
    <w:p w:rsidR="003B24B4" w:rsidRDefault="003B24B4" w:rsidP="00290C14">
      <w:pPr>
        <w:pStyle w:val="Default"/>
        <w:rPr>
          <w:rFonts w:eastAsiaTheme="minorEastAsia" w:cstheme="minorBidi"/>
          <w:b/>
          <w:color w:val="auto"/>
          <w:sz w:val="22"/>
          <w:szCs w:val="22"/>
          <w:lang w:eastAsia="en-AU"/>
        </w:rPr>
      </w:pPr>
    </w:p>
    <w:p w:rsidR="003B24B4" w:rsidRDefault="003B24B4" w:rsidP="00290C14">
      <w:pPr>
        <w:pStyle w:val="Default"/>
        <w:rPr>
          <w:rFonts w:eastAsiaTheme="minorEastAsia" w:cstheme="minorBidi"/>
          <w:b/>
          <w:color w:val="auto"/>
          <w:sz w:val="22"/>
          <w:szCs w:val="22"/>
          <w:lang w:eastAsia="en-AU"/>
        </w:rPr>
      </w:pPr>
    </w:p>
    <w:p w:rsidR="00290C14" w:rsidRPr="00FD2E6D" w:rsidRDefault="00EA6C56" w:rsidP="00290C14">
      <w:pPr>
        <w:pStyle w:val="Default"/>
        <w:rPr>
          <w:rFonts w:eastAsiaTheme="minorEastAsia" w:cstheme="minorBidi"/>
          <w:b/>
          <w:color w:val="auto"/>
          <w:sz w:val="22"/>
          <w:szCs w:val="22"/>
          <w:lang w:eastAsia="en-AU"/>
        </w:rPr>
      </w:pPr>
      <w:r>
        <w:rPr>
          <w:rFonts w:eastAsiaTheme="minorEastAsia" w:cstheme="minorBidi"/>
          <w:b/>
          <w:color w:val="auto"/>
          <w:sz w:val="22"/>
          <w:szCs w:val="22"/>
          <w:lang w:eastAsia="en-AU"/>
        </w:rPr>
        <w:t>Wholesale rules supporting equity for</w:t>
      </w:r>
      <w:r w:rsidR="00FD2E6D">
        <w:rPr>
          <w:rFonts w:eastAsiaTheme="minorEastAsia" w:cstheme="minorBidi"/>
          <w:b/>
          <w:color w:val="auto"/>
          <w:sz w:val="22"/>
          <w:szCs w:val="22"/>
          <w:lang w:eastAsia="en-AU"/>
        </w:rPr>
        <w:t xml:space="preserve"> </w:t>
      </w:r>
      <w:r w:rsidR="007855BD">
        <w:rPr>
          <w:rFonts w:eastAsiaTheme="minorEastAsia" w:cstheme="minorBidi"/>
          <w:b/>
          <w:color w:val="auto"/>
          <w:sz w:val="22"/>
          <w:szCs w:val="22"/>
          <w:lang w:eastAsia="en-AU"/>
        </w:rPr>
        <w:t>non-urban</w:t>
      </w:r>
      <w:r w:rsidR="00FD2E6D">
        <w:rPr>
          <w:rFonts w:eastAsiaTheme="minorEastAsia" w:cstheme="minorBidi"/>
          <w:b/>
          <w:color w:val="auto"/>
          <w:sz w:val="22"/>
          <w:szCs w:val="22"/>
          <w:lang w:eastAsia="en-AU"/>
        </w:rPr>
        <w:t xml:space="preserve"> Australia</w:t>
      </w:r>
    </w:p>
    <w:p w:rsidR="00290C14" w:rsidRPr="00290C14" w:rsidRDefault="00290C14" w:rsidP="00290C14">
      <w:pPr>
        <w:pStyle w:val="Default"/>
        <w:rPr>
          <w:rFonts w:eastAsiaTheme="minorEastAsia" w:cstheme="minorBidi"/>
          <w:color w:val="auto"/>
          <w:sz w:val="22"/>
          <w:szCs w:val="22"/>
          <w:lang w:eastAsia="en-AU"/>
        </w:rPr>
      </w:pPr>
    </w:p>
    <w:p w:rsidR="00FD2E6D" w:rsidRDefault="00FD2E6D" w:rsidP="00FD2E6D">
      <w:pPr>
        <w:autoSpaceDE w:val="0"/>
        <w:autoSpaceDN w:val="0"/>
        <w:adjustRightInd w:val="0"/>
        <w:spacing w:before="0" w:beforeAutospacing="0" w:after="0" w:afterAutospacing="0"/>
      </w:pPr>
      <w:r w:rsidRPr="00290C14">
        <w:t>ACCAN</w:t>
      </w:r>
      <w:r>
        <w:t xml:space="preserve">’s commitment is to </w:t>
      </w:r>
      <w:r w:rsidRPr="00FD2E6D">
        <w:t>geographical equity</w:t>
      </w:r>
      <w:r>
        <w:t xml:space="preserve"> and ensuring consumers in </w:t>
      </w:r>
      <w:r w:rsidR="00C117B8">
        <w:t>non-urban</w:t>
      </w:r>
      <w:r>
        <w:t xml:space="preserve"> Australia</w:t>
      </w:r>
      <w:r w:rsidRPr="00290C14">
        <w:t xml:space="preserve"> </w:t>
      </w:r>
      <w:r>
        <w:t>benefit from high-speed broadband to the maximum possible extent</w:t>
      </w:r>
      <w:r w:rsidR="00EE619A">
        <w:t xml:space="preserve"> and as soon as practically possible</w:t>
      </w:r>
      <w:r>
        <w:t xml:space="preserve">. </w:t>
      </w:r>
    </w:p>
    <w:p w:rsidR="00FD2E6D" w:rsidRDefault="00FD2E6D" w:rsidP="00290C14">
      <w:pPr>
        <w:pStyle w:val="Default"/>
        <w:rPr>
          <w:rFonts w:eastAsiaTheme="minorEastAsia" w:cstheme="minorBidi"/>
          <w:color w:val="auto"/>
          <w:sz w:val="22"/>
          <w:szCs w:val="22"/>
          <w:lang w:eastAsia="en-AU"/>
        </w:rPr>
      </w:pPr>
    </w:p>
    <w:p w:rsidR="006555F3" w:rsidRDefault="003A5097" w:rsidP="00290C14">
      <w:pPr>
        <w:pStyle w:val="Default"/>
        <w:rPr>
          <w:rFonts w:eastAsiaTheme="minorEastAsia" w:cstheme="minorBidi"/>
          <w:color w:val="auto"/>
          <w:sz w:val="22"/>
          <w:szCs w:val="22"/>
          <w:lang w:eastAsia="en-AU"/>
        </w:rPr>
      </w:pPr>
      <w:r>
        <w:rPr>
          <w:rFonts w:eastAsiaTheme="minorEastAsia" w:cstheme="minorBidi"/>
          <w:color w:val="auto"/>
          <w:sz w:val="22"/>
          <w:szCs w:val="22"/>
          <w:lang w:eastAsia="en-AU"/>
        </w:rPr>
        <w:t xml:space="preserve">During the first three years of NBN implementation, </w:t>
      </w:r>
      <w:r w:rsidR="00290C14" w:rsidRPr="00290C14">
        <w:rPr>
          <w:rFonts w:eastAsiaTheme="minorEastAsia" w:cstheme="minorBidi"/>
          <w:color w:val="auto"/>
          <w:sz w:val="22"/>
          <w:szCs w:val="22"/>
          <w:lang w:eastAsia="en-AU"/>
        </w:rPr>
        <w:t>ACCAN</w:t>
      </w:r>
      <w:r w:rsidR="00FD2E6D">
        <w:rPr>
          <w:rFonts w:eastAsiaTheme="minorEastAsia" w:cstheme="minorBidi"/>
          <w:color w:val="auto"/>
          <w:sz w:val="22"/>
          <w:szCs w:val="22"/>
          <w:lang w:eastAsia="en-AU"/>
        </w:rPr>
        <w:t xml:space="preserve">’s </w:t>
      </w:r>
      <w:r w:rsidR="00290C14" w:rsidRPr="00290C14">
        <w:rPr>
          <w:rFonts w:eastAsiaTheme="minorEastAsia" w:cstheme="minorBidi"/>
          <w:color w:val="auto"/>
          <w:sz w:val="22"/>
          <w:szCs w:val="22"/>
          <w:lang w:eastAsia="en-AU"/>
        </w:rPr>
        <w:t xml:space="preserve">support </w:t>
      </w:r>
      <w:r w:rsidR="00FD2E6D">
        <w:rPr>
          <w:rFonts w:eastAsiaTheme="minorEastAsia" w:cstheme="minorBidi"/>
          <w:color w:val="auto"/>
          <w:sz w:val="22"/>
          <w:szCs w:val="22"/>
          <w:lang w:eastAsia="en-AU"/>
        </w:rPr>
        <w:t xml:space="preserve">for </w:t>
      </w:r>
      <w:r w:rsidR="006555F3">
        <w:rPr>
          <w:rFonts w:eastAsiaTheme="minorEastAsia" w:cstheme="minorBidi"/>
          <w:color w:val="auto"/>
          <w:sz w:val="22"/>
          <w:szCs w:val="22"/>
          <w:lang w:eastAsia="en-AU"/>
        </w:rPr>
        <w:t xml:space="preserve">uniform national wholesale pricing was based on it being government’s chosen method of supporting broadband equity for </w:t>
      </w:r>
      <w:r w:rsidR="007855BD">
        <w:rPr>
          <w:rFonts w:eastAsiaTheme="minorEastAsia" w:cstheme="minorBidi"/>
          <w:color w:val="auto"/>
          <w:sz w:val="22"/>
          <w:szCs w:val="22"/>
          <w:lang w:eastAsia="en-AU"/>
        </w:rPr>
        <w:t>non-urban</w:t>
      </w:r>
      <w:r w:rsidR="006555F3">
        <w:rPr>
          <w:rFonts w:eastAsiaTheme="minorEastAsia" w:cstheme="minorBidi"/>
          <w:color w:val="auto"/>
          <w:sz w:val="22"/>
          <w:szCs w:val="22"/>
          <w:lang w:eastAsia="en-AU"/>
        </w:rPr>
        <w:t xml:space="preserve"> Australia. </w:t>
      </w:r>
      <w:r w:rsidR="005608B0">
        <w:rPr>
          <w:rFonts w:eastAsiaTheme="minorEastAsia" w:cstheme="minorBidi"/>
          <w:color w:val="auto"/>
          <w:sz w:val="22"/>
          <w:szCs w:val="22"/>
          <w:lang w:eastAsia="en-AU"/>
        </w:rPr>
        <w:t>ACCAN was of the view that although this model would ensure broadband was available to more Australians it would not solve all affordability concerns across the community.</w:t>
      </w:r>
    </w:p>
    <w:p w:rsidR="006555F3" w:rsidRDefault="006555F3" w:rsidP="00290C14">
      <w:pPr>
        <w:pStyle w:val="Default"/>
        <w:rPr>
          <w:rFonts w:eastAsiaTheme="minorEastAsia" w:cstheme="minorBidi"/>
          <w:color w:val="auto"/>
          <w:sz w:val="22"/>
          <w:szCs w:val="22"/>
          <w:lang w:eastAsia="en-AU"/>
        </w:rPr>
      </w:pPr>
    </w:p>
    <w:p w:rsidR="00290C14" w:rsidRPr="00290C14" w:rsidRDefault="006555F3" w:rsidP="00290C14">
      <w:pPr>
        <w:pStyle w:val="Default"/>
        <w:rPr>
          <w:rFonts w:eastAsiaTheme="minorEastAsia" w:cstheme="minorBidi"/>
          <w:color w:val="auto"/>
          <w:sz w:val="22"/>
          <w:szCs w:val="22"/>
          <w:lang w:eastAsia="en-AU"/>
        </w:rPr>
      </w:pPr>
      <w:r>
        <w:rPr>
          <w:rFonts w:eastAsiaTheme="minorEastAsia" w:cstheme="minorBidi"/>
          <w:color w:val="auto"/>
          <w:sz w:val="22"/>
          <w:szCs w:val="22"/>
          <w:lang w:eastAsia="en-AU"/>
        </w:rPr>
        <w:t xml:space="preserve">In turn, ACCAN’s support for </w:t>
      </w:r>
      <w:r w:rsidR="00D67549">
        <w:rPr>
          <w:rFonts w:eastAsiaTheme="minorEastAsia" w:cstheme="minorBidi"/>
          <w:color w:val="auto"/>
          <w:sz w:val="22"/>
          <w:szCs w:val="22"/>
          <w:lang w:eastAsia="en-AU"/>
        </w:rPr>
        <w:t>the level playing field arrangements (‘</w:t>
      </w:r>
      <w:r w:rsidR="00290C14" w:rsidRPr="00290C14">
        <w:rPr>
          <w:rFonts w:eastAsiaTheme="minorEastAsia" w:cstheme="minorBidi"/>
          <w:color w:val="auto"/>
          <w:sz w:val="22"/>
          <w:szCs w:val="22"/>
          <w:lang w:eastAsia="en-AU"/>
        </w:rPr>
        <w:t>anti-cherry picking</w:t>
      </w:r>
      <w:r w:rsidR="00D67549">
        <w:rPr>
          <w:rFonts w:eastAsiaTheme="minorEastAsia" w:cstheme="minorBidi"/>
          <w:color w:val="auto"/>
          <w:sz w:val="22"/>
          <w:szCs w:val="22"/>
          <w:lang w:eastAsia="en-AU"/>
        </w:rPr>
        <w:t>’</w:t>
      </w:r>
      <w:r w:rsidR="00290C14" w:rsidRPr="00290C14">
        <w:rPr>
          <w:rFonts w:eastAsiaTheme="minorEastAsia" w:cstheme="minorBidi"/>
          <w:color w:val="auto"/>
          <w:sz w:val="22"/>
          <w:szCs w:val="22"/>
          <w:lang w:eastAsia="en-AU"/>
        </w:rPr>
        <w:t xml:space="preserve"> provisions</w:t>
      </w:r>
      <w:r w:rsidR="00D67549">
        <w:rPr>
          <w:rFonts w:eastAsiaTheme="minorEastAsia" w:cstheme="minorBidi"/>
          <w:color w:val="auto"/>
          <w:sz w:val="22"/>
          <w:szCs w:val="22"/>
          <w:lang w:eastAsia="en-AU"/>
        </w:rPr>
        <w:t>)</w:t>
      </w:r>
      <w:r w:rsidR="00290C14" w:rsidRPr="00290C14">
        <w:rPr>
          <w:rFonts w:eastAsiaTheme="minorEastAsia" w:cstheme="minorBidi"/>
          <w:color w:val="auto"/>
          <w:sz w:val="22"/>
          <w:szCs w:val="22"/>
          <w:lang w:eastAsia="en-AU"/>
        </w:rPr>
        <w:t xml:space="preserve"> </w:t>
      </w:r>
      <w:r w:rsidR="007855BD">
        <w:rPr>
          <w:rFonts w:eastAsiaTheme="minorEastAsia" w:cstheme="minorBidi"/>
          <w:color w:val="auto"/>
          <w:sz w:val="22"/>
          <w:szCs w:val="22"/>
          <w:lang w:eastAsia="en-AU"/>
        </w:rPr>
        <w:t xml:space="preserve">inserted in the </w:t>
      </w:r>
      <w:r w:rsidR="00734A51">
        <w:rPr>
          <w:rFonts w:eastAsiaTheme="minorEastAsia" w:cstheme="minorBidi"/>
          <w:color w:val="auto"/>
          <w:sz w:val="22"/>
          <w:szCs w:val="22"/>
          <w:lang w:eastAsia="en-AU"/>
        </w:rPr>
        <w:t>Telecommunications Act</w:t>
      </w:r>
      <w:r w:rsidR="00290C14" w:rsidRPr="00290C14">
        <w:rPr>
          <w:rFonts w:eastAsiaTheme="minorEastAsia" w:cstheme="minorBidi"/>
          <w:color w:val="auto"/>
          <w:sz w:val="22"/>
          <w:szCs w:val="22"/>
          <w:lang w:eastAsia="en-AU"/>
        </w:rPr>
        <w:t xml:space="preserve"> </w:t>
      </w:r>
      <w:r w:rsidR="007855BD">
        <w:rPr>
          <w:rFonts w:eastAsiaTheme="minorEastAsia" w:cstheme="minorBidi"/>
          <w:color w:val="auto"/>
          <w:sz w:val="22"/>
          <w:szCs w:val="22"/>
          <w:lang w:eastAsia="en-AU"/>
        </w:rPr>
        <w:t>in 2011 was</w:t>
      </w:r>
      <w:r w:rsidR="00290C14" w:rsidRPr="00290C14">
        <w:rPr>
          <w:rFonts w:eastAsiaTheme="minorEastAsia" w:cstheme="minorBidi"/>
          <w:color w:val="auto"/>
          <w:sz w:val="22"/>
          <w:szCs w:val="22"/>
          <w:lang w:eastAsia="en-AU"/>
        </w:rPr>
        <w:t xml:space="preserve"> premised on government arguments</w:t>
      </w:r>
      <w:r w:rsidR="007855BD">
        <w:rPr>
          <w:rFonts w:eastAsiaTheme="minorEastAsia" w:cstheme="minorBidi"/>
          <w:color w:val="auto"/>
          <w:sz w:val="22"/>
          <w:szCs w:val="22"/>
          <w:lang w:eastAsia="en-AU"/>
        </w:rPr>
        <w:t xml:space="preserve"> at the time</w:t>
      </w:r>
      <w:r w:rsidR="00290C14" w:rsidRPr="00290C14">
        <w:rPr>
          <w:rFonts w:eastAsiaTheme="minorEastAsia" w:cstheme="minorBidi"/>
          <w:color w:val="auto"/>
          <w:sz w:val="22"/>
          <w:szCs w:val="22"/>
          <w:lang w:eastAsia="en-AU"/>
        </w:rPr>
        <w:t xml:space="preserve"> that such rules are required to prevent other firms competing with NBN Co selectively in the lowest cost, highest return areas</w:t>
      </w:r>
      <w:r w:rsidR="00FD2E6D">
        <w:rPr>
          <w:rFonts w:eastAsiaTheme="minorEastAsia" w:cstheme="minorBidi"/>
          <w:color w:val="auto"/>
          <w:sz w:val="22"/>
          <w:szCs w:val="22"/>
          <w:lang w:eastAsia="en-AU"/>
        </w:rPr>
        <w:t>.</w:t>
      </w:r>
      <w:r w:rsidR="00290C14" w:rsidRPr="00290C14">
        <w:rPr>
          <w:rFonts w:eastAsiaTheme="minorEastAsia" w:cstheme="minorBidi"/>
          <w:color w:val="auto"/>
          <w:sz w:val="22"/>
          <w:szCs w:val="22"/>
          <w:lang w:eastAsia="en-AU"/>
        </w:rPr>
        <w:t xml:space="preserve"> </w:t>
      </w:r>
      <w:r w:rsidR="00FD2E6D">
        <w:rPr>
          <w:rFonts w:eastAsiaTheme="minorEastAsia" w:cstheme="minorBidi"/>
          <w:color w:val="auto"/>
          <w:sz w:val="22"/>
          <w:szCs w:val="22"/>
          <w:lang w:eastAsia="en-AU"/>
        </w:rPr>
        <w:t>Government</w:t>
      </w:r>
      <w:r w:rsidR="00C75B4B">
        <w:rPr>
          <w:rFonts w:eastAsiaTheme="minorEastAsia" w:cstheme="minorBidi"/>
          <w:color w:val="auto"/>
          <w:sz w:val="22"/>
          <w:szCs w:val="22"/>
          <w:lang w:eastAsia="en-AU"/>
        </w:rPr>
        <w:t xml:space="preserve"> </w:t>
      </w:r>
      <w:r w:rsidR="00FD2E6D">
        <w:rPr>
          <w:rFonts w:eastAsiaTheme="minorEastAsia" w:cstheme="minorBidi"/>
          <w:color w:val="auto"/>
          <w:sz w:val="22"/>
          <w:szCs w:val="22"/>
          <w:lang w:eastAsia="en-AU"/>
        </w:rPr>
        <w:t>has</w:t>
      </w:r>
      <w:r w:rsidR="00EA6C56">
        <w:rPr>
          <w:rFonts w:eastAsiaTheme="minorEastAsia" w:cstheme="minorBidi"/>
          <w:color w:val="auto"/>
          <w:sz w:val="22"/>
          <w:szCs w:val="22"/>
          <w:lang w:eastAsia="en-AU"/>
        </w:rPr>
        <w:t xml:space="preserve"> in the past</w:t>
      </w:r>
      <w:r w:rsidR="00FD2E6D">
        <w:rPr>
          <w:rFonts w:eastAsiaTheme="minorEastAsia" w:cstheme="minorBidi"/>
          <w:color w:val="auto"/>
          <w:sz w:val="22"/>
          <w:szCs w:val="22"/>
          <w:lang w:eastAsia="en-AU"/>
        </w:rPr>
        <w:t xml:space="preserve"> argued th</w:t>
      </w:r>
      <w:r w:rsidR="00BC51A3">
        <w:rPr>
          <w:rFonts w:eastAsiaTheme="minorEastAsia" w:cstheme="minorBidi"/>
          <w:color w:val="auto"/>
          <w:sz w:val="22"/>
          <w:szCs w:val="22"/>
          <w:lang w:eastAsia="en-AU"/>
        </w:rPr>
        <w:t>at a market operating in the absence of these provisions</w:t>
      </w:r>
      <w:r w:rsidR="00FD2E6D">
        <w:rPr>
          <w:rFonts w:eastAsiaTheme="minorEastAsia" w:cstheme="minorBidi"/>
          <w:color w:val="auto"/>
          <w:sz w:val="22"/>
          <w:szCs w:val="22"/>
          <w:lang w:eastAsia="en-AU"/>
        </w:rPr>
        <w:t xml:space="preserve"> would</w:t>
      </w:r>
      <w:r w:rsidR="00290C14" w:rsidRPr="00290C14">
        <w:rPr>
          <w:rFonts w:eastAsiaTheme="minorEastAsia" w:cstheme="minorBidi"/>
          <w:color w:val="auto"/>
          <w:sz w:val="22"/>
          <w:szCs w:val="22"/>
          <w:lang w:eastAsia="en-AU"/>
        </w:rPr>
        <w:t xml:space="preserve"> reduc</w:t>
      </w:r>
      <w:r w:rsidR="00FD2E6D">
        <w:rPr>
          <w:rFonts w:eastAsiaTheme="minorEastAsia" w:cstheme="minorBidi"/>
          <w:color w:val="auto"/>
          <w:sz w:val="22"/>
          <w:szCs w:val="22"/>
          <w:lang w:eastAsia="en-AU"/>
        </w:rPr>
        <w:t>e</w:t>
      </w:r>
      <w:r w:rsidR="00290C14" w:rsidRPr="00290C14">
        <w:rPr>
          <w:rFonts w:eastAsiaTheme="minorEastAsia" w:cstheme="minorBidi"/>
          <w:color w:val="auto"/>
          <w:sz w:val="22"/>
          <w:szCs w:val="22"/>
          <w:lang w:eastAsia="en-AU"/>
        </w:rPr>
        <w:t xml:space="preserve"> NBN </w:t>
      </w:r>
      <w:proofErr w:type="spellStart"/>
      <w:r w:rsidR="00290C14" w:rsidRPr="00290C14">
        <w:rPr>
          <w:rFonts w:eastAsiaTheme="minorEastAsia" w:cstheme="minorBidi"/>
          <w:color w:val="auto"/>
          <w:sz w:val="22"/>
          <w:szCs w:val="22"/>
          <w:lang w:eastAsia="en-AU"/>
        </w:rPr>
        <w:t>Co’s</w:t>
      </w:r>
      <w:proofErr w:type="spellEnd"/>
      <w:r w:rsidR="00290C14" w:rsidRPr="00290C14">
        <w:rPr>
          <w:rFonts w:eastAsiaTheme="minorEastAsia" w:cstheme="minorBidi"/>
          <w:color w:val="auto"/>
          <w:sz w:val="22"/>
          <w:szCs w:val="22"/>
          <w:lang w:eastAsia="en-AU"/>
        </w:rPr>
        <w:t xml:space="preserve"> financial returns to such an extent that uniform </w:t>
      </w:r>
      <w:r w:rsidR="00F97945">
        <w:rPr>
          <w:rFonts w:eastAsiaTheme="minorEastAsia" w:cstheme="minorBidi"/>
          <w:color w:val="auto"/>
          <w:sz w:val="22"/>
          <w:szCs w:val="22"/>
          <w:lang w:eastAsia="en-AU"/>
        </w:rPr>
        <w:t xml:space="preserve">national </w:t>
      </w:r>
      <w:r w:rsidR="00290C14" w:rsidRPr="00290C14">
        <w:rPr>
          <w:rFonts w:eastAsiaTheme="minorEastAsia" w:cstheme="minorBidi"/>
          <w:color w:val="auto"/>
          <w:sz w:val="22"/>
          <w:szCs w:val="22"/>
          <w:lang w:eastAsia="en-AU"/>
        </w:rPr>
        <w:t xml:space="preserve">wholesale pricing would be </w:t>
      </w:r>
      <w:r w:rsidR="00FD2E6D">
        <w:rPr>
          <w:rFonts w:eastAsiaTheme="minorEastAsia" w:cstheme="minorBidi"/>
          <w:color w:val="auto"/>
          <w:sz w:val="22"/>
          <w:szCs w:val="22"/>
          <w:lang w:eastAsia="en-AU"/>
        </w:rPr>
        <w:t>im</w:t>
      </w:r>
      <w:r w:rsidR="00290C14" w:rsidRPr="00290C14">
        <w:rPr>
          <w:rFonts w:eastAsiaTheme="minorEastAsia" w:cstheme="minorBidi"/>
          <w:color w:val="auto"/>
          <w:sz w:val="22"/>
          <w:szCs w:val="22"/>
          <w:lang w:eastAsia="en-AU"/>
        </w:rPr>
        <w:t>possible to sustain.</w:t>
      </w:r>
    </w:p>
    <w:p w:rsidR="00FD2E6D" w:rsidRDefault="00FD2E6D" w:rsidP="00843D55">
      <w:pPr>
        <w:autoSpaceDE w:val="0"/>
        <w:autoSpaceDN w:val="0"/>
        <w:adjustRightInd w:val="0"/>
        <w:spacing w:before="0" w:beforeAutospacing="0" w:after="0" w:afterAutospacing="0"/>
      </w:pPr>
    </w:p>
    <w:p w:rsidR="006555F3" w:rsidRPr="006555F3" w:rsidRDefault="00FE4C19" w:rsidP="00843D55">
      <w:pPr>
        <w:autoSpaceDE w:val="0"/>
        <w:autoSpaceDN w:val="0"/>
        <w:adjustRightInd w:val="0"/>
        <w:spacing w:before="0" w:beforeAutospacing="0" w:after="0" w:afterAutospacing="0"/>
        <w:rPr>
          <w:b/>
        </w:rPr>
      </w:pPr>
      <w:r>
        <w:rPr>
          <w:b/>
        </w:rPr>
        <w:t xml:space="preserve">Subsidies instead of </w:t>
      </w:r>
      <w:r w:rsidR="006555F3">
        <w:rPr>
          <w:b/>
        </w:rPr>
        <w:t>level playing field arrangements</w:t>
      </w:r>
    </w:p>
    <w:p w:rsidR="006555F3" w:rsidRDefault="006555F3" w:rsidP="00843D55">
      <w:pPr>
        <w:autoSpaceDE w:val="0"/>
        <w:autoSpaceDN w:val="0"/>
        <w:adjustRightInd w:val="0"/>
        <w:spacing w:before="0" w:beforeAutospacing="0" w:after="0" w:afterAutospacing="0"/>
      </w:pPr>
    </w:p>
    <w:p w:rsidR="00D67549" w:rsidRDefault="00BA2BF4" w:rsidP="00CC0ECC">
      <w:pPr>
        <w:pStyle w:val="HTMLPreformatted"/>
        <w:rPr>
          <w:rFonts w:ascii="Calibri" w:eastAsiaTheme="minorEastAsia" w:hAnsi="Calibri" w:cstheme="minorBidi"/>
          <w:sz w:val="22"/>
          <w:szCs w:val="22"/>
        </w:rPr>
      </w:pPr>
      <w:r>
        <w:rPr>
          <w:rFonts w:ascii="Calibri" w:eastAsiaTheme="minorEastAsia" w:hAnsi="Calibri" w:cstheme="minorBidi"/>
          <w:sz w:val="22"/>
          <w:szCs w:val="22"/>
        </w:rPr>
        <w:t xml:space="preserve">Uniform national wholesale prices do seem to be a relatively simple mechanism for achieving equity for non-urban areas. </w:t>
      </w:r>
      <w:r w:rsidR="003A5097" w:rsidRPr="00CC0ECC">
        <w:rPr>
          <w:rFonts w:ascii="Calibri" w:eastAsiaTheme="minorEastAsia" w:hAnsi="Calibri" w:cstheme="minorBidi"/>
          <w:sz w:val="22"/>
          <w:szCs w:val="22"/>
        </w:rPr>
        <w:t>I</w:t>
      </w:r>
      <w:r w:rsidR="00290C14" w:rsidRPr="00CC0ECC">
        <w:rPr>
          <w:rFonts w:ascii="Calibri" w:eastAsiaTheme="minorEastAsia" w:hAnsi="Calibri" w:cstheme="minorBidi"/>
          <w:sz w:val="22"/>
          <w:szCs w:val="22"/>
        </w:rPr>
        <w:t xml:space="preserve">f the government is able to create </w:t>
      </w:r>
      <w:r w:rsidR="0066672E">
        <w:rPr>
          <w:rFonts w:ascii="Calibri" w:eastAsiaTheme="minorEastAsia" w:hAnsi="Calibri" w:cstheme="minorBidi"/>
          <w:sz w:val="22"/>
          <w:szCs w:val="22"/>
        </w:rPr>
        <w:t>an</w:t>
      </w:r>
      <w:r w:rsidR="006555F3">
        <w:rPr>
          <w:rFonts w:ascii="Calibri" w:eastAsiaTheme="minorEastAsia" w:hAnsi="Calibri" w:cstheme="minorBidi"/>
          <w:sz w:val="22"/>
          <w:szCs w:val="22"/>
        </w:rPr>
        <w:t xml:space="preserve"> alternative</w:t>
      </w:r>
      <w:r w:rsidR="00290C14" w:rsidRPr="00CC0ECC">
        <w:rPr>
          <w:rFonts w:ascii="Calibri" w:eastAsiaTheme="minorEastAsia" w:hAnsi="Calibri" w:cstheme="minorBidi"/>
          <w:sz w:val="22"/>
          <w:szCs w:val="22"/>
        </w:rPr>
        <w:t xml:space="preserve"> framework for </w:t>
      </w:r>
      <w:r w:rsidR="00734A51">
        <w:rPr>
          <w:rFonts w:ascii="Calibri" w:eastAsiaTheme="minorEastAsia" w:hAnsi="Calibri" w:cstheme="minorBidi"/>
          <w:sz w:val="22"/>
          <w:szCs w:val="22"/>
        </w:rPr>
        <w:t>sustain</w:t>
      </w:r>
      <w:r w:rsidR="00F97945">
        <w:rPr>
          <w:rFonts w:ascii="Calibri" w:eastAsiaTheme="minorEastAsia" w:hAnsi="Calibri" w:cstheme="minorBidi"/>
          <w:sz w:val="22"/>
          <w:szCs w:val="22"/>
        </w:rPr>
        <w:t>ing</w:t>
      </w:r>
      <w:r w:rsidR="00734A51">
        <w:rPr>
          <w:rFonts w:ascii="Calibri" w:eastAsiaTheme="minorEastAsia" w:hAnsi="Calibri" w:cstheme="minorBidi"/>
          <w:sz w:val="22"/>
          <w:szCs w:val="22"/>
        </w:rPr>
        <w:t xml:space="preserve"> </w:t>
      </w:r>
      <w:r w:rsidR="006555F3">
        <w:rPr>
          <w:rFonts w:ascii="Calibri" w:eastAsiaTheme="minorEastAsia" w:hAnsi="Calibri" w:cstheme="minorBidi"/>
          <w:sz w:val="22"/>
          <w:szCs w:val="22"/>
        </w:rPr>
        <w:t xml:space="preserve">broadband equity for </w:t>
      </w:r>
      <w:r w:rsidR="007855BD">
        <w:rPr>
          <w:rFonts w:ascii="Calibri" w:eastAsiaTheme="minorEastAsia" w:hAnsi="Calibri" w:cstheme="minorBidi"/>
          <w:sz w:val="22"/>
          <w:szCs w:val="22"/>
        </w:rPr>
        <w:t>non-urban</w:t>
      </w:r>
      <w:r w:rsidR="006555F3">
        <w:rPr>
          <w:rFonts w:ascii="Calibri" w:eastAsiaTheme="minorEastAsia" w:hAnsi="Calibri" w:cstheme="minorBidi"/>
          <w:sz w:val="22"/>
          <w:szCs w:val="22"/>
        </w:rPr>
        <w:t xml:space="preserve"> Australia</w:t>
      </w:r>
      <w:r w:rsidR="00290C14" w:rsidRPr="00CC0ECC">
        <w:rPr>
          <w:rFonts w:ascii="Calibri" w:eastAsiaTheme="minorEastAsia" w:hAnsi="Calibri" w:cstheme="minorBidi"/>
          <w:sz w:val="22"/>
          <w:szCs w:val="22"/>
        </w:rPr>
        <w:t xml:space="preserve">, this </w:t>
      </w:r>
      <w:r>
        <w:rPr>
          <w:rFonts w:ascii="Calibri" w:eastAsiaTheme="minorEastAsia" w:hAnsi="Calibri" w:cstheme="minorBidi"/>
          <w:sz w:val="22"/>
          <w:szCs w:val="22"/>
        </w:rPr>
        <w:t>c</w:t>
      </w:r>
      <w:r w:rsidR="003A5097" w:rsidRPr="00CC0ECC">
        <w:rPr>
          <w:rFonts w:ascii="Calibri" w:eastAsiaTheme="minorEastAsia" w:hAnsi="Calibri" w:cstheme="minorBidi"/>
          <w:sz w:val="22"/>
          <w:szCs w:val="22"/>
        </w:rPr>
        <w:t xml:space="preserve">ould </w:t>
      </w:r>
      <w:r>
        <w:rPr>
          <w:rFonts w:ascii="Calibri" w:eastAsiaTheme="minorEastAsia" w:hAnsi="Calibri" w:cstheme="minorBidi"/>
          <w:sz w:val="22"/>
          <w:szCs w:val="22"/>
        </w:rPr>
        <w:t xml:space="preserve">also </w:t>
      </w:r>
      <w:r w:rsidR="003A5097" w:rsidRPr="00CC0ECC">
        <w:rPr>
          <w:rFonts w:ascii="Calibri" w:eastAsiaTheme="minorEastAsia" w:hAnsi="Calibri" w:cstheme="minorBidi"/>
          <w:sz w:val="22"/>
          <w:szCs w:val="22"/>
        </w:rPr>
        <w:t xml:space="preserve">be </w:t>
      </w:r>
      <w:r w:rsidR="00C2738C" w:rsidRPr="00CC0ECC">
        <w:rPr>
          <w:rFonts w:ascii="Calibri" w:eastAsiaTheme="minorEastAsia" w:hAnsi="Calibri" w:cstheme="minorBidi"/>
          <w:sz w:val="22"/>
          <w:szCs w:val="22"/>
        </w:rPr>
        <w:t>a satisfactory outcome in ACCAN’s view</w:t>
      </w:r>
      <w:r w:rsidR="003A5097" w:rsidRPr="00CC0ECC">
        <w:rPr>
          <w:rFonts w:ascii="Calibri" w:eastAsiaTheme="minorEastAsia" w:hAnsi="Calibri" w:cstheme="minorBidi"/>
          <w:sz w:val="22"/>
          <w:szCs w:val="22"/>
        </w:rPr>
        <w:t xml:space="preserve">. </w:t>
      </w:r>
      <w:r w:rsidR="00843D55" w:rsidRPr="00CC0ECC">
        <w:rPr>
          <w:rFonts w:ascii="Calibri" w:eastAsiaTheme="minorEastAsia" w:hAnsi="Calibri" w:cstheme="minorBidi"/>
          <w:sz w:val="22"/>
          <w:szCs w:val="22"/>
        </w:rPr>
        <w:t>This would</w:t>
      </w:r>
      <w:r w:rsidR="00BC51A3">
        <w:rPr>
          <w:rFonts w:ascii="Calibri" w:eastAsiaTheme="minorEastAsia" w:hAnsi="Calibri" w:cstheme="minorBidi"/>
          <w:sz w:val="22"/>
          <w:szCs w:val="22"/>
        </w:rPr>
        <w:t xml:space="preserve"> likely</w:t>
      </w:r>
      <w:r w:rsidR="00843D55" w:rsidRPr="00CC0ECC">
        <w:rPr>
          <w:rFonts w:ascii="Calibri" w:eastAsiaTheme="minorEastAsia" w:hAnsi="Calibri" w:cstheme="minorBidi"/>
          <w:sz w:val="22"/>
          <w:szCs w:val="22"/>
        </w:rPr>
        <w:t xml:space="preserve"> involve a shift in policy focus toward subsidising </w:t>
      </w:r>
      <w:r w:rsidR="00FD2E6D" w:rsidRPr="00CC0ECC">
        <w:rPr>
          <w:rFonts w:ascii="Calibri" w:eastAsiaTheme="minorEastAsia" w:hAnsi="Calibri" w:cstheme="minorBidi"/>
          <w:sz w:val="22"/>
          <w:szCs w:val="22"/>
        </w:rPr>
        <w:t>high-speed broadband wholesale prices in</w:t>
      </w:r>
      <w:r w:rsidR="00843D55" w:rsidRPr="00CC0ECC">
        <w:rPr>
          <w:rFonts w:ascii="Calibri" w:eastAsiaTheme="minorEastAsia" w:hAnsi="Calibri" w:cstheme="minorBidi"/>
          <w:sz w:val="22"/>
          <w:szCs w:val="22"/>
        </w:rPr>
        <w:t xml:space="preserve"> unprofitable areas </w:t>
      </w:r>
      <w:r w:rsidR="00FD2E6D" w:rsidRPr="00CC0ECC">
        <w:rPr>
          <w:rFonts w:ascii="Calibri" w:eastAsiaTheme="minorEastAsia" w:hAnsi="Calibri" w:cstheme="minorBidi"/>
          <w:sz w:val="22"/>
          <w:szCs w:val="22"/>
        </w:rPr>
        <w:t>rather than</w:t>
      </w:r>
      <w:r w:rsidR="00843D55" w:rsidRPr="00CC0ECC">
        <w:rPr>
          <w:rFonts w:ascii="Calibri" w:eastAsiaTheme="minorEastAsia" w:hAnsi="Calibri" w:cstheme="minorBidi"/>
          <w:sz w:val="22"/>
          <w:szCs w:val="22"/>
        </w:rPr>
        <w:t xml:space="preserve"> preventing the emergence of competitors to NBN Co in profitable areas.</w:t>
      </w:r>
      <w:r w:rsidR="00CC0ECC" w:rsidRPr="00CC0ECC">
        <w:rPr>
          <w:rFonts w:ascii="Calibri" w:eastAsiaTheme="minorEastAsia" w:hAnsi="Calibri" w:cstheme="minorBidi"/>
          <w:sz w:val="22"/>
          <w:szCs w:val="22"/>
        </w:rPr>
        <w:t xml:space="preserve"> </w:t>
      </w:r>
    </w:p>
    <w:p w:rsidR="006555F3" w:rsidRDefault="006555F3" w:rsidP="006555F3">
      <w:pPr>
        <w:autoSpaceDE w:val="0"/>
        <w:autoSpaceDN w:val="0"/>
        <w:adjustRightInd w:val="0"/>
        <w:spacing w:before="0" w:beforeAutospacing="0" w:after="0" w:afterAutospacing="0"/>
      </w:pPr>
    </w:p>
    <w:p w:rsidR="006555F3" w:rsidRDefault="006555F3" w:rsidP="006555F3">
      <w:pPr>
        <w:autoSpaceDE w:val="0"/>
        <w:autoSpaceDN w:val="0"/>
        <w:adjustRightInd w:val="0"/>
        <w:spacing w:before="0" w:beforeAutospacing="0" w:after="0" w:afterAutospacing="0"/>
      </w:pPr>
      <w:r>
        <w:t xml:space="preserve">If </w:t>
      </w:r>
      <w:r w:rsidRPr="006555F3">
        <w:t xml:space="preserve">NBN Co </w:t>
      </w:r>
      <w:r>
        <w:t>is allowed t</w:t>
      </w:r>
      <w:r w:rsidRPr="006555F3">
        <w:t xml:space="preserve">o set </w:t>
      </w:r>
      <w:r>
        <w:t xml:space="preserve">higher wholesale prices for </w:t>
      </w:r>
      <w:r w:rsidR="007855BD">
        <w:t>non-urban</w:t>
      </w:r>
      <w:r>
        <w:t xml:space="preserve"> and rural areas</w:t>
      </w:r>
      <w:r w:rsidRPr="006555F3">
        <w:t xml:space="preserve"> </w:t>
      </w:r>
      <w:r>
        <w:t>to reflect the higher costs there, this should be accompanied by an explicit government policy objective</w:t>
      </w:r>
      <w:r w:rsidR="002E1D5E">
        <w:t xml:space="preserve"> and dedicated </w:t>
      </w:r>
      <w:r w:rsidR="00FE4C19">
        <w:t xml:space="preserve">policy </w:t>
      </w:r>
      <w:r w:rsidR="002E1D5E">
        <w:t>mechanisms</w:t>
      </w:r>
      <w:r>
        <w:t xml:space="preserve"> to subsid</w:t>
      </w:r>
      <w:r w:rsidR="002E1D5E">
        <w:t>ise</w:t>
      </w:r>
      <w:r>
        <w:t xml:space="preserve"> NBN Co to equalise the price difference</w:t>
      </w:r>
      <w:r w:rsidRPr="006555F3">
        <w:t>.</w:t>
      </w:r>
    </w:p>
    <w:p w:rsidR="00D67549" w:rsidRDefault="00D67549" w:rsidP="00CC0ECC">
      <w:pPr>
        <w:pStyle w:val="HTMLPreformatted"/>
        <w:rPr>
          <w:rFonts w:ascii="Calibri" w:eastAsiaTheme="minorEastAsia" w:hAnsi="Calibri" w:cstheme="minorBidi"/>
          <w:sz w:val="22"/>
          <w:szCs w:val="22"/>
        </w:rPr>
      </w:pPr>
    </w:p>
    <w:p w:rsidR="00C4675F" w:rsidRPr="00C4675F" w:rsidRDefault="00C4675F" w:rsidP="00CC0ECC">
      <w:pPr>
        <w:pStyle w:val="HTMLPreformatted"/>
        <w:rPr>
          <w:rFonts w:ascii="Calibri" w:eastAsiaTheme="minorEastAsia" w:hAnsi="Calibri" w:cstheme="minorBidi"/>
          <w:b/>
          <w:sz w:val="22"/>
          <w:szCs w:val="22"/>
        </w:rPr>
      </w:pPr>
      <w:r w:rsidRPr="00C4675F">
        <w:rPr>
          <w:rFonts w:ascii="Calibri" w:eastAsiaTheme="minorEastAsia" w:hAnsi="Calibri" w:cstheme="minorBidi"/>
          <w:b/>
          <w:sz w:val="22"/>
          <w:szCs w:val="22"/>
        </w:rPr>
        <w:t>Alternatives to level playing field arrangements</w:t>
      </w:r>
    </w:p>
    <w:p w:rsidR="00C4675F" w:rsidRDefault="00C4675F" w:rsidP="00CC0ECC">
      <w:pPr>
        <w:pStyle w:val="HTMLPreformatted"/>
        <w:rPr>
          <w:rFonts w:ascii="Calibri" w:eastAsiaTheme="minorEastAsia" w:hAnsi="Calibri" w:cstheme="minorBidi"/>
          <w:sz w:val="22"/>
          <w:szCs w:val="22"/>
        </w:rPr>
      </w:pPr>
    </w:p>
    <w:p w:rsidR="00BA2BF4" w:rsidRDefault="00CC0ECC" w:rsidP="00CC0ECC">
      <w:pPr>
        <w:pStyle w:val="HTMLPreformatted"/>
        <w:rPr>
          <w:rFonts w:ascii="Calibri" w:eastAsiaTheme="minorEastAsia" w:hAnsi="Calibri" w:cstheme="minorBidi"/>
          <w:sz w:val="22"/>
          <w:szCs w:val="22"/>
        </w:rPr>
      </w:pPr>
      <w:r w:rsidRPr="00CC0ECC">
        <w:rPr>
          <w:rFonts w:ascii="Calibri" w:eastAsiaTheme="minorEastAsia" w:hAnsi="Calibri" w:cstheme="minorBidi"/>
          <w:sz w:val="22"/>
          <w:szCs w:val="22"/>
        </w:rPr>
        <w:t>I</w:t>
      </w:r>
      <w:r w:rsidR="002E1D5E">
        <w:rPr>
          <w:rFonts w:ascii="Calibri" w:eastAsiaTheme="minorEastAsia" w:hAnsi="Calibri" w:cstheme="minorBidi"/>
          <w:sz w:val="22"/>
          <w:szCs w:val="22"/>
        </w:rPr>
        <w:t xml:space="preserve">t </w:t>
      </w:r>
      <w:r w:rsidRPr="00CC0ECC">
        <w:rPr>
          <w:rFonts w:ascii="Calibri" w:eastAsiaTheme="minorEastAsia" w:hAnsi="Calibri" w:cstheme="minorBidi"/>
          <w:sz w:val="22"/>
          <w:szCs w:val="22"/>
        </w:rPr>
        <w:t xml:space="preserve">may be useful to revisit the alternative policy options </w:t>
      </w:r>
      <w:r w:rsidR="00B617AB">
        <w:rPr>
          <w:rFonts w:ascii="Calibri" w:eastAsiaTheme="minorEastAsia" w:hAnsi="Calibri" w:cstheme="minorBidi"/>
          <w:sz w:val="22"/>
          <w:szCs w:val="22"/>
        </w:rPr>
        <w:t>proposed</w:t>
      </w:r>
      <w:r w:rsidRPr="00CC0ECC">
        <w:rPr>
          <w:rFonts w:ascii="Calibri" w:eastAsiaTheme="minorEastAsia" w:hAnsi="Calibri" w:cstheme="minorBidi"/>
          <w:sz w:val="22"/>
          <w:szCs w:val="22"/>
        </w:rPr>
        <w:t xml:space="preserve"> by the NBN Implementation Study </w:t>
      </w:r>
      <w:r w:rsidR="002E1D5E">
        <w:rPr>
          <w:rFonts w:ascii="Calibri" w:eastAsiaTheme="minorEastAsia" w:hAnsi="Calibri" w:cstheme="minorBidi"/>
          <w:sz w:val="22"/>
          <w:szCs w:val="22"/>
        </w:rPr>
        <w:t xml:space="preserve">in 2010, </w:t>
      </w:r>
      <w:r w:rsidRPr="00CC0ECC">
        <w:rPr>
          <w:rFonts w:ascii="Calibri" w:eastAsiaTheme="minorEastAsia" w:hAnsi="Calibri" w:cstheme="minorBidi"/>
          <w:sz w:val="22"/>
          <w:szCs w:val="22"/>
        </w:rPr>
        <w:t xml:space="preserve">which included imposing a levy on new superfast broadband networks </w:t>
      </w:r>
      <w:r w:rsidR="00B617AB">
        <w:rPr>
          <w:rFonts w:ascii="Calibri" w:eastAsiaTheme="minorEastAsia" w:hAnsi="Calibri" w:cstheme="minorBidi"/>
          <w:sz w:val="22"/>
          <w:szCs w:val="22"/>
        </w:rPr>
        <w:t xml:space="preserve">in low-cost, high-revenue markets, </w:t>
      </w:r>
      <w:r w:rsidRPr="00CC0ECC">
        <w:rPr>
          <w:rFonts w:ascii="Calibri" w:eastAsiaTheme="minorEastAsia" w:hAnsi="Calibri" w:cstheme="minorBidi"/>
          <w:sz w:val="22"/>
          <w:szCs w:val="22"/>
        </w:rPr>
        <w:t>which would be directed at</w:t>
      </w:r>
      <w:r>
        <w:rPr>
          <w:rFonts w:ascii="Calibri" w:eastAsiaTheme="minorEastAsia" w:hAnsi="Calibri" w:cstheme="minorBidi"/>
          <w:sz w:val="22"/>
          <w:szCs w:val="22"/>
        </w:rPr>
        <w:t xml:space="preserve"> </w:t>
      </w:r>
      <w:r w:rsidRPr="00CC0ECC">
        <w:rPr>
          <w:rFonts w:ascii="Calibri" w:eastAsiaTheme="minorEastAsia" w:hAnsi="Calibri" w:cstheme="minorBidi"/>
          <w:sz w:val="22"/>
          <w:szCs w:val="22"/>
        </w:rPr>
        <w:t>subsidising the provision of telecommunications in high-cost areas</w:t>
      </w:r>
      <w:r w:rsidR="00734A51">
        <w:rPr>
          <w:rFonts w:ascii="Calibri" w:eastAsiaTheme="minorEastAsia" w:hAnsi="Calibri" w:cstheme="minorBidi"/>
          <w:sz w:val="22"/>
          <w:szCs w:val="22"/>
        </w:rPr>
        <w:t>.</w:t>
      </w:r>
      <w:r w:rsidR="00D67549">
        <w:rPr>
          <w:rFonts w:ascii="Calibri" w:eastAsiaTheme="minorEastAsia" w:hAnsi="Calibri" w:cstheme="minorBidi"/>
          <w:sz w:val="22"/>
          <w:szCs w:val="22"/>
        </w:rPr>
        <w:t xml:space="preserve"> </w:t>
      </w:r>
      <w:r w:rsidR="00734A51">
        <w:rPr>
          <w:rFonts w:ascii="Calibri" w:eastAsiaTheme="minorEastAsia" w:hAnsi="Calibri" w:cstheme="minorBidi"/>
          <w:sz w:val="22"/>
          <w:szCs w:val="22"/>
        </w:rPr>
        <w:t>An</w:t>
      </w:r>
      <w:r w:rsidR="00D67549">
        <w:rPr>
          <w:rFonts w:ascii="Calibri" w:eastAsiaTheme="minorEastAsia" w:hAnsi="Calibri" w:cstheme="minorBidi"/>
          <w:sz w:val="22"/>
          <w:szCs w:val="22"/>
        </w:rPr>
        <w:t xml:space="preserve"> evaluation of the costs and benefits of such an approach </w:t>
      </w:r>
      <w:r w:rsidR="00734A51">
        <w:rPr>
          <w:rFonts w:ascii="Calibri" w:eastAsiaTheme="minorEastAsia" w:hAnsi="Calibri" w:cstheme="minorBidi"/>
          <w:sz w:val="22"/>
          <w:szCs w:val="22"/>
        </w:rPr>
        <w:t xml:space="preserve">is in </w:t>
      </w:r>
      <w:r w:rsidR="00D67549">
        <w:rPr>
          <w:rFonts w:ascii="Calibri" w:eastAsiaTheme="minorEastAsia" w:hAnsi="Calibri" w:cstheme="minorBidi"/>
          <w:sz w:val="22"/>
          <w:szCs w:val="22"/>
        </w:rPr>
        <w:t xml:space="preserve">the Regulation </w:t>
      </w:r>
      <w:r w:rsidR="00734A51">
        <w:rPr>
          <w:rFonts w:ascii="Calibri" w:eastAsiaTheme="minorEastAsia" w:hAnsi="Calibri" w:cstheme="minorBidi"/>
          <w:sz w:val="22"/>
          <w:szCs w:val="22"/>
        </w:rPr>
        <w:t>impact assessments</w:t>
      </w:r>
      <w:r w:rsidR="00D67549">
        <w:rPr>
          <w:rFonts w:ascii="Calibri" w:eastAsiaTheme="minorEastAsia" w:hAnsi="Calibri" w:cstheme="minorBidi"/>
          <w:sz w:val="22"/>
          <w:szCs w:val="22"/>
        </w:rPr>
        <w:t xml:space="preserve"> </w:t>
      </w:r>
      <w:r w:rsidR="00734A51">
        <w:rPr>
          <w:rFonts w:ascii="Calibri" w:eastAsiaTheme="minorEastAsia" w:hAnsi="Calibri" w:cstheme="minorBidi"/>
          <w:sz w:val="22"/>
          <w:szCs w:val="22"/>
        </w:rPr>
        <w:t xml:space="preserve">for the </w:t>
      </w:r>
      <w:r w:rsidR="00D67549">
        <w:rPr>
          <w:rFonts w:ascii="Calibri" w:eastAsiaTheme="minorEastAsia" w:hAnsi="Calibri" w:cstheme="minorBidi"/>
          <w:sz w:val="22"/>
          <w:szCs w:val="22"/>
        </w:rPr>
        <w:t>original Bill</w:t>
      </w:r>
      <w:r w:rsidR="00734A51">
        <w:rPr>
          <w:rFonts w:ascii="Calibri" w:eastAsiaTheme="minorEastAsia" w:hAnsi="Calibri" w:cstheme="minorBidi"/>
          <w:sz w:val="22"/>
          <w:szCs w:val="22"/>
        </w:rPr>
        <w:t xml:space="preserve"> which introduced the level playing field arrangements</w:t>
      </w:r>
      <w:r>
        <w:rPr>
          <w:rFonts w:ascii="Calibri" w:eastAsiaTheme="minorEastAsia" w:hAnsi="Calibri" w:cstheme="minorBidi"/>
          <w:sz w:val="22"/>
          <w:szCs w:val="22"/>
        </w:rPr>
        <w:t>.</w:t>
      </w:r>
      <w:r w:rsidR="00D67549">
        <w:rPr>
          <w:rStyle w:val="FootnoteReference"/>
          <w:rFonts w:ascii="Calibri" w:eastAsiaTheme="minorEastAsia" w:hAnsi="Calibri" w:cstheme="minorBidi"/>
          <w:sz w:val="22"/>
          <w:szCs w:val="22"/>
        </w:rPr>
        <w:footnoteReference w:id="1"/>
      </w:r>
      <w:r w:rsidR="00BA2BF4">
        <w:rPr>
          <w:rFonts w:ascii="Calibri" w:eastAsiaTheme="minorEastAsia" w:hAnsi="Calibri" w:cstheme="minorBidi"/>
          <w:sz w:val="22"/>
          <w:szCs w:val="22"/>
        </w:rPr>
        <w:t xml:space="preserve"> </w:t>
      </w:r>
    </w:p>
    <w:p w:rsidR="00BA2BF4" w:rsidRDefault="00BA2BF4" w:rsidP="00CC0ECC">
      <w:pPr>
        <w:pStyle w:val="HTMLPreformatted"/>
        <w:rPr>
          <w:rFonts w:ascii="Calibri" w:eastAsiaTheme="minorEastAsia" w:hAnsi="Calibri" w:cstheme="minorBidi"/>
          <w:sz w:val="22"/>
          <w:szCs w:val="22"/>
        </w:rPr>
      </w:pPr>
    </w:p>
    <w:p w:rsidR="00CC0ECC" w:rsidRDefault="00BA2BF4" w:rsidP="00CC0ECC">
      <w:pPr>
        <w:pStyle w:val="HTMLPreformatted"/>
        <w:rPr>
          <w:rFonts w:ascii="Calibri" w:eastAsiaTheme="minorEastAsia" w:hAnsi="Calibri" w:cstheme="minorBidi"/>
          <w:sz w:val="22"/>
          <w:szCs w:val="22"/>
        </w:rPr>
      </w:pPr>
      <w:r>
        <w:rPr>
          <w:rFonts w:ascii="Calibri" w:eastAsiaTheme="minorEastAsia" w:hAnsi="Calibri" w:cstheme="minorBidi"/>
          <w:sz w:val="22"/>
          <w:szCs w:val="22"/>
        </w:rPr>
        <w:lastRenderedPageBreak/>
        <w:t>ACCAN is concerned at the potential complexity of any such subsidy arrangements under conditions of a multi-technology mix approach where there will be variation across geographic areas in terms of the level of service capability on offer.</w:t>
      </w:r>
    </w:p>
    <w:p w:rsidR="00734A51" w:rsidRDefault="00734A51" w:rsidP="00CC0ECC">
      <w:pPr>
        <w:pStyle w:val="HTMLPreformatted"/>
        <w:rPr>
          <w:rFonts w:ascii="Calibri" w:eastAsiaTheme="minorEastAsia" w:hAnsi="Calibri" w:cstheme="minorBidi"/>
          <w:sz w:val="22"/>
          <w:szCs w:val="22"/>
        </w:rPr>
      </w:pPr>
    </w:p>
    <w:p w:rsidR="00FE4C19" w:rsidRDefault="00C2738C" w:rsidP="00FE4C19">
      <w:pPr>
        <w:autoSpaceDE w:val="0"/>
        <w:autoSpaceDN w:val="0"/>
        <w:adjustRightInd w:val="0"/>
        <w:spacing w:before="0" w:beforeAutospacing="0" w:after="0" w:afterAutospacing="0"/>
      </w:pPr>
      <w:r>
        <w:t xml:space="preserve">A shift in approach </w:t>
      </w:r>
      <w:r w:rsidR="00290C14" w:rsidRPr="00290C14">
        <w:t>could be a benefit to some inner urban consumers, as in these areas some infrastructure-based competition may emerge.</w:t>
      </w:r>
      <w:r w:rsidR="001A1F5D">
        <w:t xml:space="preserve"> This may be positive insofar as</w:t>
      </w:r>
      <w:r w:rsidR="00843D55">
        <w:t xml:space="preserve"> these</w:t>
      </w:r>
      <w:r w:rsidR="001A1F5D">
        <w:t xml:space="preserve"> other networks could </w:t>
      </w:r>
      <w:r w:rsidR="001A1F5D" w:rsidRPr="001A1F5D">
        <w:t>offer new, innovative services to the market.</w:t>
      </w:r>
      <w:r w:rsidR="00FE4C19">
        <w:t xml:space="preserve"> </w:t>
      </w:r>
      <w:r w:rsidR="003B24B4">
        <w:t xml:space="preserve">However the cost of multiple </w:t>
      </w:r>
      <w:proofErr w:type="gramStart"/>
      <w:r w:rsidR="003B24B4">
        <w:t>infrastructure</w:t>
      </w:r>
      <w:proofErr w:type="gramEnd"/>
      <w:r w:rsidR="003B24B4">
        <w:t xml:space="preserve"> rollouts also affects the retail price that eventually flows on to consumers.</w:t>
      </w:r>
    </w:p>
    <w:p w:rsidR="00FE4C19" w:rsidRDefault="00FE4C19" w:rsidP="00FE4C19">
      <w:pPr>
        <w:autoSpaceDE w:val="0"/>
        <w:autoSpaceDN w:val="0"/>
        <w:adjustRightInd w:val="0"/>
        <w:spacing w:before="0" w:beforeAutospacing="0" w:after="0" w:afterAutospacing="0"/>
      </w:pPr>
    </w:p>
    <w:p w:rsidR="00290C14" w:rsidRDefault="003B24B4" w:rsidP="00FE4C19">
      <w:pPr>
        <w:autoSpaceDE w:val="0"/>
        <w:autoSpaceDN w:val="0"/>
        <w:adjustRightInd w:val="0"/>
        <w:spacing w:before="0" w:beforeAutospacing="0" w:after="0" w:afterAutospacing="0"/>
      </w:pPr>
      <w:r>
        <w:t>E</w:t>
      </w:r>
      <w:r w:rsidR="00290C14" w:rsidRPr="00290C14">
        <w:t xml:space="preserve">xperience suggests </w:t>
      </w:r>
      <w:r w:rsidR="005316B9">
        <w:t>infrastructure</w:t>
      </w:r>
      <w:r w:rsidR="00290C14" w:rsidRPr="00290C14">
        <w:t xml:space="preserve">-based competition is not a realistic way to deliver choice for </w:t>
      </w:r>
      <w:r w:rsidR="00843D55">
        <w:t xml:space="preserve">consumers </w:t>
      </w:r>
      <w:r w:rsidR="00290C14" w:rsidRPr="00290C14">
        <w:t>any</w:t>
      </w:r>
      <w:r w:rsidR="00843D55">
        <w:t>where</w:t>
      </w:r>
      <w:r w:rsidR="00290C14" w:rsidRPr="00290C14">
        <w:t xml:space="preserve"> except</w:t>
      </w:r>
      <w:r w:rsidR="00FE4C19">
        <w:t xml:space="preserve"> perhaps in some parts of</w:t>
      </w:r>
      <w:r w:rsidR="00290C14" w:rsidRPr="00290C14">
        <w:t xml:space="preserve"> </w:t>
      </w:r>
      <w:r w:rsidR="00843D55">
        <w:t>the</w:t>
      </w:r>
      <w:r w:rsidR="00290C14" w:rsidRPr="00290C14">
        <w:t xml:space="preserve"> dense inner </w:t>
      </w:r>
      <w:r w:rsidR="00843D55">
        <w:t>urban</w:t>
      </w:r>
      <w:r w:rsidR="00290C14" w:rsidRPr="00290C14">
        <w:t xml:space="preserve"> </w:t>
      </w:r>
      <w:r w:rsidR="00FD2E6D">
        <w:t>core</w:t>
      </w:r>
      <w:r w:rsidR="00290C14" w:rsidRPr="00290C14">
        <w:t xml:space="preserve">s. </w:t>
      </w:r>
      <w:r w:rsidR="00FE4C19">
        <w:t>D</w:t>
      </w:r>
      <w:r w:rsidR="00B617AB">
        <w:t xml:space="preserve">ual HFC </w:t>
      </w:r>
      <w:r w:rsidR="002437B8">
        <w:t>r</w:t>
      </w:r>
      <w:r w:rsidR="00B617AB">
        <w:t>ollouts</w:t>
      </w:r>
      <w:r w:rsidR="00FE4C19">
        <w:t xml:space="preserve"> in the 1990s</w:t>
      </w:r>
      <w:r w:rsidR="00C722A2">
        <w:t xml:space="preserve"> </w:t>
      </w:r>
      <w:r w:rsidR="00B617AB">
        <w:t>have been widely viewed by the firms involved as financially ruinous and unlikely ever to be repeated</w:t>
      </w:r>
      <w:r w:rsidR="00290C14" w:rsidRPr="00290C14">
        <w:t>.</w:t>
      </w:r>
      <w:r w:rsidR="004A43B9">
        <w:rPr>
          <w:rStyle w:val="FootnoteReference"/>
        </w:rPr>
        <w:footnoteReference w:id="2"/>
      </w:r>
      <w:r w:rsidR="002E1D5E">
        <w:t xml:space="preserve"> </w:t>
      </w:r>
      <w:r w:rsidR="00FE4C19">
        <w:t>Submissions from i</w:t>
      </w:r>
      <w:r w:rsidR="002E1D5E">
        <w:t>ndustry</w:t>
      </w:r>
      <w:r w:rsidR="00FE4C19">
        <w:t xml:space="preserve"> have repeatedly indicated </w:t>
      </w:r>
      <w:r w:rsidR="002E1D5E">
        <w:t>infrastructure-based</w:t>
      </w:r>
      <w:r w:rsidR="00CD2D16">
        <w:t xml:space="preserve"> </w:t>
      </w:r>
      <w:r w:rsidR="002E1D5E">
        <w:t xml:space="preserve">competition </w:t>
      </w:r>
      <w:r w:rsidR="00FE4C19">
        <w:t xml:space="preserve">is unlikely to </w:t>
      </w:r>
      <w:r w:rsidR="002E1D5E">
        <w:t>becom</w:t>
      </w:r>
      <w:r w:rsidR="00FE4C19">
        <w:t>e</w:t>
      </w:r>
      <w:r w:rsidR="002E1D5E">
        <w:t xml:space="preserve"> a </w:t>
      </w:r>
      <w:r w:rsidR="002437B8">
        <w:t xml:space="preserve">widespread </w:t>
      </w:r>
      <w:r w:rsidR="002E1D5E">
        <w:t>reality in Australia.</w:t>
      </w:r>
      <w:r w:rsidR="002E1D5E">
        <w:rPr>
          <w:rStyle w:val="FootnoteReference"/>
        </w:rPr>
        <w:footnoteReference w:id="3"/>
      </w:r>
      <w:r w:rsidR="002437B8">
        <w:t xml:space="preserve"> </w:t>
      </w:r>
    </w:p>
    <w:p w:rsidR="00AC60B9" w:rsidRDefault="00AC60B9" w:rsidP="00FE4C19">
      <w:pPr>
        <w:autoSpaceDE w:val="0"/>
        <w:autoSpaceDN w:val="0"/>
        <w:adjustRightInd w:val="0"/>
        <w:spacing w:before="0" w:beforeAutospacing="0" w:after="0" w:afterAutospacing="0"/>
      </w:pPr>
    </w:p>
    <w:p w:rsidR="00AC60B9" w:rsidRDefault="00AC60B9" w:rsidP="00FE4C19">
      <w:pPr>
        <w:autoSpaceDE w:val="0"/>
        <w:autoSpaceDN w:val="0"/>
        <w:adjustRightInd w:val="0"/>
        <w:spacing w:before="0" w:beforeAutospacing="0" w:after="0" w:afterAutospacing="0"/>
      </w:pPr>
    </w:p>
    <w:p w:rsidR="00AC60B9" w:rsidRDefault="00AC60B9" w:rsidP="00FE4C19">
      <w:pPr>
        <w:autoSpaceDE w:val="0"/>
        <w:autoSpaceDN w:val="0"/>
        <w:adjustRightInd w:val="0"/>
        <w:spacing w:before="0" w:beforeAutospacing="0" w:after="0" w:afterAutospacing="0"/>
      </w:pPr>
    </w:p>
    <w:p w:rsidR="00AC60B9" w:rsidRDefault="00D31AE9"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AC60B9">
        <w:rPr>
          <w:color w:val="3B3B3A"/>
          <w:sz w:val="22"/>
          <w:szCs w:val="22"/>
        </w:rPr>
        <w:t>Where providers other than NBN Co supply fixed network services, should there be provisions that ensure consumers secure particular outcomes, for instance by comparison to those generally available from NBN Co?</w:t>
      </w:r>
    </w:p>
    <w:p w:rsidR="0066672E" w:rsidRPr="00AC60B9" w:rsidRDefault="00D31AE9"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AC60B9">
        <w:rPr>
          <w:color w:val="3B3B3A"/>
          <w:sz w:val="22"/>
          <w:szCs w:val="22"/>
        </w:rPr>
        <w:t xml:space="preserve"> </w:t>
      </w:r>
    </w:p>
    <w:p w:rsidR="009E63B5" w:rsidRDefault="009E63B5"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AC60B9">
        <w:rPr>
          <w:color w:val="3B3B3A"/>
          <w:sz w:val="22"/>
          <w:szCs w:val="22"/>
        </w:rPr>
        <w:t xml:space="preserve">What are the essential characteristics that service provided over a network other than NBN </w:t>
      </w:r>
      <w:proofErr w:type="spellStart"/>
      <w:r w:rsidRPr="00AC60B9">
        <w:rPr>
          <w:color w:val="3B3B3A"/>
          <w:sz w:val="22"/>
          <w:szCs w:val="22"/>
        </w:rPr>
        <w:t>Co’s</w:t>
      </w:r>
      <w:proofErr w:type="spellEnd"/>
      <w:r w:rsidRPr="00AC60B9">
        <w:rPr>
          <w:color w:val="3B3B3A"/>
          <w:sz w:val="22"/>
          <w:szCs w:val="22"/>
        </w:rPr>
        <w:t xml:space="preserve"> should have to meet for those services to be seen as operating on an NBN-comparable basis? For example, should it include the following </w:t>
      </w:r>
      <w:proofErr w:type="gramStart"/>
      <w:r w:rsidRPr="00AC60B9">
        <w:rPr>
          <w:color w:val="3B3B3A"/>
          <w:sz w:val="22"/>
          <w:szCs w:val="22"/>
        </w:rPr>
        <w:t>elements:</w:t>
      </w:r>
      <w:proofErr w:type="gramEnd"/>
      <w:r w:rsidRPr="00AC60B9">
        <w:rPr>
          <w:color w:val="3B3B3A"/>
          <w:sz w:val="22"/>
          <w:szCs w:val="22"/>
        </w:rPr>
        <w:t xml:space="preserve"> </w:t>
      </w:r>
    </w:p>
    <w:p w:rsidR="00AC60B9" w:rsidRPr="00AC60B9" w:rsidRDefault="00AC60B9"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p>
    <w:p w:rsidR="009E63B5" w:rsidRPr="00AC60B9" w:rsidRDefault="009E63B5"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proofErr w:type="spellStart"/>
      <w:r w:rsidRPr="00AC60B9">
        <w:rPr>
          <w:color w:val="3B3B3A"/>
          <w:sz w:val="22"/>
          <w:szCs w:val="22"/>
        </w:rPr>
        <w:t>i</w:t>
      </w:r>
      <w:proofErr w:type="spellEnd"/>
      <w:r w:rsidRPr="00AC60B9">
        <w:rPr>
          <w:color w:val="3B3B3A"/>
          <w:sz w:val="22"/>
          <w:szCs w:val="22"/>
        </w:rPr>
        <w:t xml:space="preserve">) </w:t>
      </w:r>
      <w:proofErr w:type="gramStart"/>
      <w:r w:rsidRPr="00AC60B9">
        <w:rPr>
          <w:color w:val="3B3B3A"/>
          <w:sz w:val="22"/>
          <w:szCs w:val="22"/>
        </w:rPr>
        <w:t>ability</w:t>
      </w:r>
      <w:proofErr w:type="gramEnd"/>
      <w:r w:rsidRPr="00AC60B9">
        <w:rPr>
          <w:color w:val="3B3B3A"/>
          <w:sz w:val="22"/>
          <w:szCs w:val="22"/>
        </w:rPr>
        <w:t xml:space="preserve"> to support certain minimum broadband speeds; </w:t>
      </w:r>
    </w:p>
    <w:p w:rsidR="009E63B5" w:rsidRPr="00AC60B9" w:rsidRDefault="009E63B5"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AC60B9">
        <w:rPr>
          <w:color w:val="3B3B3A"/>
          <w:sz w:val="22"/>
          <w:szCs w:val="22"/>
        </w:rPr>
        <w:t xml:space="preserve">ii) </w:t>
      </w:r>
      <w:proofErr w:type="gramStart"/>
      <w:r w:rsidRPr="00AC60B9">
        <w:rPr>
          <w:color w:val="3B3B3A"/>
          <w:sz w:val="22"/>
          <w:szCs w:val="22"/>
        </w:rPr>
        <w:t>provision</w:t>
      </w:r>
      <w:proofErr w:type="gramEnd"/>
      <w:r w:rsidRPr="00AC60B9">
        <w:rPr>
          <w:color w:val="3B3B3A"/>
          <w:sz w:val="22"/>
          <w:szCs w:val="22"/>
        </w:rPr>
        <w:t xml:space="preserve"> of wholesale services on an open access basis (possibly involving structural separation or some equivalent method of ensuring non-discrimination) and support for retail level competition; </w:t>
      </w:r>
    </w:p>
    <w:p w:rsidR="009E63B5" w:rsidRPr="00AC60B9" w:rsidRDefault="009E63B5"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AC60B9">
        <w:rPr>
          <w:color w:val="3B3B3A"/>
          <w:sz w:val="22"/>
          <w:szCs w:val="22"/>
        </w:rPr>
        <w:t xml:space="preserve">iii) </w:t>
      </w:r>
      <w:proofErr w:type="gramStart"/>
      <w:r w:rsidRPr="00AC60B9">
        <w:rPr>
          <w:color w:val="3B3B3A"/>
          <w:sz w:val="22"/>
          <w:szCs w:val="22"/>
        </w:rPr>
        <w:t>an</w:t>
      </w:r>
      <w:proofErr w:type="gramEnd"/>
      <w:r w:rsidRPr="00AC60B9">
        <w:rPr>
          <w:color w:val="3B3B3A"/>
          <w:sz w:val="22"/>
          <w:szCs w:val="22"/>
        </w:rPr>
        <w:t xml:space="preserve"> obligation on at least one provider to service all customers within a service area; </w:t>
      </w:r>
    </w:p>
    <w:p w:rsidR="009E63B5" w:rsidRPr="00AC60B9" w:rsidRDefault="009E63B5"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AC60B9">
        <w:rPr>
          <w:color w:val="3B3B3A"/>
          <w:sz w:val="22"/>
          <w:szCs w:val="22"/>
        </w:rPr>
        <w:t xml:space="preserve">iv) </w:t>
      </w:r>
      <w:proofErr w:type="gramStart"/>
      <w:r w:rsidRPr="00AC60B9">
        <w:rPr>
          <w:color w:val="3B3B3A"/>
          <w:sz w:val="22"/>
          <w:szCs w:val="22"/>
        </w:rPr>
        <w:t>acceptable</w:t>
      </w:r>
      <w:proofErr w:type="gramEnd"/>
      <w:r w:rsidRPr="00AC60B9">
        <w:rPr>
          <w:color w:val="3B3B3A"/>
          <w:sz w:val="22"/>
          <w:szCs w:val="22"/>
        </w:rPr>
        <w:t xml:space="preserve"> performance characteristics – for example in terms of latency, jitter, loss and network availability; </w:t>
      </w:r>
    </w:p>
    <w:p w:rsidR="009E63B5" w:rsidRPr="00AC60B9" w:rsidRDefault="009E63B5"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AC60B9">
        <w:rPr>
          <w:color w:val="3B3B3A"/>
          <w:sz w:val="22"/>
          <w:szCs w:val="22"/>
        </w:rPr>
        <w:t xml:space="preserve">v) </w:t>
      </w:r>
      <w:proofErr w:type="gramStart"/>
      <w:r w:rsidRPr="00AC60B9">
        <w:rPr>
          <w:color w:val="3B3B3A"/>
          <w:sz w:val="22"/>
          <w:szCs w:val="22"/>
        </w:rPr>
        <w:t>price</w:t>
      </w:r>
      <w:proofErr w:type="gramEnd"/>
      <w:r w:rsidRPr="00AC60B9">
        <w:rPr>
          <w:color w:val="3B3B3A"/>
          <w:sz w:val="22"/>
          <w:szCs w:val="22"/>
        </w:rPr>
        <w:t xml:space="preserve"> structures and levels that provide affordable access; </w:t>
      </w:r>
    </w:p>
    <w:p w:rsidR="009E63B5" w:rsidRPr="00AC60B9" w:rsidRDefault="009E63B5"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AC60B9">
        <w:rPr>
          <w:color w:val="3B3B3A"/>
          <w:sz w:val="22"/>
          <w:szCs w:val="22"/>
        </w:rPr>
        <w:t xml:space="preserve">vi) </w:t>
      </w:r>
      <w:proofErr w:type="gramStart"/>
      <w:r w:rsidRPr="00AC60B9">
        <w:rPr>
          <w:color w:val="3B3B3A"/>
          <w:sz w:val="22"/>
          <w:szCs w:val="22"/>
        </w:rPr>
        <w:t>credible</w:t>
      </w:r>
      <w:proofErr w:type="gramEnd"/>
      <w:r w:rsidRPr="00AC60B9">
        <w:rPr>
          <w:color w:val="3B3B3A"/>
          <w:sz w:val="22"/>
          <w:szCs w:val="22"/>
        </w:rPr>
        <w:t xml:space="preserve">, transparent and predictable upgrade paths to higher speeds; </w:t>
      </w:r>
    </w:p>
    <w:p w:rsidR="009E63B5" w:rsidRPr="00AC60B9" w:rsidRDefault="009E63B5"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AC60B9">
        <w:rPr>
          <w:color w:val="3B3B3A"/>
          <w:sz w:val="22"/>
          <w:szCs w:val="22"/>
        </w:rPr>
        <w:t xml:space="preserve">vii) </w:t>
      </w:r>
      <w:proofErr w:type="gramStart"/>
      <w:r w:rsidRPr="00AC60B9">
        <w:rPr>
          <w:color w:val="3B3B3A"/>
          <w:sz w:val="22"/>
          <w:szCs w:val="22"/>
        </w:rPr>
        <w:t>the</w:t>
      </w:r>
      <w:proofErr w:type="gramEnd"/>
      <w:r w:rsidRPr="00AC60B9">
        <w:rPr>
          <w:color w:val="3B3B3A"/>
          <w:sz w:val="22"/>
          <w:szCs w:val="22"/>
        </w:rPr>
        <w:t xml:space="preserve"> ability to support voice services and the various legacy services; and </w:t>
      </w:r>
    </w:p>
    <w:p w:rsidR="009E63B5" w:rsidRPr="00AC60B9" w:rsidRDefault="009E63B5"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AC60B9">
        <w:rPr>
          <w:color w:val="3B3B3A"/>
          <w:sz w:val="22"/>
          <w:szCs w:val="22"/>
        </w:rPr>
        <w:t xml:space="preserve">viii) </w:t>
      </w:r>
      <w:proofErr w:type="gramStart"/>
      <w:r w:rsidRPr="00AC60B9">
        <w:rPr>
          <w:color w:val="3B3B3A"/>
          <w:sz w:val="22"/>
          <w:szCs w:val="22"/>
        </w:rPr>
        <w:t>clear</w:t>
      </w:r>
      <w:proofErr w:type="gramEnd"/>
      <w:r w:rsidRPr="00AC60B9">
        <w:rPr>
          <w:color w:val="3B3B3A"/>
          <w:sz w:val="22"/>
          <w:szCs w:val="22"/>
        </w:rPr>
        <w:t xml:space="preserve"> and reasonable timeframes for connection and service restoration. </w:t>
      </w:r>
    </w:p>
    <w:p w:rsidR="009E63B5" w:rsidRPr="004C29ED" w:rsidRDefault="003B24B4" w:rsidP="00062E1A">
      <w:pPr>
        <w:spacing w:before="200" w:beforeAutospacing="0" w:after="0" w:afterAutospacing="0" w:line="240" w:lineRule="atLeast"/>
      </w:pPr>
      <w:r>
        <w:t xml:space="preserve">ACCAN has never advocated for a particular broadband delivery technology. We </w:t>
      </w:r>
      <w:r w:rsidR="004C29ED" w:rsidRPr="004C29ED">
        <w:t xml:space="preserve">agree that all the above elements are essential characteristics of a service </w:t>
      </w:r>
      <w:r w:rsidR="00BA2BF4">
        <w:t xml:space="preserve">on an </w:t>
      </w:r>
      <w:r w:rsidR="004C29ED" w:rsidRPr="004C29ED">
        <w:t>NBN</w:t>
      </w:r>
      <w:r w:rsidR="00BA2BF4">
        <w:t>-comparable</w:t>
      </w:r>
      <w:r w:rsidR="004C29ED" w:rsidRPr="004C29ED">
        <w:t xml:space="preserve"> network.</w:t>
      </w:r>
      <w:r w:rsidR="0066672E">
        <w:t xml:space="preserve"> We would add the capacity to deliver </w:t>
      </w:r>
      <w:r w:rsidR="00046081">
        <w:t>an upgrade path for higher upload speeds</w:t>
      </w:r>
      <w:r w:rsidR="007A76B6">
        <w:t xml:space="preserve"> which will become increasingly important</w:t>
      </w:r>
      <w:r>
        <w:t>,</w:t>
      </w:r>
      <w:r w:rsidR="007A76B6">
        <w:t xml:space="preserve"> particularly for small business</w:t>
      </w:r>
      <w:r w:rsidR="00046081">
        <w:t>.</w:t>
      </w:r>
    </w:p>
    <w:p w:rsidR="00D31AE9" w:rsidRDefault="00D31AE9" w:rsidP="00D31AE9">
      <w:pPr>
        <w:pStyle w:val="Default"/>
        <w:rPr>
          <w:rFonts w:eastAsiaTheme="minorEastAsia" w:cstheme="minorBidi"/>
          <w:color w:val="auto"/>
          <w:sz w:val="22"/>
          <w:szCs w:val="22"/>
          <w:lang w:eastAsia="en-AU"/>
        </w:rPr>
      </w:pPr>
    </w:p>
    <w:p w:rsidR="00BA2BF4" w:rsidRDefault="00D31AE9" w:rsidP="00D31AE9">
      <w:pPr>
        <w:pStyle w:val="Default"/>
        <w:rPr>
          <w:rFonts w:eastAsiaTheme="minorEastAsia" w:cstheme="minorBidi"/>
          <w:color w:val="auto"/>
          <w:sz w:val="22"/>
          <w:szCs w:val="22"/>
          <w:lang w:eastAsia="en-AU"/>
        </w:rPr>
      </w:pPr>
      <w:r w:rsidRPr="00662862">
        <w:rPr>
          <w:rFonts w:eastAsiaTheme="minorEastAsia" w:cstheme="minorBidi"/>
          <w:color w:val="auto"/>
          <w:sz w:val="22"/>
          <w:szCs w:val="22"/>
          <w:lang w:eastAsia="en-AU"/>
        </w:rPr>
        <w:lastRenderedPageBreak/>
        <w:t xml:space="preserve">ACCAN is satisfied that the Layer 2 </w:t>
      </w:r>
      <w:proofErr w:type="spellStart"/>
      <w:r w:rsidRPr="00662862">
        <w:rPr>
          <w:rFonts w:eastAsiaTheme="minorEastAsia" w:cstheme="minorBidi"/>
          <w:color w:val="auto"/>
          <w:sz w:val="22"/>
          <w:szCs w:val="22"/>
          <w:lang w:eastAsia="en-AU"/>
        </w:rPr>
        <w:t>bitstream</w:t>
      </w:r>
      <w:proofErr w:type="spellEnd"/>
      <w:r w:rsidRPr="00662862">
        <w:rPr>
          <w:rFonts w:eastAsiaTheme="minorEastAsia" w:cstheme="minorBidi"/>
          <w:color w:val="auto"/>
          <w:sz w:val="22"/>
          <w:szCs w:val="22"/>
          <w:lang w:eastAsia="en-AU"/>
        </w:rPr>
        <w:t xml:space="preserve"> service requirement and the other technical obligations on non-NBN networks now existing un</w:t>
      </w:r>
      <w:r>
        <w:rPr>
          <w:rFonts w:eastAsiaTheme="minorEastAsia" w:cstheme="minorBidi"/>
          <w:color w:val="auto"/>
          <w:sz w:val="22"/>
          <w:szCs w:val="22"/>
          <w:lang w:eastAsia="en-AU"/>
        </w:rPr>
        <w:t xml:space="preserve">der the Telecommunications Act </w:t>
      </w:r>
      <w:r w:rsidRPr="00662862">
        <w:rPr>
          <w:rFonts w:eastAsiaTheme="minorEastAsia" w:cstheme="minorBidi"/>
          <w:color w:val="auto"/>
          <w:sz w:val="22"/>
          <w:szCs w:val="22"/>
          <w:lang w:eastAsia="en-AU"/>
        </w:rPr>
        <w:t xml:space="preserve">will ensure a minimum standard of service over all </w:t>
      </w:r>
      <w:r w:rsidR="00BA2BF4">
        <w:rPr>
          <w:rFonts w:eastAsiaTheme="minorEastAsia" w:cstheme="minorBidi"/>
          <w:color w:val="auto"/>
          <w:sz w:val="22"/>
          <w:szCs w:val="22"/>
          <w:lang w:eastAsia="en-AU"/>
        </w:rPr>
        <w:t xml:space="preserve">fibre </w:t>
      </w:r>
      <w:r w:rsidRPr="00662862">
        <w:rPr>
          <w:rFonts w:eastAsiaTheme="minorEastAsia" w:cstheme="minorBidi"/>
          <w:color w:val="auto"/>
          <w:sz w:val="22"/>
          <w:szCs w:val="22"/>
          <w:lang w:eastAsia="en-AU"/>
        </w:rPr>
        <w:t>networks.</w:t>
      </w:r>
    </w:p>
    <w:p w:rsidR="00957246" w:rsidRDefault="00BA2BF4" w:rsidP="00957246">
      <w:pPr>
        <w:spacing w:before="200" w:beforeAutospacing="0" w:after="0" w:afterAutospacing="0" w:line="240" w:lineRule="atLeast"/>
      </w:pPr>
      <w:r>
        <w:t>However we are concerned about whether various</w:t>
      </w:r>
      <w:r w:rsidR="00D65EF7">
        <w:t xml:space="preserve"> other</w:t>
      </w:r>
      <w:r>
        <w:t xml:space="preserve"> technologies with varying service capabilities can be adequately regulated to provide the same </w:t>
      </w:r>
      <w:r w:rsidR="00AC60B9">
        <w:t xml:space="preserve">minimum </w:t>
      </w:r>
      <w:r w:rsidR="00D65EF7">
        <w:t>outcomes for consumers</w:t>
      </w:r>
      <w:r>
        <w:t xml:space="preserve"> into the future.</w:t>
      </w:r>
      <w:r w:rsidR="00957246">
        <w:t xml:space="preserve"> We would be seeking a better understanding of how government might create a “credible, transparent and predictable upgrade path” </w:t>
      </w:r>
      <w:r w:rsidR="00D65EF7">
        <w:t xml:space="preserve">(including </w:t>
      </w:r>
      <w:r w:rsidR="00957246">
        <w:t xml:space="preserve">for </w:t>
      </w:r>
      <w:r w:rsidR="00D65EF7">
        <w:t xml:space="preserve">NBN-comparable </w:t>
      </w:r>
      <w:r w:rsidR="00957246">
        <w:t>networks</w:t>
      </w:r>
      <w:r w:rsidR="00D65EF7">
        <w:t xml:space="preserve"> should they exist) –</w:t>
      </w:r>
      <w:r w:rsidR="00957246">
        <w:t xml:space="preserve"> particularly</w:t>
      </w:r>
      <w:r w:rsidR="00D65EF7">
        <w:t xml:space="preserve"> </w:t>
      </w:r>
      <w:r w:rsidR="00957246">
        <w:t>how government would determine whether a particular level of service was acceptable or deserving of upgrade.</w:t>
      </w:r>
    </w:p>
    <w:p w:rsidR="00D31AE9" w:rsidRDefault="00D31AE9" w:rsidP="00D31AE9">
      <w:pPr>
        <w:pStyle w:val="Default"/>
        <w:rPr>
          <w:rFonts w:eastAsiaTheme="minorEastAsia" w:cstheme="minorBidi"/>
          <w:color w:val="auto"/>
          <w:sz w:val="22"/>
          <w:szCs w:val="22"/>
          <w:lang w:eastAsia="en-AU"/>
        </w:rPr>
      </w:pPr>
    </w:p>
    <w:p w:rsidR="00957246" w:rsidRPr="00D65EF7" w:rsidRDefault="00957246" w:rsidP="00D31AE9">
      <w:pPr>
        <w:pStyle w:val="Default"/>
        <w:rPr>
          <w:rFonts w:eastAsiaTheme="minorEastAsia" w:cstheme="minorBidi"/>
          <w:b/>
          <w:color w:val="auto"/>
          <w:sz w:val="22"/>
          <w:szCs w:val="22"/>
          <w:lang w:eastAsia="en-AU"/>
        </w:rPr>
      </w:pPr>
      <w:r w:rsidRPr="00D65EF7">
        <w:rPr>
          <w:rFonts w:eastAsiaTheme="minorEastAsia" w:cstheme="minorBidi"/>
          <w:b/>
          <w:color w:val="auto"/>
          <w:sz w:val="22"/>
          <w:szCs w:val="22"/>
          <w:lang w:eastAsia="en-AU"/>
        </w:rPr>
        <w:t>Essential service characteristics</w:t>
      </w:r>
    </w:p>
    <w:p w:rsidR="00D65EF7" w:rsidRDefault="00D65EF7" w:rsidP="00D65EF7">
      <w:pPr>
        <w:spacing w:before="200" w:beforeAutospacing="0" w:after="0" w:afterAutospacing="0" w:line="240" w:lineRule="atLeast"/>
      </w:pPr>
      <w:r>
        <w:t>As part of a multi-technology mix approach there will be various technologies, either NBN-controlled or simply NBN-comparable. We believe that minimum performance characteristics and minimum speeds should be required irrespective of ownership. We would be seeking from government further consultation on what these minimum speeds and performance characteristics might be.</w:t>
      </w:r>
    </w:p>
    <w:p w:rsidR="00D65EF7" w:rsidRDefault="00D65EF7" w:rsidP="00D65EF7">
      <w:pPr>
        <w:spacing w:before="200" w:beforeAutospacing="0" w:after="0" w:afterAutospacing="0" w:line="240" w:lineRule="atLeast"/>
      </w:pPr>
      <w:r w:rsidRPr="004C29ED">
        <w:t xml:space="preserve">ACCAN </w:t>
      </w:r>
      <w:r>
        <w:t xml:space="preserve">is not </w:t>
      </w:r>
      <w:r w:rsidR="007A76B6">
        <w:t xml:space="preserve">necessarily </w:t>
      </w:r>
      <w:r>
        <w:t xml:space="preserve">concerned with whether a network is controlled by NBN Co or not, but rather with the </w:t>
      </w:r>
      <w:r w:rsidRPr="004C29ED">
        <w:t>material impact on the quality of retail service</w:t>
      </w:r>
      <w:r w:rsidR="0066672E">
        <w:t xml:space="preserve"> </w:t>
      </w:r>
      <w:r w:rsidRPr="004C29ED">
        <w:t>that consumers can receive</w:t>
      </w:r>
      <w:r>
        <w:t xml:space="preserve"> at their premise</w:t>
      </w:r>
      <w:r w:rsidR="0066672E">
        <w:t xml:space="preserve"> and the prices</w:t>
      </w:r>
      <w:r w:rsidR="007A76B6">
        <w:t xml:space="preserve"> and range</w:t>
      </w:r>
      <w:r w:rsidR="0066672E">
        <w:t xml:space="preserve"> of the products on offer</w:t>
      </w:r>
      <w:r w:rsidRPr="004C29ED">
        <w:t>.</w:t>
      </w:r>
      <w:r>
        <w:t xml:space="preserve"> </w:t>
      </w:r>
    </w:p>
    <w:p w:rsidR="00D65EF7" w:rsidRDefault="00D65EF7" w:rsidP="00D31AE9">
      <w:pPr>
        <w:pStyle w:val="Default"/>
        <w:rPr>
          <w:rFonts w:eastAsiaTheme="minorEastAsia" w:cstheme="minorBidi"/>
          <w:color w:val="auto"/>
          <w:sz w:val="22"/>
          <w:szCs w:val="22"/>
          <w:lang w:eastAsia="en-AU"/>
        </w:rPr>
      </w:pPr>
    </w:p>
    <w:p w:rsidR="00D31AE9" w:rsidRDefault="00D31AE9" w:rsidP="00D31AE9">
      <w:pPr>
        <w:pStyle w:val="Default"/>
        <w:rPr>
          <w:rFonts w:eastAsiaTheme="minorEastAsia" w:cstheme="minorBidi"/>
          <w:color w:val="auto"/>
          <w:sz w:val="22"/>
          <w:szCs w:val="22"/>
          <w:lang w:eastAsia="en-AU"/>
        </w:rPr>
      </w:pPr>
      <w:r>
        <w:rPr>
          <w:rFonts w:eastAsiaTheme="minorEastAsia" w:cstheme="minorBidi"/>
          <w:color w:val="auto"/>
          <w:sz w:val="22"/>
          <w:szCs w:val="22"/>
          <w:lang w:eastAsia="en-AU"/>
        </w:rPr>
        <w:t>Where particular technologies are deployed</w:t>
      </w:r>
      <w:r w:rsidR="00D94CD3">
        <w:rPr>
          <w:rFonts w:eastAsiaTheme="minorEastAsia" w:cstheme="minorBidi"/>
          <w:color w:val="auto"/>
          <w:sz w:val="22"/>
          <w:szCs w:val="22"/>
          <w:lang w:eastAsia="en-AU"/>
        </w:rPr>
        <w:t xml:space="preserve"> –</w:t>
      </w:r>
      <w:r>
        <w:rPr>
          <w:rFonts w:eastAsiaTheme="minorEastAsia" w:cstheme="minorBidi"/>
          <w:color w:val="auto"/>
          <w:sz w:val="22"/>
          <w:szCs w:val="22"/>
          <w:lang w:eastAsia="en-AU"/>
        </w:rPr>
        <w:t xml:space="preserve"> for</w:t>
      </w:r>
      <w:r w:rsidR="00D94CD3">
        <w:rPr>
          <w:rFonts w:eastAsiaTheme="minorEastAsia" w:cstheme="minorBidi"/>
          <w:color w:val="auto"/>
          <w:sz w:val="22"/>
          <w:szCs w:val="22"/>
          <w:lang w:eastAsia="en-AU"/>
        </w:rPr>
        <w:t xml:space="preserve"> </w:t>
      </w:r>
      <w:r>
        <w:rPr>
          <w:rFonts w:eastAsiaTheme="minorEastAsia" w:cstheme="minorBidi"/>
          <w:color w:val="auto"/>
          <w:sz w:val="22"/>
          <w:szCs w:val="22"/>
          <w:lang w:eastAsia="en-AU"/>
        </w:rPr>
        <w:t>example HFC</w:t>
      </w:r>
      <w:r w:rsidR="007A76B6">
        <w:rPr>
          <w:rFonts w:eastAsiaTheme="minorEastAsia" w:cstheme="minorBidi"/>
          <w:color w:val="auto"/>
          <w:sz w:val="22"/>
          <w:szCs w:val="22"/>
          <w:lang w:eastAsia="en-AU"/>
        </w:rPr>
        <w:t xml:space="preserve"> or FTTN</w:t>
      </w:r>
      <w:r w:rsidR="00D94CD3">
        <w:rPr>
          <w:rFonts w:eastAsiaTheme="minorEastAsia" w:cstheme="minorBidi"/>
          <w:color w:val="auto"/>
          <w:sz w:val="22"/>
          <w:szCs w:val="22"/>
          <w:lang w:eastAsia="en-AU"/>
        </w:rPr>
        <w:t xml:space="preserve"> –</w:t>
      </w:r>
      <w:r>
        <w:rPr>
          <w:rFonts w:eastAsiaTheme="minorEastAsia" w:cstheme="minorBidi"/>
          <w:color w:val="auto"/>
          <w:sz w:val="22"/>
          <w:szCs w:val="22"/>
          <w:lang w:eastAsia="en-AU"/>
        </w:rPr>
        <w:t xml:space="preserve"> that</w:t>
      </w:r>
      <w:r w:rsidR="00D94CD3">
        <w:rPr>
          <w:rFonts w:eastAsiaTheme="minorEastAsia" w:cstheme="minorBidi"/>
          <w:color w:val="auto"/>
          <w:sz w:val="22"/>
          <w:szCs w:val="22"/>
          <w:lang w:eastAsia="en-AU"/>
        </w:rPr>
        <w:t xml:space="preserve"> </w:t>
      </w:r>
      <w:r w:rsidR="007A76B6">
        <w:rPr>
          <w:rFonts w:eastAsiaTheme="minorEastAsia" w:cstheme="minorBidi"/>
          <w:color w:val="auto"/>
          <w:sz w:val="22"/>
          <w:szCs w:val="22"/>
          <w:lang w:eastAsia="en-AU"/>
        </w:rPr>
        <w:t>differ in capability from FTT</w:t>
      </w:r>
      <w:r w:rsidR="003B24B4">
        <w:rPr>
          <w:rFonts w:eastAsiaTheme="minorEastAsia" w:cstheme="minorBidi"/>
          <w:color w:val="auto"/>
          <w:sz w:val="22"/>
          <w:szCs w:val="22"/>
          <w:lang w:eastAsia="en-AU"/>
        </w:rPr>
        <w:t>P</w:t>
      </w:r>
      <w:r>
        <w:rPr>
          <w:rFonts w:eastAsiaTheme="minorEastAsia" w:cstheme="minorBidi"/>
          <w:color w:val="auto"/>
          <w:sz w:val="22"/>
          <w:szCs w:val="22"/>
          <w:lang w:eastAsia="en-AU"/>
        </w:rPr>
        <w:t xml:space="preserve"> there will not necessarily be a material detriment felt by most consumers immediately taking into account current applications and usage patterns. However ACCAN is concerned that over time a patchwork of first and second class broadband availability will emerge as applications emerge that use higher speeds.</w:t>
      </w:r>
    </w:p>
    <w:p w:rsidR="00957246" w:rsidRDefault="00957246" w:rsidP="00D31AE9">
      <w:pPr>
        <w:pStyle w:val="Default"/>
        <w:rPr>
          <w:rFonts w:eastAsiaTheme="minorEastAsia" w:cstheme="minorBidi"/>
          <w:color w:val="auto"/>
          <w:sz w:val="22"/>
          <w:szCs w:val="22"/>
          <w:lang w:eastAsia="en-AU"/>
        </w:rPr>
      </w:pPr>
    </w:p>
    <w:p w:rsidR="00957246" w:rsidRDefault="00957246" w:rsidP="00D31AE9">
      <w:pPr>
        <w:pStyle w:val="Default"/>
        <w:rPr>
          <w:rFonts w:eastAsiaTheme="minorEastAsia" w:cstheme="minorBidi"/>
          <w:color w:val="auto"/>
          <w:sz w:val="22"/>
          <w:szCs w:val="22"/>
          <w:lang w:eastAsia="en-AU"/>
        </w:rPr>
      </w:pPr>
      <w:r>
        <w:rPr>
          <w:rFonts w:eastAsiaTheme="minorEastAsia" w:cstheme="minorBidi"/>
          <w:color w:val="auto"/>
          <w:sz w:val="22"/>
          <w:szCs w:val="22"/>
          <w:lang w:eastAsia="en-AU"/>
        </w:rPr>
        <w:t xml:space="preserve">This is of particular concern for small </w:t>
      </w:r>
      <w:r w:rsidR="00AC60B9">
        <w:rPr>
          <w:rFonts w:eastAsiaTheme="minorEastAsia" w:cstheme="minorBidi"/>
          <w:color w:val="auto"/>
          <w:sz w:val="22"/>
          <w:szCs w:val="22"/>
          <w:lang w:eastAsia="en-AU"/>
        </w:rPr>
        <w:t xml:space="preserve">and medium-sized </w:t>
      </w:r>
      <w:r>
        <w:rPr>
          <w:rFonts w:eastAsiaTheme="minorEastAsia" w:cstheme="minorBidi"/>
          <w:color w:val="auto"/>
          <w:sz w:val="22"/>
          <w:szCs w:val="22"/>
          <w:lang w:eastAsia="en-AU"/>
        </w:rPr>
        <w:t xml:space="preserve">business in </w:t>
      </w:r>
      <w:r w:rsidR="007855BD">
        <w:rPr>
          <w:rFonts w:eastAsiaTheme="minorEastAsia" w:cstheme="minorBidi"/>
          <w:color w:val="auto"/>
          <w:sz w:val="22"/>
          <w:szCs w:val="22"/>
          <w:lang w:eastAsia="en-AU"/>
        </w:rPr>
        <w:t>non-urban</w:t>
      </w:r>
      <w:r>
        <w:rPr>
          <w:rFonts w:eastAsiaTheme="minorEastAsia" w:cstheme="minorBidi"/>
          <w:color w:val="auto"/>
          <w:sz w:val="22"/>
          <w:szCs w:val="22"/>
          <w:lang w:eastAsia="en-AU"/>
        </w:rPr>
        <w:t xml:space="preserve"> Australia. Business is more likely to require, for example, high upload speeds. In an economy that is increasingly global and online, </w:t>
      </w:r>
      <w:r w:rsidR="007855BD">
        <w:rPr>
          <w:rFonts w:eastAsiaTheme="minorEastAsia" w:cstheme="minorBidi"/>
          <w:color w:val="auto"/>
          <w:sz w:val="22"/>
          <w:szCs w:val="22"/>
          <w:lang w:eastAsia="en-AU"/>
        </w:rPr>
        <w:t>non-urban</w:t>
      </w:r>
      <w:r>
        <w:rPr>
          <w:rFonts w:eastAsiaTheme="minorEastAsia" w:cstheme="minorBidi"/>
          <w:color w:val="auto"/>
          <w:sz w:val="22"/>
          <w:szCs w:val="22"/>
          <w:lang w:eastAsia="en-AU"/>
        </w:rPr>
        <w:t xml:space="preserve"> business will find it increasingly hard to compete if they do not have high</w:t>
      </w:r>
      <w:r w:rsidR="007A76B6">
        <w:rPr>
          <w:rFonts w:eastAsiaTheme="minorEastAsia" w:cstheme="minorBidi"/>
          <w:color w:val="auto"/>
          <w:sz w:val="22"/>
          <w:szCs w:val="22"/>
          <w:lang w:eastAsia="en-AU"/>
        </w:rPr>
        <w:t>-</w:t>
      </w:r>
      <w:r>
        <w:rPr>
          <w:rFonts w:eastAsiaTheme="minorEastAsia" w:cstheme="minorBidi"/>
          <w:color w:val="auto"/>
          <w:sz w:val="22"/>
          <w:szCs w:val="22"/>
          <w:lang w:eastAsia="en-AU"/>
        </w:rPr>
        <w:t>quality infrastructure available to them.</w:t>
      </w:r>
    </w:p>
    <w:p w:rsidR="00AC60B9" w:rsidRDefault="00AC60B9" w:rsidP="00062E1A">
      <w:pPr>
        <w:spacing w:before="200" w:beforeAutospacing="0" w:after="0" w:afterAutospacing="0" w:line="240" w:lineRule="atLeast"/>
      </w:pPr>
    </w:p>
    <w:p w:rsidR="00AC60B9" w:rsidRPr="004C29ED" w:rsidRDefault="00AC60B9" w:rsidP="00062E1A">
      <w:pPr>
        <w:spacing w:before="200" w:beforeAutospacing="0" w:after="0" w:afterAutospacing="0" w:line="240" w:lineRule="atLeast"/>
      </w:pPr>
    </w:p>
    <w:p w:rsidR="009E63B5" w:rsidRPr="00AC60B9" w:rsidRDefault="009E63B5" w:rsidP="00AC60B9">
      <w:pPr>
        <w:pStyle w:val="Default"/>
        <w:pBdr>
          <w:top w:val="single" w:sz="4" w:space="1" w:color="auto"/>
          <w:left w:val="single" w:sz="4" w:space="4" w:color="auto"/>
          <w:bottom w:val="single" w:sz="4" w:space="3" w:color="auto"/>
          <w:right w:val="single" w:sz="4" w:space="4" w:color="auto"/>
        </w:pBdr>
        <w:shd w:val="pct12" w:color="auto" w:fill="auto"/>
        <w:rPr>
          <w:color w:val="3B3B3A"/>
          <w:sz w:val="22"/>
          <w:szCs w:val="22"/>
        </w:rPr>
      </w:pPr>
      <w:r w:rsidRPr="00AC60B9">
        <w:rPr>
          <w:color w:val="3B3B3A"/>
          <w:sz w:val="22"/>
          <w:szCs w:val="22"/>
        </w:rPr>
        <w:t xml:space="preserve">Should responsibility for the economic regulation of telecommunications remain with the ACCC? </w:t>
      </w:r>
    </w:p>
    <w:p w:rsidR="00F96B8C" w:rsidRDefault="00F96B8C" w:rsidP="00062E1A">
      <w:pPr>
        <w:spacing w:before="200" w:beforeAutospacing="0" w:after="0" w:afterAutospacing="0" w:line="240" w:lineRule="atLeast"/>
      </w:pPr>
      <w:r>
        <w:t>T</w:t>
      </w:r>
      <w:r w:rsidR="00535590">
        <w:t xml:space="preserve">he ACCC should remain in charge of economic regulation for the telecommunications sector. </w:t>
      </w:r>
    </w:p>
    <w:p w:rsidR="00F96B8C" w:rsidRDefault="00535590" w:rsidP="00062E1A">
      <w:pPr>
        <w:spacing w:before="200" w:beforeAutospacing="0" w:after="0" w:afterAutospacing="0" w:line="240" w:lineRule="atLeast"/>
      </w:pPr>
      <w:r>
        <w:t xml:space="preserve">It has been recognised since the </w:t>
      </w:r>
      <w:proofErr w:type="spellStart"/>
      <w:r>
        <w:t>Hilmer</w:t>
      </w:r>
      <w:proofErr w:type="spellEnd"/>
      <w:r>
        <w:t xml:space="preserve"> Report of 1993 that an integrated, economy-wide regulator was a preferable institutional arrangement. Apart from reduced administrative costs and economic benefits, of key importance for consumers is that the regulator not be ‘captured’ by a particular sector or industry.</w:t>
      </w:r>
      <w:r w:rsidR="00F96B8C">
        <w:rPr>
          <w:rStyle w:val="FootnoteReference"/>
        </w:rPr>
        <w:footnoteReference w:id="4"/>
      </w:r>
    </w:p>
    <w:p w:rsidR="00E00645" w:rsidRDefault="00535590" w:rsidP="00062E1A">
      <w:pPr>
        <w:spacing w:before="200" w:beforeAutospacing="0" w:after="0" w:afterAutospacing="0" w:line="240" w:lineRule="atLeast"/>
      </w:pPr>
      <w:r>
        <w:t xml:space="preserve">Having the single body with the national competition and consumer remit has been proven to work well. The ACCC has been an active and effective regulator and guardian of the consumer interest. It </w:t>
      </w:r>
      <w:r>
        <w:lastRenderedPageBreak/>
        <w:t xml:space="preserve">brings a depth of expert competence and understanding of the effect on consumers of all its decision-making on highly technical and specialised matters in the wholesale telecommunications space. These are matters that in the absence of the ACCC would far more likely be decided without effective consideration of </w:t>
      </w:r>
      <w:r w:rsidR="00F96B8C">
        <w:t>consumers’ interests</w:t>
      </w:r>
      <w:r>
        <w:t xml:space="preserve">. </w:t>
      </w:r>
    </w:p>
    <w:p w:rsidR="009E63B5" w:rsidRDefault="00535590" w:rsidP="00062E1A">
      <w:pPr>
        <w:spacing w:before="200" w:beforeAutospacing="0" w:after="0" w:afterAutospacing="0" w:line="240" w:lineRule="atLeast"/>
      </w:pPr>
      <w:r>
        <w:t>ACCAN strongly rejects any suggestion that the rol</w:t>
      </w:r>
      <w:r w:rsidR="00F96B8C">
        <w:t xml:space="preserve">e of the ACCC </w:t>
      </w:r>
      <w:r w:rsidR="00B57600">
        <w:t>sh</w:t>
      </w:r>
      <w:r w:rsidR="00F96B8C">
        <w:t>ould be performed by any other agency – currently existing or newly created.</w:t>
      </w:r>
    </w:p>
    <w:p w:rsidR="00535590" w:rsidRDefault="00535590" w:rsidP="00062E1A">
      <w:pPr>
        <w:spacing w:before="200" w:beforeAutospacing="0" w:after="0" w:afterAutospacing="0" w:line="240" w:lineRule="atLeast"/>
      </w:pPr>
    </w:p>
    <w:p w:rsidR="00535590" w:rsidRPr="003441E5" w:rsidRDefault="00535590" w:rsidP="00062E1A">
      <w:pPr>
        <w:spacing w:before="200" w:beforeAutospacing="0" w:after="0" w:afterAutospacing="0" w:line="240" w:lineRule="atLeast"/>
      </w:pPr>
    </w:p>
    <w:sectPr w:rsidR="00535590"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A4" w:rsidRDefault="008404A4" w:rsidP="00B14DFB">
      <w:r>
        <w:separator/>
      </w:r>
    </w:p>
  </w:endnote>
  <w:endnote w:type="continuationSeparator" w:id="0">
    <w:p w:rsidR="008404A4" w:rsidRDefault="008404A4"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I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F6" w:rsidRDefault="00DB08F6"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4634BC">
      <w:rPr>
        <w:noProof/>
      </w:rPr>
      <w:t>7</w:t>
    </w:r>
    <w:r w:rsidRPr="00C4251E">
      <w:rPr>
        <w:noProof/>
      </w:rPr>
      <w:fldChar w:fldCharType="end"/>
    </w:r>
  </w:p>
  <w:p w:rsidR="00DB08F6" w:rsidRPr="000F58CC" w:rsidRDefault="00DB08F6" w:rsidP="00A13B92"/>
  <w:p w:rsidR="00DB08F6" w:rsidRDefault="00DB08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F6" w:rsidRDefault="00DB08F6" w:rsidP="00A13B92">
    <w:pPr>
      <w:pStyle w:val="Footerpage1"/>
    </w:pPr>
    <w:r w:rsidRPr="004A0B0A">
      <w:rPr>
        <w:color w:val="44C8F5"/>
      </w:rPr>
      <w:t>Australian Communications Consumer Action Network (ACCAN)</w:t>
    </w:r>
  </w:p>
  <w:p w:rsidR="00DB08F6" w:rsidRDefault="00DB08F6" w:rsidP="00A13B92">
    <w:pPr>
      <w:pStyle w:val="Footerpage1"/>
      <w:rPr>
        <w:i/>
      </w:rPr>
    </w:pPr>
    <w:r w:rsidRPr="004A0B0A">
      <w:rPr>
        <w:i/>
        <w:color w:val="44C8F5"/>
      </w:rPr>
      <w:t>Australia’s peak telecommunications consumer advocacy organisation</w:t>
    </w:r>
  </w:p>
  <w:p w:rsidR="00DB08F6" w:rsidRDefault="00DB08F6" w:rsidP="00A13B92">
    <w:pPr>
      <w:pStyle w:val="Footerpage1"/>
    </w:pPr>
    <w:r w:rsidRPr="008E763A">
      <w:rPr>
        <w:noProof/>
        <w:lang w:eastAsia="en-AU"/>
      </w:rPr>
      <mc:AlternateContent>
        <mc:Choice Requires="wps">
          <w:drawing>
            <wp:inline distT="0" distB="0" distL="0" distR="0" wp14:anchorId="1176F6A9" wp14:editId="1BE17A7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DB08F6" w:rsidRDefault="00DB08F6" w:rsidP="00A13B92">
    <w:pPr>
      <w:pStyle w:val="Footerpage1"/>
    </w:pPr>
    <w:r w:rsidRPr="008E763A">
      <w:t>Tel: (02) 9288 4000 | TTY: (02) 9281 5322 | Fax: (02) 9288 4019</w:t>
    </w:r>
  </w:p>
  <w:p w:rsidR="00DB08F6" w:rsidRDefault="00DB08F6"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A4" w:rsidRDefault="008404A4" w:rsidP="00B14DFB">
      <w:r>
        <w:separator/>
      </w:r>
    </w:p>
  </w:footnote>
  <w:footnote w:type="continuationSeparator" w:id="0">
    <w:p w:rsidR="008404A4" w:rsidRDefault="008404A4" w:rsidP="00B14DFB">
      <w:r>
        <w:continuationSeparator/>
      </w:r>
    </w:p>
  </w:footnote>
  <w:footnote w:id="1">
    <w:p w:rsidR="00DB08F6" w:rsidRPr="00BC51A3" w:rsidRDefault="00DB08F6" w:rsidP="00EA6C56">
      <w:pPr>
        <w:pStyle w:val="toclevel2"/>
        <w:keepNext/>
        <w:rPr>
          <w:sz w:val="20"/>
        </w:rPr>
      </w:pPr>
      <w:r w:rsidRPr="00BC51A3">
        <w:rPr>
          <w:rStyle w:val="FootnoteReference"/>
          <w:sz w:val="20"/>
          <w:szCs w:val="20"/>
        </w:rPr>
        <w:footnoteRef/>
      </w:r>
      <w:r w:rsidRPr="00BC51A3">
        <w:rPr>
          <w:sz w:val="20"/>
          <w:szCs w:val="20"/>
        </w:rPr>
        <w:t xml:space="preserve"> </w:t>
      </w:r>
      <w:r w:rsidRPr="003B24B4">
        <w:rPr>
          <w:rFonts w:ascii="Calibri" w:eastAsiaTheme="minorEastAsia" w:hAnsi="Calibri" w:cstheme="minorBidi"/>
          <w:i/>
          <w:sz w:val="18"/>
          <w:szCs w:val="18"/>
        </w:rPr>
        <w:t>Regulation Impact Statement 4</w:t>
      </w:r>
      <w:r w:rsidRPr="003B24B4">
        <w:rPr>
          <w:rFonts w:ascii="Calibri" w:eastAsiaTheme="minorEastAsia" w:hAnsi="Calibri" w:cstheme="minorBidi"/>
          <w:sz w:val="18"/>
          <w:szCs w:val="18"/>
        </w:rPr>
        <w:t xml:space="preserve">: Measures to provide a level playing field for the provision of superfast broadband across Australia, Revised Explanatory Memorandum, Telecommunications Legislation Amendment (National Broadband Network Measures — </w:t>
      </w:r>
      <w:r w:rsidRPr="003B24B4">
        <w:rPr>
          <w:rFonts w:ascii="Calibri" w:eastAsiaTheme="minorEastAsia" w:hAnsi="Calibri" w:cstheme="minorBidi"/>
          <w:sz w:val="18"/>
          <w:szCs w:val="18"/>
        </w:rPr>
        <w:softHyphen/>
        <w:t xml:space="preserve">Access Arrangements) Bill 2011, </w:t>
      </w:r>
      <w:hyperlink r:id="rId1" w:history="1">
        <w:r w:rsidRPr="003B24B4">
          <w:rPr>
            <w:rStyle w:val="Hyperlink"/>
            <w:rFonts w:ascii="Calibri" w:eastAsiaTheme="minorEastAsia" w:hAnsi="Calibri" w:cstheme="minorBidi"/>
            <w:sz w:val="18"/>
            <w:szCs w:val="18"/>
          </w:rPr>
          <w:t>http://www.comlaw.gov.au/Details/C2010B00281/Revised%20Explanatory%20Memorandum/Text</w:t>
        </w:r>
      </w:hyperlink>
    </w:p>
  </w:footnote>
  <w:footnote w:id="2">
    <w:p w:rsidR="00DB08F6" w:rsidRPr="00DF7782" w:rsidRDefault="00DB08F6">
      <w:pPr>
        <w:pStyle w:val="FootnoteText"/>
      </w:pPr>
      <w:r>
        <w:rPr>
          <w:rStyle w:val="FootnoteReference"/>
        </w:rPr>
        <w:footnoteRef/>
      </w:r>
      <w:r>
        <w:t xml:space="preserve"> For example: Fletcher, Paul. </w:t>
      </w:r>
      <w:proofErr w:type="gramStart"/>
      <w:r>
        <w:rPr>
          <w:i/>
        </w:rPr>
        <w:t xml:space="preserve">Wired Brown Land, </w:t>
      </w:r>
      <w:r>
        <w:t>UNSW Press, 2009.</w:t>
      </w:r>
      <w:proofErr w:type="gramEnd"/>
    </w:p>
  </w:footnote>
  <w:footnote w:id="3">
    <w:p w:rsidR="00DB08F6" w:rsidRDefault="00DB08F6" w:rsidP="00F145C2">
      <w:pPr>
        <w:pStyle w:val="NoSpacing"/>
      </w:pPr>
      <w:r>
        <w:rPr>
          <w:rStyle w:val="FootnoteReference"/>
        </w:rPr>
        <w:footnoteRef/>
      </w:r>
      <w:r>
        <w:t xml:space="preserve"> </w:t>
      </w:r>
      <w:r w:rsidRPr="00D7599D">
        <w:rPr>
          <w:rFonts w:eastAsiaTheme="minorHAnsi"/>
          <w:sz w:val="18"/>
          <w:szCs w:val="20"/>
          <w:lang w:eastAsia="en-US"/>
        </w:rPr>
        <w:t xml:space="preserve">For example: Competitive Carriers Coalition </w:t>
      </w:r>
      <w:hyperlink r:id="rId2" w:history="1">
        <w:r w:rsidRPr="00D7599D">
          <w:rPr>
            <w:rStyle w:val="Hyperlink"/>
            <w:sz w:val="18"/>
            <w:szCs w:val="18"/>
            <w:lang w:eastAsia="en-US"/>
          </w:rPr>
          <w:t>submission</w:t>
        </w:r>
      </w:hyperlink>
      <w:r w:rsidRPr="00D7599D">
        <w:rPr>
          <w:rFonts w:eastAsiaTheme="minorHAnsi"/>
          <w:sz w:val="18"/>
          <w:szCs w:val="18"/>
          <w:lang w:eastAsia="en-US"/>
        </w:rPr>
        <w:t xml:space="preserve"> </w:t>
      </w:r>
      <w:r w:rsidRPr="00D7599D">
        <w:rPr>
          <w:rFonts w:eastAsiaTheme="minorHAnsi"/>
          <w:sz w:val="18"/>
          <w:szCs w:val="20"/>
          <w:lang w:eastAsia="en-US"/>
        </w:rPr>
        <w:t xml:space="preserve">to ACCC Assessment of Telstra’s SSU and draft migration plan, 29 September 2011; Optus </w:t>
      </w:r>
      <w:hyperlink r:id="rId3" w:history="1">
        <w:r>
          <w:rPr>
            <w:rStyle w:val="Hyperlink"/>
            <w:rFonts w:eastAsiaTheme="minorHAnsi"/>
            <w:sz w:val="18"/>
            <w:szCs w:val="20"/>
            <w:lang w:eastAsia="en-US"/>
          </w:rPr>
          <w:t>s</w:t>
        </w:r>
        <w:r w:rsidRPr="00D7599D">
          <w:rPr>
            <w:rStyle w:val="Hyperlink"/>
            <w:rFonts w:eastAsiaTheme="minorHAnsi"/>
            <w:sz w:val="18"/>
            <w:szCs w:val="20"/>
            <w:lang w:eastAsia="en-US"/>
          </w:rPr>
          <w:t>ubmission</w:t>
        </w:r>
      </w:hyperlink>
      <w:r w:rsidRPr="00D7599D">
        <w:rPr>
          <w:rFonts w:eastAsiaTheme="minorHAnsi"/>
          <w:sz w:val="18"/>
          <w:szCs w:val="20"/>
          <w:lang w:eastAsia="en-US"/>
        </w:rPr>
        <w:t xml:space="preserve"> in response to the ACCC’s Draft Determination on the Application for Authorisation of the HFC Subscriber Agreement between NBN Co Limited and SingTel Optus Pty Ltd and other Optus entities</w:t>
      </w:r>
      <w:r>
        <w:rPr>
          <w:rFonts w:eastAsiaTheme="minorHAnsi"/>
          <w:sz w:val="18"/>
          <w:szCs w:val="20"/>
          <w:lang w:eastAsia="en-US"/>
        </w:rPr>
        <w:t>,  13 June 2012</w:t>
      </w:r>
    </w:p>
  </w:footnote>
  <w:footnote w:id="4">
    <w:p w:rsidR="00DB08F6" w:rsidRDefault="00DB08F6">
      <w:pPr>
        <w:pStyle w:val="FootnoteText"/>
      </w:pPr>
      <w:r>
        <w:rPr>
          <w:rStyle w:val="FootnoteReference"/>
        </w:rPr>
        <w:footnoteRef/>
      </w:r>
      <w:r>
        <w:t xml:space="preserve"> National Competition Policy Review, 1993, p.325-29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F6" w:rsidRDefault="00DB08F6" w:rsidP="00E45E4C">
    <w:pPr>
      <w:pStyle w:val="Header"/>
      <w:jc w:val="right"/>
    </w:pPr>
    <w:r>
      <w:rPr>
        <w:noProof/>
        <w:lang w:eastAsia="en-AU"/>
      </w:rPr>
      <w:drawing>
        <wp:inline distT="0" distB="0" distL="0" distR="0" wp14:anchorId="435296A4" wp14:editId="5269F9E1">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p w:rsidR="00DB08F6" w:rsidRDefault="00DB08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F6" w:rsidRDefault="00DB08F6" w:rsidP="00B14DFB">
    <w:pPr>
      <w:pStyle w:val="Header"/>
      <w:jc w:val="center"/>
    </w:pPr>
    <w:r>
      <w:rPr>
        <w:noProof/>
        <w:lang w:eastAsia="en-AU"/>
      </w:rPr>
      <w:drawing>
        <wp:inline distT="0" distB="0" distL="0" distR="0" wp14:anchorId="54B76082" wp14:editId="19FE3E82">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65C"/>
    <w:multiLevelType w:val="hybridMultilevel"/>
    <w:tmpl w:val="975041BA"/>
    <w:lvl w:ilvl="0" w:tplc="0C090017">
      <w:start w:val="1"/>
      <w:numFmt w:val="lowerLetter"/>
      <w:lvlText w:val="%1)"/>
      <w:lvlJc w:val="left"/>
      <w:pPr>
        <w:ind w:left="360" w:hanging="360"/>
      </w:pPr>
    </w:lvl>
    <w:lvl w:ilvl="1" w:tplc="0C090017">
      <w:start w:val="1"/>
      <w:numFmt w:val="lowerLetter"/>
      <w:lvlText w:val="%2)"/>
      <w:lvlJc w:val="left"/>
      <w:pPr>
        <w:ind w:left="1080" w:hanging="360"/>
      </w:pPr>
      <w:rPr>
        <w:rFonts w:hint="default"/>
      </w:rPr>
    </w:lvl>
    <w:lvl w:ilvl="2" w:tplc="6E3C5A3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8CD2C28"/>
    <w:multiLevelType w:val="hybridMultilevel"/>
    <w:tmpl w:val="71F8D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nsid w:val="337C5FB2"/>
    <w:multiLevelType w:val="multilevel"/>
    <w:tmpl w:val="6AFEEB4C"/>
    <w:numStyleLink w:val="Bullets"/>
  </w:abstractNum>
  <w:abstractNum w:abstractNumId="4">
    <w:nsid w:val="33D9536F"/>
    <w:multiLevelType w:val="multilevel"/>
    <w:tmpl w:val="D708FF60"/>
    <w:numStyleLink w:val="Headings"/>
  </w:abstractNum>
  <w:abstractNum w:abstractNumId="5">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nsid w:val="39860C67"/>
    <w:multiLevelType w:val="multilevel"/>
    <w:tmpl w:val="D708FF60"/>
    <w:numStyleLink w:val="Headings"/>
  </w:abstractNum>
  <w:abstractNum w:abstractNumId="7">
    <w:nsid w:val="3DF936BD"/>
    <w:multiLevelType w:val="multilevel"/>
    <w:tmpl w:val="D708FF60"/>
    <w:numStyleLink w:val="Headings"/>
  </w:abstractNum>
  <w:abstractNum w:abstractNumId="8">
    <w:nsid w:val="3F822E55"/>
    <w:multiLevelType w:val="hybridMultilevel"/>
    <w:tmpl w:val="4CBC5358"/>
    <w:lvl w:ilvl="0" w:tplc="A8C88F9E">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263642C"/>
    <w:multiLevelType w:val="hybridMultilevel"/>
    <w:tmpl w:val="1CC06200"/>
    <w:lvl w:ilvl="0" w:tplc="1136C4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6A005E0"/>
    <w:multiLevelType w:val="hybridMultilevel"/>
    <w:tmpl w:val="A5367D9A"/>
    <w:lvl w:ilvl="0" w:tplc="4A8684D4">
      <w:start w:val="1"/>
      <w:numFmt w:val="lowerLetter"/>
      <w:lvlText w:val="(%1)"/>
      <w:lvlJc w:val="left"/>
      <w:pPr>
        <w:ind w:left="1080" w:hanging="360"/>
      </w:pPr>
      <w:rPr>
        <w:rFonts w:hint="default"/>
      </w:rPr>
    </w:lvl>
    <w:lvl w:ilvl="1" w:tplc="2EDE6B5C">
      <w:start w:val="1"/>
      <w:numFmt w:val="lowerRoman"/>
      <w:lvlText w:val="%2."/>
      <w:lvlJc w:val="left"/>
      <w:pPr>
        <w:ind w:left="1800" w:hanging="360"/>
      </w:pPr>
      <w:rPr>
        <w:rFonts w:hint="default"/>
      </w:r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A467144"/>
    <w:multiLevelType w:val="multilevel"/>
    <w:tmpl w:val="989E8E90"/>
    <w:numStyleLink w:val="Appendices"/>
  </w:abstractNum>
  <w:abstractNum w:abstractNumId="13">
    <w:nsid w:val="5C0D1C18"/>
    <w:multiLevelType w:val="hybridMultilevel"/>
    <w:tmpl w:val="FCBEC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7556263"/>
    <w:multiLevelType w:val="hybridMultilevel"/>
    <w:tmpl w:val="6604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AF098D"/>
    <w:multiLevelType w:val="multilevel"/>
    <w:tmpl w:val="D708FF60"/>
    <w:numStyleLink w:val="Headings"/>
  </w:abstractNum>
  <w:abstractNum w:abstractNumId="17">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6D7F6F08"/>
    <w:multiLevelType w:val="hybridMultilevel"/>
    <w:tmpl w:val="A1D4E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7FF45ED"/>
    <w:multiLevelType w:val="multilevel"/>
    <w:tmpl w:val="D708FF60"/>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0">
    <w:nsid w:val="78650924"/>
    <w:multiLevelType w:val="hybridMultilevel"/>
    <w:tmpl w:val="B5866938"/>
    <w:lvl w:ilvl="0" w:tplc="DBACE950">
      <w:start w:val="1"/>
      <w:numFmt w:val="decimal"/>
      <w:lvlText w:val="(%1)"/>
      <w:lvlJc w:val="left"/>
      <w:pPr>
        <w:ind w:left="360" w:hanging="360"/>
      </w:pPr>
      <w:rPr>
        <w:rFonts w:hint="default"/>
      </w:rPr>
    </w:lvl>
    <w:lvl w:ilvl="1" w:tplc="4A8684D4">
      <w:start w:val="1"/>
      <w:numFmt w:val="lowerLetter"/>
      <w:lvlText w:val="(%2)"/>
      <w:lvlJc w:val="left"/>
      <w:pPr>
        <w:ind w:left="1080" w:hanging="360"/>
      </w:pPr>
      <w:rPr>
        <w:rFonts w:hint="default"/>
      </w:rPr>
    </w:lvl>
    <w:lvl w:ilvl="2" w:tplc="6E3C5A3A">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8C320AC"/>
    <w:multiLevelType w:val="hybridMultilevel"/>
    <w:tmpl w:val="D29C3772"/>
    <w:lvl w:ilvl="0" w:tplc="CB82C8B8">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265F36"/>
    <w:multiLevelType w:val="hybridMultilevel"/>
    <w:tmpl w:val="0E94C3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
  </w:num>
  <w:num w:numId="7">
    <w:abstractNumId w:val="7"/>
  </w:num>
  <w:num w:numId="8">
    <w:abstractNumId w:val="3"/>
  </w:num>
  <w:num w:numId="9">
    <w:abstractNumId w:val="3"/>
  </w:num>
  <w:num w:numId="10">
    <w:abstractNumId w:val="3"/>
  </w:num>
  <w:num w:numId="11">
    <w:abstractNumId w:val="3"/>
  </w:num>
  <w:num w:numId="12">
    <w:abstractNumId w:val="2"/>
  </w:num>
  <w:num w:numId="13">
    <w:abstractNumId w:val="4"/>
  </w:num>
  <w:num w:numId="14">
    <w:abstractNumId w:val="4"/>
  </w:num>
  <w:num w:numId="15">
    <w:abstractNumId w:val="4"/>
  </w:num>
  <w:num w:numId="16">
    <w:abstractNumId w:val="19"/>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7">
    <w:abstractNumId w:val="9"/>
  </w:num>
  <w:num w:numId="18">
    <w:abstractNumId w:val="12"/>
  </w:num>
  <w:num w:numId="19">
    <w:abstractNumId w:val="12"/>
  </w:num>
  <w:num w:numId="20">
    <w:abstractNumId w:val="17"/>
  </w:num>
  <w:num w:numId="21">
    <w:abstractNumId w:val="17"/>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19"/>
    <w:lvlOverride w:ilvl="0">
      <w:startOverride w:val="1"/>
      <w:lvl w:ilvl="0">
        <w:start w:val="1"/>
        <w:numFmt w:val="decimal"/>
        <w:pStyle w:val="Heading1"/>
        <w:lvlText w:val="%1."/>
        <w:lvlJc w:val="left"/>
        <w:pPr>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8">
    <w:abstractNumId w:val="21"/>
  </w:num>
  <w:num w:numId="29">
    <w:abstractNumId w:val="15"/>
  </w:num>
  <w:num w:numId="30">
    <w:abstractNumId w:val="8"/>
  </w:num>
  <w:num w:numId="31">
    <w:abstractNumId w:val="20"/>
  </w:num>
  <w:num w:numId="32">
    <w:abstractNumId w:val="0"/>
  </w:num>
  <w:num w:numId="33">
    <w:abstractNumId w:val="11"/>
  </w:num>
  <w:num w:numId="34">
    <w:abstractNumId w:val="1"/>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C0"/>
    <w:rsid w:val="000027BA"/>
    <w:rsid w:val="00015E44"/>
    <w:rsid w:val="000215C4"/>
    <w:rsid w:val="0002220A"/>
    <w:rsid w:val="00027253"/>
    <w:rsid w:val="00035848"/>
    <w:rsid w:val="00046081"/>
    <w:rsid w:val="00047257"/>
    <w:rsid w:val="00056784"/>
    <w:rsid w:val="00062E1A"/>
    <w:rsid w:val="000949DF"/>
    <w:rsid w:val="000A5D59"/>
    <w:rsid w:val="000C5389"/>
    <w:rsid w:val="000D51F4"/>
    <w:rsid w:val="000D5B64"/>
    <w:rsid w:val="000E0278"/>
    <w:rsid w:val="000E6390"/>
    <w:rsid w:val="000F58CC"/>
    <w:rsid w:val="000F6A6C"/>
    <w:rsid w:val="001163D5"/>
    <w:rsid w:val="0014329D"/>
    <w:rsid w:val="00146E10"/>
    <w:rsid w:val="00147A7F"/>
    <w:rsid w:val="00147FE8"/>
    <w:rsid w:val="0017136A"/>
    <w:rsid w:val="001769CD"/>
    <w:rsid w:val="00182414"/>
    <w:rsid w:val="00182451"/>
    <w:rsid w:val="00183047"/>
    <w:rsid w:val="0018427E"/>
    <w:rsid w:val="00187F0A"/>
    <w:rsid w:val="00192660"/>
    <w:rsid w:val="00194CBB"/>
    <w:rsid w:val="001A1F5D"/>
    <w:rsid w:val="001A4CA0"/>
    <w:rsid w:val="001B0260"/>
    <w:rsid w:val="001C28E7"/>
    <w:rsid w:val="001C6657"/>
    <w:rsid w:val="001C6C40"/>
    <w:rsid w:val="001E323D"/>
    <w:rsid w:val="00207CC2"/>
    <w:rsid w:val="00211260"/>
    <w:rsid w:val="002127F0"/>
    <w:rsid w:val="00223858"/>
    <w:rsid w:val="0022689F"/>
    <w:rsid w:val="00226DE2"/>
    <w:rsid w:val="00234042"/>
    <w:rsid w:val="00236273"/>
    <w:rsid w:val="0023726C"/>
    <w:rsid w:val="002437B8"/>
    <w:rsid w:val="00245AE2"/>
    <w:rsid w:val="002715DF"/>
    <w:rsid w:val="002725D3"/>
    <w:rsid w:val="002736A1"/>
    <w:rsid w:val="00290C14"/>
    <w:rsid w:val="00297897"/>
    <w:rsid w:val="002A4BD4"/>
    <w:rsid w:val="002A629E"/>
    <w:rsid w:val="002B0F95"/>
    <w:rsid w:val="002C2511"/>
    <w:rsid w:val="002E1D5E"/>
    <w:rsid w:val="002E20E4"/>
    <w:rsid w:val="002E4872"/>
    <w:rsid w:val="003035CD"/>
    <w:rsid w:val="00304FAA"/>
    <w:rsid w:val="00336046"/>
    <w:rsid w:val="00336806"/>
    <w:rsid w:val="00337EAC"/>
    <w:rsid w:val="003400F5"/>
    <w:rsid w:val="003441E5"/>
    <w:rsid w:val="00357231"/>
    <w:rsid w:val="00357D61"/>
    <w:rsid w:val="0036173D"/>
    <w:rsid w:val="0036351B"/>
    <w:rsid w:val="00377AF4"/>
    <w:rsid w:val="0039212F"/>
    <w:rsid w:val="003A5097"/>
    <w:rsid w:val="003B1499"/>
    <w:rsid w:val="003B24B4"/>
    <w:rsid w:val="003D7EE9"/>
    <w:rsid w:val="003E3A28"/>
    <w:rsid w:val="003E6503"/>
    <w:rsid w:val="003E76C5"/>
    <w:rsid w:val="003F6199"/>
    <w:rsid w:val="00421ECE"/>
    <w:rsid w:val="00424568"/>
    <w:rsid w:val="0043686B"/>
    <w:rsid w:val="00447E1F"/>
    <w:rsid w:val="004552EA"/>
    <w:rsid w:val="004634BC"/>
    <w:rsid w:val="00466618"/>
    <w:rsid w:val="00472C7E"/>
    <w:rsid w:val="00472CA7"/>
    <w:rsid w:val="00477BDB"/>
    <w:rsid w:val="004836D5"/>
    <w:rsid w:val="0049115C"/>
    <w:rsid w:val="004A01EB"/>
    <w:rsid w:val="004A43B9"/>
    <w:rsid w:val="004A47AE"/>
    <w:rsid w:val="004A55CC"/>
    <w:rsid w:val="004A791B"/>
    <w:rsid w:val="004B0031"/>
    <w:rsid w:val="004B42DF"/>
    <w:rsid w:val="004B7462"/>
    <w:rsid w:val="004C29ED"/>
    <w:rsid w:val="004C3886"/>
    <w:rsid w:val="004F2201"/>
    <w:rsid w:val="004F26A0"/>
    <w:rsid w:val="005018A1"/>
    <w:rsid w:val="005019D4"/>
    <w:rsid w:val="00511400"/>
    <w:rsid w:val="00521B57"/>
    <w:rsid w:val="005245FD"/>
    <w:rsid w:val="005254D1"/>
    <w:rsid w:val="005316B9"/>
    <w:rsid w:val="00535590"/>
    <w:rsid w:val="005373F5"/>
    <w:rsid w:val="00542267"/>
    <w:rsid w:val="00553427"/>
    <w:rsid w:val="00554A67"/>
    <w:rsid w:val="005553D1"/>
    <w:rsid w:val="005608B0"/>
    <w:rsid w:val="00562180"/>
    <w:rsid w:val="00564337"/>
    <w:rsid w:val="005820C9"/>
    <w:rsid w:val="00592615"/>
    <w:rsid w:val="00593975"/>
    <w:rsid w:val="00596128"/>
    <w:rsid w:val="005A673E"/>
    <w:rsid w:val="005A7975"/>
    <w:rsid w:val="005C2EBF"/>
    <w:rsid w:val="005E36D3"/>
    <w:rsid w:val="005E5BC2"/>
    <w:rsid w:val="005F178E"/>
    <w:rsid w:val="00613698"/>
    <w:rsid w:val="00613A55"/>
    <w:rsid w:val="00615347"/>
    <w:rsid w:val="00616843"/>
    <w:rsid w:val="00625BF6"/>
    <w:rsid w:val="006305A9"/>
    <w:rsid w:val="006361E7"/>
    <w:rsid w:val="00646DA8"/>
    <w:rsid w:val="00647275"/>
    <w:rsid w:val="00651984"/>
    <w:rsid w:val="00654E49"/>
    <w:rsid w:val="006555F3"/>
    <w:rsid w:val="006578D7"/>
    <w:rsid w:val="00662862"/>
    <w:rsid w:val="0066672E"/>
    <w:rsid w:val="00667906"/>
    <w:rsid w:val="00670D3E"/>
    <w:rsid w:val="00677CA7"/>
    <w:rsid w:val="006844F8"/>
    <w:rsid w:val="00686F1F"/>
    <w:rsid w:val="006A07D1"/>
    <w:rsid w:val="006A2758"/>
    <w:rsid w:val="006A4F0F"/>
    <w:rsid w:val="006B76DA"/>
    <w:rsid w:val="006C59BE"/>
    <w:rsid w:val="006C7C58"/>
    <w:rsid w:val="006D153D"/>
    <w:rsid w:val="006D32C6"/>
    <w:rsid w:val="006D4B09"/>
    <w:rsid w:val="0070558A"/>
    <w:rsid w:val="0071383A"/>
    <w:rsid w:val="0072259A"/>
    <w:rsid w:val="00734A51"/>
    <w:rsid w:val="007470A4"/>
    <w:rsid w:val="007506AE"/>
    <w:rsid w:val="007571FD"/>
    <w:rsid w:val="0076329D"/>
    <w:rsid w:val="00767925"/>
    <w:rsid w:val="007702A4"/>
    <w:rsid w:val="007855BD"/>
    <w:rsid w:val="00790366"/>
    <w:rsid w:val="007A3E1A"/>
    <w:rsid w:val="007A76B6"/>
    <w:rsid w:val="007B513E"/>
    <w:rsid w:val="007B591B"/>
    <w:rsid w:val="007C25F0"/>
    <w:rsid w:val="007D29C5"/>
    <w:rsid w:val="007D2B36"/>
    <w:rsid w:val="007D3F16"/>
    <w:rsid w:val="007D6C06"/>
    <w:rsid w:val="007E1807"/>
    <w:rsid w:val="007E49B7"/>
    <w:rsid w:val="007F0737"/>
    <w:rsid w:val="007F0B67"/>
    <w:rsid w:val="008117F8"/>
    <w:rsid w:val="00812306"/>
    <w:rsid w:val="00812E4A"/>
    <w:rsid w:val="008209D0"/>
    <w:rsid w:val="008338A0"/>
    <w:rsid w:val="008404A4"/>
    <w:rsid w:val="00843D55"/>
    <w:rsid w:val="00846E0C"/>
    <w:rsid w:val="00853462"/>
    <w:rsid w:val="00870C98"/>
    <w:rsid w:val="008736A1"/>
    <w:rsid w:val="00874386"/>
    <w:rsid w:val="00881606"/>
    <w:rsid w:val="0088571C"/>
    <w:rsid w:val="00885BB6"/>
    <w:rsid w:val="00886444"/>
    <w:rsid w:val="00897978"/>
    <w:rsid w:val="008A16AB"/>
    <w:rsid w:val="008A19E7"/>
    <w:rsid w:val="008A6697"/>
    <w:rsid w:val="008C597A"/>
    <w:rsid w:val="008D7013"/>
    <w:rsid w:val="008E1CC4"/>
    <w:rsid w:val="008E7708"/>
    <w:rsid w:val="008F7E90"/>
    <w:rsid w:val="00927102"/>
    <w:rsid w:val="0093419F"/>
    <w:rsid w:val="0094220C"/>
    <w:rsid w:val="00944C6A"/>
    <w:rsid w:val="00957246"/>
    <w:rsid w:val="00965D51"/>
    <w:rsid w:val="00977675"/>
    <w:rsid w:val="00987685"/>
    <w:rsid w:val="00992BE6"/>
    <w:rsid w:val="0099334C"/>
    <w:rsid w:val="009A227B"/>
    <w:rsid w:val="009A5F29"/>
    <w:rsid w:val="009A69E4"/>
    <w:rsid w:val="009B0F09"/>
    <w:rsid w:val="009B20F7"/>
    <w:rsid w:val="009C61C5"/>
    <w:rsid w:val="009E46BC"/>
    <w:rsid w:val="009E63B5"/>
    <w:rsid w:val="009F4B9D"/>
    <w:rsid w:val="009F61A4"/>
    <w:rsid w:val="00A022BC"/>
    <w:rsid w:val="00A13B92"/>
    <w:rsid w:val="00A318A8"/>
    <w:rsid w:val="00A31FBB"/>
    <w:rsid w:val="00A37EF1"/>
    <w:rsid w:val="00A4351B"/>
    <w:rsid w:val="00A4447D"/>
    <w:rsid w:val="00A53769"/>
    <w:rsid w:val="00A644B0"/>
    <w:rsid w:val="00A6704D"/>
    <w:rsid w:val="00A8193E"/>
    <w:rsid w:val="00A96349"/>
    <w:rsid w:val="00AA2967"/>
    <w:rsid w:val="00AA686C"/>
    <w:rsid w:val="00AA6B8A"/>
    <w:rsid w:val="00AC1162"/>
    <w:rsid w:val="00AC384A"/>
    <w:rsid w:val="00AC60B9"/>
    <w:rsid w:val="00AD032B"/>
    <w:rsid w:val="00AE2840"/>
    <w:rsid w:val="00AE5856"/>
    <w:rsid w:val="00AF0F4C"/>
    <w:rsid w:val="00AF1A81"/>
    <w:rsid w:val="00AF31F1"/>
    <w:rsid w:val="00AF32C1"/>
    <w:rsid w:val="00AF3D32"/>
    <w:rsid w:val="00AF4688"/>
    <w:rsid w:val="00B02AEB"/>
    <w:rsid w:val="00B14DFB"/>
    <w:rsid w:val="00B26C1D"/>
    <w:rsid w:val="00B26C74"/>
    <w:rsid w:val="00B356DD"/>
    <w:rsid w:val="00B4140A"/>
    <w:rsid w:val="00B418A0"/>
    <w:rsid w:val="00B516A0"/>
    <w:rsid w:val="00B57600"/>
    <w:rsid w:val="00B617AB"/>
    <w:rsid w:val="00B64F36"/>
    <w:rsid w:val="00B75F74"/>
    <w:rsid w:val="00B87233"/>
    <w:rsid w:val="00BA2BF4"/>
    <w:rsid w:val="00BA5C36"/>
    <w:rsid w:val="00BB2958"/>
    <w:rsid w:val="00BC119B"/>
    <w:rsid w:val="00BC51A3"/>
    <w:rsid w:val="00BE540C"/>
    <w:rsid w:val="00BE5792"/>
    <w:rsid w:val="00BF075F"/>
    <w:rsid w:val="00BF17A4"/>
    <w:rsid w:val="00BF61A1"/>
    <w:rsid w:val="00C02722"/>
    <w:rsid w:val="00C117B8"/>
    <w:rsid w:val="00C12182"/>
    <w:rsid w:val="00C17207"/>
    <w:rsid w:val="00C20562"/>
    <w:rsid w:val="00C2738C"/>
    <w:rsid w:val="00C4675F"/>
    <w:rsid w:val="00C47AA7"/>
    <w:rsid w:val="00C613FC"/>
    <w:rsid w:val="00C63DD0"/>
    <w:rsid w:val="00C722A2"/>
    <w:rsid w:val="00C73FBB"/>
    <w:rsid w:val="00C75B4B"/>
    <w:rsid w:val="00C860BB"/>
    <w:rsid w:val="00C92E7E"/>
    <w:rsid w:val="00C9577E"/>
    <w:rsid w:val="00CA5A27"/>
    <w:rsid w:val="00CB7B7B"/>
    <w:rsid w:val="00CC0ECC"/>
    <w:rsid w:val="00CD2D16"/>
    <w:rsid w:val="00CF5B31"/>
    <w:rsid w:val="00D0119F"/>
    <w:rsid w:val="00D0571B"/>
    <w:rsid w:val="00D106F3"/>
    <w:rsid w:val="00D17C22"/>
    <w:rsid w:val="00D31AE9"/>
    <w:rsid w:val="00D34878"/>
    <w:rsid w:val="00D3636E"/>
    <w:rsid w:val="00D37411"/>
    <w:rsid w:val="00D437A8"/>
    <w:rsid w:val="00D563B6"/>
    <w:rsid w:val="00D60C65"/>
    <w:rsid w:val="00D62BCE"/>
    <w:rsid w:val="00D6494A"/>
    <w:rsid w:val="00D65EF7"/>
    <w:rsid w:val="00D66356"/>
    <w:rsid w:val="00D67549"/>
    <w:rsid w:val="00D7599D"/>
    <w:rsid w:val="00D7681B"/>
    <w:rsid w:val="00D76C0E"/>
    <w:rsid w:val="00D8369B"/>
    <w:rsid w:val="00D86EDF"/>
    <w:rsid w:val="00D94CD3"/>
    <w:rsid w:val="00DB08F6"/>
    <w:rsid w:val="00DB7C5B"/>
    <w:rsid w:val="00DC342D"/>
    <w:rsid w:val="00DD7C1C"/>
    <w:rsid w:val="00DF2349"/>
    <w:rsid w:val="00DF287A"/>
    <w:rsid w:val="00DF7782"/>
    <w:rsid w:val="00E00645"/>
    <w:rsid w:val="00E017C6"/>
    <w:rsid w:val="00E02EA9"/>
    <w:rsid w:val="00E0415D"/>
    <w:rsid w:val="00E05115"/>
    <w:rsid w:val="00E22309"/>
    <w:rsid w:val="00E30643"/>
    <w:rsid w:val="00E32F91"/>
    <w:rsid w:val="00E432C0"/>
    <w:rsid w:val="00E447E0"/>
    <w:rsid w:val="00E45E4C"/>
    <w:rsid w:val="00E468EA"/>
    <w:rsid w:val="00E54047"/>
    <w:rsid w:val="00E56C40"/>
    <w:rsid w:val="00E621A3"/>
    <w:rsid w:val="00E67DE2"/>
    <w:rsid w:val="00E732BE"/>
    <w:rsid w:val="00E81ECD"/>
    <w:rsid w:val="00E879CE"/>
    <w:rsid w:val="00E933EE"/>
    <w:rsid w:val="00E9701F"/>
    <w:rsid w:val="00EA6C56"/>
    <w:rsid w:val="00EB07A6"/>
    <w:rsid w:val="00EC1696"/>
    <w:rsid w:val="00ED0D87"/>
    <w:rsid w:val="00ED7AA9"/>
    <w:rsid w:val="00ED7B1E"/>
    <w:rsid w:val="00EE1CFF"/>
    <w:rsid w:val="00EE363B"/>
    <w:rsid w:val="00EE619A"/>
    <w:rsid w:val="00EF1285"/>
    <w:rsid w:val="00F00532"/>
    <w:rsid w:val="00F12A72"/>
    <w:rsid w:val="00F145C2"/>
    <w:rsid w:val="00F14D12"/>
    <w:rsid w:val="00F27406"/>
    <w:rsid w:val="00F36D62"/>
    <w:rsid w:val="00F43B24"/>
    <w:rsid w:val="00F54077"/>
    <w:rsid w:val="00F61950"/>
    <w:rsid w:val="00F627A6"/>
    <w:rsid w:val="00F77AEE"/>
    <w:rsid w:val="00F77B70"/>
    <w:rsid w:val="00F860D4"/>
    <w:rsid w:val="00F8704C"/>
    <w:rsid w:val="00F91DBB"/>
    <w:rsid w:val="00F96B8C"/>
    <w:rsid w:val="00F97945"/>
    <w:rsid w:val="00FA4D24"/>
    <w:rsid w:val="00FA6169"/>
    <w:rsid w:val="00FB1182"/>
    <w:rsid w:val="00FB1FDF"/>
    <w:rsid w:val="00FC5906"/>
    <w:rsid w:val="00FC72D1"/>
    <w:rsid w:val="00FD2E6D"/>
    <w:rsid w:val="00FD6DF8"/>
    <w:rsid w:val="00FD71C7"/>
    <w:rsid w:val="00FE4B10"/>
    <w:rsid w:val="00FE4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01bodytext">
    <w:name w:val="01 body text"/>
    <w:basedOn w:val="Normal"/>
    <w:uiPriority w:val="99"/>
    <w:rsid w:val="003E3A28"/>
    <w:pPr>
      <w:widowControl w:val="0"/>
      <w:suppressAutoHyphens/>
      <w:autoSpaceDE w:val="0"/>
      <w:autoSpaceDN w:val="0"/>
      <w:adjustRightInd w:val="0"/>
      <w:spacing w:before="113" w:beforeAutospacing="0" w:after="0" w:afterAutospacing="0" w:line="240" w:lineRule="atLeast"/>
      <w:textAlignment w:val="center"/>
    </w:pPr>
    <w:rPr>
      <w:rFonts w:ascii="Arial" w:eastAsia="Times New Roman" w:hAnsi="Arial" w:cs="HelveticaNeueLTStd-Lt"/>
      <w:color w:val="000000"/>
      <w:sz w:val="17"/>
      <w:szCs w:val="17"/>
      <w:lang w:val="en-GB"/>
    </w:rPr>
  </w:style>
  <w:style w:type="paragraph" w:customStyle="1" w:styleId="02heading4">
    <w:name w:val="02 heading 4"/>
    <w:basedOn w:val="Normal"/>
    <w:uiPriority w:val="99"/>
    <w:rsid w:val="003E3A28"/>
    <w:pPr>
      <w:keepNext/>
      <w:keepLines/>
      <w:widowControl w:val="0"/>
      <w:suppressAutoHyphens/>
      <w:autoSpaceDE w:val="0"/>
      <w:autoSpaceDN w:val="0"/>
      <w:adjustRightInd w:val="0"/>
      <w:spacing w:before="227" w:beforeAutospacing="0" w:after="0" w:afterAutospacing="0" w:line="230" w:lineRule="atLeast"/>
      <w:textAlignment w:val="center"/>
    </w:pPr>
    <w:rPr>
      <w:rFonts w:ascii="Arial" w:eastAsia="Times New Roman" w:hAnsi="Arial" w:cs="HelveticaNeueLTStd-It"/>
      <w:i/>
      <w:iCs/>
      <w:color w:val="196DFF"/>
      <w:sz w:val="19"/>
      <w:szCs w:val="19"/>
      <w:lang w:val="en-GB"/>
    </w:rPr>
  </w:style>
  <w:style w:type="paragraph" w:customStyle="1" w:styleId="04Footnote">
    <w:name w:val="04 Footnote"/>
    <w:basedOn w:val="Normal"/>
    <w:uiPriority w:val="99"/>
    <w:rsid w:val="003E3A28"/>
    <w:pPr>
      <w:widowControl w:val="0"/>
      <w:tabs>
        <w:tab w:val="left" w:pos="283"/>
      </w:tabs>
      <w:suppressAutoHyphens/>
      <w:autoSpaceDE w:val="0"/>
      <w:autoSpaceDN w:val="0"/>
      <w:adjustRightInd w:val="0"/>
      <w:spacing w:before="57" w:beforeAutospacing="0" w:after="0" w:afterAutospacing="0" w:line="170" w:lineRule="atLeast"/>
      <w:ind w:left="283" w:hanging="283"/>
      <w:textAlignment w:val="center"/>
    </w:pPr>
    <w:rPr>
      <w:rFonts w:ascii="HelveticaNeueLTStd-Lt" w:eastAsia="Times New Roman" w:hAnsi="HelveticaNeueLTStd-Lt" w:cs="HelveticaNeueLTStd-Lt"/>
      <w:color w:val="000000"/>
      <w:sz w:val="13"/>
      <w:szCs w:val="13"/>
      <w:lang w:val="en-US"/>
    </w:rPr>
  </w:style>
  <w:style w:type="character" w:customStyle="1" w:styleId="01bodyitalic">
    <w:name w:val="01 body italic"/>
    <w:uiPriority w:val="99"/>
    <w:rsid w:val="003E3A28"/>
    <w:rPr>
      <w:i/>
      <w:iCs/>
    </w:rPr>
  </w:style>
  <w:style w:type="character" w:customStyle="1" w:styleId="01superscript">
    <w:name w:val="01 superscript"/>
    <w:uiPriority w:val="99"/>
    <w:rsid w:val="003E3A28"/>
    <w:rPr>
      <w:position w:val="0"/>
      <w:vertAlign w:val="superscript"/>
    </w:rPr>
  </w:style>
  <w:style w:type="character" w:customStyle="1" w:styleId="NoSpacingChar">
    <w:name w:val="No Spacing Char"/>
    <w:link w:val="NoSpacing"/>
    <w:uiPriority w:val="1"/>
    <w:locked/>
    <w:rsid w:val="00226DE2"/>
    <w:rPr>
      <w:rFonts w:ascii="Calibri" w:eastAsiaTheme="minorEastAsia" w:hAnsi="Calibri"/>
      <w:sz w:val="23"/>
      <w:lang w:eastAsia="en-AU"/>
    </w:rPr>
  </w:style>
  <w:style w:type="character" w:customStyle="1" w:styleId="apple-converted-space">
    <w:name w:val="apple-converted-space"/>
    <w:basedOn w:val="DefaultParagraphFont"/>
    <w:rsid w:val="00226DE2"/>
  </w:style>
  <w:style w:type="paragraph" w:customStyle="1" w:styleId="R1">
    <w:name w:val="R1"/>
    <w:aliases w:val="1. or 1.(1)"/>
    <w:basedOn w:val="Normal"/>
    <w:next w:val="Normal"/>
    <w:rsid w:val="00226DE2"/>
    <w:pPr>
      <w:tabs>
        <w:tab w:val="right" w:pos="794"/>
        <w:tab w:val="left" w:pos="964"/>
      </w:tabs>
      <w:spacing w:before="120" w:beforeAutospacing="0" w:after="120" w:afterAutospacing="0" w:line="260" w:lineRule="exact"/>
      <w:ind w:left="964" w:hanging="964"/>
      <w:jc w:val="both"/>
    </w:pPr>
    <w:rPr>
      <w:rFonts w:ascii="Times New Roman" w:eastAsia="Times New Roman" w:hAnsi="Times New Roman" w:cs="Times New Roman"/>
      <w:sz w:val="24"/>
      <w:szCs w:val="20"/>
    </w:rPr>
  </w:style>
  <w:style w:type="paragraph" w:customStyle="1" w:styleId="Default">
    <w:name w:val="Default"/>
    <w:rsid w:val="009E63B5"/>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CC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0ECC"/>
    <w:rPr>
      <w:rFonts w:ascii="Courier New" w:eastAsia="Times New Roman" w:hAnsi="Courier New" w:cs="Courier New"/>
      <w:sz w:val="20"/>
      <w:szCs w:val="20"/>
      <w:lang w:eastAsia="en-AU"/>
    </w:rPr>
  </w:style>
  <w:style w:type="paragraph" w:customStyle="1" w:styleId="toclevel2">
    <w:name w:val="toclevel2"/>
    <w:basedOn w:val="Normal"/>
    <w:rsid w:val="00D675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01bodytext">
    <w:name w:val="01 body text"/>
    <w:basedOn w:val="Normal"/>
    <w:uiPriority w:val="99"/>
    <w:rsid w:val="003E3A28"/>
    <w:pPr>
      <w:widowControl w:val="0"/>
      <w:suppressAutoHyphens/>
      <w:autoSpaceDE w:val="0"/>
      <w:autoSpaceDN w:val="0"/>
      <w:adjustRightInd w:val="0"/>
      <w:spacing w:before="113" w:beforeAutospacing="0" w:after="0" w:afterAutospacing="0" w:line="240" w:lineRule="atLeast"/>
      <w:textAlignment w:val="center"/>
    </w:pPr>
    <w:rPr>
      <w:rFonts w:ascii="Arial" w:eastAsia="Times New Roman" w:hAnsi="Arial" w:cs="HelveticaNeueLTStd-Lt"/>
      <w:color w:val="000000"/>
      <w:sz w:val="17"/>
      <w:szCs w:val="17"/>
      <w:lang w:val="en-GB"/>
    </w:rPr>
  </w:style>
  <w:style w:type="paragraph" w:customStyle="1" w:styleId="02heading4">
    <w:name w:val="02 heading 4"/>
    <w:basedOn w:val="Normal"/>
    <w:uiPriority w:val="99"/>
    <w:rsid w:val="003E3A28"/>
    <w:pPr>
      <w:keepNext/>
      <w:keepLines/>
      <w:widowControl w:val="0"/>
      <w:suppressAutoHyphens/>
      <w:autoSpaceDE w:val="0"/>
      <w:autoSpaceDN w:val="0"/>
      <w:adjustRightInd w:val="0"/>
      <w:spacing w:before="227" w:beforeAutospacing="0" w:after="0" w:afterAutospacing="0" w:line="230" w:lineRule="atLeast"/>
      <w:textAlignment w:val="center"/>
    </w:pPr>
    <w:rPr>
      <w:rFonts w:ascii="Arial" w:eastAsia="Times New Roman" w:hAnsi="Arial" w:cs="HelveticaNeueLTStd-It"/>
      <w:i/>
      <w:iCs/>
      <w:color w:val="196DFF"/>
      <w:sz w:val="19"/>
      <w:szCs w:val="19"/>
      <w:lang w:val="en-GB"/>
    </w:rPr>
  </w:style>
  <w:style w:type="paragraph" w:customStyle="1" w:styleId="04Footnote">
    <w:name w:val="04 Footnote"/>
    <w:basedOn w:val="Normal"/>
    <w:uiPriority w:val="99"/>
    <w:rsid w:val="003E3A28"/>
    <w:pPr>
      <w:widowControl w:val="0"/>
      <w:tabs>
        <w:tab w:val="left" w:pos="283"/>
      </w:tabs>
      <w:suppressAutoHyphens/>
      <w:autoSpaceDE w:val="0"/>
      <w:autoSpaceDN w:val="0"/>
      <w:adjustRightInd w:val="0"/>
      <w:spacing w:before="57" w:beforeAutospacing="0" w:after="0" w:afterAutospacing="0" w:line="170" w:lineRule="atLeast"/>
      <w:ind w:left="283" w:hanging="283"/>
      <w:textAlignment w:val="center"/>
    </w:pPr>
    <w:rPr>
      <w:rFonts w:ascii="HelveticaNeueLTStd-Lt" w:eastAsia="Times New Roman" w:hAnsi="HelveticaNeueLTStd-Lt" w:cs="HelveticaNeueLTStd-Lt"/>
      <w:color w:val="000000"/>
      <w:sz w:val="13"/>
      <w:szCs w:val="13"/>
      <w:lang w:val="en-US"/>
    </w:rPr>
  </w:style>
  <w:style w:type="character" w:customStyle="1" w:styleId="01bodyitalic">
    <w:name w:val="01 body italic"/>
    <w:uiPriority w:val="99"/>
    <w:rsid w:val="003E3A28"/>
    <w:rPr>
      <w:i/>
      <w:iCs/>
    </w:rPr>
  </w:style>
  <w:style w:type="character" w:customStyle="1" w:styleId="01superscript">
    <w:name w:val="01 superscript"/>
    <w:uiPriority w:val="99"/>
    <w:rsid w:val="003E3A28"/>
    <w:rPr>
      <w:position w:val="0"/>
      <w:vertAlign w:val="superscript"/>
    </w:rPr>
  </w:style>
  <w:style w:type="character" w:customStyle="1" w:styleId="NoSpacingChar">
    <w:name w:val="No Spacing Char"/>
    <w:link w:val="NoSpacing"/>
    <w:uiPriority w:val="1"/>
    <w:locked/>
    <w:rsid w:val="00226DE2"/>
    <w:rPr>
      <w:rFonts w:ascii="Calibri" w:eastAsiaTheme="minorEastAsia" w:hAnsi="Calibri"/>
      <w:sz w:val="23"/>
      <w:lang w:eastAsia="en-AU"/>
    </w:rPr>
  </w:style>
  <w:style w:type="character" w:customStyle="1" w:styleId="apple-converted-space">
    <w:name w:val="apple-converted-space"/>
    <w:basedOn w:val="DefaultParagraphFont"/>
    <w:rsid w:val="00226DE2"/>
  </w:style>
  <w:style w:type="paragraph" w:customStyle="1" w:styleId="R1">
    <w:name w:val="R1"/>
    <w:aliases w:val="1. or 1.(1)"/>
    <w:basedOn w:val="Normal"/>
    <w:next w:val="Normal"/>
    <w:rsid w:val="00226DE2"/>
    <w:pPr>
      <w:tabs>
        <w:tab w:val="right" w:pos="794"/>
        <w:tab w:val="left" w:pos="964"/>
      </w:tabs>
      <w:spacing w:before="120" w:beforeAutospacing="0" w:after="120" w:afterAutospacing="0" w:line="260" w:lineRule="exact"/>
      <w:ind w:left="964" w:hanging="964"/>
      <w:jc w:val="both"/>
    </w:pPr>
    <w:rPr>
      <w:rFonts w:ascii="Times New Roman" w:eastAsia="Times New Roman" w:hAnsi="Times New Roman" w:cs="Times New Roman"/>
      <w:sz w:val="24"/>
      <w:szCs w:val="20"/>
    </w:rPr>
  </w:style>
  <w:style w:type="paragraph" w:customStyle="1" w:styleId="Default">
    <w:name w:val="Default"/>
    <w:rsid w:val="009E63B5"/>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CC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0ECC"/>
    <w:rPr>
      <w:rFonts w:ascii="Courier New" w:eastAsia="Times New Roman" w:hAnsi="Courier New" w:cs="Courier New"/>
      <w:sz w:val="20"/>
      <w:szCs w:val="20"/>
      <w:lang w:eastAsia="en-AU"/>
    </w:rPr>
  </w:style>
  <w:style w:type="paragraph" w:customStyle="1" w:styleId="toclevel2">
    <w:name w:val="toclevel2"/>
    <w:basedOn w:val="Normal"/>
    <w:rsid w:val="00D675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751">
      <w:bodyDiv w:val="1"/>
      <w:marLeft w:val="0"/>
      <w:marRight w:val="0"/>
      <w:marTop w:val="0"/>
      <w:marBottom w:val="0"/>
      <w:divBdr>
        <w:top w:val="none" w:sz="0" w:space="0" w:color="auto"/>
        <w:left w:val="none" w:sz="0" w:space="0" w:color="auto"/>
        <w:bottom w:val="none" w:sz="0" w:space="0" w:color="auto"/>
        <w:right w:val="none" w:sz="0" w:space="0" w:color="auto"/>
      </w:divBdr>
    </w:div>
    <w:div w:id="185801606">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646131387">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016537768">
      <w:bodyDiv w:val="1"/>
      <w:marLeft w:val="0"/>
      <w:marRight w:val="0"/>
      <w:marTop w:val="0"/>
      <w:marBottom w:val="0"/>
      <w:divBdr>
        <w:top w:val="none" w:sz="0" w:space="0" w:color="auto"/>
        <w:left w:val="none" w:sz="0" w:space="0" w:color="auto"/>
        <w:bottom w:val="none" w:sz="0" w:space="0" w:color="auto"/>
        <w:right w:val="none" w:sz="0" w:space="0" w:color="auto"/>
      </w:divBdr>
    </w:div>
    <w:div w:id="1142456061">
      <w:bodyDiv w:val="1"/>
      <w:marLeft w:val="0"/>
      <w:marRight w:val="0"/>
      <w:marTop w:val="0"/>
      <w:marBottom w:val="0"/>
      <w:divBdr>
        <w:top w:val="none" w:sz="0" w:space="0" w:color="auto"/>
        <w:left w:val="none" w:sz="0" w:space="0" w:color="auto"/>
        <w:bottom w:val="none" w:sz="0" w:space="0" w:color="auto"/>
        <w:right w:val="none" w:sz="0" w:space="0" w:color="auto"/>
      </w:divBdr>
    </w:div>
    <w:div w:id="1262178158">
      <w:bodyDiv w:val="1"/>
      <w:marLeft w:val="0"/>
      <w:marRight w:val="0"/>
      <w:marTop w:val="0"/>
      <w:marBottom w:val="0"/>
      <w:divBdr>
        <w:top w:val="none" w:sz="0" w:space="0" w:color="auto"/>
        <w:left w:val="none" w:sz="0" w:space="0" w:color="auto"/>
        <w:bottom w:val="none" w:sz="0" w:space="0" w:color="auto"/>
        <w:right w:val="none" w:sz="0" w:space="0" w:color="auto"/>
      </w:divBdr>
    </w:div>
    <w:div w:id="14051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gisters.accc.gov.au/content/trimFile.phtml?trimFileTitle=D12+89191.pdf&amp;trimFileFromVersionId=1075538&amp;trimFileName=D12+89191.pdf" TargetMode="External"/><Relationship Id="rId2" Type="http://schemas.openxmlformats.org/officeDocument/2006/relationships/hyperlink" Target="http://www.accc.gov.au/system/files/Competitive%20Carrier%27s%20Coalition%20-%20Public%20Submission%2029%20September%202011.pdf" TargetMode="External"/><Relationship Id="rId1" Type="http://schemas.openxmlformats.org/officeDocument/2006/relationships/hyperlink" Target="http://www.comlaw.gov.au/Details/C2010B00281/Revised%20Explanatory%20Memorandum/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D180-A116-44E7-9658-243D25EF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Template>
  <TotalTime>0</TotalTime>
  <Pages>7</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Mark Callender</cp:lastModifiedBy>
  <cp:revision>2</cp:revision>
  <cp:lastPrinted>2014-03-14T00:16:00Z</cp:lastPrinted>
  <dcterms:created xsi:type="dcterms:W3CDTF">2014-04-02T02:45:00Z</dcterms:created>
  <dcterms:modified xsi:type="dcterms:W3CDTF">2014-04-02T02:45:00Z</dcterms:modified>
</cp:coreProperties>
</file>