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211FFD"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Treasury Laws Amendment (</w:t>
      </w:r>
      <w:r w:rsidR="00653E10">
        <w:rPr>
          <w:rFonts w:ascii="Calibri" w:eastAsiaTheme="majorEastAsia" w:hAnsi="Calibri" w:cstheme="majorBidi"/>
          <w:b/>
          <w:spacing w:val="5"/>
          <w:kern w:val="28"/>
          <w:sz w:val="52"/>
          <w:szCs w:val="52"/>
          <w:lang w:val="en-AU"/>
        </w:rPr>
        <w:t>Consumer Data Right</w:t>
      </w:r>
      <w:r>
        <w:rPr>
          <w:rFonts w:ascii="Calibri" w:eastAsiaTheme="majorEastAsia" w:hAnsi="Calibri" w:cstheme="majorBidi"/>
          <w:b/>
          <w:spacing w:val="5"/>
          <w:kern w:val="28"/>
          <w:sz w:val="52"/>
          <w:szCs w:val="52"/>
          <w:lang w:val="en-AU"/>
        </w:rPr>
        <w:t>)</w:t>
      </w:r>
      <w:r w:rsidR="00C077BF">
        <w:rPr>
          <w:rFonts w:ascii="Calibri" w:eastAsiaTheme="majorEastAsia" w:hAnsi="Calibri" w:cstheme="majorBidi"/>
          <w:b/>
          <w:spacing w:val="5"/>
          <w:kern w:val="28"/>
          <w:sz w:val="52"/>
          <w:szCs w:val="52"/>
          <w:lang w:val="en-AU"/>
        </w:rPr>
        <w:t xml:space="preserve"> </w:t>
      </w:r>
      <w:r w:rsidR="00F46A19">
        <w:rPr>
          <w:rFonts w:ascii="Calibri" w:eastAsiaTheme="majorEastAsia" w:hAnsi="Calibri" w:cstheme="majorBidi"/>
          <w:b/>
          <w:spacing w:val="5"/>
          <w:kern w:val="28"/>
          <w:sz w:val="52"/>
          <w:szCs w:val="52"/>
          <w:lang w:val="en-AU"/>
        </w:rPr>
        <w:t xml:space="preserve">Bill </w:t>
      </w:r>
      <w:r>
        <w:rPr>
          <w:rFonts w:ascii="Calibri" w:eastAsiaTheme="majorEastAsia" w:hAnsi="Calibri" w:cstheme="majorBidi"/>
          <w:b/>
          <w:spacing w:val="5"/>
          <w:kern w:val="28"/>
          <w:sz w:val="52"/>
          <w:szCs w:val="52"/>
          <w:lang w:val="en-AU"/>
        </w:rPr>
        <w:t>2018 Consultation</w:t>
      </w:r>
      <w:r w:rsidR="00F46A19">
        <w:rPr>
          <w:rFonts w:ascii="Calibri" w:eastAsiaTheme="majorEastAsia" w:hAnsi="Calibri" w:cstheme="majorBidi"/>
          <w:b/>
          <w:spacing w:val="5"/>
          <w:kern w:val="28"/>
          <w:sz w:val="52"/>
          <w:szCs w:val="52"/>
          <w:lang w:val="en-AU"/>
        </w:rPr>
        <w:t xml:space="preserve"> </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C3799F"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10</w:t>
      </w:r>
      <w:r w:rsidR="009325F6">
        <w:rPr>
          <w:rFonts w:ascii="Calibri" w:eastAsiaTheme="minorEastAsia" w:hAnsi="Calibri"/>
          <w:sz w:val="32"/>
          <w:szCs w:val="32"/>
          <w:lang w:val="en-AU"/>
        </w:rPr>
        <w:t xml:space="preserve"> September </w:t>
      </w:r>
      <w:r w:rsidR="00DD0AEA" w:rsidRPr="00DD0AEA">
        <w:rPr>
          <w:rFonts w:ascii="Calibri" w:eastAsiaTheme="minorEastAsia" w:hAnsi="Calibri"/>
          <w:sz w:val="32"/>
          <w:szCs w:val="32"/>
          <w:lang w:val="en-AU"/>
        </w:rPr>
        <w:t>2018</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543616" w:rsidRDefault="00DD0AEA" w:rsidP="00543616">
      <w:pPr>
        <w:spacing w:after="0"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p>
    <w:p w:rsidR="00DD0AEA" w:rsidRPr="00DD0AEA" w:rsidRDefault="00DD0AEA" w:rsidP="00543616">
      <w:pPr>
        <w:spacing w:after="0"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CB7501">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DD5468"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524350286" w:history="1">
            <w:r w:rsidR="00DD5468" w:rsidRPr="00CF585A">
              <w:rPr>
                <w:rStyle w:val="Hyperlink"/>
                <w:rFonts w:eastAsia="Arial Unicode MS" w:cs="font331"/>
                <w:bCs/>
                <w:noProof/>
                <w:kern w:val="1"/>
                <w:lang w:val="en-IE" w:eastAsia="hi-IN" w:bidi="hi-IN"/>
              </w:rPr>
              <w:t>Executive Summary</w:t>
            </w:r>
            <w:r w:rsidR="00DD5468">
              <w:rPr>
                <w:noProof/>
                <w:webHidden/>
              </w:rPr>
              <w:tab/>
            </w:r>
            <w:r w:rsidR="00DD5468">
              <w:rPr>
                <w:noProof/>
                <w:webHidden/>
              </w:rPr>
              <w:fldChar w:fldCharType="begin"/>
            </w:r>
            <w:r w:rsidR="00DD5468">
              <w:rPr>
                <w:noProof/>
                <w:webHidden/>
              </w:rPr>
              <w:instrText xml:space="preserve"> PAGEREF _Toc524350286 \h </w:instrText>
            </w:r>
            <w:r w:rsidR="00DD5468">
              <w:rPr>
                <w:noProof/>
                <w:webHidden/>
              </w:rPr>
            </w:r>
            <w:r w:rsidR="00DD5468">
              <w:rPr>
                <w:noProof/>
                <w:webHidden/>
              </w:rPr>
              <w:fldChar w:fldCharType="separate"/>
            </w:r>
            <w:r w:rsidR="00AA70FD">
              <w:rPr>
                <w:noProof/>
                <w:webHidden/>
              </w:rPr>
              <w:t>4</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87" w:history="1">
            <w:r w:rsidR="00DD5468" w:rsidRPr="00CF585A">
              <w:rPr>
                <w:rStyle w:val="Hyperlink"/>
                <w:rFonts w:eastAsia="Arial Unicode MS" w:cs="font331"/>
                <w:bCs/>
                <w:noProof/>
                <w:kern w:val="1"/>
                <w:lang w:val="en-IE" w:eastAsia="hi-IN" w:bidi="hi-IN"/>
              </w:rPr>
              <w:t>Recommendations</w:t>
            </w:r>
            <w:r w:rsidR="00DD5468">
              <w:rPr>
                <w:noProof/>
                <w:webHidden/>
              </w:rPr>
              <w:tab/>
            </w:r>
            <w:r w:rsidR="00DD5468">
              <w:rPr>
                <w:noProof/>
                <w:webHidden/>
              </w:rPr>
              <w:fldChar w:fldCharType="begin"/>
            </w:r>
            <w:r w:rsidR="00DD5468">
              <w:rPr>
                <w:noProof/>
                <w:webHidden/>
              </w:rPr>
              <w:instrText xml:space="preserve"> PAGEREF _Toc524350287 \h </w:instrText>
            </w:r>
            <w:r w:rsidR="00DD5468">
              <w:rPr>
                <w:noProof/>
                <w:webHidden/>
              </w:rPr>
            </w:r>
            <w:r w:rsidR="00DD5468">
              <w:rPr>
                <w:noProof/>
                <w:webHidden/>
              </w:rPr>
              <w:fldChar w:fldCharType="separate"/>
            </w:r>
            <w:r w:rsidR="00AA70FD">
              <w:rPr>
                <w:noProof/>
                <w:webHidden/>
              </w:rPr>
              <w:t>5</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88" w:history="1">
            <w:r w:rsidR="00DD5468" w:rsidRPr="00CF585A">
              <w:rPr>
                <w:rStyle w:val="Hyperlink"/>
                <w:rFonts w:eastAsia="Arial Unicode MS" w:cs="font331"/>
                <w:bCs/>
                <w:noProof/>
                <w:kern w:val="1"/>
                <w:lang w:val="en-IE" w:eastAsia="hi-IN" w:bidi="hi-IN"/>
              </w:rPr>
              <w:t>First principles regulation</w:t>
            </w:r>
            <w:r w:rsidR="00DD5468">
              <w:rPr>
                <w:noProof/>
                <w:webHidden/>
              </w:rPr>
              <w:tab/>
            </w:r>
            <w:r w:rsidR="00DD5468">
              <w:rPr>
                <w:noProof/>
                <w:webHidden/>
              </w:rPr>
              <w:fldChar w:fldCharType="begin"/>
            </w:r>
            <w:r w:rsidR="00DD5468">
              <w:rPr>
                <w:noProof/>
                <w:webHidden/>
              </w:rPr>
              <w:instrText xml:space="preserve"> PAGEREF _Toc524350288 \h </w:instrText>
            </w:r>
            <w:r w:rsidR="00DD5468">
              <w:rPr>
                <w:noProof/>
                <w:webHidden/>
              </w:rPr>
            </w:r>
            <w:r w:rsidR="00DD5468">
              <w:rPr>
                <w:noProof/>
                <w:webHidden/>
              </w:rPr>
              <w:fldChar w:fldCharType="separate"/>
            </w:r>
            <w:r w:rsidR="00AA70FD">
              <w:rPr>
                <w:noProof/>
                <w:webHidden/>
              </w:rPr>
              <w:t>7</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89" w:history="1">
            <w:r w:rsidR="00DD5468" w:rsidRPr="00CF585A">
              <w:rPr>
                <w:rStyle w:val="Hyperlink"/>
                <w:rFonts w:eastAsia="Arial Unicode MS" w:cs="font331"/>
                <w:bCs/>
                <w:noProof/>
                <w:kern w:val="1"/>
                <w:lang w:val="en-IE" w:eastAsia="hi-IN" w:bidi="hi-IN"/>
              </w:rPr>
              <w:t>Privacy</w:t>
            </w:r>
            <w:r w:rsidR="00DD5468">
              <w:rPr>
                <w:noProof/>
                <w:webHidden/>
              </w:rPr>
              <w:tab/>
            </w:r>
            <w:r w:rsidR="00DD5468">
              <w:rPr>
                <w:noProof/>
                <w:webHidden/>
              </w:rPr>
              <w:fldChar w:fldCharType="begin"/>
            </w:r>
            <w:r w:rsidR="00DD5468">
              <w:rPr>
                <w:noProof/>
                <w:webHidden/>
              </w:rPr>
              <w:instrText xml:space="preserve"> PAGEREF _Toc524350289 \h </w:instrText>
            </w:r>
            <w:r w:rsidR="00DD5468">
              <w:rPr>
                <w:noProof/>
                <w:webHidden/>
              </w:rPr>
            </w:r>
            <w:r w:rsidR="00DD5468">
              <w:rPr>
                <w:noProof/>
                <w:webHidden/>
              </w:rPr>
              <w:fldChar w:fldCharType="separate"/>
            </w:r>
            <w:r w:rsidR="00AA70FD">
              <w:rPr>
                <w:noProof/>
                <w:webHidden/>
              </w:rPr>
              <w:t>17</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90" w:history="1">
            <w:r w:rsidR="00DD5468" w:rsidRPr="00CF585A">
              <w:rPr>
                <w:rStyle w:val="Hyperlink"/>
                <w:rFonts w:eastAsia="Arial Unicode MS" w:cs="font331"/>
                <w:bCs/>
                <w:noProof/>
                <w:kern w:val="1"/>
                <w:lang w:val="en-IE" w:eastAsia="hi-IN" w:bidi="hi-IN"/>
              </w:rPr>
              <w:t>Consent</w:t>
            </w:r>
            <w:r w:rsidR="00DD5468">
              <w:rPr>
                <w:noProof/>
                <w:webHidden/>
              </w:rPr>
              <w:tab/>
            </w:r>
            <w:r w:rsidR="00DD5468">
              <w:rPr>
                <w:noProof/>
                <w:webHidden/>
              </w:rPr>
              <w:fldChar w:fldCharType="begin"/>
            </w:r>
            <w:r w:rsidR="00DD5468">
              <w:rPr>
                <w:noProof/>
                <w:webHidden/>
              </w:rPr>
              <w:instrText xml:space="preserve"> PAGEREF _Toc524350290 \h </w:instrText>
            </w:r>
            <w:r w:rsidR="00DD5468">
              <w:rPr>
                <w:noProof/>
                <w:webHidden/>
              </w:rPr>
            </w:r>
            <w:r w:rsidR="00DD5468">
              <w:rPr>
                <w:noProof/>
                <w:webHidden/>
              </w:rPr>
              <w:fldChar w:fldCharType="separate"/>
            </w:r>
            <w:r w:rsidR="00AA70FD">
              <w:rPr>
                <w:noProof/>
                <w:webHidden/>
              </w:rPr>
              <w:t>24</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91" w:history="1">
            <w:r w:rsidR="00DD5468" w:rsidRPr="00CF585A">
              <w:rPr>
                <w:rStyle w:val="Hyperlink"/>
                <w:rFonts w:eastAsia="Arial Unicode MS" w:cs="font331"/>
                <w:bCs/>
                <w:noProof/>
                <w:kern w:val="1"/>
                <w:lang w:val="en-IE" w:eastAsia="hi-IN" w:bidi="hi-IN"/>
              </w:rPr>
              <w:t>Competition</w:t>
            </w:r>
            <w:r w:rsidR="00DD5468">
              <w:rPr>
                <w:noProof/>
                <w:webHidden/>
              </w:rPr>
              <w:tab/>
            </w:r>
            <w:r w:rsidR="00DD5468">
              <w:rPr>
                <w:noProof/>
                <w:webHidden/>
              </w:rPr>
              <w:fldChar w:fldCharType="begin"/>
            </w:r>
            <w:r w:rsidR="00DD5468">
              <w:rPr>
                <w:noProof/>
                <w:webHidden/>
              </w:rPr>
              <w:instrText xml:space="preserve"> PAGEREF _Toc524350291 \h </w:instrText>
            </w:r>
            <w:r w:rsidR="00DD5468">
              <w:rPr>
                <w:noProof/>
                <w:webHidden/>
              </w:rPr>
            </w:r>
            <w:r w:rsidR="00DD5468">
              <w:rPr>
                <w:noProof/>
                <w:webHidden/>
              </w:rPr>
              <w:fldChar w:fldCharType="separate"/>
            </w:r>
            <w:r w:rsidR="00AA70FD">
              <w:rPr>
                <w:noProof/>
                <w:webHidden/>
              </w:rPr>
              <w:t>26</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92" w:history="1">
            <w:r w:rsidR="00DD5468" w:rsidRPr="00CF585A">
              <w:rPr>
                <w:rStyle w:val="Hyperlink"/>
                <w:rFonts w:eastAsia="Arial Unicode MS" w:cs="font331"/>
                <w:bCs/>
                <w:noProof/>
                <w:kern w:val="1"/>
                <w:lang w:val="en-IE" w:eastAsia="hi-IN" w:bidi="hi-IN"/>
              </w:rPr>
              <w:t>Questions raised at roundtables</w:t>
            </w:r>
            <w:r w:rsidR="00DD5468">
              <w:rPr>
                <w:noProof/>
                <w:webHidden/>
              </w:rPr>
              <w:tab/>
            </w:r>
            <w:r w:rsidR="00DD5468">
              <w:rPr>
                <w:noProof/>
                <w:webHidden/>
              </w:rPr>
              <w:fldChar w:fldCharType="begin"/>
            </w:r>
            <w:r w:rsidR="00DD5468">
              <w:rPr>
                <w:noProof/>
                <w:webHidden/>
              </w:rPr>
              <w:instrText xml:space="preserve"> PAGEREF _Toc524350292 \h </w:instrText>
            </w:r>
            <w:r w:rsidR="00DD5468">
              <w:rPr>
                <w:noProof/>
                <w:webHidden/>
              </w:rPr>
            </w:r>
            <w:r w:rsidR="00DD5468">
              <w:rPr>
                <w:noProof/>
                <w:webHidden/>
              </w:rPr>
              <w:fldChar w:fldCharType="separate"/>
            </w:r>
            <w:r w:rsidR="00AA70FD">
              <w:rPr>
                <w:noProof/>
                <w:webHidden/>
              </w:rPr>
              <w:t>31</w:t>
            </w:r>
            <w:r w:rsidR="00DD5468">
              <w:rPr>
                <w:noProof/>
                <w:webHidden/>
              </w:rPr>
              <w:fldChar w:fldCharType="end"/>
            </w:r>
          </w:hyperlink>
        </w:p>
        <w:p w:rsidR="00DD5468" w:rsidRDefault="008C5E65">
          <w:pPr>
            <w:pStyle w:val="TOC1"/>
            <w:rPr>
              <w:rFonts w:asciiTheme="minorHAnsi" w:hAnsiTheme="minorHAnsi"/>
              <w:noProof/>
              <w:sz w:val="22"/>
              <w:lang w:val="en-US" w:eastAsia="en-US"/>
            </w:rPr>
          </w:pPr>
          <w:hyperlink w:anchor="_Toc524350293" w:history="1">
            <w:r w:rsidR="00DD5468" w:rsidRPr="00CF585A">
              <w:rPr>
                <w:rStyle w:val="Hyperlink"/>
                <w:rFonts w:eastAsia="Arial Unicode MS" w:cs="font331"/>
                <w:bCs/>
                <w:noProof/>
                <w:kern w:val="1"/>
                <w:lang w:val="en-IE" w:eastAsia="hi-IN" w:bidi="hi-IN"/>
              </w:rPr>
              <w:t>Reference List</w:t>
            </w:r>
            <w:r w:rsidR="00DD5468">
              <w:rPr>
                <w:noProof/>
                <w:webHidden/>
              </w:rPr>
              <w:tab/>
            </w:r>
            <w:r w:rsidR="00DD5468">
              <w:rPr>
                <w:noProof/>
                <w:webHidden/>
              </w:rPr>
              <w:fldChar w:fldCharType="begin"/>
            </w:r>
            <w:r w:rsidR="00DD5468">
              <w:rPr>
                <w:noProof/>
                <w:webHidden/>
              </w:rPr>
              <w:instrText xml:space="preserve"> PAGEREF _Toc524350293 \h </w:instrText>
            </w:r>
            <w:r w:rsidR="00DD5468">
              <w:rPr>
                <w:noProof/>
                <w:webHidden/>
              </w:rPr>
            </w:r>
            <w:r w:rsidR="00DD5468">
              <w:rPr>
                <w:noProof/>
                <w:webHidden/>
              </w:rPr>
              <w:fldChar w:fldCharType="separate"/>
            </w:r>
            <w:r w:rsidR="00AA70FD">
              <w:rPr>
                <w:noProof/>
                <w:webHidden/>
              </w:rPr>
              <w:t>33</w:t>
            </w:r>
            <w:r w:rsidR="00DD5468">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Pr="00DD0AEA" w:rsidRDefault="00DD0AEA" w:rsidP="00CB7501">
      <w:pPr>
        <w:spacing w:before="100" w:beforeAutospacing="1" w:after="100" w:afterAutospacing="1" w:line="240" w:lineRule="auto"/>
        <w:jc w:val="both"/>
        <w:rPr>
          <w:rFonts w:eastAsiaTheme="minorEastAsia" w:cstheme="minorHAnsi"/>
          <w:sz w:val="24"/>
          <w:szCs w:val="24"/>
          <w:lang w:val="en-AU" w:eastAsia="en-AU"/>
        </w:rPr>
      </w:pPr>
    </w:p>
    <w:p w:rsidR="00DD0AEA" w:rsidRPr="00DD0AEA" w:rsidRDefault="00DD0AEA" w:rsidP="00DD0AE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0" w:name="_Toc524350286"/>
      <w:bookmarkStart w:id="1" w:name="_Toc424112265"/>
      <w:r w:rsidRPr="00DD0AEA">
        <w:rPr>
          <w:rFonts w:ascii="Calibri" w:eastAsia="Arial Unicode MS" w:hAnsi="Calibri" w:cs="font331"/>
          <w:bCs/>
          <w:kern w:val="1"/>
          <w:sz w:val="44"/>
          <w:szCs w:val="28"/>
          <w:lang w:val="en-IE" w:eastAsia="hi-IN" w:bidi="hi-IN"/>
        </w:rPr>
        <w:lastRenderedPageBreak/>
        <w:t>Executive Summary</w:t>
      </w:r>
      <w:bookmarkEnd w:id="0"/>
      <w:r w:rsidRPr="00DD0AEA">
        <w:rPr>
          <w:rFonts w:ascii="Calibri" w:eastAsia="Arial Unicode MS" w:hAnsi="Calibri" w:cs="font331"/>
          <w:bCs/>
          <w:kern w:val="1"/>
          <w:sz w:val="44"/>
          <w:szCs w:val="28"/>
          <w:lang w:val="en-IE" w:eastAsia="hi-IN" w:bidi="hi-IN"/>
        </w:rPr>
        <w:t xml:space="preserve"> </w:t>
      </w:r>
      <w:bookmarkEnd w:id="1"/>
    </w:p>
    <w:p w:rsidR="009B6AC6" w:rsidRDefault="00E155E4" w:rsidP="00551903">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ACCAN would like to thank the Treasury for the opportunity to submit to i</w:t>
      </w:r>
      <w:r w:rsidR="00DD0523">
        <w:rPr>
          <w:rFonts w:ascii="Times New Roman" w:hAnsi="Times New Roman" w:cs="Times New Roman"/>
          <w:color w:val="000000" w:themeColor="text1"/>
          <w:sz w:val="24"/>
          <w:szCs w:val="24"/>
          <w:lang w:val="en-AU"/>
        </w:rPr>
        <w:t xml:space="preserve">ts consultation on the exposure draft of the </w:t>
      </w:r>
      <w:r w:rsidR="00DD0523">
        <w:rPr>
          <w:rFonts w:ascii="Times New Roman" w:hAnsi="Times New Roman" w:cs="Times New Roman"/>
          <w:i/>
          <w:color w:val="000000" w:themeColor="text1"/>
          <w:sz w:val="24"/>
          <w:szCs w:val="24"/>
          <w:lang w:val="en-AU"/>
        </w:rPr>
        <w:t xml:space="preserve">Treasury Laws Amendment (Consumer Data Right) </w:t>
      </w:r>
      <w:r w:rsidR="00F46A19">
        <w:rPr>
          <w:rFonts w:ascii="Times New Roman" w:hAnsi="Times New Roman" w:cs="Times New Roman"/>
          <w:i/>
          <w:color w:val="000000" w:themeColor="text1"/>
          <w:sz w:val="24"/>
          <w:szCs w:val="24"/>
          <w:lang w:val="en-AU"/>
        </w:rPr>
        <w:t>Bill</w:t>
      </w:r>
      <w:r w:rsidR="00DD0523">
        <w:rPr>
          <w:rFonts w:ascii="Times New Roman" w:hAnsi="Times New Roman" w:cs="Times New Roman"/>
          <w:i/>
          <w:color w:val="000000" w:themeColor="text1"/>
          <w:sz w:val="24"/>
          <w:szCs w:val="24"/>
          <w:lang w:val="en-AU"/>
        </w:rPr>
        <w:t xml:space="preserve"> 2018.</w:t>
      </w:r>
      <w:r w:rsidR="00DD0523">
        <w:rPr>
          <w:rFonts w:ascii="Times New Roman" w:hAnsi="Times New Roman" w:cs="Times New Roman"/>
          <w:color w:val="000000" w:themeColor="text1"/>
          <w:sz w:val="24"/>
          <w:szCs w:val="24"/>
          <w:lang w:val="en-AU"/>
        </w:rPr>
        <w:t xml:space="preserve"> </w:t>
      </w:r>
      <w:r w:rsidR="00551903">
        <w:rPr>
          <w:rFonts w:ascii="Times New Roman" w:hAnsi="Times New Roman" w:cs="Times New Roman"/>
          <w:color w:val="000000" w:themeColor="text1"/>
          <w:sz w:val="24"/>
          <w:szCs w:val="24"/>
          <w:lang w:val="en-AU"/>
        </w:rPr>
        <w:t xml:space="preserve"> </w:t>
      </w:r>
    </w:p>
    <w:p w:rsidR="00FF3295" w:rsidRPr="003A3819" w:rsidRDefault="008D3D8E" w:rsidP="00551903">
      <w:pPr>
        <w:spacing w:before="100" w:beforeAutospacing="1" w:after="100" w:afterAutospacing="1"/>
        <w:jc w:val="both"/>
        <w:rPr>
          <w:rFonts w:ascii="Times New Roman" w:hAnsi="Times New Roman" w:cs="Times New Roman"/>
          <w:color w:val="FF0000"/>
          <w:sz w:val="24"/>
          <w:szCs w:val="24"/>
          <w:lang w:val="en-AU"/>
        </w:rPr>
      </w:pPr>
      <w:r w:rsidRPr="0077406C">
        <w:rPr>
          <w:rFonts w:ascii="Times New Roman" w:hAnsi="Times New Roman" w:cs="Times New Roman"/>
          <w:color w:val="000000" w:themeColor="text1"/>
          <w:sz w:val="24"/>
          <w:szCs w:val="24"/>
          <w:lang w:val="en-AU"/>
        </w:rPr>
        <w:t xml:space="preserve">Data and information </w:t>
      </w:r>
      <w:r w:rsidR="003A3819">
        <w:rPr>
          <w:rFonts w:ascii="Times New Roman" w:hAnsi="Times New Roman" w:cs="Times New Roman"/>
          <w:color w:val="000000" w:themeColor="text1"/>
          <w:sz w:val="24"/>
          <w:szCs w:val="24"/>
          <w:lang w:val="en-AU"/>
        </w:rPr>
        <w:t>can</w:t>
      </w:r>
      <w:r w:rsidRPr="0077406C">
        <w:rPr>
          <w:rFonts w:ascii="Times New Roman" w:hAnsi="Times New Roman" w:cs="Times New Roman"/>
          <w:color w:val="000000" w:themeColor="text1"/>
          <w:sz w:val="24"/>
          <w:szCs w:val="24"/>
          <w:lang w:val="en-AU"/>
        </w:rPr>
        <w:t xml:space="preserve"> be powerful transformative forces in markets, and ACCAN supports measures to harness</w:t>
      </w:r>
      <w:r w:rsidR="00C76CC9">
        <w:rPr>
          <w:rFonts w:ascii="Times New Roman" w:hAnsi="Times New Roman" w:cs="Times New Roman"/>
          <w:color w:val="000000" w:themeColor="text1"/>
          <w:sz w:val="24"/>
          <w:szCs w:val="24"/>
          <w:lang w:val="en-AU"/>
        </w:rPr>
        <w:t xml:space="preserve"> the collection and use of</w:t>
      </w:r>
      <w:r w:rsidRPr="0077406C">
        <w:rPr>
          <w:rFonts w:ascii="Times New Roman" w:hAnsi="Times New Roman" w:cs="Times New Roman"/>
          <w:color w:val="000000" w:themeColor="text1"/>
          <w:sz w:val="24"/>
          <w:szCs w:val="24"/>
          <w:lang w:val="en-AU"/>
        </w:rPr>
        <w:t xml:space="preserve"> data to provide better outcomes for consumers. </w:t>
      </w:r>
      <w:r w:rsidR="00DE2D2C">
        <w:rPr>
          <w:rFonts w:ascii="Times New Roman" w:hAnsi="Times New Roman" w:cs="Times New Roman"/>
          <w:color w:val="000000" w:themeColor="text1"/>
          <w:sz w:val="24"/>
          <w:szCs w:val="24"/>
          <w:lang w:val="en-AU"/>
        </w:rPr>
        <w:t>The proposed reforms have the potential to yield significant benefits for consumers, particularly in those markets characterised by high levels of concentration and weak competition.</w:t>
      </w:r>
      <w:r w:rsidR="00FF3295">
        <w:rPr>
          <w:rFonts w:ascii="Times New Roman" w:hAnsi="Times New Roman" w:cs="Times New Roman"/>
          <w:color w:val="000000" w:themeColor="text1"/>
          <w:sz w:val="24"/>
          <w:szCs w:val="24"/>
          <w:lang w:val="en-AU"/>
        </w:rPr>
        <w:t xml:space="preserve"> The benefits for </w:t>
      </w:r>
      <w:r w:rsidR="00BF1FA6">
        <w:rPr>
          <w:rFonts w:ascii="Times New Roman" w:hAnsi="Times New Roman" w:cs="Times New Roman"/>
          <w:color w:val="000000" w:themeColor="text1"/>
          <w:sz w:val="24"/>
          <w:szCs w:val="24"/>
          <w:lang w:val="en-AU"/>
        </w:rPr>
        <w:t>consumers</w:t>
      </w:r>
      <w:r w:rsidR="00FF3295">
        <w:rPr>
          <w:rFonts w:ascii="Times New Roman" w:hAnsi="Times New Roman" w:cs="Times New Roman"/>
          <w:color w:val="000000" w:themeColor="text1"/>
          <w:sz w:val="24"/>
          <w:szCs w:val="24"/>
          <w:lang w:val="en-AU"/>
        </w:rPr>
        <w:t xml:space="preserve"> may be material and the consumer data right framework will in principle enable consumers to benefit from their data through reduced prices and m</w:t>
      </w:r>
      <w:r w:rsidR="004206F6">
        <w:rPr>
          <w:rFonts w:ascii="Times New Roman" w:hAnsi="Times New Roman" w:cs="Times New Roman"/>
          <w:color w:val="000000" w:themeColor="text1"/>
          <w:sz w:val="24"/>
          <w:szCs w:val="24"/>
          <w:lang w:val="en-AU"/>
        </w:rPr>
        <w:t>ore tailored service offerings.</w:t>
      </w:r>
    </w:p>
    <w:p w:rsidR="00FF3295" w:rsidRPr="004206F6" w:rsidRDefault="004206F6" w:rsidP="00496EC4">
      <w:pPr>
        <w:spacing w:before="100" w:beforeAutospacing="1" w:after="100" w:afterAutospacing="1"/>
        <w:jc w:val="both"/>
        <w:rPr>
          <w:rFonts w:ascii="Times New Roman" w:hAnsi="Times New Roman" w:cs="Times New Roman"/>
          <w:sz w:val="24"/>
        </w:rPr>
      </w:pPr>
      <w:r w:rsidRPr="004206F6">
        <w:rPr>
          <w:rFonts w:ascii="Times New Roman" w:hAnsi="Times New Roman" w:cs="Times New Roman"/>
          <w:sz w:val="24"/>
          <w:szCs w:val="24"/>
          <w:lang w:val="en-AU"/>
        </w:rPr>
        <w:t>In the tele</w:t>
      </w:r>
      <w:r w:rsidR="00480D20">
        <w:rPr>
          <w:rFonts w:ascii="Times New Roman" w:hAnsi="Times New Roman" w:cs="Times New Roman"/>
          <w:sz w:val="24"/>
          <w:szCs w:val="24"/>
          <w:lang w:val="en-AU"/>
        </w:rPr>
        <w:t>communications marketplace, these reforms ha</w:t>
      </w:r>
      <w:r w:rsidR="00294DFD">
        <w:rPr>
          <w:rFonts w:ascii="Times New Roman" w:hAnsi="Times New Roman" w:cs="Times New Roman"/>
          <w:sz w:val="24"/>
          <w:szCs w:val="24"/>
          <w:lang w:val="en-AU"/>
        </w:rPr>
        <w:t>ve</w:t>
      </w:r>
      <w:r w:rsidRPr="004206F6">
        <w:rPr>
          <w:rFonts w:ascii="Times New Roman" w:hAnsi="Times New Roman" w:cs="Times New Roman"/>
          <w:sz w:val="24"/>
          <w:szCs w:val="24"/>
          <w:lang w:val="en-AU"/>
        </w:rPr>
        <w:t xml:space="preserve"> the potential to provide significant relief to those consumers on low incomes. </w:t>
      </w:r>
      <w:r w:rsidR="00FF3295" w:rsidRPr="004206F6">
        <w:rPr>
          <w:rFonts w:ascii="Times New Roman" w:hAnsi="Times New Roman" w:cs="Times New Roman"/>
          <w:sz w:val="24"/>
          <w:szCs w:val="24"/>
        </w:rPr>
        <w:t xml:space="preserve">Although the quality and variety of services on offer in Australia have increased significantly over time, and there have been improvements in affordability more generally, affordable communications continue to be a challenge for many consumers on low incomes </w:t>
      </w:r>
      <w:r w:rsidRPr="004206F6">
        <w:rPr>
          <w:rFonts w:ascii="Times New Roman" w:hAnsi="Times New Roman" w:cs="Times New Roman"/>
          <w:sz w:val="24"/>
        </w:rPr>
        <w:t>(PC 2017</w:t>
      </w:r>
      <w:r w:rsidRPr="004206F6">
        <w:rPr>
          <w:rFonts w:ascii="Times New Roman" w:hAnsi="Times New Roman" w:cs="Times New Roman"/>
          <w:noProof/>
          <w:sz w:val="24"/>
          <w:szCs w:val="24"/>
        </w:rPr>
        <w:t xml:space="preserve">, </w:t>
      </w:r>
      <w:r w:rsidRPr="004206F6">
        <w:rPr>
          <w:rFonts w:ascii="Times New Roman" w:hAnsi="Times New Roman" w:cs="Times New Roman"/>
          <w:sz w:val="24"/>
          <w:szCs w:val="24"/>
        </w:rPr>
        <w:t>p. 24</w:t>
      </w:r>
      <w:r w:rsidRPr="004206F6">
        <w:rPr>
          <w:rFonts w:ascii="Times New Roman" w:hAnsi="Times New Roman" w:cs="Times New Roman"/>
          <w:sz w:val="24"/>
        </w:rPr>
        <w:t>)</w:t>
      </w:r>
      <w:r w:rsidR="00FF3295" w:rsidRPr="004206F6">
        <w:rPr>
          <w:rFonts w:ascii="Times New Roman" w:hAnsi="Times New Roman" w:cs="Times New Roman"/>
          <w:sz w:val="24"/>
          <w:szCs w:val="24"/>
        </w:rPr>
        <w:t xml:space="preserve">. </w:t>
      </w:r>
    </w:p>
    <w:p w:rsidR="00551903" w:rsidRPr="0013687E" w:rsidRDefault="004206F6" w:rsidP="0013687E">
      <w:pPr>
        <w:jc w:val="both"/>
        <w:rPr>
          <w:rFonts w:ascii="Times New Roman" w:hAnsi="Times New Roman" w:cs="Times New Roman"/>
          <w:sz w:val="24"/>
        </w:rPr>
      </w:pPr>
      <w:r w:rsidRPr="0013687E">
        <w:rPr>
          <w:rFonts w:ascii="Times New Roman" w:hAnsi="Times New Roman" w:cs="Times New Roman"/>
          <w:sz w:val="24"/>
        </w:rPr>
        <w:t>Optimism concerning the potential benefits of the proposed reforms, sho</w:t>
      </w:r>
      <w:r w:rsidR="0013687E" w:rsidRPr="0013687E">
        <w:rPr>
          <w:rFonts w:ascii="Times New Roman" w:hAnsi="Times New Roman" w:cs="Times New Roman"/>
          <w:sz w:val="24"/>
        </w:rPr>
        <w:t xml:space="preserve">uld however be tempered with a considered examination of the potential costs and risks. Although ACCAN is in principle supportive of the intent of the proposed reforms, ACCAN has </w:t>
      </w:r>
      <w:r w:rsidR="00551903" w:rsidRPr="0013687E">
        <w:rPr>
          <w:rFonts w:ascii="Times New Roman" w:hAnsi="Times New Roman" w:cs="Times New Roman"/>
          <w:sz w:val="24"/>
          <w:szCs w:val="24"/>
          <w:lang w:val="en-AU"/>
        </w:rPr>
        <w:t xml:space="preserve">concerns that the current drafting of the </w:t>
      </w:r>
      <w:r w:rsidR="00F46A19">
        <w:rPr>
          <w:rFonts w:ascii="Times New Roman" w:hAnsi="Times New Roman" w:cs="Times New Roman"/>
          <w:sz w:val="24"/>
          <w:szCs w:val="24"/>
          <w:lang w:val="en-AU"/>
        </w:rPr>
        <w:t>Bill</w:t>
      </w:r>
      <w:r w:rsidR="00551903" w:rsidRPr="0013687E">
        <w:rPr>
          <w:rFonts w:ascii="Times New Roman" w:hAnsi="Times New Roman" w:cs="Times New Roman"/>
          <w:sz w:val="24"/>
          <w:szCs w:val="24"/>
          <w:lang w:val="en-AU"/>
        </w:rPr>
        <w:t xml:space="preserve"> does not adequate</w:t>
      </w:r>
      <w:r w:rsidR="00ED758E" w:rsidRPr="0013687E">
        <w:rPr>
          <w:rFonts w:ascii="Times New Roman" w:hAnsi="Times New Roman" w:cs="Times New Roman"/>
          <w:sz w:val="24"/>
          <w:szCs w:val="24"/>
          <w:lang w:val="en-AU"/>
        </w:rPr>
        <w:t>ly</w:t>
      </w:r>
      <w:r w:rsidR="00551903" w:rsidRPr="0013687E">
        <w:rPr>
          <w:rFonts w:ascii="Times New Roman" w:hAnsi="Times New Roman" w:cs="Times New Roman"/>
          <w:sz w:val="24"/>
          <w:szCs w:val="24"/>
          <w:lang w:val="en-AU"/>
        </w:rPr>
        <w:t xml:space="preserve"> address</w:t>
      </w:r>
      <w:r w:rsidR="000769D6">
        <w:rPr>
          <w:rFonts w:ascii="Times New Roman" w:hAnsi="Times New Roman" w:cs="Times New Roman"/>
          <w:sz w:val="24"/>
          <w:szCs w:val="24"/>
          <w:lang w:val="en-AU"/>
        </w:rPr>
        <w:t xml:space="preserve"> certain</w:t>
      </w:r>
      <w:r w:rsidR="00551903" w:rsidRPr="0013687E">
        <w:rPr>
          <w:rFonts w:ascii="Times New Roman" w:hAnsi="Times New Roman" w:cs="Times New Roman"/>
          <w:sz w:val="24"/>
          <w:szCs w:val="24"/>
          <w:lang w:val="en-AU"/>
        </w:rPr>
        <w:t xml:space="preserve"> issues including: </w:t>
      </w:r>
    </w:p>
    <w:p w:rsidR="00551903" w:rsidRDefault="00551903"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consumer privacy and protection of consumer data;</w:t>
      </w:r>
    </w:p>
    <w:p w:rsidR="00DD5468" w:rsidRDefault="00DD5468"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fundamental and entrenched information asymmetries;</w:t>
      </w:r>
    </w:p>
    <w:p w:rsidR="00551903" w:rsidRDefault="00633C30"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genuine and fully </w:t>
      </w:r>
      <w:r w:rsidR="00551903">
        <w:rPr>
          <w:rFonts w:ascii="Times New Roman" w:hAnsi="Times New Roman" w:cs="Times New Roman"/>
          <w:color w:val="000000" w:themeColor="text1"/>
          <w:szCs w:val="24"/>
        </w:rPr>
        <w:t xml:space="preserve">informed consent; and </w:t>
      </w:r>
    </w:p>
    <w:p w:rsidR="00551903" w:rsidRDefault="00551903" w:rsidP="00116291">
      <w:pPr>
        <w:pStyle w:val="ListParagraph"/>
        <w:numPr>
          <w:ilvl w:val="0"/>
          <w:numId w:val="9"/>
        </w:numPr>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potential for consumer data</w:t>
      </w:r>
      <w:r w:rsidR="00342020">
        <w:rPr>
          <w:rFonts w:ascii="Times New Roman" w:hAnsi="Times New Roman" w:cs="Times New Roman"/>
          <w:color w:val="000000" w:themeColor="text1"/>
          <w:szCs w:val="24"/>
        </w:rPr>
        <w:t xml:space="preserve"> to be used</w:t>
      </w:r>
      <w:r>
        <w:rPr>
          <w:rFonts w:ascii="Times New Roman" w:hAnsi="Times New Roman" w:cs="Times New Roman"/>
          <w:color w:val="000000" w:themeColor="text1"/>
          <w:szCs w:val="24"/>
        </w:rPr>
        <w:t xml:space="preserve"> for anti-competitive conduct.</w:t>
      </w:r>
    </w:p>
    <w:p w:rsidR="001D5F76" w:rsidRDefault="00E31305" w:rsidP="00CB7501">
      <w:pPr>
        <w:spacing w:before="100" w:beforeAutospacing="1" w:after="100" w:afterAutospacing="1"/>
        <w:jc w:val="both"/>
        <w:rPr>
          <w:rFonts w:ascii="Times New Roman" w:hAnsi="Times New Roman" w:cs="Times New Roman"/>
          <w:sz w:val="24"/>
          <w:szCs w:val="24"/>
          <w:lang w:val="en-AU"/>
        </w:rPr>
      </w:pPr>
      <w:r w:rsidRPr="00C76CC9">
        <w:rPr>
          <w:rFonts w:ascii="Times New Roman" w:hAnsi="Times New Roman" w:cs="Times New Roman"/>
          <w:sz w:val="24"/>
          <w:szCs w:val="24"/>
          <w:lang w:val="en-AU"/>
        </w:rPr>
        <w:t xml:space="preserve">ACCAN strongly supports the refinement of the current legislation to ensure that the proposed </w:t>
      </w:r>
      <w:r w:rsidR="000769D6" w:rsidRPr="00C76CC9">
        <w:rPr>
          <w:rFonts w:ascii="Times New Roman" w:hAnsi="Times New Roman" w:cs="Times New Roman"/>
          <w:sz w:val="24"/>
          <w:szCs w:val="24"/>
          <w:lang w:val="en-AU"/>
        </w:rPr>
        <w:t>Consumer Data Right (</w:t>
      </w:r>
      <w:r w:rsidRPr="00C76CC9">
        <w:rPr>
          <w:rFonts w:ascii="Times New Roman" w:hAnsi="Times New Roman" w:cs="Times New Roman"/>
          <w:sz w:val="24"/>
          <w:szCs w:val="24"/>
          <w:lang w:val="en-AU"/>
        </w:rPr>
        <w:t>CDR</w:t>
      </w:r>
      <w:r w:rsidR="000769D6" w:rsidRPr="00C76CC9">
        <w:rPr>
          <w:rFonts w:ascii="Times New Roman" w:hAnsi="Times New Roman" w:cs="Times New Roman"/>
          <w:sz w:val="24"/>
          <w:szCs w:val="24"/>
          <w:lang w:val="en-AU"/>
        </w:rPr>
        <w:t>)</w:t>
      </w:r>
      <w:r w:rsidRPr="00C76CC9">
        <w:rPr>
          <w:rFonts w:ascii="Times New Roman" w:hAnsi="Times New Roman" w:cs="Times New Roman"/>
          <w:sz w:val="24"/>
          <w:szCs w:val="24"/>
          <w:lang w:val="en-AU"/>
        </w:rPr>
        <w:t xml:space="preserve"> framework maximises the potential benefits to consumers, while simultaneously addresses areas of </w:t>
      </w:r>
      <w:r w:rsidR="001E3DB6" w:rsidRPr="00C76CC9">
        <w:rPr>
          <w:rFonts w:ascii="Times New Roman" w:hAnsi="Times New Roman" w:cs="Times New Roman"/>
          <w:sz w:val="24"/>
          <w:szCs w:val="24"/>
          <w:lang w:val="en-AU"/>
        </w:rPr>
        <w:t>potential</w:t>
      </w:r>
      <w:r w:rsidRPr="00C76CC9">
        <w:rPr>
          <w:rFonts w:ascii="Times New Roman" w:hAnsi="Times New Roman" w:cs="Times New Roman"/>
          <w:sz w:val="24"/>
          <w:szCs w:val="24"/>
          <w:lang w:val="en-AU"/>
        </w:rPr>
        <w:t xml:space="preserve"> risk. </w:t>
      </w:r>
      <w:r w:rsidR="009D10CB" w:rsidRPr="00C76CC9">
        <w:rPr>
          <w:rFonts w:ascii="Times New Roman" w:hAnsi="Times New Roman" w:cs="Times New Roman"/>
          <w:sz w:val="24"/>
          <w:szCs w:val="24"/>
          <w:lang w:val="en-AU"/>
        </w:rPr>
        <w:t xml:space="preserve">These refinements entail </w:t>
      </w:r>
      <w:r w:rsidR="007F0AFE" w:rsidRPr="00C76CC9">
        <w:rPr>
          <w:rFonts w:ascii="Times New Roman" w:hAnsi="Times New Roman" w:cs="Times New Roman"/>
          <w:sz w:val="24"/>
          <w:szCs w:val="24"/>
          <w:lang w:val="en-AU"/>
        </w:rPr>
        <w:t xml:space="preserve">expanding the </w:t>
      </w:r>
      <w:r w:rsidR="0064008B" w:rsidRPr="00C76CC9">
        <w:rPr>
          <w:rFonts w:ascii="Times New Roman" w:hAnsi="Times New Roman" w:cs="Times New Roman"/>
          <w:sz w:val="24"/>
          <w:szCs w:val="24"/>
          <w:lang w:val="en-AU"/>
        </w:rPr>
        <w:t xml:space="preserve">scope of privacy protections for consumers, providing consumers </w:t>
      </w:r>
      <w:r w:rsidR="009968E8" w:rsidRPr="00C76CC9">
        <w:rPr>
          <w:rFonts w:ascii="Times New Roman" w:hAnsi="Times New Roman" w:cs="Times New Roman"/>
          <w:sz w:val="24"/>
          <w:szCs w:val="24"/>
          <w:lang w:val="en-AU"/>
        </w:rPr>
        <w:t xml:space="preserve">greater </w:t>
      </w:r>
      <w:r w:rsidR="0064008B" w:rsidRPr="00C76CC9">
        <w:rPr>
          <w:rFonts w:ascii="Times New Roman" w:hAnsi="Times New Roman" w:cs="Times New Roman"/>
          <w:sz w:val="24"/>
          <w:szCs w:val="24"/>
          <w:lang w:val="en-AU"/>
        </w:rPr>
        <w:t xml:space="preserve">control over </w:t>
      </w:r>
      <w:r w:rsidR="009968E8" w:rsidRPr="00C76CC9">
        <w:rPr>
          <w:rFonts w:ascii="Times New Roman" w:hAnsi="Times New Roman" w:cs="Times New Roman"/>
          <w:sz w:val="24"/>
          <w:szCs w:val="24"/>
          <w:lang w:val="en-AU"/>
        </w:rPr>
        <w:t>their information through a genuine consent requirement, and constraining the potential for data to be used to engage in anti-competitive behaviour.</w:t>
      </w:r>
      <w:r w:rsidR="00DD5468">
        <w:rPr>
          <w:rFonts w:ascii="Times New Roman" w:hAnsi="Times New Roman" w:cs="Times New Roman"/>
          <w:sz w:val="24"/>
          <w:szCs w:val="24"/>
          <w:lang w:val="en-AU"/>
        </w:rPr>
        <w:t xml:space="preserve"> </w:t>
      </w:r>
    </w:p>
    <w:p w:rsidR="005F4B20" w:rsidRPr="00C76CC9" w:rsidRDefault="00BF41DC" w:rsidP="00CB7501">
      <w:pPr>
        <w:spacing w:before="100" w:beforeAutospacing="1" w:after="100" w:afterAutospacing="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CDR is likely to reduce the cost of consumers communicating their information between providers (a transaction cost). Although this will provide some benefits, ACCAN has concerns that the CDR will not address the entrenched information advantages that service providers have over consumers, and the detriment that consumers face as a result. Unless these information asymmetries are addressed, the CDR and the benefits that it generates are unlikely to reach their potential. Accordingly we support further refinements to the CDR to address the material information asymmetries faced by consumers. </w:t>
      </w:r>
    </w:p>
    <w:p w:rsidR="00352240" w:rsidRDefault="00B10975" w:rsidP="006730E8">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r>
        <w:rPr>
          <w:rFonts w:ascii="Calibri" w:eastAsia="Arial Unicode MS" w:hAnsi="Calibri" w:cs="font331"/>
          <w:bCs/>
          <w:kern w:val="1"/>
          <w:sz w:val="44"/>
          <w:szCs w:val="28"/>
          <w:lang w:val="en-IE" w:eastAsia="hi-IN" w:bidi="hi-IN"/>
        </w:rPr>
        <w:lastRenderedPageBreak/>
        <w:fldChar w:fldCharType="begin"/>
      </w:r>
      <w:r>
        <w:rPr>
          <w:rFonts w:ascii="Calibri" w:eastAsia="Arial Unicode MS" w:hAnsi="Calibri" w:cs="font331"/>
          <w:bCs/>
          <w:kern w:val="1"/>
          <w:sz w:val="44"/>
          <w:szCs w:val="28"/>
          <w:lang w:val="en-IE" w:eastAsia="hi-IN" w:bidi="hi-IN"/>
        </w:rPr>
        <w:instrText xml:space="preserve"> PRINTDATE  \* MERGEFORMAT </w:instrText>
      </w:r>
      <w:r>
        <w:rPr>
          <w:rFonts w:ascii="Calibri" w:eastAsia="Arial Unicode MS" w:hAnsi="Calibri" w:cs="font331"/>
          <w:bCs/>
          <w:kern w:val="1"/>
          <w:sz w:val="44"/>
          <w:szCs w:val="28"/>
          <w:lang w:val="en-IE" w:eastAsia="hi-IN" w:bidi="hi-IN"/>
        </w:rPr>
        <w:fldChar w:fldCharType="end"/>
      </w:r>
      <w:bookmarkStart w:id="2" w:name="_Toc524350287"/>
      <w:r w:rsidR="00352240">
        <w:rPr>
          <w:rFonts w:ascii="Calibri" w:eastAsia="Arial Unicode MS" w:hAnsi="Calibri" w:cs="font331"/>
          <w:bCs/>
          <w:kern w:val="1"/>
          <w:sz w:val="44"/>
          <w:szCs w:val="28"/>
          <w:lang w:val="en-IE" w:eastAsia="hi-IN" w:bidi="hi-IN"/>
        </w:rPr>
        <w:t>Recommendations</w:t>
      </w:r>
      <w:bookmarkEnd w:id="2"/>
      <w:r w:rsidR="00352240">
        <w:rPr>
          <w:rFonts w:ascii="Calibri" w:eastAsia="Arial Unicode MS" w:hAnsi="Calibri" w:cs="font331"/>
          <w:bCs/>
          <w:kern w:val="1"/>
          <w:sz w:val="44"/>
          <w:szCs w:val="28"/>
          <w:lang w:val="en-IE" w:eastAsia="hi-IN" w:bidi="hi-IN"/>
        </w:rPr>
        <w:t xml:space="preserve"> </w:t>
      </w:r>
    </w:p>
    <w:p w:rsidR="00F93DBE" w:rsidRDefault="00221EA5" w:rsidP="00FE73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58592" behindDoc="0" locked="0" layoutInCell="1" allowOverlap="1" wp14:anchorId="4DE79BEC" wp14:editId="49557B55">
                <wp:simplePos x="0" y="0"/>
                <wp:positionH relativeFrom="column">
                  <wp:posOffset>15875</wp:posOffset>
                </wp:positionH>
                <wp:positionV relativeFrom="paragraph">
                  <wp:posOffset>111125</wp:posOffset>
                </wp:positionV>
                <wp:extent cx="5720080" cy="975360"/>
                <wp:effectExtent l="0" t="0" r="13970" b="15240"/>
                <wp:wrapNone/>
                <wp:docPr id="31" name="Text Box 31"/>
                <wp:cNvGraphicFramePr/>
                <a:graphic xmlns:a="http://schemas.openxmlformats.org/drawingml/2006/main">
                  <a:graphicData uri="http://schemas.microsoft.com/office/word/2010/wordprocessingShape">
                    <wps:wsp>
                      <wps:cNvSpPr txBox="1"/>
                      <wps:spPr>
                        <a:xfrm>
                          <a:off x="0" y="0"/>
                          <a:ext cx="5720080" cy="975360"/>
                        </a:xfrm>
                        <a:prstGeom prst="rect">
                          <a:avLst/>
                        </a:prstGeom>
                        <a:solidFill>
                          <a:sysClr val="window" lastClr="FFFFFF"/>
                        </a:solidFill>
                        <a:ln w="6350">
                          <a:solidFill>
                            <a:srgbClr val="00B0F0"/>
                          </a:solidFill>
                        </a:ln>
                      </wps:spPr>
                      <wps:txbx>
                        <w:txbxContent>
                          <w:p w:rsidR="00DD5468" w:rsidRPr="00840306" w:rsidRDefault="00DD5468" w:rsidP="00221EA5">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221EA5">
                            <w:pPr>
                              <w:jc w:val="both"/>
                              <w:rPr>
                                <w:rFonts w:ascii="Times New Roman" w:hAnsi="Times New Roman" w:cs="Times New Roman"/>
                                <w:i/>
                              </w:rPr>
                            </w:pPr>
                            <w:r w:rsidRPr="00840306">
                              <w:rPr>
                                <w:rFonts w:ascii="Times New Roman" w:hAnsi="Times New Roman" w:cs="Times New Roman"/>
                                <w:i/>
                              </w:rPr>
                              <w:t>Th</w:t>
                            </w:r>
                            <w:r>
                              <w:rPr>
                                <w:rFonts w:ascii="Times New Roman" w:hAnsi="Times New Roman" w:cs="Times New Roman"/>
                                <w:i/>
                              </w:rPr>
                              <w:t>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25pt;margin-top:8.75pt;width:450.4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" fillcolor="window" strokecolor="#00b0f0" strokeweight=".5pt">
                <v:textbox>
                  <w:txbxContent>
                    <w:p w:rsidR="00DD5468" w:rsidRPr="00840306" w:rsidRDefault="00DD5468" w:rsidP="00221EA5">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221EA5">
                      <w:pPr>
                        <w:jc w:val="both"/>
                        <w:rPr>
                          <w:rFonts w:ascii="Times New Roman" w:hAnsi="Times New Roman" w:cs="Times New Roman"/>
                          <w:i/>
                        </w:rPr>
                      </w:pPr>
                      <w:r w:rsidRPr="00840306">
                        <w:rPr>
                          <w:rFonts w:ascii="Times New Roman" w:hAnsi="Times New Roman" w:cs="Times New Roman"/>
                          <w:i/>
                        </w:rPr>
                        <w:t>Th</w:t>
                      </w:r>
                      <w:r>
                        <w:rPr>
                          <w:rFonts w:ascii="Times New Roman" w:hAnsi="Times New Roman" w:cs="Times New Roman"/>
                          <w:i/>
                        </w:rPr>
                        <w:t>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v:textbox>
              </v:shape>
            </w:pict>
          </mc:Fallback>
        </mc:AlternateContent>
      </w:r>
    </w:p>
    <w:p w:rsidR="00887972" w:rsidRPr="00726243" w:rsidRDefault="00887972" w:rsidP="00FE73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1248" behindDoc="0" locked="0" layoutInCell="1" allowOverlap="1" wp14:anchorId="6F695A78" wp14:editId="37C0B1B1">
                <wp:simplePos x="0" y="0"/>
                <wp:positionH relativeFrom="column">
                  <wp:posOffset>6350</wp:posOffset>
                </wp:positionH>
                <wp:positionV relativeFrom="paragraph">
                  <wp:posOffset>216535</wp:posOffset>
                </wp:positionV>
                <wp:extent cx="5720080" cy="1035050"/>
                <wp:effectExtent l="0" t="0" r="13970" b="12700"/>
                <wp:wrapNone/>
                <wp:docPr id="11" name="Text Box 11"/>
                <wp:cNvGraphicFramePr/>
                <a:graphic xmlns:a="http://schemas.openxmlformats.org/drawingml/2006/main">
                  <a:graphicData uri="http://schemas.microsoft.com/office/word/2010/wordprocessingShape">
                    <wps:wsp>
                      <wps:cNvSpPr txBox="1"/>
                      <wps:spPr>
                        <a:xfrm>
                          <a:off x="0" y="0"/>
                          <a:ext cx="5720080" cy="1035050"/>
                        </a:xfrm>
                        <a:prstGeom prst="rect">
                          <a:avLst/>
                        </a:prstGeom>
                        <a:solidFill>
                          <a:sysClr val="window" lastClr="FFFFFF"/>
                        </a:solidFill>
                        <a:ln w="6350">
                          <a:solidFill>
                            <a:srgbClr val="00B0F0"/>
                          </a:solidFill>
                        </a:ln>
                      </wps:spPr>
                      <wps:txbx>
                        <w:txbxContent>
                          <w:p w:rsidR="00DD5468" w:rsidRPr="00C35DED" w:rsidRDefault="00DD5468" w:rsidP="007056F2">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7056F2">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pt;margin-top:17.05pt;width:450.4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" fillcolor="window" strokecolor="#00b0f0" strokeweight=".5pt">
                <v:textbox>
                  <w:txbxContent>
                    <w:p w:rsidR="00DD5468" w:rsidRPr="00C35DED" w:rsidRDefault="00DD5468" w:rsidP="007056F2">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7056F2">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221EA5"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2688" behindDoc="0" locked="0" layoutInCell="1" allowOverlap="1" wp14:anchorId="766DB621" wp14:editId="69F1003B">
                <wp:simplePos x="0" y="0"/>
                <wp:positionH relativeFrom="column">
                  <wp:posOffset>0</wp:posOffset>
                </wp:positionH>
                <wp:positionV relativeFrom="paragraph">
                  <wp:posOffset>25400</wp:posOffset>
                </wp:positionV>
                <wp:extent cx="5720080" cy="1236980"/>
                <wp:effectExtent l="0" t="0" r="13970" b="20320"/>
                <wp:wrapNone/>
                <wp:docPr id="33" name="Text Box 33"/>
                <wp:cNvGraphicFramePr/>
                <a:graphic xmlns:a="http://schemas.openxmlformats.org/drawingml/2006/main">
                  <a:graphicData uri="http://schemas.microsoft.com/office/word/2010/wordprocessingShape">
                    <wps:wsp>
                      <wps:cNvSpPr txBox="1"/>
                      <wps:spPr>
                        <a:xfrm>
                          <a:off x="0" y="0"/>
                          <a:ext cx="5720080" cy="123698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3</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0;margin-top:2pt;width:450.4pt;height:9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3</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221EA5"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4736" behindDoc="0" locked="0" layoutInCell="1" allowOverlap="1" wp14:anchorId="5DA2B504" wp14:editId="460755A3">
                <wp:simplePos x="0" y="0"/>
                <wp:positionH relativeFrom="column">
                  <wp:posOffset>-2540</wp:posOffset>
                </wp:positionH>
                <wp:positionV relativeFrom="paragraph">
                  <wp:posOffset>25400</wp:posOffset>
                </wp:positionV>
                <wp:extent cx="5720080" cy="998220"/>
                <wp:effectExtent l="0" t="0" r="13970" b="11430"/>
                <wp:wrapNone/>
                <wp:docPr id="40" name="Text Box 40"/>
                <wp:cNvGraphicFramePr/>
                <a:graphic xmlns:a="http://schemas.openxmlformats.org/drawingml/2006/main">
                  <a:graphicData uri="http://schemas.microsoft.com/office/word/2010/wordprocessingShape">
                    <wps:wsp>
                      <wps:cNvSpPr txBox="1"/>
                      <wps:spPr>
                        <a:xfrm>
                          <a:off x="0" y="0"/>
                          <a:ext cx="5720080" cy="99822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4</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w:t>
                            </w:r>
                            <w:r>
                              <w:rPr>
                                <w:rFonts w:ascii="Times New Roman" w:hAnsi="Times New Roman" w:cs="Times New Roman"/>
                                <w:i/>
                              </w:rPr>
                              <w:t xml:space="preserve">, </w:t>
                            </w:r>
                            <w:r w:rsidRPr="00C35DED">
                              <w:rPr>
                                <w:rFonts w:ascii="Times New Roman" w:hAnsi="Times New Roman" w:cs="Times New Roman"/>
                                <w:i/>
                              </w:rPr>
                              <w:t>Treasury examine</w:t>
                            </w:r>
                            <w:r>
                              <w:rPr>
                                <w:rFonts w:ascii="Times New Roman" w:hAnsi="Times New Roman" w:cs="Times New Roman"/>
                                <w:i/>
                              </w:rPr>
                              <w:t>s</w:t>
                            </w:r>
                            <w:r w:rsidRPr="00C35DED">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2pt;margin-top:2pt;width:450.4pt;height:7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4</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w:t>
                      </w:r>
                      <w:r>
                        <w:rPr>
                          <w:rFonts w:ascii="Times New Roman" w:hAnsi="Times New Roman" w:cs="Times New Roman"/>
                          <w:i/>
                        </w:rPr>
                        <w:t xml:space="preserve">, </w:t>
                      </w:r>
                      <w:r w:rsidRPr="00C35DED">
                        <w:rPr>
                          <w:rFonts w:ascii="Times New Roman" w:hAnsi="Times New Roman" w:cs="Times New Roman"/>
                          <w:i/>
                        </w:rPr>
                        <w:t>Treasury examine</w:t>
                      </w:r>
                      <w:r>
                        <w:rPr>
                          <w:rFonts w:ascii="Times New Roman" w:hAnsi="Times New Roman" w:cs="Times New Roman"/>
                          <w:i/>
                        </w:rPr>
                        <w:t>s</w:t>
                      </w:r>
                      <w:r w:rsidRPr="00C35DED">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5584" behindDoc="0" locked="0" layoutInCell="1" allowOverlap="1" wp14:anchorId="226D195F" wp14:editId="4E730C1B">
                <wp:simplePos x="0" y="0"/>
                <wp:positionH relativeFrom="column">
                  <wp:posOffset>15240</wp:posOffset>
                </wp:positionH>
                <wp:positionV relativeFrom="paragraph">
                  <wp:posOffset>110490</wp:posOffset>
                </wp:positionV>
                <wp:extent cx="5720080" cy="1024255"/>
                <wp:effectExtent l="0" t="0" r="13970" b="23495"/>
                <wp:wrapNone/>
                <wp:docPr id="17" name="Text Box 17"/>
                <wp:cNvGraphicFramePr/>
                <a:graphic xmlns:a="http://schemas.openxmlformats.org/drawingml/2006/main">
                  <a:graphicData uri="http://schemas.microsoft.com/office/word/2010/wordprocessingShape">
                    <wps:wsp>
                      <wps:cNvSpPr txBox="1"/>
                      <wps:spPr>
                        <a:xfrm>
                          <a:off x="0" y="0"/>
                          <a:ext cx="5720080" cy="1024255"/>
                        </a:xfrm>
                        <a:prstGeom prst="rect">
                          <a:avLst/>
                        </a:prstGeom>
                        <a:solidFill>
                          <a:sysClr val="window" lastClr="FFFFFF"/>
                        </a:solidFill>
                        <a:ln w="6350">
                          <a:solidFill>
                            <a:srgbClr val="00B0F0"/>
                          </a:solidFill>
                        </a:ln>
                      </wps:spPr>
                      <wps:txbx>
                        <w:txbxContent>
                          <w:p w:rsidR="00DD5468" w:rsidRPr="00C35DED" w:rsidRDefault="00DD5468" w:rsidP="00BB3661">
                            <w:pPr>
                              <w:rPr>
                                <w:rFonts w:ascii="Times New Roman" w:hAnsi="Times New Roman" w:cs="Times New Roman"/>
                                <w:b/>
                                <w:sz w:val="24"/>
                              </w:rPr>
                            </w:pPr>
                            <w:r w:rsidRPr="00C35DED">
                              <w:rPr>
                                <w:rFonts w:ascii="Times New Roman" w:hAnsi="Times New Roman" w:cs="Times New Roman"/>
                                <w:b/>
                                <w:sz w:val="24"/>
                              </w:rPr>
                              <w:t>Recommendation 5</w:t>
                            </w:r>
                          </w:p>
                          <w:p w:rsidR="00DD5468" w:rsidRPr="00C35DED" w:rsidRDefault="00DD5468" w:rsidP="00BB3661">
                            <w:pPr>
                              <w:jc w:val="both"/>
                              <w:rPr>
                                <w:rFonts w:ascii="Times New Roman" w:hAnsi="Times New Roman" w:cs="Times New Roman"/>
                                <w:i/>
                                <w:sz w:val="24"/>
                              </w:rPr>
                            </w:pPr>
                            <w:r w:rsidRPr="00C35DED">
                              <w:rPr>
                                <w:rFonts w:ascii="Times New Roman" w:hAnsi="Times New Roman" w:cs="Times New Roman"/>
                                <w:i/>
                                <w:sz w:val="24"/>
                              </w:rPr>
                              <w:t xml:space="preserve">That Treasury consider the potential for the CDR framework to both reduce transaction costs and resolve information asymmetries as part of a rigorous, and public cost-benefit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2pt;margin-top:8.7pt;width:450.4pt;height:8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" fillcolor="window" strokecolor="#00b0f0" strokeweight=".5pt">
                <v:textbox>
                  <w:txbxContent>
                    <w:p w:rsidR="00DD5468" w:rsidRPr="00C35DED" w:rsidRDefault="00DD5468" w:rsidP="00BB3661">
                      <w:pPr>
                        <w:rPr>
                          <w:rFonts w:ascii="Times New Roman" w:hAnsi="Times New Roman" w:cs="Times New Roman"/>
                          <w:b/>
                          <w:sz w:val="24"/>
                        </w:rPr>
                      </w:pPr>
                      <w:r w:rsidRPr="00C35DED">
                        <w:rPr>
                          <w:rFonts w:ascii="Times New Roman" w:hAnsi="Times New Roman" w:cs="Times New Roman"/>
                          <w:b/>
                          <w:sz w:val="24"/>
                        </w:rPr>
                        <w:t>Recommendation 5</w:t>
                      </w:r>
                    </w:p>
                    <w:p w:rsidR="00DD5468" w:rsidRPr="00C35DED" w:rsidRDefault="00DD5468" w:rsidP="00BB3661">
                      <w:pPr>
                        <w:jc w:val="both"/>
                        <w:rPr>
                          <w:rFonts w:ascii="Times New Roman" w:hAnsi="Times New Roman" w:cs="Times New Roman"/>
                          <w:i/>
                          <w:sz w:val="24"/>
                        </w:rPr>
                      </w:pPr>
                      <w:r w:rsidRPr="00C35DED">
                        <w:rPr>
                          <w:rFonts w:ascii="Times New Roman" w:hAnsi="Times New Roman" w:cs="Times New Roman"/>
                          <w:i/>
                          <w:sz w:val="24"/>
                        </w:rPr>
                        <w:t xml:space="preserve">That Treasury consider the potential for the CDR framework to both reduce transaction costs and resolve information asymmetries as part of a rigorous, and public cost-benefit analysis. </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31968" behindDoc="0" locked="0" layoutInCell="1" allowOverlap="1" wp14:anchorId="2EA4434C" wp14:editId="6EB68C21">
                <wp:simplePos x="0" y="0"/>
                <wp:positionH relativeFrom="column">
                  <wp:posOffset>24130</wp:posOffset>
                </wp:positionH>
                <wp:positionV relativeFrom="paragraph">
                  <wp:posOffset>227965</wp:posOffset>
                </wp:positionV>
                <wp:extent cx="5720080" cy="1034415"/>
                <wp:effectExtent l="0" t="0" r="13970" b="13335"/>
                <wp:wrapNone/>
                <wp:docPr id="25" name="Text Box 25"/>
                <wp:cNvGraphicFramePr/>
                <a:graphic xmlns:a="http://schemas.openxmlformats.org/drawingml/2006/main">
                  <a:graphicData uri="http://schemas.microsoft.com/office/word/2010/wordprocessingShape">
                    <wps:wsp>
                      <wps:cNvSpPr txBox="1"/>
                      <wps:spPr>
                        <a:xfrm>
                          <a:off x="0" y="0"/>
                          <a:ext cx="5720080" cy="1034415"/>
                        </a:xfrm>
                        <a:prstGeom prst="rect">
                          <a:avLst/>
                        </a:prstGeom>
                        <a:solidFill>
                          <a:sysClr val="window" lastClr="FFFFFF"/>
                        </a:solidFill>
                        <a:ln w="6350">
                          <a:solidFill>
                            <a:srgbClr val="00B0F0"/>
                          </a:solidFill>
                        </a:ln>
                      </wps:spPr>
                      <wps:txbx>
                        <w:txbxContent>
                          <w:p w:rsidR="00DD5468" w:rsidRPr="001410E8" w:rsidRDefault="00DD5468" w:rsidP="00F93DB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F93DB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9pt;margin-top:17.95pt;width:450.4pt;height:8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" fillcolor="window" strokecolor="#00b0f0" strokeweight=".5pt">
                <v:textbox>
                  <w:txbxContent>
                    <w:p w:rsidR="00DD5468" w:rsidRPr="001410E8" w:rsidRDefault="00DD5468" w:rsidP="00F93DB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F93DB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9072" behindDoc="0" locked="0" layoutInCell="1" allowOverlap="1" wp14:anchorId="6C2ABFCD" wp14:editId="3F0D1861">
                <wp:simplePos x="0" y="0"/>
                <wp:positionH relativeFrom="column">
                  <wp:posOffset>33655</wp:posOffset>
                </wp:positionH>
                <wp:positionV relativeFrom="paragraph">
                  <wp:posOffset>25400</wp:posOffset>
                </wp:positionV>
                <wp:extent cx="5720080" cy="995680"/>
                <wp:effectExtent l="0" t="0" r="13970" b="13970"/>
                <wp:wrapNone/>
                <wp:docPr id="47" name="Text Box 47"/>
                <wp:cNvGraphicFramePr/>
                <a:graphic xmlns:a="http://schemas.openxmlformats.org/drawingml/2006/main">
                  <a:graphicData uri="http://schemas.microsoft.com/office/word/2010/wordprocessingShape">
                    <wps:wsp>
                      <wps:cNvSpPr txBox="1"/>
                      <wps:spPr>
                        <a:xfrm>
                          <a:off x="0" y="0"/>
                          <a:ext cx="5720080" cy="995680"/>
                        </a:xfrm>
                        <a:prstGeom prst="rect">
                          <a:avLst/>
                        </a:prstGeom>
                        <a:solidFill>
                          <a:sysClr val="window" lastClr="FFFFFF"/>
                        </a:solidFill>
                        <a:ln w="6350">
                          <a:solidFill>
                            <a:srgbClr val="00B0F0"/>
                          </a:solidFill>
                        </a:ln>
                      </wps:spPr>
                      <wps:txb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1717EA">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2.65pt;margin-top:2pt;width:450.4pt;height:7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" fillcolor="window" strokecolor="#00b0f0" strokeweight=".5pt">
                <v:textbo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1717EA">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6784" behindDoc="0" locked="0" layoutInCell="1" allowOverlap="1" wp14:anchorId="746D1348" wp14:editId="1789AD64">
                <wp:simplePos x="0" y="0"/>
                <wp:positionH relativeFrom="column">
                  <wp:posOffset>41275</wp:posOffset>
                </wp:positionH>
                <wp:positionV relativeFrom="paragraph">
                  <wp:posOffset>116205</wp:posOffset>
                </wp:positionV>
                <wp:extent cx="5720080" cy="845820"/>
                <wp:effectExtent l="0" t="0" r="13970" b="11430"/>
                <wp:wrapNone/>
                <wp:docPr id="41" name="Text Box 41"/>
                <wp:cNvGraphicFramePr/>
                <a:graphic xmlns:a="http://schemas.openxmlformats.org/drawingml/2006/main">
                  <a:graphicData uri="http://schemas.microsoft.com/office/word/2010/wordprocessingShape">
                    <wps:wsp>
                      <wps:cNvSpPr txBox="1"/>
                      <wps:spPr>
                        <a:xfrm>
                          <a:off x="0" y="0"/>
                          <a:ext cx="5720080" cy="84582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 xml:space="preserve">Recommendation </w:t>
                            </w:r>
                            <w:r>
                              <w:rPr>
                                <w:rFonts w:ascii="Times New Roman" w:hAnsi="Times New Roman" w:cs="Times New Roman"/>
                                <w:b/>
                              </w:rPr>
                              <w:t>8</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221EA5">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3.25pt;margin-top:9.15pt;width:450.4pt;height:6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 xml:space="preserve">Recommendation </w:t>
                      </w:r>
                      <w:r>
                        <w:rPr>
                          <w:rFonts w:ascii="Times New Roman" w:hAnsi="Times New Roman" w:cs="Times New Roman"/>
                          <w:b/>
                        </w:rPr>
                        <w:t>8</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221EA5">
                      <w:pPr>
                        <w:jc w:val="both"/>
                        <w:rPr>
                          <w:rFonts w:ascii="Times New Roman" w:hAnsi="Times New Roman" w:cs="Times New Roman"/>
                          <w:i/>
                          <w:sz w:val="20"/>
                        </w:rPr>
                      </w:pPr>
                    </w:p>
                  </w:txbxContent>
                </v:textbox>
              </v:shape>
            </w:pict>
          </mc:Fallback>
        </mc:AlternateContent>
      </w: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w:lastRenderedPageBreak/>
        <mc:AlternateContent>
          <mc:Choice Requires="wps">
            <w:drawing>
              <wp:anchor distT="0" distB="0" distL="114300" distR="114300" simplePos="0" relativeHeight="251748352" behindDoc="0" locked="0" layoutInCell="1" allowOverlap="1" wp14:anchorId="17CD8EF3" wp14:editId="43F1CDE7">
                <wp:simplePos x="0" y="0"/>
                <wp:positionH relativeFrom="column">
                  <wp:posOffset>15685</wp:posOffset>
                </wp:positionH>
                <wp:positionV relativeFrom="paragraph">
                  <wp:posOffset>454025</wp:posOffset>
                </wp:positionV>
                <wp:extent cx="5720080" cy="998220"/>
                <wp:effectExtent l="0" t="0" r="13970" b="11430"/>
                <wp:wrapNone/>
                <wp:docPr id="34" name="Text Box 34"/>
                <wp:cNvGraphicFramePr/>
                <a:graphic xmlns:a="http://schemas.openxmlformats.org/drawingml/2006/main">
                  <a:graphicData uri="http://schemas.microsoft.com/office/word/2010/wordprocessingShape">
                    <wps:wsp>
                      <wps:cNvSpPr txBox="1"/>
                      <wps:spPr>
                        <a:xfrm>
                          <a:off x="0" y="0"/>
                          <a:ext cx="5720080" cy="998220"/>
                        </a:xfrm>
                        <a:prstGeom prst="rect">
                          <a:avLst/>
                        </a:prstGeom>
                        <a:solidFill>
                          <a:sysClr val="window" lastClr="FFFFFF"/>
                        </a:solidFill>
                        <a:ln w="6350">
                          <a:solidFill>
                            <a:srgbClr val="00B0F0"/>
                          </a:solidFill>
                        </a:ln>
                      </wps:spPr>
                      <wps:txb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5D4709">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1.25pt;margin-top:35.75pt;width:450.4pt;height:7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" fillcolor="window" strokecolor="#00b0f0" strokeweight=".5pt">
                <v:textbo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5D4709">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2448" behindDoc="0" locked="0" layoutInCell="1" allowOverlap="1" wp14:anchorId="2E74F7A7" wp14:editId="584D8840">
                <wp:simplePos x="0" y="0"/>
                <wp:positionH relativeFrom="column">
                  <wp:posOffset>22225</wp:posOffset>
                </wp:positionH>
                <wp:positionV relativeFrom="paragraph">
                  <wp:posOffset>6085205</wp:posOffset>
                </wp:positionV>
                <wp:extent cx="5720080" cy="987425"/>
                <wp:effectExtent l="0" t="0" r="13970" b="22225"/>
                <wp:wrapNone/>
                <wp:docPr id="36" name="Text Box 36"/>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6</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the use of CDR data to engage in price discrimination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1.75pt;margin-top:479.15pt;width:450.4pt;height:7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6</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the use of CDR data to engage in price discrimination as part of a rigorous and public regulatory impact assessment.</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4496" behindDoc="0" locked="0" layoutInCell="1" allowOverlap="1" wp14:anchorId="3170DD23" wp14:editId="51E0520B">
                <wp:simplePos x="0" y="0"/>
                <wp:positionH relativeFrom="column">
                  <wp:posOffset>26035</wp:posOffset>
                </wp:positionH>
                <wp:positionV relativeFrom="paragraph">
                  <wp:posOffset>7153910</wp:posOffset>
                </wp:positionV>
                <wp:extent cx="5720080" cy="987425"/>
                <wp:effectExtent l="0" t="0" r="13970" b="22225"/>
                <wp:wrapNone/>
                <wp:docPr id="37" name="Text Box 37"/>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7</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from firms using consumer data to engaging in anti-competitive or collusive conduct within the identified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2.05pt;margin-top:563.3pt;width:450.4pt;height:7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7</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from firms using consumer data to engaging in anti-competitive or collusive conduct within the identified markets.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6544" behindDoc="0" locked="0" layoutInCell="1" allowOverlap="1" wp14:anchorId="25B85108" wp14:editId="2B095C00">
                <wp:simplePos x="0" y="0"/>
                <wp:positionH relativeFrom="column">
                  <wp:posOffset>31750</wp:posOffset>
                </wp:positionH>
                <wp:positionV relativeFrom="paragraph">
                  <wp:posOffset>8217535</wp:posOffset>
                </wp:positionV>
                <wp:extent cx="5720080" cy="888365"/>
                <wp:effectExtent l="0" t="0" r="13970" b="26035"/>
                <wp:wrapNone/>
                <wp:docPr id="38" name="Text Box 38"/>
                <wp:cNvGraphicFramePr/>
                <a:graphic xmlns:a="http://schemas.openxmlformats.org/drawingml/2006/main">
                  <a:graphicData uri="http://schemas.microsoft.com/office/word/2010/wordprocessingShape">
                    <wps:wsp>
                      <wps:cNvSpPr txBox="1"/>
                      <wps:spPr>
                        <a:xfrm>
                          <a:off x="0" y="0"/>
                          <a:ext cx="5720080" cy="88836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8</w:t>
                            </w:r>
                          </w:p>
                          <w:p w:rsidR="00DD5468" w:rsidRPr="001410E8" w:rsidRDefault="00DD5468" w:rsidP="005E0670">
                            <w:pPr>
                              <w:jc w:val="both"/>
                              <w:rPr>
                                <w:rFonts w:ascii="Times New Roman" w:hAnsi="Times New Roman" w:cs="Times New Roman"/>
                              </w:rPr>
                            </w:pPr>
                            <w:r w:rsidRPr="001410E8">
                              <w:rPr>
                                <w:rFonts w:ascii="Times New Roman" w:hAnsi="Times New Roman" w:cs="Times New Roman"/>
                                <w:i/>
                              </w:rPr>
                              <w:t xml:space="preserve">That Treasury </w:t>
                            </w:r>
                            <w:proofErr w:type="gramStart"/>
                            <w:r w:rsidRPr="001410E8">
                              <w:rPr>
                                <w:rFonts w:ascii="Times New Roman" w:hAnsi="Times New Roman" w:cs="Times New Roman"/>
                                <w:i/>
                              </w:rPr>
                              <w:t>amend</w:t>
                            </w:r>
                            <w:proofErr w:type="gramEnd"/>
                            <w:r w:rsidRPr="001410E8">
                              <w:rPr>
                                <w:rFonts w:ascii="Times New Roman" w:hAnsi="Times New Roman" w:cs="Times New Roman"/>
                                <w:i/>
                              </w:rPr>
                              <w:t xml:space="preserve"> the </w:t>
                            </w:r>
                            <w:r w:rsidRPr="001410E8">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5pt;margin-top:647.05pt;width:450.4pt;height:69.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8</w:t>
                      </w:r>
                    </w:p>
                    <w:p w:rsidR="00DD5468" w:rsidRPr="001410E8" w:rsidRDefault="00DD5468" w:rsidP="005E0670">
                      <w:pPr>
                        <w:jc w:val="both"/>
                        <w:rPr>
                          <w:rFonts w:ascii="Times New Roman" w:hAnsi="Times New Roman" w:cs="Times New Roman"/>
                        </w:rPr>
                      </w:pPr>
                      <w:r w:rsidRPr="001410E8">
                        <w:rPr>
                          <w:rFonts w:ascii="Times New Roman" w:hAnsi="Times New Roman" w:cs="Times New Roman"/>
                          <w:i/>
                        </w:rPr>
                        <w:t xml:space="preserve">That Treasury </w:t>
                      </w:r>
                      <w:proofErr w:type="gramStart"/>
                      <w:r w:rsidRPr="001410E8">
                        <w:rPr>
                          <w:rFonts w:ascii="Times New Roman" w:hAnsi="Times New Roman" w:cs="Times New Roman"/>
                          <w:i/>
                        </w:rPr>
                        <w:t>amend</w:t>
                      </w:r>
                      <w:proofErr w:type="gramEnd"/>
                      <w:r w:rsidRPr="001410E8">
                        <w:rPr>
                          <w:rFonts w:ascii="Times New Roman" w:hAnsi="Times New Roman" w:cs="Times New Roman"/>
                          <w:i/>
                        </w:rPr>
                        <w:t xml:space="preserve"> the </w:t>
                      </w:r>
                      <w:r w:rsidRPr="001410E8">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36064" behindDoc="0" locked="0" layoutInCell="1" allowOverlap="1" wp14:anchorId="211B3967" wp14:editId="2C75F03F">
                <wp:simplePos x="0" y="0"/>
                <wp:positionH relativeFrom="column">
                  <wp:posOffset>1270</wp:posOffset>
                </wp:positionH>
                <wp:positionV relativeFrom="paragraph">
                  <wp:posOffset>-461645</wp:posOffset>
                </wp:positionV>
                <wp:extent cx="5720080" cy="788035"/>
                <wp:effectExtent l="0" t="0" r="13970" b="12065"/>
                <wp:wrapNone/>
                <wp:docPr id="27" name="Text Box 27"/>
                <wp:cNvGraphicFramePr/>
                <a:graphic xmlns:a="http://schemas.openxmlformats.org/drawingml/2006/main">
                  <a:graphicData uri="http://schemas.microsoft.com/office/word/2010/wordprocessingShape">
                    <wps:wsp>
                      <wps:cNvSpPr txBox="1"/>
                      <wps:spPr>
                        <a:xfrm>
                          <a:off x="0" y="0"/>
                          <a:ext cx="5720080" cy="788035"/>
                        </a:xfrm>
                        <a:prstGeom prst="rect">
                          <a:avLst/>
                        </a:prstGeom>
                        <a:solidFill>
                          <a:sysClr val="window" lastClr="FFFFFF"/>
                        </a:solidFill>
                        <a:ln w="6350">
                          <a:solidFill>
                            <a:srgbClr val="00B0F0"/>
                          </a:solidFill>
                        </a:ln>
                      </wps:spPr>
                      <wps:txb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327A98" w:rsidRDefault="00DD5468" w:rsidP="005D4709">
                            <w:pPr>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1410E8" w:rsidRDefault="00DD5468" w:rsidP="00174078">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1pt;margin-top:-36.35pt;width:450.4pt;height:6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" fillcolor="window" strokecolor="#00b0f0" strokeweight=".5pt">
                <v:textbo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327A98" w:rsidRDefault="00DD5468" w:rsidP="005D4709">
                      <w:pPr>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1410E8" w:rsidRDefault="00DD5468" w:rsidP="00174078">
                      <w:pPr>
                        <w:jc w:val="both"/>
                        <w:rPr>
                          <w:rFonts w:ascii="Times New Roman" w:hAnsi="Times New Roman" w:cs="Times New Roman"/>
                          <w:i/>
                          <w:sz w:val="20"/>
                        </w:rPr>
                      </w:pP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38112" behindDoc="0" locked="0" layoutInCell="1" allowOverlap="1" wp14:anchorId="438E73D5" wp14:editId="4AFE8F24">
                <wp:simplePos x="0" y="0"/>
                <wp:positionH relativeFrom="column">
                  <wp:posOffset>12700</wp:posOffset>
                </wp:positionH>
                <wp:positionV relativeFrom="paragraph">
                  <wp:posOffset>1547495</wp:posOffset>
                </wp:positionV>
                <wp:extent cx="5720080" cy="709295"/>
                <wp:effectExtent l="0" t="0" r="13970" b="14605"/>
                <wp:wrapNone/>
                <wp:docPr id="28" name="Text Box 28"/>
                <wp:cNvGraphicFramePr/>
                <a:graphic xmlns:a="http://schemas.openxmlformats.org/drawingml/2006/main">
                  <a:graphicData uri="http://schemas.microsoft.com/office/word/2010/wordprocessingShape">
                    <wps:wsp>
                      <wps:cNvSpPr txBox="1"/>
                      <wps:spPr>
                        <a:xfrm>
                          <a:off x="0" y="0"/>
                          <a:ext cx="5720080" cy="709295"/>
                        </a:xfrm>
                        <a:prstGeom prst="rect">
                          <a:avLst/>
                        </a:prstGeom>
                        <a:solidFill>
                          <a:sysClr val="window" lastClr="FFFFFF"/>
                        </a:solidFill>
                        <a:ln w="6350">
                          <a:solidFill>
                            <a:srgbClr val="00B0F0"/>
                          </a:solidFill>
                        </a:ln>
                      </wps:spPr>
                      <wps:txbx>
                        <w:txbxContent>
                          <w:p w:rsidR="00DD5468" w:rsidRPr="001410E8" w:rsidRDefault="00DD5468" w:rsidP="0017407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1</w:t>
                            </w:r>
                          </w:p>
                          <w:p w:rsidR="00DD5468" w:rsidRPr="001410E8" w:rsidRDefault="00DD5468" w:rsidP="00174078">
                            <w:pPr>
                              <w:jc w:val="both"/>
                              <w:rPr>
                                <w:rFonts w:ascii="Times New Roman" w:hAnsi="Times New Roman" w:cs="Times New Roman"/>
                                <w:i/>
                              </w:rPr>
                            </w:pPr>
                            <w:r w:rsidRPr="001410E8">
                              <w:rPr>
                                <w:rFonts w:ascii="Times New Roman" w:hAnsi="Times New Roman" w:cs="Times New Roman"/>
                                <w:i/>
                              </w:rPr>
                              <w:t>That all of the Privacy Safeguards set out within the draft legislation are applied to data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pt;margin-top:121.85pt;width:450.4pt;height:5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" fillcolor="window" strokecolor="#00b0f0" strokeweight=".5pt">
                <v:textbox>
                  <w:txbxContent>
                    <w:p w:rsidR="00DD5468" w:rsidRPr="001410E8" w:rsidRDefault="00DD5468" w:rsidP="0017407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1</w:t>
                      </w:r>
                    </w:p>
                    <w:p w:rsidR="00DD5468" w:rsidRPr="001410E8" w:rsidRDefault="00DD5468" w:rsidP="00174078">
                      <w:pPr>
                        <w:jc w:val="both"/>
                        <w:rPr>
                          <w:rFonts w:ascii="Times New Roman" w:hAnsi="Times New Roman" w:cs="Times New Roman"/>
                          <w:i/>
                        </w:rPr>
                      </w:pPr>
                      <w:r w:rsidRPr="001410E8">
                        <w:rPr>
                          <w:rFonts w:ascii="Times New Roman" w:hAnsi="Times New Roman" w:cs="Times New Roman"/>
                          <w:i/>
                        </w:rPr>
                        <w:t>That all of the Privacy Safeguards set out within the draft legislation are applied to data holders.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40160" behindDoc="0" locked="0" layoutInCell="1" allowOverlap="1" wp14:anchorId="22C62CF9" wp14:editId="27B81E95">
                <wp:simplePos x="0" y="0"/>
                <wp:positionH relativeFrom="column">
                  <wp:posOffset>24765</wp:posOffset>
                </wp:positionH>
                <wp:positionV relativeFrom="paragraph">
                  <wp:posOffset>2327275</wp:posOffset>
                </wp:positionV>
                <wp:extent cx="5720080" cy="713740"/>
                <wp:effectExtent l="0" t="0" r="13970" b="10160"/>
                <wp:wrapNone/>
                <wp:docPr id="29" name="Text Box 29"/>
                <wp:cNvGraphicFramePr/>
                <a:graphic xmlns:a="http://schemas.openxmlformats.org/drawingml/2006/main">
                  <a:graphicData uri="http://schemas.microsoft.com/office/word/2010/wordprocessingShape">
                    <wps:wsp>
                      <wps:cNvSpPr txBox="1"/>
                      <wps:spPr>
                        <a:xfrm>
                          <a:off x="0" y="0"/>
                          <a:ext cx="5720080" cy="713740"/>
                        </a:xfrm>
                        <a:prstGeom prst="rect">
                          <a:avLst/>
                        </a:prstGeom>
                        <a:solidFill>
                          <a:sysClr val="window" lastClr="FFFFFF"/>
                        </a:solidFill>
                        <a:ln w="6350">
                          <a:solidFill>
                            <a:srgbClr val="00B0F0"/>
                          </a:solidFill>
                        </a:ln>
                      </wps:spPr>
                      <wps:txbx>
                        <w:txbxContent>
                          <w:p w:rsidR="00DD5468" w:rsidRPr="001410E8" w:rsidRDefault="00DD5468" w:rsidP="00B11C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2</w:t>
                            </w:r>
                          </w:p>
                          <w:p w:rsidR="00DD5468" w:rsidRPr="001410E8" w:rsidRDefault="00DD5468" w:rsidP="00B11CDF">
                            <w:pPr>
                              <w:rPr>
                                <w:rFonts w:ascii="Times New Roman" w:hAnsi="Times New Roman" w:cs="Times New Roman"/>
                                <w:i/>
                              </w:rPr>
                            </w:pPr>
                            <w:r w:rsidRPr="001410E8">
                              <w:rPr>
                                <w:rFonts w:ascii="Times New Roman" w:hAnsi="Times New Roman" w:cs="Times New Roman"/>
                                <w:i/>
                              </w:rPr>
                              <w:t>That the Privacy Safeguards apply in parallel, or addition to the Australian Privacy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1.95pt;margin-top:183.25pt;width:450.4pt;height:5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" fillcolor="window" strokecolor="#00b0f0" strokeweight=".5pt">
                <v:textbox>
                  <w:txbxContent>
                    <w:p w:rsidR="00DD5468" w:rsidRPr="001410E8" w:rsidRDefault="00DD5468" w:rsidP="00B11C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2</w:t>
                      </w:r>
                    </w:p>
                    <w:p w:rsidR="00DD5468" w:rsidRPr="001410E8" w:rsidRDefault="00DD5468" w:rsidP="00B11CDF">
                      <w:pPr>
                        <w:rPr>
                          <w:rFonts w:ascii="Times New Roman" w:hAnsi="Times New Roman" w:cs="Times New Roman"/>
                          <w:i/>
                        </w:rPr>
                      </w:pPr>
                      <w:r w:rsidRPr="001410E8">
                        <w:rPr>
                          <w:rFonts w:ascii="Times New Roman" w:hAnsi="Times New Roman" w:cs="Times New Roman"/>
                          <w:i/>
                        </w:rPr>
                        <w:t>That the Privacy Safeguards apply in parallel, or addition to the Australian Privacy Principles.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42208" behindDoc="0" locked="0" layoutInCell="1" allowOverlap="1" wp14:anchorId="5D79F09A" wp14:editId="2A101FCF">
                <wp:simplePos x="0" y="0"/>
                <wp:positionH relativeFrom="column">
                  <wp:posOffset>28575</wp:posOffset>
                </wp:positionH>
                <wp:positionV relativeFrom="paragraph">
                  <wp:posOffset>3135630</wp:posOffset>
                </wp:positionV>
                <wp:extent cx="5720080" cy="987425"/>
                <wp:effectExtent l="0" t="0" r="13970" b="22225"/>
                <wp:wrapNone/>
                <wp:docPr id="30" name="Text Box 30"/>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04660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046608">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a result of losses of privacy,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2.25pt;margin-top:246.9pt;width:450.4pt;height:7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" fillcolor="window" strokecolor="#00b0f0" strokeweight=".5pt">
                <v:textbox>
                  <w:txbxContent>
                    <w:p w:rsidR="00DD5468" w:rsidRPr="001410E8" w:rsidRDefault="00DD5468" w:rsidP="0004660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046608">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a result of losses of privacy, as part of a rigorous and public regulatory impact assessment.</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70880" behindDoc="0" locked="0" layoutInCell="1" allowOverlap="1" wp14:anchorId="47A11633" wp14:editId="09DD7FBE">
                <wp:simplePos x="0" y="0"/>
                <wp:positionH relativeFrom="column">
                  <wp:posOffset>27268</wp:posOffset>
                </wp:positionH>
                <wp:positionV relativeFrom="paragraph">
                  <wp:posOffset>4218940</wp:posOffset>
                </wp:positionV>
                <wp:extent cx="5720080" cy="777875"/>
                <wp:effectExtent l="0" t="0" r="13970" b="22225"/>
                <wp:wrapNone/>
                <wp:docPr id="43" name="Text Box 43"/>
                <wp:cNvGraphicFramePr/>
                <a:graphic xmlns:a="http://schemas.openxmlformats.org/drawingml/2006/main">
                  <a:graphicData uri="http://schemas.microsoft.com/office/word/2010/wordprocessingShape">
                    <wps:wsp>
                      <wps:cNvSpPr txBox="1"/>
                      <wps:spPr>
                        <a:xfrm>
                          <a:off x="0" y="0"/>
                          <a:ext cx="5720080" cy="777875"/>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2.15pt;margin-top:332.2pt;width:450.4pt;height:6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" fillcolor="window" strokecolor="#00b0f0" strokeweight=".5pt">
                <v:textbo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72928" behindDoc="0" locked="0" layoutInCell="1" allowOverlap="1" wp14:anchorId="117A4E01" wp14:editId="1C0F35C3">
                <wp:simplePos x="0" y="0"/>
                <wp:positionH relativeFrom="column">
                  <wp:posOffset>23495</wp:posOffset>
                </wp:positionH>
                <wp:positionV relativeFrom="paragraph">
                  <wp:posOffset>5063490</wp:posOffset>
                </wp:positionV>
                <wp:extent cx="5720080" cy="949960"/>
                <wp:effectExtent l="0" t="0" r="13970" b="21590"/>
                <wp:wrapNone/>
                <wp:docPr id="44" name="Text Box 44"/>
                <wp:cNvGraphicFramePr/>
                <a:graphic xmlns:a="http://schemas.openxmlformats.org/drawingml/2006/main">
                  <a:graphicData uri="http://schemas.microsoft.com/office/word/2010/wordprocessingShape">
                    <wps:wsp>
                      <wps:cNvSpPr txBox="1"/>
                      <wps:spPr>
                        <a:xfrm>
                          <a:off x="0" y="0"/>
                          <a:ext cx="5720080" cy="949960"/>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margin-left:1.85pt;margin-top:398.7pt;width:450.4pt;height:7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" fillcolor="window" strokecolor="#00b0f0" strokeweight=".5pt">
                <v:textbo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v:textbox>
              </v:shape>
            </w:pict>
          </mc:Fallback>
        </mc:AlternateContent>
      </w:r>
    </w:p>
    <w:p w:rsidR="006730E8" w:rsidRPr="006730E8" w:rsidRDefault="00B2284C" w:rsidP="006730E8">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3" w:name="_Toc524350288"/>
      <w:r>
        <w:rPr>
          <w:rFonts w:ascii="Calibri" w:eastAsia="Arial Unicode MS" w:hAnsi="Calibri" w:cs="font331"/>
          <w:bCs/>
          <w:kern w:val="1"/>
          <w:sz w:val="44"/>
          <w:szCs w:val="28"/>
          <w:lang w:val="en-IE" w:eastAsia="hi-IN" w:bidi="hi-IN"/>
        </w:rPr>
        <w:t>First principles regulation</w:t>
      </w:r>
      <w:bookmarkEnd w:id="3"/>
    </w:p>
    <w:p w:rsidR="006730E8" w:rsidRPr="00303ECE" w:rsidRDefault="006730E8" w:rsidP="00303EC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ACCAN supports best practice regulation, and the develop</w:t>
      </w:r>
      <w:r w:rsidR="00303ECE">
        <w:rPr>
          <w:rFonts w:ascii="Times New Roman" w:hAnsi="Times New Roman" w:cs="Times New Roman"/>
          <w:color w:val="000000" w:themeColor="text1"/>
          <w:sz w:val="24"/>
          <w:szCs w:val="24"/>
          <w:lang w:val="en-AU"/>
        </w:rPr>
        <w:t xml:space="preserve">ment of targeted and proportionate regulatory interventions to address material policy problems. </w:t>
      </w:r>
      <w:r w:rsidRPr="007217E6">
        <w:rPr>
          <w:rFonts w:ascii="Times New Roman" w:hAnsi="Times New Roman" w:cs="Times New Roman"/>
          <w:sz w:val="24"/>
          <w:szCs w:val="24"/>
        </w:rPr>
        <w:t xml:space="preserve">The principles of best practice regulation are well established and have been outlined by the </w:t>
      </w:r>
      <w:proofErr w:type="spellStart"/>
      <w:r w:rsidR="00685C3D">
        <w:rPr>
          <w:rFonts w:ascii="Times New Roman" w:hAnsi="Times New Roman" w:cs="Times New Roman"/>
          <w:sz w:val="24"/>
          <w:szCs w:val="24"/>
        </w:rPr>
        <w:t>Organisation</w:t>
      </w:r>
      <w:proofErr w:type="spellEnd"/>
      <w:r w:rsidR="00685C3D">
        <w:rPr>
          <w:rFonts w:ascii="Times New Roman" w:hAnsi="Times New Roman" w:cs="Times New Roman"/>
          <w:sz w:val="24"/>
          <w:szCs w:val="24"/>
        </w:rPr>
        <w:t xml:space="preserve"> for Economic Cooperation and Development</w:t>
      </w:r>
      <w:r>
        <w:rPr>
          <w:rFonts w:ascii="Times New Roman" w:hAnsi="Times New Roman" w:cs="Times New Roman"/>
          <w:sz w:val="24"/>
          <w:szCs w:val="24"/>
        </w:rPr>
        <w:t xml:space="preserve"> </w:t>
      </w:r>
      <w:r w:rsidRPr="00B2284C">
        <w:rPr>
          <w:rFonts w:ascii="Times New Roman" w:hAnsi="Times New Roman" w:cs="Times New Roman"/>
          <w:sz w:val="24"/>
        </w:rPr>
        <w:t>(2012)</w:t>
      </w:r>
      <w:r w:rsidRPr="007217E6">
        <w:rPr>
          <w:rFonts w:ascii="Times New Roman" w:hAnsi="Times New Roman" w:cs="Times New Roman"/>
          <w:sz w:val="24"/>
          <w:szCs w:val="24"/>
        </w:rPr>
        <w:t xml:space="preserve"> and the Department of Prime </w:t>
      </w:r>
      <w:r>
        <w:rPr>
          <w:rFonts w:ascii="Times New Roman" w:hAnsi="Times New Roman" w:cs="Times New Roman"/>
          <w:sz w:val="24"/>
          <w:szCs w:val="24"/>
        </w:rPr>
        <w:t xml:space="preserve">Minister </w:t>
      </w:r>
      <w:r w:rsidRPr="007217E6">
        <w:rPr>
          <w:rFonts w:ascii="Times New Roman" w:hAnsi="Times New Roman" w:cs="Times New Roman"/>
          <w:sz w:val="24"/>
          <w:szCs w:val="24"/>
        </w:rPr>
        <w:t>and Cabinet</w:t>
      </w:r>
      <w:r>
        <w:rPr>
          <w:rFonts w:ascii="Times New Roman" w:hAnsi="Times New Roman" w:cs="Times New Roman"/>
          <w:sz w:val="24"/>
          <w:szCs w:val="24"/>
        </w:rPr>
        <w:t xml:space="preserve"> </w:t>
      </w:r>
      <w:r w:rsidRPr="00B2284C">
        <w:rPr>
          <w:rFonts w:ascii="Times New Roman" w:hAnsi="Times New Roman" w:cs="Times New Roman"/>
          <w:sz w:val="24"/>
        </w:rPr>
        <w:t>(2014)</w:t>
      </w:r>
      <w:r w:rsidRPr="007217E6">
        <w:rPr>
          <w:rFonts w:ascii="Times New Roman" w:hAnsi="Times New Roman" w:cs="Times New Roman"/>
          <w:sz w:val="24"/>
          <w:szCs w:val="24"/>
        </w:rPr>
        <w:t xml:space="preserve">.  </w:t>
      </w:r>
    </w:p>
    <w:p w:rsidR="00BB4586" w:rsidRDefault="00303ECE" w:rsidP="007F0558">
      <w:pPr>
        <w:jc w:val="both"/>
        <w:rPr>
          <w:rFonts w:ascii="Times New Roman" w:hAnsi="Times New Roman" w:cs="Times New Roman"/>
          <w:sz w:val="24"/>
          <w:szCs w:val="24"/>
        </w:rPr>
      </w:pPr>
      <w:r>
        <w:rPr>
          <w:rFonts w:ascii="Times New Roman" w:hAnsi="Times New Roman" w:cs="Times New Roman"/>
          <w:sz w:val="24"/>
          <w:szCs w:val="24"/>
        </w:rPr>
        <w:t xml:space="preserve">As the current consultation has been undertaken with a view to informing the creation of a regulatory impact statement to accompany the draft legislation, ACCAN has crafted its submission with this in mind. </w:t>
      </w:r>
      <w:r w:rsidR="00A428C2">
        <w:rPr>
          <w:rFonts w:ascii="Times New Roman" w:hAnsi="Times New Roman" w:cs="Times New Roman"/>
          <w:sz w:val="24"/>
          <w:szCs w:val="24"/>
        </w:rPr>
        <w:t xml:space="preserve">ACCAN notes that full consideration of the costs and benefits of the proposed reforms are essential, and that care should be taken to ensure that sufficient evidence has been obtained to inform the development and implementation of the consumer data right framework. </w:t>
      </w:r>
    </w:p>
    <w:p w:rsidR="00B25D20" w:rsidRDefault="00B55327" w:rsidP="007F0558">
      <w:pPr>
        <w:jc w:val="both"/>
        <w:rPr>
          <w:rFonts w:ascii="Times New Roman" w:hAnsi="Times New Roman" w:cs="Times New Roman"/>
          <w:sz w:val="24"/>
        </w:rPr>
      </w:pPr>
      <w:r>
        <w:rPr>
          <w:rFonts w:ascii="Times New Roman" w:hAnsi="Times New Roman" w:cs="Times New Roman"/>
          <w:sz w:val="24"/>
        </w:rPr>
        <w:t xml:space="preserve">As ACCAN is the peak </w:t>
      </w:r>
      <w:proofErr w:type="spellStart"/>
      <w:r>
        <w:rPr>
          <w:rFonts w:ascii="Times New Roman" w:hAnsi="Times New Roman" w:cs="Times New Roman"/>
          <w:sz w:val="24"/>
        </w:rPr>
        <w:t>organisation</w:t>
      </w:r>
      <w:proofErr w:type="spellEnd"/>
      <w:r>
        <w:rPr>
          <w:rFonts w:ascii="Times New Roman" w:hAnsi="Times New Roman" w:cs="Times New Roman"/>
          <w:sz w:val="24"/>
        </w:rPr>
        <w:t xml:space="preserve"> representing telecommunications consumers, our approach is framed by this perspective. </w:t>
      </w:r>
      <w:r w:rsidR="00A428C2" w:rsidRPr="00A428C2">
        <w:rPr>
          <w:rFonts w:ascii="Times New Roman" w:hAnsi="Times New Roman" w:cs="Times New Roman"/>
          <w:sz w:val="24"/>
        </w:rPr>
        <w:t>In</w:t>
      </w:r>
      <w:r w:rsidR="00BB4586" w:rsidRPr="00A428C2">
        <w:rPr>
          <w:rFonts w:ascii="Times New Roman" w:hAnsi="Times New Roman" w:cs="Times New Roman"/>
          <w:sz w:val="24"/>
        </w:rPr>
        <w:t xml:space="preserve">adequate information when developing </w:t>
      </w:r>
      <w:r w:rsidR="00A428C2" w:rsidRPr="00A428C2">
        <w:rPr>
          <w:rFonts w:ascii="Times New Roman" w:hAnsi="Times New Roman" w:cs="Times New Roman"/>
          <w:sz w:val="24"/>
        </w:rPr>
        <w:t>regulatory frameworks</w:t>
      </w:r>
      <w:r w:rsidR="00BB4586" w:rsidRPr="00A428C2">
        <w:rPr>
          <w:rFonts w:ascii="Times New Roman" w:hAnsi="Times New Roman" w:cs="Times New Roman"/>
          <w:sz w:val="24"/>
        </w:rPr>
        <w:t xml:space="preserve"> is </w:t>
      </w:r>
      <w:r>
        <w:rPr>
          <w:rFonts w:ascii="Times New Roman" w:hAnsi="Times New Roman" w:cs="Times New Roman"/>
          <w:sz w:val="24"/>
        </w:rPr>
        <w:t xml:space="preserve">a well-established </w:t>
      </w:r>
      <w:r w:rsidR="00044C24">
        <w:rPr>
          <w:rFonts w:ascii="Times New Roman" w:hAnsi="Times New Roman" w:cs="Times New Roman"/>
          <w:sz w:val="24"/>
        </w:rPr>
        <w:t>challenge</w:t>
      </w:r>
      <w:r w:rsidR="00BB4586" w:rsidRPr="00A428C2">
        <w:rPr>
          <w:rFonts w:ascii="Times New Roman" w:hAnsi="Times New Roman" w:cs="Times New Roman"/>
          <w:sz w:val="24"/>
        </w:rPr>
        <w:t xml:space="preserve">, </w:t>
      </w:r>
      <w:r>
        <w:rPr>
          <w:rFonts w:ascii="Times New Roman" w:hAnsi="Times New Roman" w:cs="Times New Roman"/>
          <w:sz w:val="24"/>
        </w:rPr>
        <w:t>and not</w:t>
      </w:r>
      <w:r w:rsidR="00BB4586" w:rsidRPr="00A428C2">
        <w:rPr>
          <w:rFonts w:ascii="Times New Roman" w:hAnsi="Times New Roman" w:cs="Times New Roman"/>
          <w:sz w:val="24"/>
        </w:rPr>
        <w:t xml:space="preserve"> one that is unique to the field of telecommunications regulation. The problem of poor information and the absence of essential economic information when assessing the merits of regulation  has been well documented internationally (</w:t>
      </w:r>
      <w:proofErr w:type="spellStart"/>
      <w:r w:rsidR="00BB4586" w:rsidRPr="00A428C2">
        <w:rPr>
          <w:rFonts w:ascii="Times New Roman" w:hAnsi="Times New Roman" w:cs="Times New Roman"/>
          <w:sz w:val="24"/>
        </w:rPr>
        <w:t>Cecot</w:t>
      </w:r>
      <w:proofErr w:type="spellEnd"/>
      <w:r w:rsidR="00BB4586" w:rsidRPr="00A428C2">
        <w:rPr>
          <w:rFonts w:ascii="Times New Roman" w:hAnsi="Times New Roman" w:cs="Times New Roman"/>
          <w:sz w:val="24"/>
        </w:rPr>
        <w:t xml:space="preserve"> et al. 2008; Hahn &amp; </w:t>
      </w:r>
      <w:proofErr w:type="spellStart"/>
      <w:r w:rsidR="00BB4586" w:rsidRPr="00A428C2">
        <w:rPr>
          <w:rFonts w:ascii="Times New Roman" w:hAnsi="Times New Roman" w:cs="Times New Roman"/>
          <w:sz w:val="24"/>
        </w:rPr>
        <w:t>Hird</w:t>
      </w:r>
      <w:proofErr w:type="spellEnd"/>
      <w:r w:rsidR="00BB4586" w:rsidRPr="00A428C2">
        <w:rPr>
          <w:rFonts w:ascii="Times New Roman" w:hAnsi="Times New Roman" w:cs="Times New Roman"/>
          <w:sz w:val="24"/>
        </w:rPr>
        <w:t xml:space="preserve"> 1991; Hahn 1998; Hahn et al. 2000; Hahn &amp; Dudley 2007; Hahn &amp; </w:t>
      </w:r>
      <w:proofErr w:type="spellStart"/>
      <w:r w:rsidR="00BB4586" w:rsidRPr="00A428C2">
        <w:rPr>
          <w:rFonts w:ascii="Times New Roman" w:hAnsi="Times New Roman" w:cs="Times New Roman"/>
          <w:sz w:val="24"/>
        </w:rPr>
        <w:t>Tetlock</w:t>
      </w:r>
      <w:proofErr w:type="spellEnd"/>
      <w:r w:rsidR="00BB4586" w:rsidRPr="00A428C2">
        <w:rPr>
          <w:rFonts w:ascii="Times New Roman" w:hAnsi="Times New Roman" w:cs="Times New Roman"/>
          <w:sz w:val="24"/>
        </w:rPr>
        <w:t xml:space="preserve"> 2008) and in Australia (PC 2012, p. 11). </w:t>
      </w:r>
    </w:p>
    <w:p w:rsidR="00480D20" w:rsidRDefault="00A428C2" w:rsidP="007F0558">
      <w:pPr>
        <w:jc w:val="both"/>
        <w:rPr>
          <w:rFonts w:ascii="Times New Roman" w:hAnsi="Times New Roman" w:cs="Times New Roman"/>
          <w:sz w:val="24"/>
        </w:rPr>
      </w:pPr>
      <w:r w:rsidRPr="00A428C2">
        <w:rPr>
          <w:rFonts w:ascii="Times New Roman" w:hAnsi="Times New Roman" w:cs="Times New Roman"/>
          <w:sz w:val="24"/>
        </w:rPr>
        <w:t>Given the significance of these proposed reforms, ACCAN believes that it is appropriate that a full cost-benefit analysis and regulatory impact analysis is unde</w:t>
      </w:r>
      <w:r w:rsidR="00480D20">
        <w:rPr>
          <w:rFonts w:ascii="Times New Roman" w:hAnsi="Times New Roman" w:cs="Times New Roman"/>
          <w:sz w:val="24"/>
        </w:rPr>
        <w:t>rtaken concerning the proposal, and that the results of this cost-benefit analysis be made available for scrutiny.</w:t>
      </w:r>
    </w:p>
    <w:p w:rsidR="0013687E" w:rsidRDefault="0013687E" w:rsidP="007F0558">
      <w:pPr>
        <w:jc w:val="both"/>
        <w:rPr>
          <w:rFonts w:ascii="Times New Roman" w:hAnsi="Times New Roman" w:cs="Times New Roman"/>
          <w:sz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99200" behindDoc="0" locked="0" layoutInCell="1" allowOverlap="1" wp14:anchorId="0E8E3290" wp14:editId="0036850D">
                <wp:simplePos x="0" y="0"/>
                <wp:positionH relativeFrom="column">
                  <wp:posOffset>0</wp:posOffset>
                </wp:positionH>
                <wp:positionV relativeFrom="paragraph">
                  <wp:posOffset>135255</wp:posOffset>
                </wp:positionV>
                <wp:extent cx="5720080" cy="975360"/>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5720080" cy="975360"/>
                        </a:xfrm>
                        <a:prstGeom prst="rect">
                          <a:avLst/>
                        </a:prstGeom>
                        <a:solidFill>
                          <a:sysClr val="window" lastClr="FFFFFF"/>
                        </a:solidFill>
                        <a:ln w="6350">
                          <a:solidFill>
                            <a:srgbClr val="00B0F0"/>
                          </a:solidFill>
                        </a:ln>
                      </wps:spPr>
                      <wps:txbx>
                        <w:txbxContent>
                          <w:p w:rsidR="00DD5468" w:rsidRPr="00840306" w:rsidRDefault="00DD5468" w:rsidP="00FF5C58">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FF5C58">
                            <w:pPr>
                              <w:jc w:val="both"/>
                              <w:rPr>
                                <w:rFonts w:ascii="Times New Roman" w:hAnsi="Times New Roman" w:cs="Times New Roman"/>
                                <w:i/>
                              </w:rPr>
                            </w:pPr>
                            <w:r>
                              <w:rPr>
                                <w:rFonts w:ascii="Times New Roman" w:hAnsi="Times New Roman" w:cs="Times New Roman"/>
                                <w:i/>
                              </w:rPr>
                              <w:t>That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left:0;text-align:left;margin-left:0;margin-top:10.65pt;width:450.4pt;height:7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" fillcolor="window" strokecolor="#00b0f0" strokeweight=".5pt">
                <v:textbox>
                  <w:txbxContent>
                    <w:p w:rsidR="00DD5468" w:rsidRPr="00840306" w:rsidRDefault="00DD5468" w:rsidP="00FF5C58">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FF5C58">
                      <w:pPr>
                        <w:jc w:val="both"/>
                        <w:rPr>
                          <w:rFonts w:ascii="Times New Roman" w:hAnsi="Times New Roman" w:cs="Times New Roman"/>
                          <w:i/>
                        </w:rPr>
                      </w:pPr>
                      <w:r>
                        <w:rPr>
                          <w:rFonts w:ascii="Times New Roman" w:hAnsi="Times New Roman" w:cs="Times New Roman"/>
                          <w:i/>
                        </w:rPr>
                        <w:t>That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v:textbox>
              </v:shape>
            </w:pict>
          </mc:Fallback>
        </mc:AlternateContent>
      </w:r>
    </w:p>
    <w:p w:rsidR="0013687E" w:rsidRDefault="0013687E" w:rsidP="007F0558">
      <w:pPr>
        <w:jc w:val="both"/>
        <w:rPr>
          <w:rFonts w:ascii="Times New Roman" w:hAnsi="Times New Roman" w:cs="Times New Roman"/>
          <w:sz w:val="24"/>
        </w:rPr>
      </w:pPr>
    </w:p>
    <w:p w:rsidR="0013687E" w:rsidRDefault="0013687E" w:rsidP="007F0558">
      <w:pPr>
        <w:jc w:val="both"/>
        <w:rPr>
          <w:rFonts w:ascii="Times New Roman" w:hAnsi="Times New Roman" w:cs="Times New Roman"/>
          <w:sz w:val="24"/>
        </w:rPr>
      </w:pPr>
    </w:p>
    <w:p w:rsidR="00480D20" w:rsidRPr="00A428C2" w:rsidRDefault="00480D20" w:rsidP="007F0558">
      <w:pPr>
        <w:jc w:val="both"/>
        <w:rPr>
          <w:rFonts w:ascii="Times New Roman" w:hAnsi="Times New Roman" w:cs="Times New Roman"/>
          <w:sz w:val="24"/>
        </w:rPr>
      </w:pPr>
    </w:p>
    <w:p w:rsidR="00101782" w:rsidRPr="00101782" w:rsidRDefault="00101782" w:rsidP="00CB7501">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is the problem?</w:t>
      </w:r>
    </w:p>
    <w:p w:rsidR="00303ECE" w:rsidRDefault="007F0558" w:rsidP="00303EC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The first question, in the assessment of any regulatory proposal, is what is the fundamental problem that needs to be addressed by government intervention?  </w:t>
      </w:r>
      <w:r w:rsidR="00303ECE">
        <w:rPr>
          <w:rFonts w:ascii="Times New Roman" w:hAnsi="Times New Roman" w:cs="Times New Roman"/>
          <w:color w:val="000000" w:themeColor="text1"/>
          <w:sz w:val="24"/>
          <w:szCs w:val="24"/>
          <w:lang w:val="en-AU"/>
        </w:rPr>
        <w:t>At an economic level, there are sever</w:t>
      </w:r>
      <w:r>
        <w:rPr>
          <w:rFonts w:ascii="Times New Roman" w:hAnsi="Times New Roman" w:cs="Times New Roman"/>
          <w:color w:val="000000" w:themeColor="text1"/>
          <w:sz w:val="24"/>
          <w:szCs w:val="24"/>
          <w:lang w:val="en-AU"/>
        </w:rPr>
        <w:t>al problems that currently exi</w:t>
      </w:r>
      <w:r w:rsidR="00E97C49">
        <w:rPr>
          <w:rFonts w:ascii="Times New Roman" w:hAnsi="Times New Roman" w:cs="Times New Roman"/>
          <w:color w:val="000000" w:themeColor="text1"/>
          <w:sz w:val="24"/>
          <w:szCs w:val="24"/>
          <w:lang w:val="en-AU"/>
        </w:rPr>
        <w:t xml:space="preserve">st within the </w:t>
      </w:r>
      <w:r w:rsidR="006B1F2C">
        <w:rPr>
          <w:rFonts w:ascii="Times New Roman" w:hAnsi="Times New Roman" w:cs="Times New Roman"/>
          <w:color w:val="000000" w:themeColor="text1"/>
          <w:sz w:val="24"/>
          <w:szCs w:val="24"/>
          <w:lang w:val="en-AU"/>
        </w:rPr>
        <w:t>markets (</w:t>
      </w:r>
      <w:r w:rsidR="00E06A1A">
        <w:rPr>
          <w:rFonts w:ascii="Times New Roman" w:hAnsi="Times New Roman" w:cs="Times New Roman"/>
          <w:color w:val="000000" w:themeColor="text1"/>
          <w:sz w:val="24"/>
          <w:szCs w:val="24"/>
          <w:lang w:val="en-AU"/>
        </w:rPr>
        <w:t>banking, energy and telecommunications</w:t>
      </w:r>
      <w:r w:rsidR="006B1F2C">
        <w:rPr>
          <w:rFonts w:ascii="Times New Roman" w:hAnsi="Times New Roman" w:cs="Times New Roman"/>
          <w:color w:val="000000" w:themeColor="text1"/>
          <w:sz w:val="24"/>
          <w:szCs w:val="24"/>
          <w:lang w:val="en-AU"/>
        </w:rPr>
        <w:t>)</w:t>
      </w:r>
      <w:r w:rsidR="00E97C49">
        <w:rPr>
          <w:rFonts w:ascii="Times New Roman" w:hAnsi="Times New Roman" w:cs="Times New Roman"/>
          <w:color w:val="000000" w:themeColor="text1"/>
          <w:sz w:val="24"/>
          <w:szCs w:val="24"/>
          <w:lang w:val="en-AU"/>
        </w:rPr>
        <w:t xml:space="preserve"> </w:t>
      </w:r>
      <w:r>
        <w:rPr>
          <w:rFonts w:ascii="Times New Roman" w:hAnsi="Times New Roman" w:cs="Times New Roman"/>
          <w:color w:val="000000" w:themeColor="text1"/>
          <w:sz w:val="24"/>
          <w:szCs w:val="24"/>
          <w:lang w:val="en-AU"/>
        </w:rPr>
        <w:t>that may justify consideration of regulatory intervention to address them.</w:t>
      </w:r>
    </w:p>
    <w:p w:rsidR="00335E19" w:rsidRDefault="004454E9" w:rsidP="004454E9">
      <w:pPr>
        <w:jc w:val="both"/>
        <w:rPr>
          <w:rFonts w:ascii="Times New Roman" w:hAnsi="Times New Roman" w:cs="Times New Roman"/>
          <w:sz w:val="24"/>
        </w:rPr>
      </w:pPr>
      <w:r w:rsidRPr="007217E6">
        <w:rPr>
          <w:rFonts w:ascii="Times New Roman" w:hAnsi="Times New Roman" w:cs="Times New Roman"/>
          <w:sz w:val="24"/>
        </w:rPr>
        <w:t xml:space="preserve">The problem in the telecommunications sector is </w:t>
      </w:r>
      <w:r>
        <w:rPr>
          <w:rFonts w:ascii="Times New Roman" w:hAnsi="Times New Roman" w:cs="Times New Roman"/>
          <w:sz w:val="24"/>
        </w:rPr>
        <w:t xml:space="preserve">that </w:t>
      </w:r>
      <w:r w:rsidRPr="007217E6">
        <w:rPr>
          <w:rFonts w:ascii="Times New Roman" w:hAnsi="Times New Roman" w:cs="Times New Roman"/>
          <w:sz w:val="24"/>
        </w:rPr>
        <w:t>an abundance of market failures</w:t>
      </w:r>
      <w:r>
        <w:rPr>
          <w:rFonts w:ascii="Times New Roman" w:hAnsi="Times New Roman" w:cs="Times New Roman"/>
          <w:sz w:val="24"/>
        </w:rPr>
        <w:t xml:space="preserve"> exist</w:t>
      </w:r>
      <w:r w:rsidRPr="007217E6">
        <w:rPr>
          <w:rFonts w:ascii="Times New Roman" w:hAnsi="Times New Roman" w:cs="Times New Roman"/>
          <w:sz w:val="24"/>
        </w:rPr>
        <w:t xml:space="preserve"> which provide a strong rationale for regulatory intervention. </w:t>
      </w:r>
      <w:r>
        <w:rPr>
          <w:rFonts w:ascii="Times New Roman" w:hAnsi="Times New Roman" w:cs="Times New Roman"/>
          <w:sz w:val="24"/>
        </w:rPr>
        <w:t xml:space="preserve">Market failure arises when the free market does not deliver efficient allocation of goods and resources. </w:t>
      </w:r>
    </w:p>
    <w:p w:rsidR="00303ECE" w:rsidRPr="004454E9" w:rsidRDefault="007F0558" w:rsidP="004454E9">
      <w:pPr>
        <w:jc w:val="both"/>
        <w:rPr>
          <w:rFonts w:ascii="Times New Roman" w:hAnsi="Times New Roman" w:cs="Times New Roman"/>
          <w:sz w:val="24"/>
        </w:rPr>
      </w:pPr>
      <w:r>
        <w:rPr>
          <w:rFonts w:ascii="Times New Roman" w:hAnsi="Times New Roman" w:cs="Times New Roman"/>
          <w:color w:val="000000" w:themeColor="text1"/>
          <w:sz w:val="24"/>
          <w:szCs w:val="24"/>
          <w:lang w:val="en-AU"/>
        </w:rPr>
        <w:t xml:space="preserve">In this instance, the problems that are relevant to the assessment of the </w:t>
      </w:r>
      <w:r w:rsidR="00F46A19">
        <w:rPr>
          <w:rFonts w:ascii="Times New Roman" w:hAnsi="Times New Roman" w:cs="Times New Roman"/>
          <w:color w:val="000000" w:themeColor="text1"/>
          <w:sz w:val="24"/>
          <w:szCs w:val="24"/>
          <w:lang w:val="en-AU"/>
        </w:rPr>
        <w:t>Bill</w:t>
      </w:r>
      <w:r>
        <w:rPr>
          <w:rFonts w:ascii="Times New Roman" w:hAnsi="Times New Roman" w:cs="Times New Roman"/>
          <w:color w:val="000000" w:themeColor="text1"/>
          <w:sz w:val="24"/>
          <w:szCs w:val="24"/>
          <w:lang w:val="en-AU"/>
        </w:rPr>
        <w:t xml:space="preserve"> are:</w:t>
      </w:r>
    </w:p>
    <w:p w:rsidR="00E96A8D" w:rsidRDefault="007F0558" w:rsidP="00116291">
      <w:pPr>
        <w:pStyle w:val="ListParagraph"/>
        <w:numPr>
          <w:ilvl w:val="0"/>
          <w:numId w:val="1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potentially significant distortions associated with information asymmetries that exist within the identified markets </w:t>
      </w:r>
      <w:r w:rsidRPr="007F0558">
        <w:rPr>
          <w:rFonts w:ascii="Times New Roman" w:hAnsi="Times New Roman" w:cs="Times New Roman"/>
        </w:rPr>
        <w:t>(</w:t>
      </w:r>
      <w:proofErr w:type="spellStart"/>
      <w:r w:rsidRPr="007F0558">
        <w:rPr>
          <w:rFonts w:ascii="Times New Roman" w:hAnsi="Times New Roman" w:cs="Times New Roman"/>
        </w:rPr>
        <w:t>Akerlof</w:t>
      </w:r>
      <w:proofErr w:type="spellEnd"/>
      <w:r w:rsidRPr="007F0558">
        <w:rPr>
          <w:rFonts w:ascii="Times New Roman" w:hAnsi="Times New Roman" w:cs="Times New Roman"/>
        </w:rPr>
        <w:t xml:space="preserve"> 1970)</w:t>
      </w:r>
      <w:r>
        <w:rPr>
          <w:rFonts w:ascii="Times New Roman" w:hAnsi="Times New Roman" w:cs="Times New Roman"/>
          <w:color w:val="000000" w:themeColor="text1"/>
          <w:szCs w:val="24"/>
        </w:rPr>
        <w:t>;</w:t>
      </w:r>
    </w:p>
    <w:p w:rsidR="007F0558" w:rsidRDefault="007F0558" w:rsidP="00116291">
      <w:pPr>
        <w:pStyle w:val="ListParagraph"/>
        <w:numPr>
          <w:ilvl w:val="0"/>
          <w:numId w:val="1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existence of potentially material transaction costs </w:t>
      </w:r>
      <w:r w:rsidRPr="009B42DF">
        <w:rPr>
          <w:rFonts w:ascii="Times New Roman" w:hAnsi="Times New Roman" w:cs="Times New Roman"/>
        </w:rPr>
        <w:t>(Coase 1937)</w:t>
      </w:r>
      <w:r>
        <w:rPr>
          <w:rFonts w:ascii="Times New Roman" w:hAnsi="Times New Roman" w:cs="Times New Roman"/>
          <w:color w:val="000000" w:themeColor="text1"/>
          <w:szCs w:val="24"/>
        </w:rPr>
        <w:t>, that may be impeding the efficient operation of the market;</w:t>
      </w:r>
    </w:p>
    <w:p w:rsidR="007F0558" w:rsidRDefault="007F0558" w:rsidP="00116291">
      <w:pPr>
        <w:pStyle w:val="ListParagraph"/>
        <w:numPr>
          <w:ilvl w:val="0"/>
          <w:numId w:val="10"/>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extent to which incumbent operators may be able to avoid competitive pressures by exercising market power and increasing switching costs for consumers.</w:t>
      </w:r>
    </w:p>
    <w:p w:rsidR="00101782" w:rsidRDefault="007F0558" w:rsidP="00116291">
      <w:pPr>
        <w:pStyle w:val="ListParagraph"/>
        <w:numPr>
          <w:ilvl w:val="0"/>
          <w:numId w:val="10"/>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risks associated with the use of lower quality information proxies, as a substitute for direct customer information.</w:t>
      </w:r>
    </w:p>
    <w:p w:rsidR="004454E9" w:rsidRP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 xml:space="preserve">Information asymmetries </w:t>
      </w:r>
    </w:p>
    <w:p w:rsidR="004454E9" w:rsidRDefault="004454E9" w:rsidP="00335E19">
      <w:pPr>
        <w:jc w:val="both"/>
        <w:rPr>
          <w:rFonts w:ascii="Times New Roman" w:hAnsi="Times New Roman" w:cs="Times New Roman"/>
          <w:sz w:val="24"/>
        </w:rPr>
      </w:pPr>
      <w:r w:rsidRPr="007217E6">
        <w:rPr>
          <w:rFonts w:ascii="Times New Roman" w:hAnsi="Times New Roman" w:cs="Times New Roman"/>
          <w:sz w:val="24"/>
        </w:rPr>
        <w:t xml:space="preserve">The telecommunications marketplace is </w:t>
      </w:r>
      <w:r w:rsidR="00B31249" w:rsidRPr="007217E6">
        <w:rPr>
          <w:rFonts w:ascii="Times New Roman" w:hAnsi="Times New Roman" w:cs="Times New Roman"/>
          <w:sz w:val="24"/>
        </w:rPr>
        <w:t>characteri</w:t>
      </w:r>
      <w:r w:rsidR="00B31249">
        <w:rPr>
          <w:rFonts w:ascii="Times New Roman" w:hAnsi="Times New Roman" w:cs="Times New Roman"/>
          <w:sz w:val="24"/>
        </w:rPr>
        <w:t>z</w:t>
      </w:r>
      <w:r w:rsidR="00B31249" w:rsidRPr="007217E6">
        <w:rPr>
          <w:rFonts w:ascii="Times New Roman" w:hAnsi="Times New Roman" w:cs="Times New Roman"/>
          <w:sz w:val="24"/>
        </w:rPr>
        <w:t>ed</w:t>
      </w:r>
      <w:r w:rsidRPr="007217E6">
        <w:rPr>
          <w:rFonts w:ascii="Times New Roman" w:hAnsi="Times New Roman" w:cs="Times New Roman"/>
          <w:sz w:val="24"/>
        </w:rPr>
        <w:t xml:space="preserve"> by a number of information asymmetries between consumers and service providers. These asymmetries stem in part from the incentives that service providers have to raise the complexity or cost of information in areas such as contracting as well as the genuinely higher information costs for consumers that arise due to the technical complexity associated with providing services. The existence of information asymmetries in the telecommunications and digital sphere are well documented in both Australia and internationally</w:t>
      </w:r>
      <w:r>
        <w:rPr>
          <w:rFonts w:ascii="Times New Roman" w:hAnsi="Times New Roman" w:cs="Times New Roman"/>
          <w:sz w:val="24"/>
        </w:rPr>
        <w:t xml:space="preserve"> </w:t>
      </w:r>
      <w:r w:rsidRPr="004454E9">
        <w:rPr>
          <w:rFonts w:ascii="Times New Roman" w:hAnsi="Times New Roman" w:cs="Times New Roman"/>
          <w:sz w:val="24"/>
        </w:rPr>
        <w:t>(OECD 2018)</w:t>
      </w:r>
      <w:r w:rsidRPr="007217E6">
        <w:rPr>
          <w:rFonts w:ascii="Times New Roman" w:hAnsi="Times New Roman" w:cs="Times New Roman"/>
          <w:sz w:val="24"/>
        </w:rPr>
        <w:t>.</w:t>
      </w:r>
    </w:p>
    <w:p w:rsid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Transaction costs</w:t>
      </w:r>
    </w:p>
    <w:p w:rsidR="004454E9" w:rsidRDefault="00232EF3" w:rsidP="00335E19">
      <w:pPr>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Transaction costs refer to the costs entailed in using the market, and may include a variety of costs including those associated with information, formation and enforcement of a contractual agreement </w:t>
      </w:r>
      <w:r w:rsidRPr="00232EF3">
        <w:rPr>
          <w:rFonts w:ascii="Times New Roman" w:hAnsi="Times New Roman" w:cs="Times New Roman"/>
          <w:sz w:val="24"/>
        </w:rPr>
        <w:t>(Coase 1937</w:t>
      </w:r>
      <w:r w:rsidRPr="00840306">
        <w:rPr>
          <w:rFonts w:ascii="Times New Roman" w:hAnsi="Times New Roman" w:cs="Times New Roman"/>
          <w:sz w:val="24"/>
        </w:rPr>
        <w:t>)</w:t>
      </w:r>
      <w:r w:rsidRPr="00840306">
        <w:rPr>
          <w:rFonts w:ascii="Times New Roman" w:eastAsia="Arial Unicode MS" w:hAnsi="Times New Roman" w:cs="Times New Roman"/>
          <w:sz w:val="24"/>
          <w:lang w:val="en-IE" w:eastAsia="en-AU" w:bidi="hi-IN"/>
        </w:rPr>
        <w:t xml:space="preserve">. Transactions costs are considerably broader than ‘ink </w:t>
      </w:r>
      <w:r w:rsidR="002D1D18" w:rsidRPr="00840306">
        <w:rPr>
          <w:rFonts w:ascii="Times New Roman" w:eastAsia="Arial Unicode MS" w:hAnsi="Times New Roman" w:cs="Times New Roman"/>
          <w:sz w:val="24"/>
          <w:lang w:val="en-IE" w:eastAsia="en-AU" w:bidi="hi-IN"/>
        </w:rPr>
        <w:t xml:space="preserve">costs’ </w:t>
      </w:r>
      <w:r w:rsidR="002D1D18">
        <w:rPr>
          <w:rFonts w:ascii="Times New Roman" w:eastAsia="Arial Unicode MS" w:hAnsi="Times New Roman" w:cs="Times New Roman"/>
          <w:sz w:val="24"/>
          <w:lang w:val="en-IE" w:eastAsia="en-AU" w:bidi="hi-IN"/>
        </w:rPr>
        <w:t>-</w:t>
      </w:r>
      <w:r w:rsidR="0089787C">
        <w:rPr>
          <w:rFonts w:ascii="Times New Roman" w:eastAsia="Arial Unicode MS" w:hAnsi="Times New Roman" w:cs="Times New Roman"/>
          <w:sz w:val="24"/>
          <w:lang w:val="en-IE" w:eastAsia="en-AU" w:bidi="hi-IN"/>
        </w:rPr>
        <w:t xml:space="preserve"> </w:t>
      </w:r>
      <w:r w:rsidR="00840306" w:rsidRPr="00840306">
        <w:rPr>
          <w:rFonts w:ascii="Times New Roman" w:eastAsia="Arial Unicode MS" w:hAnsi="Times New Roman" w:cs="Times New Roman"/>
          <w:sz w:val="24"/>
          <w:lang w:val="en-IE" w:eastAsia="en-AU" w:bidi="hi-IN"/>
        </w:rPr>
        <w:t xml:space="preserve">the cost of drafting contracts </w:t>
      </w:r>
      <w:r w:rsidR="00840306">
        <w:rPr>
          <w:rFonts w:ascii="Times New Roman" w:eastAsia="Arial Unicode MS" w:hAnsi="Times New Roman" w:cs="Times New Roman"/>
          <w:sz w:val="24"/>
          <w:lang w:val="en-IE" w:eastAsia="en-AU" w:bidi="hi-IN"/>
        </w:rPr>
        <w:t xml:space="preserve">- </w:t>
      </w:r>
      <w:r w:rsidRPr="00840306">
        <w:rPr>
          <w:rFonts w:ascii="Times New Roman" w:eastAsia="Arial Unicode MS" w:hAnsi="Times New Roman" w:cs="Times New Roman"/>
          <w:sz w:val="24"/>
          <w:lang w:val="en-IE" w:eastAsia="en-AU" w:bidi="hi-IN"/>
        </w:rPr>
        <w:t>and can be a barrier to the efficient operation of markets.</w:t>
      </w:r>
    </w:p>
    <w:p w:rsidR="00480D20" w:rsidRPr="004454E9" w:rsidRDefault="00232EF3" w:rsidP="00335E19">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The existence of transaction costs may provide incentives for consumers to remain with existing service providers, despite facing detriment through higher prices or worse services. For consumers and markets the existence of significant transaction costs may result in poor outcomes, and consequently measures to reduce transaction costs should promote consumer welfare.</w:t>
      </w:r>
    </w:p>
    <w:p w:rsid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Market power and competition</w:t>
      </w:r>
    </w:p>
    <w:p w:rsidR="004454E9" w:rsidRDefault="004454E9" w:rsidP="00335E19">
      <w:pPr>
        <w:jc w:val="both"/>
        <w:rPr>
          <w:rFonts w:ascii="Times New Roman" w:hAnsi="Times New Roman" w:cs="Times New Roman"/>
          <w:sz w:val="24"/>
          <w:szCs w:val="24"/>
        </w:rPr>
      </w:pPr>
      <w:r w:rsidRPr="00E06A1A">
        <w:rPr>
          <w:rFonts w:ascii="Times New Roman" w:hAnsi="Times New Roman" w:cs="Times New Roman"/>
          <w:sz w:val="24"/>
          <w:szCs w:val="24"/>
        </w:rPr>
        <w:t xml:space="preserve">Australia has a highly concentrated communications market with three entities accounting for almost 100% of the market </w:t>
      </w:r>
      <w:r w:rsidRPr="00E06A1A">
        <w:rPr>
          <w:rFonts w:ascii="Times New Roman" w:eastAsia="Arial Unicode MS" w:hAnsi="Times New Roman" w:cs="Times New Roman"/>
          <w:noProof/>
          <w:sz w:val="24"/>
          <w:szCs w:val="24"/>
          <w:lang w:val="en-IE" w:bidi="hi-IN"/>
        </w:rPr>
        <w:t>(Grattan Institute 2017)</w:t>
      </w:r>
      <w:r w:rsidRPr="00E06A1A">
        <w:rPr>
          <w:rFonts w:ascii="Times New Roman" w:hAnsi="Times New Roman" w:cs="Times New Roman"/>
          <w:sz w:val="24"/>
          <w:szCs w:val="24"/>
        </w:rPr>
        <w:t xml:space="preserve">. Although concentration is but one of many indicators relevant in assessing the potential for anti-competitive activity, it is accepted </w:t>
      </w:r>
      <w:r w:rsidR="006B1F2C" w:rsidRPr="00E06A1A">
        <w:rPr>
          <w:rFonts w:ascii="Times New Roman" w:hAnsi="Times New Roman" w:cs="Times New Roman"/>
          <w:sz w:val="24"/>
          <w:szCs w:val="24"/>
        </w:rPr>
        <w:t xml:space="preserve">that </w:t>
      </w:r>
      <w:r w:rsidRPr="00E06A1A">
        <w:rPr>
          <w:rFonts w:ascii="Times New Roman" w:hAnsi="Times New Roman" w:cs="Times New Roman"/>
          <w:sz w:val="24"/>
          <w:szCs w:val="24"/>
        </w:rPr>
        <w:t>the level of concentration in the Australian communications market is well in excess of those observed in competitive markets that work well (ACCC 2018a).</w:t>
      </w:r>
    </w:p>
    <w:p w:rsidR="003F6545" w:rsidRDefault="003F6545" w:rsidP="00335E19">
      <w:pPr>
        <w:jc w:val="both"/>
        <w:rPr>
          <w:rFonts w:ascii="Times New Roman" w:hAnsi="Times New Roman" w:cs="Times New Roman"/>
          <w:sz w:val="24"/>
          <w:szCs w:val="24"/>
        </w:rPr>
      </w:pPr>
    </w:p>
    <w:p w:rsidR="003F6545" w:rsidRPr="00E06A1A" w:rsidRDefault="003F6545" w:rsidP="00335E19">
      <w:pPr>
        <w:jc w:val="both"/>
        <w:rPr>
          <w:rFonts w:ascii="Times New Roman" w:eastAsia="Arial Unicode MS" w:hAnsi="Times New Roman" w:cs="Times New Roman"/>
          <w:sz w:val="24"/>
          <w:szCs w:val="24"/>
          <w:lang w:val="en-IE" w:bidi="hi-IN"/>
        </w:rPr>
      </w:pPr>
    </w:p>
    <w:p w:rsidR="004454E9" w:rsidRPr="00E06A1A" w:rsidRDefault="004454E9" w:rsidP="00335E19">
      <w:pPr>
        <w:rPr>
          <w:rFonts w:ascii="Times New Roman" w:hAnsi="Times New Roman" w:cs="Times New Roman"/>
          <w:color w:val="000000" w:themeColor="text1"/>
          <w:sz w:val="24"/>
          <w:szCs w:val="24"/>
        </w:rPr>
      </w:pPr>
      <w:r w:rsidRPr="00E06A1A">
        <w:rPr>
          <w:rFonts w:ascii="Times New Roman" w:hAnsi="Times New Roman" w:cs="Times New Roman"/>
          <w:color w:val="000000" w:themeColor="text1"/>
          <w:sz w:val="24"/>
          <w:szCs w:val="24"/>
        </w:rPr>
        <w:t>The way in which concentration affects market functioning and consumer outcomes is best described by Professor Stephen King:</w:t>
      </w:r>
    </w:p>
    <w:p w:rsidR="004454E9" w:rsidRPr="00E06A1A" w:rsidRDefault="004454E9" w:rsidP="004454E9">
      <w:pPr>
        <w:ind w:left="720"/>
        <w:jc w:val="both"/>
        <w:rPr>
          <w:rFonts w:ascii="Times New Roman" w:hAnsi="Times New Roman" w:cs="Times New Roman"/>
          <w:color w:val="000000" w:themeColor="text1"/>
          <w:sz w:val="24"/>
          <w:szCs w:val="24"/>
        </w:rPr>
      </w:pPr>
      <w:r w:rsidRPr="00E06A1A">
        <w:rPr>
          <w:rFonts w:ascii="Times New Roman" w:hAnsi="Times New Roman" w:cs="Times New Roman"/>
          <w:color w:val="000000" w:themeColor="text1"/>
          <w:sz w:val="24"/>
          <w:szCs w:val="24"/>
        </w:rPr>
        <w:t xml:space="preserve">Market shares and concentration interact with competition through the structure of the market. All other things being equal, increased concentration due to an increase in the market share of a single firm will tend to increase that firm’s ability to raise its profits by raising its own prices, lowering its service levels or otherwise engaging in less competitive activity.  </w:t>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p>
    <w:p w:rsidR="00E82DEE" w:rsidRPr="00E06A1A" w:rsidRDefault="004454E9" w:rsidP="00480D20">
      <w:pPr>
        <w:jc w:val="right"/>
        <w:rPr>
          <w:rFonts w:ascii="Times New Roman" w:eastAsia="Arial Unicode MS" w:hAnsi="Times New Roman" w:cs="Times New Roman"/>
          <w:color w:val="FF0000"/>
          <w:sz w:val="24"/>
          <w:szCs w:val="24"/>
          <w:lang w:val="en-IE" w:bidi="hi-IN"/>
        </w:rPr>
      </w:pP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FF0000"/>
          <w:sz w:val="24"/>
          <w:szCs w:val="24"/>
        </w:rPr>
        <w:t xml:space="preserve">  </w:t>
      </w:r>
      <w:r w:rsidRPr="00E06A1A">
        <w:rPr>
          <w:rFonts w:ascii="Times New Roman" w:hAnsi="Times New Roman" w:cs="Times New Roman"/>
          <w:sz w:val="24"/>
          <w:szCs w:val="24"/>
        </w:rPr>
        <w:t>(King 2009, p. 265)</w:t>
      </w:r>
    </w:p>
    <w:p w:rsidR="004454E9" w:rsidRDefault="004454E9" w:rsidP="004454E9">
      <w:pPr>
        <w:jc w:val="both"/>
        <w:rPr>
          <w:rFonts w:ascii="Times New Roman" w:eastAsia="Arial Unicode MS" w:hAnsi="Times New Roman" w:cs="Times New Roman"/>
          <w:color w:val="000000" w:themeColor="text1"/>
          <w:sz w:val="24"/>
          <w:szCs w:val="24"/>
          <w:lang w:val="en-IE" w:bidi="hi-IN"/>
        </w:rPr>
      </w:pPr>
      <w:r w:rsidRPr="00E06A1A">
        <w:rPr>
          <w:rFonts w:ascii="Times New Roman" w:hAnsi="Times New Roman" w:cs="Times New Roman"/>
          <w:color w:val="000000" w:themeColor="text1"/>
          <w:sz w:val="24"/>
          <w:szCs w:val="24"/>
        </w:rPr>
        <w:t>The lack of competitive pressure associated with this market structure has been identified as a potential driver of excess prices for</w:t>
      </w:r>
      <w:r w:rsidR="00D57947">
        <w:rPr>
          <w:rFonts w:ascii="Times New Roman" w:hAnsi="Times New Roman" w:cs="Times New Roman"/>
          <w:color w:val="000000" w:themeColor="text1"/>
          <w:sz w:val="24"/>
          <w:szCs w:val="24"/>
        </w:rPr>
        <w:t xml:space="preserve"> telecommunications</w:t>
      </w:r>
      <w:r w:rsidRPr="00E06A1A">
        <w:rPr>
          <w:rFonts w:ascii="Times New Roman" w:hAnsi="Times New Roman" w:cs="Times New Roman"/>
          <w:color w:val="000000" w:themeColor="text1"/>
          <w:sz w:val="24"/>
          <w:szCs w:val="24"/>
        </w:rPr>
        <w:t xml:space="preserve"> data and voice services and led to ‘extraordinarily high’ returns being achieved (Grattan 2017, p. 31). A lack of competition has also been reflected in poor service quality outcomes and a high incidence of complaints from consumers who have faced poorer outcomes than could be reasonably expected in a competitive market (ACMA 2018; TIO 2018)</w:t>
      </w:r>
      <w:r w:rsidRPr="00E06A1A">
        <w:rPr>
          <w:rFonts w:ascii="Times New Roman" w:eastAsia="Arial Unicode MS" w:hAnsi="Times New Roman" w:cs="Times New Roman"/>
          <w:color w:val="000000" w:themeColor="text1"/>
          <w:sz w:val="24"/>
          <w:szCs w:val="24"/>
          <w:lang w:val="en-IE" w:bidi="hi-IN"/>
        </w:rPr>
        <w:t>.</w:t>
      </w:r>
    </w:p>
    <w:p w:rsidR="004454E9" w:rsidRPr="00B31249" w:rsidRDefault="004454E9" w:rsidP="00232EF3">
      <w:pPr>
        <w:jc w:val="both"/>
        <w:rPr>
          <w:rFonts w:ascii="Times New Roman" w:eastAsia="Arial Unicode MS" w:hAnsi="Times New Roman" w:cs="Times New Roman"/>
          <w:sz w:val="24"/>
          <w:szCs w:val="24"/>
          <w:lang w:val="en-IE" w:bidi="hi-IN"/>
        </w:rPr>
      </w:pPr>
      <w:r w:rsidRPr="0071770B">
        <w:rPr>
          <w:rFonts w:ascii="Times New Roman" w:eastAsia="Arial Unicode MS" w:hAnsi="Times New Roman" w:cs="Times New Roman"/>
          <w:sz w:val="24"/>
          <w:szCs w:val="24"/>
          <w:lang w:val="en-IE" w:bidi="hi-IN"/>
        </w:rPr>
        <w:t>The concentration of the communications sector results in individual firms having significant market power, and the ability to potentially set prices in excess of competitive levels. The</w:t>
      </w:r>
      <w:r w:rsidR="0071770B">
        <w:rPr>
          <w:rFonts w:ascii="Times New Roman" w:eastAsia="Arial Unicode MS" w:hAnsi="Times New Roman" w:cs="Times New Roman"/>
          <w:sz w:val="24"/>
          <w:szCs w:val="24"/>
          <w:lang w:val="en-IE" w:bidi="hi-IN"/>
        </w:rPr>
        <w:t xml:space="preserve"> markets identified for initial rollout of the consumer data right are characterised by high levels of concentration and comparatively low levels of competition. As a consequence the benefits of reforming these sector</w:t>
      </w:r>
      <w:r w:rsidR="006B1F2C">
        <w:rPr>
          <w:rFonts w:ascii="Times New Roman" w:eastAsia="Arial Unicode MS" w:hAnsi="Times New Roman" w:cs="Times New Roman"/>
          <w:sz w:val="24"/>
          <w:szCs w:val="24"/>
          <w:lang w:val="en-IE" w:bidi="hi-IN"/>
        </w:rPr>
        <w:t>s</w:t>
      </w:r>
      <w:r w:rsidR="0071770B">
        <w:rPr>
          <w:rFonts w:ascii="Times New Roman" w:eastAsia="Arial Unicode MS" w:hAnsi="Times New Roman" w:cs="Times New Roman"/>
          <w:sz w:val="24"/>
          <w:szCs w:val="24"/>
          <w:lang w:val="en-IE" w:bidi="hi-IN"/>
        </w:rPr>
        <w:t xml:space="preserve"> may be material, but inversely the risks that firms may use </w:t>
      </w:r>
      <w:r w:rsidR="0071770B" w:rsidRPr="00B31249">
        <w:rPr>
          <w:rFonts w:ascii="Times New Roman" w:eastAsia="Arial Unicode MS" w:hAnsi="Times New Roman" w:cs="Times New Roman"/>
          <w:sz w:val="24"/>
          <w:szCs w:val="24"/>
          <w:lang w:val="en-IE" w:bidi="hi-IN"/>
        </w:rPr>
        <w:t xml:space="preserve">consumer data to engage in anti-competitive conduct is similarly material. </w:t>
      </w:r>
      <w:r w:rsidRPr="00B31249">
        <w:rPr>
          <w:rFonts w:ascii="Times New Roman" w:eastAsia="Arial Unicode MS" w:hAnsi="Times New Roman" w:cs="Times New Roman"/>
          <w:sz w:val="24"/>
          <w:szCs w:val="24"/>
          <w:lang w:val="en-IE" w:bidi="hi-IN"/>
        </w:rPr>
        <w:t xml:space="preserve"> </w:t>
      </w:r>
    </w:p>
    <w:p w:rsidR="00E82DEE" w:rsidRPr="00B31249" w:rsidRDefault="00E82DEE" w:rsidP="00232EF3">
      <w:pPr>
        <w:jc w:val="both"/>
        <w:rPr>
          <w:rFonts w:ascii="Times New Roman" w:eastAsia="Arial Unicode MS" w:hAnsi="Times New Roman" w:cs="Times New Roman"/>
          <w:sz w:val="24"/>
          <w:lang w:val="en-IE" w:bidi="hi-IN"/>
        </w:rPr>
      </w:pPr>
      <w:r w:rsidRPr="00FE456E">
        <w:rPr>
          <w:rFonts w:ascii="Times New Roman" w:eastAsia="Arial Unicode MS" w:hAnsi="Times New Roman" w:cs="Times New Roman"/>
          <w:sz w:val="24"/>
          <w:lang w:val="en-IE" w:bidi="hi-IN"/>
        </w:rPr>
        <w:t xml:space="preserve">ACCAN is not suggesting </w:t>
      </w:r>
      <w:r w:rsidR="00454507" w:rsidRPr="00FE456E">
        <w:rPr>
          <w:rFonts w:ascii="Times New Roman" w:eastAsia="Arial Unicode MS" w:hAnsi="Times New Roman" w:cs="Times New Roman"/>
          <w:sz w:val="24"/>
          <w:lang w:val="en-IE" w:bidi="hi-IN"/>
        </w:rPr>
        <w:t>that there</w:t>
      </w:r>
      <w:r w:rsidRPr="00FE456E">
        <w:rPr>
          <w:rFonts w:ascii="Times New Roman" w:eastAsia="Arial Unicode MS" w:hAnsi="Times New Roman" w:cs="Times New Roman"/>
          <w:sz w:val="24"/>
          <w:lang w:val="en-IE" w:bidi="hi-IN"/>
        </w:rPr>
        <w:t xml:space="preserve"> is</w:t>
      </w:r>
      <w:r w:rsidR="00211FFD">
        <w:rPr>
          <w:rFonts w:ascii="Times New Roman" w:eastAsia="Arial Unicode MS" w:hAnsi="Times New Roman" w:cs="Times New Roman"/>
          <w:sz w:val="24"/>
          <w:lang w:val="en-IE" w:bidi="hi-IN"/>
        </w:rPr>
        <w:t xml:space="preserve"> currently</w:t>
      </w:r>
      <w:r w:rsidRPr="00FE456E">
        <w:rPr>
          <w:rFonts w:ascii="Times New Roman" w:eastAsia="Arial Unicode MS" w:hAnsi="Times New Roman" w:cs="Times New Roman"/>
          <w:sz w:val="24"/>
          <w:lang w:val="en-IE" w:bidi="hi-IN"/>
        </w:rPr>
        <w:t xml:space="preserve"> clear conduct that would amount to anti-competitive behaviour in the telecommunications market, but rather that limited competitive pressures are leading to less than ideal outcomes for consumers. Moreover, a concentrated market reflects a level of risk that merits appropriate and ongoing regulatory scrutiny as well as sector-specific regulation to curtail the potentially significant losses that would accrue from anti-competitive conduct or less than perfect competition.</w:t>
      </w:r>
      <w:r w:rsidRPr="00B31249">
        <w:rPr>
          <w:rFonts w:ascii="Times New Roman" w:eastAsia="Arial Unicode MS" w:hAnsi="Times New Roman" w:cs="Times New Roman"/>
          <w:sz w:val="24"/>
          <w:lang w:val="en-IE" w:bidi="hi-IN"/>
        </w:rPr>
        <w:t xml:space="preserve"> </w:t>
      </w:r>
    </w:p>
    <w:p w:rsidR="004454E9" w:rsidRDefault="004454E9" w:rsidP="004454E9">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Proxies</w:t>
      </w:r>
    </w:p>
    <w:p w:rsidR="00CD1B6E" w:rsidRDefault="004454E9"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emergence of </w:t>
      </w:r>
      <w:r w:rsidR="007F6B53">
        <w:rPr>
          <w:rFonts w:ascii="Times New Roman" w:eastAsia="Arial Unicode MS" w:hAnsi="Times New Roman" w:cs="Times New Roman"/>
          <w:sz w:val="24"/>
          <w:lang w:val="en-IE" w:eastAsia="en-AU" w:bidi="hi-IN"/>
        </w:rPr>
        <w:t>proxies</w:t>
      </w:r>
      <w:r>
        <w:rPr>
          <w:rFonts w:ascii="Times New Roman" w:eastAsia="Arial Unicode MS" w:hAnsi="Times New Roman" w:cs="Times New Roman"/>
          <w:sz w:val="24"/>
          <w:lang w:val="en-IE" w:eastAsia="en-AU" w:bidi="hi-IN"/>
        </w:rPr>
        <w:t xml:space="preserve"> is a new</w:t>
      </w:r>
      <w:r w:rsidR="000B3ABA">
        <w:rPr>
          <w:rFonts w:ascii="Times New Roman" w:eastAsia="Arial Unicode MS" w:hAnsi="Times New Roman" w:cs="Times New Roman"/>
          <w:sz w:val="24"/>
          <w:lang w:val="en-IE" w:eastAsia="en-AU" w:bidi="hi-IN"/>
        </w:rPr>
        <w:t xml:space="preserve"> form of</w:t>
      </w:r>
      <w:r>
        <w:rPr>
          <w:rFonts w:ascii="Times New Roman" w:eastAsia="Arial Unicode MS" w:hAnsi="Times New Roman" w:cs="Times New Roman"/>
          <w:sz w:val="24"/>
          <w:lang w:val="en-IE" w:eastAsia="en-AU" w:bidi="hi-IN"/>
        </w:rPr>
        <w:t xml:space="preserve"> market failure, which arises when consumers or firms are assessed by reference to information that is not directly relevant to a transaction. </w:t>
      </w:r>
      <w:r w:rsidR="007F6B53">
        <w:rPr>
          <w:rFonts w:ascii="Times New Roman" w:eastAsia="Arial Unicode MS" w:hAnsi="Times New Roman" w:cs="Times New Roman"/>
          <w:sz w:val="24"/>
          <w:lang w:val="en-IE" w:eastAsia="en-AU" w:bidi="hi-IN"/>
        </w:rPr>
        <w:t>ACCAN is particularly concerned about the emergence of proxies to asses</w:t>
      </w:r>
      <w:r w:rsidR="0071770B">
        <w:rPr>
          <w:rFonts w:ascii="Times New Roman" w:eastAsia="Arial Unicode MS" w:hAnsi="Times New Roman" w:cs="Times New Roman"/>
          <w:sz w:val="24"/>
          <w:lang w:val="en-IE" w:eastAsia="en-AU" w:bidi="hi-IN"/>
        </w:rPr>
        <w:t>s</w:t>
      </w:r>
      <w:r w:rsidR="007F6B53">
        <w:rPr>
          <w:rFonts w:ascii="Times New Roman" w:eastAsia="Arial Unicode MS" w:hAnsi="Times New Roman" w:cs="Times New Roman"/>
          <w:sz w:val="24"/>
          <w:lang w:val="en-IE" w:eastAsia="en-AU" w:bidi="hi-IN"/>
        </w:rPr>
        <w:t xml:space="preserve"> consumers and profile consumer market segments </w:t>
      </w:r>
      <w:r w:rsidR="00B137FC">
        <w:rPr>
          <w:rFonts w:ascii="Times New Roman" w:eastAsia="Arial Unicode MS" w:hAnsi="Times New Roman" w:cs="Times New Roman"/>
          <w:sz w:val="24"/>
          <w:lang w:val="en-IE" w:eastAsia="en-AU" w:bidi="hi-IN"/>
        </w:rPr>
        <w:t xml:space="preserve">for the purpose of setting prices at </w:t>
      </w:r>
      <w:r w:rsidR="00342020">
        <w:rPr>
          <w:rFonts w:ascii="Times New Roman" w:eastAsia="Arial Unicode MS" w:hAnsi="Times New Roman" w:cs="Times New Roman"/>
          <w:sz w:val="24"/>
          <w:lang w:val="en-IE" w:eastAsia="en-AU" w:bidi="hi-IN"/>
        </w:rPr>
        <w:t>consumers’</w:t>
      </w:r>
      <w:r w:rsidR="00B137FC">
        <w:rPr>
          <w:rFonts w:ascii="Times New Roman" w:eastAsia="Arial Unicode MS" w:hAnsi="Times New Roman" w:cs="Times New Roman"/>
          <w:sz w:val="24"/>
          <w:lang w:val="en-IE" w:eastAsia="en-AU" w:bidi="hi-IN"/>
        </w:rPr>
        <w:t xml:space="preserve"> maximum willingness to pay. </w:t>
      </w:r>
    </w:p>
    <w:p w:rsidR="000F47F3" w:rsidRDefault="00CD1B6E"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A proxy, in simple terms refers to the use of a piece of data that may be correlated with, but not causally linked to a consumer characteristic. For example, estimating the income and therefore capacity to pay f</w:t>
      </w:r>
      <w:r w:rsidR="000F47F3">
        <w:rPr>
          <w:rFonts w:ascii="Times New Roman" w:eastAsia="Arial Unicode MS" w:hAnsi="Times New Roman" w:cs="Times New Roman"/>
          <w:sz w:val="24"/>
          <w:lang w:val="en-IE" w:eastAsia="en-AU" w:bidi="hi-IN"/>
        </w:rPr>
        <w:t>or an individual may difficult</w:t>
      </w:r>
      <w:r>
        <w:rPr>
          <w:rFonts w:ascii="Times New Roman" w:eastAsia="Arial Unicode MS" w:hAnsi="Times New Roman" w:cs="Times New Roman"/>
          <w:sz w:val="24"/>
          <w:lang w:val="en-IE" w:eastAsia="en-AU" w:bidi="hi-IN"/>
        </w:rPr>
        <w:t xml:space="preserve">, but </w:t>
      </w:r>
      <w:r w:rsidR="000F47F3">
        <w:rPr>
          <w:rFonts w:ascii="Times New Roman" w:eastAsia="Arial Unicode MS" w:hAnsi="Times New Roman" w:cs="Times New Roman"/>
          <w:sz w:val="24"/>
          <w:lang w:val="en-IE" w:eastAsia="en-AU" w:bidi="hi-IN"/>
        </w:rPr>
        <w:t>average</w:t>
      </w:r>
      <w:r>
        <w:rPr>
          <w:rFonts w:ascii="Times New Roman" w:eastAsia="Arial Unicode MS" w:hAnsi="Times New Roman" w:cs="Times New Roman"/>
          <w:sz w:val="24"/>
          <w:lang w:val="en-IE" w:eastAsia="en-AU" w:bidi="hi-IN"/>
        </w:rPr>
        <w:t xml:space="preserve"> income information for a postcode, may be readily obtainable. </w:t>
      </w:r>
    </w:p>
    <w:p w:rsidR="00C35DED" w:rsidRDefault="00840306"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However, average income by postcodes does</w:t>
      </w:r>
      <w:r w:rsidR="00CD1B6E">
        <w:rPr>
          <w:rFonts w:ascii="Times New Roman" w:eastAsia="Arial Unicode MS" w:hAnsi="Times New Roman" w:cs="Times New Roman"/>
          <w:sz w:val="24"/>
          <w:lang w:val="en-IE" w:eastAsia="en-AU" w:bidi="hi-IN"/>
        </w:rPr>
        <w:t xml:space="preserve"> not reflect the disparities in income across a postcode area – and as a consequence reliance on this data would result in mispricing and loss for low income consumers residing in the </w:t>
      </w:r>
      <w:r>
        <w:rPr>
          <w:rFonts w:ascii="Times New Roman" w:eastAsia="Arial Unicode MS" w:hAnsi="Times New Roman" w:cs="Times New Roman"/>
          <w:sz w:val="24"/>
          <w:lang w:val="en-IE" w:eastAsia="en-AU" w:bidi="hi-IN"/>
        </w:rPr>
        <w:t>area</w:t>
      </w:r>
      <w:r w:rsidR="00CD1B6E">
        <w:rPr>
          <w:rFonts w:ascii="Times New Roman" w:eastAsia="Arial Unicode MS" w:hAnsi="Times New Roman" w:cs="Times New Roman"/>
          <w:sz w:val="24"/>
          <w:lang w:val="en-IE" w:eastAsia="en-AU" w:bidi="hi-IN"/>
        </w:rPr>
        <w:t xml:space="preserve">. </w:t>
      </w:r>
      <w:r>
        <w:rPr>
          <w:rFonts w:ascii="Times New Roman" w:eastAsia="Arial Unicode MS" w:hAnsi="Times New Roman" w:cs="Times New Roman"/>
          <w:sz w:val="24"/>
          <w:lang w:val="en-IE" w:eastAsia="en-AU" w:bidi="hi-IN"/>
        </w:rPr>
        <w:t>The use of proxies as a substitute for accurate consumer data may in the future lead to material consumer detriment, depending on how proxy data is used, the robustness of algorithms</w:t>
      </w:r>
      <w:r w:rsidR="00A65083">
        <w:rPr>
          <w:rFonts w:ascii="Times New Roman" w:eastAsia="Arial Unicode MS" w:hAnsi="Times New Roman" w:cs="Times New Roman"/>
          <w:sz w:val="24"/>
          <w:lang w:val="en-IE" w:eastAsia="en-AU" w:bidi="hi-IN"/>
        </w:rPr>
        <w:t>, the quality of the underlying data</w:t>
      </w:r>
      <w:r>
        <w:rPr>
          <w:rFonts w:ascii="Times New Roman" w:eastAsia="Arial Unicode MS" w:hAnsi="Times New Roman" w:cs="Times New Roman"/>
          <w:sz w:val="24"/>
          <w:lang w:val="en-IE" w:eastAsia="en-AU" w:bidi="hi-IN"/>
        </w:rPr>
        <w:t xml:space="preserve"> and the inferences drawn.</w:t>
      </w:r>
    </w:p>
    <w:p w:rsidR="00480D20" w:rsidRDefault="00840306"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 </w:t>
      </w:r>
      <w:r w:rsidR="005156B8">
        <w:rPr>
          <w:rFonts w:ascii="Times New Roman" w:eastAsia="Arial Unicode MS" w:hAnsi="Times New Roman" w:cs="Times New Roman"/>
          <w:sz w:val="24"/>
          <w:lang w:val="en-IE" w:eastAsia="en-AU" w:bidi="hi-IN"/>
        </w:rPr>
        <w:t xml:space="preserve">The use of proxies to inform </w:t>
      </w:r>
      <w:r w:rsidR="00B137FC">
        <w:rPr>
          <w:rFonts w:ascii="Times New Roman" w:eastAsia="Arial Unicode MS" w:hAnsi="Times New Roman" w:cs="Times New Roman"/>
          <w:sz w:val="24"/>
          <w:lang w:val="en-IE" w:eastAsia="en-AU" w:bidi="hi-IN"/>
        </w:rPr>
        <w:t xml:space="preserve">pricing and market strategy is of concern, as these proxies often do not have an appropriate causal relationship to consumers and can result in </w:t>
      </w:r>
      <w:r w:rsidR="00F46A19">
        <w:rPr>
          <w:rFonts w:ascii="Times New Roman" w:eastAsia="Arial Unicode MS" w:hAnsi="Times New Roman" w:cs="Times New Roman"/>
          <w:sz w:val="24"/>
          <w:lang w:val="en-IE" w:eastAsia="en-AU" w:bidi="hi-IN"/>
        </w:rPr>
        <w:t>consumers</w:t>
      </w:r>
      <w:r w:rsidR="00B137FC">
        <w:rPr>
          <w:rFonts w:ascii="Times New Roman" w:eastAsia="Arial Unicode MS" w:hAnsi="Times New Roman" w:cs="Times New Roman"/>
          <w:sz w:val="24"/>
          <w:lang w:val="en-IE" w:eastAsia="en-AU" w:bidi="hi-IN"/>
        </w:rPr>
        <w:t xml:space="preserve"> facing higher prices or poorer access to services based on </w:t>
      </w:r>
      <w:r w:rsidR="00FE456E">
        <w:rPr>
          <w:rFonts w:ascii="Times New Roman" w:eastAsia="Arial Unicode MS" w:hAnsi="Times New Roman" w:cs="Times New Roman"/>
          <w:sz w:val="24"/>
          <w:lang w:val="en-IE" w:eastAsia="en-AU" w:bidi="hi-IN"/>
        </w:rPr>
        <w:t xml:space="preserve">flawed </w:t>
      </w:r>
      <w:r w:rsidR="00B137FC">
        <w:rPr>
          <w:rFonts w:ascii="Times New Roman" w:eastAsia="Arial Unicode MS" w:hAnsi="Times New Roman" w:cs="Times New Roman"/>
          <w:sz w:val="24"/>
          <w:lang w:val="en-IE" w:eastAsia="en-AU" w:bidi="hi-IN"/>
        </w:rPr>
        <w:t xml:space="preserve">models. Although a greater problem for consumers seeking access to financial services or credit, it is important to note that many consumers in the communications marketplace similarly face issues with respect to access to credit for communications </w:t>
      </w:r>
      <w:r w:rsidR="00F46A19">
        <w:rPr>
          <w:rFonts w:ascii="Times New Roman" w:eastAsia="Arial Unicode MS" w:hAnsi="Times New Roman" w:cs="Times New Roman"/>
          <w:sz w:val="24"/>
          <w:lang w:val="en-IE" w:eastAsia="en-AU" w:bidi="hi-IN"/>
        </w:rPr>
        <w:t xml:space="preserve">products and </w:t>
      </w:r>
      <w:r w:rsidR="00B137FC">
        <w:rPr>
          <w:rFonts w:ascii="Times New Roman" w:eastAsia="Arial Unicode MS" w:hAnsi="Times New Roman" w:cs="Times New Roman"/>
          <w:sz w:val="24"/>
          <w:lang w:val="en-IE" w:eastAsia="en-AU" w:bidi="hi-IN"/>
        </w:rPr>
        <w:t xml:space="preserve">services. </w:t>
      </w:r>
    </w:p>
    <w:p w:rsidR="00677387" w:rsidRPr="00677387" w:rsidRDefault="00677387" w:rsidP="00677387">
      <w:pPr>
        <w:spacing w:line="360" w:lineRule="auto"/>
        <w:rPr>
          <w:rFonts w:ascii="Arial" w:eastAsia="Arial Unicode MS" w:hAnsi="Arial" w:cs="Arial"/>
          <w:sz w:val="28"/>
          <w:lang w:val="en-IE" w:eastAsia="en-AU" w:bidi="hi-IN"/>
        </w:rPr>
      </w:pPr>
      <w:r w:rsidRPr="00677387">
        <w:rPr>
          <w:rFonts w:ascii="Arial" w:eastAsia="Arial Unicode MS" w:hAnsi="Arial" w:cs="Arial"/>
          <w:sz w:val="28"/>
          <w:lang w:val="en-IE" w:eastAsia="en-AU" w:bidi="hi-IN"/>
        </w:rPr>
        <w:t>What is the test for intervention?</w:t>
      </w:r>
    </w:p>
    <w:p w:rsidR="00721B19" w:rsidRDefault="002D1D18" w:rsidP="007F6B53">
      <w:pPr>
        <w:jc w:val="both"/>
        <w:rPr>
          <w:rFonts w:ascii="Times New Roman" w:hAnsi="Times New Roman" w:cs="Times New Roman"/>
          <w:sz w:val="24"/>
          <w:szCs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0640" behindDoc="0" locked="0" layoutInCell="1" allowOverlap="1" wp14:anchorId="469AE2D1" wp14:editId="3EFC5461">
                <wp:simplePos x="0" y="0"/>
                <wp:positionH relativeFrom="column">
                  <wp:posOffset>0</wp:posOffset>
                </wp:positionH>
                <wp:positionV relativeFrom="paragraph">
                  <wp:posOffset>1102360</wp:posOffset>
                </wp:positionV>
                <wp:extent cx="5720080" cy="832485"/>
                <wp:effectExtent l="0" t="0" r="13970" b="24765"/>
                <wp:wrapNone/>
                <wp:docPr id="32" name="Text Box 32"/>
                <wp:cNvGraphicFramePr/>
                <a:graphic xmlns:a="http://schemas.openxmlformats.org/drawingml/2006/main">
                  <a:graphicData uri="http://schemas.microsoft.com/office/word/2010/wordprocessingShape">
                    <wps:wsp>
                      <wps:cNvSpPr txBox="1"/>
                      <wps:spPr>
                        <a:xfrm>
                          <a:off x="0" y="0"/>
                          <a:ext cx="5720080" cy="832485"/>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w:t>
                            </w:r>
                            <w:r>
                              <w:rPr>
                                <w:rFonts w:ascii="Times New Roman" w:hAnsi="Times New Roman" w:cs="Times New Roman"/>
                                <w:i/>
                              </w:rPr>
                              <w:t>s</w:t>
                            </w:r>
                            <w:r w:rsidRPr="00C35DED">
                              <w:rPr>
                                <w:rFonts w:ascii="Times New Roman" w:hAnsi="Times New Roman" w:cs="Times New Roman"/>
                                <w:i/>
                              </w:rPr>
                              <w:t xml:space="preserve">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5" type="#_x0000_t202" style="position:absolute;left:0;text-align:left;margin-left:0;margin-top:86.8pt;width:450.4pt;height:6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w:t>
                      </w:r>
                      <w:r>
                        <w:rPr>
                          <w:rFonts w:ascii="Times New Roman" w:hAnsi="Times New Roman" w:cs="Times New Roman"/>
                          <w:i/>
                        </w:rPr>
                        <w:t>s</w:t>
                      </w:r>
                      <w:r w:rsidRPr="00C35DED">
                        <w:rPr>
                          <w:rFonts w:ascii="Times New Roman" w:hAnsi="Times New Roman" w:cs="Times New Roman"/>
                          <w:i/>
                        </w:rPr>
                        <w:t xml:space="preserve">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v:textbox>
              </v:shape>
            </w:pict>
          </mc:Fallback>
        </mc:AlternateContent>
      </w:r>
      <w:r w:rsidR="00677387" w:rsidRPr="00677387">
        <w:rPr>
          <w:rFonts w:ascii="Times New Roman" w:hAnsi="Times New Roman" w:cs="Times New Roman"/>
          <w:sz w:val="24"/>
          <w:szCs w:val="24"/>
        </w:rPr>
        <w:t>Each of these</w:t>
      </w:r>
      <w:r w:rsidR="00F46A19">
        <w:rPr>
          <w:rFonts w:ascii="Times New Roman" w:hAnsi="Times New Roman" w:cs="Times New Roman"/>
          <w:sz w:val="24"/>
          <w:szCs w:val="24"/>
        </w:rPr>
        <w:t xml:space="preserve"> above four</w:t>
      </w:r>
      <w:r w:rsidR="00677387" w:rsidRPr="00677387">
        <w:rPr>
          <w:rFonts w:ascii="Times New Roman" w:hAnsi="Times New Roman" w:cs="Times New Roman"/>
          <w:sz w:val="24"/>
          <w:szCs w:val="24"/>
        </w:rPr>
        <w:t xml:space="preserve"> issues may result in less than desirable levels of competition and overall worse outcomes for consumers. However, in order for the proposed </w:t>
      </w:r>
      <w:r w:rsidR="00724C9D">
        <w:rPr>
          <w:rFonts w:ascii="Times New Roman" w:hAnsi="Times New Roman" w:cs="Times New Roman"/>
          <w:sz w:val="24"/>
          <w:szCs w:val="24"/>
        </w:rPr>
        <w:t xml:space="preserve">CDR </w:t>
      </w:r>
      <w:r w:rsidR="00677387" w:rsidRPr="00677387">
        <w:rPr>
          <w:rFonts w:ascii="Times New Roman" w:hAnsi="Times New Roman" w:cs="Times New Roman"/>
          <w:sz w:val="24"/>
          <w:szCs w:val="24"/>
        </w:rPr>
        <w:t xml:space="preserve">framework to be justified </w:t>
      </w:r>
      <w:r w:rsidR="00724C9D">
        <w:rPr>
          <w:rFonts w:ascii="Times New Roman" w:hAnsi="Times New Roman" w:cs="Times New Roman"/>
          <w:sz w:val="24"/>
          <w:szCs w:val="24"/>
        </w:rPr>
        <w:t>there</w:t>
      </w:r>
      <w:r w:rsidR="00677387" w:rsidRPr="00677387">
        <w:rPr>
          <w:rFonts w:ascii="Times New Roman" w:hAnsi="Times New Roman" w:cs="Times New Roman"/>
          <w:sz w:val="24"/>
          <w:szCs w:val="24"/>
        </w:rPr>
        <w:t xml:space="preserve"> must be evidence that the </w:t>
      </w:r>
      <w:r w:rsidR="00F46A19">
        <w:rPr>
          <w:rFonts w:ascii="Times New Roman" w:hAnsi="Times New Roman" w:cs="Times New Roman"/>
          <w:sz w:val="24"/>
          <w:szCs w:val="24"/>
        </w:rPr>
        <w:t>Bill</w:t>
      </w:r>
      <w:r w:rsidR="00677387" w:rsidRPr="00677387">
        <w:rPr>
          <w:rFonts w:ascii="Times New Roman" w:hAnsi="Times New Roman" w:cs="Times New Roman"/>
          <w:sz w:val="24"/>
          <w:szCs w:val="24"/>
        </w:rPr>
        <w:t xml:space="preserve"> identifies a clear objective that targets or addresses each of these issues, and that the proposed intervention provides greater benefits to society than costs </w:t>
      </w:r>
      <w:r w:rsidR="00677387" w:rsidRPr="00677387">
        <w:rPr>
          <w:rFonts w:ascii="Times New Roman" w:hAnsi="Times New Roman" w:cs="Times New Roman"/>
          <w:sz w:val="24"/>
        </w:rPr>
        <w:t>(</w:t>
      </w:r>
      <w:proofErr w:type="spellStart"/>
      <w:r w:rsidR="00677387" w:rsidRPr="00677387">
        <w:rPr>
          <w:rFonts w:ascii="Times New Roman" w:hAnsi="Times New Roman" w:cs="Times New Roman"/>
          <w:sz w:val="24"/>
        </w:rPr>
        <w:t>Kaldor</w:t>
      </w:r>
      <w:proofErr w:type="spellEnd"/>
      <w:r w:rsidR="00677387" w:rsidRPr="00677387">
        <w:rPr>
          <w:rFonts w:ascii="Times New Roman" w:hAnsi="Times New Roman" w:cs="Times New Roman"/>
          <w:sz w:val="24"/>
        </w:rPr>
        <w:t xml:space="preserve"> 1939; Hicks 1939)</w:t>
      </w:r>
      <w:r w:rsidR="00677387" w:rsidRPr="00677387">
        <w:rPr>
          <w:rFonts w:ascii="Times New Roman" w:hAnsi="Times New Roman" w:cs="Times New Roman"/>
          <w:sz w:val="24"/>
          <w:szCs w:val="24"/>
        </w:rPr>
        <w:t xml:space="preserve">. </w:t>
      </w:r>
    </w:p>
    <w:p w:rsidR="002D1D18" w:rsidRDefault="002D1D18" w:rsidP="007F6B53">
      <w:pPr>
        <w:jc w:val="both"/>
        <w:rPr>
          <w:rFonts w:ascii="Times New Roman" w:hAnsi="Times New Roman" w:cs="Times New Roman"/>
          <w:sz w:val="24"/>
          <w:szCs w:val="24"/>
        </w:rPr>
      </w:pPr>
    </w:p>
    <w:p w:rsidR="002D1D18" w:rsidRDefault="002D1D18" w:rsidP="007F6B53">
      <w:pPr>
        <w:jc w:val="both"/>
        <w:rPr>
          <w:rFonts w:ascii="Times New Roman" w:hAnsi="Times New Roman" w:cs="Times New Roman"/>
          <w:sz w:val="24"/>
          <w:szCs w:val="24"/>
        </w:rPr>
      </w:pPr>
    </w:p>
    <w:p w:rsidR="002D1D18" w:rsidRDefault="002D1D18" w:rsidP="007F6B53">
      <w:pPr>
        <w:jc w:val="both"/>
        <w:rPr>
          <w:rFonts w:ascii="Times New Roman" w:hAnsi="Times New Roman" w:cs="Times New Roman"/>
          <w:sz w:val="24"/>
          <w:szCs w:val="24"/>
        </w:rPr>
      </w:pPr>
    </w:p>
    <w:p w:rsidR="007F0558" w:rsidRPr="00AC201E" w:rsidRDefault="00101782" w:rsidP="0091280A">
      <w:pPr>
        <w:spacing w:before="100" w:beforeAutospacing="1" w:after="100" w:afterAutospacing="1" w:line="360" w:lineRule="auto"/>
        <w:jc w:val="both"/>
        <w:rPr>
          <w:rFonts w:ascii="Arial" w:eastAsiaTheme="minorEastAsia" w:hAnsi="Arial" w:cs="Arial"/>
          <w:b/>
          <w:sz w:val="32"/>
          <w:szCs w:val="32"/>
          <w:lang w:val="en-AU" w:eastAsia="en-AU"/>
        </w:rPr>
      </w:pPr>
      <w:r w:rsidRPr="00AC201E">
        <w:rPr>
          <w:rFonts w:ascii="Arial" w:eastAsiaTheme="minorEastAsia" w:hAnsi="Arial" w:cs="Arial"/>
          <w:b/>
          <w:sz w:val="32"/>
          <w:szCs w:val="32"/>
          <w:lang w:val="en-AU" w:eastAsia="en-AU"/>
        </w:rPr>
        <w:t>What is the objective?</w:t>
      </w:r>
    </w:p>
    <w:p w:rsidR="004454E9" w:rsidRDefault="004454E9" w:rsidP="004454E9">
      <w:pPr>
        <w:jc w:val="both"/>
        <w:rPr>
          <w:rFonts w:ascii="Times New Roman" w:hAnsi="Times New Roman" w:cs="Times New Roman"/>
          <w:sz w:val="24"/>
          <w:szCs w:val="24"/>
        </w:rPr>
      </w:pPr>
      <w:r w:rsidRPr="00AC201E">
        <w:rPr>
          <w:rFonts w:ascii="Times New Roman" w:hAnsi="Times New Roman" w:cs="Times New Roman"/>
          <w:sz w:val="24"/>
          <w:szCs w:val="24"/>
        </w:rPr>
        <w:t xml:space="preserve">The objective of regulatory intervention should be to </w:t>
      </w:r>
      <w:r w:rsidR="00AC201E" w:rsidRPr="00AC201E">
        <w:rPr>
          <w:rFonts w:ascii="Times New Roman" w:hAnsi="Times New Roman" w:cs="Times New Roman"/>
          <w:sz w:val="24"/>
          <w:szCs w:val="24"/>
        </w:rPr>
        <w:t>maximize</w:t>
      </w:r>
      <w:r w:rsidRPr="00AC201E">
        <w:rPr>
          <w:rFonts w:ascii="Times New Roman" w:hAnsi="Times New Roman" w:cs="Times New Roman"/>
          <w:sz w:val="24"/>
          <w:szCs w:val="24"/>
        </w:rPr>
        <w:t xml:space="preserve"> social </w:t>
      </w:r>
      <w:r w:rsidR="009507BA">
        <w:rPr>
          <w:rFonts w:ascii="Times New Roman" w:hAnsi="Times New Roman" w:cs="Times New Roman"/>
          <w:sz w:val="24"/>
          <w:szCs w:val="24"/>
        </w:rPr>
        <w:t>benefits</w:t>
      </w:r>
      <w:r w:rsidRPr="00AC201E">
        <w:rPr>
          <w:rFonts w:ascii="Times New Roman" w:hAnsi="Times New Roman" w:cs="Times New Roman"/>
          <w:sz w:val="24"/>
          <w:szCs w:val="24"/>
        </w:rPr>
        <w:t>, which ACCAN believes is best achieved by improving consumer outcomes and providing incentives to service providers to offer competitive services and products. Achieving this objective entails implementing tailored policy interventions that address the fundamental sources of market failure and consumer detriment.</w:t>
      </w:r>
    </w:p>
    <w:p w:rsidR="009A3FE1" w:rsidRDefault="009A3FE1" w:rsidP="004454E9">
      <w:pPr>
        <w:jc w:val="both"/>
        <w:rPr>
          <w:rFonts w:ascii="Times New Roman" w:hAnsi="Times New Roman" w:cs="Times New Roman"/>
          <w:sz w:val="24"/>
          <w:szCs w:val="24"/>
        </w:rPr>
      </w:pPr>
      <w:r>
        <w:rPr>
          <w:rFonts w:ascii="Times New Roman" w:hAnsi="Times New Roman" w:cs="Times New Roman"/>
          <w:sz w:val="24"/>
          <w:szCs w:val="24"/>
        </w:rPr>
        <w:t>In the context of the consumer data right, there has been little guidance given concerning the fundamental objectives of reform, beyond a broad statement of intent to address existing market failures and enhance competition. As part of the ongoing work of drafting</w:t>
      </w:r>
      <w:r w:rsidR="00724C9D">
        <w:rPr>
          <w:rFonts w:ascii="Times New Roman" w:hAnsi="Times New Roman" w:cs="Times New Roman"/>
          <w:sz w:val="24"/>
          <w:szCs w:val="24"/>
        </w:rPr>
        <w:t>,</w:t>
      </w:r>
      <w:r>
        <w:rPr>
          <w:rFonts w:ascii="Times New Roman" w:hAnsi="Times New Roman" w:cs="Times New Roman"/>
          <w:sz w:val="24"/>
          <w:szCs w:val="24"/>
        </w:rPr>
        <w:t xml:space="preserve"> </w:t>
      </w:r>
      <w:r w:rsidR="00344CDC">
        <w:rPr>
          <w:rFonts w:ascii="Times New Roman" w:hAnsi="Times New Roman" w:cs="Times New Roman"/>
          <w:sz w:val="24"/>
          <w:szCs w:val="24"/>
        </w:rPr>
        <w:t>ACCAN supports</w:t>
      </w:r>
      <w:r>
        <w:rPr>
          <w:rFonts w:ascii="Times New Roman" w:hAnsi="Times New Roman" w:cs="Times New Roman"/>
          <w:sz w:val="24"/>
          <w:szCs w:val="24"/>
        </w:rPr>
        <w:t xml:space="preserve"> consideration of what the core objectives of the reforms are, to ensure that the legislation is drafted with </w:t>
      </w:r>
      <w:r w:rsidR="00451699">
        <w:rPr>
          <w:rFonts w:ascii="Times New Roman" w:hAnsi="Times New Roman" w:cs="Times New Roman"/>
          <w:sz w:val="24"/>
          <w:szCs w:val="24"/>
        </w:rPr>
        <w:t>targeting</w:t>
      </w:r>
      <w:r>
        <w:rPr>
          <w:rFonts w:ascii="Times New Roman" w:hAnsi="Times New Roman" w:cs="Times New Roman"/>
          <w:sz w:val="24"/>
          <w:szCs w:val="24"/>
        </w:rPr>
        <w:t xml:space="preserve"> of these goals in mind. </w:t>
      </w:r>
    </w:p>
    <w:p w:rsidR="0015743E" w:rsidRDefault="0015743E" w:rsidP="004454E9">
      <w:pPr>
        <w:jc w:val="both"/>
        <w:rPr>
          <w:rFonts w:ascii="Times New Roman" w:hAnsi="Times New Roman" w:cs="Times New Roman"/>
          <w:sz w:val="24"/>
          <w:szCs w:val="24"/>
        </w:rPr>
      </w:pPr>
    </w:p>
    <w:p w:rsidR="0015743E" w:rsidRDefault="0015743E" w:rsidP="004454E9">
      <w:pPr>
        <w:jc w:val="both"/>
        <w:rPr>
          <w:rFonts w:ascii="Times New Roman" w:hAnsi="Times New Roman" w:cs="Times New Roman"/>
          <w:sz w:val="24"/>
          <w:szCs w:val="24"/>
        </w:rPr>
      </w:pPr>
    </w:p>
    <w:p w:rsidR="00C16C96" w:rsidRDefault="00C16C96" w:rsidP="004454E9">
      <w:pPr>
        <w:jc w:val="both"/>
        <w:rPr>
          <w:rFonts w:ascii="Times New Roman" w:hAnsi="Times New Roman" w:cs="Times New Roman"/>
          <w:sz w:val="24"/>
          <w:szCs w:val="24"/>
        </w:rPr>
      </w:pPr>
      <w:r>
        <w:rPr>
          <w:rFonts w:ascii="Times New Roman" w:hAnsi="Times New Roman" w:cs="Times New Roman"/>
          <w:sz w:val="24"/>
          <w:szCs w:val="24"/>
        </w:rPr>
        <w:t>This is important</w:t>
      </w:r>
      <w:r w:rsidR="009507BA">
        <w:rPr>
          <w:rFonts w:ascii="Times New Roman" w:hAnsi="Times New Roman" w:cs="Times New Roman"/>
          <w:sz w:val="24"/>
          <w:szCs w:val="24"/>
        </w:rPr>
        <w:t>. A</w:t>
      </w:r>
      <w:r>
        <w:rPr>
          <w:rFonts w:ascii="Times New Roman" w:hAnsi="Times New Roman" w:cs="Times New Roman"/>
          <w:sz w:val="24"/>
          <w:szCs w:val="24"/>
        </w:rPr>
        <w:t xml:space="preserve">lthough the CDR framework may in part facilitate the eliciting of better offers </w:t>
      </w:r>
      <w:r w:rsidR="008A3A53">
        <w:rPr>
          <w:rFonts w:ascii="Times New Roman" w:hAnsi="Times New Roman" w:cs="Times New Roman"/>
          <w:sz w:val="24"/>
          <w:szCs w:val="24"/>
        </w:rPr>
        <w:t>for</w:t>
      </w:r>
      <w:r>
        <w:rPr>
          <w:rFonts w:ascii="Times New Roman" w:hAnsi="Times New Roman" w:cs="Times New Roman"/>
          <w:sz w:val="24"/>
          <w:szCs w:val="24"/>
        </w:rPr>
        <w:t xml:space="preserve"> consumers, and a reduction in transaction costs</w:t>
      </w:r>
      <w:r w:rsidR="009507BA">
        <w:rPr>
          <w:rFonts w:ascii="Times New Roman" w:hAnsi="Times New Roman" w:cs="Times New Roman"/>
          <w:sz w:val="24"/>
          <w:szCs w:val="24"/>
        </w:rPr>
        <w:t>, i</w:t>
      </w:r>
      <w:r>
        <w:rPr>
          <w:rFonts w:ascii="Times New Roman" w:hAnsi="Times New Roman" w:cs="Times New Roman"/>
          <w:sz w:val="24"/>
          <w:szCs w:val="24"/>
        </w:rPr>
        <w:t>t is not clear that</w:t>
      </w:r>
      <w:r w:rsidR="009507BA">
        <w:rPr>
          <w:rFonts w:ascii="Times New Roman" w:hAnsi="Times New Roman" w:cs="Times New Roman"/>
          <w:sz w:val="24"/>
          <w:szCs w:val="24"/>
        </w:rPr>
        <w:t xml:space="preserve"> it </w:t>
      </w:r>
      <w:r>
        <w:rPr>
          <w:rFonts w:ascii="Times New Roman" w:hAnsi="Times New Roman" w:cs="Times New Roman"/>
          <w:sz w:val="24"/>
          <w:szCs w:val="24"/>
        </w:rPr>
        <w:t xml:space="preserve">will be an effective measure in </w:t>
      </w:r>
      <w:r w:rsidR="008A3A53">
        <w:rPr>
          <w:rFonts w:ascii="Times New Roman" w:hAnsi="Times New Roman" w:cs="Times New Roman"/>
          <w:sz w:val="24"/>
          <w:szCs w:val="24"/>
        </w:rPr>
        <w:t xml:space="preserve">improving </w:t>
      </w:r>
      <w:r>
        <w:rPr>
          <w:rFonts w:ascii="Times New Roman" w:hAnsi="Times New Roman" w:cs="Times New Roman"/>
          <w:sz w:val="24"/>
          <w:szCs w:val="24"/>
        </w:rPr>
        <w:t>information asymmetries in relevant markets</w:t>
      </w:r>
      <w:r w:rsidR="009507BA">
        <w:rPr>
          <w:rFonts w:ascii="Times New Roman" w:hAnsi="Times New Roman" w:cs="Times New Roman"/>
          <w:sz w:val="24"/>
          <w:szCs w:val="24"/>
        </w:rPr>
        <w:t xml:space="preserve">. </w:t>
      </w:r>
      <w:r w:rsidR="00DF2D9A">
        <w:rPr>
          <w:rFonts w:ascii="Times New Roman" w:hAnsi="Times New Roman" w:cs="Times New Roman"/>
          <w:sz w:val="24"/>
          <w:szCs w:val="24"/>
        </w:rPr>
        <w:t>This is because a</w:t>
      </w:r>
      <w:r>
        <w:rPr>
          <w:rFonts w:ascii="Times New Roman" w:hAnsi="Times New Roman" w:cs="Times New Roman"/>
          <w:sz w:val="24"/>
          <w:szCs w:val="24"/>
        </w:rPr>
        <w:t xml:space="preserve"> consumer </w:t>
      </w:r>
      <w:r w:rsidR="009507BA">
        <w:rPr>
          <w:rFonts w:ascii="Times New Roman" w:hAnsi="Times New Roman" w:cs="Times New Roman"/>
          <w:sz w:val="24"/>
          <w:szCs w:val="24"/>
        </w:rPr>
        <w:t xml:space="preserve">who </w:t>
      </w:r>
      <w:r>
        <w:rPr>
          <w:rFonts w:ascii="Times New Roman" w:hAnsi="Times New Roman" w:cs="Times New Roman"/>
          <w:sz w:val="24"/>
          <w:szCs w:val="24"/>
        </w:rPr>
        <w:t xml:space="preserve"> has transferred or offered their data to a service provider may still</w:t>
      </w:r>
      <w:r w:rsidR="00B91934">
        <w:rPr>
          <w:rFonts w:ascii="Times New Roman" w:hAnsi="Times New Roman" w:cs="Times New Roman"/>
          <w:sz w:val="24"/>
          <w:szCs w:val="24"/>
        </w:rPr>
        <w:t xml:space="preserve"> face information asymmetries, and</w:t>
      </w:r>
      <w:r>
        <w:rPr>
          <w:rFonts w:ascii="Times New Roman" w:hAnsi="Times New Roman" w:cs="Times New Roman"/>
          <w:sz w:val="24"/>
          <w:szCs w:val="24"/>
        </w:rPr>
        <w:t xml:space="preserve"> get a less than optimal deal, albeit one that is more attractive on the face of it than existing arrangements. </w:t>
      </w:r>
    </w:p>
    <w:p w:rsidR="003020AB" w:rsidRDefault="00940B68" w:rsidP="004454E9">
      <w:pPr>
        <w:jc w:val="both"/>
        <w:rPr>
          <w:rFonts w:ascii="Times New Roman" w:hAnsi="Times New Roman" w:cs="Times New Roman"/>
          <w:color w:val="FF0000"/>
          <w:sz w:val="24"/>
          <w:szCs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60800" behindDoc="0" locked="0" layoutInCell="1" allowOverlap="1" wp14:anchorId="713DD70A" wp14:editId="6C6F979C">
                <wp:simplePos x="0" y="0"/>
                <wp:positionH relativeFrom="column">
                  <wp:posOffset>0</wp:posOffset>
                </wp:positionH>
                <wp:positionV relativeFrom="paragraph">
                  <wp:posOffset>168568</wp:posOffset>
                </wp:positionV>
                <wp:extent cx="5720080" cy="123698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5720080" cy="1236980"/>
                        </a:xfrm>
                        <a:prstGeom prst="rect">
                          <a:avLst/>
                        </a:prstGeom>
                        <a:solidFill>
                          <a:sysClr val="window" lastClr="FFFFFF"/>
                        </a:solidFill>
                        <a:ln w="6350">
                          <a:solidFill>
                            <a:srgbClr val="00B0F0"/>
                          </a:solidFill>
                        </a:ln>
                      </wps:spPr>
                      <wps:txbx>
                        <w:txbxContent>
                          <w:p w:rsidR="00DD5468" w:rsidRPr="001410E8" w:rsidRDefault="00DD5468" w:rsidP="00DB1513">
                            <w:pPr>
                              <w:rPr>
                                <w:rFonts w:ascii="Times New Roman" w:hAnsi="Times New Roman" w:cs="Times New Roman"/>
                                <w:b/>
                              </w:rPr>
                            </w:pPr>
                            <w:r w:rsidRPr="001410E8">
                              <w:rPr>
                                <w:rFonts w:ascii="Times New Roman" w:hAnsi="Times New Roman" w:cs="Times New Roman"/>
                                <w:b/>
                              </w:rPr>
                              <w:t>Recommendation 3</w:t>
                            </w:r>
                          </w:p>
                          <w:p w:rsidR="00DD5468" w:rsidRPr="001410E8" w:rsidRDefault="00DD5468" w:rsidP="00DB1513">
                            <w:pPr>
                              <w:jc w:val="both"/>
                              <w:rPr>
                                <w:rFonts w:ascii="Times New Roman" w:hAnsi="Times New Roman" w:cs="Times New Roman"/>
                                <w:i/>
                              </w:rPr>
                            </w:pPr>
                            <w:r w:rsidRPr="001410E8">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0;margin-top:13.25pt;width:450.4pt;height:9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" fillcolor="window" strokecolor="#00b0f0" strokeweight=".5pt">
                <v:textbox>
                  <w:txbxContent>
                    <w:p w:rsidR="00DD5468" w:rsidRPr="001410E8" w:rsidRDefault="00DD5468" w:rsidP="00DB1513">
                      <w:pPr>
                        <w:rPr>
                          <w:rFonts w:ascii="Times New Roman" w:hAnsi="Times New Roman" w:cs="Times New Roman"/>
                          <w:b/>
                        </w:rPr>
                      </w:pPr>
                      <w:r w:rsidRPr="001410E8">
                        <w:rPr>
                          <w:rFonts w:ascii="Times New Roman" w:hAnsi="Times New Roman" w:cs="Times New Roman"/>
                          <w:b/>
                        </w:rPr>
                        <w:t>Recommendation 3</w:t>
                      </w:r>
                    </w:p>
                    <w:p w:rsidR="00DD5468" w:rsidRPr="001410E8" w:rsidRDefault="00DD5468" w:rsidP="00DB1513">
                      <w:pPr>
                        <w:jc w:val="both"/>
                        <w:rPr>
                          <w:rFonts w:ascii="Times New Roman" w:hAnsi="Times New Roman" w:cs="Times New Roman"/>
                          <w:i/>
                        </w:rPr>
                      </w:pPr>
                      <w:r w:rsidRPr="001410E8">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v:textbox>
              </v:shape>
            </w:pict>
          </mc:Fallback>
        </mc:AlternateContent>
      </w:r>
    </w:p>
    <w:p w:rsidR="00DB1513" w:rsidRDefault="00DB1513" w:rsidP="004454E9">
      <w:pPr>
        <w:jc w:val="both"/>
        <w:rPr>
          <w:rFonts w:ascii="Times New Roman" w:hAnsi="Times New Roman" w:cs="Times New Roman"/>
          <w:color w:val="FF0000"/>
          <w:sz w:val="24"/>
          <w:szCs w:val="24"/>
        </w:rPr>
      </w:pPr>
    </w:p>
    <w:p w:rsidR="00DB1513" w:rsidRDefault="00DB1513" w:rsidP="004454E9">
      <w:pPr>
        <w:jc w:val="both"/>
        <w:rPr>
          <w:rFonts w:ascii="Times New Roman" w:hAnsi="Times New Roman" w:cs="Times New Roman"/>
          <w:color w:val="FF0000"/>
          <w:sz w:val="24"/>
          <w:szCs w:val="24"/>
        </w:rPr>
      </w:pPr>
    </w:p>
    <w:p w:rsidR="00642EAC" w:rsidRDefault="00101782" w:rsidP="00C35DED">
      <w:pPr>
        <w:spacing w:before="100" w:beforeAutospacing="1" w:after="100" w:afterAutospacing="1" w:line="360" w:lineRule="auto"/>
        <w:rPr>
          <w:rFonts w:ascii="Times New Roman" w:hAnsi="Times New Roman" w:cs="Times New Roman"/>
          <w:sz w:val="24"/>
          <w:szCs w:val="24"/>
          <w:lang w:val="en-AU"/>
        </w:rPr>
      </w:pPr>
      <w:r>
        <w:rPr>
          <w:rFonts w:ascii="Arial" w:eastAsiaTheme="minorEastAsia" w:hAnsi="Arial" w:cs="Arial"/>
          <w:b/>
          <w:sz w:val="32"/>
          <w:szCs w:val="32"/>
          <w:lang w:val="en-AU" w:eastAsia="en-AU"/>
        </w:rPr>
        <w:t>What are the options?</w:t>
      </w:r>
    </w:p>
    <w:p w:rsidR="0091280A" w:rsidRPr="00677387" w:rsidRDefault="0091280A" w:rsidP="00327750">
      <w:pPr>
        <w:spacing w:before="100" w:beforeAutospacing="1" w:after="100" w:afterAutospacing="1"/>
        <w:jc w:val="both"/>
        <w:rPr>
          <w:rFonts w:ascii="Times New Roman" w:hAnsi="Times New Roman" w:cs="Times New Roman"/>
          <w:sz w:val="24"/>
          <w:szCs w:val="24"/>
          <w:lang w:val="en-AU"/>
        </w:rPr>
      </w:pPr>
      <w:r w:rsidRPr="00677387">
        <w:rPr>
          <w:rFonts w:ascii="Times New Roman" w:hAnsi="Times New Roman" w:cs="Times New Roman"/>
          <w:sz w:val="24"/>
          <w:szCs w:val="24"/>
          <w:lang w:val="en-AU"/>
        </w:rPr>
        <w:t>There are several alternative options available including:</w:t>
      </w:r>
    </w:p>
    <w:p w:rsidR="0091280A" w:rsidRPr="00677387" w:rsidRDefault="0091280A"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doing nothing and implementing no reforms to consumer data;</w:t>
      </w:r>
    </w:p>
    <w:p w:rsidR="004454E9" w:rsidRPr="00677387" w:rsidRDefault="002F42FE"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 xml:space="preserve">implementing the </w:t>
      </w:r>
      <w:r w:rsidR="008A3A53">
        <w:rPr>
          <w:rFonts w:ascii="Times New Roman" w:hAnsi="Times New Roman" w:cs="Times New Roman"/>
          <w:szCs w:val="24"/>
        </w:rPr>
        <w:t>CDR</w:t>
      </w:r>
      <w:r w:rsidRPr="00677387">
        <w:rPr>
          <w:rFonts w:ascii="Times New Roman" w:hAnsi="Times New Roman" w:cs="Times New Roman"/>
          <w:szCs w:val="24"/>
        </w:rPr>
        <w:t xml:space="preserve"> framework as drafted;</w:t>
      </w:r>
    </w:p>
    <w:p w:rsidR="002F42FE" w:rsidRPr="00677387" w:rsidRDefault="002F42FE"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reforming elements of the proposed framework;</w:t>
      </w:r>
    </w:p>
    <w:p w:rsidR="00526DC0" w:rsidRPr="000413C9" w:rsidRDefault="002F42FE" w:rsidP="000413C9">
      <w:pPr>
        <w:pStyle w:val="ListParagraph"/>
        <w:numPr>
          <w:ilvl w:val="0"/>
          <w:numId w:val="11"/>
        </w:numPr>
        <w:spacing w:line="276" w:lineRule="auto"/>
        <w:rPr>
          <w:rFonts w:ascii="Times New Roman" w:hAnsi="Times New Roman" w:cs="Times New Roman"/>
          <w:szCs w:val="24"/>
        </w:rPr>
      </w:pPr>
      <w:proofErr w:type="gramStart"/>
      <w:r w:rsidRPr="00677387">
        <w:rPr>
          <w:rFonts w:ascii="Times New Roman" w:hAnsi="Times New Roman" w:cs="Times New Roman"/>
          <w:szCs w:val="24"/>
        </w:rPr>
        <w:t>adopting</w:t>
      </w:r>
      <w:proofErr w:type="gramEnd"/>
      <w:r w:rsidRPr="00677387">
        <w:rPr>
          <w:rFonts w:ascii="Times New Roman" w:hAnsi="Times New Roman" w:cs="Times New Roman"/>
          <w:szCs w:val="24"/>
        </w:rPr>
        <w:t xml:space="preserve"> a comprehensive approach to the management of individuals</w:t>
      </w:r>
      <w:r w:rsidR="00DF2D9A">
        <w:rPr>
          <w:rFonts w:ascii="Times New Roman" w:hAnsi="Times New Roman" w:cs="Times New Roman"/>
          <w:szCs w:val="24"/>
        </w:rPr>
        <w:t>’</w:t>
      </w:r>
      <w:r w:rsidRPr="00677387">
        <w:rPr>
          <w:rFonts w:ascii="Times New Roman" w:hAnsi="Times New Roman" w:cs="Times New Roman"/>
          <w:szCs w:val="24"/>
        </w:rPr>
        <w:t xml:space="preserve"> data.</w:t>
      </w:r>
    </w:p>
    <w:p w:rsidR="002F42FE" w:rsidRPr="002F42FE" w:rsidRDefault="002F42FE" w:rsidP="002F42FE">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 xml:space="preserve">Maintain the status quo – do nothing </w:t>
      </w:r>
    </w:p>
    <w:p w:rsidR="00056795" w:rsidRPr="007D6A9F" w:rsidRDefault="00056795" w:rsidP="004454E9">
      <w:pPr>
        <w:jc w:val="both"/>
        <w:rPr>
          <w:rFonts w:ascii="Times New Roman" w:hAnsi="Times New Roman" w:cs="Times New Roman"/>
          <w:sz w:val="24"/>
          <w:szCs w:val="24"/>
        </w:rPr>
      </w:pPr>
      <w:r w:rsidRPr="007D6A9F">
        <w:rPr>
          <w:rFonts w:ascii="Times New Roman" w:hAnsi="Times New Roman" w:cs="Times New Roman"/>
          <w:sz w:val="24"/>
          <w:szCs w:val="24"/>
        </w:rPr>
        <w:t>One option in any first principles assessment of regulatory reform is to do nothing and leave regulatory settings in place</w:t>
      </w:r>
      <w:r w:rsidR="007D6A9F" w:rsidRPr="007D6A9F">
        <w:rPr>
          <w:rFonts w:ascii="Times New Roman" w:hAnsi="Times New Roman" w:cs="Times New Roman"/>
          <w:sz w:val="24"/>
          <w:szCs w:val="24"/>
        </w:rPr>
        <w:t xml:space="preserve"> </w:t>
      </w:r>
      <w:r w:rsidR="007D6A9F" w:rsidRPr="007D6A9F">
        <w:rPr>
          <w:rFonts w:ascii="Times New Roman" w:hAnsi="Times New Roman" w:cs="Times New Roman"/>
          <w:sz w:val="24"/>
        </w:rPr>
        <w:t>(DPMC 2014)</w:t>
      </w:r>
      <w:r w:rsidRPr="007D6A9F">
        <w:rPr>
          <w:rFonts w:ascii="Times New Roman" w:hAnsi="Times New Roman" w:cs="Times New Roman"/>
          <w:sz w:val="24"/>
          <w:szCs w:val="24"/>
        </w:rPr>
        <w:t>.</w:t>
      </w:r>
      <w:r w:rsidR="007D6A9F" w:rsidRPr="007D6A9F">
        <w:rPr>
          <w:rFonts w:ascii="Times New Roman" w:hAnsi="Times New Roman" w:cs="Times New Roman"/>
          <w:sz w:val="24"/>
          <w:szCs w:val="24"/>
        </w:rPr>
        <w:t xml:space="preserve"> </w:t>
      </w:r>
      <w:r w:rsidRPr="007D6A9F">
        <w:rPr>
          <w:rFonts w:ascii="Times New Roman" w:hAnsi="Times New Roman" w:cs="Times New Roman"/>
          <w:sz w:val="24"/>
          <w:szCs w:val="24"/>
        </w:rPr>
        <w:t xml:space="preserve">Often the hardest option for government, doing nothing may represent the best response where the costs associated with government intervention in any form are likely to exceed the benefits of government action. </w:t>
      </w:r>
    </w:p>
    <w:p w:rsidR="004454E9" w:rsidRPr="003464DD" w:rsidRDefault="004454E9" w:rsidP="004454E9">
      <w:pPr>
        <w:jc w:val="both"/>
        <w:rPr>
          <w:rFonts w:ascii="Times New Roman" w:hAnsi="Times New Roman" w:cs="Times New Roman"/>
          <w:color w:val="000000" w:themeColor="text1"/>
          <w:sz w:val="24"/>
          <w:szCs w:val="24"/>
        </w:rPr>
      </w:pPr>
      <w:r w:rsidRPr="003464DD">
        <w:rPr>
          <w:rFonts w:ascii="Times New Roman" w:hAnsi="Times New Roman" w:cs="Times New Roman"/>
          <w:color w:val="000000" w:themeColor="text1"/>
          <w:sz w:val="24"/>
          <w:szCs w:val="24"/>
        </w:rPr>
        <w:t>In some instances this may represent the best option given that costs are inherently entailed in changing existing regulatory settings and transitioning to a new form of regulation</w:t>
      </w:r>
      <w:r w:rsidR="00766A18" w:rsidRPr="003464DD">
        <w:rPr>
          <w:rFonts w:ascii="Times New Roman" w:hAnsi="Times New Roman" w:cs="Times New Roman"/>
          <w:color w:val="000000" w:themeColor="text1"/>
          <w:sz w:val="24"/>
          <w:szCs w:val="24"/>
        </w:rPr>
        <w:t xml:space="preserve"> </w:t>
      </w:r>
      <w:r w:rsidR="00766A18" w:rsidRPr="003464DD">
        <w:rPr>
          <w:rFonts w:ascii="Times New Roman" w:hAnsi="Times New Roman" w:cs="Times New Roman"/>
          <w:noProof/>
          <w:color w:val="000000" w:themeColor="text1"/>
          <w:sz w:val="24"/>
          <w:szCs w:val="24"/>
        </w:rPr>
        <w:t>(Marneffe &amp; Vereeck 2011)</w:t>
      </w:r>
      <w:r w:rsidRPr="003464DD">
        <w:rPr>
          <w:rFonts w:ascii="Times New Roman" w:hAnsi="Times New Roman" w:cs="Times New Roman"/>
          <w:color w:val="000000" w:themeColor="text1"/>
          <w:sz w:val="24"/>
          <w:szCs w:val="24"/>
        </w:rPr>
        <w:t>. As part of considering this option, it is important to examine the suitability of existing settings.</w:t>
      </w:r>
    </w:p>
    <w:p w:rsidR="0003141F" w:rsidRDefault="00056795" w:rsidP="00DC436F">
      <w:pPr>
        <w:jc w:val="both"/>
        <w:rPr>
          <w:rFonts w:ascii="Times New Roman" w:hAnsi="Times New Roman" w:cs="Times New Roman"/>
          <w:sz w:val="24"/>
          <w:szCs w:val="24"/>
        </w:rPr>
      </w:pPr>
      <w:r w:rsidRPr="00056795">
        <w:rPr>
          <w:rFonts w:ascii="Times New Roman" w:hAnsi="Times New Roman" w:cs="Times New Roman"/>
          <w:sz w:val="24"/>
          <w:szCs w:val="24"/>
        </w:rPr>
        <w:t xml:space="preserve">On the </w:t>
      </w:r>
      <w:r w:rsidR="00E400FD">
        <w:rPr>
          <w:rFonts w:ascii="Times New Roman" w:hAnsi="Times New Roman" w:cs="Times New Roman"/>
          <w:sz w:val="24"/>
          <w:szCs w:val="24"/>
        </w:rPr>
        <w:t>basis</w:t>
      </w:r>
      <w:r w:rsidRPr="00056795">
        <w:rPr>
          <w:rFonts w:ascii="Times New Roman" w:hAnsi="Times New Roman" w:cs="Times New Roman"/>
          <w:sz w:val="24"/>
          <w:szCs w:val="24"/>
        </w:rPr>
        <w:t xml:space="preserve"> of the market failures outlined above, it is clear that doing nothing is unlikely to be an appropriate option to address the significant </w:t>
      </w:r>
      <w:r w:rsidR="0045005F">
        <w:rPr>
          <w:rFonts w:ascii="Times New Roman" w:hAnsi="Times New Roman" w:cs="Times New Roman"/>
          <w:sz w:val="24"/>
          <w:szCs w:val="24"/>
        </w:rPr>
        <w:t>challenges</w:t>
      </w:r>
      <w:r w:rsidRPr="00056795">
        <w:rPr>
          <w:rFonts w:ascii="Times New Roman" w:hAnsi="Times New Roman" w:cs="Times New Roman"/>
          <w:sz w:val="24"/>
          <w:szCs w:val="24"/>
        </w:rPr>
        <w:t xml:space="preserve"> that exist within the </w:t>
      </w:r>
      <w:r w:rsidR="0045005F">
        <w:rPr>
          <w:rFonts w:ascii="Times New Roman" w:hAnsi="Times New Roman" w:cs="Times New Roman"/>
          <w:sz w:val="24"/>
          <w:szCs w:val="24"/>
        </w:rPr>
        <w:t>identified</w:t>
      </w:r>
      <w:r w:rsidRPr="00056795">
        <w:rPr>
          <w:rFonts w:ascii="Times New Roman" w:hAnsi="Times New Roman" w:cs="Times New Roman"/>
          <w:sz w:val="24"/>
          <w:szCs w:val="24"/>
        </w:rPr>
        <w:t xml:space="preserve"> markets. </w:t>
      </w:r>
      <w:r w:rsidR="007D6A9F">
        <w:rPr>
          <w:rFonts w:ascii="Times New Roman" w:hAnsi="Times New Roman" w:cs="Times New Roman"/>
          <w:sz w:val="24"/>
          <w:szCs w:val="24"/>
        </w:rPr>
        <w:t xml:space="preserve">In particular the emerging use of proxy information within markets is unlikely to be addressed by the maintenance of the status quo, where such information would remain entirely unregulated. </w:t>
      </w:r>
      <w:r>
        <w:rPr>
          <w:rFonts w:ascii="Times New Roman" w:hAnsi="Times New Roman" w:cs="Times New Roman"/>
          <w:sz w:val="24"/>
          <w:szCs w:val="24"/>
        </w:rPr>
        <w:t>However, this is not to say that the</w:t>
      </w:r>
      <w:r w:rsidR="007D6A9F">
        <w:rPr>
          <w:rFonts w:ascii="Times New Roman" w:hAnsi="Times New Roman" w:cs="Times New Roman"/>
          <w:sz w:val="24"/>
          <w:szCs w:val="24"/>
        </w:rPr>
        <w:t xml:space="preserve"> current proposal as drafted necessarily represents the best option.</w:t>
      </w:r>
    </w:p>
    <w:p w:rsidR="0015743E" w:rsidRDefault="0015743E" w:rsidP="00DC436F">
      <w:pPr>
        <w:jc w:val="both"/>
        <w:rPr>
          <w:rFonts w:ascii="Times New Roman" w:hAnsi="Times New Roman" w:cs="Times New Roman"/>
          <w:sz w:val="24"/>
          <w:szCs w:val="24"/>
        </w:rPr>
      </w:pPr>
    </w:p>
    <w:p w:rsidR="0015743E" w:rsidRDefault="0015743E" w:rsidP="00DC436F">
      <w:pPr>
        <w:jc w:val="both"/>
        <w:rPr>
          <w:rFonts w:ascii="Times New Roman" w:hAnsi="Times New Roman" w:cs="Times New Roman"/>
          <w:sz w:val="24"/>
          <w:szCs w:val="24"/>
        </w:rPr>
      </w:pPr>
    </w:p>
    <w:p w:rsidR="0015743E" w:rsidRPr="00451699" w:rsidRDefault="0015743E" w:rsidP="00DC436F">
      <w:pPr>
        <w:jc w:val="both"/>
        <w:rPr>
          <w:rFonts w:ascii="Times New Roman" w:hAnsi="Times New Roman" w:cs="Times New Roman"/>
          <w:sz w:val="24"/>
          <w:szCs w:val="24"/>
        </w:rPr>
      </w:pPr>
    </w:p>
    <w:p w:rsidR="002F42FE" w:rsidRDefault="007D6A9F" w:rsidP="006C23E7">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Adopting the consumer data right framework as drafted</w:t>
      </w:r>
    </w:p>
    <w:p w:rsidR="006C23E7" w:rsidRPr="008F69A1" w:rsidRDefault="00831EE3" w:rsidP="000658C0">
      <w:pPr>
        <w:jc w:val="both"/>
        <w:rPr>
          <w:rFonts w:ascii="Times New Roman" w:eastAsia="Arial Unicode MS" w:hAnsi="Times New Roman" w:cs="Times New Roman"/>
          <w:color w:val="000000" w:themeColor="text1"/>
          <w:sz w:val="24"/>
          <w:szCs w:val="24"/>
          <w:lang w:val="en-IE" w:eastAsia="en-AU" w:bidi="hi-IN"/>
        </w:rPr>
      </w:pPr>
      <w:r w:rsidRPr="008F69A1">
        <w:rPr>
          <w:rFonts w:ascii="Times New Roman" w:eastAsia="Arial Unicode MS" w:hAnsi="Times New Roman" w:cs="Times New Roman"/>
          <w:color w:val="000000" w:themeColor="text1"/>
          <w:sz w:val="24"/>
          <w:szCs w:val="24"/>
          <w:lang w:val="en-IE" w:eastAsia="en-AU" w:bidi="hi-IN"/>
        </w:rPr>
        <w:t xml:space="preserve">This option would entail adopting the framework as currently drafted. </w:t>
      </w:r>
      <w:r w:rsidR="007D1B98" w:rsidRPr="008F69A1">
        <w:rPr>
          <w:rFonts w:ascii="Times New Roman" w:eastAsia="Arial Unicode MS" w:hAnsi="Times New Roman" w:cs="Times New Roman"/>
          <w:color w:val="000000" w:themeColor="text1"/>
          <w:sz w:val="24"/>
          <w:szCs w:val="24"/>
          <w:lang w:val="en-IE" w:eastAsia="en-AU" w:bidi="hi-IN"/>
        </w:rPr>
        <w:t xml:space="preserve">ACCAN has concerns </w:t>
      </w:r>
      <w:r w:rsidR="004502CA" w:rsidRPr="008F69A1">
        <w:rPr>
          <w:rFonts w:ascii="Times New Roman" w:eastAsia="Arial Unicode MS" w:hAnsi="Times New Roman" w:cs="Times New Roman"/>
          <w:color w:val="000000" w:themeColor="text1"/>
          <w:sz w:val="24"/>
          <w:szCs w:val="24"/>
          <w:lang w:val="en-IE" w:eastAsia="en-AU" w:bidi="hi-IN"/>
        </w:rPr>
        <w:t>that this</w:t>
      </w:r>
      <w:r w:rsidR="007D1B98" w:rsidRPr="008F69A1">
        <w:rPr>
          <w:rFonts w:ascii="Times New Roman" w:eastAsia="Arial Unicode MS" w:hAnsi="Times New Roman" w:cs="Times New Roman"/>
          <w:color w:val="000000" w:themeColor="text1"/>
          <w:sz w:val="24"/>
          <w:szCs w:val="24"/>
          <w:lang w:val="en-IE" w:eastAsia="en-AU" w:bidi="hi-IN"/>
        </w:rPr>
        <w:t xml:space="preserve"> would not adequately address issues of consent, privacy and the potential for data to be used for anti-competitive purposes. </w:t>
      </w:r>
    </w:p>
    <w:p w:rsidR="001547AF" w:rsidRDefault="0019149E" w:rsidP="000658C0">
      <w:pPr>
        <w:jc w:val="both"/>
        <w:rPr>
          <w:rFonts w:ascii="Times New Roman" w:hAnsi="Times New Roman" w:cs="Times New Roman"/>
          <w:color w:val="000000" w:themeColor="text1"/>
          <w:sz w:val="24"/>
          <w:szCs w:val="24"/>
        </w:rPr>
      </w:pPr>
      <w:r w:rsidRPr="008F69A1">
        <w:rPr>
          <w:rFonts w:ascii="Times New Roman" w:hAnsi="Times New Roman" w:cs="Times New Roman"/>
          <w:color w:val="000000" w:themeColor="text1"/>
          <w:sz w:val="24"/>
          <w:szCs w:val="24"/>
        </w:rPr>
        <w:t xml:space="preserve">On the basis of available evidence, it is not clear that the proposal as drafted would provide sufficient protections for consumers, such that they could have confidence and trust in the CDR system. </w:t>
      </w:r>
      <w:r w:rsidR="00CB67A0" w:rsidRPr="008F69A1">
        <w:rPr>
          <w:rFonts w:ascii="Times New Roman" w:hAnsi="Times New Roman" w:cs="Times New Roman"/>
          <w:color w:val="000000" w:themeColor="text1"/>
          <w:sz w:val="24"/>
          <w:szCs w:val="24"/>
        </w:rPr>
        <w:t>If co</w:t>
      </w:r>
      <w:r w:rsidR="00742CF5" w:rsidRPr="008F69A1">
        <w:rPr>
          <w:rFonts w:ascii="Times New Roman" w:hAnsi="Times New Roman" w:cs="Times New Roman"/>
          <w:color w:val="000000" w:themeColor="text1"/>
          <w:sz w:val="24"/>
          <w:szCs w:val="24"/>
        </w:rPr>
        <w:t xml:space="preserve">nsumers lack confidence in the framework, uptake is likely to be low, and as a </w:t>
      </w:r>
      <w:r w:rsidRPr="008F69A1">
        <w:rPr>
          <w:rFonts w:ascii="Times New Roman" w:hAnsi="Times New Roman" w:cs="Times New Roman"/>
          <w:color w:val="000000" w:themeColor="text1"/>
          <w:sz w:val="24"/>
          <w:szCs w:val="24"/>
        </w:rPr>
        <w:t xml:space="preserve">consequence, the </w:t>
      </w:r>
      <w:r w:rsidR="001547AF" w:rsidRPr="008F69A1">
        <w:rPr>
          <w:rFonts w:ascii="Times New Roman" w:hAnsi="Times New Roman" w:cs="Times New Roman"/>
          <w:color w:val="000000" w:themeColor="text1"/>
          <w:sz w:val="24"/>
          <w:szCs w:val="24"/>
        </w:rPr>
        <w:t xml:space="preserve">estimated </w:t>
      </w:r>
      <w:r w:rsidRPr="008F69A1">
        <w:rPr>
          <w:rFonts w:ascii="Times New Roman" w:hAnsi="Times New Roman" w:cs="Times New Roman"/>
          <w:color w:val="000000" w:themeColor="text1"/>
          <w:sz w:val="24"/>
          <w:szCs w:val="24"/>
        </w:rPr>
        <w:t xml:space="preserve">benefits associated with the framework may </w:t>
      </w:r>
      <w:r w:rsidR="001547AF" w:rsidRPr="008F69A1">
        <w:rPr>
          <w:rFonts w:ascii="Times New Roman" w:hAnsi="Times New Roman" w:cs="Times New Roman"/>
          <w:color w:val="000000" w:themeColor="text1"/>
          <w:sz w:val="24"/>
          <w:szCs w:val="24"/>
        </w:rPr>
        <w:t xml:space="preserve">not meet </w:t>
      </w:r>
      <w:r w:rsidR="00121F80" w:rsidRPr="008F69A1">
        <w:rPr>
          <w:rFonts w:ascii="Times New Roman" w:hAnsi="Times New Roman" w:cs="Times New Roman"/>
          <w:color w:val="000000" w:themeColor="text1"/>
          <w:sz w:val="24"/>
          <w:szCs w:val="24"/>
        </w:rPr>
        <w:t>expectations or</w:t>
      </w:r>
      <w:r w:rsidR="00742CF5" w:rsidRPr="008F69A1">
        <w:rPr>
          <w:rFonts w:ascii="Times New Roman" w:hAnsi="Times New Roman" w:cs="Times New Roman"/>
          <w:color w:val="000000" w:themeColor="text1"/>
          <w:sz w:val="24"/>
          <w:szCs w:val="24"/>
        </w:rPr>
        <w:t xml:space="preserve"> be sustained. </w:t>
      </w:r>
    </w:p>
    <w:p w:rsidR="00526DC0" w:rsidRPr="008F69A1" w:rsidRDefault="00E46BFD" w:rsidP="000658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submits that as drafted, the legislation is unlikely to pass a cost benefit test. </w:t>
      </w:r>
      <w:r w:rsidR="005D05BE">
        <w:rPr>
          <w:rFonts w:ascii="Times New Roman" w:hAnsi="Times New Roman" w:cs="Times New Roman"/>
          <w:color w:val="000000" w:themeColor="text1"/>
          <w:sz w:val="24"/>
          <w:szCs w:val="24"/>
        </w:rPr>
        <w:t xml:space="preserve"> Identifiable costs are</w:t>
      </w:r>
      <w:r w:rsidR="00451699">
        <w:rPr>
          <w:rFonts w:ascii="Times New Roman" w:hAnsi="Times New Roman" w:cs="Times New Roman"/>
          <w:color w:val="000000" w:themeColor="text1"/>
          <w:sz w:val="24"/>
          <w:szCs w:val="24"/>
        </w:rPr>
        <w:t xml:space="preserve"> the drafting of the legislation and significant ongoing regulatory costs, risks to consumer privacy and potential for anti-competitive </w:t>
      </w:r>
      <w:proofErr w:type="spellStart"/>
      <w:r w:rsidR="00451699">
        <w:rPr>
          <w:rFonts w:ascii="Times New Roman" w:hAnsi="Times New Roman" w:cs="Times New Roman"/>
          <w:color w:val="000000" w:themeColor="text1"/>
          <w:sz w:val="24"/>
          <w:szCs w:val="24"/>
        </w:rPr>
        <w:t>behavio</w:t>
      </w:r>
      <w:r w:rsidR="005D05BE">
        <w:rPr>
          <w:rFonts w:ascii="Times New Roman" w:hAnsi="Times New Roman" w:cs="Times New Roman"/>
          <w:color w:val="000000" w:themeColor="text1"/>
          <w:sz w:val="24"/>
          <w:szCs w:val="24"/>
        </w:rPr>
        <w:t>u</w:t>
      </w:r>
      <w:r w:rsidR="00451699">
        <w:rPr>
          <w:rFonts w:ascii="Times New Roman" w:hAnsi="Times New Roman" w:cs="Times New Roman"/>
          <w:color w:val="000000" w:themeColor="text1"/>
          <w:sz w:val="24"/>
          <w:szCs w:val="24"/>
        </w:rPr>
        <w:t>r</w:t>
      </w:r>
      <w:proofErr w:type="spellEnd"/>
      <w:r w:rsidR="005D05BE">
        <w:rPr>
          <w:rFonts w:ascii="Times New Roman" w:hAnsi="Times New Roman" w:cs="Times New Roman"/>
          <w:color w:val="000000" w:themeColor="text1"/>
          <w:sz w:val="24"/>
          <w:szCs w:val="24"/>
        </w:rPr>
        <w:t>.</w:t>
      </w:r>
      <w:r w:rsidR="00451699">
        <w:rPr>
          <w:rFonts w:ascii="Times New Roman" w:hAnsi="Times New Roman" w:cs="Times New Roman"/>
          <w:color w:val="000000" w:themeColor="text1"/>
          <w:sz w:val="24"/>
          <w:szCs w:val="24"/>
        </w:rPr>
        <w:t xml:space="preserve"> Although </w:t>
      </w:r>
      <w:r w:rsidR="00526DC0">
        <w:rPr>
          <w:rFonts w:ascii="Times New Roman" w:hAnsi="Times New Roman" w:cs="Times New Roman"/>
          <w:color w:val="000000" w:themeColor="text1"/>
          <w:sz w:val="24"/>
          <w:szCs w:val="24"/>
        </w:rPr>
        <w:t xml:space="preserve">the CDR will </w:t>
      </w:r>
      <w:r w:rsidR="00FE456E">
        <w:rPr>
          <w:rFonts w:ascii="Times New Roman" w:hAnsi="Times New Roman" w:cs="Times New Roman"/>
          <w:color w:val="000000" w:themeColor="text1"/>
          <w:sz w:val="24"/>
          <w:szCs w:val="24"/>
        </w:rPr>
        <w:t>provide</w:t>
      </w:r>
      <w:r w:rsidR="00526DC0">
        <w:rPr>
          <w:rFonts w:ascii="Times New Roman" w:hAnsi="Times New Roman" w:cs="Times New Roman"/>
          <w:color w:val="000000" w:themeColor="text1"/>
          <w:sz w:val="24"/>
          <w:szCs w:val="24"/>
        </w:rPr>
        <w:t xml:space="preserve"> net benefits insofar </w:t>
      </w:r>
      <w:r w:rsidR="00454507">
        <w:rPr>
          <w:rFonts w:ascii="Times New Roman" w:hAnsi="Times New Roman" w:cs="Times New Roman"/>
          <w:color w:val="000000" w:themeColor="text1"/>
          <w:sz w:val="24"/>
          <w:szCs w:val="24"/>
        </w:rPr>
        <w:t>as it</w:t>
      </w:r>
      <w:r w:rsidR="00526DC0">
        <w:rPr>
          <w:rFonts w:ascii="Times New Roman" w:hAnsi="Times New Roman" w:cs="Times New Roman"/>
          <w:color w:val="000000" w:themeColor="text1"/>
          <w:sz w:val="24"/>
          <w:szCs w:val="24"/>
        </w:rPr>
        <w:t xml:space="preserve"> reduces the transaction costs associated with switching, the sharing of consumer data </w:t>
      </w:r>
      <w:r w:rsidR="008F601D">
        <w:rPr>
          <w:rFonts w:ascii="Times New Roman" w:hAnsi="Times New Roman" w:cs="Times New Roman"/>
          <w:color w:val="000000" w:themeColor="text1"/>
          <w:sz w:val="24"/>
          <w:szCs w:val="24"/>
        </w:rPr>
        <w:t>will not</w:t>
      </w:r>
      <w:r w:rsidR="00526DC0">
        <w:rPr>
          <w:rFonts w:ascii="Times New Roman" w:hAnsi="Times New Roman" w:cs="Times New Roman"/>
          <w:color w:val="000000" w:themeColor="text1"/>
          <w:sz w:val="24"/>
          <w:szCs w:val="24"/>
        </w:rPr>
        <w:t xml:space="preserve"> sufficient</w:t>
      </w:r>
      <w:r w:rsidR="005D05BE">
        <w:rPr>
          <w:rFonts w:ascii="Times New Roman" w:hAnsi="Times New Roman" w:cs="Times New Roman"/>
          <w:color w:val="000000" w:themeColor="text1"/>
          <w:sz w:val="24"/>
          <w:szCs w:val="24"/>
        </w:rPr>
        <w:t>ly</w:t>
      </w:r>
      <w:r w:rsidR="00526DC0">
        <w:rPr>
          <w:rFonts w:ascii="Times New Roman" w:hAnsi="Times New Roman" w:cs="Times New Roman"/>
          <w:color w:val="000000" w:themeColor="text1"/>
          <w:sz w:val="24"/>
          <w:szCs w:val="24"/>
        </w:rPr>
        <w:t xml:space="preserve"> rectify information asymmetries present across the identified sectors. As a consequence, much of the purported </w:t>
      </w:r>
      <w:r w:rsidR="00A60CD9">
        <w:rPr>
          <w:rFonts w:ascii="Times New Roman" w:hAnsi="Times New Roman" w:cs="Times New Roman"/>
          <w:color w:val="000000" w:themeColor="text1"/>
          <w:sz w:val="24"/>
          <w:szCs w:val="24"/>
        </w:rPr>
        <w:t>benefits</w:t>
      </w:r>
      <w:r w:rsidR="00526DC0">
        <w:rPr>
          <w:rFonts w:ascii="Times New Roman" w:hAnsi="Times New Roman" w:cs="Times New Roman"/>
          <w:color w:val="000000" w:themeColor="text1"/>
          <w:sz w:val="24"/>
          <w:szCs w:val="24"/>
        </w:rPr>
        <w:t xml:space="preserve"> may not be realized as the reduction in transaction costs will be marginal against the costs of implementation and existing alternatives available to consumers. Accordingly given the risks of anti-competitive </w:t>
      </w:r>
      <w:proofErr w:type="spellStart"/>
      <w:r w:rsidR="00526DC0">
        <w:rPr>
          <w:rFonts w:ascii="Times New Roman" w:hAnsi="Times New Roman" w:cs="Times New Roman"/>
          <w:color w:val="000000" w:themeColor="text1"/>
          <w:sz w:val="24"/>
          <w:szCs w:val="24"/>
        </w:rPr>
        <w:t>behavio</w:t>
      </w:r>
      <w:r w:rsidR="00734E67">
        <w:rPr>
          <w:rFonts w:ascii="Times New Roman" w:hAnsi="Times New Roman" w:cs="Times New Roman"/>
          <w:color w:val="000000" w:themeColor="text1"/>
          <w:sz w:val="24"/>
          <w:szCs w:val="24"/>
        </w:rPr>
        <w:t>u</w:t>
      </w:r>
      <w:r w:rsidR="00526DC0">
        <w:rPr>
          <w:rFonts w:ascii="Times New Roman" w:hAnsi="Times New Roman" w:cs="Times New Roman"/>
          <w:color w:val="000000" w:themeColor="text1"/>
          <w:sz w:val="24"/>
          <w:szCs w:val="24"/>
        </w:rPr>
        <w:t>r</w:t>
      </w:r>
      <w:proofErr w:type="spellEnd"/>
      <w:r w:rsidR="00526DC0">
        <w:rPr>
          <w:rFonts w:ascii="Times New Roman" w:hAnsi="Times New Roman" w:cs="Times New Roman"/>
          <w:color w:val="000000" w:themeColor="text1"/>
          <w:sz w:val="24"/>
          <w:szCs w:val="24"/>
        </w:rPr>
        <w:t>, the framework is unlikely to pass a rigorous cost-benefit analysis.</w:t>
      </w:r>
    </w:p>
    <w:p w:rsidR="007D6A9F" w:rsidRPr="002F42FE" w:rsidRDefault="007D6A9F" w:rsidP="007D6A9F">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An enhanced consumer data right framework</w:t>
      </w:r>
    </w:p>
    <w:p w:rsidR="00FC2163" w:rsidRPr="00B96C46" w:rsidRDefault="00FC2163" w:rsidP="004454E9">
      <w:pPr>
        <w:jc w:val="both"/>
        <w:rPr>
          <w:rFonts w:ascii="Times New Roman" w:hAnsi="Times New Roman" w:cs="Times New Roman"/>
          <w:color w:val="000000" w:themeColor="text1"/>
          <w:sz w:val="24"/>
          <w:szCs w:val="24"/>
        </w:rPr>
      </w:pPr>
      <w:r w:rsidRPr="00B96C46">
        <w:rPr>
          <w:rFonts w:ascii="Times New Roman" w:hAnsi="Times New Roman" w:cs="Times New Roman"/>
          <w:color w:val="000000" w:themeColor="text1"/>
          <w:sz w:val="24"/>
          <w:szCs w:val="24"/>
        </w:rPr>
        <w:t>The third option would be to refine the proposed framework to provide explicit protections for consumers’ data. An enhanced framework would include elements such as:</w:t>
      </w:r>
    </w:p>
    <w:p w:rsidR="00FC2163" w:rsidRPr="00B96C46" w:rsidRDefault="00964D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greater privacy protections;</w:t>
      </w:r>
    </w:p>
    <w:p w:rsidR="00FE17A9" w:rsidRPr="00F930AF" w:rsidRDefault="00964D63" w:rsidP="00F930AF">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strict requirements for consent;</w:t>
      </w: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 xml:space="preserve">rights for </w:t>
      </w:r>
      <w:r w:rsidR="00327750" w:rsidRPr="00B96C46">
        <w:rPr>
          <w:rFonts w:ascii="Times New Roman" w:hAnsi="Times New Roman" w:cs="Times New Roman"/>
          <w:color w:val="000000" w:themeColor="text1"/>
          <w:szCs w:val="24"/>
        </w:rPr>
        <w:t>consumers</w:t>
      </w:r>
      <w:r w:rsidRPr="00B96C46">
        <w:rPr>
          <w:rFonts w:ascii="Times New Roman" w:hAnsi="Times New Roman" w:cs="Times New Roman"/>
          <w:color w:val="000000" w:themeColor="text1"/>
          <w:szCs w:val="24"/>
        </w:rPr>
        <w:t xml:space="preserve"> to request the deletion of their data</w:t>
      </w:r>
      <w:r w:rsidR="00DF4880">
        <w:rPr>
          <w:rFonts w:ascii="Times New Roman" w:hAnsi="Times New Roman" w:cs="Times New Roman"/>
          <w:color w:val="000000" w:themeColor="text1"/>
          <w:szCs w:val="24"/>
        </w:rPr>
        <w:t>;</w:t>
      </w:r>
      <w:r w:rsidRPr="00B96C46">
        <w:rPr>
          <w:rFonts w:ascii="Times New Roman" w:hAnsi="Times New Roman" w:cs="Times New Roman"/>
          <w:color w:val="000000" w:themeColor="text1"/>
          <w:szCs w:val="24"/>
        </w:rPr>
        <w:t xml:space="preserve"> </w:t>
      </w: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 xml:space="preserve">constraints on the use of CDR data within the accreditation framework and outside the </w:t>
      </w:r>
      <w:r w:rsidR="00327750" w:rsidRPr="00B96C46">
        <w:rPr>
          <w:rFonts w:ascii="Times New Roman" w:hAnsi="Times New Roman" w:cs="Times New Roman"/>
          <w:color w:val="000000" w:themeColor="text1"/>
          <w:szCs w:val="24"/>
        </w:rPr>
        <w:t>accreditation</w:t>
      </w:r>
      <w:r w:rsidR="00964D63" w:rsidRPr="00B96C46">
        <w:rPr>
          <w:rFonts w:ascii="Times New Roman" w:hAnsi="Times New Roman" w:cs="Times New Roman"/>
          <w:color w:val="000000" w:themeColor="text1"/>
          <w:szCs w:val="24"/>
        </w:rPr>
        <w:t xml:space="preserve"> framework;</w:t>
      </w: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sanctions for use of data outsi</w:t>
      </w:r>
      <w:r w:rsidR="00DF4880">
        <w:rPr>
          <w:rFonts w:ascii="Times New Roman" w:hAnsi="Times New Roman" w:cs="Times New Roman"/>
          <w:color w:val="000000" w:themeColor="text1"/>
          <w:szCs w:val="24"/>
        </w:rPr>
        <w:t>de the accredited system for inappropriate</w:t>
      </w:r>
      <w:r w:rsidRPr="00B96C46">
        <w:rPr>
          <w:rFonts w:ascii="Times New Roman" w:hAnsi="Times New Roman" w:cs="Times New Roman"/>
          <w:color w:val="000000" w:themeColor="text1"/>
          <w:szCs w:val="24"/>
        </w:rPr>
        <w:t xml:space="preserve"> </w:t>
      </w:r>
      <w:r w:rsidR="00964D63" w:rsidRPr="00B96C46">
        <w:rPr>
          <w:rFonts w:ascii="Times New Roman" w:hAnsi="Times New Roman" w:cs="Times New Roman"/>
          <w:color w:val="000000" w:themeColor="text1"/>
          <w:szCs w:val="24"/>
        </w:rPr>
        <w:t>purpose</w:t>
      </w:r>
      <w:r w:rsidR="00DF4880">
        <w:rPr>
          <w:rFonts w:ascii="Times New Roman" w:hAnsi="Times New Roman" w:cs="Times New Roman"/>
          <w:color w:val="000000" w:themeColor="text1"/>
          <w:szCs w:val="24"/>
        </w:rPr>
        <w:t>s</w:t>
      </w:r>
      <w:r w:rsidR="00964D63" w:rsidRPr="00B96C46">
        <w:rPr>
          <w:rFonts w:ascii="Times New Roman" w:hAnsi="Times New Roman" w:cs="Times New Roman"/>
          <w:color w:val="000000" w:themeColor="text1"/>
          <w:szCs w:val="24"/>
        </w:rPr>
        <w:t>;</w:t>
      </w:r>
    </w:p>
    <w:p w:rsidR="00FC2163"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increased powers for the A</w:t>
      </w:r>
      <w:r w:rsidR="00964D63" w:rsidRPr="00B96C46">
        <w:rPr>
          <w:rFonts w:ascii="Times New Roman" w:hAnsi="Times New Roman" w:cs="Times New Roman"/>
          <w:color w:val="000000" w:themeColor="text1"/>
          <w:szCs w:val="24"/>
        </w:rPr>
        <w:t>CCC to monitor market behaviour;</w:t>
      </w:r>
    </w:p>
    <w:p w:rsidR="00097123" w:rsidRPr="00B96C46" w:rsidRDefault="00097123" w:rsidP="00116291">
      <w:pPr>
        <w:pStyle w:val="ListParagraph"/>
        <w:numPr>
          <w:ilvl w:val="0"/>
          <w:numId w:val="12"/>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exceptional penalties for seeking to use or using CDR data for re-identification of individuals;</w:t>
      </w:r>
    </w:p>
    <w:p w:rsidR="00CC79EF"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proofErr w:type="gramStart"/>
      <w:r w:rsidRPr="00B96C46">
        <w:rPr>
          <w:rFonts w:ascii="Times New Roman" w:hAnsi="Times New Roman" w:cs="Times New Roman"/>
          <w:color w:val="000000" w:themeColor="text1"/>
          <w:szCs w:val="24"/>
        </w:rPr>
        <w:t>exceptional</w:t>
      </w:r>
      <w:proofErr w:type="gramEnd"/>
      <w:r w:rsidRPr="00B96C46">
        <w:rPr>
          <w:rFonts w:ascii="Times New Roman" w:hAnsi="Times New Roman" w:cs="Times New Roman"/>
          <w:color w:val="000000" w:themeColor="text1"/>
          <w:szCs w:val="24"/>
        </w:rPr>
        <w:t xml:space="preserve"> penalties including deregistration of entities that attempt to or use consumer data right information for the purposes of price fixing or cartel formation.</w:t>
      </w:r>
    </w:p>
    <w:p w:rsidR="00712139" w:rsidRDefault="009B0813" w:rsidP="00370F61">
      <w:pPr>
        <w:jc w:val="both"/>
        <w:rPr>
          <w:rFonts w:ascii="Times New Roman" w:hAnsi="Times New Roman" w:cs="Times New Roman"/>
          <w:color w:val="000000" w:themeColor="text1"/>
          <w:sz w:val="24"/>
          <w:szCs w:val="24"/>
        </w:rPr>
      </w:pPr>
      <w:r w:rsidRPr="00974DE3">
        <w:rPr>
          <w:rFonts w:ascii="Times New Roman" w:hAnsi="Times New Roman" w:cs="Times New Roman"/>
          <w:color w:val="000000" w:themeColor="text1"/>
          <w:sz w:val="24"/>
          <w:szCs w:val="24"/>
        </w:rPr>
        <w:t>ACCAN considers that refinements of the existing</w:t>
      </w:r>
      <w:r w:rsidR="002624D9" w:rsidRPr="00974DE3">
        <w:rPr>
          <w:rFonts w:ascii="Times New Roman" w:hAnsi="Times New Roman" w:cs="Times New Roman"/>
          <w:color w:val="000000" w:themeColor="text1"/>
          <w:sz w:val="24"/>
          <w:szCs w:val="24"/>
        </w:rPr>
        <w:t xml:space="preserve"> draft legislation are necessary to ensure that the predicted benefits of the framework are achieved, and that consumers have appropriate protections and incentives to engage with the CDR. </w:t>
      </w:r>
      <w:r w:rsidR="00DF4880">
        <w:rPr>
          <w:rFonts w:ascii="Times New Roman" w:hAnsi="Times New Roman" w:cs="Times New Roman"/>
          <w:color w:val="000000" w:themeColor="text1"/>
          <w:sz w:val="24"/>
          <w:szCs w:val="24"/>
        </w:rPr>
        <w:t xml:space="preserve">Should the revisions set out above be adequately implemented into the final CDR framework, it is likely that the CDR would result in net benefits for consumers. </w:t>
      </w:r>
    </w:p>
    <w:p w:rsidR="00C35DED" w:rsidRPr="00370F61" w:rsidRDefault="00370F61" w:rsidP="00370F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absence of these reforms the risk of material detriment to consumers is in excess of the potential benefits. </w:t>
      </w:r>
      <w:r w:rsidR="00A602C9">
        <w:rPr>
          <w:rFonts w:ascii="Times New Roman" w:hAnsi="Times New Roman" w:cs="Times New Roman"/>
          <w:color w:val="000000" w:themeColor="text1"/>
          <w:sz w:val="24"/>
          <w:szCs w:val="24"/>
        </w:rPr>
        <w:t xml:space="preserve">In addition, there is a </w:t>
      </w:r>
      <w:r w:rsidR="00F9742B">
        <w:rPr>
          <w:rFonts w:ascii="Times New Roman" w:hAnsi="Times New Roman" w:cs="Times New Roman"/>
          <w:color w:val="000000" w:themeColor="text1"/>
          <w:sz w:val="24"/>
          <w:szCs w:val="24"/>
        </w:rPr>
        <w:t>risk of firms seeking to use CDR data to inform price discrimination strategies and set prices at consumers’ maximum willingness to pay</w:t>
      </w:r>
      <w:r w:rsidR="00734E67">
        <w:rPr>
          <w:rFonts w:ascii="Times New Roman" w:hAnsi="Times New Roman" w:cs="Times New Roman"/>
          <w:color w:val="000000" w:themeColor="text1"/>
          <w:sz w:val="24"/>
          <w:szCs w:val="24"/>
        </w:rPr>
        <w:t>. H</w:t>
      </w:r>
      <w:r w:rsidR="00F9742B">
        <w:rPr>
          <w:rFonts w:ascii="Times New Roman" w:hAnsi="Times New Roman" w:cs="Times New Roman"/>
          <w:color w:val="000000" w:themeColor="text1"/>
          <w:sz w:val="24"/>
          <w:szCs w:val="24"/>
        </w:rPr>
        <w:t>ow this affects vulnerable consumers</w:t>
      </w:r>
      <w:r w:rsidR="00734E67">
        <w:rPr>
          <w:rFonts w:ascii="Times New Roman" w:hAnsi="Times New Roman" w:cs="Times New Roman"/>
          <w:color w:val="000000" w:themeColor="text1"/>
          <w:sz w:val="24"/>
          <w:szCs w:val="24"/>
        </w:rPr>
        <w:t>,</w:t>
      </w:r>
      <w:r w:rsidR="00F9742B">
        <w:rPr>
          <w:rFonts w:ascii="Times New Roman" w:hAnsi="Times New Roman" w:cs="Times New Roman"/>
          <w:color w:val="000000" w:themeColor="text1"/>
          <w:sz w:val="24"/>
          <w:szCs w:val="24"/>
        </w:rPr>
        <w:t xml:space="preserve"> including the elderly and </w:t>
      </w:r>
      <w:r w:rsidR="00AF7362">
        <w:rPr>
          <w:rFonts w:ascii="Times New Roman" w:hAnsi="Times New Roman" w:cs="Times New Roman"/>
          <w:color w:val="000000" w:themeColor="text1"/>
          <w:sz w:val="24"/>
          <w:szCs w:val="24"/>
        </w:rPr>
        <w:t>low-income</w:t>
      </w:r>
      <w:r w:rsidR="00F9742B">
        <w:rPr>
          <w:rFonts w:ascii="Times New Roman" w:hAnsi="Times New Roman" w:cs="Times New Roman"/>
          <w:color w:val="000000" w:themeColor="text1"/>
          <w:sz w:val="24"/>
          <w:szCs w:val="24"/>
        </w:rPr>
        <w:t xml:space="preserve"> groups</w:t>
      </w:r>
      <w:r w:rsidR="00734E67">
        <w:rPr>
          <w:rFonts w:ascii="Times New Roman" w:hAnsi="Times New Roman" w:cs="Times New Roman"/>
          <w:color w:val="000000" w:themeColor="text1"/>
          <w:sz w:val="24"/>
          <w:szCs w:val="24"/>
        </w:rPr>
        <w:t>,</w:t>
      </w:r>
      <w:r w:rsidR="00F9742B">
        <w:rPr>
          <w:rFonts w:ascii="Times New Roman" w:hAnsi="Times New Roman" w:cs="Times New Roman"/>
          <w:color w:val="000000" w:themeColor="text1"/>
          <w:sz w:val="24"/>
          <w:szCs w:val="24"/>
        </w:rPr>
        <w:t xml:space="preserve"> is of particular concern to ACCAN. </w:t>
      </w:r>
    </w:p>
    <w:p w:rsidR="007D6A9F" w:rsidRPr="007D6A9F" w:rsidRDefault="007D6A9F" w:rsidP="00101782">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A comprehensive information regulation framework</w:t>
      </w:r>
    </w:p>
    <w:p w:rsidR="007663D5" w:rsidRPr="00642AA2" w:rsidRDefault="007663D5" w:rsidP="007663D5">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642AA2">
        <w:rPr>
          <w:rFonts w:ascii="Times New Roman" w:eastAsiaTheme="minorEastAsia" w:hAnsi="Times New Roman" w:cs="Times New Roman"/>
          <w:color w:val="000000" w:themeColor="text1"/>
          <w:sz w:val="24"/>
          <w:szCs w:val="24"/>
          <w:lang w:val="en-AU" w:eastAsia="en-AU"/>
        </w:rPr>
        <w:t xml:space="preserve">A comprehensive information regulation framework would entail the creation of economy wide </w:t>
      </w:r>
      <w:r w:rsidR="00642AA2" w:rsidRPr="00642AA2">
        <w:rPr>
          <w:rFonts w:ascii="Times New Roman" w:eastAsiaTheme="minorEastAsia" w:hAnsi="Times New Roman" w:cs="Times New Roman"/>
          <w:color w:val="000000" w:themeColor="text1"/>
          <w:sz w:val="24"/>
          <w:szCs w:val="24"/>
          <w:lang w:val="en-AU" w:eastAsia="en-AU"/>
        </w:rPr>
        <w:t>principle-based</w:t>
      </w:r>
      <w:r w:rsidRPr="00642AA2">
        <w:rPr>
          <w:rFonts w:ascii="Times New Roman" w:eastAsiaTheme="minorEastAsia" w:hAnsi="Times New Roman" w:cs="Times New Roman"/>
          <w:color w:val="000000" w:themeColor="text1"/>
          <w:sz w:val="24"/>
          <w:szCs w:val="24"/>
          <w:lang w:val="en-AU" w:eastAsia="en-AU"/>
        </w:rPr>
        <w:t xml:space="preserve"> regulation of the management of privacy, data collection, transfer and provision for individuals and businesses. A comprehensive framework of regulation, would be akin to the </w:t>
      </w:r>
      <w:r w:rsidRPr="00642AA2">
        <w:rPr>
          <w:rFonts w:ascii="Times New Roman" w:eastAsiaTheme="minorEastAsia" w:hAnsi="Times New Roman" w:cs="Times New Roman"/>
          <w:i/>
          <w:color w:val="000000" w:themeColor="text1"/>
          <w:sz w:val="24"/>
          <w:szCs w:val="24"/>
          <w:lang w:val="en-AU" w:eastAsia="en-AU"/>
        </w:rPr>
        <w:t>General Data Protection Regulation</w:t>
      </w:r>
      <w:r w:rsidR="00BD368F">
        <w:rPr>
          <w:rFonts w:ascii="Times New Roman" w:eastAsiaTheme="minorEastAsia" w:hAnsi="Times New Roman" w:cs="Times New Roman"/>
          <w:color w:val="000000" w:themeColor="text1"/>
          <w:sz w:val="24"/>
          <w:szCs w:val="24"/>
          <w:lang w:val="en-AU" w:eastAsia="en-AU"/>
        </w:rPr>
        <w:t xml:space="preserve"> in its scope of application</w:t>
      </w:r>
      <w:r w:rsidR="00642AA2" w:rsidRPr="00642AA2">
        <w:rPr>
          <w:rFonts w:ascii="Times New Roman" w:eastAsiaTheme="minorEastAsia" w:hAnsi="Times New Roman" w:cs="Times New Roman"/>
          <w:color w:val="000000" w:themeColor="text1"/>
          <w:sz w:val="24"/>
          <w:szCs w:val="24"/>
          <w:lang w:val="en-AU" w:eastAsia="en-AU"/>
        </w:rPr>
        <w:t xml:space="preserve">, and provide for </w:t>
      </w:r>
      <w:r w:rsidR="007F7F23">
        <w:rPr>
          <w:rFonts w:ascii="Times New Roman" w:eastAsiaTheme="minorEastAsia" w:hAnsi="Times New Roman" w:cs="Times New Roman"/>
          <w:color w:val="000000" w:themeColor="text1"/>
          <w:sz w:val="24"/>
          <w:szCs w:val="24"/>
          <w:lang w:val="en-AU" w:eastAsia="en-AU"/>
        </w:rPr>
        <w:t xml:space="preserve">the protection of personal information through technical and organisational requirements. </w:t>
      </w:r>
    </w:p>
    <w:p w:rsidR="009D1D79" w:rsidRDefault="00C411EE" w:rsidP="009D1D79">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C411EE">
        <w:rPr>
          <w:rFonts w:ascii="Times New Roman" w:eastAsiaTheme="minorEastAsia" w:hAnsi="Times New Roman" w:cs="Times New Roman"/>
          <w:color w:val="000000" w:themeColor="text1"/>
          <w:sz w:val="24"/>
          <w:szCs w:val="24"/>
          <w:lang w:val="en-AU" w:eastAsia="en-AU"/>
        </w:rPr>
        <w:t xml:space="preserve">A comprehensive framework may entail the implementation of more prescriptive or specific rules where there is a clear risk of consumer or individual detriment, based on the sensitivity of the data in question or the potential for misconduct. </w:t>
      </w:r>
    </w:p>
    <w:p w:rsidR="00114C73" w:rsidRPr="009D1D79" w:rsidRDefault="00642EAC" w:rsidP="009D1D79">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63872" behindDoc="0" locked="0" layoutInCell="1" allowOverlap="1" wp14:anchorId="10183AFA" wp14:editId="0C9B53AD">
                <wp:simplePos x="0" y="0"/>
                <wp:positionH relativeFrom="column">
                  <wp:posOffset>0</wp:posOffset>
                </wp:positionH>
                <wp:positionV relativeFrom="paragraph">
                  <wp:posOffset>-22453</wp:posOffset>
                </wp:positionV>
                <wp:extent cx="5720080" cy="998483"/>
                <wp:effectExtent l="0" t="0" r="13970" b="11430"/>
                <wp:wrapNone/>
                <wp:docPr id="9" name="Text Box 9"/>
                <wp:cNvGraphicFramePr/>
                <a:graphic xmlns:a="http://schemas.openxmlformats.org/drawingml/2006/main">
                  <a:graphicData uri="http://schemas.microsoft.com/office/word/2010/wordprocessingShape">
                    <wps:wsp>
                      <wps:cNvSpPr txBox="1"/>
                      <wps:spPr>
                        <a:xfrm>
                          <a:off x="0" y="0"/>
                          <a:ext cx="5720080" cy="998483"/>
                        </a:xfrm>
                        <a:prstGeom prst="rect">
                          <a:avLst/>
                        </a:prstGeom>
                        <a:solidFill>
                          <a:sysClr val="window" lastClr="FFFFFF"/>
                        </a:solidFill>
                        <a:ln w="6350">
                          <a:solidFill>
                            <a:srgbClr val="00B0F0"/>
                          </a:solidFill>
                        </a:ln>
                      </wps:spPr>
                      <wps:txbx>
                        <w:txbxContent>
                          <w:p w:rsidR="00DD5468" w:rsidRPr="001410E8" w:rsidRDefault="00DD5468" w:rsidP="00834C38">
                            <w:pPr>
                              <w:rPr>
                                <w:rFonts w:ascii="Times New Roman" w:hAnsi="Times New Roman" w:cs="Times New Roman"/>
                                <w:b/>
                              </w:rPr>
                            </w:pPr>
                            <w:r w:rsidRPr="001410E8">
                              <w:rPr>
                                <w:rFonts w:ascii="Times New Roman" w:hAnsi="Times New Roman" w:cs="Times New Roman"/>
                                <w:b/>
                              </w:rPr>
                              <w:t>Recommendation 4</w:t>
                            </w:r>
                          </w:p>
                          <w:p w:rsidR="00DD5468" w:rsidRPr="001410E8" w:rsidRDefault="00DD5468" w:rsidP="00834C38">
                            <w:pPr>
                              <w:jc w:val="both"/>
                              <w:rPr>
                                <w:rFonts w:ascii="Times New Roman" w:hAnsi="Times New Roman" w:cs="Times New Roman"/>
                                <w:i/>
                              </w:rPr>
                            </w:pPr>
                            <w:r w:rsidRPr="001410E8">
                              <w:rPr>
                                <w:rFonts w:ascii="Times New Roman" w:hAnsi="Times New Roman" w:cs="Times New Roman"/>
                                <w:i/>
                              </w:rPr>
                              <w:t>That as part of a rigorous and public cost benefit analysis</w:t>
                            </w:r>
                            <w:r>
                              <w:rPr>
                                <w:rFonts w:ascii="Times New Roman" w:hAnsi="Times New Roman" w:cs="Times New Roman"/>
                                <w:i/>
                              </w:rPr>
                              <w:t xml:space="preserve">, </w:t>
                            </w:r>
                            <w:r w:rsidRPr="001410E8">
                              <w:rPr>
                                <w:rFonts w:ascii="Times New Roman" w:hAnsi="Times New Roman" w:cs="Times New Roman"/>
                                <w:i/>
                              </w:rPr>
                              <w:t>Treasury examine</w:t>
                            </w:r>
                            <w:r>
                              <w:rPr>
                                <w:rFonts w:ascii="Times New Roman" w:hAnsi="Times New Roman" w:cs="Times New Roman"/>
                                <w:i/>
                              </w:rPr>
                              <w:t>s</w:t>
                            </w:r>
                            <w:r w:rsidRPr="001410E8">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left:0;text-align:left;margin-left:0;margin-top:-1.75pt;width:450.4pt;height:7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" fillcolor="window" strokecolor="#00b0f0" strokeweight=".5pt">
                <v:textbox>
                  <w:txbxContent>
                    <w:p w:rsidR="00DD5468" w:rsidRPr="001410E8" w:rsidRDefault="00DD5468" w:rsidP="00834C38">
                      <w:pPr>
                        <w:rPr>
                          <w:rFonts w:ascii="Times New Roman" w:hAnsi="Times New Roman" w:cs="Times New Roman"/>
                          <w:b/>
                        </w:rPr>
                      </w:pPr>
                      <w:r w:rsidRPr="001410E8">
                        <w:rPr>
                          <w:rFonts w:ascii="Times New Roman" w:hAnsi="Times New Roman" w:cs="Times New Roman"/>
                          <w:b/>
                        </w:rPr>
                        <w:t>Recommendation 4</w:t>
                      </w:r>
                    </w:p>
                    <w:p w:rsidR="00DD5468" w:rsidRPr="001410E8" w:rsidRDefault="00DD5468" w:rsidP="00834C38">
                      <w:pPr>
                        <w:jc w:val="both"/>
                        <w:rPr>
                          <w:rFonts w:ascii="Times New Roman" w:hAnsi="Times New Roman" w:cs="Times New Roman"/>
                          <w:i/>
                        </w:rPr>
                      </w:pPr>
                      <w:r w:rsidRPr="001410E8">
                        <w:rPr>
                          <w:rFonts w:ascii="Times New Roman" w:hAnsi="Times New Roman" w:cs="Times New Roman"/>
                          <w:i/>
                        </w:rPr>
                        <w:t>That as part of a rigorous and public cost benefit analysis</w:t>
                      </w:r>
                      <w:r>
                        <w:rPr>
                          <w:rFonts w:ascii="Times New Roman" w:hAnsi="Times New Roman" w:cs="Times New Roman"/>
                          <w:i/>
                        </w:rPr>
                        <w:t xml:space="preserve">, </w:t>
                      </w:r>
                      <w:r w:rsidRPr="001410E8">
                        <w:rPr>
                          <w:rFonts w:ascii="Times New Roman" w:hAnsi="Times New Roman" w:cs="Times New Roman"/>
                          <w:i/>
                        </w:rPr>
                        <w:t>Treasury examine</w:t>
                      </w:r>
                      <w:r>
                        <w:rPr>
                          <w:rFonts w:ascii="Times New Roman" w:hAnsi="Times New Roman" w:cs="Times New Roman"/>
                          <w:i/>
                        </w:rPr>
                        <w:t>s</w:t>
                      </w:r>
                      <w:r w:rsidRPr="001410E8">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v:textbox>
              </v:shape>
            </w:pict>
          </mc:Fallback>
        </mc:AlternateContent>
      </w:r>
    </w:p>
    <w:p w:rsidR="008C5CCC" w:rsidRDefault="008C5CCC" w:rsidP="00FC2163">
      <w:pPr>
        <w:jc w:val="both"/>
        <w:rPr>
          <w:rFonts w:ascii="Times New Roman" w:hAnsi="Times New Roman" w:cs="Times New Roman"/>
          <w:color w:val="FF0000"/>
          <w:sz w:val="24"/>
          <w:szCs w:val="24"/>
        </w:rPr>
      </w:pPr>
    </w:p>
    <w:p w:rsidR="00642EAC" w:rsidRDefault="00642EAC" w:rsidP="0094557B">
      <w:pPr>
        <w:spacing w:before="100" w:beforeAutospacing="1" w:after="100" w:afterAutospacing="1" w:line="360" w:lineRule="auto"/>
        <w:jc w:val="both"/>
        <w:rPr>
          <w:rFonts w:ascii="Arial" w:eastAsiaTheme="minorEastAsia" w:hAnsi="Arial" w:cs="Arial"/>
          <w:b/>
          <w:sz w:val="32"/>
          <w:szCs w:val="32"/>
          <w:lang w:val="en-AU" w:eastAsia="en-AU"/>
        </w:rPr>
      </w:pPr>
    </w:p>
    <w:p w:rsidR="0094557B" w:rsidRDefault="0094557B" w:rsidP="0094557B">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are the benefits of reform?</w:t>
      </w:r>
    </w:p>
    <w:p w:rsidR="0094557B" w:rsidRDefault="0094557B" w:rsidP="0094557B">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core benefit that flow</w:t>
      </w:r>
      <w:r w:rsidR="00A65083">
        <w:rPr>
          <w:rFonts w:ascii="Times New Roman" w:eastAsiaTheme="minorEastAsia" w:hAnsi="Times New Roman" w:cs="Times New Roman"/>
          <w:sz w:val="24"/>
          <w:szCs w:val="24"/>
          <w:lang w:val="en-AU" w:eastAsia="en-AU"/>
        </w:rPr>
        <w:t>s</w:t>
      </w:r>
      <w:r>
        <w:rPr>
          <w:rFonts w:ascii="Times New Roman" w:eastAsiaTheme="minorEastAsia" w:hAnsi="Times New Roman" w:cs="Times New Roman"/>
          <w:sz w:val="24"/>
          <w:szCs w:val="24"/>
          <w:lang w:val="en-AU" w:eastAsia="en-AU"/>
        </w:rPr>
        <w:t xml:space="preserve"> from the proposed reforms is a reduction in the transaction costs that consumers face when searching the market for products and services. By reducing the costs associated with communicating their preferences, and usage patterns as well as their price sensitivity, consumers should notionally benefit by being able to elicit offers of services that better reflect their needs and their willingness to pay. </w:t>
      </w:r>
    </w:p>
    <w:p w:rsidR="0094557B" w:rsidRPr="00A60CD9" w:rsidRDefault="0094557B" w:rsidP="0094557B">
      <w:pPr>
        <w:spacing w:before="100" w:beforeAutospacing="1" w:after="100" w:afterAutospacing="1"/>
        <w:jc w:val="both"/>
        <w:rPr>
          <w:rFonts w:ascii="Times New Roman" w:eastAsiaTheme="minorEastAsia" w:hAnsi="Times New Roman" w:cs="Times New Roman"/>
          <w:sz w:val="24"/>
          <w:szCs w:val="24"/>
          <w:lang w:val="en-AU" w:eastAsia="en-AU"/>
        </w:rPr>
      </w:pPr>
      <w:r w:rsidRPr="00A60CD9">
        <w:rPr>
          <w:rFonts w:ascii="Times New Roman" w:eastAsiaTheme="minorEastAsia" w:hAnsi="Times New Roman" w:cs="Times New Roman"/>
          <w:sz w:val="24"/>
          <w:szCs w:val="24"/>
          <w:lang w:val="en-AU" w:eastAsia="en-AU"/>
        </w:rPr>
        <w:t xml:space="preserve">However, the </w:t>
      </w:r>
      <w:r w:rsidR="00C76CC9" w:rsidRPr="00A60CD9">
        <w:rPr>
          <w:rFonts w:ascii="Times New Roman" w:eastAsiaTheme="minorEastAsia" w:hAnsi="Times New Roman" w:cs="Times New Roman"/>
          <w:sz w:val="24"/>
          <w:szCs w:val="24"/>
          <w:lang w:val="en-AU" w:eastAsia="en-AU"/>
        </w:rPr>
        <w:t>extent</w:t>
      </w:r>
      <w:r w:rsidRPr="00A60CD9">
        <w:rPr>
          <w:rFonts w:ascii="Times New Roman" w:eastAsiaTheme="minorEastAsia" w:hAnsi="Times New Roman" w:cs="Times New Roman"/>
          <w:sz w:val="24"/>
          <w:szCs w:val="24"/>
          <w:lang w:val="en-AU" w:eastAsia="en-AU"/>
        </w:rPr>
        <w:t xml:space="preserve"> of these benefits is unclear, and given that much of th</w:t>
      </w:r>
      <w:r w:rsidR="00A60CD9" w:rsidRPr="00A60CD9">
        <w:rPr>
          <w:rFonts w:ascii="Times New Roman" w:eastAsiaTheme="minorEastAsia" w:hAnsi="Times New Roman" w:cs="Times New Roman"/>
          <w:sz w:val="24"/>
          <w:szCs w:val="24"/>
          <w:lang w:val="en-AU" w:eastAsia="en-AU"/>
        </w:rPr>
        <w:t>e information consumers need (e.g. the maximum discount on offer) is privately held commercial information and not available, consumers may not have sufficient information to maximise their benefits.</w:t>
      </w:r>
    </w:p>
    <w:p w:rsidR="008E6BBE" w:rsidRPr="00D06F15" w:rsidRDefault="0094557B" w:rsidP="0094557B">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840ADC">
        <w:rPr>
          <w:rFonts w:ascii="Times New Roman" w:eastAsiaTheme="minorEastAsia" w:hAnsi="Times New Roman" w:cs="Times New Roman"/>
          <w:color w:val="000000" w:themeColor="text1"/>
          <w:sz w:val="24"/>
          <w:szCs w:val="24"/>
          <w:lang w:val="en-AU" w:eastAsia="en-AU"/>
        </w:rPr>
        <w:t xml:space="preserve">The transaction costs associated with the financial, energy and telecommunications sectors have been trending downwards as a result of the advent of more efficient searching </w:t>
      </w:r>
      <w:r w:rsidR="00FA18DC">
        <w:rPr>
          <w:rFonts w:ascii="Times New Roman" w:eastAsiaTheme="minorEastAsia" w:hAnsi="Times New Roman" w:cs="Times New Roman"/>
          <w:color w:val="000000" w:themeColor="text1"/>
          <w:sz w:val="24"/>
          <w:szCs w:val="24"/>
          <w:lang w:val="en-AU" w:eastAsia="en-AU"/>
        </w:rPr>
        <w:t xml:space="preserve">platforms over the internet, </w:t>
      </w:r>
      <w:r w:rsidRPr="00840ADC">
        <w:rPr>
          <w:rFonts w:ascii="Times New Roman" w:eastAsiaTheme="minorEastAsia" w:hAnsi="Times New Roman" w:cs="Times New Roman"/>
          <w:color w:val="000000" w:themeColor="text1"/>
          <w:sz w:val="24"/>
          <w:szCs w:val="24"/>
          <w:lang w:val="en-AU" w:eastAsia="en-AU"/>
        </w:rPr>
        <w:t xml:space="preserve">and the capacity of consumers to transfer the information proposed to be captured within the </w:t>
      </w:r>
      <w:r w:rsidR="00840ADC" w:rsidRPr="00840ADC">
        <w:rPr>
          <w:rFonts w:ascii="Times New Roman" w:eastAsiaTheme="minorEastAsia" w:hAnsi="Times New Roman" w:cs="Times New Roman"/>
          <w:color w:val="000000" w:themeColor="text1"/>
          <w:sz w:val="24"/>
          <w:szCs w:val="24"/>
          <w:lang w:val="en-AU" w:eastAsia="en-AU"/>
        </w:rPr>
        <w:t xml:space="preserve">CDR through </w:t>
      </w:r>
      <w:r w:rsidR="004502CA">
        <w:rPr>
          <w:rFonts w:ascii="Times New Roman" w:eastAsiaTheme="minorEastAsia" w:hAnsi="Times New Roman" w:cs="Times New Roman"/>
          <w:color w:val="000000" w:themeColor="text1"/>
          <w:sz w:val="24"/>
          <w:szCs w:val="24"/>
          <w:lang w:val="en-AU" w:eastAsia="en-AU"/>
        </w:rPr>
        <w:t>simpler</w:t>
      </w:r>
      <w:r w:rsidR="00840ADC" w:rsidRPr="00840ADC">
        <w:rPr>
          <w:rFonts w:ascii="Times New Roman" w:eastAsiaTheme="minorEastAsia" w:hAnsi="Times New Roman" w:cs="Times New Roman"/>
          <w:color w:val="000000" w:themeColor="text1"/>
          <w:sz w:val="24"/>
          <w:szCs w:val="24"/>
          <w:lang w:val="en-AU" w:eastAsia="en-AU"/>
        </w:rPr>
        <w:t>,</w:t>
      </w:r>
      <w:r w:rsidR="004502CA">
        <w:rPr>
          <w:rFonts w:ascii="Times New Roman" w:eastAsiaTheme="minorEastAsia" w:hAnsi="Times New Roman" w:cs="Times New Roman"/>
          <w:color w:val="000000" w:themeColor="text1"/>
          <w:sz w:val="24"/>
          <w:szCs w:val="24"/>
          <w:lang w:val="en-AU" w:eastAsia="en-AU"/>
        </w:rPr>
        <w:t xml:space="preserve"> </w:t>
      </w:r>
      <w:r w:rsidR="00D06F15">
        <w:rPr>
          <w:rFonts w:ascii="Times New Roman" w:eastAsiaTheme="minorEastAsia" w:hAnsi="Times New Roman" w:cs="Times New Roman"/>
          <w:color w:val="000000" w:themeColor="text1"/>
          <w:sz w:val="24"/>
          <w:szCs w:val="24"/>
          <w:lang w:val="en-AU" w:eastAsia="en-AU"/>
        </w:rPr>
        <w:t>means such as email.</w:t>
      </w:r>
      <w:r w:rsidR="008F601D">
        <w:rPr>
          <w:rFonts w:ascii="Times New Roman" w:eastAsiaTheme="minorEastAsia" w:hAnsi="Times New Roman" w:cs="Times New Roman"/>
          <w:color w:val="000000" w:themeColor="text1"/>
          <w:sz w:val="24"/>
          <w:szCs w:val="24"/>
          <w:lang w:val="en-AU" w:eastAsia="en-AU"/>
        </w:rPr>
        <w:t xml:space="preserve"> </w:t>
      </w:r>
      <w:r w:rsidR="00D06F15">
        <w:rPr>
          <w:rFonts w:ascii="Times New Roman" w:eastAsiaTheme="minorEastAsia" w:hAnsi="Times New Roman" w:cs="Times New Roman"/>
          <w:color w:val="000000" w:themeColor="text1"/>
          <w:sz w:val="24"/>
          <w:szCs w:val="24"/>
          <w:lang w:val="en-AU" w:eastAsia="en-AU"/>
        </w:rPr>
        <w:t>There are</w:t>
      </w:r>
      <w:r w:rsidR="00A602C9">
        <w:rPr>
          <w:rFonts w:ascii="Times New Roman" w:eastAsiaTheme="minorEastAsia" w:hAnsi="Times New Roman" w:cs="Times New Roman"/>
          <w:color w:val="000000" w:themeColor="text1"/>
          <w:sz w:val="24"/>
          <w:szCs w:val="24"/>
          <w:lang w:val="en-AU" w:eastAsia="en-AU"/>
        </w:rPr>
        <w:t>,</w:t>
      </w:r>
      <w:r w:rsidR="00D06F15">
        <w:rPr>
          <w:rFonts w:ascii="Times New Roman" w:eastAsiaTheme="minorEastAsia" w:hAnsi="Times New Roman" w:cs="Times New Roman"/>
          <w:color w:val="000000" w:themeColor="text1"/>
          <w:sz w:val="24"/>
          <w:szCs w:val="24"/>
          <w:lang w:val="en-AU" w:eastAsia="en-AU"/>
        </w:rPr>
        <w:t xml:space="preserve"> however, obvious privacy implications associated with the use of these methods to transfer data, noting that the adoption of uniform privacy protections would </w:t>
      </w:r>
      <w:r w:rsidR="00A65083">
        <w:rPr>
          <w:rFonts w:ascii="Times New Roman" w:eastAsiaTheme="minorEastAsia" w:hAnsi="Times New Roman" w:cs="Times New Roman"/>
          <w:color w:val="000000" w:themeColor="text1"/>
          <w:sz w:val="24"/>
          <w:szCs w:val="24"/>
          <w:lang w:val="en-AU" w:eastAsia="en-AU"/>
        </w:rPr>
        <w:t xml:space="preserve">address </w:t>
      </w:r>
      <w:r w:rsidR="00D06F15">
        <w:rPr>
          <w:rFonts w:ascii="Times New Roman" w:eastAsiaTheme="minorEastAsia" w:hAnsi="Times New Roman" w:cs="Times New Roman"/>
          <w:color w:val="000000" w:themeColor="text1"/>
          <w:sz w:val="24"/>
          <w:szCs w:val="24"/>
          <w:lang w:val="en-AU" w:eastAsia="en-AU"/>
        </w:rPr>
        <w:t>many of these issues.</w:t>
      </w:r>
      <w:r w:rsidR="008F601D">
        <w:rPr>
          <w:rFonts w:ascii="Times New Roman" w:eastAsiaTheme="minorEastAsia" w:hAnsi="Times New Roman" w:cs="Times New Roman"/>
          <w:color w:val="000000" w:themeColor="text1"/>
          <w:sz w:val="24"/>
          <w:szCs w:val="24"/>
          <w:lang w:val="en-AU" w:eastAsia="en-AU"/>
        </w:rPr>
        <w:t xml:space="preserve"> Where the sensitivity and security of the data is paramount, a universal framework of privacy protections would provide incentives for the development of a variety of applications to support the secure transfer of data</w:t>
      </w:r>
      <w:r w:rsidR="00773220">
        <w:rPr>
          <w:rFonts w:ascii="Times New Roman" w:eastAsiaTheme="minorEastAsia" w:hAnsi="Times New Roman" w:cs="Times New Roman"/>
          <w:color w:val="000000" w:themeColor="text1"/>
          <w:sz w:val="24"/>
          <w:szCs w:val="24"/>
          <w:lang w:val="en-AU" w:eastAsia="en-AU"/>
        </w:rPr>
        <w:t>.</w:t>
      </w:r>
    </w:p>
    <w:p w:rsidR="009D1D79" w:rsidRDefault="008E6BBE" w:rsidP="0094557B">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However, the CDR is fundamentally a data portability right – it does not allow for easy and simple switching of providers and as a consequence may yield limited benefits where the cost of switching remains high. ACCAN is</w:t>
      </w:r>
      <w:r w:rsidR="00A366EF">
        <w:rPr>
          <w:rFonts w:ascii="Times New Roman" w:eastAsiaTheme="minorEastAsia" w:hAnsi="Times New Roman" w:cs="Times New Roman"/>
          <w:color w:val="000000" w:themeColor="text1"/>
          <w:sz w:val="24"/>
          <w:szCs w:val="24"/>
          <w:lang w:val="en-AU" w:eastAsia="en-AU"/>
        </w:rPr>
        <w:t>,</w:t>
      </w:r>
      <w:r>
        <w:rPr>
          <w:rFonts w:ascii="Times New Roman" w:eastAsiaTheme="minorEastAsia" w:hAnsi="Times New Roman" w:cs="Times New Roman"/>
          <w:color w:val="000000" w:themeColor="text1"/>
          <w:sz w:val="24"/>
          <w:szCs w:val="24"/>
          <w:lang w:val="en-AU" w:eastAsia="en-AU"/>
        </w:rPr>
        <w:t xml:space="preserve"> however, positive about the potential for the CDR to be an effective force for change in the telecommunications market, where reforms to number portability make switching easier than in other markets. </w:t>
      </w:r>
    </w:p>
    <w:p w:rsidR="005121FC" w:rsidRPr="005F6CA0" w:rsidRDefault="00B7038A" w:rsidP="00B7038A">
      <w:pPr>
        <w:spacing w:line="360" w:lineRule="auto"/>
        <w:rPr>
          <w:rFonts w:ascii="Arial" w:eastAsia="Arial Unicode MS" w:hAnsi="Arial" w:cs="Arial"/>
          <w:color w:val="000000" w:themeColor="text1"/>
          <w:sz w:val="28"/>
          <w:lang w:val="en-IE" w:eastAsia="en-AU" w:bidi="hi-IN"/>
        </w:rPr>
      </w:pPr>
      <w:r w:rsidRPr="005F6CA0">
        <w:rPr>
          <w:rFonts w:ascii="Arial" w:eastAsia="Arial Unicode MS" w:hAnsi="Arial" w:cs="Arial"/>
          <w:color w:val="000000" w:themeColor="text1"/>
          <w:sz w:val="28"/>
          <w:lang w:val="en-IE" w:eastAsia="en-AU" w:bidi="hi-IN"/>
        </w:rPr>
        <w:t>Reducing transaction costs does not necessarily resolve information asymmetries</w:t>
      </w:r>
    </w:p>
    <w:p w:rsidR="004E2ACB" w:rsidRDefault="0023308E" w:rsidP="00585151">
      <w:pPr>
        <w:jc w:val="both"/>
        <w:rPr>
          <w:rFonts w:ascii="Times New Roman" w:eastAsia="Arial Unicode MS" w:hAnsi="Times New Roman" w:cs="Times New Roman"/>
          <w:color w:val="000000" w:themeColor="text1"/>
          <w:sz w:val="24"/>
          <w:szCs w:val="24"/>
          <w:lang w:val="en-IE" w:eastAsia="en-AU" w:bidi="hi-IN"/>
        </w:rPr>
      </w:pPr>
      <w:r w:rsidRPr="005F6CA0">
        <w:rPr>
          <w:rFonts w:ascii="Times New Roman" w:eastAsia="Arial Unicode MS" w:hAnsi="Times New Roman" w:cs="Times New Roman"/>
          <w:color w:val="000000" w:themeColor="text1"/>
          <w:sz w:val="24"/>
          <w:szCs w:val="24"/>
          <w:lang w:val="en-IE" w:eastAsia="en-AU" w:bidi="hi-IN"/>
        </w:rPr>
        <w:t xml:space="preserve">The consumer data </w:t>
      </w:r>
      <w:r w:rsidR="0007060B" w:rsidRPr="005F6CA0">
        <w:rPr>
          <w:rFonts w:ascii="Times New Roman" w:eastAsia="Arial Unicode MS" w:hAnsi="Times New Roman" w:cs="Times New Roman"/>
          <w:color w:val="000000" w:themeColor="text1"/>
          <w:sz w:val="24"/>
          <w:szCs w:val="24"/>
          <w:lang w:val="en-IE" w:eastAsia="en-AU" w:bidi="hi-IN"/>
        </w:rPr>
        <w:t>right</w:t>
      </w:r>
      <w:r w:rsidRPr="005F6CA0">
        <w:rPr>
          <w:rFonts w:ascii="Times New Roman" w:eastAsia="Arial Unicode MS" w:hAnsi="Times New Roman" w:cs="Times New Roman"/>
          <w:color w:val="000000" w:themeColor="text1"/>
          <w:sz w:val="24"/>
          <w:szCs w:val="24"/>
          <w:lang w:val="en-IE" w:eastAsia="en-AU" w:bidi="hi-IN"/>
        </w:rPr>
        <w:t xml:space="preserve"> primarily addresses </w:t>
      </w:r>
      <w:r w:rsidRPr="00E1368F">
        <w:rPr>
          <w:rFonts w:ascii="Times New Roman" w:eastAsia="Arial Unicode MS" w:hAnsi="Times New Roman" w:cs="Times New Roman"/>
          <w:i/>
          <w:color w:val="000000" w:themeColor="text1"/>
          <w:sz w:val="24"/>
          <w:szCs w:val="24"/>
          <w:lang w:val="en-IE" w:eastAsia="en-AU" w:bidi="hi-IN"/>
        </w:rPr>
        <w:t>transaction</w:t>
      </w:r>
      <w:r w:rsidRPr="005F6CA0">
        <w:rPr>
          <w:rFonts w:ascii="Times New Roman" w:eastAsia="Arial Unicode MS" w:hAnsi="Times New Roman" w:cs="Times New Roman"/>
          <w:color w:val="000000" w:themeColor="text1"/>
          <w:sz w:val="24"/>
          <w:szCs w:val="24"/>
          <w:lang w:val="en-IE" w:eastAsia="en-AU" w:bidi="hi-IN"/>
        </w:rPr>
        <w:t xml:space="preserve"> costs. However, transaction costs and information</w:t>
      </w:r>
      <w:r w:rsidR="00280CF9">
        <w:rPr>
          <w:rFonts w:ascii="Times New Roman" w:eastAsia="Arial Unicode MS" w:hAnsi="Times New Roman" w:cs="Times New Roman"/>
          <w:color w:val="000000" w:themeColor="text1"/>
          <w:sz w:val="24"/>
          <w:szCs w:val="24"/>
          <w:lang w:val="en-IE" w:eastAsia="en-AU" w:bidi="hi-IN"/>
        </w:rPr>
        <w:t xml:space="preserve"> asymmetries, though </w:t>
      </w:r>
      <w:r w:rsidRPr="005F6CA0">
        <w:rPr>
          <w:rFonts w:ascii="Times New Roman" w:eastAsia="Arial Unicode MS" w:hAnsi="Times New Roman" w:cs="Times New Roman"/>
          <w:color w:val="000000" w:themeColor="text1"/>
          <w:sz w:val="24"/>
          <w:szCs w:val="24"/>
          <w:lang w:val="en-IE" w:eastAsia="en-AU" w:bidi="hi-IN"/>
        </w:rPr>
        <w:t>related are fundamentally different problems.</w:t>
      </w:r>
      <w:r w:rsidR="00777DE0" w:rsidRPr="00E575ED">
        <w:rPr>
          <w:rStyle w:val="FootnoteReference"/>
        </w:rPr>
        <w:footnoteReference w:id="1"/>
      </w:r>
      <w:r w:rsidRPr="005F6CA0">
        <w:rPr>
          <w:rFonts w:ascii="Times New Roman" w:eastAsia="Arial Unicode MS" w:hAnsi="Times New Roman" w:cs="Times New Roman"/>
          <w:color w:val="000000" w:themeColor="text1"/>
          <w:sz w:val="24"/>
          <w:szCs w:val="24"/>
          <w:lang w:val="en-IE" w:eastAsia="en-AU" w:bidi="hi-IN"/>
        </w:rPr>
        <w:t xml:space="preserve"> Reducing the cost of transferring or </w:t>
      </w:r>
      <w:r w:rsidR="007C69E5">
        <w:rPr>
          <w:rFonts w:ascii="Times New Roman" w:eastAsia="Arial Unicode MS" w:hAnsi="Times New Roman" w:cs="Times New Roman"/>
          <w:color w:val="000000" w:themeColor="text1"/>
          <w:sz w:val="24"/>
          <w:szCs w:val="24"/>
          <w:lang w:val="en-IE" w:eastAsia="en-AU" w:bidi="hi-IN"/>
        </w:rPr>
        <w:t>communicating data does not imply</w:t>
      </w:r>
      <w:r w:rsidRPr="005F6CA0">
        <w:rPr>
          <w:rFonts w:ascii="Times New Roman" w:eastAsia="Arial Unicode MS" w:hAnsi="Times New Roman" w:cs="Times New Roman"/>
          <w:color w:val="000000" w:themeColor="text1"/>
          <w:sz w:val="24"/>
          <w:szCs w:val="24"/>
          <w:lang w:val="en-IE" w:eastAsia="en-AU" w:bidi="hi-IN"/>
        </w:rPr>
        <w:t xml:space="preserve"> that consumers will be in a position</w:t>
      </w:r>
      <w:r w:rsidR="008E29A2">
        <w:rPr>
          <w:rFonts w:ascii="Times New Roman" w:eastAsia="Arial Unicode MS" w:hAnsi="Times New Roman" w:cs="Times New Roman"/>
          <w:color w:val="000000" w:themeColor="text1"/>
          <w:sz w:val="24"/>
          <w:szCs w:val="24"/>
          <w:lang w:val="en-IE" w:eastAsia="en-AU" w:bidi="hi-IN"/>
        </w:rPr>
        <w:t xml:space="preserve"> where</w:t>
      </w:r>
      <w:r w:rsidR="00322DEE">
        <w:rPr>
          <w:rFonts w:ascii="Times New Roman" w:eastAsia="Arial Unicode MS" w:hAnsi="Times New Roman" w:cs="Times New Roman"/>
          <w:color w:val="000000" w:themeColor="text1"/>
          <w:sz w:val="24"/>
          <w:szCs w:val="24"/>
          <w:lang w:val="en-IE" w:eastAsia="en-AU" w:bidi="hi-IN"/>
        </w:rPr>
        <w:t>:</w:t>
      </w:r>
    </w:p>
    <w:p w:rsidR="004E2ACB" w:rsidRPr="00FE456E" w:rsidRDefault="008E29A2" w:rsidP="004E2ACB">
      <w:pPr>
        <w:pStyle w:val="ListParagraph"/>
        <w:numPr>
          <w:ilvl w:val="0"/>
          <w:numId w:val="18"/>
        </w:numPr>
        <w:rPr>
          <w:rFonts w:ascii="Times New Roman" w:eastAsia="Arial Unicode MS" w:hAnsi="Times New Roman" w:cs="Times New Roman"/>
          <w:szCs w:val="24"/>
          <w:lang w:val="en-IE" w:eastAsia="en-AU" w:bidi="hi-IN"/>
        </w:rPr>
      </w:pPr>
      <w:r w:rsidRPr="00FE456E">
        <w:rPr>
          <w:rFonts w:ascii="Times New Roman" w:eastAsia="Arial Unicode MS" w:hAnsi="Times New Roman" w:cs="Times New Roman"/>
          <w:szCs w:val="24"/>
          <w:lang w:val="en-IE" w:eastAsia="en-AU" w:bidi="hi-IN"/>
        </w:rPr>
        <w:t xml:space="preserve">they can </w:t>
      </w:r>
      <w:r w:rsidR="0023308E" w:rsidRPr="00FE456E">
        <w:rPr>
          <w:rFonts w:ascii="Times New Roman" w:eastAsia="Arial Unicode MS" w:hAnsi="Times New Roman" w:cs="Times New Roman"/>
          <w:szCs w:val="24"/>
          <w:lang w:val="en-IE" w:eastAsia="en-AU" w:bidi="hi-IN"/>
        </w:rPr>
        <w:t>readily</w:t>
      </w:r>
      <w:r w:rsidR="0013146C" w:rsidRPr="00FE456E">
        <w:rPr>
          <w:rFonts w:ascii="Times New Roman" w:eastAsia="Arial Unicode MS" w:hAnsi="Times New Roman" w:cs="Times New Roman"/>
          <w:szCs w:val="24"/>
          <w:lang w:val="en-IE" w:eastAsia="en-AU" w:bidi="hi-IN"/>
        </w:rPr>
        <w:t xml:space="preserve"> engage</w:t>
      </w:r>
      <w:r w:rsidR="00FE456E" w:rsidRPr="00FE456E">
        <w:rPr>
          <w:rFonts w:ascii="Times New Roman" w:eastAsia="Arial Unicode MS" w:hAnsi="Times New Roman" w:cs="Times New Roman"/>
          <w:szCs w:val="24"/>
          <w:lang w:val="en-IE" w:eastAsia="en-AU" w:bidi="hi-IN"/>
        </w:rPr>
        <w:t xml:space="preserve"> </w:t>
      </w:r>
      <w:r w:rsidR="0013146C" w:rsidRPr="00FE456E">
        <w:rPr>
          <w:rFonts w:ascii="Times New Roman" w:eastAsia="Arial Unicode MS" w:hAnsi="Times New Roman" w:cs="Times New Roman"/>
          <w:szCs w:val="24"/>
          <w:lang w:val="en-IE" w:eastAsia="en-AU" w:bidi="hi-IN"/>
        </w:rPr>
        <w:t xml:space="preserve"> with</w:t>
      </w:r>
      <w:r w:rsidR="00FE456E" w:rsidRPr="00FE456E">
        <w:rPr>
          <w:rFonts w:ascii="Times New Roman" w:eastAsia="Arial Unicode MS" w:hAnsi="Times New Roman" w:cs="Times New Roman"/>
          <w:szCs w:val="24"/>
          <w:lang w:val="en-IE" w:eastAsia="en-AU" w:bidi="hi-IN"/>
        </w:rPr>
        <w:t xml:space="preserve"> and compare</w:t>
      </w:r>
      <w:r w:rsidR="0023308E" w:rsidRPr="00FE456E">
        <w:rPr>
          <w:rFonts w:ascii="Times New Roman" w:eastAsia="Arial Unicode MS" w:hAnsi="Times New Roman" w:cs="Times New Roman"/>
          <w:szCs w:val="24"/>
          <w:lang w:val="en-IE" w:eastAsia="en-AU" w:bidi="hi-IN"/>
        </w:rPr>
        <w:t xml:space="preserve"> complex and </w:t>
      </w:r>
      <w:r w:rsidR="004E2ACB" w:rsidRPr="00FE456E">
        <w:rPr>
          <w:rFonts w:ascii="Times New Roman" w:eastAsia="Arial Unicode MS" w:hAnsi="Times New Roman" w:cs="Times New Roman"/>
          <w:szCs w:val="24"/>
          <w:lang w:val="en-IE" w:eastAsia="en-AU" w:bidi="hi-IN"/>
        </w:rPr>
        <w:t>differentiated products;</w:t>
      </w:r>
    </w:p>
    <w:p w:rsidR="004E2ACB" w:rsidRDefault="008E29A2" w:rsidP="004E2ACB">
      <w:pPr>
        <w:pStyle w:val="ListParagraph"/>
        <w:numPr>
          <w:ilvl w:val="0"/>
          <w:numId w:val="18"/>
        </w:numPr>
        <w:rPr>
          <w:rFonts w:ascii="Times New Roman" w:eastAsia="Arial Unicode MS" w:hAnsi="Times New Roman" w:cs="Times New Roman"/>
          <w:color w:val="000000" w:themeColor="text1"/>
          <w:szCs w:val="24"/>
          <w:lang w:val="en-IE" w:eastAsia="en-AU" w:bidi="hi-IN"/>
        </w:rPr>
      </w:pPr>
      <w:r w:rsidRPr="00FE456E">
        <w:rPr>
          <w:rFonts w:ascii="Times New Roman" w:eastAsia="Arial Unicode MS" w:hAnsi="Times New Roman" w:cs="Times New Roman"/>
          <w:szCs w:val="24"/>
          <w:lang w:val="en-IE" w:eastAsia="en-AU" w:bidi="hi-IN"/>
        </w:rPr>
        <w:t>they are</w:t>
      </w:r>
      <w:r w:rsidR="0023308E" w:rsidRPr="00FE456E">
        <w:rPr>
          <w:rFonts w:ascii="Times New Roman" w:eastAsia="Arial Unicode MS" w:hAnsi="Times New Roman" w:cs="Times New Roman"/>
          <w:szCs w:val="24"/>
          <w:lang w:val="en-IE" w:eastAsia="en-AU" w:bidi="hi-IN"/>
        </w:rPr>
        <w:t xml:space="preserve"> protected from firms presenting information in an und</w:t>
      </w:r>
      <w:r w:rsidR="002D0F13" w:rsidRPr="00FE456E">
        <w:rPr>
          <w:rFonts w:ascii="Times New Roman" w:eastAsia="Arial Unicode MS" w:hAnsi="Times New Roman" w:cs="Times New Roman"/>
          <w:szCs w:val="24"/>
          <w:lang w:val="en-IE" w:eastAsia="en-AU" w:bidi="hi-IN"/>
        </w:rPr>
        <w:t xml:space="preserve">uly complex way </w:t>
      </w:r>
      <w:r w:rsidR="002D0F13" w:rsidRPr="004E2ACB">
        <w:rPr>
          <w:rFonts w:ascii="Times New Roman" w:eastAsia="Arial Unicode MS" w:hAnsi="Times New Roman" w:cs="Times New Roman"/>
          <w:color w:val="000000" w:themeColor="text1"/>
          <w:szCs w:val="24"/>
          <w:lang w:val="en-IE" w:eastAsia="en-AU" w:bidi="hi-IN"/>
        </w:rPr>
        <w:t>to confuse them</w:t>
      </w:r>
      <w:r w:rsidR="004E2ACB">
        <w:rPr>
          <w:rFonts w:ascii="Times New Roman" w:eastAsia="Arial Unicode MS" w:hAnsi="Times New Roman" w:cs="Times New Roman"/>
          <w:color w:val="000000" w:themeColor="text1"/>
          <w:szCs w:val="24"/>
          <w:lang w:val="en-IE" w:eastAsia="en-AU" w:bidi="hi-IN"/>
        </w:rPr>
        <w:t>;</w:t>
      </w:r>
    </w:p>
    <w:p w:rsidR="00322DEE" w:rsidRPr="00322DEE" w:rsidRDefault="008E29A2" w:rsidP="00585151">
      <w:pPr>
        <w:pStyle w:val="ListParagraph"/>
        <w:numPr>
          <w:ilvl w:val="0"/>
          <w:numId w:val="18"/>
        </w:numPr>
        <w:rPr>
          <w:rFonts w:ascii="Times New Roman" w:eastAsia="Arial Unicode MS" w:hAnsi="Times New Roman" w:cs="Times New Roman"/>
          <w:color w:val="000000" w:themeColor="text1"/>
          <w:szCs w:val="24"/>
          <w:lang w:val="en-IE" w:eastAsia="en-AU" w:bidi="hi-IN"/>
        </w:rPr>
      </w:pPr>
      <w:proofErr w:type="gramStart"/>
      <w:r>
        <w:rPr>
          <w:rFonts w:ascii="Times New Roman" w:eastAsia="Arial Unicode MS" w:hAnsi="Times New Roman" w:cs="Times New Roman"/>
          <w:color w:val="000000" w:themeColor="text1"/>
          <w:szCs w:val="24"/>
          <w:lang w:val="en-IE" w:eastAsia="en-AU" w:bidi="hi-IN"/>
        </w:rPr>
        <w:t>they</w:t>
      </w:r>
      <w:proofErr w:type="gramEnd"/>
      <w:r>
        <w:rPr>
          <w:rFonts w:ascii="Times New Roman" w:eastAsia="Arial Unicode MS" w:hAnsi="Times New Roman" w:cs="Times New Roman"/>
          <w:color w:val="000000" w:themeColor="text1"/>
          <w:szCs w:val="24"/>
          <w:lang w:val="en-IE" w:eastAsia="en-AU" w:bidi="hi-IN"/>
        </w:rPr>
        <w:t xml:space="preserve"> are protected from</w:t>
      </w:r>
      <w:r w:rsidR="004E2ACB">
        <w:rPr>
          <w:rFonts w:ascii="Times New Roman" w:eastAsia="Arial Unicode MS" w:hAnsi="Times New Roman" w:cs="Times New Roman"/>
          <w:color w:val="000000" w:themeColor="text1"/>
          <w:szCs w:val="24"/>
          <w:lang w:val="en-IE" w:eastAsia="en-AU" w:bidi="hi-IN"/>
        </w:rPr>
        <w:t xml:space="preserve"> firms failing to </w:t>
      </w:r>
      <w:r w:rsidR="005F6CA0" w:rsidRPr="004E2ACB">
        <w:rPr>
          <w:rFonts w:ascii="Times New Roman" w:eastAsia="Arial Unicode MS" w:hAnsi="Times New Roman" w:cs="Times New Roman"/>
          <w:color w:val="000000" w:themeColor="text1"/>
          <w:szCs w:val="24"/>
          <w:lang w:val="en-IE" w:eastAsia="en-AU" w:bidi="hi-IN"/>
        </w:rPr>
        <w:t>provide information concerning the underlying quality of services.</w:t>
      </w:r>
    </w:p>
    <w:p w:rsidR="00557149" w:rsidRDefault="00322DEE" w:rsidP="0028366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Although supportive of measures to reduce transaction costs, or address information asymmetries</w:t>
      </w:r>
      <w:r w:rsidR="0018368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it is important not to conflate the two related but d</w:t>
      </w:r>
      <w:r w:rsidR="001A6153">
        <w:rPr>
          <w:rFonts w:ascii="Times New Roman" w:hAnsi="Times New Roman" w:cs="Times New Roman"/>
          <w:color w:val="000000" w:themeColor="text1"/>
          <w:sz w:val="24"/>
        </w:rPr>
        <w:t xml:space="preserve">istinct forms of market failure, as </w:t>
      </w:r>
      <w:r w:rsidR="00C77CC3">
        <w:rPr>
          <w:rFonts w:ascii="Times New Roman" w:hAnsi="Times New Roman" w:cs="Times New Roman"/>
          <w:color w:val="000000" w:themeColor="text1"/>
          <w:sz w:val="24"/>
        </w:rPr>
        <w:t>targeted policy interventions are required to address each issue.</w:t>
      </w:r>
      <w:r w:rsidR="00557149">
        <w:rPr>
          <w:rFonts w:ascii="Times New Roman" w:hAnsi="Times New Roman" w:cs="Times New Roman"/>
          <w:color w:val="000000" w:themeColor="text1"/>
          <w:sz w:val="24"/>
        </w:rPr>
        <w:t xml:space="preserve"> The development of the CDR may however, be refined to allow for the resolution of specific instances of asymmetrical information to maximize consumer benefits.</w:t>
      </w:r>
    </w:p>
    <w:p w:rsidR="00283661" w:rsidRPr="00E00FED" w:rsidRDefault="00283661" w:rsidP="00283661">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 xml:space="preserve">In the telecommunications context, recent measures have been implemented to address information asymmetries </w:t>
      </w:r>
      <w:r w:rsidRPr="00E00FED">
        <w:rPr>
          <w:rFonts w:ascii="Times New Roman" w:eastAsia="Arial Unicode MS" w:hAnsi="Times New Roman" w:cs="Times New Roman"/>
          <w:color w:val="000000" w:themeColor="text1"/>
          <w:sz w:val="24"/>
          <w:szCs w:val="24"/>
          <w:lang w:val="en-IE" w:eastAsia="en-AU" w:bidi="hi-IN"/>
        </w:rPr>
        <w:t>including:</w:t>
      </w:r>
    </w:p>
    <w:p w:rsidR="00283661" w:rsidRPr="00E1368F"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i/>
          <w:color w:val="000000" w:themeColor="text1"/>
          <w:szCs w:val="24"/>
          <w:lang w:val="en-IE" w:eastAsia="en-AU" w:bidi="hi-IN"/>
        </w:rPr>
        <w:t>Telecommunications (NBN Consumer Information) Industry Standard 2018</w:t>
      </w:r>
      <w:r>
        <w:rPr>
          <w:rFonts w:ascii="Times New Roman" w:eastAsia="Arial Unicode MS" w:hAnsi="Times New Roman" w:cs="Times New Roman"/>
          <w:color w:val="000000" w:themeColor="text1"/>
          <w:szCs w:val="24"/>
          <w:lang w:val="en-IE" w:eastAsia="en-AU" w:bidi="hi-IN"/>
        </w:rPr>
        <w:t>;</w:t>
      </w:r>
    </w:p>
    <w:p w:rsidR="00283661" w:rsidRPr="00F95409"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i/>
          <w:color w:val="000000" w:themeColor="text1"/>
          <w:szCs w:val="24"/>
          <w:lang w:val="en-IE" w:eastAsia="en-AU" w:bidi="hi-IN"/>
        </w:rPr>
        <w:t>Telecommunications Service Provider (NBN Service Migration) Determination 2018</w:t>
      </w:r>
      <w:r>
        <w:rPr>
          <w:rFonts w:ascii="Times New Roman" w:eastAsia="Arial Unicode MS" w:hAnsi="Times New Roman" w:cs="Times New Roman"/>
          <w:color w:val="000000" w:themeColor="text1"/>
          <w:szCs w:val="24"/>
          <w:lang w:val="en-IE" w:eastAsia="en-AU" w:bidi="hi-IN"/>
        </w:rPr>
        <w:t>;</w:t>
      </w:r>
    </w:p>
    <w:p w:rsidR="00283661" w:rsidRPr="00F95409"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color w:val="000000" w:themeColor="text1"/>
          <w:szCs w:val="24"/>
          <w:lang w:val="en-IE" w:eastAsia="en-AU" w:bidi="hi-IN"/>
        </w:rPr>
        <w:t>Monitoring of broadband performance by the ACCC.</w:t>
      </w:r>
    </w:p>
    <w:p w:rsidR="00283661" w:rsidRDefault="00283661" w:rsidP="00322DEE">
      <w:pPr>
        <w:jc w:val="both"/>
        <w:rPr>
          <w:rFonts w:ascii="Times New Roman" w:eastAsia="Arial Unicode MS" w:hAnsi="Times New Roman" w:cs="Times New Roman"/>
          <w:color w:val="000000" w:themeColor="text1"/>
          <w:sz w:val="24"/>
          <w:szCs w:val="24"/>
          <w:lang w:val="en-IE" w:eastAsia="en-AU" w:bidi="hi-IN"/>
        </w:rPr>
      </w:pPr>
      <w:r>
        <w:rPr>
          <w:rFonts w:ascii="Times New Roman" w:hAnsi="Times New Roman" w:cs="Times New Roman"/>
          <w:color w:val="000000" w:themeColor="text1"/>
          <w:sz w:val="24"/>
        </w:rPr>
        <w:t xml:space="preserve">The need for continued policy intervention to address information asymmetries more broadly have been highlighted in the energy sector by the </w:t>
      </w:r>
      <w:r w:rsidRPr="00B41CB2">
        <w:rPr>
          <w:rFonts w:ascii="Times New Roman" w:eastAsia="Arial Unicode MS" w:hAnsi="Times New Roman" w:cs="Times New Roman"/>
          <w:color w:val="000000" w:themeColor="text1"/>
          <w:sz w:val="24"/>
          <w:szCs w:val="24"/>
          <w:lang w:val="en-IE" w:eastAsia="en-AU" w:bidi="hi-IN"/>
        </w:rPr>
        <w:t xml:space="preserve">ACCC </w:t>
      </w:r>
      <w:r w:rsidRPr="00F574EA">
        <w:rPr>
          <w:rFonts w:ascii="Times New Roman" w:hAnsi="Times New Roman" w:cs="Times New Roman"/>
          <w:color w:val="000000" w:themeColor="text1"/>
          <w:sz w:val="24"/>
        </w:rPr>
        <w:t>(2018</w:t>
      </w:r>
      <w:r w:rsidR="00A60CD9">
        <w:rPr>
          <w:rFonts w:ascii="Times New Roman" w:hAnsi="Times New Roman" w:cs="Times New Roman"/>
          <w:color w:val="000000" w:themeColor="text1"/>
          <w:sz w:val="24"/>
        </w:rPr>
        <w:t>b</w:t>
      </w:r>
      <w:r w:rsidRPr="00F574EA">
        <w:rPr>
          <w:rFonts w:ascii="Times New Roman" w:hAnsi="Times New Roman" w:cs="Times New Roman"/>
          <w:color w:val="000000" w:themeColor="text1"/>
          <w:sz w:val="24"/>
        </w:rPr>
        <w:t>)</w:t>
      </w:r>
      <w:r>
        <w:rPr>
          <w:rFonts w:ascii="Times New Roman" w:eastAsia="Arial Unicode MS" w:hAnsi="Times New Roman" w:cs="Times New Roman"/>
          <w:color w:val="000000" w:themeColor="text1"/>
          <w:sz w:val="24"/>
          <w:szCs w:val="24"/>
          <w:lang w:val="en-IE" w:eastAsia="en-AU" w:bidi="hi-IN"/>
        </w:rPr>
        <w:t xml:space="preserve">, which recommended </w:t>
      </w:r>
      <w:r w:rsidR="00322DEE">
        <w:rPr>
          <w:rFonts w:ascii="Times New Roman" w:eastAsia="Arial Unicode MS" w:hAnsi="Times New Roman" w:cs="Times New Roman"/>
          <w:color w:val="000000" w:themeColor="text1"/>
          <w:sz w:val="24"/>
          <w:szCs w:val="24"/>
          <w:lang w:val="en-IE" w:eastAsia="en-AU" w:bidi="hi-IN"/>
        </w:rPr>
        <w:t>reform</w:t>
      </w:r>
      <w:r>
        <w:rPr>
          <w:rFonts w:ascii="Times New Roman" w:eastAsia="Arial Unicode MS" w:hAnsi="Times New Roman" w:cs="Times New Roman"/>
          <w:color w:val="000000" w:themeColor="text1"/>
          <w:sz w:val="24"/>
          <w:szCs w:val="24"/>
          <w:lang w:val="en-IE" w:eastAsia="en-AU" w:bidi="hi-IN"/>
        </w:rPr>
        <w:t>s</w:t>
      </w:r>
      <w:r w:rsidR="00322DEE">
        <w:rPr>
          <w:rFonts w:ascii="Times New Roman" w:eastAsia="Arial Unicode MS" w:hAnsi="Times New Roman" w:cs="Times New Roman"/>
          <w:color w:val="000000" w:themeColor="text1"/>
          <w:sz w:val="24"/>
          <w:szCs w:val="24"/>
          <w:lang w:val="en-IE" w:eastAsia="en-AU" w:bidi="hi-IN"/>
        </w:rPr>
        <w:t xml:space="preserve"> to allow for consistent comparisons to reduce the information asymmetries that exist between consumer and firms. </w:t>
      </w:r>
    </w:p>
    <w:p w:rsidR="009D1D79" w:rsidRPr="00746279" w:rsidRDefault="00322DEE" w:rsidP="00322DEE">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The financial services sector has</w:t>
      </w:r>
      <w:r w:rsidR="00283661">
        <w:rPr>
          <w:rFonts w:ascii="Times New Roman" w:eastAsia="Arial Unicode MS" w:hAnsi="Times New Roman" w:cs="Times New Roman"/>
          <w:color w:val="000000" w:themeColor="text1"/>
          <w:sz w:val="24"/>
          <w:szCs w:val="24"/>
          <w:lang w:val="en-IE" w:eastAsia="en-AU" w:bidi="hi-IN"/>
        </w:rPr>
        <w:t xml:space="preserve"> similarly</w:t>
      </w:r>
      <w:r>
        <w:rPr>
          <w:rFonts w:ascii="Times New Roman" w:eastAsia="Arial Unicode MS" w:hAnsi="Times New Roman" w:cs="Times New Roman"/>
          <w:color w:val="000000" w:themeColor="text1"/>
          <w:sz w:val="24"/>
          <w:szCs w:val="24"/>
          <w:lang w:val="en-IE" w:eastAsia="en-AU" w:bidi="hi-IN"/>
        </w:rPr>
        <w:t xml:space="preserve"> been identified as suffering from rampant information asymmetries, </w:t>
      </w:r>
      <w:r w:rsidR="00283661">
        <w:rPr>
          <w:rFonts w:ascii="Times New Roman" w:eastAsia="Arial Unicode MS" w:hAnsi="Times New Roman" w:cs="Times New Roman"/>
          <w:color w:val="000000" w:themeColor="text1"/>
          <w:sz w:val="24"/>
          <w:szCs w:val="24"/>
          <w:lang w:val="en-IE" w:eastAsia="en-AU" w:bidi="hi-IN"/>
        </w:rPr>
        <w:t>with</w:t>
      </w:r>
      <w:r>
        <w:rPr>
          <w:rFonts w:ascii="Times New Roman" w:eastAsia="Arial Unicode MS" w:hAnsi="Times New Roman" w:cs="Times New Roman"/>
          <w:color w:val="000000" w:themeColor="text1"/>
          <w:sz w:val="24"/>
          <w:szCs w:val="24"/>
          <w:lang w:val="en-IE" w:eastAsia="en-AU" w:bidi="hi-IN"/>
        </w:rPr>
        <w:t xml:space="preserve"> the </w:t>
      </w:r>
      <w:r w:rsidRPr="00B41CB2">
        <w:rPr>
          <w:rFonts w:ascii="Times New Roman" w:eastAsia="Arial Unicode MS" w:hAnsi="Times New Roman" w:cs="Times New Roman"/>
          <w:color w:val="000000" w:themeColor="text1"/>
          <w:sz w:val="24"/>
          <w:szCs w:val="24"/>
          <w:lang w:val="en-IE" w:eastAsia="en-AU" w:bidi="hi-IN"/>
        </w:rPr>
        <w:t xml:space="preserve">Productivity Commission </w:t>
      </w:r>
      <w:r w:rsidRPr="00B41CB2">
        <w:rPr>
          <w:rFonts w:ascii="Times New Roman" w:hAnsi="Times New Roman" w:cs="Times New Roman"/>
          <w:color w:val="000000" w:themeColor="text1"/>
          <w:sz w:val="24"/>
        </w:rPr>
        <w:t>(2018, p. 89-90)</w:t>
      </w:r>
      <w:r w:rsidRPr="00B41CB2">
        <w:rPr>
          <w:rFonts w:ascii="Times New Roman" w:eastAsia="Arial Unicode MS" w:hAnsi="Times New Roman" w:cs="Times New Roman"/>
          <w:color w:val="000000" w:themeColor="text1"/>
          <w:sz w:val="24"/>
          <w:szCs w:val="24"/>
          <w:lang w:val="en-IE" w:eastAsia="en-AU" w:bidi="hi-IN"/>
        </w:rPr>
        <w:t xml:space="preserve"> </w:t>
      </w:r>
      <w:r w:rsidR="00283661">
        <w:rPr>
          <w:rFonts w:ascii="Times New Roman" w:eastAsia="Arial Unicode MS" w:hAnsi="Times New Roman" w:cs="Times New Roman"/>
          <w:color w:val="000000" w:themeColor="text1"/>
          <w:sz w:val="24"/>
          <w:szCs w:val="24"/>
          <w:lang w:val="en-IE" w:eastAsia="en-AU" w:bidi="hi-IN"/>
        </w:rPr>
        <w:t>noting</w:t>
      </w:r>
      <w:r>
        <w:rPr>
          <w:rFonts w:ascii="Times New Roman" w:eastAsia="Arial Unicode MS" w:hAnsi="Times New Roman" w:cs="Times New Roman"/>
          <w:color w:val="000000" w:themeColor="text1"/>
          <w:sz w:val="24"/>
          <w:szCs w:val="24"/>
          <w:lang w:val="en-IE" w:eastAsia="en-AU" w:bidi="hi-IN"/>
        </w:rPr>
        <w:t xml:space="preserve"> that providers typically have more information on product differentiation, pricing, risk and quality than consumers. Moreover, the use of disclosure as a tool to resolve information asymmetries was identified as ineffective.</w:t>
      </w:r>
    </w:p>
    <w:p w:rsidR="00322DEE" w:rsidRPr="00B41CB2" w:rsidRDefault="00322DEE" w:rsidP="00322DEE">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Citing ASIC, the Commission noted the implications of asymmetries for consumers:</w:t>
      </w:r>
    </w:p>
    <w:p w:rsidR="00322DEE" w:rsidRPr="00B41CB2" w:rsidRDefault="00322DEE" w:rsidP="00322DEE">
      <w:pPr>
        <w:spacing w:before="100" w:beforeAutospacing="1" w:after="100" w:afterAutospacing="1" w:line="240" w:lineRule="auto"/>
        <w:ind w:left="720"/>
        <w:jc w:val="both"/>
        <w:rPr>
          <w:rFonts w:ascii="Times New Roman" w:eastAsia="Times New Roman" w:hAnsi="Times New Roman" w:cs="Times New Roman"/>
          <w:sz w:val="24"/>
          <w:szCs w:val="24"/>
          <w:lang w:val="en-AU" w:eastAsia="en-AU"/>
        </w:rPr>
      </w:pPr>
      <w:r w:rsidRPr="00B41CB2">
        <w:rPr>
          <w:rFonts w:ascii="Times New Roman" w:eastAsia="Times New Roman" w:hAnsi="Times New Roman" w:cs="Times New Roman"/>
          <w:lang w:val="en-AU" w:eastAsia="en-AU"/>
        </w:rPr>
        <w:t xml:space="preserve">The provider of a financial product or service generally has more information than the consumer about the terms and conditions of the product or service. Consumers are generally unable to negotiate more favourable terms or conditions. This information asymmetry creates opportunities for inappropriate or exploitative behaviour by providers. Providers could potentially design products or services that maximise their interests over that of consumers. (ASIC, sub. 40, p. 15) </w:t>
      </w:r>
    </w:p>
    <w:p w:rsidR="00322DEE" w:rsidRDefault="00322DEE" w:rsidP="00322DEE">
      <w:pPr>
        <w:jc w:val="right"/>
        <w:rPr>
          <w:rFonts w:ascii="Times New Roman" w:hAnsi="Times New Roman" w:cs="Times New Roman"/>
          <w:color w:val="000000" w:themeColor="text1"/>
          <w:sz w:val="24"/>
        </w:rPr>
      </w:pPr>
      <w:r w:rsidRPr="00B41CB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PC </w:t>
      </w:r>
      <w:r w:rsidRPr="00B41CB2">
        <w:rPr>
          <w:rFonts w:ascii="Times New Roman" w:hAnsi="Times New Roman" w:cs="Times New Roman"/>
          <w:color w:val="000000" w:themeColor="text1"/>
          <w:sz w:val="24"/>
        </w:rPr>
        <w:t>2018, p. 89-90</w:t>
      </w:r>
      <w:r>
        <w:rPr>
          <w:rFonts w:ascii="Times New Roman" w:hAnsi="Times New Roman" w:cs="Times New Roman"/>
          <w:color w:val="000000" w:themeColor="text1"/>
          <w:sz w:val="24"/>
        </w:rPr>
        <w:t>)</w:t>
      </w:r>
    </w:p>
    <w:p w:rsidR="008D751F" w:rsidRDefault="00F13807" w:rsidP="00F67C30">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 xml:space="preserve">ACCAN supports the implementation of reforms that address a variety of market failures present in the telecommunications sector, and </w:t>
      </w:r>
      <w:r w:rsidR="00527902">
        <w:rPr>
          <w:rFonts w:ascii="Times New Roman" w:eastAsia="Arial Unicode MS" w:hAnsi="Times New Roman" w:cs="Times New Roman"/>
          <w:color w:val="000000" w:themeColor="text1"/>
          <w:sz w:val="24"/>
          <w:szCs w:val="24"/>
          <w:lang w:val="en-IE" w:eastAsia="en-AU" w:bidi="hi-IN"/>
        </w:rPr>
        <w:t>supports the development of targeted</w:t>
      </w:r>
      <w:r>
        <w:rPr>
          <w:rFonts w:ascii="Times New Roman" w:eastAsia="Arial Unicode MS" w:hAnsi="Times New Roman" w:cs="Times New Roman"/>
          <w:color w:val="000000" w:themeColor="text1"/>
          <w:sz w:val="24"/>
          <w:szCs w:val="24"/>
          <w:lang w:val="en-IE" w:eastAsia="en-AU" w:bidi="hi-IN"/>
        </w:rPr>
        <w:t xml:space="preserve"> </w:t>
      </w:r>
      <w:r w:rsidR="00F67C30">
        <w:rPr>
          <w:rFonts w:ascii="Times New Roman" w:eastAsia="Arial Unicode MS" w:hAnsi="Times New Roman" w:cs="Times New Roman"/>
          <w:color w:val="000000" w:themeColor="text1"/>
          <w:sz w:val="24"/>
          <w:szCs w:val="24"/>
          <w:lang w:val="en-IE" w:eastAsia="en-AU" w:bidi="hi-IN"/>
        </w:rPr>
        <w:t xml:space="preserve">policy interventions to address specific problems. As part of this review, the Treasury should consider the extent to which the CDR may be further refined to address the reduction of transaction costs, and/or information asymmetries within the identified sectors. </w:t>
      </w:r>
    </w:p>
    <w:p w:rsidR="007B58FE" w:rsidRDefault="007B58FE" w:rsidP="00F67C30">
      <w:pPr>
        <w:jc w:val="both"/>
        <w:rPr>
          <w:rFonts w:ascii="Times New Roman" w:eastAsia="Arial Unicode MS" w:hAnsi="Times New Roman" w:cs="Times New Roman"/>
          <w:color w:val="000000" w:themeColor="text1"/>
          <w:sz w:val="24"/>
          <w:szCs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7392" behindDoc="0" locked="0" layoutInCell="1" allowOverlap="1" wp14:anchorId="3DE5D8EF" wp14:editId="35C00E6F">
                <wp:simplePos x="0" y="0"/>
                <wp:positionH relativeFrom="column">
                  <wp:posOffset>0</wp:posOffset>
                </wp:positionH>
                <wp:positionV relativeFrom="paragraph">
                  <wp:posOffset>43862</wp:posOffset>
                </wp:positionV>
                <wp:extent cx="5720080" cy="882315"/>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5720080" cy="882315"/>
                        </a:xfrm>
                        <a:prstGeom prst="rect">
                          <a:avLst/>
                        </a:prstGeom>
                        <a:solidFill>
                          <a:sysClr val="window" lastClr="FFFFFF"/>
                        </a:solidFill>
                        <a:ln w="6350">
                          <a:solidFill>
                            <a:srgbClr val="00B0F0"/>
                          </a:solidFill>
                        </a:ln>
                      </wps:spPr>
                      <wps:txbx>
                        <w:txbxContent>
                          <w:p w:rsidR="00DD5468" w:rsidRPr="00344CDC" w:rsidRDefault="00DD5468" w:rsidP="008D751F">
                            <w:pPr>
                              <w:rPr>
                                <w:rFonts w:ascii="Times New Roman" w:hAnsi="Times New Roman" w:cs="Times New Roman"/>
                                <w:b/>
                              </w:rPr>
                            </w:pPr>
                            <w:r w:rsidRPr="00344CDC">
                              <w:rPr>
                                <w:rFonts w:ascii="Times New Roman" w:hAnsi="Times New Roman" w:cs="Times New Roman"/>
                                <w:b/>
                              </w:rPr>
                              <w:t>Recommendation 5</w:t>
                            </w:r>
                          </w:p>
                          <w:p w:rsidR="00DD5468" w:rsidRPr="00344CDC" w:rsidRDefault="00DD5468" w:rsidP="008D751F">
                            <w:pPr>
                              <w:jc w:val="both"/>
                              <w:rPr>
                                <w:rFonts w:ascii="Times New Roman" w:hAnsi="Times New Roman" w:cs="Times New Roman"/>
                                <w:i/>
                              </w:rPr>
                            </w:pPr>
                            <w:r w:rsidRPr="00344CDC">
                              <w:rPr>
                                <w:rFonts w:ascii="Times New Roman" w:hAnsi="Times New Roman" w:cs="Times New Roman"/>
                                <w:i/>
                              </w:rPr>
                              <w:t xml:space="preserve">That Treasury consider the potential for the CDR framework to both reduce transaction costs and resolve information asymmetries as part of a rigorous, and public cost-benefit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left:0;text-align:left;margin-left:0;margin-top:3.45pt;width:450.4pt;height:6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" fillcolor="window" strokecolor="#00b0f0" strokeweight=".5pt">
                <v:textbox>
                  <w:txbxContent>
                    <w:p w:rsidR="00DD5468" w:rsidRPr="00344CDC" w:rsidRDefault="00DD5468" w:rsidP="008D751F">
                      <w:pPr>
                        <w:rPr>
                          <w:rFonts w:ascii="Times New Roman" w:hAnsi="Times New Roman" w:cs="Times New Roman"/>
                          <w:b/>
                        </w:rPr>
                      </w:pPr>
                      <w:r w:rsidRPr="00344CDC">
                        <w:rPr>
                          <w:rFonts w:ascii="Times New Roman" w:hAnsi="Times New Roman" w:cs="Times New Roman"/>
                          <w:b/>
                        </w:rPr>
                        <w:t>Recommendation 5</w:t>
                      </w:r>
                    </w:p>
                    <w:p w:rsidR="00DD5468" w:rsidRPr="00344CDC" w:rsidRDefault="00DD5468" w:rsidP="008D751F">
                      <w:pPr>
                        <w:jc w:val="both"/>
                        <w:rPr>
                          <w:rFonts w:ascii="Times New Roman" w:hAnsi="Times New Roman" w:cs="Times New Roman"/>
                          <w:i/>
                        </w:rPr>
                      </w:pPr>
                      <w:r w:rsidRPr="00344CDC">
                        <w:rPr>
                          <w:rFonts w:ascii="Times New Roman" w:hAnsi="Times New Roman" w:cs="Times New Roman"/>
                          <w:i/>
                        </w:rPr>
                        <w:t xml:space="preserve">That Treasury consider the potential for the CDR framework to both reduce transaction costs and resolve information asymmetries as part of a rigorous, and public cost-benefit analysis. </w:t>
                      </w:r>
                    </w:p>
                  </w:txbxContent>
                </v:textbox>
              </v:shape>
            </w:pict>
          </mc:Fallback>
        </mc:AlternateContent>
      </w:r>
    </w:p>
    <w:p w:rsidR="007B58FE" w:rsidRDefault="007B58FE" w:rsidP="00F67C30">
      <w:pPr>
        <w:jc w:val="both"/>
        <w:rPr>
          <w:rFonts w:ascii="Times New Roman" w:eastAsia="Arial Unicode MS" w:hAnsi="Times New Roman" w:cs="Times New Roman"/>
          <w:color w:val="000000" w:themeColor="text1"/>
          <w:sz w:val="24"/>
          <w:szCs w:val="24"/>
          <w:lang w:val="en-IE" w:eastAsia="en-AU" w:bidi="hi-IN"/>
        </w:rPr>
      </w:pPr>
    </w:p>
    <w:p w:rsidR="00CF50DC" w:rsidRDefault="00CF50DC" w:rsidP="0094557B">
      <w:pPr>
        <w:spacing w:before="100" w:beforeAutospacing="1" w:after="100" w:afterAutospacing="1" w:line="360" w:lineRule="auto"/>
        <w:jc w:val="both"/>
        <w:rPr>
          <w:rFonts w:ascii="Arial" w:eastAsiaTheme="minorEastAsia" w:hAnsi="Arial" w:cs="Arial"/>
          <w:sz w:val="28"/>
          <w:szCs w:val="28"/>
          <w:lang w:val="en-AU" w:eastAsia="en-AU"/>
        </w:rPr>
      </w:pPr>
    </w:p>
    <w:p w:rsidR="0094557B" w:rsidRPr="00432F5F" w:rsidRDefault="0094557B" w:rsidP="0094557B">
      <w:pPr>
        <w:spacing w:before="100" w:beforeAutospacing="1" w:after="100" w:afterAutospacing="1" w:line="360" w:lineRule="auto"/>
        <w:jc w:val="both"/>
        <w:rPr>
          <w:rFonts w:ascii="Arial" w:eastAsiaTheme="minorEastAsia" w:hAnsi="Arial" w:cs="Arial"/>
          <w:sz w:val="28"/>
          <w:szCs w:val="28"/>
          <w:lang w:val="en-AU" w:eastAsia="en-AU"/>
        </w:rPr>
      </w:pPr>
      <w:r w:rsidRPr="00432F5F">
        <w:rPr>
          <w:rFonts w:ascii="Arial" w:eastAsiaTheme="minorEastAsia" w:hAnsi="Arial" w:cs="Arial"/>
          <w:sz w:val="28"/>
          <w:szCs w:val="28"/>
          <w:lang w:val="en-AU" w:eastAsia="en-AU"/>
        </w:rPr>
        <w:t xml:space="preserve">Who </w:t>
      </w:r>
      <w:r w:rsidR="00EF6E99" w:rsidRPr="00432F5F">
        <w:rPr>
          <w:rFonts w:ascii="Arial" w:eastAsiaTheme="minorEastAsia" w:hAnsi="Arial" w:cs="Arial"/>
          <w:sz w:val="28"/>
          <w:szCs w:val="28"/>
          <w:lang w:val="en-AU" w:eastAsia="en-AU"/>
        </w:rPr>
        <w:t>is</w:t>
      </w:r>
      <w:r w:rsidRPr="00432F5F">
        <w:rPr>
          <w:rFonts w:ascii="Arial" w:eastAsiaTheme="minorEastAsia" w:hAnsi="Arial" w:cs="Arial"/>
          <w:sz w:val="28"/>
          <w:szCs w:val="28"/>
          <w:lang w:val="en-AU" w:eastAsia="en-AU"/>
        </w:rPr>
        <w:t xml:space="preserve"> going to use the CDR?</w:t>
      </w:r>
    </w:p>
    <w:p w:rsidR="00B01DDD" w:rsidRDefault="00B01DDD" w:rsidP="009B12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A143BB">
        <w:rPr>
          <w:rFonts w:ascii="Times New Roman" w:eastAsiaTheme="minorEastAsia" w:hAnsi="Times New Roman" w:cs="Times New Roman"/>
          <w:color w:val="000000" w:themeColor="text1"/>
          <w:sz w:val="24"/>
          <w:szCs w:val="24"/>
          <w:lang w:val="en-AU" w:eastAsia="en-AU"/>
        </w:rPr>
        <w:t>An assumption should not be made that the CDR will be taken up by the majority o</w:t>
      </w:r>
      <w:r w:rsidR="00A65083">
        <w:rPr>
          <w:rFonts w:ascii="Times New Roman" w:eastAsiaTheme="minorEastAsia" w:hAnsi="Times New Roman" w:cs="Times New Roman"/>
          <w:color w:val="000000" w:themeColor="text1"/>
          <w:sz w:val="24"/>
          <w:szCs w:val="24"/>
          <w:lang w:val="en-AU" w:eastAsia="en-AU"/>
        </w:rPr>
        <w:t>f</w:t>
      </w:r>
      <w:r w:rsidRPr="00A143BB">
        <w:rPr>
          <w:rFonts w:ascii="Times New Roman" w:eastAsiaTheme="minorEastAsia" w:hAnsi="Times New Roman" w:cs="Times New Roman"/>
          <w:color w:val="000000" w:themeColor="text1"/>
          <w:sz w:val="24"/>
          <w:szCs w:val="24"/>
          <w:lang w:val="en-AU" w:eastAsia="en-AU"/>
        </w:rPr>
        <w:t xml:space="preserve"> consumers, in order to ensure that the assessment of costs and benefits is suitably robust. </w:t>
      </w:r>
      <w:r w:rsidR="001D41E6" w:rsidRPr="009B1230">
        <w:rPr>
          <w:rFonts w:ascii="Times New Roman" w:eastAsiaTheme="minorEastAsia" w:hAnsi="Times New Roman" w:cs="Times New Roman"/>
          <w:color w:val="000000" w:themeColor="text1"/>
          <w:sz w:val="24"/>
          <w:szCs w:val="24"/>
          <w:lang w:val="en-AU" w:eastAsia="en-AU"/>
        </w:rPr>
        <w:t xml:space="preserve">The quantum of benefits that flow from the proposed CDR </w:t>
      </w:r>
      <w:r w:rsidR="0007060B" w:rsidRPr="009B1230">
        <w:rPr>
          <w:rFonts w:ascii="Times New Roman" w:eastAsiaTheme="minorEastAsia" w:hAnsi="Times New Roman" w:cs="Times New Roman"/>
          <w:color w:val="000000" w:themeColor="text1"/>
          <w:sz w:val="24"/>
          <w:szCs w:val="24"/>
          <w:lang w:val="en-AU" w:eastAsia="en-AU"/>
        </w:rPr>
        <w:t>framework</w:t>
      </w:r>
      <w:r w:rsidR="001D41E6" w:rsidRPr="009B1230">
        <w:rPr>
          <w:rFonts w:ascii="Times New Roman" w:eastAsiaTheme="minorEastAsia" w:hAnsi="Times New Roman" w:cs="Times New Roman"/>
          <w:color w:val="000000" w:themeColor="text1"/>
          <w:sz w:val="24"/>
          <w:szCs w:val="24"/>
          <w:lang w:val="en-AU" w:eastAsia="en-AU"/>
        </w:rPr>
        <w:t xml:space="preserve"> is ultimately driven by the extent to which the framework is utilised by consumers to access, transfer and utilise their data to </w:t>
      </w:r>
      <w:r w:rsidR="00450EAA" w:rsidRPr="009B1230">
        <w:rPr>
          <w:rFonts w:ascii="Times New Roman" w:eastAsiaTheme="minorEastAsia" w:hAnsi="Times New Roman" w:cs="Times New Roman"/>
          <w:color w:val="000000" w:themeColor="text1"/>
          <w:sz w:val="24"/>
          <w:szCs w:val="24"/>
          <w:lang w:val="en-AU" w:eastAsia="en-AU"/>
        </w:rPr>
        <w:t>elicit</w:t>
      </w:r>
      <w:r w:rsidR="001D41E6" w:rsidRPr="009B1230">
        <w:rPr>
          <w:rFonts w:ascii="Times New Roman" w:eastAsiaTheme="minorEastAsia" w:hAnsi="Times New Roman" w:cs="Times New Roman"/>
          <w:color w:val="000000" w:themeColor="text1"/>
          <w:sz w:val="24"/>
          <w:szCs w:val="24"/>
          <w:lang w:val="en-AU" w:eastAsia="en-AU"/>
        </w:rPr>
        <w:t xml:space="preserve"> offers or inform their decisions. </w:t>
      </w:r>
    </w:p>
    <w:p w:rsidR="008F601D" w:rsidRPr="00A143BB" w:rsidRDefault="009B1230" w:rsidP="009B12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9B1230">
        <w:rPr>
          <w:rFonts w:ascii="Times New Roman" w:eastAsiaTheme="minorEastAsia" w:hAnsi="Times New Roman" w:cs="Times New Roman"/>
          <w:color w:val="000000" w:themeColor="text1"/>
          <w:sz w:val="24"/>
          <w:szCs w:val="24"/>
          <w:lang w:val="en-AU" w:eastAsia="en-AU"/>
        </w:rPr>
        <w:t xml:space="preserve">If the use of the CDR is limited to those consumers that are already active market </w:t>
      </w:r>
      <w:r w:rsidR="00A65083" w:rsidRPr="009B1230">
        <w:rPr>
          <w:rFonts w:ascii="Times New Roman" w:eastAsiaTheme="minorEastAsia" w:hAnsi="Times New Roman" w:cs="Times New Roman"/>
          <w:color w:val="000000" w:themeColor="text1"/>
          <w:sz w:val="24"/>
          <w:szCs w:val="24"/>
          <w:lang w:val="en-AU" w:eastAsia="en-AU"/>
        </w:rPr>
        <w:t xml:space="preserve">participants </w:t>
      </w:r>
      <w:r w:rsidR="00A65083">
        <w:rPr>
          <w:rFonts w:ascii="Times New Roman" w:eastAsiaTheme="minorEastAsia" w:hAnsi="Times New Roman" w:cs="Times New Roman"/>
          <w:color w:val="000000" w:themeColor="text1"/>
          <w:sz w:val="24"/>
          <w:szCs w:val="24"/>
          <w:lang w:val="en-AU" w:eastAsia="en-AU"/>
        </w:rPr>
        <w:t>(</w:t>
      </w:r>
      <w:r w:rsidRPr="009B1230">
        <w:rPr>
          <w:rFonts w:ascii="Times New Roman" w:eastAsiaTheme="minorEastAsia" w:hAnsi="Times New Roman" w:cs="Times New Roman"/>
          <w:color w:val="000000" w:themeColor="text1"/>
          <w:sz w:val="24"/>
          <w:szCs w:val="24"/>
          <w:lang w:val="en-AU" w:eastAsia="en-AU"/>
        </w:rPr>
        <w:t>insofar that they seek out better offers and discounts</w:t>
      </w:r>
      <w:r w:rsidR="00A65083">
        <w:rPr>
          <w:rFonts w:ascii="Times New Roman" w:eastAsiaTheme="minorEastAsia" w:hAnsi="Times New Roman" w:cs="Times New Roman"/>
          <w:color w:val="000000" w:themeColor="text1"/>
          <w:sz w:val="24"/>
          <w:szCs w:val="24"/>
          <w:lang w:val="en-AU" w:eastAsia="en-AU"/>
        </w:rPr>
        <w:t>)</w:t>
      </w:r>
      <w:r w:rsidRPr="009B1230">
        <w:rPr>
          <w:rFonts w:ascii="Times New Roman" w:eastAsiaTheme="minorEastAsia" w:hAnsi="Times New Roman" w:cs="Times New Roman"/>
          <w:color w:val="000000" w:themeColor="text1"/>
          <w:sz w:val="24"/>
          <w:szCs w:val="24"/>
          <w:lang w:val="en-AU" w:eastAsia="en-AU"/>
        </w:rPr>
        <w:t xml:space="preserve"> the additional benefits of the CDR may be marginal. Accordingly, which </w:t>
      </w:r>
      <w:r w:rsidRPr="00A143BB">
        <w:rPr>
          <w:rFonts w:ascii="Times New Roman" w:eastAsiaTheme="minorEastAsia" w:hAnsi="Times New Roman" w:cs="Times New Roman"/>
          <w:color w:val="000000" w:themeColor="text1"/>
          <w:sz w:val="24"/>
          <w:szCs w:val="24"/>
          <w:lang w:val="en-AU" w:eastAsia="en-AU"/>
        </w:rPr>
        <w:t xml:space="preserve">consumers use the CDR, how often and for what purposes will determine the benefits that flow from the proposed </w:t>
      </w:r>
      <w:proofErr w:type="gramStart"/>
      <w:r w:rsidRPr="00A143BB">
        <w:rPr>
          <w:rFonts w:ascii="Times New Roman" w:eastAsiaTheme="minorEastAsia" w:hAnsi="Times New Roman" w:cs="Times New Roman"/>
          <w:color w:val="000000" w:themeColor="text1"/>
          <w:sz w:val="24"/>
          <w:szCs w:val="24"/>
          <w:lang w:val="en-AU" w:eastAsia="en-AU"/>
        </w:rPr>
        <w:t>reforms.</w:t>
      </w:r>
      <w:proofErr w:type="gramEnd"/>
      <w:r w:rsidRPr="00A143BB">
        <w:rPr>
          <w:rFonts w:ascii="Times New Roman" w:eastAsiaTheme="minorEastAsia" w:hAnsi="Times New Roman" w:cs="Times New Roman"/>
          <w:color w:val="000000" w:themeColor="text1"/>
          <w:sz w:val="24"/>
          <w:szCs w:val="24"/>
          <w:lang w:val="en-AU" w:eastAsia="en-AU"/>
        </w:rPr>
        <w:t xml:space="preserve"> </w:t>
      </w:r>
    </w:p>
    <w:p w:rsidR="00712139" w:rsidRPr="00BE79AE" w:rsidRDefault="00712139" w:rsidP="00BE79AE">
      <w:pPr>
        <w:spacing w:before="100" w:beforeAutospacing="1" w:after="100" w:afterAutospacing="1"/>
        <w:jc w:val="both"/>
        <w:rPr>
          <w:rFonts w:ascii="Arial" w:eastAsiaTheme="minorEastAsia" w:hAnsi="Arial" w:cs="Arial"/>
          <w:b/>
          <w:color w:val="000000" w:themeColor="text1"/>
          <w:sz w:val="32"/>
          <w:szCs w:val="32"/>
          <w:lang w:val="en-AU" w:eastAsia="en-AU"/>
        </w:rPr>
      </w:pPr>
      <w:r w:rsidRPr="00BE79AE">
        <w:rPr>
          <w:rFonts w:ascii="Arial" w:eastAsiaTheme="minorEastAsia" w:hAnsi="Arial" w:cs="Arial"/>
          <w:b/>
          <w:color w:val="000000" w:themeColor="text1"/>
          <w:sz w:val="32"/>
          <w:szCs w:val="32"/>
          <w:lang w:val="en-AU" w:eastAsia="en-AU"/>
        </w:rPr>
        <w:t>What are the costs of reform?</w:t>
      </w:r>
    </w:p>
    <w:p w:rsidR="00C50431" w:rsidRDefault="00BE79AE" w:rsidP="00C50431">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2D0969">
        <w:rPr>
          <w:rFonts w:ascii="Times New Roman" w:eastAsiaTheme="minorEastAsia" w:hAnsi="Times New Roman" w:cs="Times New Roman"/>
          <w:color w:val="000000" w:themeColor="text1"/>
          <w:sz w:val="24"/>
          <w:szCs w:val="24"/>
          <w:lang w:val="en-AU" w:eastAsia="en-AU"/>
        </w:rPr>
        <w:t xml:space="preserve">A rigorous appraisal of the costs of reform </w:t>
      </w:r>
      <w:r w:rsidR="0007060B">
        <w:rPr>
          <w:rFonts w:ascii="Times New Roman" w:eastAsiaTheme="minorEastAsia" w:hAnsi="Times New Roman" w:cs="Times New Roman"/>
          <w:color w:val="000000" w:themeColor="text1"/>
          <w:sz w:val="24"/>
          <w:szCs w:val="24"/>
          <w:lang w:val="en-AU" w:eastAsia="en-AU"/>
        </w:rPr>
        <w:t>is</w:t>
      </w:r>
      <w:r w:rsidRPr="002D0969">
        <w:rPr>
          <w:rFonts w:ascii="Times New Roman" w:eastAsiaTheme="minorEastAsia" w:hAnsi="Times New Roman" w:cs="Times New Roman"/>
          <w:color w:val="000000" w:themeColor="text1"/>
          <w:sz w:val="24"/>
          <w:szCs w:val="24"/>
          <w:lang w:val="en-AU" w:eastAsia="en-AU"/>
        </w:rPr>
        <w:t xml:space="preserve"> essential in assessing whether a potential policy option provides net benefits to society and consumers. </w:t>
      </w:r>
      <w:r w:rsidR="002E1311">
        <w:rPr>
          <w:rFonts w:ascii="Times New Roman" w:eastAsiaTheme="minorEastAsia" w:hAnsi="Times New Roman" w:cs="Times New Roman"/>
          <w:color w:val="000000" w:themeColor="text1"/>
          <w:sz w:val="24"/>
          <w:szCs w:val="24"/>
          <w:lang w:val="en-AU" w:eastAsia="en-AU"/>
        </w:rPr>
        <w:t xml:space="preserve">The legislation as drafted, adopts a </w:t>
      </w:r>
      <w:r w:rsidR="00C50431">
        <w:rPr>
          <w:rFonts w:ascii="Times New Roman" w:eastAsiaTheme="minorEastAsia" w:hAnsi="Times New Roman" w:cs="Times New Roman"/>
          <w:color w:val="000000" w:themeColor="text1"/>
          <w:sz w:val="24"/>
          <w:szCs w:val="24"/>
          <w:lang w:val="en-AU" w:eastAsia="en-AU"/>
        </w:rPr>
        <w:t>rule-based</w:t>
      </w:r>
      <w:r w:rsidR="00BD3ABF">
        <w:rPr>
          <w:rFonts w:ascii="Times New Roman" w:eastAsiaTheme="minorEastAsia" w:hAnsi="Times New Roman" w:cs="Times New Roman"/>
          <w:color w:val="000000" w:themeColor="text1"/>
          <w:sz w:val="24"/>
          <w:szCs w:val="24"/>
          <w:lang w:val="en-AU" w:eastAsia="en-AU"/>
        </w:rPr>
        <w:t xml:space="preserve"> approach to regulating individual sectors, which may entail greater costs than an economy-wide </w:t>
      </w:r>
      <w:r w:rsidR="00C50431">
        <w:rPr>
          <w:rFonts w:ascii="Times New Roman" w:eastAsiaTheme="minorEastAsia" w:hAnsi="Times New Roman" w:cs="Times New Roman"/>
          <w:color w:val="000000" w:themeColor="text1"/>
          <w:sz w:val="24"/>
          <w:szCs w:val="24"/>
          <w:lang w:val="en-AU" w:eastAsia="en-AU"/>
        </w:rPr>
        <w:t>principle-based</w:t>
      </w:r>
      <w:r w:rsidR="00BD3ABF">
        <w:rPr>
          <w:rFonts w:ascii="Times New Roman" w:eastAsiaTheme="minorEastAsia" w:hAnsi="Times New Roman" w:cs="Times New Roman"/>
          <w:color w:val="000000" w:themeColor="text1"/>
          <w:sz w:val="24"/>
          <w:szCs w:val="24"/>
          <w:lang w:val="en-AU" w:eastAsia="en-AU"/>
        </w:rPr>
        <w:t xml:space="preserve"> approach. </w:t>
      </w:r>
      <w:r w:rsidR="00F70DE3">
        <w:rPr>
          <w:rFonts w:ascii="Times New Roman" w:eastAsiaTheme="minorEastAsia" w:hAnsi="Times New Roman" w:cs="Times New Roman"/>
          <w:color w:val="000000" w:themeColor="text1"/>
          <w:sz w:val="24"/>
          <w:szCs w:val="24"/>
          <w:lang w:val="en-AU" w:eastAsia="en-AU"/>
        </w:rPr>
        <w:t xml:space="preserve">ACCAN considers that a rules-based system may entail greater costs over the longer term due to the need for ongoing regulatory change and regulatory costs, associated with less flexible rules-based frameworks </w:t>
      </w:r>
      <w:r w:rsidR="00AF4522" w:rsidRPr="00AF4522">
        <w:rPr>
          <w:rFonts w:ascii="Times New Roman" w:hAnsi="Times New Roman" w:cs="Times New Roman"/>
          <w:color w:val="000000"/>
          <w:sz w:val="24"/>
        </w:rPr>
        <w:t>(</w:t>
      </w:r>
      <w:proofErr w:type="spellStart"/>
      <w:r w:rsidR="00AF4522" w:rsidRPr="00AF4522">
        <w:rPr>
          <w:rFonts w:ascii="Times New Roman" w:hAnsi="Times New Roman" w:cs="Times New Roman"/>
          <w:color w:val="000000"/>
          <w:sz w:val="24"/>
        </w:rPr>
        <w:t>Kaplow</w:t>
      </w:r>
      <w:proofErr w:type="spellEnd"/>
      <w:r w:rsidR="00AF4522" w:rsidRPr="00AF4522">
        <w:rPr>
          <w:rFonts w:ascii="Times New Roman" w:hAnsi="Times New Roman" w:cs="Times New Roman"/>
          <w:color w:val="000000"/>
          <w:sz w:val="24"/>
        </w:rPr>
        <w:t xml:space="preserve"> 1992)</w:t>
      </w:r>
      <w:r w:rsidR="00F70DE3" w:rsidRPr="00F70DE3">
        <w:rPr>
          <w:rFonts w:ascii="Times New Roman" w:eastAsiaTheme="minorEastAsia" w:hAnsi="Times New Roman" w:cs="Times New Roman"/>
          <w:color w:val="000000" w:themeColor="text1"/>
          <w:sz w:val="24"/>
          <w:szCs w:val="24"/>
          <w:lang w:val="en-AU" w:eastAsia="en-AU"/>
        </w:rPr>
        <w:t>.</w:t>
      </w:r>
      <w:r w:rsidR="00F70DE3">
        <w:rPr>
          <w:rFonts w:ascii="Times New Roman" w:eastAsiaTheme="minorEastAsia" w:hAnsi="Times New Roman" w:cs="Times New Roman"/>
          <w:color w:val="000000" w:themeColor="text1"/>
          <w:sz w:val="24"/>
          <w:szCs w:val="24"/>
          <w:lang w:val="en-AU" w:eastAsia="en-AU"/>
        </w:rPr>
        <w:t xml:space="preserve"> </w:t>
      </w:r>
    </w:p>
    <w:p w:rsidR="0063078E" w:rsidRDefault="0063078E" w:rsidP="0063078E">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is the preferred option?</w:t>
      </w:r>
    </w:p>
    <w:p w:rsidR="00E21722" w:rsidRDefault="00E21722" w:rsidP="00E21722">
      <w:pPr>
        <w:jc w:val="both"/>
        <w:rPr>
          <w:rFonts w:ascii="Times New Roman" w:eastAsiaTheme="minorEastAsia" w:hAnsi="Times New Roman" w:cs="Times New Roman"/>
          <w:color w:val="FF0000"/>
          <w:sz w:val="24"/>
          <w:szCs w:val="24"/>
          <w:lang w:val="en-AU" w:eastAsia="en-AU"/>
        </w:rPr>
      </w:pPr>
      <w:r w:rsidRPr="0078337D">
        <w:rPr>
          <w:rFonts w:ascii="Times New Roman" w:hAnsi="Times New Roman" w:cs="Times New Roman"/>
          <w:color w:val="000000" w:themeColor="text1"/>
          <w:sz w:val="24"/>
          <w:szCs w:val="24"/>
        </w:rPr>
        <w:t xml:space="preserve">The first best solution to the policy problems outlined above would </w:t>
      </w:r>
      <w:r w:rsidR="004837BA">
        <w:rPr>
          <w:rFonts w:ascii="Times New Roman" w:hAnsi="Times New Roman" w:cs="Times New Roman"/>
          <w:color w:val="000000" w:themeColor="text1"/>
          <w:sz w:val="24"/>
          <w:szCs w:val="24"/>
        </w:rPr>
        <w:t xml:space="preserve">be </w:t>
      </w:r>
      <w:r w:rsidRPr="0078337D">
        <w:rPr>
          <w:rFonts w:ascii="Times New Roman" w:hAnsi="Times New Roman" w:cs="Times New Roman"/>
          <w:color w:val="000000" w:themeColor="text1"/>
          <w:sz w:val="24"/>
          <w:szCs w:val="24"/>
        </w:rPr>
        <w:t>the adopt</w:t>
      </w:r>
      <w:r w:rsidR="004837BA">
        <w:rPr>
          <w:rFonts w:ascii="Times New Roman" w:hAnsi="Times New Roman" w:cs="Times New Roman"/>
          <w:color w:val="000000" w:themeColor="text1"/>
          <w:sz w:val="24"/>
          <w:szCs w:val="24"/>
        </w:rPr>
        <w:t>ion</w:t>
      </w:r>
      <w:r w:rsidRPr="0078337D">
        <w:rPr>
          <w:rFonts w:ascii="Times New Roman" w:hAnsi="Times New Roman" w:cs="Times New Roman"/>
          <w:color w:val="000000" w:themeColor="text1"/>
          <w:sz w:val="24"/>
          <w:szCs w:val="24"/>
        </w:rPr>
        <w:t xml:space="preserve"> of a comprehensive</w:t>
      </w:r>
      <w:r>
        <w:rPr>
          <w:rFonts w:ascii="Times New Roman" w:hAnsi="Times New Roman" w:cs="Times New Roman"/>
          <w:color w:val="000000" w:themeColor="text1"/>
          <w:sz w:val="24"/>
          <w:szCs w:val="24"/>
        </w:rPr>
        <w:t xml:space="preserve"> economy wide</w:t>
      </w:r>
      <w:r w:rsidRPr="0078337D">
        <w:rPr>
          <w:rFonts w:ascii="Times New Roman" w:hAnsi="Times New Roman" w:cs="Times New Roman"/>
          <w:color w:val="000000" w:themeColor="text1"/>
          <w:sz w:val="24"/>
          <w:szCs w:val="24"/>
        </w:rPr>
        <w:t xml:space="preserve"> framework for the regulation and management of individual and business data. </w:t>
      </w:r>
      <w:r>
        <w:rPr>
          <w:rFonts w:ascii="Times New Roman" w:hAnsi="Times New Roman" w:cs="Times New Roman"/>
          <w:color w:val="000000" w:themeColor="text1"/>
          <w:sz w:val="24"/>
          <w:szCs w:val="24"/>
        </w:rPr>
        <w:t xml:space="preserve">This </w:t>
      </w:r>
      <w:r w:rsidRPr="00263494">
        <w:rPr>
          <w:rFonts w:ascii="Times New Roman" w:hAnsi="Times New Roman" w:cs="Times New Roman"/>
          <w:color w:val="000000" w:themeColor="text1"/>
          <w:sz w:val="24"/>
          <w:szCs w:val="24"/>
        </w:rPr>
        <w:t xml:space="preserve">approach could be modelled on the </w:t>
      </w:r>
      <w:r w:rsidRPr="00263494">
        <w:rPr>
          <w:rFonts w:ascii="Times New Roman" w:eastAsiaTheme="minorEastAsia" w:hAnsi="Times New Roman" w:cs="Times New Roman"/>
          <w:i/>
          <w:color w:val="000000" w:themeColor="text1"/>
          <w:sz w:val="24"/>
          <w:szCs w:val="24"/>
          <w:lang w:val="en-AU" w:eastAsia="en-AU"/>
        </w:rPr>
        <w:t>General Data Protection Regulation</w:t>
      </w:r>
      <w:r w:rsidRPr="00263494">
        <w:rPr>
          <w:rFonts w:ascii="Times New Roman" w:eastAsiaTheme="minorEastAsia" w:hAnsi="Times New Roman" w:cs="Times New Roman"/>
          <w:color w:val="000000" w:themeColor="text1"/>
          <w:sz w:val="24"/>
          <w:szCs w:val="24"/>
          <w:lang w:val="en-AU" w:eastAsia="en-AU"/>
        </w:rPr>
        <w:t xml:space="preserve">, and would provide for a uniform, principles-based regime of data protection.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sidRPr="00263494">
        <w:rPr>
          <w:rFonts w:ascii="Times New Roman" w:eastAsiaTheme="minorEastAsia" w:hAnsi="Times New Roman" w:cs="Times New Roman"/>
          <w:color w:val="000000" w:themeColor="text1"/>
          <w:sz w:val="24"/>
          <w:szCs w:val="24"/>
          <w:lang w:val="en-AU" w:eastAsia="en-AU"/>
        </w:rPr>
        <w:t>A universal framework of data protection, does not directly reduce transaction costs in the manner proposed by the CDR. However, in providing consumers and small business clear and unambiguous privacy and data protections, it reduces transaction costs indirectly</w:t>
      </w:r>
      <w:r w:rsidR="00615A5B">
        <w:rPr>
          <w:rFonts w:ascii="Times New Roman" w:eastAsiaTheme="minorEastAsia" w:hAnsi="Times New Roman" w:cs="Times New Roman"/>
          <w:color w:val="000000" w:themeColor="text1"/>
          <w:sz w:val="24"/>
          <w:szCs w:val="24"/>
          <w:lang w:val="en-AU" w:eastAsia="en-AU"/>
        </w:rPr>
        <w:t xml:space="preserve"> (e.g. it may provide consumers’ confidence to use existing processes to transfer information)</w:t>
      </w:r>
      <w:r w:rsidRPr="00263494">
        <w:rPr>
          <w:rFonts w:ascii="Times New Roman" w:eastAsiaTheme="minorEastAsia" w:hAnsi="Times New Roman" w:cs="Times New Roman"/>
          <w:color w:val="000000" w:themeColor="text1"/>
          <w:sz w:val="24"/>
          <w:szCs w:val="24"/>
          <w:lang w:val="en-AU" w:eastAsia="en-AU"/>
        </w:rPr>
        <w:t>.</w:t>
      </w:r>
      <w:r>
        <w:rPr>
          <w:rFonts w:ascii="Times New Roman" w:eastAsiaTheme="minorEastAsia" w:hAnsi="Times New Roman" w:cs="Times New Roman"/>
          <w:color w:val="000000" w:themeColor="text1"/>
          <w:sz w:val="24"/>
          <w:szCs w:val="24"/>
          <w:lang w:val="en-AU" w:eastAsia="en-AU"/>
        </w:rPr>
        <w:t xml:space="preserve"> When consumers and small businesses are confident that their data is protected, their willingness to engage with firms and service providers seeking that data will increase.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The adoption of a uniform data protection regime, would provide similar or greater economic benefits than the proposed CDR, noting that </w:t>
      </w:r>
      <w:r w:rsidR="004837BA">
        <w:rPr>
          <w:rFonts w:ascii="Times New Roman" w:eastAsiaTheme="minorEastAsia" w:hAnsi="Times New Roman" w:cs="Times New Roman"/>
          <w:color w:val="000000" w:themeColor="text1"/>
          <w:sz w:val="24"/>
          <w:szCs w:val="24"/>
          <w:lang w:val="en-AU" w:eastAsia="en-AU"/>
        </w:rPr>
        <w:t xml:space="preserve">the </w:t>
      </w:r>
      <w:r>
        <w:rPr>
          <w:rFonts w:ascii="Times New Roman" w:eastAsiaTheme="minorEastAsia" w:hAnsi="Times New Roman" w:cs="Times New Roman"/>
          <w:color w:val="000000" w:themeColor="text1"/>
          <w:sz w:val="24"/>
          <w:szCs w:val="24"/>
          <w:lang w:val="en-AU" w:eastAsia="en-AU"/>
        </w:rPr>
        <w:t xml:space="preserve">simple measure to communicate data (such as emailing statements) could achieve similar outcomes as a CDR (without industry or regulatory cost), where consumers </w:t>
      </w:r>
      <w:r w:rsidR="004837BA">
        <w:rPr>
          <w:rFonts w:ascii="Times New Roman" w:eastAsiaTheme="minorEastAsia" w:hAnsi="Times New Roman" w:cs="Times New Roman"/>
          <w:color w:val="000000" w:themeColor="text1"/>
          <w:sz w:val="24"/>
          <w:szCs w:val="24"/>
          <w:lang w:val="en-AU" w:eastAsia="en-AU"/>
        </w:rPr>
        <w:t xml:space="preserve">are </w:t>
      </w:r>
      <w:r>
        <w:rPr>
          <w:rFonts w:ascii="Times New Roman" w:eastAsiaTheme="minorEastAsia" w:hAnsi="Times New Roman" w:cs="Times New Roman"/>
          <w:color w:val="000000" w:themeColor="text1"/>
          <w:sz w:val="24"/>
          <w:szCs w:val="24"/>
          <w:lang w:val="en-AU" w:eastAsia="en-AU"/>
        </w:rPr>
        <w:t xml:space="preserve">provided appropriate privacy protections.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If consumers are confident when engaging with firms seeking their data, the economic gains that will be generated </w:t>
      </w:r>
      <w:r w:rsidR="004837BA">
        <w:rPr>
          <w:rFonts w:ascii="Times New Roman" w:eastAsiaTheme="minorEastAsia" w:hAnsi="Times New Roman" w:cs="Times New Roman"/>
          <w:color w:val="000000" w:themeColor="text1"/>
          <w:sz w:val="24"/>
          <w:szCs w:val="24"/>
          <w:lang w:val="en-AU" w:eastAsia="en-AU"/>
        </w:rPr>
        <w:t>for</w:t>
      </w:r>
      <w:r w:rsidR="00DC24E1">
        <w:rPr>
          <w:rFonts w:ascii="Times New Roman" w:eastAsiaTheme="minorEastAsia" w:hAnsi="Times New Roman" w:cs="Times New Roman"/>
          <w:color w:val="000000" w:themeColor="text1"/>
          <w:sz w:val="24"/>
          <w:szCs w:val="24"/>
          <w:lang w:val="en-AU" w:eastAsia="en-AU"/>
        </w:rPr>
        <w:t xml:space="preserve"> consumers and industry</w:t>
      </w:r>
      <w:r w:rsidR="004837BA">
        <w:rPr>
          <w:rFonts w:ascii="Times New Roman" w:eastAsiaTheme="minorEastAsia" w:hAnsi="Times New Roman" w:cs="Times New Roman"/>
          <w:color w:val="000000" w:themeColor="text1"/>
          <w:sz w:val="24"/>
          <w:szCs w:val="24"/>
          <w:lang w:val="en-AU" w:eastAsia="en-AU"/>
        </w:rPr>
        <w:t xml:space="preserve"> </w:t>
      </w:r>
      <w:r>
        <w:rPr>
          <w:rFonts w:ascii="Times New Roman" w:eastAsiaTheme="minorEastAsia" w:hAnsi="Times New Roman" w:cs="Times New Roman"/>
          <w:color w:val="000000" w:themeColor="text1"/>
          <w:sz w:val="24"/>
          <w:szCs w:val="24"/>
          <w:lang w:val="en-AU" w:eastAsia="en-AU"/>
        </w:rPr>
        <w:t xml:space="preserve">are likely to exceed those of a narrower industry-based approach. For consumers, the complexity of industry-specific CDR protections and processes, are likely to limit the attractiveness of engaging with the system, while simultaneously increasing the costs for industry to comply.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ACCAN supports the adoption of a best practice regulatory approach, with tiered risk-based regulation, with escalating requirements for firms based on the sensitivity of the information and risk of misconduct in industries. Although a uniform </w:t>
      </w:r>
      <w:r w:rsidR="00C50431">
        <w:rPr>
          <w:rFonts w:ascii="Times New Roman" w:eastAsiaTheme="minorEastAsia" w:hAnsi="Times New Roman" w:cs="Times New Roman"/>
          <w:color w:val="000000" w:themeColor="text1"/>
          <w:sz w:val="24"/>
          <w:szCs w:val="24"/>
          <w:lang w:val="en-AU" w:eastAsia="en-AU"/>
        </w:rPr>
        <w:t>principles-based</w:t>
      </w:r>
      <w:r>
        <w:rPr>
          <w:rFonts w:ascii="Times New Roman" w:eastAsiaTheme="minorEastAsia" w:hAnsi="Times New Roman" w:cs="Times New Roman"/>
          <w:color w:val="000000" w:themeColor="text1"/>
          <w:sz w:val="24"/>
          <w:szCs w:val="24"/>
          <w:lang w:val="en-AU" w:eastAsia="en-AU"/>
        </w:rPr>
        <w:t xml:space="preserve"> approach may initially entail higher costs in terms of implementation, </w:t>
      </w:r>
      <w:r w:rsidR="00A904C2">
        <w:rPr>
          <w:rFonts w:ascii="Times New Roman" w:eastAsiaTheme="minorEastAsia" w:hAnsi="Times New Roman" w:cs="Times New Roman"/>
          <w:color w:val="000000" w:themeColor="text1"/>
          <w:sz w:val="24"/>
          <w:szCs w:val="24"/>
          <w:lang w:val="en-AU" w:eastAsia="en-AU"/>
        </w:rPr>
        <w:t>over the longer term as a standardised approach to data management and protection becomes common practice</w:t>
      </w:r>
      <w:r w:rsidR="0018368F">
        <w:rPr>
          <w:rFonts w:ascii="Times New Roman" w:eastAsiaTheme="minorEastAsia" w:hAnsi="Times New Roman" w:cs="Times New Roman"/>
          <w:color w:val="000000" w:themeColor="text1"/>
          <w:sz w:val="24"/>
          <w:szCs w:val="24"/>
          <w:lang w:val="en-AU" w:eastAsia="en-AU"/>
        </w:rPr>
        <w:t>,</w:t>
      </w:r>
      <w:r w:rsidR="00A904C2">
        <w:rPr>
          <w:rFonts w:ascii="Times New Roman" w:eastAsiaTheme="minorEastAsia" w:hAnsi="Times New Roman" w:cs="Times New Roman"/>
          <w:color w:val="000000" w:themeColor="text1"/>
          <w:sz w:val="24"/>
          <w:szCs w:val="24"/>
          <w:lang w:val="en-AU" w:eastAsia="en-AU"/>
        </w:rPr>
        <w:t xml:space="preserve"> the costs of the framework will fall. </w:t>
      </w:r>
    </w:p>
    <w:p w:rsidR="00F16480" w:rsidRPr="001270EF" w:rsidRDefault="00EB0D1E" w:rsidP="001270EF">
      <w:pPr>
        <w:jc w:val="both"/>
        <w:rPr>
          <w:rFonts w:ascii="Times New Roman" w:eastAsiaTheme="minorEastAsia" w:hAnsi="Times New Roman" w:cs="Times New Roman"/>
          <w:color w:val="000000" w:themeColor="text1"/>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9680" behindDoc="0" locked="0" layoutInCell="1" allowOverlap="1" wp14:anchorId="320D6405" wp14:editId="46C2E93C">
                <wp:simplePos x="0" y="0"/>
                <wp:positionH relativeFrom="column">
                  <wp:posOffset>0</wp:posOffset>
                </wp:positionH>
                <wp:positionV relativeFrom="paragraph">
                  <wp:posOffset>866</wp:posOffset>
                </wp:positionV>
                <wp:extent cx="5720080" cy="1034473"/>
                <wp:effectExtent l="0" t="0" r="7620" b="6985"/>
                <wp:wrapNone/>
                <wp:docPr id="19" name="Text Box 19"/>
                <wp:cNvGraphicFramePr/>
                <a:graphic xmlns:a="http://schemas.openxmlformats.org/drawingml/2006/main">
                  <a:graphicData uri="http://schemas.microsoft.com/office/word/2010/wordprocessingShape">
                    <wps:wsp>
                      <wps:cNvSpPr txBox="1"/>
                      <wps:spPr>
                        <a:xfrm>
                          <a:off x="0" y="0"/>
                          <a:ext cx="5720080" cy="1034473"/>
                        </a:xfrm>
                        <a:prstGeom prst="rect">
                          <a:avLst/>
                        </a:prstGeom>
                        <a:solidFill>
                          <a:sysClr val="window" lastClr="FFFFFF"/>
                        </a:solidFill>
                        <a:ln w="6350">
                          <a:solidFill>
                            <a:srgbClr val="00B0F0"/>
                          </a:solidFill>
                        </a:ln>
                      </wps:spPr>
                      <wps:txbx>
                        <w:txbxContent>
                          <w:p w:rsidR="00DD5468" w:rsidRPr="001410E8" w:rsidRDefault="00DD5468" w:rsidP="00EB0D1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EB0D1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0;margin-top:.05pt;width:450.4pt;height:8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" fillcolor="window" strokecolor="#00b0f0" strokeweight=".5pt">
                <v:textbox>
                  <w:txbxContent>
                    <w:p w:rsidR="00DD5468" w:rsidRPr="001410E8" w:rsidRDefault="00DD5468" w:rsidP="00EB0D1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EB0D1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v:textbox>
              </v:shape>
            </w:pict>
          </mc:Fallback>
        </mc:AlternateContent>
      </w:r>
    </w:p>
    <w:p w:rsidR="00303ECE" w:rsidRPr="00D0244A" w:rsidRDefault="00E155E4" w:rsidP="00D0244A">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4" w:name="_Toc524350289"/>
      <w:r>
        <w:rPr>
          <w:rFonts w:ascii="Calibri" w:eastAsia="Arial Unicode MS" w:hAnsi="Calibri" w:cs="font331"/>
          <w:bCs/>
          <w:kern w:val="1"/>
          <w:sz w:val="44"/>
          <w:szCs w:val="28"/>
          <w:lang w:val="en-IE" w:eastAsia="hi-IN" w:bidi="hi-IN"/>
        </w:rPr>
        <w:t>Privacy</w:t>
      </w:r>
      <w:bookmarkEnd w:id="4"/>
    </w:p>
    <w:p w:rsidR="00F9783D" w:rsidRDefault="00211FFD" w:rsidP="00773220">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Privacy is an important area for consumers, and a core focus of </w:t>
      </w:r>
      <w:r w:rsidR="00D0244A">
        <w:rPr>
          <w:rFonts w:ascii="Times New Roman" w:eastAsia="Arial Unicode MS" w:hAnsi="Times New Roman" w:cs="Times New Roman"/>
          <w:sz w:val="24"/>
          <w:lang w:val="en-IE" w:eastAsia="en-AU" w:bidi="hi-IN"/>
        </w:rPr>
        <w:t>ACCAN</w:t>
      </w:r>
      <w:r>
        <w:rPr>
          <w:rFonts w:ascii="Times New Roman" w:eastAsia="Arial Unicode MS" w:hAnsi="Times New Roman" w:cs="Times New Roman"/>
          <w:sz w:val="24"/>
          <w:lang w:val="en-IE" w:eastAsia="en-AU" w:bidi="hi-IN"/>
        </w:rPr>
        <w:t xml:space="preserve">’s advocacy work. We </w:t>
      </w:r>
      <w:r w:rsidR="00D0244A">
        <w:rPr>
          <w:rFonts w:ascii="Times New Roman" w:eastAsia="Arial Unicode MS" w:hAnsi="Times New Roman" w:cs="Times New Roman"/>
          <w:sz w:val="24"/>
          <w:lang w:val="en-IE" w:eastAsia="en-AU" w:bidi="hi-IN"/>
        </w:rPr>
        <w:t xml:space="preserve">support the protection of consumers’ privacy, as both a matter of principle and on the basis that privacy has a social and economic value to consumers. </w:t>
      </w:r>
    </w:p>
    <w:p w:rsidR="00F9783D" w:rsidRPr="00773220" w:rsidRDefault="00F9783D" w:rsidP="00773220">
      <w:pPr>
        <w:spacing w:before="100" w:beforeAutospacing="1" w:after="100" w:afterAutospacing="1"/>
        <w:jc w:val="both"/>
        <w:rPr>
          <w:rFonts w:ascii="Times New Roman" w:eastAsia="Arial Unicode MS" w:hAnsi="Times New Roman" w:cs="Times New Roman"/>
          <w:sz w:val="24"/>
          <w:lang w:val="en-IE" w:eastAsia="en-AU" w:bidi="hi-IN"/>
        </w:rPr>
      </w:pPr>
      <w:r w:rsidRPr="00831558">
        <w:rPr>
          <w:rFonts w:ascii="Times New Roman" w:eastAsia="Arial Unicode MS" w:hAnsi="Times New Roman" w:cs="Times New Roman"/>
          <w:sz w:val="24"/>
          <w:lang w:val="en-IE" w:eastAsia="en-AU" w:bidi="hi-IN"/>
        </w:rPr>
        <w:t xml:space="preserve">Privacy is an essential human right, and when consumers’ privacy is forgone as a result of breach, consumers face significant detriment, through a loss of personal security, direct and indirect economic loss and a sense of exploitation. </w:t>
      </w:r>
      <w:r w:rsidR="00D0244A">
        <w:rPr>
          <w:rFonts w:ascii="Times New Roman" w:eastAsia="Arial Unicode MS" w:hAnsi="Times New Roman" w:cs="Times New Roman"/>
          <w:sz w:val="24"/>
          <w:lang w:val="en-IE" w:eastAsia="en-AU" w:bidi="hi-IN"/>
        </w:rPr>
        <w:t>Individuals are entitled to have their privacy respected and protected, and individuals should have confidence that the use of their personal information should be undertaken in</w:t>
      </w:r>
      <w:r w:rsidR="007F6B53">
        <w:rPr>
          <w:rFonts w:ascii="Times New Roman" w:eastAsia="Arial Unicode MS" w:hAnsi="Times New Roman" w:cs="Times New Roman"/>
          <w:sz w:val="24"/>
          <w:lang w:val="en-IE" w:eastAsia="en-AU" w:bidi="hi-IN"/>
        </w:rPr>
        <w:t xml:space="preserve"> accordance with their wishes. </w:t>
      </w:r>
    </w:p>
    <w:p w:rsidR="00AC4C40" w:rsidRPr="00121C45" w:rsidRDefault="002351DE" w:rsidP="00CA58DD">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sz w:val="24"/>
          <w:lang w:val="en-IE" w:eastAsia="en-AU" w:bidi="hi-IN"/>
        </w:rPr>
        <w:t xml:space="preserve">The current form of the legislation does not however provide a comprehensive framework to </w:t>
      </w:r>
      <w:r w:rsidRPr="00121C45">
        <w:rPr>
          <w:rFonts w:ascii="Times New Roman" w:eastAsia="Arial Unicode MS" w:hAnsi="Times New Roman" w:cs="Times New Roman"/>
          <w:color w:val="000000" w:themeColor="text1"/>
          <w:sz w:val="24"/>
          <w:lang w:val="en-IE" w:eastAsia="en-AU" w:bidi="hi-IN"/>
        </w:rPr>
        <w:t>address the</w:t>
      </w:r>
      <w:r w:rsidR="00CA58DD" w:rsidRPr="00121C45">
        <w:rPr>
          <w:rFonts w:ascii="Times New Roman" w:eastAsia="Arial Unicode MS" w:hAnsi="Times New Roman" w:cs="Times New Roman"/>
          <w:color w:val="000000" w:themeColor="text1"/>
          <w:sz w:val="24"/>
          <w:lang w:val="en-IE" w:eastAsia="en-AU" w:bidi="hi-IN"/>
        </w:rPr>
        <w:t xml:space="preserve"> privacy concerns of consumers. ACCAN has concerns that:</w:t>
      </w:r>
    </w:p>
    <w:p w:rsidR="00CA58DD" w:rsidRPr="00121C45" w:rsidRDefault="00DE42BC" w:rsidP="00DE42BC">
      <w:pPr>
        <w:pStyle w:val="ListParagraph"/>
        <w:numPr>
          <w:ilvl w:val="0"/>
          <w:numId w:val="15"/>
        </w:numPr>
        <w:rPr>
          <w:rFonts w:ascii="Times New Roman" w:eastAsia="Arial Unicode MS" w:hAnsi="Times New Roman" w:cs="Times New Roman"/>
          <w:color w:val="000000" w:themeColor="text1"/>
          <w:lang w:val="en-IE" w:eastAsia="en-AU" w:bidi="hi-IN"/>
        </w:rPr>
      </w:pPr>
      <w:r w:rsidRPr="00121C45">
        <w:rPr>
          <w:rFonts w:ascii="Times New Roman" w:eastAsia="Arial Unicode MS" w:hAnsi="Times New Roman" w:cs="Times New Roman"/>
          <w:color w:val="000000" w:themeColor="text1"/>
          <w:lang w:val="en-IE" w:eastAsia="en-AU" w:bidi="hi-IN"/>
        </w:rPr>
        <w:t>the current framework of protections only apply when data is transferred;</w:t>
      </w:r>
    </w:p>
    <w:p w:rsidR="00DE42BC" w:rsidRDefault="00DE42BC" w:rsidP="00DE42BC">
      <w:pPr>
        <w:pStyle w:val="ListParagraph"/>
        <w:numPr>
          <w:ilvl w:val="0"/>
          <w:numId w:val="15"/>
        </w:numPr>
        <w:rPr>
          <w:rFonts w:ascii="Times New Roman" w:eastAsia="Arial Unicode MS" w:hAnsi="Times New Roman" w:cs="Times New Roman"/>
          <w:color w:val="000000" w:themeColor="text1"/>
          <w:lang w:val="en-IE" w:eastAsia="en-AU" w:bidi="hi-IN"/>
        </w:rPr>
      </w:pPr>
      <w:r w:rsidRPr="00121C45">
        <w:rPr>
          <w:rFonts w:ascii="Times New Roman" w:eastAsia="Arial Unicode MS" w:hAnsi="Times New Roman" w:cs="Times New Roman"/>
          <w:color w:val="000000" w:themeColor="text1"/>
          <w:lang w:val="en-IE" w:eastAsia="en-AU" w:bidi="hi-IN"/>
        </w:rPr>
        <w:t>the framework provides for limited protections of consumer data once it is transferred out of the system to non-accredited entities;</w:t>
      </w:r>
    </w:p>
    <w:p w:rsidR="0004561D" w:rsidRDefault="001D7238" w:rsidP="00A07B6E">
      <w:pPr>
        <w:pStyle w:val="ListParagraph"/>
        <w:numPr>
          <w:ilvl w:val="0"/>
          <w:numId w:val="15"/>
        </w:numPr>
        <w:rPr>
          <w:rFonts w:ascii="Times New Roman" w:eastAsia="Arial Unicode MS" w:hAnsi="Times New Roman" w:cs="Times New Roman"/>
          <w:color w:val="000000" w:themeColor="text1"/>
          <w:lang w:val="en-IE" w:eastAsia="en-AU" w:bidi="hi-IN"/>
        </w:rPr>
      </w:pPr>
      <w:r>
        <w:rPr>
          <w:rFonts w:ascii="Times New Roman" w:eastAsia="Arial Unicode MS" w:hAnsi="Times New Roman" w:cs="Times New Roman"/>
          <w:color w:val="000000" w:themeColor="text1"/>
          <w:lang w:val="en-IE" w:eastAsia="en-AU" w:bidi="hi-IN"/>
        </w:rPr>
        <w:t xml:space="preserve">the framework does not provide for any penalties for seeking to re-identify consumers; </w:t>
      </w:r>
    </w:p>
    <w:p w:rsidR="00171E49" w:rsidRDefault="001C79E9" w:rsidP="00A07B6E">
      <w:pPr>
        <w:pStyle w:val="ListParagraph"/>
        <w:numPr>
          <w:ilvl w:val="0"/>
          <w:numId w:val="15"/>
        </w:numPr>
        <w:rPr>
          <w:rFonts w:ascii="Times New Roman" w:eastAsia="Arial Unicode MS" w:hAnsi="Times New Roman" w:cs="Times New Roman"/>
          <w:color w:val="000000" w:themeColor="text1"/>
          <w:lang w:val="en-IE" w:eastAsia="en-AU" w:bidi="hi-IN"/>
        </w:rPr>
      </w:pPr>
      <w:proofErr w:type="gramStart"/>
      <w:r>
        <w:rPr>
          <w:rFonts w:ascii="Times New Roman" w:eastAsia="Arial Unicode MS" w:hAnsi="Times New Roman" w:cs="Times New Roman"/>
          <w:color w:val="000000" w:themeColor="text1"/>
          <w:lang w:val="en-IE" w:eastAsia="en-AU" w:bidi="hi-IN"/>
        </w:rPr>
        <w:t>the</w:t>
      </w:r>
      <w:proofErr w:type="gramEnd"/>
      <w:r>
        <w:rPr>
          <w:rFonts w:ascii="Times New Roman" w:eastAsia="Arial Unicode MS" w:hAnsi="Times New Roman" w:cs="Times New Roman"/>
          <w:color w:val="000000" w:themeColor="text1"/>
          <w:lang w:val="en-IE" w:eastAsia="en-AU" w:bidi="hi-IN"/>
        </w:rPr>
        <w:t xml:space="preserve"> framework creates in effect a </w:t>
      </w:r>
      <w:r w:rsidR="00DC24E1">
        <w:rPr>
          <w:rFonts w:ascii="Times New Roman" w:eastAsia="Arial Unicode MS" w:hAnsi="Times New Roman" w:cs="Times New Roman"/>
          <w:color w:val="000000" w:themeColor="text1"/>
          <w:lang w:val="en-IE" w:eastAsia="en-AU" w:bidi="hi-IN"/>
        </w:rPr>
        <w:t>two-tiered</w:t>
      </w:r>
      <w:r>
        <w:rPr>
          <w:rFonts w:ascii="Times New Roman" w:eastAsia="Arial Unicode MS" w:hAnsi="Times New Roman" w:cs="Times New Roman"/>
          <w:color w:val="000000" w:themeColor="text1"/>
          <w:lang w:val="en-IE" w:eastAsia="en-AU" w:bidi="hi-IN"/>
        </w:rPr>
        <w:t xml:space="preserve"> or possibly three-tiered system of privacy protection.</w:t>
      </w:r>
    </w:p>
    <w:p w:rsidR="00C22A71" w:rsidRDefault="00C22A71" w:rsidP="00C22A71">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 xml:space="preserve">CDR </w:t>
      </w:r>
      <w:r w:rsidR="00A31B67">
        <w:rPr>
          <w:rFonts w:ascii="Arial" w:eastAsiaTheme="minorEastAsia" w:hAnsi="Arial" w:cs="Arial"/>
          <w:b/>
          <w:sz w:val="32"/>
          <w:szCs w:val="32"/>
          <w:lang w:val="en-AU" w:eastAsia="en-AU"/>
        </w:rPr>
        <w:t>Privacy Safeguards</w:t>
      </w:r>
    </w:p>
    <w:p w:rsidR="00A92887" w:rsidRDefault="00344CDC" w:rsidP="00C35DED">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The </w:t>
      </w:r>
      <w:r w:rsidR="00034C47">
        <w:rPr>
          <w:rFonts w:ascii="Times New Roman" w:eastAsiaTheme="minorEastAsia" w:hAnsi="Times New Roman" w:cs="Times New Roman"/>
          <w:sz w:val="24"/>
          <w:szCs w:val="24"/>
          <w:lang w:val="en-AU" w:eastAsia="en-AU"/>
        </w:rPr>
        <w:t xml:space="preserve">Bill provides </w:t>
      </w:r>
      <w:r w:rsidR="00C8710B">
        <w:rPr>
          <w:rFonts w:ascii="Times New Roman" w:eastAsiaTheme="minorEastAsia" w:hAnsi="Times New Roman" w:cs="Times New Roman"/>
          <w:sz w:val="24"/>
          <w:szCs w:val="24"/>
          <w:lang w:val="en-AU" w:eastAsia="en-AU"/>
        </w:rPr>
        <w:t>for Privacy Safeguards governing</w:t>
      </w:r>
      <w:r>
        <w:rPr>
          <w:rFonts w:ascii="Times New Roman" w:eastAsiaTheme="minorEastAsia" w:hAnsi="Times New Roman" w:cs="Times New Roman"/>
          <w:sz w:val="24"/>
          <w:szCs w:val="24"/>
          <w:lang w:val="en-AU" w:eastAsia="en-AU"/>
        </w:rPr>
        <w:t>:</w:t>
      </w:r>
    </w:p>
    <w:p w:rsidR="00A92887" w:rsidRDefault="00786552"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open and transparent management of CDR data;</w:t>
      </w:r>
    </w:p>
    <w:p w:rsidR="00786552"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 xml:space="preserve">optional consumer </w:t>
      </w:r>
      <w:r w:rsidR="00786552">
        <w:rPr>
          <w:rFonts w:ascii="Times New Roman" w:eastAsiaTheme="minorEastAsia" w:hAnsi="Times New Roman" w:cs="Times New Roman"/>
          <w:szCs w:val="24"/>
          <w:lang w:eastAsia="en-AU"/>
        </w:rPr>
        <w:t>anonymity and pseudonymity;</w:t>
      </w:r>
    </w:p>
    <w:p w:rsidR="00786552"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collection of solicited CDR data;</w:t>
      </w:r>
    </w:p>
    <w:p w:rsidR="001D152D"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dealing with unsolicited CDR data, including deletion of this data;</w:t>
      </w:r>
    </w:p>
    <w:p w:rsidR="001D152D"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notification of consumers concerning the collection of CDR data;</w:t>
      </w:r>
    </w:p>
    <w:p w:rsidR="001D152D"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use or disclosure of CDR data, including the need for specific consent for data to be used for the purposes of direct marketing;</w:t>
      </w:r>
    </w:p>
    <w:p w:rsidR="00034C47"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ban on cross-border disclosures to non-accredited entities;</w:t>
      </w:r>
    </w:p>
    <w:p w:rsidR="00034C47" w:rsidRPr="00773220"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ban on the use of government identifiers as a person’s CDR identifier unless required by law;</w:t>
      </w:r>
    </w:p>
    <w:p w:rsidR="00034C47"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requirement that data participants comply with the security of CDR data directions provided by regulation;</w:t>
      </w:r>
    </w:p>
    <w:p w:rsidR="00034C47" w:rsidRDefault="00902872"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requirement that data participants take reasonable steps to ensure the quality of CDR data;</w:t>
      </w:r>
    </w:p>
    <w:p w:rsidR="00A31B67" w:rsidRPr="00773220" w:rsidRDefault="00902872" w:rsidP="00773220">
      <w:pPr>
        <w:pStyle w:val="ListParagraph"/>
        <w:numPr>
          <w:ilvl w:val="0"/>
          <w:numId w:val="21"/>
        </w:numPr>
        <w:spacing w:line="276" w:lineRule="auto"/>
        <w:rPr>
          <w:rFonts w:ascii="Times New Roman" w:eastAsiaTheme="minorEastAsia" w:hAnsi="Times New Roman" w:cs="Times New Roman"/>
          <w:szCs w:val="24"/>
          <w:lang w:eastAsia="en-AU"/>
        </w:rPr>
      </w:pPr>
      <w:proofErr w:type="gramStart"/>
      <w:r>
        <w:rPr>
          <w:rFonts w:ascii="Times New Roman" w:eastAsiaTheme="minorEastAsia" w:hAnsi="Times New Roman" w:cs="Times New Roman"/>
          <w:szCs w:val="24"/>
          <w:lang w:eastAsia="en-AU"/>
        </w:rPr>
        <w:t>a</w:t>
      </w:r>
      <w:proofErr w:type="gramEnd"/>
      <w:r>
        <w:rPr>
          <w:rFonts w:ascii="Times New Roman" w:eastAsiaTheme="minorEastAsia" w:hAnsi="Times New Roman" w:cs="Times New Roman"/>
          <w:szCs w:val="24"/>
          <w:lang w:eastAsia="en-AU"/>
        </w:rPr>
        <w:t xml:space="preserve"> requirement that data participants follow steps (to be set out in regulation) to respond to requests for corrections to CDR data.</w:t>
      </w:r>
    </w:p>
    <w:p w:rsidR="00B615E4" w:rsidRDefault="00B615E4" w:rsidP="00A07B6E">
      <w:pPr>
        <w:spacing w:before="100" w:beforeAutospacing="1" w:after="100" w:afterAutospacing="1"/>
        <w:jc w:val="both"/>
        <w:rPr>
          <w:rFonts w:ascii="Times New Roman" w:eastAsiaTheme="minorEastAsia" w:hAnsi="Times New Roman" w:cs="Times New Roman"/>
          <w:sz w:val="24"/>
          <w:szCs w:val="24"/>
          <w:lang w:val="en-AU" w:eastAsia="en-AU"/>
        </w:rPr>
      </w:pPr>
      <w:r w:rsidRPr="001641BC">
        <w:rPr>
          <w:rFonts w:ascii="Times New Roman" w:eastAsiaTheme="minorEastAsia" w:hAnsi="Times New Roman" w:cs="Times New Roman"/>
          <w:sz w:val="24"/>
          <w:szCs w:val="24"/>
          <w:lang w:val="en-AU" w:eastAsia="en-AU"/>
        </w:rPr>
        <w:t xml:space="preserve">The protections provided under the Privacy Safeguards, although in some respects </w:t>
      </w:r>
      <w:r w:rsidR="00902872" w:rsidRPr="001641BC">
        <w:rPr>
          <w:rFonts w:ascii="Times New Roman" w:eastAsiaTheme="minorEastAsia" w:hAnsi="Times New Roman" w:cs="Times New Roman"/>
          <w:sz w:val="24"/>
          <w:szCs w:val="24"/>
          <w:lang w:val="en-AU" w:eastAsia="en-AU"/>
        </w:rPr>
        <w:t>a</w:t>
      </w:r>
      <w:r w:rsidRPr="001641BC">
        <w:rPr>
          <w:rFonts w:ascii="Times New Roman" w:eastAsiaTheme="minorEastAsia" w:hAnsi="Times New Roman" w:cs="Times New Roman"/>
          <w:sz w:val="24"/>
          <w:szCs w:val="24"/>
          <w:lang w:val="en-AU" w:eastAsia="en-AU"/>
        </w:rPr>
        <w:t xml:space="preserve"> material improvement on the protections provided under the Australian Privacy Principles, </w:t>
      </w:r>
      <w:r w:rsidR="00902872" w:rsidRPr="001641BC">
        <w:rPr>
          <w:rFonts w:ascii="Times New Roman" w:eastAsiaTheme="minorEastAsia" w:hAnsi="Times New Roman" w:cs="Times New Roman"/>
          <w:sz w:val="24"/>
          <w:szCs w:val="24"/>
          <w:lang w:val="en-AU" w:eastAsia="en-AU"/>
        </w:rPr>
        <w:t xml:space="preserve">are </w:t>
      </w:r>
      <w:r w:rsidRPr="001641BC">
        <w:rPr>
          <w:rFonts w:ascii="Times New Roman" w:eastAsiaTheme="minorEastAsia" w:hAnsi="Times New Roman" w:cs="Times New Roman"/>
          <w:sz w:val="24"/>
          <w:szCs w:val="24"/>
          <w:lang w:val="en-AU" w:eastAsia="en-AU"/>
        </w:rPr>
        <w:t>inadequate</w:t>
      </w:r>
      <w:r w:rsidR="00902872" w:rsidRPr="001641BC">
        <w:rPr>
          <w:rFonts w:ascii="Times New Roman" w:eastAsiaTheme="minorEastAsia" w:hAnsi="Times New Roman" w:cs="Times New Roman"/>
          <w:sz w:val="24"/>
          <w:szCs w:val="24"/>
          <w:lang w:val="en-AU" w:eastAsia="en-AU"/>
        </w:rPr>
        <w:t xml:space="preserve">. </w:t>
      </w:r>
      <w:r w:rsidR="001641BC" w:rsidRPr="004502CA">
        <w:rPr>
          <w:rFonts w:ascii="Times New Roman" w:eastAsiaTheme="minorEastAsia" w:hAnsi="Times New Roman" w:cs="Times New Roman"/>
          <w:sz w:val="24"/>
          <w:szCs w:val="24"/>
          <w:lang w:val="en-AU" w:eastAsia="en-AU"/>
        </w:rPr>
        <w:t>This inadequacy stems from their limited scope of application, and the unclear content of the protections which will be provided to consumers, with much of the protections to be specified through the regulatory rule making process.</w:t>
      </w:r>
    </w:p>
    <w:p w:rsidR="00B575C8" w:rsidRDefault="00902872" w:rsidP="00A07B6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The Privacy Safeguards represent the minimum legal protections provided to consumers concerning the use of their data; however, in many instances the legislation provides highly conditional protections. The drafting of the legislation leaves </w:t>
      </w:r>
      <w:r w:rsidR="00BC4AD7">
        <w:rPr>
          <w:rFonts w:ascii="Times New Roman" w:eastAsiaTheme="minorEastAsia" w:hAnsi="Times New Roman" w:cs="Times New Roman"/>
          <w:sz w:val="24"/>
          <w:szCs w:val="24"/>
          <w:lang w:val="en-AU" w:eastAsia="en-AU"/>
        </w:rPr>
        <w:t xml:space="preserve">important protections up to the rule making process, with only </w:t>
      </w:r>
      <w:r w:rsidR="0015743E">
        <w:rPr>
          <w:rFonts w:ascii="Times New Roman" w:eastAsiaTheme="minorEastAsia" w:hAnsi="Times New Roman" w:cs="Times New Roman"/>
          <w:sz w:val="24"/>
          <w:szCs w:val="24"/>
          <w:lang w:val="en-AU" w:eastAsia="en-AU"/>
        </w:rPr>
        <w:t>two</w:t>
      </w:r>
      <w:r w:rsidR="00BC4AD7">
        <w:rPr>
          <w:rFonts w:ascii="Times New Roman" w:eastAsiaTheme="minorEastAsia" w:hAnsi="Times New Roman" w:cs="Times New Roman"/>
          <w:sz w:val="24"/>
          <w:szCs w:val="24"/>
          <w:lang w:val="en-AU" w:eastAsia="en-AU"/>
        </w:rPr>
        <w:t xml:space="preserve"> of </w:t>
      </w:r>
      <w:r w:rsidR="0015743E">
        <w:rPr>
          <w:rFonts w:ascii="Times New Roman" w:eastAsiaTheme="minorEastAsia" w:hAnsi="Times New Roman" w:cs="Times New Roman"/>
          <w:sz w:val="24"/>
          <w:szCs w:val="24"/>
          <w:lang w:val="en-AU" w:eastAsia="en-AU"/>
        </w:rPr>
        <w:t>twelve</w:t>
      </w:r>
      <w:r w:rsidR="00BC4AD7">
        <w:rPr>
          <w:rFonts w:ascii="Times New Roman" w:eastAsiaTheme="minorEastAsia" w:hAnsi="Times New Roman" w:cs="Times New Roman"/>
          <w:sz w:val="24"/>
          <w:szCs w:val="24"/>
          <w:lang w:val="en-AU" w:eastAsia="en-AU"/>
        </w:rPr>
        <w:t xml:space="preserve"> Privacy Safeguards being </w:t>
      </w:r>
      <w:r w:rsidR="00B575C8">
        <w:rPr>
          <w:rFonts w:ascii="Times New Roman" w:eastAsiaTheme="minorEastAsia" w:hAnsi="Times New Roman" w:cs="Times New Roman"/>
          <w:sz w:val="24"/>
          <w:szCs w:val="24"/>
          <w:lang w:val="en-AU" w:eastAsia="en-AU"/>
        </w:rPr>
        <w:t xml:space="preserve">entirely </w:t>
      </w:r>
      <w:r w:rsidR="00BC4AD7">
        <w:rPr>
          <w:rFonts w:ascii="Times New Roman" w:eastAsiaTheme="minorEastAsia" w:hAnsi="Times New Roman" w:cs="Times New Roman"/>
          <w:sz w:val="24"/>
          <w:szCs w:val="24"/>
          <w:lang w:val="en-AU" w:eastAsia="en-AU"/>
        </w:rPr>
        <w:t>specified within the Bill.</w:t>
      </w:r>
      <w:r w:rsidR="0081316D">
        <w:rPr>
          <w:rFonts w:ascii="Times New Roman" w:eastAsiaTheme="minorEastAsia" w:hAnsi="Times New Roman" w:cs="Times New Roman"/>
          <w:sz w:val="24"/>
          <w:szCs w:val="24"/>
          <w:lang w:val="en-AU" w:eastAsia="en-AU"/>
        </w:rPr>
        <w:t xml:space="preserve"> This is of concern, as important privacy protections such as anonymity and pseudonymity may be removed via the</w:t>
      </w:r>
      <w:r w:rsidR="00780BF3">
        <w:rPr>
          <w:rFonts w:ascii="Times New Roman" w:eastAsiaTheme="minorEastAsia" w:hAnsi="Times New Roman" w:cs="Times New Roman"/>
          <w:sz w:val="24"/>
          <w:szCs w:val="24"/>
          <w:lang w:val="en-AU" w:eastAsia="en-AU"/>
        </w:rPr>
        <w:t xml:space="preserve"> regulatory rule making process, to the detriment of consumer privacy.</w:t>
      </w:r>
    </w:p>
    <w:p w:rsidR="0081316D" w:rsidRDefault="00274A80" w:rsidP="0081316D">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The protections provided by the Privacy Safeguards, are weak and i</w:t>
      </w:r>
      <w:r w:rsidR="00A65083">
        <w:rPr>
          <w:rFonts w:ascii="Times New Roman" w:eastAsiaTheme="minorEastAsia" w:hAnsi="Times New Roman" w:cs="Times New Roman"/>
          <w:sz w:val="24"/>
          <w:szCs w:val="24"/>
          <w:lang w:eastAsia="en-AU"/>
        </w:rPr>
        <w:t>n some instances the Safeguards do not directly relate to matters of privacy</w:t>
      </w:r>
      <w:r>
        <w:rPr>
          <w:rFonts w:ascii="Times New Roman" w:eastAsiaTheme="minorEastAsia" w:hAnsi="Times New Roman" w:cs="Times New Roman"/>
          <w:sz w:val="24"/>
          <w:szCs w:val="24"/>
          <w:lang w:eastAsia="en-AU"/>
        </w:rPr>
        <w:t>.</w:t>
      </w:r>
      <w:r w:rsidR="00A65083">
        <w:rPr>
          <w:rFonts w:ascii="Times New Roman" w:eastAsiaTheme="minorEastAsia" w:hAnsi="Times New Roman" w:cs="Times New Roman"/>
          <w:sz w:val="24"/>
          <w:szCs w:val="24"/>
          <w:lang w:eastAsia="en-AU"/>
        </w:rPr>
        <w:t xml:space="preserve"> For example</w:t>
      </w:r>
      <w:r>
        <w:rPr>
          <w:rFonts w:ascii="Times New Roman" w:eastAsiaTheme="minorEastAsia" w:hAnsi="Times New Roman" w:cs="Times New Roman"/>
          <w:sz w:val="24"/>
          <w:szCs w:val="24"/>
          <w:lang w:eastAsia="en-AU"/>
        </w:rPr>
        <w:t xml:space="preserve"> Safeguard 10 imposes requirements on data participants to take reasonable steps to ensure the quality </w:t>
      </w:r>
      <w:r w:rsidR="00FB31ED">
        <w:rPr>
          <w:rFonts w:ascii="Times New Roman" w:eastAsiaTheme="minorEastAsia" w:hAnsi="Times New Roman" w:cs="Times New Roman"/>
          <w:sz w:val="24"/>
          <w:szCs w:val="24"/>
          <w:lang w:eastAsia="en-AU"/>
        </w:rPr>
        <w:t>of data</w:t>
      </w:r>
      <w:r w:rsidR="00A65083">
        <w:rPr>
          <w:rFonts w:ascii="Times New Roman" w:eastAsiaTheme="minorEastAsia" w:hAnsi="Times New Roman" w:cs="Times New Roman"/>
          <w:sz w:val="24"/>
          <w:szCs w:val="24"/>
          <w:lang w:eastAsia="en-AU"/>
        </w:rPr>
        <w:t xml:space="preserve">, </w:t>
      </w:r>
      <w:r w:rsidR="00FB31ED">
        <w:rPr>
          <w:rFonts w:ascii="Times New Roman" w:eastAsiaTheme="minorEastAsia" w:hAnsi="Times New Roman" w:cs="Times New Roman"/>
          <w:sz w:val="24"/>
          <w:szCs w:val="24"/>
          <w:lang w:eastAsia="en-AU"/>
        </w:rPr>
        <w:t xml:space="preserve">and is primarily a safeguard for commercial users of CDR data, with a tenuous connection to privacy. </w:t>
      </w:r>
      <w:r w:rsidR="00A65083">
        <w:rPr>
          <w:rFonts w:ascii="Times New Roman" w:eastAsiaTheme="minorEastAsia" w:hAnsi="Times New Roman" w:cs="Times New Roman"/>
          <w:sz w:val="24"/>
          <w:szCs w:val="24"/>
          <w:lang w:eastAsia="en-AU"/>
        </w:rPr>
        <w:t>Although there is merit in promoting quality control of data, the provision is not relevant to matters of privacy.</w:t>
      </w:r>
    </w:p>
    <w:p w:rsidR="00FB31ED" w:rsidRDefault="00A65083" w:rsidP="0081316D">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The protections provided by some Safeguards</w:t>
      </w:r>
      <w:r w:rsidR="00FB31ED">
        <w:rPr>
          <w:rFonts w:ascii="Times New Roman" w:eastAsiaTheme="minorEastAsia" w:hAnsi="Times New Roman" w:cs="Times New Roman"/>
          <w:sz w:val="24"/>
          <w:szCs w:val="24"/>
          <w:lang w:eastAsia="en-AU"/>
        </w:rPr>
        <w:t xml:space="preserve"> are no greater than those that are already required at law, for example Safeguard 1 requires entities to development policies and procedures to comply with their existing legal obligations established elsewhere with the Bill. </w:t>
      </w:r>
      <w:r>
        <w:rPr>
          <w:rFonts w:ascii="Times New Roman" w:eastAsiaTheme="minorEastAsia" w:hAnsi="Times New Roman" w:cs="Times New Roman"/>
          <w:sz w:val="24"/>
          <w:szCs w:val="24"/>
          <w:lang w:eastAsia="en-AU"/>
        </w:rPr>
        <w:t>The inclusion of this Safeguard is questionable, as it appears to provide no greater protections to consumers than were it not included, and merely imposes a requirement to have a suitably drawn up and public policy about how a business aims to meet their obligations.</w:t>
      </w:r>
    </w:p>
    <w:p w:rsidR="004D213E" w:rsidRDefault="00FB31ED" w:rsidP="00773220">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Finally, the drafting of some Safeguards, such as Safeguard 3 appears incompatible with the underlying intent o</w:t>
      </w:r>
      <w:r w:rsidR="00A65083">
        <w:rPr>
          <w:rFonts w:ascii="Times New Roman" w:eastAsiaTheme="minorEastAsia" w:hAnsi="Times New Roman" w:cs="Times New Roman"/>
          <w:sz w:val="24"/>
          <w:szCs w:val="24"/>
          <w:lang w:eastAsia="en-AU"/>
        </w:rPr>
        <w:t>f the Bill</w:t>
      </w:r>
      <w:r>
        <w:rPr>
          <w:rFonts w:ascii="Times New Roman" w:eastAsiaTheme="minorEastAsia" w:hAnsi="Times New Roman" w:cs="Times New Roman"/>
          <w:sz w:val="24"/>
          <w:szCs w:val="24"/>
          <w:lang w:eastAsia="en-AU"/>
        </w:rPr>
        <w:t>.</w:t>
      </w:r>
      <w:r w:rsidR="00A65083">
        <w:rPr>
          <w:rFonts w:ascii="Times New Roman" w:eastAsiaTheme="minorEastAsia" w:hAnsi="Times New Roman" w:cs="Times New Roman"/>
          <w:sz w:val="24"/>
          <w:szCs w:val="24"/>
          <w:lang w:eastAsia="en-AU"/>
        </w:rPr>
        <w:t xml:space="preserve"> For example,</w:t>
      </w:r>
      <w:r>
        <w:rPr>
          <w:rFonts w:ascii="Times New Roman" w:eastAsiaTheme="minorEastAsia" w:hAnsi="Times New Roman" w:cs="Times New Roman"/>
          <w:sz w:val="24"/>
          <w:szCs w:val="24"/>
          <w:lang w:eastAsia="en-AU"/>
        </w:rPr>
        <w:t xml:space="preserve"> </w:t>
      </w:r>
      <w:r w:rsidR="004D213E">
        <w:rPr>
          <w:rFonts w:ascii="Times New Roman" w:eastAsiaTheme="minorEastAsia" w:hAnsi="Times New Roman" w:cs="Times New Roman"/>
          <w:sz w:val="24"/>
          <w:szCs w:val="24"/>
          <w:lang w:eastAsia="en-AU"/>
        </w:rPr>
        <w:t xml:space="preserve">Safeguard 3 bars data participants from </w:t>
      </w:r>
      <w:r w:rsidR="00780BF3">
        <w:rPr>
          <w:rFonts w:ascii="Times New Roman" w:eastAsiaTheme="minorEastAsia" w:hAnsi="Times New Roman" w:cs="Times New Roman"/>
          <w:sz w:val="24"/>
          <w:szCs w:val="24"/>
          <w:lang w:eastAsia="en-AU"/>
        </w:rPr>
        <w:t>collecting</w:t>
      </w:r>
      <w:r w:rsidR="004D213E">
        <w:rPr>
          <w:rFonts w:ascii="Times New Roman" w:eastAsiaTheme="minorEastAsia" w:hAnsi="Times New Roman" w:cs="Times New Roman"/>
          <w:sz w:val="24"/>
          <w:szCs w:val="24"/>
          <w:lang w:eastAsia="en-AU"/>
        </w:rPr>
        <w:t xml:space="preserve"> CDR data from consumers </w:t>
      </w:r>
      <w:r w:rsidR="00780BF3">
        <w:rPr>
          <w:rFonts w:ascii="Times New Roman" w:eastAsiaTheme="minorEastAsia" w:hAnsi="Times New Roman" w:cs="Times New Roman"/>
          <w:sz w:val="24"/>
          <w:szCs w:val="24"/>
          <w:lang w:eastAsia="en-AU"/>
        </w:rPr>
        <w:t xml:space="preserve">by soliciting them, </w:t>
      </w:r>
      <w:r w:rsidR="004D213E">
        <w:rPr>
          <w:rFonts w:ascii="Times New Roman" w:eastAsiaTheme="minorEastAsia" w:hAnsi="Times New Roman" w:cs="Times New Roman"/>
          <w:sz w:val="24"/>
          <w:szCs w:val="24"/>
          <w:lang w:eastAsia="en-AU"/>
        </w:rPr>
        <w:t>unless a valid request has been made</w:t>
      </w:r>
      <w:r w:rsidR="00780BF3">
        <w:rPr>
          <w:rFonts w:ascii="Times New Roman" w:eastAsiaTheme="minorEastAsia" w:hAnsi="Times New Roman" w:cs="Times New Roman"/>
          <w:sz w:val="24"/>
          <w:szCs w:val="24"/>
          <w:lang w:eastAsia="en-AU"/>
        </w:rPr>
        <w:t xml:space="preserve"> by a consumer for the data</w:t>
      </w:r>
      <w:r w:rsidR="004D213E">
        <w:rPr>
          <w:rFonts w:ascii="Times New Roman" w:eastAsiaTheme="minorEastAsia" w:hAnsi="Times New Roman" w:cs="Times New Roman"/>
          <w:sz w:val="24"/>
          <w:szCs w:val="24"/>
          <w:lang w:eastAsia="en-AU"/>
        </w:rPr>
        <w:t>.</w:t>
      </w:r>
      <w:r w:rsidR="00780BF3">
        <w:rPr>
          <w:rFonts w:ascii="Times New Roman" w:eastAsiaTheme="minorEastAsia" w:hAnsi="Times New Roman" w:cs="Times New Roman"/>
          <w:sz w:val="24"/>
          <w:szCs w:val="24"/>
          <w:lang w:eastAsia="en-AU"/>
        </w:rPr>
        <w:t xml:space="preserve"> </w:t>
      </w:r>
      <w:r w:rsidR="004D213E">
        <w:rPr>
          <w:rFonts w:ascii="Times New Roman" w:eastAsiaTheme="minorEastAsia" w:hAnsi="Times New Roman" w:cs="Times New Roman"/>
          <w:sz w:val="24"/>
          <w:szCs w:val="24"/>
          <w:lang w:eastAsia="en-AU"/>
        </w:rPr>
        <w:t>However, the drafting of this provision is such, that a literal reading would impose a ban on the collection of CDR data p</w:t>
      </w:r>
      <w:r w:rsidR="00A65083">
        <w:rPr>
          <w:rFonts w:ascii="Times New Roman" w:eastAsiaTheme="minorEastAsia" w:hAnsi="Times New Roman" w:cs="Times New Roman"/>
          <w:sz w:val="24"/>
          <w:szCs w:val="24"/>
          <w:lang w:eastAsia="en-AU"/>
        </w:rPr>
        <w:t>rior to a request being received from a consumer.</w:t>
      </w:r>
    </w:p>
    <w:p w:rsidR="004D213E" w:rsidRDefault="004D213E" w:rsidP="00773220">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 xml:space="preserve">As the words </w:t>
      </w:r>
      <w:r w:rsidR="00780BF3">
        <w:rPr>
          <w:rFonts w:ascii="Times New Roman" w:eastAsiaTheme="minorEastAsia" w:hAnsi="Times New Roman" w:cs="Times New Roman"/>
          <w:b/>
          <w:i/>
          <w:sz w:val="24"/>
          <w:szCs w:val="24"/>
          <w:lang w:eastAsia="en-AU"/>
        </w:rPr>
        <w:t>soliciting</w:t>
      </w:r>
      <w:r w:rsidR="00780BF3">
        <w:rPr>
          <w:rFonts w:ascii="Times New Roman" w:eastAsiaTheme="minorEastAsia" w:hAnsi="Times New Roman" w:cs="Times New Roman"/>
          <w:sz w:val="24"/>
          <w:szCs w:val="24"/>
          <w:lang w:eastAsia="en-AU"/>
        </w:rPr>
        <w:t xml:space="preserve"> and</w:t>
      </w:r>
      <w:r>
        <w:rPr>
          <w:rFonts w:ascii="Times New Roman" w:eastAsiaTheme="minorEastAsia" w:hAnsi="Times New Roman" w:cs="Times New Roman"/>
          <w:sz w:val="24"/>
          <w:szCs w:val="24"/>
          <w:lang w:eastAsia="en-AU"/>
        </w:rPr>
        <w:t xml:space="preserve"> </w:t>
      </w:r>
      <w:r w:rsidR="00780BF3">
        <w:rPr>
          <w:rFonts w:ascii="Times New Roman" w:eastAsiaTheme="minorEastAsia" w:hAnsi="Times New Roman" w:cs="Times New Roman"/>
          <w:b/>
          <w:i/>
          <w:sz w:val="24"/>
          <w:szCs w:val="24"/>
          <w:lang w:eastAsia="en-AU"/>
        </w:rPr>
        <w:t>collect</w:t>
      </w:r>
      <w:r w:rsidR="00780BF3">
        <w:rPr>
          <w:rFonts w:ascii="Times New Roman" w:eastAsiaTheme="minorEastAsia" w:hAnsi="Times New Roman" w:cs="Times New Roman"/>
          <w:sz w:val="24"/>
          <w:szCs w:val="24"/>
          <w:lang w:eastAsia="en-AU"/>
        </w:rPr>
        <w:t xml:space="preserve"> are not</w:t>
      </w:r>
      <w:r>
        <w:rPr>
          <w:rFonts w:ascii="Times New Roman" w:eastAsiaTheme="minorEastAsia" w:hAnsi="Times New Roman" w:cs="Times New Roman"/>
          <w:sz w:val="24"/>
          <w:szCs w:val="24"/>
          <w:lang w:eastAsia="en-AU"/>
        </w:rPr>
        <w:t xml:space="preserve"> defined in the Bill, in the absence of a consumer making a request for CDR data the legislation would impose a ban on the collection of any consumer data that may fall within the definition of CDR data,</w:t>
      </w:r>
      <w:r w:rsidR="001E5100">
        <w:rPr>
          <w:rFonts w:ascii="Times New Roman" w:eastAsiaTheme="minorEastAsia" w:hAnsi="Times New Roman" w:cs="Times New Roman"/>
          <w:sz w:val="24"/>
          <w:szCs w:val="24"/>
          <w:lang w:eastAsia="en-AU"/>
        </w:rPr>
        <w:t xml:space="preserve"> by any accredited data holder,</w:t>
      </w:r>
      <w:r>
        <w:rPr>
          <w:rFonts w:ascii="Times New Roman" w:eastAsiaTheme="minorEastAsia" w:hAnsi="Times New Roman" w:cs="Times New Roman"/>
          <w:sz w:val="24"/>
          <w:szCs w:val="24"/>
          <w:lang w:eastAsia="en-AU"/>
        </w:rPr>
        <w:t xml:space="preserve"> as defined as part of the rule-making process. </w:t>
      </w:r>
      <w:r w:rsidR="001E5100">
        <w:rPr>
          <w:rFonts w:ascii="Times New Roman" w:eastAsiaTheme="minorEastAsia" w:hAnsi="Times New Roman" w:cs="Times New Roman"/>
          <w:sz w:val="24"/>
          <w:szCs w:val="24"/>
          <w:lang w:eastAsia="en-AU"/>
        </w:rPr>
        <w:t>This ban would be effective over data currently being collected as part of ordinary commercial processes.</w:t>
      </w:r>
    </w:p>
    <w:p w:rsidR="004A4A20" w:rsidRDefault="004A4A20" w:rsidP="00773220">
      <w:pPr>
        <w:jc w:val="both"/>
        <w:rPr>
          <w:rFonts w:ascii="Times New Roman" w:eastAsiaTheme="minorEastAsia" w:hAnsi="Times New Roman" w:cs="Times New Roman"/>
          <w:sz w:val="24"/>
          <w:szCs w:val="24"/>
          <w:lang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7024" behindDoc="0" locked="0" layoutInCell="1" allowOverlap="1" wp14:anchorId="0DA4222D" wp14:editId="6CBFDBDB">
                <wp:simplePos x="0" y="0"/>
                <wp:positionH relativeFrom="column">
                  <wp:posOffset>0</wp:posOffset>
                </wp:positionH>
                <wp:positionV relativeFrom="paragraph">
                  <wp:posOffset>6559</wp:posOffset>
                </wp:positionV>
                <wp:extent cx="5720080" cy="996286"/>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5720080" cy="996286"/>
                        </a:xfrm>
                        <a:prstGeom prst="rect">
                          <a:avLst/>
                        </a:prstGeom>
                        <a:solidFill>
                          <a:sysClr val="window" lastClr="FFFFFF"/>
                        </a:solidFill>
                        <a:ln w="6350">
                          <a:solidFill>
                            <a:srgbClr val="00B0F0"/>
                          </a:solidFill>
                        </a:ln>
                      </wps:spPr>
                      <wps:txb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4A4A20">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left:0;text-align:left;margin-left:0;margin-top:.5pt;width:450.4pt;height:7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" fillcolor="window" strokecolor="#00b0f0" strokeweight=".5pt">
                <v:textbo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4A4A20">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v:textbox>
              </v:shape>
            </w:pict>
          </mc:Fallback>
        </mc:AlternateContent>
      </w:r>
    </w:p>
    <w:p w:rsidR="004A4A20" w:rsidRDefault="004A4A20" w:rsidP="00773220">
      <w:pPr>
        <w:jc w:val="both"/>
        <w:rPr>
          <w:rFonts w:ascii="Times New Roman" w:eastAsiaTheme="minorEastAsia" w:hAnsi="Times New Roman" w:cs="Times New Roman"/>
          <w:sz w:val="24"/>
          <w:szCs w:val="24"/>
          <w:lang w:eastAsia="en-AU"/>
        </w:rPr>
      </w:pPr>
    </w:p>
    <w:p w:rsidR="004A4A20" w:rsidRPr="00773220" w:rsidRDefault="004A4A20" w:rsidP="00773220">
      <w:pPr>
        <w:jc w:val="both"/>
        <w:rPr>
          <w:rFonts w:ascii="Times New Roman" w:eastAsiaTheme="minorEastAsia" w:hAnsi="Times New Roman" w:cs="Times New Roman"/>
          <w:sz w:val="24"/>
          <w:szCs w:val="24"/>
          <w:lang w:eastAsia="en-AU"/>
        </w:rPr>
      </w:pPr>
    </w:p>
    <w:p w:rsidR="004F3578" w:rsidRDefault="004F3578" w:rsidP="00A07B6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In the absence of rules setting out how the Privacy Safeguards will be applied in a telecommunications context it is difficult to draw a favourable conclusion that they will be sufficient to ensure that consumers are protected. </w:t>
      </w:r>
      <w:r w:rsidR="0021693D">
        <w:rPr>
          <w:rFonts w:ascii="Times New Roman" w:hAnsi="Times New Roman" w:cs="Times New Roman"/>
          <w:color w:val="000000" w:themeColor="text1"/>
          <w:sz w:val="24"/>
          <w:szCs w:val="24"/>
          <w:lang w:val="en-AU"/>
        </w:rPr>
        <w:t xml:space="preserve">ACCAN supports the submission of the Financial Rights Legal Centre, which provides more detailed comments on the drafting of specific aspects of the individual Privacy Safeguards. </w:t>
      </w:r>
    </w:p>
    <w:p w:rsidR="00A31B67" w:rsidRPr="00773220" w:rsidRDefault="00A31B67" w:rsidP="00773220">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The scope of</w:t>
      </w:r>
      <w:r w:rsidRPr="00A31B67">
        <w:rPr>
          <w:rFonts w:ascii="Arial" w:eastAsiaTheme="minorEastAsia" w:hAnsi="Arial" w:cs="Arial"/>
          <w:b/>
          <w:sz w:val="32"/>
          <w:szCs w:val="32"/>
          <w:lang w:val="en-AU" w:eastAsia="en-AU"/>
        </w:rPr>
        <w:t xml:space="preserve"> </w:t>
      </w:r>
      <w:r>
        <w:rPr>
          <w:rFonts w:ascii="Arial" w:eastAsiaTheme="minorEastAsia" w:hAnsi="Arial" w:cs="Arial"/>
          <w:b/>
          <w:sz w:val="32"/>
          <w:szCs w:val="32"/>
          <w:lang w:val="en-AU" w:eastAsia="en-AU"/>
        </w:rPr>
        <w:t>CDR privacy protections</w:t>
      </w:r>
    </w:p>
    <w:p w:rsidR="005E24C0" w:rsidRDefault="00B6570E" w:rsidP="00A07B6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eastAsiaTheme="minorEastAsia" w:hAnsi="Times New Roman" w:cs="Times New Roman"/>
          <w:sz w:val="24"/>
          <w:szCs w:val="24"/>
          <w:lang w:val="en-AU" w:eastAsia="en-AU"/>
        </w:rPr>
        <w:t xml:space="preserve">The </w:t>
      </w:r>
      <w:r w:rsidR="00780BF3">
        <w:rPr>
          <w:rFonts w:ascii="Times New Roman" w:eastAsiaTheme="minorEastAsia" w:hAnsi="Times New Roman" w:cs="Times New Roman"/>
          <w:sz w:val="24"/>
          <w:szCs w:val="24"/>
          <w:lang w:val="en-AU" w:eastAsia="en-AU"/>
        </w:rPr>
        <w:t>scope of the protections provided under the Bill is</w:t>
      </w:r>
      <w:r>
        <w:rPr>
          <w:rFonts w:ascii="Times New Roman" w:hAnsi="Times New Roman" w:cs="Times New Roman"/>
          <w:color w:val="000000" w:themeColor="text1"/>
          <w:sz w:val="24"/>
          <w:szCs w:val="24"/>
          <w:lang w:val="en-AU"/>
        </w:rPr>
        <w:t xml:space="preserve"> exceptionally </w:t>
      </w:r>
      <w:r w:rsidR="001447F9">
        <w:rPr>
          <w:rFonts w:ascii="Times New Roman" w:hAnsi="Times New Roman" w:cs="Times New Roman"/>
          <w:color w:val="000000" w:themeColor="text1"/>
          <w:sz w:val="24"/>
          <w:szCs w:val="24"/>
          <w:lang w:val="en-AU"/>
        </w:rPr>
        <w:t>limited and</w:t>
      </w:r>
      <w:r>
        <w:rPr>
          <w:rFonts w:ascii="Times New Roman" w:hAnsi="Times New Roman" w:cs="Times New Roman"/>
          <w:color w:val="000000" w:themeColor="text1"/>
          <w:sz w:val="24"/>
          <w:szCs w:val="24"/>
          <w:lang w:val="en-AU"/>
        </w:rPr>
        <w:t xml:space="preserve"> will only apply when a consumer has reques</w:t>
      </w:r>
      <w:r w:rsidR="00EB22E6">
        <w:rPr>
          <w:rFonts w:ascii="Times New Roman" w:hAnsi="Times New Roman" w:cs="Times New Roman"/>
          <w:color w:val="000000" w:themeColor="text1"/>
          <w:sz w:val="24"/>
          <w:szCs w:val="24"/>
          <w:lang w:val="en-AU"/>
        </w:rPr>
        <w:t xml:space="preserve">ted the transfer of their data. </w:t>
      </w:r>
      <w:r w:rsidR="005E24C0">
        <w:rPr>
          <w:rFonts w:ascii="Times New Roman" w:hAnsi="Times New Roman" w:cs="Times New Roman"/>
          <w:color w:val="000000" w:themeColor="text1"/>
          <w:sz w:val="24"/>
          <w:szCs w:val="24"/>
          <w:lang w:val="en-AU"/>
        </w:rPr>
        <w:t xml:space="preserve">Although the effect of many of the privacy principles outlined </w:t>
      </w:r>
      <w:r w:rsidR="006524FE">
        <w:rPr>
          <w:rFonts w:ascii="Times New Roman" w:hAnsi="Times New Roman" w:cs="Times New Roman"/>
          <w:color w:val="000000" w:themeColor="text1"/>
          <w:sz w:val="24"/>
          <w:szCs w:val="24"/>
          <w:lang w:val="en-AU"/>
        </w:rPr>
        <w:t xml:space="preserve">within the </w:t>
      </w:r>
      <w:r w:rsidR="00E02478">
        <w:rPr>
          <w:rFonts w:ascii="Times New Roman" w:hAnsi="Times New Roman" w:cs="Times New Roman"/>
          <w:color w:val="000000" w:themeColor="text1"/>
          <w:sz w:val="24"/>
          <w:szCs w:val="24"/>
          <w:lang w:val="en-AU"/>
        </w:rPr>
        <w:t>draft legislation would provide material protections to consumers, the scope of application is too limited for these measures to be effective.</w:t>
      </w:r>
    </w:p>
    <w:p w:rsidR="00344CDC" w:rsidRDefault="00EB22E6" w:rsidP="00A07B6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For most consumers, t</w:t>
      </w:r>
      <w:r w:rsidR="006524FE">
        <w:rPr>
          <w:rFonts w:ascii="Times New Roman" w:hAnsi="Times New Roman" w:cs="Times New Roman"/>
          <w:color w:val="000000" w:themeColor="text1"/>
          <w:sz w:val="24"/>
          <w:szCs w:val="24"/>
          <w:lang w:val="en-AU"/>
        </w:rPr>
        <w:t xml:space="preserve">he limited scope of the CDR privacy protections is unlikely to be sufficient to engender confidence in </w:t>
      </w:r>
      <w:r w:rsidR="00A36126">
        <w:rPr>
          <w:rFonts w:ascii="Times New Roman" w:hAnsi="Times New Roman" w:cs="Times New Roman"/>
          <w:color w:val="000000" w:themeColor="text1"/>
          <w:sz w:val="24"/>
          <w:szCs w:val="24"/>
          <w:lang w:val="en-AU"/>
        </w:rPr>
        <w:t xml:space="preserve">the </w:t>
      </w:r>
      <w:r w:rsidR="006524FE">
        <w:rPr>
          <w:rFonts w:ascii="Times New Roman" w:hAnsi="Times New Roman" w:cs="Times New Roman"/>
          <w:color w:val="000000" w:themeColor="text1"/>
          <w:sz w:val="24"/>
          <w:szCs w:val="24"/>
          <w:lang w:val="en-AU"/>
        </w:rPr>
        <w:t xml:space="preserve">capacity of the system to protect their personal information. </w:t>
      </w:r>
      <w:r w:rsidR="00DC76AF">
        <w:rPr>
          <w:rFonts w:ascii="Times New Roman" w:hAnsi="Times New Roman" w:cs="Times New Roman"/>
          <w:color w:val="000000" w:themeColor="text1"/>
          <w:sz w:val="24"/>
          <w:szCs w:val="24"/>
          <w:lang w:val="en-AU"/>
        </w:rPr>
        <w:t>This may result in significantly lower benefits being realised as a consequence.</w:t>
      </w:r>
      <w:r w:rsidR="00344CDC">
        <w:rPr>
          <w:rFonts w:ascii="Times New Roman" w:hAnsi="Times New Roman" w:cs="Times New Roman"/>
          <w:color w:val="000000" w:themeColor="text1"/>
          <w:sz w:val="24"/>
          <w:szCs w:val="24"/>
          <w:lang w:val="en-AU"/>
        </w:rPr>
        <w:t xml:space="preserve"> </w:t>
      </w:r>
    </w:p>
    <w:p w:rsidR="00564BCB" w:rsidRPr="0067666A" w:rsidRDefault="00564BCB" w:rsidP="00564BCB">
      <w:pPr>
        <w:spacing w:line="360" w:lineRule="auto"/>
        <w:jc w:val="both"/>
        <w:rPr>
          <w:rFonts w:ascii="Arial" w:eastAsia="Arial Unicode MS" w:hAnsi="Arial" w:cs="Arial"/>
          <w:color w:val="000000" w:themeColor="text1"/>
          <w:sz w:val="28"/>
          <w:lang w:val="en-IE" w:eastAsia="en-AU" w:bidi="hi-IN"/>
        </w:rPr>
      </w:pPr>
      <w:r w:rsidRPr="0067666A">
        <w:rPr>
          <w:rFonts w:ascii="Arial" w:eastAsia="Arial Unicode MS" w:hAnsi="Arial" w:cs="Arial"/>
          <w:color w:val="000000" w:themeColor="text1"/>
          <w:sz w:val="28"/>
          <w:lang w:val="en-IE" w:eastAsia="en-AU" w:bidi="hi-IN"/>
        </w:rPr>
        <w:t>The circle of trust</w:t>
      </w:r>
    </w:p>
    <w:p w:rsidR="00A927A2" w:rsidRDefault="009D2CA2" w:rsidP="00A07B6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privacy protections set out in the </w:t>
      </w:r>
      <w:r w:rsidR="00F46A19">
        <w:rPr>
          <w:rFonts w:ascii="Times New Roman" w:eastAsia="Arial Unicode MS" w:hAnsi="Times New Roman" w:cs="Times New Roman"/>
          <w:sz w:val="24"/>
          <w:lang w:val="en-IE" w:eastAsia="en-AU" w:bidi="hi-IN"/>
        </w:rPr>
        <w:t>Bill</w:t>
      </w:r>
      <w:r>
        <w:rPr>
          <w:rFonts w:ascii="Times New Roman" w:eastAsia="Arial Unicode MS" w:hAnsi="Times New Roman" w:cs="Times New Roman"/>
          <w:sz w:val="24"/>
          <w:lang w:val="en-IE" w:eastAsia="en-AU" w:bidi="hi-IN"/>
        </w:rPr>
        <w:t xml:space="preserve"> only impose obligations to maintain and protect privacy for accredited </w:t>
      </w:r>
      <w:r w:rsidR="0067666A">
        <w:rPr>
          <w:rFonts w:ascii="Times New Roman" w:eastAsia="Arial Unicode MS" w:hAnsi="Times New Roman" w:cs="Times New Roman"/>
          <w:sz w:val="24"/>
          <w:lang w:val="en-IE" w:eastAsia="en-AU" w:bidi="hi-IN"/>
        </w:rPr>
        <w:t xml:space="preserve">data holders and recipients. </w:t>
      </w:r>
      <w:r w:rsidR="00FE0015">
        <w:rPr>
          <w:rFonts w:ascii="Times New Roman" w:eastAsia="Arial Unicode MS" w:hAnsi="Times New Roman" w:cs="Times New Roman"/>
          <w:sz w:val="24"/>
          <w:lang w:val="en-IE" w:eastAsia="en-AU" w:bidi="hi-IN"/>
        </w:rPr>
        <w:t>This in effect creates</w:t>
      </w:r>
      <w:r w:rsidR="00A927A2">
        <w:rPr>
          <w:rFonts w:ascii="Times New Roman" w:eastAsia="Arial Unicode MS" w:hAnsi="Times New Roman" w:cs="Times New Roman"/>
          <w:sz w:val="24"/>
          <w:lang w:val="en-IE" w:eastAsia="en-AU" w:bidi="hi-IN"/>
        </w:rPr>
        <w:t xml:space="preserve"> a commun</w:t>
      </w:r>
      <w:r w:rsidR="00442900">
        <w:rPr>
          <w:rFonts w:ascii="Times New Roman" w:eastAsia="Arial Unicode MS" w:hAnsi="Times New Roman" w:cs="Times New Roman"/>
          <w:sz w:val="24"/>
          <w:lang w:val="en-IE" w:eastAsia="en-AU" w:bidi="hi-IN"/>
        </w:rPr>
        <w:t xml:space="preserve">ity of trusted entities who are required to deal with data that is being transferred and communicated within </w:t>
      </w:r>
      <w:r w:rsidR="00FE0015">
        <w:rPr>
          <w:rFonts w:ascii="Times New Roman" w:eastAsia="Arial Unicode MS" w:hAnsi="Times New Roman" w:cs="Times New Roman"/>
          <w:sz w:val="24"/>
          <w:lang w:val="en-IE" w:eastAsia="en-AU" w:bidi="hi-IN"/>
        </w:rPr>
        <w:t xml:space="preserve">the system, and are subject to enhanced privacy protections. </w:t>
      </w:r>
    </w:p>
    <w:p w:rsidR="001C1418" w:rsidRPr="0057425E" w:rsidRDefault="00573104" w:rsidP="008F601D">
      <w:pPr>
        <w:spacing w:before="100" w:beforeAutospacing="1" w:after="100" w:afterAutospacing="1"/>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sz w:val="24"/>
          <w:lang w:val="en-IE" w:eastAsia="en-AU" w:bidi="hi-IN"/>
        </w:rPr>
        <w:t xml:space="preserve">These enhanced privacy safeguards </w:t>
      </w:r>
      <w:r w:rsidR="0044583A">
        <w:rPr>
          <w:rFonts w:ascii="Times New Roman" w:eastAsia="Arial Unicode MS" w:hAnsi="Times New Roman" w:cs="Times New Roman"/>
          <w:sz w:val="24"/>
          <w:lang w:val="en-IE" w:eastAsia="en-AU" w:bidi="hi-IN"/>
        </w:rPr>
        <w:t xml:space="preserve">will </w:t>
      </w:r>
      <w:r>
        <w:rPr>
          <w:rFonts w:ascii="Times New Roman" w:eastAsia="Arial Unicode MS" w:hAnsi="Times New Roman" w:cs="Times New Roman"/>
          <w:sz w:val="24"/>
          <w:lang w:val="en-IE" w:eastAsia="en-AU" w:bidi="hi-IN"/>
        </w:rPr>
        <w:t xml:space="preserve">only apply to data within the system that has been transferred as a result of a consumer seeking to exercise their data rights. </w:t>
      </w:r>
      <w:r w:rsidR="00842EE4">
        <w:rPr>
          <w:rFonts w:ascii="Times New Roman" w:eastAsia="Arial Unicode MS" w:hAnsi="Times New Roman" w:cs="Times New Roman"/>
          <w:sz w:val="24"/>
          <w:lang w:val="en-IE" w:eastAsia="en-AU" w:bidi="hi-IN"/>
        </w:rPr>
        <w:t>However, the protections do not</w:t>
      </w:r>
      <w:r w:rsidR="0007060B">
        <w:rPr>
          <w:rFonts w:ascii="Times New Roman" w:eastAsia="Arial Unicode MS" w:hAnsi="Times New Roman" w:cs="Times New Roman"/>
          <w:sz w:val="24"/>
          <w:lang w:val="en-IE" w:eastAsia="en-AU" w:bidi="hi-IN"/>
        </w:rPr>
        <w:t xml:space="preserve"> apply to data generally held by</w:t>
      </w:r>
      <w:r w:rsidR="00842EE4">
        <w:rPr>
          <w:rFonts w:ascii="Times New Roman" w:eastAsia="Arial Unicode MS" w:hAnsi="Times New Roman" w:cs="Times New Roman"/>
          <w:sz w:val="24"/>
          <w:lang w:val="en-IE" w:eastAsia="en-AU" w:bidi="hi-IN"/>
        </w:rPr>
        <w:t xml:space="preserve"> </w:t>
      </w:r>
      <w:r w:rsidR="00842EE4" w:rsidRPr="0007060B">
        <w:rPr>
          <w:rFonts w:ascii="Times New Roman" w:eastAsia="Arial Unicode MS" w:hAnsi="Times New Roman" w:cs="Times New Roman"/>
          <w:sz w:val="24"/>
          <w:lang w:val="en-IE" w:eastAsia="en-AU" w:bidi="hi-IN"/>
        </w:rPr>
        <w:t>accredit</w:t>
      </w:r>
      <w:r w:rsidR="0007060B">
        <w:rPr>
          <w:rFonts w:ascii="Times New Roman" w:eastAsia="Arial Unicode MS" w:hAnsi="Times New Roman" w:cs="Times New Roman"/>
          <w:sz w:val="24"/>
          <w:lang w:val="en-IE" w:eastAsia="en-AU" w:bidi="hi-IN"/>
        </w:rPr>
        <w:t>ed</w:t>
      </w:r>
      <w:r w:rsidR="0007060B" w:rsidRPr="0007060B">
        <w:rPr>
          <w:rFonts w:ascii="Times New Roman" w:eastAsia="Arial Unicode MS" w:hAnsi="Times New Roman" w:cs="Times New Roman"/>
          <w:sz w:val="24"/>
          <w:lang w:val="en-IE" w:eastAsia="en-AU" w:bidi="hi-IN"/>
        </w:rPr>
        <w:t xml:space="preserve"> data holders or</w:t>
      </w:r>
      <w:r w:rsidR="00F331F3" w:rsidRPr="0007060B">
        <w:rPr>
          <w:rFonts w:ascii="Times New Roman" w:eastAsia="Arial Unicode MS" w:hAnsi="Times New Roman" w:cs="Times New Roman"/>
          <w:sz w:val="24"/>
          <w:lang w:val="en-IE" w:eastAsia="en-AU" w:bidi="hi-IN"/>
        </w:rPr>
        <w:t xml:space="preserve"> recipients</w:t>
      </w:r>
      <w:r w:rsidR="0007060B" w:rsidRPr="0007060B">
        <w:rPr>
          <w:rFonts w:ascii="Times New Roman" w:eastAsia="Arial Unicode MS" w:hAnsi="Times New Roman" w:cs="Times New Roman"/>
          <w:sz w:val="24"/>
          <w:lang w:val="en-IE" w:eastAsia="en-AU" w:bidi="hi-IN"/>
        </w:rPr>
        <w:t xml:space="preserve"> of consumer data</w:t>
      </w:r>
      <w:r w:rsidR="00F331F3" w:rsidRPr="0007060B">
        <w:rPr>
          <w:rFonts w:ascii="Times New Roman" w:eastAsia="Arial Unicode MS" w:hAnsi="Times New Roman" w:cs="Times New Roman"/>
          <w:sz w:val="24"/>
          <w:lang w:val="en-IE" w:eastAsia="en-AU" w:bidi="hi-IN"/>
        </w:rPr>
        <w:t xml:space="preserve">, which will continue to be protected under the provisions of the </w:t>
      </w:r>
      <w:r w:rsidR="00F331F3" w:rsidRPr="0007060B">
        <w:rPr>
          <w:rFonts w:ascii="Times New Roman" w:eastAsia="Arial Unicode MS" w:hAnsi="Times New Roman" w:cs="Times New Roman"/>
          <w:i/>
          <w:sz w:val="24"/>
          <w:lang w:val="en-IE" w:eastAsia="en-AU" w:bidi="hi-IN"/>
        </w:rPr>
        <w:t xml:space="preserve">Privacy Act 1988 </w:t>
      </w:r>
      <w:r w:rsidR="00F442A5" w:rsidRPr="0007060B">
        <w:rPr>
          <w:rFonts w:ascii="Times New Roman" w:eastAsia="Arial Unicode MS" w:hAnsi="Times New Roman" w:cs="Times New Roman"/>
          <w:sz w:val="24"/>
          <w:lang w:val="en-IE" w:eastAsia="en-AU" w:bidi="hi-IN"/>
        </w:rPr>
        <w:t>(</w:t>
      </w:r>
      <w:proofErr w:type="spellStart"/>
      <w:r w:rsidR="00F442A5" w:rsidRPr="0007060B">
        <w:rPr>
          <w:rFonts w:ascii="Times New Roman" w:eastAsia="Arial Unicode MS" w:hAnsi="Times New Roman" w:cs="Times New Roman"/>
          <w:sz w:val="24"/>
          <w:lang w:val="en-IE" w:eastAsia="en-AU" w:bidi="hi-IN"/>
        </w:rPr>
        <w:t>Cth</w:t>
      </w:r>
      <w:proofErr w:type="spellEnd"/>
      <w:r w:rsidR="00F442A5" w:rsidRPr="0007060B">
        <w:rPr>
          <w:rFonts w:ascii="Times New Roman" w:eastAsia="Arial Unicode MS" w:hAnsi="Times New Roman" w:cs="Times New Roman"/>
          <w:sz w:val="24"/>
          <w:lang w:val="en-IE" w:eastAsia="en-AU" w:bidi="hi-IN"/>
        </w:rPr>
        <w:t xml:space="preserve">) and the comparatively weak provisions of the </w:t>
      </w:r>
      <w:r w:rsidR="00F442A5">
        <w:rPr>
          <w:rFonts w:ascii="Times New Roman" w:eastAsia="Arial Unicode MS" w:hAnsi="Times New Roman" w:cs="Times New Roman"/>
          <w:sz w:val="24"/>
          <w:lang w:val="en-IE" w:eastAsia="en-AU" w:bidi="hi-IN"/>
        </w:rPr>
        <w:t>Australian Privacy Principles.</w:t>
      </w:r>
    </w:p>
    <w:p w:rsidR="001C1418" w:rsidRPr="0067666A" w:rsidRDefault="001C1418" w:rsidP="001C1418">
      <w:pPr>
        <w:spacing w:line="360" w:lineRule="auto"/>
        <w:jc w:val="both"/>
        <w:rPr>
          <w:rFonts w:ascii="Arial" w:eastAsia="Arial Unicode MS" w:hAnsi="Arial" w:cs="Arial"/>
          <w:color w:val="000000" w:themeColor="text1"/>
          <w:sz w:val="28"/>
          <w:lang w:val="en-IE" w:eastAsia="en-AU" w:bidi="hi-IN"/>
        </w:rPr>
      </w:pPr>
      <w:r>
        <w:rPr>
          <w:rFonts w:ascii="Arial" w:eastAsia="Arial Unicode MS" w:hAnsi="Arial" w:cs="Arial"/>
          <w:color w:val="000000" w:themeColor="text1"/>
          <w:sz w:val="28"/>
          <w:lang w:val="en-IE" w:eastAsia="en-AU" w:bidi="hi-IN"/>
        </w:rPr>
        <w:t>Beyond t</w:t>
      </w:r>
      <w:r w:rsidRPr="0067666A">
        <w:rPr>
          <w:rFonts w:ascii="Arial" w:eastAsia="Arial Unicode MS" w:hAnsi="Arial" w:cs="Arial"/>
          <w:color w:val="000000" w:themeColor="text1"/>
          <w:sz w:val="28"/>
          <w:lang w:val="en-IE" w:eastAsia="en-AU" w:bidi="hi-IN"/>
        </w:rPr>
        <w:t>he circle of trust</w:t>
      </w:r>
    </w:p>
    <w:p w:rsidR="00FE0015" w:rsidRPr="00461853" w:rsidRDefault="001C1418"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461853">
        <w:rPr>
          <w:rFonts w:ascii="Times New Roman" w:eastAsia="Arial Unicode MS" w:hAnsi="Times New Roman" w:cs="Times New Roman"/>
          <w:color w:val="000000" w:themeColor="text1"/>
          <w:sz w:val="24"/>
          <w:lang w:val="en-IE" w:eastAsia="en-AU" w:bidi="hi-IN"/>
        </w:rPr>
        <w:t xml:space="preserve">The arrangements set out within the draft legislation, allow for consumer data to be transferred to third parties outside the scope of the accredited system. </w:t>
      </w:r>
      <w:r w:rsidR="00FF5CD5" w:rsidRPr="00461853">
        <w:rPr>
          <w:rFonts w:ascii="Times New Roman" w:eastAsia="Arial Unicode MS" w:hAnsi="Times New Roman" w:cs="Times New Roman"/>
          <w:color w:val="000000" w:themeColor="text1"/>
          <w:sz w:val="24"/>
          <w:lang w:val="en-IE" w:eastAsia="en-AU" w:bidi="hi-IN"/>
        </w:rPr>
        <w:t xml:space="preserve">This data, once transferred out </w:t>
      </w:r>
      <w:r w:rsidR="00296CD9">
        <w:rPr>
          <w:rFonts w:ascii="Times New Roman" w:eastAsia="Arial Unicode MS" w:hAnsi="Times New Roman" w:cs="Times New Roman"/>
          <w:color w:val="000000" w:themeColor="text1"/>
          <w:sz w:val="24"/>
          <w:lang w:val="en-IE" w:eastAsia="en-AU" w:bidi="hi-IN"/>
        </w:rPr>
        <w:t xml:space="preserve">of </w:t>
      </w:r>
      <w:r w:rsidR="00FF5CD5" w:rsidRPr="00461853">
        <w:rPr>
          <w:rFonts w:ascii="Times New Roman" w:eastAsia="Arial Unicode MS" w:hAnsi="Times New Roman" w:cs="Times New Roman"/>
          <w:color w:val="000000" w:themeColor="text1"/>
          <w:sz w:val="24"/>
          <w:lang w:val="en-IE" w:eastAsia="en-AU" w:bidi="hi-IN"/>
        </w:rPr>
        <w:t>the CDR system, is provided the limited privacy protections of the Australian Privacy Principles.</w:t>
      </w:r>
    </w:p>
    <w:p w:rsidR="00626A02" w:rsidRDefault="00395C98"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461853">
        <w:rPr>
          <w:rFonts w:ascii="Times New Roman" w:eastAsia="Arial Unicode MS" w:hAnsi="Times New Roman" w:cs="Times New Roman"/>
          <w:color w:val="000000" w:themeColor="text1"/>
          <w:sz w:val="24"/>
          <w:lang w:val="en-IE" w:eastAsia="en-AU" w:bidi="hi-IN"/>
        </w:rPr>
        <w:t xml:space="preserve">Once data moves </w:t>
      </w:r>
      <w:r w:rsidR="00461853" w:rsidRPr="00461853">
        <w:rPr>
          <w:rFonts w:ascii="Times New Roman" w:eastAsia="Arial Unicode MS" w:hAnsi="Times New Roman" w:cs="Times New Roman"/>
          <w:color w:val="000000" w:themeColor="text1"/>
          <w:sz w:val="24"/>
          <w:lang w:val="en-IE" w:eastAsia="en-AU" w:bidi="hi-IN"/>
        </w:rPr>
        <w:t>beyond</w:t>
      </w:r>
      <w:r w:rsidRPr="00461853">
        <w:rPr>
          <w:rFonts w:ascii="Times New Roman" w:eastAsia="Arial Unicode MS" w:hAnsi="Times New Roman" w:cs="Times New Roman"/>
          <w:color w:val="000000" w:themeColor="text1"/>
          <w:sz w:val="24"/>
          <w:lang w:val="en-IE" w:eastAsia="en-AU" w:bidi="hi-IN"/>
        </w:rPr>
        <w:t xml:space="preserve"> the circle of trust, the privacy protections available to consumers diminish considerably, as too do the remedies made available to them. </w:t>
      </w:r>
      <w:r w:rsidR="00795634">
        <w:rPr>
          <w:rFonts w:ascii="Times New Roman" w:eastAsia="Arial Unicode MS" w:hAnsi="Times New Roman" w:cs="Times New Roman"/>
          <w:color w:val="000000" w:themeColor="text1"/>
          <w:sz w:val="24"/>
          <w:lang w:val="en-IE" w:eastAsia="en-AU" w:bidi="hi-IN"/>
        </w:rPr>
        <w:t xml:space="preserve">There is accordingly considerable risk that once consumer data has exited the CDR system, for this data to be misappropriated, leaked or stolen to the detriment of consumers. </w:t>
      </w:r>
    </w:p>
    <w:p w:rsidR="006A3F73" w:rsidRPr="00204433" w:rsidRDefault="00010274" w:rsidP="00C3101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color w:val="000000" w:themeColor="text1"/>
          <w:sz w:val="24"/>
          <w:lang w:val="en-IE" w:eastAsia="en-AU" w:bidi="hi-IN"/>
        </w:rPr>
        <w:t>The incentives for firms to aggregate consumer data are material, and the benefits that may flow to an individual firm operating in what are highly concentrated markets are significant.</w:t>
      </w:r>
      <w:r w:rsidR="007C026D">
        <w:rPr>
          <w:rFonts w:ascii="Times New Roman" w:eastAsia="Arial Unicode MS" w:hAnsi="Times New Roman" w:cs="Times New Roman"/>
          <w:color w:val="000000" w:themeColor="text1"/>
          <w:sz w:val="24"/>
          <w:lang w:val="en-IE" w:eastAsia="en-AU" w:bidi="hi-IN"/>
        </w:rPr>
        <w:t xml:space="preserve"> In the telecommunications market, if one of the three major participants were able to engage in price discrimination to raise prices by 1% the additional revenue (and implicit consumer loss) would be between </w:t>
      </w:r>
      <w:r w:rsidR="007C026D" w:rsidRPr="005D5DA2">
        <w:rPr>
          <w:rFonts w:ascii="Times New Roman" w:hAnsi="Times New Roman" w:cs="Times New Roman"/>
          <w:sz w:val="24"/>
        </w:rPr>
        <w:t>between $39.6 million to $103.4 million.</w:t>
      </w:r>
      <w:r w:rsidR="002B54EA">
        <w:rPr>
          <w:rStyle w:val="FootnoteReference"/>
          <w:rFonts w:ascii="Times New Roman" w:hAnsi="Times New Roman" w:cs="Times New Roman"/>
          <w:sz w:val="24"/>
        </w:rPr>
        <w:footnoteReference w:id="2"/>
      </w:r>
      <w:r w:rsidR="006A3F73" w:rsidRPr="00E90053">
        <w:rPr>
          <w:rFonts w:ascii="Times New Roman" w:hAnsi="Times New Roman" w:cs="Times New Roman"/>
          <w:sz w:val="24"/>
        </w:rPr>
        <w:t>The material gains to be made by firms by violating consumers’ privacy, means that it is extremely likely that a firm not subject to the constrain</w:t>
      </w:r>
      <w:r w:rsidR="006A1624" w:rsidRPr="00C35DED">
        <w:rPr>
          <w:rFonts w:ascii="Times New Roman" w:hAnsi="Times New Roman" w:cs="Times New Roman"/>
          <w:sz w:val="24"/>
        </w:rPr>
        <w:t>t</w:t>
      </w:r>
      <w:r w:rsidR="006A3F73" w:rsidRPr="00C35DED">
        <w:rPr>
          <w:rFonts w:ascii="Times New Roman" w:hAnsi="Times New Roman" w:cs="Times New Roman"/>
          <w:sz w:val="24"/>
        </w:rPr>
        <w:t xml:space="preserve">s of the Privacy Safeguards, will </w:t>
      </w:r>
      <w:r w:rsidR="006A1624" w:rsidRPr="00C35DED">
        <w:rPr>
          <w:rFonts w:ascii="Times New Roman" w:hAnsi="Times New Roman" w:cs="Times New Roman"/>
          <w:sz w:val="24"/>
        </w:rPr>
        <w:t xml:space="preserve">engage in misconduct to the detriment of consumers. </w:t>
      </w:r>
    </w:p>
    <w:p w:rsidR="00F16480" w:rsidRPr="0035297C" w:rsidRDefault="00C3101E" w:rsidP="0035297C">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ACCAN has concerns that the current</w:t>
      </w:r>
      <w:r w:rsidR="0050625D">
        <w:rPr>
          <w:rFonts w:ascii="Times New Roman" w:eastAsia="Arial Unicode MS" w:hAnsi="Times New Roman" w:cs="Times New Roman"/>
          <w:color w:val="000000" w:themeColor="text1"/>
          <w:sz w:val="24"/>
          <w:lang w:val="en-IE" w:eastAsia="en-AU" w:bidi="hi-IN"/>
        </w:rPr>
        <w:t xml:space="preserve"> narrow</w:t>
      </w:r>
      <w:r>
        <w:rPr>
          <w:rFonts w:ascii="Times New Roman" w:eastAsia="Arial Unicode MS" w:hAnsi="Times New Roman" w:cs="Times New Roman"/>
          <w:color w:val="000000" w:themeColor="text1"/>
          <w:sz w:val="24"/>
          <w:lang w:val="en-IE" w:eastAsia="en-AU" w:bidi="hi-IN"/>
        </w:rPr>
        <w:t xml:space="preserve"> drafting of the legislation provide</w:t>
      </w:r>
      <w:r w:rsidR="00C400B0">
        <w:rPr>
          <w:rFonts w:ascii="Times New Roman" w:eastAsia="Arial Unicode MS" w:hAnsi="Times New Roman" w:cs="Times New Roman"/>
          <w:color w:val="000000" w:themeColor="text1"/>
          <w:sz w:val="24"/>
          <w:lang w:val="en-IE" w:eastAsia="en-AU" w:bidi="hi-IN"/>
        </w:rPr>
        <w:t>s</w:t>
      </w:r>
      <w:r>
        <w:rPr>
          <w:rFonts w:ascii="Times New Roman" w:eastAsia="Arial Unicode MS" w:hAnsi="Times New Roman" w:cs="Times New Roman"/>
          <w:color w:val="000000" w:themeColor="text1"/>
          <w:sz w:val="24"/>
          <w:lang w:val="en-IE" w:eastAsia="en-AU" w:bidi="hi-IN"/>
        </w:rPr>
        <w:t xml:space="preserve"> limited protections to the privacy of consumers, and that given the incentives in place in the identified markets, that there is a material prospect of harm.</w:t>
      </w:r>
      <w:r w:rsidR="00EA5F96">
        <w:rPr>
          <w:rFonts w:ascii="Times New Roman" w:eastAsia="Arial Unicode MS" w:hAnsi="Times New Roman" w:cs="Times New Roman"/>
          <w:color w:val="000000" w:themeColor="text1"/>
          <w:sz w:val="24"/>
          <w:lang w:val="en-IE" w:eastAsia="en-AU" w:bidi="hi-IN"/>
        </w:rPr>
        <w:t xml:space="preserve"> </w:t>
      </w:r>
      <w:r w:rsidR="007B40EF" w:rsidRPr="00C61D9A">
        <w:rPr>
          <w:rFonts w:ascii="Times New Roman" w:eastAsia="Arial Unicode MS" w:hAnsi="Times New Roman" w:cs="Times New Roman"/>
          <w:color w:val="000000" w:themeColor="text1"/>
          <w:sz w:val="24"/>
          <w:lang w:val="en-IE" w:eastAsia="en-AU" w:bidi="hi-IN"/>
        </w:rPr>
        <w:t xml:space="preserve">To this end we support the adoption of comprehensive privacy protections for consumer data, </w:t>
      </w:r>
      <w:r w:rsidR="00C61D9A" w:rsidRPr="00C61D9A">
        <w:rPr>
          <w:rFonts w:ascii="Times New Roman" w:eastAsia="Arial Unicode MS" w:hAnsi="Times New Roman" w:cs="Times New Roman"/>
          <w:color w:val="000000" w:themeColor="text1"/>
          <w:sz w:val="24"/>
          <w:lang w:val="en-IE" w:eastAsia="en-AU" w:bidi="hi-IN"/>
        </w:rPr>
        <w:t>to apply at</w:t>
      </w:r>
      <w:r w:rsidR="007B40EF" w:rsidRPr="00C61D9A">
        <w:rPr>
          <w:rFonts w:ascii="Times New Roman" w:eastAsia="Arial Unicode MS" w:hAnsi="Times New Roman" w:cs="Times New Roman"/>
          <w:color w:val="000000" w:themeColor="text1"/>
          <w:sz w:val="24"/>
          <w:lang w:val="en-IE" w:eastAsia="en-AU" w:bidi="hi-IN"/>
        </w:rPr>
        <w:t xml:space="preserve"> all times that this data is being held on behalf of consumers.</w:t>
      </w:r>
    </w:p>
    <w:p w:rsidR="0007225A" w:rsidRPr="00696688" w:rsidRDefault="005C4860" w:rsidP="00696688">
      <w:pPr>
        <w:spacing w:line="360" w:lineRule="auto"/>
        <w:jc w:val="both"/>
        <w:rPr>
          <w:rFonts w:ascii="Arial" w:eastAsia="Arial Unicode MS" w:hAnsi="Arial" w:cs="Arial"/>
          <w:color w:val="000000" w:themeColor="text1"/>
          <w:sz w:val="28"/>
          <w:lang w:val="en-IE" w:eastAsia="en-AU" w:bidi="hi-IN"/>
        </w:rPr>
      </w:pPr>
      <w:r>
        <w:rPr>
          <w:rFonts w:ascii="Arial" w:eastAsia="Arial Unicode MS" w:hAnsi="Arial" w:cs="Arial"/>
          <w:color w:val="000000" w:themeColor="text1"/>
          <w:sz w:val="28"/>
          <w:lang w:val="en-IE" w:eastAsia="en-AU" w:bidi="hi-IN"/>
        </w:rPr>
        <w:t>Recipr</w:t>
      </w:r>
      <w:r w:rsidR="002B742B">
        <w:rPr>
          <w:rFonts w:ascii="Arial" w:eastAsia="Arial Unicode MS" w:hAnsi="Arial" w:cs="Arial"/>
          <w:color w:val="000000" w:themeColor="text1"/>
          <w:sz w:val="28"/>
          <w:lang w:val="en-IE" w:eastAsia="en-AU" w:bidi="hi-IN"/>
        </w:rPr>
        <w:t xml:space="preserve">ocity </w:t>
      </w:r>
    </w:p>
    <w:p w:rsidR="00530F73" w:rsidRDefault="00530F73" w:rsidP="00A07B6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ACCAN supports the implementation of reciprocal obligations on data recipients, as data recipients often derive material benefit from access to the forms of data that would be within the </w:t>
      </w:r>
      <w:r w:rsidR="0044583A">
        <w:rPr>
          <w:rFonts w:ascii="Times New Roman" w:eastAsia="Arial Unicode MS" w:hAnsi="Times New Roman" w:cs="Times New Roman"/>
          <w:sz w:val="24"/>
          <w:lang w:val="en-IE" w:eastAsia="en-AU" w:bidi="hi-IN"/>
        </w:rPr>
        <w:t>scope</w:t>
      </w:r>
      <w:r>
        <w:rPr>
          <w:rFonts w:ascii="Times New Roman" w:eastAsia="Arial Unicode MS" w:hAnsi="Times New Roman" w:cs="Times New Roman"/>
          <w:sz w:val="24"/>
          <w:lang w:val="en-IE" w:eastAsia="en-AU" w:bidi="hi-IN"/>
        </w:rPr>
        <w:t xml:space="preserve"> of CDR data. </w:t>
      </w:r>
    </w:p>
    <w:p w:rsidR="000946B7" w:rsidRPr="00B11225" w:rsidRDefault="008E639A" w:rsidP="00A07B6E">
      <w:pPr>
        <w:spacing w:before="100" w:beforeAutospacing="1" w:after="100" w:afterAutospacing="1"/>
        <w:jc w:val="both"/>
        <w:rPr>
          <w:rFonts w:ascii="Times New Roman" w:eastAsia="Arial Unicode MS" w:hAnsi="Times New Roman" w:cs="Times New Roman"/>
          <w:color w:val="FF0000"/>
          <w:sz w:val="24"/>
          <w:lang w:val="en-IE" w:eastAsia="en-AU" w:bidi="hi-IN"/>
        </w:rPr>
      </w:pPr>
      <w:r>
        <w:rPr>
          <w:rFonts w:ascii="Times New Roman" w:eastAsia="Arial Unicode MS" w:hAnsi="Times New Roman" w:cs="Times New Roman"/>
          <w:sz w:val="24"/>
          <w:lang w:val="en-IE" w:eastAsia="en-AU" w:bidi="hi-IN"/>
        </w:rPr>
        <w:t xml:space="preserve">Where consumer data is transferred to a third party, under the terms of the consumer data right the privacy protections and obligations set out under the CDR should be extended to the third party. </w:t>
      </w:r>
      <w:r w:rsidRPr="00831558">
        <w:rPr>
          <w:rFonts w:ascii="Times New Roman" w:eastAsia="Arial Unicode MS" w:hAnsi="Times New Roman" w:cs="Times New Roman"/>
          <w:sz w:val="24"/>
          <w:lang w:val="en-IE" w:eastAsia="en-AU" w:bidi="hi-IN"/>
        </w:rPr>
        <w:t xml:space="preserve">The CDR </w:t>
      </w:r>
      <w:r w:rsidR="00003A68" w:rsidRPr="00831558">
        <w:rPr>
          <w:rFonts w:ascii="Times New Roman" w:eastAsia="Arial Unicode MS" w:hAnsi="Times New Roman" w:cs="Times New Roman"/>
          <w:sz w:val="24"/>
          <w:lang w:val="en-IE" w:eastAsia="en-AU" w:bidi="hi-IN"/>
        </w:rPr>
        <w:t xml:space="preserve">framework </w:t>
      </w:r>
      <w:r w:rsidRPr="00831558">
        <w:rPr>
          <w:rFonts w:ascii="Times New Roman" w:eastAsia="Arial Unicode MS" w:hAnsi="Times New Roman" w:cs="Times New Roman"/>
          <w:sz w:val="24"/>
          <w:lang w:val="en-IE" w:eastAsia="en-AU" w:bidi="hi-IN"/>
        </w:rPr>
        <w:t>prov</w:t>
      </w:r>
      <w:r w:rsidR="00003A68" w:rsidRPr="00831558">
        <w:rPr>
          <w:rFonts w:ascii="Times New Roman" w:eastAsia="Arial Unicode MS" w:hAnsi="Times New Roman" w:cs="Times New Roman"/>
          <w:sz w:val="24"/>
          <w:lang w:val="en-IE" w:eastAsia="en-AU" w:bidi="hi-IN"/>
        </w:rPr>
        <w:t>ides benefits to both consumers</w:t>
      </w:r>
      <w:r w:rsidRPr="00831558">
        <w:rPr>
          <w:rFonts w:ascii="Times New Roman" w:eastAsia="Arial Unicode MS" w:hAnsi="Times New Roman" w:cs="Times New Roman"/>
          <w:sz w:val="24"/>
          <w:lang w:val="en-IE" w:eastAsia="en-AU" w:bidi="hi-IN"/>
        </w:rPr>
        <w:t xml:space="preserve"> and third party service providers</w:t>
      </w:r>
      <w:r w:rsidR="00437BCE">
        <w:rPr>
          <w:rFonts w:ascii="Times New Roman" w:eastAsia="Arial Unicode MS" w:hAnsi="Times New Roman" w:cs="Times New Roman"/>
          <w:sz w:val="24"/>
          <w:lang w:val="en-IE" w:eastAsia="en-AU" w:bidi="hi-IN"/>
        </w:rPr>
        <w:t xml:space="preserve"> (e.g. search engines for communications services)</w:t>
      </w:r>
      <w:r w:rsidR="00003A68" w:rsidRPr="00831558">
        <w:rPr>
          <w:rFonts w:ascii="Times New Roman" w:eastAsia="Arial Unicode MS" w:hAnsi="Times New Roman" w:cs="Times New Roman"/>
          <w:sz w:val="24"/>
          <w:lang w:val="en-IE" w:eastAsia="en-AU" w:bidi="hi-IN"/>
        </w:rPr>
        <w:t>. Accordingly, it is appropriate that the obligations of compliance be extended to third party providers.</w:t>
      </w:r>
    </w:p>
    <w:p w:rsidR="00B5701D" w:rsidRPr="00A95E50" w:rsidRDefault="00AD4E6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In the absence of reciprocity arrangements being put in place, consumers face material risks to their privacy and the security of their personal information. </w:t>
      </w:r>
      <w:r w:rsidR="00C400B0">
        <w:rPr>
          <w:rFonts w:ascii="Times New Roman" w:eastAsia="Arial Unicode MS" w:hAnsi="Times New Roman" w:cs="Times New Roman"/>
          <w:color w:val="000000" w:themeColor="text1"/>
          <w:sz w:val="24"/>
          <w:lang w:val="en-IE" w:eastAsia="en-AU" w:bidi="hi-IN"/>
        </w:rPr>
        <w:t>T</w:t>
      </w:r>
      <w:r w:rsidR="00FA7AAD">
        <w:rPr>
          <w:rFonts w:ascii="Times New Roman" w:eastAsia="Arial Unicode MS" w:hAnsi="Times New Roman" w:cs="Times New Roman"/>
          <w:color w:val="000000" w:themeColor="text1"/>
          <w:sz w:val="24"/>
          <w:lang w:val="en-IE" w:eastAsia="en-AU" w:bidi="hi-IN"/>
        </w:rPr>
        <w:t xml:space="preserve">he default rule should be that the privacy safeguards </w:t>
      </w:r>
      <w:r w:rsidR="000E59DE">
        <w:rPr>
          <w:rFonts w:ascii="Times New Roman" w:eastAsia="Arial Unicode MS" w:hAnsi="Times New Roman" w:cs="Times New Roman"/>
          <w:color w:val="000000" w:themeColor="text1"/>
          <w:sz w:val="24"/>
          <w:lang w:val="en-IE" w:eastAsia="en-AU" w:bidi="hi-IN"/>
        </w:rPr>
        <w:t>apply</w:t>
      </w:r>
      <w:r w:rsidR="00D007F8">
        <w:rPr>
          <w:rFonts w:ascii="Times New Roman" w:eastAsia="Arial Unicode MS" w:hAnsi="Times New Roman" w:cs="Times New Roman"/>
          <w:color w:val="000000" w:themeColor="text1"/>
          <w:sz w:val="24"/>
          <w:lang w:val="en-IE" w:eastAsia="en-AU" w:bidi="hi-IN"/>
        </w:rPr>
        <w:t>.</w:t>
      </w:r>
      <w:r w:rsidR="000E59DE">
        <w:rPr>
          <w:rFonts w:ascii="Times New Roman" w:eastAsia="Arial Unicode MS" w:hAnsi="Times New Roman" w:cs="Times New Roman"/>
          <w:color w:val="000000" w:themeColor="text1"/>
          <w:sz w:val="24"/>
          <w:lang w:val="en-IE" w:eastAsia="en-AU" w:bidi="hi-IN"/>
        </w:rPr>
        <w:t xml:space="preserve"> </w:t>
      </w:r>
    </w:p>
    <w:p w:rsidR="00A00C57" w:rsidRDefault="001717EA" w:rsidP="00A07B6E">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7632" behindDoc="0" locked="0" layoutInCell="1" allowOverlap="1" wp14:anchorId="176253A7" wp14:editId="322FE125">
                <wp:simplePos x="0" y="0"/>
                <wp:positionH relativeFrom="column">
                  <wp:posOffset>0</wp:posOffset>
                </wp:positionH>
                <wp:positionV relativeFrom="paragraph">
                  <wp:posOffset>635</wp:posOffset>
                </wp:positionV>
                <wp:extent cx="5720080" cy="859790"/>
                <wp:effectExtent l="0" t="0" r="13970" b="16510"/>
                <wp:wrapNone/>
                <wp:docPr id="18" name="Text Box 18"/>
                <wp:cNvGraphicFramePr/>
                <a:graphic xmlns:a="http://schemas.openxmlformats.org/drawingml/2006/main">
                  <a:graphicData uri="http://schemas.microsoft.com/office/word/2010/wordprocessingShape">
                    <wps:wsp>
                      <wps:cNvSpPr txBox="1"/>
                      <wps:spPr>
                        <a:xfrm>
                          <a:off x="0" y="0"/>
                          <a:ext cx="5720080" cy="859790"/>
                        </a:xfrm>
                        <a:prstGeom prst="rect">
                          <a:avLst/>
                        </a:prstGeom>
                        <a:solidFill>
                          <a:sysClr val="window" lastClr="FFFFFF"/>
                        </a:solidFill>
                        <a:ln w="6350">
                          <a:solidFill>
                            <a:srgbClr val="00B0F0"/>
                          </a:solidFill>
                        </a:ln>
                      </wps:spPr>
                      <wps:txbx>
                        <w:txbxContent>
                          <w:p w:rsidR="00DD5468" w:rsidRPr="001410E8" w:rsidRDefault="00DD5468" w:rsidP="008312E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8</w:t>
                            </w:r>
                          </w:p>
                          <w:p w:rsidR="00DD5468" w:rsidRPr="001410E8" w:rsidRDefault="00DD5468" w:rsidP="00615FA3">
                            <w:pPr>
                              <w:jc w:val="both"/>
                              <w:rPr>
                                <w:rFonts w:ascii="Times New Roman" w:hAnsi="Times New Roman" w:cs="Times New Roman"/>
                                <w:i/>
                              </w:rPr>
                            </w:pPr>
                            <w:r w:rsidRPr="001410E8">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8312E1">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left:0;text-align:left;margin-left:0;margin-top:.05pt;width:450.4pt;height:6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" fillcolor="window" strokecolor="#00b0f0" strokeweight=".5pt">
                <v:textbox>
                  <w:txbxContent>
                    <w:p w:rsidR="00DD5468" w:rsidRPr="001410E8" w:rsidRDefault="00DD5468" w:rsidP="008312E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8</w:t>
                      </w:r>
                    </w:p>
                    <w:p w:rsidR="00DD5468" w:rsidRPr="001410E8" w:rsidRDefault="00DD5468" w:rsidP="00615FA3">
                      <w:pPr>
                        <w:jc w:val="both"/>
                        <w:rPr>
                          <w:rFonts w:ascii="Times New Roman" w:hAnsi="Times New Roman" w:cs="Times New Roman"/>
                          <w:i/>
                        </w:rPr>
                      </w:pPr>
                      <w:r w:rsidRPr="001410E8">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8312E1">
                      <w:pPr>
                        <w:jc w:val="both"/>
                        <w:rPr>
                          <w:rFonts w:ascii="Times New Roman" w:hAnsi="Times New Roman" w:cs="Times New Roman"/>
                          <w:i/>
                          <w:sz w:val="20"/>
                        </w:rPr>
                      </w:pPr>
                    </w:p>
                  </w:txbxContent>
                </v:textbox>
              </v:shape>
            </w:pict>
          </mc:Fallback>
        </mc:AlternateContent>
      </w:r>
    </w:p>
    <w:p w:rsidR="00A00C57" w:rsidRDefault="00A00C57" w:rsidP="00A07B6E">
      <w:pPr>
        <w:spacing w:before="100" w:beforeAutospacing="1" w:after="100" w:afterAutospacing="1"/>
        <w:jc w:val="both"/>
        <w:rPr>
          <w:rFonts w:ascii="Times New Roman" w:eastAsia="Arial Unicode MS" w:hAnsi="Times New Roman" w:cs="Times New Roman"/>
          <w:sz w:val="24"/>
          <w:lang w:val="en-IE" w:eastAsia="en-AU" w:bidi="hi-IN"/>
        </w:rPr>
      </w:pPr>
    </w:p>
    <w:p w:rsidR="00E04190" w:rsidRDefault="00E04190" w:rsidP="00C557FA">
      <w:pPr>
        <w:spacing w:before="100" w:beforeAutospacing="1" w:after="100" w:afterAutospacing="1"/>
        <w:jc w:val="both"/>
        <w:rPr>
          <w:rFonts w:ascii="Times New Roman" w:eastAsia="Arial Unicode MS" w:hAnsi="Times New Roman" w:cs="Times New Roman"/>
          <w:sz w:val="24"/>
          <w:lang w:val="en-IE" w:eastAsia="en-AU" w:bidi="hi-IN"/>
        </w:rPr>
      </w:pPr>
    </w:p>
    <w:p w:rsidR="00C557FA" w:rsidRPr="00E04190" w:rsidRDefault="00C557FA" w:rsidP="00C557F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E04190">
        <w:rPr>
          <w:rFonts w:ascii="Times New Roman" w:eastAsia="Arial Unicode MS" w:hAnsi="Times New Roman" w:cs="Times New Roman"/>
          <w:color w:val="000000" w:themeColor="text1"/>
          <w:sz w:val="24"/>
          <w:lang w:val="en-IE" w:eastAsia="en-AU" w:bidi="hi-IN"/>
        </w:rPr>
        <w:t xml:space="preserve">The current drafting of section </w:t>
      </w:r>
      <w:proofErr w:type="gramStart"/>
      <w:r w:rsidRPr="00E04190">
        <w:rPr>
          <w:rFonts w:ascii="Times New Roman" w:eastAsia="Arial Unicode MS" w:hAnsi="Times New Roman" w:cs="Times New Roman"/>
          <w:color w:val="000000" w:themeColor="text1"/>
          <w:sz w:val="24"/>
          <w:lang w:val="en-IE" w:eastAsia="en-AU" w:bidi="hi-IN"/>
        </w:rPr>
        <w:t>56BC(</w:t>
      </w:r>
      <w:proofErr w:type="gramEnd"/>
      <w:r w:rsidRPr="00E04190">
        <w:rPr>
          <w:rFonts w:ascii="Times New Roman" w:eastAsia="Arial Unicode MS" w:hAnsi="Times New Roman" w:cs="Times New Roman"/>
          <w:color w:val="000000" w:themeColor="text1"/>
          <w:sz w:val="24"/>
          <w:lang w:val="en-IE" w:eastAsia="en-AU" w:bidi="hi-IN"/>
        </w:rPr>
        <w:t xml:space="preserve">a) does not unambiguously provide for the extension of consumer data right obligations to third parties receiving </w:t>
      </w:r>
      <w:r w:rsidR="00CE371C">
        <w:rPr>
          <w:rFonts w:ascii="Times New Roman" w:eastAsia="Arial Unicode MS" w:hAnsi="Times New Roman" w:cs="Times New Roman"/>
          <w:color w:val="000000" w:themeColor="text1"/>
          <w:sz w:val="24"/>
          <w:lang w:val="en-IE" w:eastAsia="en-AU" w:bidi="hi-IN"/>
        </w:rPr>
        <w:t xml:space="preserve">data from an accredited data holder. Accordingly, there is a need for the scope of </w:t>
      </w:r>
      <w:proofErr w:type="gramStart"/>
      <w:r w:rsidR="00CE371C">
        <w:rPr>
          <w:rFonts w:ascii="Times New Roman" w:eastAsia="Arial Unicode MS" w:hAnsi="Times New Roman" w:cs="Times New Roman"/>
          <w:color w:val="000000" w:themeColor="text1"/>
          <w:sz w:val="24"/>
          <w:lang w:val="en-IE" w:eastAsia="en-AU" w:bidi="hi-IN"/>
        </w:rPr>
        <w:t>s56BC(</w:t>
      </w:r>
      <w:proofErr w:type="gramEnd"/>
      <w:r w:rsidR="00CE371C">
        <w:rPr>
          <w:rFonts w:ascii="Times New Roman" w:eastAsia="Arial Unicode MS" w:hAnsi="Times New Roman" w:cs="Times New Roman"/>
          <w:color w:val="000000" w:themeColor="text1"/>
          <w:sz w:val="24"/>
          <w:lang w:val="en-IE" w:eastAsia="en-AU" w:bidi="hi-IN"/>
        </w:rPr>
        <w:t>a) to be refined to explicitly provide for the creation of regulations as part of the ACCC’s rule making process.</w:t>
      </w:r>
    </w:p>
    <w:p w:rsidR="00C557FA" w:rsidRDefault="002B54EA" w:rsidP="00DB5895">
      <w:pPr>
        <w:spacing w:before="100" w:beforeAutospacing="1" w:after="100" w:afterAutospacing="1" w:line="360" w:lineRule="auto"/>
        <w:jc w:val="both"/>
        <w:rPr>
          <w:rFonts w:ascii="Arial" w:eastAsiaTheme="minorEastAsia" w:hAnsi="Arial" w:cs="Arial"/>
          <w:b/>
          <w:sz w:val="32"/>
          <w:szCs w:val="32"/>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5824" behindDoc="0" locked="0" layoutInCell="1" allowOverlap="1" wp14:anchorId="71DD1A1C" wp14:editId="4A3FA3ED">
                <wp:simplePos x="0" y="0"/>
                <wp:positionH relativeFrom="column">
                  <wp:posOffset>0</wp:posOffset>
                </wp:positionH>
                <wp:positionV relativeFrom="paragraph">
                  <wp:posOffset>65405</wp:posOffset>
                </wp:positionV>
                <wp:extent cx="5720080" cy="842645"/>
                <wp:effectExtent l="0" t="0" r="13970" b="14605"/>
                <wp:wrapNone/>
                <wp:docPr id="22" name="Text Box 22"/>
                <wp:cNvGraphicFramePr/>
                <a:graphic xmlns:a="http://schemas.openxmlformats.org/drawingml/2006/main">
                  <a:graphicData uri="http://schemas.microsoft.com/office/word/2010/wordprocessingShape">
                    <wps:wsp>
                      <wps:cNvSpPr txBox="1"/>
                      <wps:spPr>
                        <a:xfrm>
                          <a:off x="0" y="0"/>
                          <a:ext cx="5720080" cy="842645"/>
                        </a:xfrm>
                        <a:prstGeom prst="rect">
                          <a:avLst/>
                        </a:prstGeom>
                        <a:solidFill>
                          <a:sysClr val="window" lastClr="FFFFFF"/>
                        </a:solidFill>
                        <a:ln w="6350">
                          <a:solidFill>
                            <a:srgbClr val="00B0F0"/>
                          </a:solidFill>
                        </a:ln>
                      </wps:spPr>
                      <wps:txbx>
                        <w:txbxContent>
                          <w:p w:rsidR="00DD5468" w:rsidRPr="001410E8" w:rsidRDefault="00DD5468" w:rsidP="00CE371C">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204433" w:rsidRDefault="00DD5468" w:rsidP="00CE371C">
                            <w:pPr>
                              <w:jc w:val="both"/>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49149C" w:rsidRDefault="00DD5468" w:rsidP="00CE371C">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2" type="#_x0000_t202" style="position:absolute;left:0;text-align:left;margin-left:0;margin-top:5.15pt;width:450.4pt;height:6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" fillcolor="window" strokecolor="#00b0f0" strokeweight=".5pt">
                <v:textbox>
                  <w:txbxContent>
                    <w:p w:rsidR="00DD5468" w:rsidRPr="001410E8" w:rsidRDefault="00DD5468" w:rsidP="00CE371C">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204433" w:rsidRDefault="00DD5468" w:rsidP="00CE371C">
                      <w:pPr>
                        <w:jc w:val="both"/>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49149C" w:rsidRDefault="00DD5468" w:rsidP="00CE371C">
                      <w:pPr>
                        <w:jc w:val="both"/>
                        <w:rPr>
                          <w:rFonts w:ascii="Times New Roman" w:hAnsi="Times New Roman" w:cs="Times New Roman"/>
                          <w:i/>
                          <w:sz w:val="20"/>
                        </w:rPr>
                      </w:pPr>
                    </w:p>
                  </w:txbxContent>
                </v:textbox>
              </v:shape>
            </w:pict>
          </mc:Fallback>
        </mc:AlternateContent>
      </w:r>
    </w:p>
    <w:p w:rsidR="00C557FA" w:rsidRDefault="00C557FA" w:rsidP="00DB5895">
      <w:pPr>
        <w:spacing w:before="100" w:beforeAutospacing="1" w:after="100" w:afterAutospacing="1" w:line="360" w:lineRule="auto"/>
        <w:jc w:val="both"/>
        <w:rPr>
          <w:rFonts w:ascii="Arial" w:eastAsiaTheme="minorEastAsia" w:hAnsi="Arial" w:cs="Arial"/>
          <w:b/>
          <w:sz w:val="32"/>
          <w:szCs w:val="32"/>
          <w:lang w:val="en-AU" w:eastAsia="en-AU"/>
        </w:rPr>
      </w:pPr>
    </w:p>
    <w:p w:rsidR="00DB5895" w:rsidRDefault="00DB5895" w:rsidP="00DB5895">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Anonymity and re-identification</w:t>
      </w:r>
    </w:p>
    <w:p w:rsidR="003A3DFD" w:rsidRDefault="00E22331"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Consumer </w:t>
      </w:r>
      <w:r w:rsidR="00170191">
        <w:rPr>
          <w:rFonts w:ascii="Times New Roman" w:eastAsia="Arial Unicode MS" w:hAnsi="Times New Roman" w:cs="Times New Roman"/>
          <w:color w:val="000000" w:themeColor="text1"/>
          <w:sz w:val="24"/>
          <w:lang w:val="en-IE" w:eastAsia="en-AU" w:bidi="hi-IN"/>
        </w:rPr>
        <w:t>data</w:t>
      </w:r>
      <w:r>
        <w:rPr>
          <w:rFonts w:ascii="Times New Roman" w:eastAsia="Arial Unicode MS" w:hAnsi="Times New Roman" w:cs="Times New Roman"/>
          <w:color w:val="000000" w:themeColor="text1"/>
          <w:sz w:val="24"/>
          <w:lang w:val="en-IE" w:eastAsia="en-AU" w:bidi="hi-IN"/>
        </w:rPr>
        <w:t xml:space="preserve"> can be used</w:t>
      </w:r>
      <w:r w:rsidR="00B33EDE">
        <w:rPr>
          <w:rFonts w:ascii="Times New Roman" w:eastAsia="Arial Unicode MS" w:hAnsi="Times New Roman" w:cs="Times New Roman"/>
          <w:color w:val="000000" w:themeColor="text1"/>
          <w:sz w:val="24"/>
          <w:lang w:val="en-IE" w:eastAsia="en-AU" w:bidi="hi-IN"/>
        </w:rPr>
        <w:t xml:space="preserve"> to identify individuals, violate their privacy and allow for profiling of individuals and groups.</w:t>
      </w:r>
      <w:r w:rsidR="00E860AF">
        <w:rPr>
          <w:rFonts w:ascii="Times New Roman" w:eastAsia="Arial Unicode MS" w:hAnsi="Times New Roman" w:cs="Times New Roman"/>
          <w:color w:val="000000" w:themeColor="text1"/>
          <w:sz w:val="24"/>
          <w:lang w:val="en-IE" w:eastAsia="en-AU" w:bidi="hi-IN"/>
        </w:rPr>
        <w:t xml:space="preserve"> </w:t>
      </w:r>
      <w:r w:rsidR="00124A39">
        <w:rPr>
          <w:rFonts w:ascii="Times New Roman" w:eastAsia="Arial Unicode MS" w:hAnsi="Times New Roman" w:cs="Times New Roman"/>
          <w:color w:val="000000" w:themeColor="text1"/>
          <w:sz w:val="24"/>
          <w:lang w:val="en-IE" w:eastAsia="en-AU" w:bidi="hi-IN"/>
        </w:rPr>
        <w:t xml:space="preserve">Transactional data from financial institutions can be used to provide detailed information concerning an individual’s purchasing habits, geographic locations and can be used for profiling of real-time behaviour. </w:t>
      </w:r>
      <w:r w:rsidR="004C68E0">
        <w:rPr>
          <w:rFonts w:ascii="Times New Roman" w:eastAsia="Arial Unicode MS" w:hAnsi="Times New Roman" w:cs="Times New Roman"/>
          <w:color w:val="000000" w:themeColor="text1"/>
          <w:sz w:val="24"/>
          <w:lang w:val="en-IE" w:eastAsia="en-AU" w:bidi="hi-IN"/>
        </w:rPr>
        <w:t xml:space="preserve">The current protections outlined within the draft legislation do not explicitly </w:t>
      </w:r>
      <w:r w:rsidR="001600B3">
        <w:rPr>
          <w:rFonts w:ascii="Times New Roman" w:eastAsia="Arial Unicode MS" w:hAnsi="Times New Roman" w:cs="Times New Roman"/>
          <w:color w:val="000000" w:themeColor="text1"/>
          <w:sz w:val="24"/>
          <w:lang w:val="en-IE" w:eastAsia="en-AU" w:bidi="hi-IN"/>
        </w:rPr>
        <w:t>bar the use of co</w:t>
      </w:r>
      <w:r w:rsidR="00015584">
        <w:rPr>
          <w:rFonts w:ascii="Times New Roman" w:eastAsia="Arial Unicode MS" w:hAnsi="Times New Roman" w:cs="Times New Roman"/>
          <w:color w:val="000000" w:themeColor="text1"/>
          <w:sz w:val="24"/>
          <w:lang w:val="en-IE" w:eastAsia="en-AU" w:bidi="hi-IN"/>
        </w:rPr>
        <w:t xml:space="preserve">nsumer data for this purpose, and are inadequate. </w:t>
      </w:r>
    </w:p>
    <w:p w:rsidR="001600B3" w:rsidRPr="00084427" w:rsidRDefault="00F836FC"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Although transactional data may merely be </w:t>
      </w:r>
      <w:r w:rsidR="00D007F8">
        <w:rPr>
          <w:rFonts w:ascii="Times New Roman" w:eastAsia="Arial Unicode MS" w:hAnsi="Times New Roman" w:cs="Times New Roman"/>
          <w:color w:val="000000" w:themeColor="text1"/>
          <w:sz w:val="24"/>
          <w:lang w:val="en-IE" w:eastAsia="en-AU" w:bidi="hi-IN"/>
        </w:rPr>
        <w:t xml:space="preserve">a record </w:t>
      </w:r>
      <w:r w:rsidR="00A807C8">
        <w:rPr>
          <w:rFonts w:ascii="Times New Roman" w:eastAsia="Arial Unicode MS" w:hAnsi="Times New Roman" w:cs="Times New Roman"/>
          <w:color w:val="000000" w:themeColor="text1"/>
          <w:sz w:val="24"/>
          <w:lang w:val="en-IE" w:eastAsia="en-AU" w:bidi="hi-IN"/>
        </w:rPr>
        <w:t>of spending</w:t>
      </w:r>
      <w:r>
        <w:rPr>
          <w:rFonts w:ascii="Times New Roman" w:eastAsia="Arial Unicode MS" w:hAnsi="Times New Roman" w:cs="Times New Roman"/>
          <w:color w:val="000000" w:themeColor="text1"/>
          <w:sz w:val="24"/>
          <w:lang w:val="en-IE" w:eastAsia="en-AU" w:bidi="hi-IN"/>
        </w:rPr>
        <w:t xml:space="preserve"> activities, for con</w:t>
      </w:r>
      <w:r w:rsidR="00AF12B7">
        <w:rPr>
          <w:rFonts w:ascii="Times New Roman" w:eastAsia="Arial Unicode MS" w:hAnsi="Times New Roman" w:cs="Times New Roman"/>
          <w:color w:val="000000" w:themeColor="text1"/>
          <w:sz w:val="24"/>
          <w:lang w:val="en-IE" w:eastAsia="en-AU" w:bidi="hi-IN"/>
        </w:rPr>
        <w:t xml:space="preserve">sumers who transact </w:t>
      </w:r>
      <w:r>
        <w:rPr>
          <w:rFonts w:ascii="Times New Roman" w:eastAsia="Arial Unicode MS" w:hAnsi="Times New Roman" w:cs="Times New Roman"/>
          <w:color w:val="000000" w:themeColor="text1"/>
          <w:sz w:val="24"/>
          <w:lang w:val="en-IE" w:eastAsia="en-AU" w:bidi="hi-IN"/>
        </w:rPr>
        <w:t>with geographically specific retailers, a failure to anonymise this data provides information to malicious parties about</w:t>
      </w:r>
      <w:r w:rsidR="00D007F8">
        <w:rPr>
          <w:rFonts w:ascii="Times New Roman" w:eastAsia="Arial Unicode MS" w:hAnsi="Times New Roman" w:cs="Times New Roman"/>
          <w:color w:val="000000" w:themeColor="text1"/>
          <w:sz w:val="24"/>
          <w:lang w:val="en-IE" w:eastAsia="en-AU" w:bidi="hi-IN"/>
        </w:rPr>
        <w:t xml:space="preserve"> an</w:t>
      </w:r>
      <w:r>
        <w:rPr>
          <w:rFonts w:ascii="Times New Roman" w:eastAsia="Arial Unicode MS" w:hAnsi="Times New Roman" w:cs="Times New Roman"/>
          <w:color w:val="000000" w:themeColor="text1"/>
          <w:sz w:val="24"/>
          <w:lang w:val="en-IE" w:eastAsia="en-AU" w:bidi="hi-IN"/>
        </w:rPr>
        <w:t xml:space="preserve"> individual’</w:t>
      </w:r>
      <w:r w:rsidR="0004148D">
        <w:rPr>
          <w:rFonts w:ascii="Times New Roman" w:eastAsia="Arial Unicode MS" w:hAnsi="Times New Roman" w:cs="Times New Roman"/>
          <w:color w:val="000000" w:themeColor="text1"/>
          <w:sz w:val="24"/>
          <w:lang w:val="en-IE" w:eastAsia="en-AU" w:bidi="hi-IN"/>
        </w:rPr>
        <w:t>s daily</w:t>
      </w:r>
      <w:r>
        <w:rPr>
          <w:rFonts w:ascii="Times New Roman" w:eastAsia="Arial Unicode MS" w:hAnsi="Times New Roman" w:cs="Times New Roman"/>
          <w:color w:val="000000" w:themeColor="text1"/>
          <w:sz w:val="24"/>
          <w:lang w:val="en-IE" w:eastAsia="en-AU" w:bidi="hi-IN"/>
        </w:rPr>
        <w:t xml:space="preserve"> life. </w:t>
      </w:r>
      <w:r w:rsidR="00141647">
        <w:rPr>
          <w:rFonts w:ascii="Times New Roman" w:eastAsia="Arial Unicode MS" w:hAnsi="Times New Roman" w:cs="Times New Roman"/>
          <w:color w:val="000000" w:themeColor="text1"/>
          <w:sz w:val="24"/>
          <w:lang w:val="en-IE" w:eastAsia="en-AU" w:bidi="hi-IN"/>
        </w:rPr>
        <w:t>At a practical level this data m</w:t>
      </w:r>
      <w:r w:rsidR="00E860AF">
        <w:rPr>
          <w:rFonts w:ascii="Times New Roman" w:eastAsia="Arial Unicode MS" w:hAnsi="Times New Roman" w:cs="Times New Roman"/>
          <w:color w:val="000000" w:themeColor="text1"/>
          <w:sz w:val="24"/>
          <w:lang w:val="en-IE" w:eastAsia="en-AU" w:bidi="hi-IN"/>
        </w:rPr>
        <w:t xml:space="preserve">ay provide insights into </w:t>
      </w:r>
      <w:r w:rsidR="00141647">
        <w:rPr>
          <w:rFonts w:ascii="Times New Roman" w:eastAsia="Arial Unicode MS" w:hAnsi="Times New Roman" w:cs="Times New Roman"/>
          <w:color w:val="000000" w:themeColor="text1"/>
          <w:sz w:val="24"/>
          <w:lang w:val="en-IE" w:eastAsia="en-AU" w:bidi="hi-IN"/>
        </w:rPr>
        <w:t xml:space="preserve">an individual’s location at various times by reference to </w:t>
      </w:r>
      <w:r w:rsidR="00141647" w:rsidRPr="00084427">
        <w:rPr>
          <w:rFonts w:ascii="Times New Roman" w:eastAsia="Arial Unicode MS" w:hAnsi="Times New Roman" w:cs="Times New Roman"/>
          <w:color w:val="000000" w:themeColor="text1"/>
          <w:sz w:val="24"/>
          <w:lang w:val="en-IE" w:eastAsia="en-AU" w:bidi="hi-IN"/>
        </w:rPr>
        <w:t>a s</w:t>
      </w:r>
      <w:r w:rsidR="00C365BF" w:rsidRPr="00084427">
        <w:rPr>
          <w:rFonts w:ascii="Times New Roman" w:eastAsia="Arial Unicode MS" w:hAnsi="Times New Roman" w:cs="Times New Roman"/>
          <w:color w:val="000000" w:themeColor="text1"/>
          <w:sz w:val="24"/>
          <w:lang w:val="en-IE" w:eastAsia="en-AU" w:bidi="hi-IN"/>
        </w:rPr>
        <w:t xml:space="preserve">eries of data points including small purchases </w:t>
      </w:r>
      <w:r w:rsidR="00E94BED">
        <w:rPr>
          <w:rFonts w:ascii="Times New Roman" w:eastAsia="Arial Unicode MS" w:hAnsi="Times New Roman" w:cs="Times New Roman"/>
          <w:color w:val="000000" w:themeColor="text1"/>
          <w:sz w:val="24"/>
          <w:lang w:val="en-IE" w:eastAsia="en-AU" w:bidi="hi-IN"/>
        </w:rPr>
        <w:t xml:space="preserve">such as a cup of coffee, </w:t>
      </w:r>
      <w:r w:rsidR="00C365BF" w:rsidRPr="00084427">
        <w:rPr>
          <w:rFonts w:ascii="Times New Roman" w:eastAsia="Arial Unicode MS" w:hAnsi="Times New Roman" w:cs="Times New Roman"/>
          <w:color w:val="000000" w:themeColor="text1"/>
          <w:sz w:val="24"/>
          <w:lang w:val="en-IE" w:eastAsia="en-AU" w:bidi="hi-IN"/>
        </w:rPr>
        <w:t>or where they withdraw funds from ATMs.</w:t>
      </w:r>
    </w:p>
    <w:p w:rsidR="008340A5" w:rsidRDefault="00C365B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084427">
        <w:rPr>
          <w:rFonts w:ascii="Times New Roman" w:eastAsia="Arial Unicode MS" w:hAnsi="Times New Roman" w:cs="Times New Roman"/>
          <w:color w:val="000000" w:themeColor="text1"/>
          <w:sz w:val="24"/>
          <w:lang w:val="en-IE" w:eastAsia="en-AU" w:bidi="hi-IN"/>
        </w:rPr>
        <w:t xml:space="preserve">For individuals and organisations who are maliciously inclined, this would allow for the targeting of vulnerable individuals based on their habits and movements at various times of </w:t>
      </w:r>
      <w:r w:rsidR="00084427">
        <w:rPr>
          <w:rFonts w:ascii="Times New Roman" w:eastAsia="Arial Unicode MS" w:hAnsi="Times New Roman" w:cs="Times New Roman"/>
          <w:color w:val="000000" w:themeColor="text1"/>
          <w:sz w:val="24"/>
          <w:lang w:val="en-IE" w:eastAsia="en-AU" w:bidi="hi-IN"/>
        </w:rPr>
        <w:t>day</w:t>
      </w:r>
      <w:r w:rsidRPr="00084427">
        <w:rPr>
          <w:rFonts w:ascii="Times New Roman" w:eastAsia="Arial Unicode MS" w:hAnsi="Times New Roman" w:cs="Times New Roman"/>
          <w:color w:val="000000" w:themeColor="text1"/>
          <w:sz w:val="24"/>
          <w:lang w:val="en-IE" w:eastAsia="en-AU" w:bidi="hi-IN"/>
        </w:rPr>
        <w:t xml:space="preserve">. </w:t>
      </w:r>
      <w:r w:rsidR="002A2A16">
        <w:rPr>
          <w:rFonts w:ascii="Times New Roman" w:eastAsia="Arial Unicode MS" w:hAnsi="Times New Roman" w:cs="Times New Roman"/>
          <w:color w:val="000000" w:themeColor="text1"/>
          <w:sz w:val="24"/>
          <w:lang w:val="en-IE" w:eastAsia="en-AU" w:bidi="hi-IN"/>
        </w:rPr>
        <w:t>This may create material risks to personal safety, or a significant personal loss of privacy.</w:t>
      </w:r>
    </w:p>
    <w:p w:rsidR="00E820B6" w:rsidRDefault="002E334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The re-identification of individuals with the forms of data that may become available under the </w:t>
      </w:r>
      <w:r w:rsidRPr="002E334F">
        <w:rPr>
          <w:rFonts w:ascii="Times New Roman" w:eastAsia="Arial Unicode MS" w:hAnsi="Times New Roman" w:cs="Times New Roman"/>
          <w:color w:val="000000" w:themeColor="text1"/>
          <w:sz w:val="24"/>
          <w:lang w:val="en-IE" w:eastAsia="en-AU" w:bidi="hi-IN"/>
        </w:rPr>
        <w:t xml:space="preserve">CDR framework </w:t>
      </w:r>
      <w:r w:rsidR="00D007F8">
        <w:rPr>
          <w:rFonts w:ascii="Times New Roman" w:eastAsia="Arial Unicode MS" w:hAnsi="Times New Roman" w:cs="Times New Roman"/>
          <w:color w:val="000000" w:themeColor="text1"/>
          <w:sz w:val="24"/>
          <w:lang w:val="en-IE" w:eastAsia="en-AU" w:bidi="hi-IN"/>
        </w:rPr>
        <w:t xml:space="preserve">is </w:t>
      </w:r>
      <w:r w:rsidRPr="002E334F">
        <w:rPr>
          <w:rFonts w:ascii="Times New Roman" w:eastAsia="Arial Unicode MS" w:hAnsi="Times New Roman" w:cs="Times New Roman"/>
          <w:color w:val="000000" w:themeColor="text1"/>
          <w:sz w:val="24"/>
          <w:lang w:val="en-IE" w:eastAsia="en-AU" w:bidi="hi-IN"/>
        </w:rPr>
        <w:t xml:space="preserve">a risk </w:t>
      </w:r>
      <w:r w:rsidR="00564BCB" w:rsidRPr="002E334F">
        <w:rPr>
          <w:rFonts w:ascii="Times New Roman" w:eastAsia="Arial Unicode MS" w:hAnsi="Times New Roman" w:cs="Times New Roman"/>
          <w:noProof/>
          <w:color w:val="000000" w:themeColor="text1"/>
          <w:sz w:val="24"/>
          <w:lang w:val="en-IE" w:eastAsia="en-AU" w:bidi="hi-IN"/>
        </w:rPr>
        <w:t>(Su et al. 2017)</w:t>
      </w:r>
      <w:r w:rsidRPr="002E334F">
        <w:rPr>
          <w:rFonts w:ascii="Times New Roman" w:eastAsia="Arial Unicode MS" w:hAnsi="Times New Roman" w:cs="Times New Roman"/>
          <w:color w:val="000000" w:themeColor="text1"/>
          <w:sz w:val="24"/>
          <w:lang w:val="en-IE" w:eastAsia="en-AU" w:bidi="hi-IN"/>
        </w:rPr>
        <w:t>.</w:t>
      </w:r>
      <w:r w:rsidR="00CF40BB">
        <w:rPr>
          <w:rFonts w:ascii="Times New Roman" w:eastAsia="Arial Unicode MS" w:hAnsi="Times New Roman" w:cs="Times New Roman"/>
          <w:color w:val="000000" w:themeColor="text1"/>
          <w:sz w:val="24"/>
          <w:lang w:val="en-IE" w:eastAsia="en-AU" w:bidi="hi-IN"/>
        </w:rPr>
        <w:t xml:space="preserve"> </w:t>
      </w:r>
      <w:r w:rsidR="0045127F">
        <w:rPr>
          <w:rFonts w:ascii="Times New Roman" w:eastAsia="Arial Unicode MS" w:hAnsi="Times New Roman" w:cs="Times New Roman"/>
          <w:color w:val="000000" w:themeColor="text1"/>
          <w:sz w:val="24"/>
          <w:lang w:val="en-IE" w:eastAsia="en-AU" w:bidi="hi-IN"/>
        </w:rPr>
        <w:t xml:space="preserve">Although ACCAN considers that the designation of technical measures to address this risk is appropriately addressed through the rule making process, a clear and unambiguous ban should be </w:t>
      </w:r>
      <w:r w:rsidR="00E94BED">
        <w:rPr>
          <w:rFonts w:ascii="Times New Roman" w:eastAsia="Arial Unicode MS" w:hAnsi="Times New Roman" w:cs="Times New Roman"/>
          <w:color w:val="000000" w:themeColor="text1"/>
          <w:sz w:val="24"/>
          <w:lang w:val="en-IE" w:eastAsia="en-AU" w:bidi="hi-IN"/>
        </w:rPr>
        <w:t>included in the Bill</w:t>
      </w:r>
      <w:r w:rsidR="0045127F">
        <w:rPr>
          <w:rFonts w:ascii="Times New Roman" w:eastAsia="Arial Unicode MS" w:hAnsi="Times New Roman" w:cs="Times New Roman"/>
          <w:color w:val="000000" w:themeColor="text1"/>
          <w:sz w:val="24"/>
          <w:lang w:val="en-IE" w:eastAsia="en-AU" w:bidi="hi-IN"/>
        </w:rPr>
        <w:t>.</w:t>
      </w:r>
    </w:p>
    <w:p w:rsidR="00BC7836" w:rsidRPr="00A90C27" w:rsidRDefault="00850A6A"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BC7836">
        <w:rPr>
          <w:rFonts w:ascii="Times New Roman" w:eastAsia="Arial Unicode MS" w:hAnsi="Times New Roman" w:cs="Times New Roman"/>
          <w:color w:val="000000" w:themeColor="text1"/>
          <w:sz w:val="24"/>
          <w:lang w:val="en-IE" w:eastAsia="en-AU" w:bidi="hi-IN"/>
        </w:rPr>
        <w:t xml:space="preserve">ACCAN considers that there are sufficient grounds for </w:t>
      </w:r>
      <w:r w:rsidR="00984060">
        <w:rPr>
          <w:rFonts w:ascii="Times New Roman" w:eastAsia="Arial Unicode MS" w:hAnsi="Times New Roman" w:cs="Times New Roman"/>
          <w:color w:val="000000" w:themeColor="text1"/>
          <w:sz w:val="24"/>
          <w:lang w:val="en-IE" w:eastAsia="en-AU" w:bidi="hi-IN"/>
        </w:rPr>
        <w:t xml:space="preserve">banning the </w:t>
      </w:r>
      <w:r w:rsidRPr="00BC7836">
        <w:rPr>
          <w:rFonts w:ascii="Times New Roman" w:eastAsia="Arial Unicode MS" w:hAnsi="Times New Roman" w:cs="Times New Roman"/>
          <w:color w:val="000000" w:themeColor="text1"/>
          <w:sz w:val="24"/>
          <w:lang w:val="en-IE" w:eastAsia="en-AU" w:bidi="hi-IN"/>
        </w:rPr>
        <w:t xml:space="preserve">re-identification of individuals using </w:t>
      </w:r>
      <w:r w:rsidR="00A90C27">
        <w:rPr>
          <w:rFonts w:ascii="Times New Roman" w:eastAsia="Arial Unicode MS" w:hAnsi="Times New Roman" w:cs="Times New Roman"/>
          <w:color w:val="000000" w:themeColor="text1"/>
          <w:sz w:val="24"/>
          <w:lang w:val="en-IE" w:eastAsia="en-AU" w:bidi="hi-IN"/>
        </w:rPr>
        <w:t>consumer data</w:t>
      </w:r>
      <w:r w:rsidRPr="00BC7836">
        <w:rPr>
          <w:rFonts w:ascii="Times New Roman" w:eastAsia="Arial Unicode MS" w:hAnsi="Times New Roman" w:cs="Times New Roman"/>
          <w:color w:val="000000" w:themeColor="text1"/>
          <w:sz w:val="24"/>
          <w:lang w:val="en-IE" w:eastAsia="en-AU" w:bidi="hi-IN"/>
        </w:rPr>
        <w:t xml:space="preserve">, and </w:t>
      </w:r>
      <w:r w:rsidR="00D007F8">
        <w:rPr>
          <w:rFonts w:ascii="Times New Roman" w:eastAsia="Arial Unicode MS" w:hAnsi="Times New Roman" w:cs="Times New Roman"/>
          <w:color w:val="000000" w:themeColor="text1"/>
          <w:sz w:val="24"/>
          <w:lang w:val="en-IE" w:eastAsia="en-AU" w:bidi="hi-IN"/>
        </w:rPr>
        <w:t xml:space="preserve">that re-identification should be </w:t>
      </w:r>
      <w:r w:rsidRPr="00BC7836">
        <w:rPr>
          <w:rFonts w:ascii="Times New Roman" w:eastAsia="Arial Unicode MS" w:hAnsi="Times New Roman" w:cs="Times New Roman"/>
          <w:color w:val="000000" w:themeColor="text1"/>
          <w:sz w:val="24"/>
          <w:lang w:val="en-IE" w:eastAsia="en-AU" w:bidi="hi-IN"/>
        </w:rPr>
        <w:t xml:space="preserve">made a criminal act subject to exemplary penalties under the </w:t>
      </w:r>
      <w:r w:rsidRPr="00BC7836">
        <w:rPr>
          <w:rFonts w:ascii="Times New Roman" w:eastAsia="Arial Unicode MS" w:hAnsi="Times New Roman" w:cs="Times New Roman"/>
          <w:i/>
          <w:color w:val="000000" w:themeColor="text1"/>
          <w:sz w:val="24"/>
          <w:lang w:val="en-IE" w:eastAsia="en-AU" w:bidi="hi-IN"/>
        </w:rPr>
        <w:t xml:space="preserve">Competition and Consumer Act 2010 </w:t>
      </w:r>
      <w:r w:rsidR="00BC7836" w:rsidRPr="00BC7836">
        <w:rPr>
          <w:rFonts w:ascii="Times New Roman" w:eastAsia="Arial Unicode MS" w:hAnsi="Times New Roman" w:cs="Times New Roman"/>
          <w:color w:val="000000" w:themeColor="text1"/>
          <w:sz w:val="24"/>
          <w:lang w:val="en-IE" w:eastAsia="en-AU" w:bidi="hi-IN"/>
        </w:rPr>
        <w:t>(</w:t>
      </w:r>
      <w:proofErr w:type="spellStart"/>
      <w:r w:rsidR="00BC7836" w:rsidRPr="00BC7836">
        <w:rPr>
          <w:rFonts w:ascii="Times New Roman" w:eastAsia="Arial Unicode MS" w:hAnsi="Times New Roman" w:cs="Times New Roman"/>
          <w:color w:val="000000" w:themeColor="text1"/>
          <w:sz w:val="24"/>
          <w:lang w:val="en-IE" w:eastAsia="en-AU" w:bidi="hi-IN"/>
        </w:rPr>
        <w:t>Cth</w:t>
      </w:r>
      <w:proofErr w:type="spellEnd"/>
      <w:r w:rsidR="00BC7836" w:rsidRPr="00BC7836">
        <w:rPr>
          <w:rFonts w:ascii="Times New Roman" w:eastAsia="Arial Unicode MS" w:hAnsi="Times New Roman" w:cs="Times New Roman"/>
          <w:color w:val="000000" w:themeColor="text1"/>
          <w:sz w:val="24"/>
          <w:lang w:val="en-IE" w:eastAsia="en-AU" w:bidi="hi-IN"/>
        </w:rPr>
        <w:t xml:space="preserve">). </w:t>
      </w:r>
    </w:p>
    <w:p w:rsidR="00712139" w:rsidRDefault="00B95FD1" w:rsidP="00A07B6E">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3296" behindDoc="0" locked="0" layoutInCell="1" allowOverlap="1" wp14:anchorId="06808967" wp14:editId="0C23E0C7">
                <wp:simplePos x="0" y="0"/>
                <wp:positionH relativeFrom="column">
                  <wp:posOffset>1413</wp:posOffset>
                </wp:positionH>
                <wp:positionV relativeFrom="paragraph">
                  <wp:posOffset>47256</wp:posOffset>
                </wp:positionV>
                <wp:extent cx="5720080" cy="998483"/>
                <wp:effectExtent l="0" t="0" r="7620" b="17780"/>
                <wp:wrapNone/>
                <wp:docPr id="12" name="Text Box 12"/>
                <wp:cNvGraphicFramePr/>
                <a:graphic xmlns:a="http://schemas.openxmlformats.org/drawingml/2006/main">
                  <a:graphicData uri="http://schemas.microsoft.com/office/word/2010/wordprocessingShape">
                    <wps:wsp>
                      <wps:cNvSpPr txBox="1"/>
                      <wps:spPr>
                        <a:xfrm>
                          <a:off x="0" y="0"/>
                          <a:ext cx="5720080" cy="998483"/>
                        </a:xfrm>
                        <a:prstGeom prst="rect">
                          <a:avLst/>
                        </a:prstGeom>
                        <a:solidFill>
                          <a:sysClr val="window" lastClr="FFFFFF"/>
                        </a:solidFill>
                        <a:ln w="6350">
                          <a:solidFill>
                            <a:srgbClr val="00B0F0"/>
                          </a:solidFill>
                        </a:ln>
                      </wps:spPr>
                      <wps:txbx>
                        <w:txbxContent>
                          <w:p w:rsidR="00DD5468" w:rsidRPr="001410E8" w:rsidRDefault="00DD5468" w:rsidP="00B95FD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B95FD1">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left:0;text-align:left;margin-left:.1pt;margin-top:3.7pt;width:450.4pt;height:7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" fillcolor="window" strokecolor="#00b0f0" strokeweight=".5pt">
                <v:textbox>
                  <w:txbxContent>
                    <w:p w:rsidR="00DD5468" w:rsidRPr="001410E8" w:rsidRDefault="00DD5468" w:rsidP="00B95FD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B95FD1">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v:textbox>
              </v:shape>
            </w:pict>
          </mc:Fallback>
        </mc:AlternateContent>
      </w:r>
    </w:p>
    <w:p w:rsidR="00B95FD1" w:rsidRDefault="00B95FD1" w:rsidP="00A07B6E">
      <w:pPr>
        <w:spacing w:before="100" w:beforeAutospacing="1" w:after="100" w:afterAutospacing="1"/>
        <w:jc w:val="both"/>
        <w:rPr>
          <w:rFonts w:ascii="Times New Roman" w:eastAsia="Arial Unicode MS" w:hAnsi="Times New Roman" w:cs="Times New Roman"/>
          <w:sz w:val="24"/>
          <w:lang w:val="en-IE" w:eastAsia="en-AU" w:bidi="hi-IN"/>
        </w:rPr>
      </w:pPr>
    </w:p>
    <w:p w:rsidR="001746BF" w:rsidRDefault="001746BF" w:rsidP="0042174C">
      <w:pPr>
        <w:spacing w:before="100" w:beforeAutospacing="1" w:after="100" w:afterAutospacing="1" w:line="360" w:lineRule="auto"/>
        <w:jc w:val="both"/>
        <w:rPr>
          <w:rFonts w:ascii="Arial" w:eastAsiaTheme="minorEastAsia" w:hAnsi="Arial" w:cs="Arial"/>
          <w:b/>
          <w:sz w:val="32"/>
          <w:szCs w:val="32"/>
          <w:lang w:val="en-AU" w:eastAsia="en-AU"/>
        </w:rPr>
      </w:pPr>
    </w:p>
    <w:p w:rsidR="001270EF" w:rsidRDefault="001270EF" w:rsidP="003C2AF4">
      <w:pPr>
        <w:spacing w:before="100" w:beforeAutospacing="1" w:after="100" w:afterAutospacing="1"/>
        <w:jc w:val="both"/>
        <w:rPr>
          <w:rFonts w:ascii="Arial" w:eastAsiaTheme="minorEastAsia" w:hAnsi="Arial" w:cs="Arial"/>
          <w:b/>
          <w:sz w:val="32"/>
          <w:szCs w:val="32"/>
          <w:lang w:val="en-AU" w:eastAsia="en-AU"/>
        </w:rPr>
      </w:pPr>
    </w:p>
    <w:p w:rsidR="0042174C" w:rsidRPr="00987F8E" w:rsidRDefault="00640ADB" w:rsidP="003C2AF4">
      <w:pPr>
        <w:spacing w:before="100" w:beforeAutospacing="1" w:after="100" w:afterAutospacing="1"/>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Privacy safeguards</w:t>
      </w:r>
    </w:p>
    <w:p w:rsidR="00304262" w:rsidRDefault="00E155EE" w:rsidP="003C2AF4">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ACCAN supports the protection of consumer privacy and data and support</w:t>
      </w:r>
      <w:r w:rsidR="00ED6F7E">
        <w:rPr>
          <w:rFonts w:ascii="Times New Roman" w:eastAsiaTheme="minorEastAsia" w:hAnsi="Times New Roman" w:cs="Times New Roman"/>
          <w:sz w:val="24"/>
          <w:szCs w:val="24"/>
          <w:lang w:val="en-AU" w:eastAsia="en-AU"/>
        </w:rPr>
        <w:t>s</w:t>
      </w:r>
      <w:r>
        <w:rPr>
          <w:rFonts w:ascii="Times New Roman" w:eastAsiaTheme="minorEastAsia" w:hAnsi="Times New Roman" w:cs="Times New Roman"/>
          <w:sz w:val="24"/>
          <w:szCs w:val="24"/>
          <w:lang w:val="en-AU" w:eastAsia="en-AU"/>
        </w:rPr>
        <w:t xml:space="preserve"> the implementation of stronger privacy protections including those set out in the safeguards for all consumer data held by accredited entities</w:t>
      </w:r>
      <w:r w:rsidR="00776360">
        <w:rPr>
          <w:rFonts w:ascii="Times New Roman" w:eastAsiaTheme="minorEastAsia" w:hAnsi="Times New Roman" w:cs="Times New Roman"/>
          <w:sz w:val="24"/>
          <w:szCs w:val="24"/>
          <w:lang w:val="en-AU" w:eastAsia="en-AU"/>
        </w:rPr>
        <w:t xml:space="preserve"> in the Bill</w:t>
      </w:r>
      <w:r>
        <w:rPr>
          <w:rFonts w:ascii="Times New Roman" w:eastAsiaTheme="minorEastAsia" w:hAnsi="Times New Roman" w:cs="Times New Roman"/>
          <w:sz w:val="24"/>
          <w:szCs w:val="24"/>
          <w:lang w:val="en-AU" w:eastAsia="en-AU"/>
        </w:rPr>
        <w:t xml:space="preserve">. </w:t>
      </w:r>
      <w:r w:rsidR="00D27A66">
        <w:rPr>
          <w:rFonts w:ascii="Times New Roman" w:eastAsiaTheme="minorEastAsia" w:hAnsi="Times New Roman" w:cs="Times New Roman"/>
          <w:sz w:val="24"/>
          <w:szCs w:val="24"/>
          <w:lang w:val="en-AU" w:eastAsia="en-AU"/>
        </w:rPr>
        <w:t>Accordingly,</w:t>
      </w:r>
      <w:r w:rsidR="00304262">
        <w:rPr>
          <w:rFonts w:ascii="Times New Roman" w:eastAsiaTheme="minorEastAsia" w:hAnsi="Times New Roman" w:cs="Times New Roman"/>
          <w:sz w:val="24"/>
          <w:szCs w:val="24"/>
          <w:lang w:val="en-AU" w:eastAsia="en-AU"/>
        </w:rPr>
        <w:t xml:space="preserve"> we support the extension of all the privacy safeguards set out within the</w:t>
      </w:r>
      <w:r w:rsidR="00246B7D">
        <w:rPr>
          <w:rFonts w:ascii="Times New Roman" w:eastAsiaTheme="minorEastAsia" w:hAnsi="Times New Roman" w:cs="Times New Roman"/>
          <w:sz w:val="24"/>
          <w:szCs w:val="24"/>
          <w:lang w:val="en-AU" w:eastAsia="en-AU"/>
        </w:rPr>
        <w:t xml:space="preserve"> draft legislation to data holders</w:t>
      </w:r>
      <w:r w:rsidR="00E90053">
        <w:rPr>
          <w:rFonts w:ascii="Times New Roman" w:eastAsiaTheme="minorEastAsia" w:hAnsi="Times New Roman" w:cs="Times New Roman"/>
          <w:sz w:val="24"/>
          <w:szCs w:val="24"/>
          <w:lang w:val="en-AU" w:eastAsia="en-AU"/>
        </w:rPr>
        <w:t>, noting the significant limitations of the Privacy Safeguards set out in detail in the submission of the Financial Rights Legal Centre.</w:t>
      </w:r>
    </w:p>
    <w:p w:rsidR="00A122C0" w:rsidRDefault="00A122C0" w:rsidP="003C2AF4">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In the absence of robust protections, consumers are unlikely to engage with the proposed framework which will result in minimum consumer and economic benefits, whilst entailing considerable regulatory and industry costs.</w:t>
      </w:r>
      <w:r w:rsidR="00146E77">
        <w:rPr>
          <w:rFonts w:ascii="Times New Roman" w:eastAsiaTheme="minorEastAsia" w:hAnsi="Times New Roman" w:cs="Times New Roman"/>
          <w:sz w:val="24"/>
          <w:szCs w:val="24"/>
          <w:lang w:val="en-AU" w:eastAsia="en-AU"/>
        </w:rPr>
        <w:t xml:space="preserve"> </w:t>
      </w:r>
      <w:r w:rsidR="0048029F">
        <w:rPr>
          <w:rFonts w:ascii="Times New Roman" w:eastAsiaTheme="minorEastAsia" w:hAnsi="Times New Roman" w:cs="Times New Roman"/>
          <w:sz w:val="24"/>
          <w:szCs w:val="24"/>
          <w:lang w:val="en-AU" w:eastAsia="en-AU"/>
        </w:rPr>
        <w:t>Moreover, consumers will continue to have poor privacy protections and continue to face detriment through the loss, theft or leakage of their data.</w:t>
      </w:r>
    </w:p>
    <w:p w:rsidR="00304262" w:rsidRDefault="00C8710B" w:rsidP="00E155EE">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4976" behindDoc="0" locked="0" layoutInCell="1" allowOverlap="1" wp14:anchorId="5FE485F7" wp14:editId="5CF44306">
                <wp:simplePos x="0" y="0"/>
                <wp:positionH relativeFrom="column">
                  <wp:posOffset>0</wp:posOffset>
                </wp:positionH>
                <wp:positionV relativeFrom="paragraph">
                  <wp:posOffset>-27296</wp:posOffset>
                </wp:positionV>
                <wp:extent cx="5720080" cy="696036"/>
                <wp:effectExtent l="0" t="0" r="13970" b="27940"/>
                <wp:wrapNone/>
                <wp:docPr id="45" name="Text Box 45"/>
                <wp:cNvGraphicFramePr/>
                <a:graphic xmlns:a="http://schemas.openxmlformats.org/drawingml/2006/main">
                  <a:graphicData uri="http://schemas.microsoft.com/office/word/2010/wordprocessingShape">
                    <wps:wsp>
                      <wps:cNvSpPr txBox="1"/>
                      <wps:spPr>
                        <a:xfrm>
                          <a:off x="0" y="0"/>
                          <a:ext cx="5720080" cy="696036"/>
                        </a:xfrm>
                        <a:prstGeom prst="rect">
                          <a:avLst/>
                        </a:prstGeom>
                        <a:solidFill>
                          <a:sysClr val="window" lastClr="FFFFFF"/>
                        </a:solidFill>
                        <a:ln w="6350">
                          <a:solidFill>
                            <a:srgbClr val="00B0F0"/>
                          </a:solidFill>
                        </a:ln>
                      </wps:spPr>
                      <wps:txbx>
                        <w:txbxContent>
                          <w:p w:rsidR="00DD5468" w:rsidRPr="00327A98" w:rsidRDefault="00DD5468" w:rsidP="00C8710B">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1</w:t>
                            </w:r>
                          </w:p>
                          <w:p w:rsidR="00DD5468" w:rsidRPr="00327A98" w:rsidRDefault="00DD5468" w:rsidP="00C8710B">
                            <w:pPr>
                              <w:jc w:val="both"/>
                              <w:rPr>
                                <w:rFonts w:ascii="Times New Roman" w:hAnsi="Times New Roman" w:cs="Times New Roman"/>
                                <w:i/>
                              </w:rPr>
                            </w:pPr>
                            <w:r w:rsidRPr="00327A98">
                              <w:rPr>
                                <w:rFonts w:ascii="Times New Roman" w:hAnsi="Times New Roman" w:cs="Times New Roman"/>
                                <w:i/>
                              </w:rPr>
                              <w:t>That all of the Privacy Safeguards set out within the draft legislation are applied to data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4" type="#_x0000_t202" style="position:absolute;left:0;text-align:left;margin-left:0;margin-top:-2.15pt;width:450.4pt;height:5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" fillcolor="window" strokecolor="#00b0f0" strokeweight=".5pt">
                <v:textbox>
                  <w:txbxContent>
                    <w:p w:rsidR="00DD5468" w:rsidRPr="00327A98" w:rsidRDefault="00DD5468" w:rsidP="00C8710B">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1</w:t>
                      </w:r>
                    </w:p>
                    <w:p w:rsidR="00DD5468" w:rsidRPr="00327A98" w:rsidRDefault="00DD5468" w:rsidP="00C8710B">
                      <w:pPr>
                        <w:jc w:val="both"/>
                        <w:rPr>
                          <w:rFonts w:ascii="Times New Roman" w:hAnsi="Times New Roman" w:cs="Times New Roman"/>
                          <w:i/>
                        </w:rPr>
                      </w:pPr>
                      <w:r w:rsidRPr="00327A98">
                        <w:rPr>
                          <w:rFonts w:ascii="Times New Roman" w:hAnsi="Times New Roman" w:cs="Times New Roman"/>
                          <w:i/>
                        </w:rPr>
                        <w:t>That all of the Privacy Safeguards set out within the draft legislation are applied to data holders.</w:t>
                      </w:r>
                    </w:p>
                  </w:txbxContent>
                </v:textbox>
              </v:shape>
            </w:pict>
          </mc:Fallback>
        </mc:AlternateContent>
      </w:r>
    </w:p>
    <w:p w:rsidR="00B92BDC" w:rsidRDefault="00B92BDC" w:rsidP="003C2AF4">
      <w:pPr>
        <w:spacing w:before="100" w:beforeAutospacing="1" w:after="100" w:afterAutospacing="1" w:line="360" w:lineRule="auto"/>
        <w:jc w:val="both"/>
        <w:rPr>
          <w:rFonts w:ascii="Arial" w:eastAsiaTheme="minorEastAsia" w:hAnsi="Arial" w:cs="Arial"/>
          <w:b/>
          <w:sz w:val="32"/>
          <w:szCs w:val="32"/>
          <w:lang w:val="en-AU" w:eastAsia="en-AU"/>
        </w:rPr>
      </w:pPr>
    </w:p>
    <w:p w:rsidR="00FF1ADC" w:rsidRPr="003C2AF4" w:rsidRDefault="004A47CF" w:rsidP="003C2AF4">
      <w:pPr>
        <w:spacing w:before="100" w:beforeAutospacing="1" w:after="100" w:afterAutospacing="1" w:line="360" w:lineRule="auto"/>
        <w:jc w:val="both"/>
        <w:rPr>
          <w:rFonts w:ascii="Arial" w:eastAsiaTheme="minorEastAsia" w:hAnsi="Arial" w:cs="Arial"/>
          <w:b/>
          <w:sz w:val="32"/>
          <w:szCs w:val="32"/>
          <w:lang w:val="en-AU" w:eastAsia="en-AU"/>
        </w:rPr>
      </w:pPr>
      <w:proofErr w:type="gramStart"/>
      <w:r>
        <w:rPr>
          <w:rFonts w:ascii="Arial" w:eastAsiaTheme="minorEastAsia" w:hAnsi="Arial" w:cs="Arial"/>
          <w:b/>
          <w:sz w:val="32"/>
          <w:szCs w:val="32"/>
          <w:lang w:val="en-AU" w:eastAsia="en-AU"/>
        </w:rPr>
        <w:t>P</w:t>
      </w:r>
      <w:r w:rsidR="00FF1ADC">
        <w:rPr>
          <w:rFonts w:ascii="Arial" w:eastAsiaTheme="minorEastAsia" w:hAnsi="Arial" w:cs="Arial"/>
          <w:b/>
          <w:sz w:val="32"/>
          <w:szCs w:val="32"/>
          <w:lang w:val="en-AU" w:eastAsia="en-AU"/>
        </w:rPr>
        <w:t>arallel or substitute</w:t>
      </w:r>
      <w:r>
        <w:rPr>
          <w:rFonts w:ascii="Arial" w:eastAsiaTheme="minorEastAsia" w:hAnsi="Arial" w:cs="Arial"/>
          <w:b/>
          <w:sz w:val="32"/>
          <w:szCs w:val="32"/>
          <w:lang w:val="en-AU" w:eastAsia="en-AU"/>
        </w:rPr>
        <w:t xml:space="preserve"> privacy obligations</w:t>
      </w:r>
      <w:r w:rsidR="00FF1ADC">
        <w:rPr>
          <w:rFonts w:ascii="Arial" w:eastAsiaTheme="minorEastAsia" w:hAnsi="Arial" w:cs="Arial"/>
          <w:b/>
          <w:sz w:val="32"/>
          <w:szCs w:val="32"/>
          <w:lang w:val="en-AU" w:eastAsia="en-AU"/>
        </w:rPr>
        <w:t>?</w:t>
      </w:r>
      <w:proofErr w:type="gramEnd"/>
    </w:p>
    <w:p w:rsidR="00437BCE" w:rsidRDefault="00437BCE"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ACCAN supports economy-wide reform to privacy and data protection for consumers. However, in the absence of such reform, </w:t>
      </w:r>
      <w:r w:rsidR="00D27D25">
        <w:rPr>
          <w:rFonts w:ascii="Times New Roman" w:eastAsiaTheme="minorEastAsia" w:hAnsi="Times New Roman" w:cs="Times New Roman"/>
          <w:color w:val="000000" w:themeColor="text1"/>
          <w:sz w:val="24"/>
          <w:szCs w:val="24"/>
          <w:lang w:val="en-AU" w:eastAsia="en-AU"/>
        </w:rPr>
        <w:t>steps should be taken to provide the greatest</w:t>
      </w:r>
      <w:r w:rsidR="00204433">
        <w:rPr>
          <w:rFonts w:ascii="Times New Roman" w:eastAsiaTheme="minorEastAsia" w:hAnsi="Times New Roman" w:cs="Times New Roman"/>
          <w:color w:val="000000" w:themeColor="text1"/>
          <w:sz w:val="24"/>
          <w:szCs w:val="24"/>
          <w:lang w:val="en-AU" w:eastAsia="en-AU"/>
        </w:rPr>
        <w:t xml:space="preserve"> possible privacy protections to consumers. </w:t>
      </w:r>
    </w:p>
    <w:p w:rsidR="00F67167" w:rsidRPr="00611494" w:rsidRDefault="009F1F82"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611494">
        <w:rPr>
          <w:rFonts w:ascii="Times New Roman" w:eastAsiaTheme="minorEastAsia" w:hAnsi="Times New Roman" w:cs="Times New Roman"/>
          <w:color w:val="000000" w:themeColor="text1"/>
          <w:sz w:val="24"/>
          <w:szCs w:val="24"/>
          <w:lang w:val="en-AU" w:eastAsia="en-AU"/>
        </w:rPr>
        <w:t xml:space="preserve">The </w:t>
      </w:r>
      <w:r w:rsidR="004739B5">
        <w:rPr>
          <w:rFonts w:ascii="Times New Roman" w:eastAsiaTheme="minorEastAsia" w:hAnsi="Times New Roman" w:cs="Times New Roman"/>
          <w:color w:val="000000" w:themeColor="text1"/>
          <w:sz w:val="24"/>
          <w:szCs w:val="24"/>
          <w:lang w:val="en-AU" w:eastAsia="en-AU"/>
        </w:rPr>
        <w:t xml:space="preserve">Privacy Safeguards are an additional layer of privacy protection for consumers, in addition to the more limited protections provided under the Australian Privacy Principles. </w:t>
      </w:r>
      <w:r w:rsidR="00A33D18">
        <w:rPr>
          <w:rFonts w:ascii="Times New Roman" w:eastAsiaTheme="minorEastAsia" w:hAnsi="Times New Roman" w:cs="Times New Roman"/>
          <w:color w:val="000000" w:themeColor="text1"/>
          <w:sz w:val="24"/>
          <w:szCs w:val="24"/>
          <w:lang w:val="en-AU" w:eastAsia="en-AU"/>
        </w:rPr>
        <w:t xml:space="preserve">As neither framework provides for the comprehensive protection of consumer privacy, </w:t>
      </w:r>
      <w:r w:rsidR="00563B9C">
        <w:rPr>
          <w:rFonts w:ascii="Times New Roman" w:eastAsiaTheme="minorEastAsia" w:hAnsi="Times New Roman" w:cs="Times New Roman"/>
          <w:color w:val="000000" w:themeColor="text1"/>
          <w:sz w:val="24"/>
          <w:szCs w:val="24"/>
          <w:lang w:val="en-AU" w:eastAsia="en-AU"/>
        </w:rPr>
        <w:t>we</w:t>
      </w:r>
      <w:r w:rsidR="00A33D18">
        <w:rPr>
          <w:rFonts w:ascii="Times New Roman" w:eastAsiaTheme="minorEastAsia" w:hAnsi="Times New Roman" w:cs="Times New Roman"/>
          <w:color w:val="000000" w:themeColor="text1"/>
          <w:sz w:val="24"/>
          <w:szCs w:val="24"/>
          <w:lang w:val="en-AU" w:eastAsia="en-AU"/>
        </w:rPr>
        <w:t xml:space="preserve"> </w:t>
      </w:r>
      <w:r w:rsidR="00A90C27">
        <w:rPr>
          <w:rFonts w:ascii="Times New Roman" w:eastAsiaTheme="minorEastAsia" w:hAnsi="Times New Roman" w:cs="Times New Roman"/>
          <w:color w:val="000000" w:themeColor="text1"/>
          <w:sz w:val="24"/>
          <w:szCs w:val="24"/>
          <w:lang w:val="en-AU" w:eastAsia="en-AU"/>
        </w:rPr>
        <w:t>consider</w:t>
      </w:r>
      <w:r w:rsidR="00A33D18">
        <w:rPr>
          <w:rFonts w:ascii="Times New Roman" w:eastAsiaTheme="minorEastAsia" w:hAnsi="Times New Roman" w:cs="Times New Roman"/>
          <w:color w:val="000000" w:themeColor="text1"/>
          <w:sz w:val="24"/>
          <w:szCs w:val="24"/>
          <w:lang w:val="en-AU" w:eastAsia="en-AU"/>
        </w:rPr>
        <w:t xml:space="preserve"> that it is appropriate that the systems be operated in parallel, with tiered obligations for consumer data under the CDR, and more general uniform protections under the Australian Privacy Principles.</w:t>
      </w:r>
    </w:p>
    <w:p w:rsidR="00A33D18" w:rsidRDefault="00391816"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170191">
        <w:rPr>
          <w:rFonts w:ascii="Times New Roman" w:eastAsiaTheme="minorEastAsia" w:hAnsi="Times New Roman" w:cs="Times New Roman"/>
          <w:sz w:val="24"/>
          <w:szCs w:val="24"/>
          <w:lang w:val="en-AU" w:eastAsia="en-AU"/>
        </w:rPr>
        <w:t xml:space="preserve">This is not, by any reckoning, an ideal framework </w:t>
      </w:r>
      <w:r w:rsidRPr="00391816">
        <w:rPr>
          <w:rFonts w:ascii="Times New Roman" w:eastAsiaTheme="minorEastAsia" w:hAnsi="Times New Roman" w:cs="Times New Roman"/>
          <w:color w:val="000000" w:themeColor="text1"/>
          <w:sz w:val="24"/>
          <w:szCs w:val="24"/>
          <w:lang w:val="en-AU" w:eastAsia="en-AU"/>
        </w:rPr>
        <w:t xml:space="preserve">for the management of privacy and accordingly we support the adoption of a uniform economy-wide framework for the regulation of data and privacy. </w:t>
      </w:r>
      <w:r w:rsidR="00B15E0D">
        <w:rPr>
          <w:rFonts w:ascii="Times New Roman" w:eastAsiaTheme="minorEastAsia" w:hAnsi="Times New Roman" w:cs="Times New Roman"/>
          <w:color w:val="000000" w:themeColor="text1"/>
          <w:sz w:val="24"/>
          <w:szCs w:val="24"/>
          <w:lang w:val="en-AU" w:eastAsia="en-AU"/>
        </w:rPr>
        <w:t>ACCAN does not support substitution</w:t>
      </w:r>
      <w:r w:rsidR="00D67D01">
        <w:rPr>
          <w:rFonts w:ascii="Times New Roman" w:eastAsiaTheme="minorEastAsia" w:hAnsi="Times New Roman" w:cs="Times New Roman"/>
          <w:color w:val="000000" w:themeColor="text1"/>
          <w:sz w:val="24"/>
          <w:szCs w:val="24"/>
          <w:lang w:val="en-AU" w:eastAsia="en-AU"/>
        </w:rPr>
        <w:t xml:space="preserve"> of either the CDR Privacy </w:t>
      </w:r>
      <w:r w:rsidR="00437BCE">
        <w:rPr>
          <w:rFonts w:ascii="Times New Roman" w:eastAsiaTheme="minorEastAsia" w:hAnsi="Times New Roman" w:cs="Times New Roman"/>
          <w:color w:val="000000" w:themeColor="text1"/>
          <w:sz w:val="24"/>
          <w:szCs w:val="24"/>
          <w:lang w:val="en-AU" w:eastAsia="en-AU"/>
        </w:rPr>
        <w:t>Safeguards</w:t>
      </w:r>
      <w:r w:rsidR="00D67D01">
        <w:rPr>
          <w:rFonts w:ascii="Times New Roman" w:eastAsiaTheme="minorEastAsia" w:hAnsi="Times New Roman" w:cs="Times New Roman"/>
          <w:color w:val="000000" w:themeColor="text1"/>
          <w:sz w:val="24"/>
          <w:szCs w:val="24"/>
          <w:lang w:val="en-AU" w:eastAsia="en-AU"/>
        </w:rPr>
        <w:t xml:space="preserve"> with the A</w:t>
      </w:r>
      <w:r w:rsidR="00780BF3">
        <w:rPr>
          <w:rFonts w:ascii="Times New Roman" w:eastAsiaTheme="minorEastAsia" w:hAnsi="Times New Roman" w:cs="Times New Roman"/>
          <w:color w:val="000000" w:themeColor="text1"/>
          <w:sz w:val="24"/>
          <w:szCs w:val="24"/>
          <w:lang w:val="en-AU" w:eastAsia="en-AU"/>
        </w:rPr>
        <w:t xml:space="preserve">ustralian </w:t>
      </w:r>
      <w:r w:rsidR="00D67D01">
        <w:rPr>
          <w:rFonts w:ascii="Times New Roman" w:eastAsiaTheme="minorEastAsia" w:hAnsi="Times New Roman" w:cs="Times New Roman"/>
          <w:color w:val="000000" w:themeColor="text1"/>
          <w:sz w:val="24"/>
          <w:szCs w:val="24"/>
          <w:lang w:val="en-AU" w:eastAsia="en-AU"/>
        </w:rPr>
        <w:t>P</w:t>
      </w:r>
      <w:r w:rsidR="00780BF3">
        <w:rPr>
          <w:rFonts w:ascii="Times New Roman" w:eastAsiaTheme="minorEastAsia" w:hAnsi="Times New Roman" w:cs="Times New Roman"/>
          <w:color w:val="000000" w:themeColor="text1"/>
          <w:sz w:val="24"/>
          <w:szCs w:val="24"/>
          <w:lang w:val="en-AU" w:eastAsia="en-AU"/>
        </w:rPr>
        <w:t xml:space="preserve">rivacy </w:t>
      </w:r>
      <w:r w:rsidR="00D67D01">
        <w:rPr>
          <w:rFonts w:ascii="Times New Roman" w:eastAsiaTheme="minorEastAsia" w:hAnsi="Times New Roman" w:cs="Times New Roman"/>
          <w:color w:val="000000" w:themeColor="text1"/>
          <w:sz w:val="24"/>
          <w:szCs w:val="24"/>
          <w:lang w:val="en-AU" w:eastAsia="en-AU"/>
        </w:rPr>
        <w:t>P</w:t>
      </w:r>
      <w:r w:rsidR="00780BF3">
        <w:rPr>
          <w:rFonts w:ascii="Times New Roman" w:eastAsiaTheme="minorEastAsia" w:hAnsi="Times New Roman" w:cs="Times New Roman"/>
          <w:color w:val="000000" w:themeColor="text1"/>
          <w:sz w:val="24"/>
          <w:szCs w:val="24"/>
          <w:lang w:val="en-AU" w:eastAsia="en-AU"/>
        </w:rPr>
        <w:t>rinciple</w:t>
      </w:r>
      <w:r w:rsidR="00D67D01">
        <w:rPr>
          <w:rFonts w:ascii="Times New Roman" w:eastAsiaTheme="minorEastAsia" w:hAnsi="Times New Roman" w:cs="Times New Roman"/>
          <w:color w:val="000000" w:themeColor="text1"/>
          <w:sz w:val="24"/>
          <w:szCs w:val="24"/>
          <w:lang w:val="en-AU" w:eastAsia="en-AU"/>
        </w:rPr>
        <w:t>s, or vice versa.</w:t>
      </w:r>
      <w:r w:rsidR="00B15E0D">
        <w:rPr>
          <w:rFonts w:ascii="Times New Roman" w:eastAsiaTheme="minorEastAsia" w:hAnsi="Times New Roman" w:cs="Times New Roman"/>
          <w:color w:val="000000" w:themeColor="text1"/>
          <w:sz w:val="24"/>
          <w:szCs w:val="24"/>
          <w:lang w:val="en-AU" w:eastAsia="en-AU"/>
        </w:rPr>
        <w:t xml:space="preserve"> </w:t>
      </w:r>
    </w:p>
    <w:p w:rsidR="001746BF" w:rsidRDefault="00611494" w:rsidP="00D07E30">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3776" behindDoc="0" locked="0" layoutInCell="1" allowOverlap="1" wp14:anchorId="7A28044B" wp14:editId="3352E1A2">
                <wp:simplePos x="0" y="0"/>
                <wp:positionH relativeFrom="column">
                  <wp:posOffset>12526</wp:posOffset>
                </wp:positionH>
                <wp:positionV relativeFrom="paragraph">
                  <wp:posOffset>137386</wp:posOffset>
                </wp:positionV>
                <wp:extent cx="5720080" cy="713984"/>
                <wp:effectExtent l="0" t="0" r="7620" b="10160"/>
                <wp:wrapNone/>
                <wp:docPr id="21" name="Text Box 21"/>
                <wp:cNvGraphicFramePr/>
                <a:graphic xmlns:a="http://schemas.openxmlformats.org/drawingml/2006/main">
                  <a:graphicData uri="http://schemas.microsoft.com/office/word/2010/wordprocessingShape">
                    <wps:wsp>
                      <wps:cNvSpPr txBox="1"/>
                      <wps:spPr>
                        <a:xfrm>
                          <a:off x="0" y="0"/>
                          <a:ext cx="5720080" cy="713984"/>
                        </a:xfrm>
                        <a:prstGeom prst="rect">
                          <a:avLst/>
                        </a:prstGeom>
                        <a:solidFill>
                          <a:sysClr val="window" lastClr="FFFFFF"/>
                        </a:solidFill>
                        <a:ln w="6350">
                          <a:solidFill>
                            <a:srgbClr val="00B0F0"/>
                          </a:solidFill>
                        </a:ln>
                      </wps:spPr>
                      <wps:txbx>
                        <w:txbxContent>
                          <w:p w:rsidR="00DD5468" w:rsidRPr="00327A98" w:rsidRDefault="00DD5468" w:rsidP="001746BF">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2</w:t>
                            </w:r>
                          </w:p>
                          <w:p w:rsidR="00DD5468" w:rsidRPr="00327A98" w:rsidRDefault="00DD5468" w:rsidP="001746BF">
                            <w:pPr>
                              <w:jc w:val="both"/>
                              <w:rPr>
                                <w:rFonts w:ascii="Times New Roman" w:hAnsi="Times New Roman" w:cs="Times New Roman"/>
                                <w:i/>
                              </w:rPr>
                            </w:pPr>
                            <w:r w:rsidRPr="00327A98">
                              <w:rPr>
                                <w:rFonts w:ascii="Times New Roman" w:hAnsi="Times New Roman" w:cs="Times New Roman"/>
                                <w:i/>
                              </w:rPr>
                              <w:t>That the Privacy Safeguards apply in parallel, or addition to the Australian Privacy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left:0;text-align:left;margin-left:1pt;margin-top:10.8pt;width:450.4pt;height:5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" fillcolor="window" strokecolor="#00b0f0" strokeweight=".5pt">
                <v:textbox>
                  <w:txbxContent>
                    <w:p w:rsidR="00DD5468" w:rsidRPr="00327A98" w:rsidRDefault="00DD5468" w:rsidP="001746BF">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2</w:t>
                      </w:r>
                    </w:p>
                    <w:p w:rsidR="00DD5468" w:rsidRPr="00327A98" w:rsidRDefault="00DD5468" w:rsidP="001746BF">
                      <w:pPr>
                        <w:jc w:val="both"/>
                        <w:rPr>
                          <w:rFonts w:ascii="Times New Roman" w:hAnsi="Times New Roman" w:cs="Times New Roman"/>
                          <w:i/>
                        </w:rPr>
                      </w:pPr>
                      <w:r w:rsidRPr="00327A98">
                        <w:rPr>
                          <w:rFonts w:ascii="Times New Roman" w:hAnsi="Times New Roman" w:cs="Times New Roman"/>
                          <w:i/>
                        </w:rPr>
                        <w:t>That the Privacy Safeguards apply in parallel, or addition to the Australian Privacy Principles.</w:t>
                      </w:r>
                    </w:p>
                  </w:txbxContent>
                </v:textbox>
              </v:shape>
            </w:pict>
          </mc:Fallback>
        </mc:AlternateContent>
      </w:r>
    </w:p>
    <w:p w:rsidR="00B63D31" w:rsidRDefault="00B63D31" w:rsidP="00D07E30">
      <w:pPr>
        <w:spacing w:before="100" w:beforeAutospacing="1" w:after="100" w:afterAutospacing="1"/>
        <w:jc w:val="both"/>
        <w:rPr>
          <w:rFonts w:ascii="Times New Roman" w:eastAsiaTheme="minorEastAsia" w:hAnsi="Times New Roman" w:cs="Times New Roman"/>
          <w:sz w:val="24"/>
          <w:szCs w:val="24"/>
          <w:lang w:val="en-AU" w:eastAsia="en-AU"/>
        </w:rPr>
      </w:pPr>
    </w:p>
    <w:p w:rsidR="0085315F" w:rsidRDefault="0085315F" w:rsidP="00D07E30">
      <w:pPr>
        <w:spacing w:before="100" w:beforeAutospacing="1" w:after="100" w:afterAutospacing="1"/>
        <w:jc w:val="both"/>
        <w:rPr>
          <w:rFonts w:ascii="Times New Roman" w:eastAsiaTheme="minorEastAsia" w:hAnsi="Times New Roman" w:cs="Times New Roman"/>
          <w:sz w:val="24"/>
          <w:szCs w:val="24"/>
          <w:lang w:val="en-AU" w:eastAsia="en-AU"/>
        </w:rPr>
      </w:pPr>
    </w:p>
    <w:p w:rsidR="00D86C60" w:rsidRPr="00D86C60" w:rsidRDefault="00D0244A" w:rsidP="002D5B22">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 xml:space="preserve">The economic value of privacy </w:t>
      </w:r>
    </w:p>
    <w:p w:rsidR="006356C2" w:rsidRDefault="00D0244A" w:rsidP="006356C2">
      <w:pPr>
        <w:spacing w:before="100" w:beforeAutospacing="1" w:after="100" w:afterAutospacing="1"/>
        <w:jc w:val="both"/>
        <w:rPr>
          <w:rFonts w:ascii="Times New Roman" w:eastAsiaTheme="minorEastAsia" w:hAnsi="Times New Roman" w:cs="Times New Roman"/>
          <w:color w:val="000000" w:themeColor="text1"/>
          <w:sz w:val="24"/>
          <w:szCs w:val="32"/>
          <w:lang w:val="en-AU" w:eastAsia="en-AU"/>
        </w:rPr>
      </w:pPr>
      <w:r w:rsidRPr="00E51D09">
        <w:rPr>
          <w:rFonts w:ascii="Times New Roman" w:eastAsiaTheme="minorEastAsia" w:hAnsi="Times New Roman" w:cs="Times New Roman"/>
          <w:color w:val="000000" w:themeColor="text1"/>
          <w:sz w:val="24"/>
          <w:szCs w:val="32"/>
          <w:lang w:val="en-AU" w:eastAsia="en-AU"/>
        </w:rPr>
        <w:t>Consumers’</w:t>
      </w:r>
      <w:r w:rsidR="00AE2334" w:rsidRPr="00E51D09">
        <w:rPr>
          <w:rFonts w:ascii="Times New Roman" w:eastAsiaTheme="minorEastAsia" w:hAnsi="Times New Roman" w:cs="Times New Roman"/>
          <w:color w:val="000000" w:themeColor="text1"/>
          <w:sz w:val="24"/>
          <w:szCs w:val="32"/>
          <w:lang w:val="en-AU" w:eastAsia="en-AU"/>
        </w:rPr>
        <w:t xml:space="preserve"> privacy has</w:t>
      </w:r>
      <w:r w:rsidR="00941CBB" w:rsidRPr="00E51D09">
        <w:rPr>
          <w:rFonts w:ascii="Times New Roman" w:eastAsiaTheme="minorEastAsia" w:hAnsi="Times New Roman" w:cs="Times New Roman"/>
          <w:color w:val="000000" w:themeColor="text1"/>
          <w:sz w:val="24"/>
          <w:szCs w:val="32"/>
          <w:lang w:val="en-AU" w:eastAsia="en-AU"/>
        </w:rPr>
        <w:t xml:space="preserve"> important</w:t>
      </w:r>
      <w:r w:rsidR="00AE2334" w:rsidRPr="00E51D09">
        <w:rPr>
          <w:rFonts w:ascii="Times New Roman" w:eastAsiaTheme="minorEastAsia" w:hAnsi="Times New Roman" w:cs="Times New Roman"/>
          <w:color w:val="000000" w:themeColor="text1"/>
          <w:sz w:val="24"/>
          <w:szCs w:val="32"/>
          <w:lang w:val="en-AU" w:eastAsia="en-AU"/>
        </w:rPr>
        <w:t xml:space="preserve"> </w:t>
      </w:r>
      <w:r w:rsidR="00AE0530">
        <w:rPr>
          <w:rFonts w:ascii="Times New Roman" w:eastAsiaTheme="minorEastAsia" w:hAnsi="Times New Roman" w:cs="Times New Roman"/>
          <w:color w:val="000000" w:themeColor="text1"/>
          <w:sz w:val="24"/>
          <w:szCs w:val="32"/>
          <w:lang w:val="en-AU" w:eastAsia="en-AU"/>
        </w:rPr>
        <w:t xml:space="preserve">economic value, insofar as it promotes consumer confidence and as a good in and of itself. </w:t>
      </w:r>
      <w:r w:rsidR="006356C2">
        <w:rPr>
          <w:rFonts w:ascii="Times New Roman" w:eastAsiaTheme="minorEastAsia" w:hAnsi="Times New Roman" w:cs="Times New Roman"/>
          <w:color w:val="000000" w:themeColor="text1"/>
          <w:sz w:val="24"/>
          <w:szCs w:val="32"/>
          <w:lang w:val="en-AU" w:eastAsia="en-AU"/>
        </w:rPr>
        <w:t xml:space="preserve">Although the inherent value of privacy cannot be reduced to a mere figure, there is merit in estimating </w:t>
      </w:r>
      <w:r w:rsidR="009D05C8">
        <w:rPr>
          <w:rFonts w:ascii="Times New Roman" w:eastAsiaTheme="minorEastAsia" w:hAnsi="Times New Roman" w:cs="Times New Roman"/>
          <w:color w:val="000000" w:themeColor="text1"/>
          <w:sz w:val="24"/>
          <w:szCs w:val="32"/>
          <w:lang w:val="en-AU" w:eastAsia="en-AU"/>
        </w:rPr>
        <w:t>its</w:t>
      </w:r>
      <w:r w:rsidR="006356C2">
        <w:rPr>
          <w:rFonts w:ascii="Times New Roman" w:eastAsiaTheme="minorEastAsia" w:hAnsi="Times New Roman" w:cs="Times New Roman"/>
          <w:color w:val="000000" w:themeColor="text1"/>
          <w:sz w:val="24"/>
          <w:szCs w:val="32"/>
          <w:lang w:val="en-AU" w:eastAsia="en-AU"/>
        </w:rPr>
        <w:t xml:space="preserve"> value in economic terms to ensure that any cost-benefit analysis fully considers its value when considering reform.</w:t>
      </w:r>
    </w:p>
    <w:p w:rsidR="00CC33AD" w:rsidRPr="006356C2" w:rsidRDefault="00D67D01" w:rsidP="006356C2">
      <w:pPr>
        <w:spacing w:before="100" w:beforeAutospacing="1" w:after="100" w:afterAutospacing="1"/>
        <w:jc w:val="both"/>
        <w:rPr>
          <w:rFonts w:ascii="Times New Roman" w:eastAsiaTheme="minorEastAsia" w:hAnsi="Times New Roman" w:cs="Times New Roman"/>
          <w:color w:val="000000" w:themeColor="text1"/>
          <w:sz w:val="24"/>
          <w:szCs w:val="32"/>
          <w:lang w:val="en-AU" w:eastAsia="en-AU"/>
        </w:rPr>
      </w:pPr>
      <w:r>
        <w:rPr>
          <w:rFonts w:ascii="Times New Roman" w:eastAsia="Arial Unicode MS" w:hAnsi="Times New Roman" w:cs="Times New Roman"/>
          <w:sz w:val="24"/>
          <w:lang w:val="en-IE" w:eastAsia="en-AU" w:bidi="hi-IN"/>
        </w:rPr>
        <w:t xml:space="preserve">Available </w:t>
      </w:r>
      <w:r w:rsidR="00D52CA9">
        <w:rPr>
          <w:rFonts w:ascii="Times New Roman" w:eastAsia="Arial Unicode MS" w:hAnsi="Times New Roman" w:cs="Times New Roman"/>
          <w:sz w:val="24"/>
          <w:lang w:val="en-IE" w:eastAsia="en-AU" w:bidi="hi-IN"/>
        </w:rPr>
        <w:t xml:space="preserve">estimates indicate the value of privacy is material for </w:t>
      </w:r>
      <w:r w:rsidR="00B92BDC">
        <w:rPr>
          <w:rFonts w:ascii="Times New Roman" w:eastAsia="Arial Unicode MS" w:hAnsi="Times New Roman" w:cs="Times New Roman"/>
          <w:sz w:val="24"/>
          <w:lang w:val="en-IE" w:eastAsia="en-AU" w:bidi="hi-IN"/>
        </w:rPr>
        <w:t>consumers</w:t>
      </w:r>
      <w:r w:rsidR="00D52CA9">
        <w:rPr>
          <w:rFonts w:ascii="Times New Roman" w:eastAsia="Arial Unicode MS" w:hAnsi="Times New Roman" w:cs="Times New Roman"/>
          <w:sz w:val="24"/>
          <w:lang w:val="en-IE" w:eastAsia="en-AU" w:bidi="hi-IN"/>
        </w:rPr>
        <w:t xml:space="preserve">.  </w:t>
      </w:r>
      <w:r>
        <w:rPr>
          <w:rFonts w:ascii="Times New Roman" w:eastAsia="Arial Unicode MS" w:hAnsi="Times New Roman" w:cs="Times New Roman"/>
          <w:sz w:val="24"/>
          <w:lang w:val="en-IE" w:eastAsia="en-AU" w:bidi="hi-IN"/>
        </w:rPr>
        <w:t>F</w:t>
      </w:r>
      <w:r w:rsidR="00D52CA9">
        <w:rPr>
          <w:rFonts w:ascii="Times New Roman" w:eastAsia="Arial Unicode MS" w:hAnsi="Times New Roman" w:cs="Times New Roman"/>
          <w:sz w:val="24"/>
          <w:lang w:val="en-IE" w:eastAsia="en-AU" w:bidi="hi-IN"/>
        </w:rPr>
        <w:t>or a given transaction</w:t>
      </w:r>
      <w:proofErr w:type="gramStart"/>
      <w:r w:rsidR="005E0640">
        <w:rPr>
          <w:rFonts w:ascii="Times New Roman" w:eastAsia="Arial Unicode MS" w:hAnsi="Times New Roman" w:cs="Times New Roman"/>
          <w:sz w:val="24"/>
          <w:lang w:val="en-IE" w:eastAsia="en-AU" w:bidi="hi-IN"/>
        </w:rPr>
        <w:t>,</w:t>
      </w:r>
      <w:r w:rsidR="00D52CA9">
        <w:rPr>
          <w:rFonts w:ascii="Times New Roman" w:eastAsia="Arial Unicode MS" w:hAnsi="Times New Roman" w:cs="Times New Roman"/>
          <w:sz w:val="24"/>
          <w:lang w:val="en-IE" w:eastAsia="en-AU" w:bidi="hi-IN"/>
        </w:rPr>
        <w:t xml:space="preserve"> </w:t>
      </w:r>
      <w:r w:rsidR="00647B26">
        <w:rPr>
          <w:rFonts w:ascii="Times New Roman" w:eastAsia="Arial Unicode MS" w:hAnsi="Times New Roman" w:cs="Times New Roman"/>
          <w:sz w:val="24"/>
          <w:lang w:val="en-IE" w:eastAsia="en-AU" w:bidi="hi-IN"/>
        </w:rPr>
        <w:t xml:space="preserve"> it</w:t>
      </w:r>
      <w:proofErr w:type="gramEnd"/>
      <w:r w:rsidR="00647B26">
        <w:rPr>
          <w:rFonts w:ascii="Times New Roman" w:eastAsia="Arial Unicode MS" w:hAnsi="Times New Roman" w:cs="Times New Roman"/>
          <w:sz w:val="24"/>
          <w:lang w:val="en-IE" w:eastAsia="en-AU" w:bidi="hi-IN"/>
        </w:rPr>
        <w:t xml:space="preserve"> has been estimated that </w:t>
      </w:r>
      <w:r w:rsidR="00944CC8">
        <w:rPr>
          <w:rFonts w:ascii="Times New Roman" w:eastAsia="Arial Unicode MS" w:hAnsi="Times New Roman" w:cs="Times New Roman"/>
          <w:sz w:val="24"/>
          <w:lang w:val="en-IE" w:eastAsia="en-AU" w:bidi="hi-IN"/>
        </w:rPr>
        <w:t>the value</w:t>
      </w:r>
      <w:r w:rsidR="00D52CA9">
        <w:rPr>
          <w:rFonts w:ascii="Times New Roman" w:eastAsia="Arial Unicode MS" w:hAnsi="Times New Roman" w:cs="Times New Roman"/>
          <w:sz w:val="24"/>
          <w:lang w:val="en-IE" w:eastAsia="en-AU" w:bidi="hi-IN"/>
        </w:rPr>
        <w:t xml:space="preserve"> </w:t>
      </w:r>
      <w:r w:rsidR="00647B26">
        <w:rPr>
          <w:rFonts w:ascii="Times New Roman" w:eastAsia="Arial Unicode MS" w:hAnsi="Times New Roman" w:cs="Times New Roman"/>
          <w:sz w:val="24"/>
          <w:lang w:val="en-IE" w:eastAsia="en-AU" w:bidi="hi-IN"/>
        </w:rPr>
        <w:t xml:space="preserve">of an individual’s </w:t>
      </w:r>
      <w:r w:rsidR="00D52CA9">
        <w:rPr>
          <w:rFonts w:ascii="Times New Roman" w:eastAsia="Arial Unicode MS" w:hAnsi="Times New Roman" w:cs="Times New Roman"/>
          <w:sz w:val="24"/>
          <w:lang w:val="en-IE" w:eastAsia="en-AU" w:bidi="hi-IN"/>
        </w:rPr>
        <w:t xml:space="preserve">privacy or the non-sharing of their information </w:t>
      </w:r>
      <w:r w:rsidR="00647B26">
        <w:rPr>
          <w:rFonts w:ascii="Times New Roman" w:eastAsia="Arial Unicode MS" w:hAnsi="Times New Roman" w:cs="Times New Roman"/>
          <w:sz w:val="24"/>
          <w:lang w:val="en-IE" w:eastAsia="en-AU" w:bidi="hi-IN"/>
        </w:rPr>
        <w:t>is</w:t>
      </w:r>
      <w:r w:rsidR="00D52CA9">
        <w:rPr>
          <w:rFonts w:ascii="Times New Roman" w:eastAsia="Arial Unicode MS" w:hAnsi="Times New Roman" w:cs="Times New Roman"/>
          <w:sz w:val="24"/>
          <w:lang w:val="en-IE" w:eastAsia="en-AU" w:bidi="hi-IN"/>
        </w:rPr>
        <w:t xml:space="preserve"> between $15 - $60 AUD per </w:t>
      </w:r>
      <w:r w:rsidR="00F209AC">
        <w:rPr>
          <w:rFonts w:ascii="Times New Roman" w:eastAsia="Arial Unicode MS" w:hAnsi="Times New Roman" w:cs="Times New Roman"/>
          <w:sz w:val="24"/>
          <w:lang w:val="en-IE" w:eastAsia="en-AU" w:bidi="hi-IN"/>
        </w:rPr>
        <w:t>transaction (</w:t>
      </w:r>
      <w:proofErr w:type="spellStart"/>
      <w:r w:rsidR="00E33E4C">
        <w:rPr>
          <w:rFonts w:ascii="Times New Roman" w:eastAsia="Arial Unicode MS" w:hAnsi="Times New Roman" w:cs="Times New Roman"/>
          <w:noProof/>
          <w:sz w:val="24"/>
          <w:lang w:val="en-IE" w:eastAsia="en-AU" w:bidi="hi-IN"/>
        </w:rPr>
        <w:t>Acquisti</w:t>
      </w:r>
      <w:proofErr w:type="spellEnd"/>
      <w:r w:rsidR="00E33E4C">
        <w:rPr>
          <w:rFonts w:ascii="Times New Roman" w:eastAsia="Arial Unicode MS" w:hAnsi="Times New Roman" w:cs="Times New Roman"/>
          <w:noProof/>
          <w:sz w:val="24"/>
          <w:lang w:val="en-IE" w:eastAsia="en-AU" w:bidi="hi-IN"/>
        </w:rPr>
        <w:t>, John &amp; Loewenstein 2013, p. 255</w:t>
      </w:r>
      <w:r w:rsidR="00944CC8">
        <w:rPr>
          <w:rFonts w:ascii="Times New Roman" w:eastAsia="Arial Unicode MS" w:hAnsi="Times New Roman" w:cs="Times New Roman"/>
          <w:noProof/>
          <w:sz w:val="24"/>
          <w:lang w:val="en-IE" w:eastAsia="en-AU" w:bidi="hi-IN"/>
        </w:rPr>
        <w:t>-256</w:t>
      </w:r>
      <w:r w:rsidR="00E33E4C">
        <w:rPr>
          <w:rFonts w:ascii="Times New Roman" w:eastAsia="Arial Unicode MS" w:hAnsi="Times New Roman" w:cs="Times New Roman"/>
          <w:noProof/>
          <w:sz w:val="24"/>
          <w:lang w:val="en-IE" w:eastAsia="en-AU" w:bidi="hi-IN"/>
        </w:rPr>
        <w:t>)</w:t>
      </w:r>
      <w:r w:rsidR="00E33E4C">
        <w:rPr>
          <w:rFonts w:ascii="Times New Roman" w:eastAsia="Arial Unicode MS" w:hAnsi="Times New Roman" w:cs="Times New Roman"/>
          <w:sz w:val="24"/>
          <w:lang w:val="en-IE" w:eastAsia="en-AU" w:bidi="hi-IN"/>
        </w:rPr>
        <w:t>.</w:t>
      </w:r>
      <w:r w:rsidR="002D5B22">
        <w:rPr>
          <w:rFonts w:ascii="Times New Roman" w:eastAsia="Arial Unicode MS" w:hAnsi="Times New Roman" w:cs="Times New Roman"/>
          <w:sz w:val="24"/>
          <w:lang w:val="en-IE" w:eastAsia="en-AU" w:bidi="hi-IN"/>
        </w:rPr>
        <w:t xml:space="preserve"> </w:t>
      </w:r>
    </w:p>
    <w:p w:rsidR="00016B13" w:rsidRDefault="00E274FB" w:rsidP="00D0244A">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This valuation is important, because it indicates that the economic and social value for consumers associated with maintaining the privacy of their consumer data may in many instances materially outweigh the potential reduction in transaction costs associated with the CDR. </w:t>
      </w:r>
      <w:r w:rsidR="007E461C">
        <w:rPr>
          <w:rFonts w:ascii="Times New Roman" w:eastAsia="Arial Unicode MS" w:hAnsi="Times New Roman" w:cs="Times New Roman"/>
          <w:sz w:val="24"/>
          <w:lang w:val="en-IE" w:eastAsia="en-AU" w:bidi="hi-IN"/>
        </w:rPr>
        <w:t>T</w:t>
      </w:r>
      <w:r w:rsidR="004659D0">
        <w:rPr>
          <w:rFonts w:ascii="Times New Roman" w:eastAsia="Arial Unicode MS" w:hAnsi="Times New Roman" w:cs="Times New Roman"/>
          <w:sz w:val="24"/>
          <w:lang w:val="en-IE" w:eastAsia="en-AU" w:bidi="hi-IN"/>
        </w:rPr>
        <w:t>he expected benefits of the CDR framework must be at a minimum in excess of the total expected costs associated with the potential loss of privacy per transaction</w:t>
      </w:r>
      <w:r w:rsidR="00BC20FF">
        <w:rPr>
          <w:rFonts w:ascii="Times New Roman" w:eastAsia="Arial Unicode MS" w:hAnsi="Times New Roman" w:cs="Times New Roman"/>
          <w:sz w:val="24"/>
          <w:lang w:val="en-IE" w:eastAsia="en-AU" w:bidi="hi-IN"/>
        </w:rPr>
        <w:t>, and the regulatory costs associated with reform</w:t>
      </w:r>
      <w:r w:rsidR="004659D0">
        <w:rPr>
          <w:rFonts w:ascii="Times New Roman" w:eastAsia="Arial Unicode MS" w:hAnsi="Times New Roman" w:cs="Times New Roman"/>
          <w:sz w:val="24"/>
          <w:lang w:val="en-IE" w:eastAsia="en-AU" w:bidi="hi-IN"/>
        </w:rPr>
        <w:t>.</w:t>
      </w:r>
    </w:p>
    <w:p w:rsidR="000F0B07" w:rsidRPr="0040435E" w:rsidRDefault="00285170" w:rsidP="00FE46E9">
      <w:pPr>
        <w:spacing w:before="100" w:beforeAutospacing="1" w:after="100" w:afterAutospacing="1"/>
        <w:jc w:val="both"/>
        <w:rPr>
          <w:rFonts w:ascii="Times New Roman" w:hAnsi="Times New Roman" w:cs="Times New Roman"/>
          <w:sz w:val="24"/>
        </w:rPr>
      </w:pPr>
      <w:r w:rsidRPr="0040435E">
        <w:rPr>
          <w:rFonts w:ascii="Times New Roman" w:eastAsia="Arial Unicode MS" w:hAnsi="Times New Roman" w:cs="Times New Roman"/>
          <w:sz w:val="24"/>
          <w:lang w:val="en-IE" w:eastAsia="en-AU" w:bidi="hi-IN"/>
        </w:rPr>
        <w:t>The inclusion of the value of privacy is essential for a fully informed cost-benefit analysis to be performed as part of the regulatory impact assessment process. A failure to adequately consider the economic and social impact associated with risks to consumers</w:t>
      </w:r>
      <w:r w:rsidR="00B143A2" w:rsidRPr="0040435E">
        <w:rPr>
          <w:rFonts w:ascii="Times New Roman" w:eastAsia="Arial Unicode MS" w:hAnsi="Times New Roman" w:cs="Times New Roman"/>
          <w:sz w:val="24"/>
          <w:lang w:val="en-IE" w:eastAsia="en-AU" w:bidi="hi-IN"/>
        </w:rPr>
        <w:t>’</w:t>
      </w:r>
      <w:r w:rsidRPr="0040435E">
        <w:rPr>
          <w:rFonts w:ascii="Times New Roman" w:eastAsia="Arial Unicode MS" w:hAnsi="Times New Roman" w:cs="Times New Roman"/>
          <w:sz w:val="24"/>
          <w:lang w:val="en-IE" w:eastAsia="en-AU" w:bidi="hi-IN"/>
        </w:rPr>
        <w:t xml:space="preserve"> privacy would be</w:t>
      </w:r>
      <w:r w:rsidR="0040435E" w:rsidRPr="0040435E">
        <w:rPr>
          <w:rFonts w:ascii="Times New Roman" w:eastAsia="Arial Unicode MS" w:hAnsi="Times New Roman" w:cs="Times New Roman"/>
          <w:sz w:val="24"/>
          <w:lang w:val="en-IE" w:eastAsia="en-AU" w:bidi="hi-IN"/>
        </w:rPr>
        <w:t xml:space="preserve"> </w:t>
      </w:r>
      <w:r w:rsidR="007E461C">
        <w:rPr>
          <w:rFonts w:ascii="Times New Roman" w:eastAsia="Arial Unicode MS" w:hAnsi="Times New Roman" w:cs="Times New Roman"/>
          <w:sz w:val="24"/>
          <w:lang w:val="en-IE" w:eastAsia="en-AU" w:bidi="hi-IN"/>
        </w:rPr>
        <w:t xml:space="preserve">a serious </w:t>
      </w:r>
      <w:r w:rsidR="00944CC8" w:rsidRPr="0040435E">
        <w:rPr>
          <w:rFonts w:ascii="Times New Roman" w:eastAsia="Arial Unicode MS" w:hAnsi="Times New Roman" w:cs="Times New Roman"/>
          <w:sz w:val="24"/>
          <w:lang w:val="en-IE" w:eastAsia="en-AU" w:bidi="hi-IN"/>
        </w:rPr>
        <w:t>omission</w:t>
      </w:r>
      <w:r w:rsidR="00944CC8">
        <w:rPr>
          <w:rFonts w:ascii="Times New Roman" w:eastAsia="Arial Unicode MS" w:hAnsi="Times New Roman" w:cs="Times New Roman"/>
          <w:sz w:val="24"/>
          <w:lang w:val="en-IE" w:eastAsia="en-AU" w:bidi="hi-IN"/>
        </w:rPr>
        <w:t xml:space="preserve"> </w:t>
      </w:r>
      <w:r w:rsidR="00944CC8" w:rsidRPr="0040435E">
        <w:rPr>
          <w:rFonts w:ascii="Times New Roman" w:eastAsia="Arial Unicode MS" w:hAnsi="Times New Roman" w:cs="Times New Roman"/>
          <w:sz w:val="24"/>
          <w:lang w:val="en-IE" w:eastAsia="en-AU" w:bidi="hi-IN"/>
        </w:rPr>
        <w:t>in</w:t>
      </w:r>
      <w:r w:rsidR="0040435E" w:rsidRPr="0040435E">
        <w:rPr>
          <w:rFonts w:ascii="Times New Roman" w:eastAsia="Arial Unicode MS" w:hAnsi="Times New Roman" w:cs="Times New Roman"/>
          <w:sz w:val="24"/>
          <w:lang w:val="en-IE" w:eastAsia="en-AU" w:bidi="hi-IN"/>
        </w:rPr>
        <w:t xml:space="preserve"> </w:t>
      </w:r>
      <w:r w:rsidR="003553DB">
        <w:rPr>
          <w:rFonts w:ascii="Times New Roman" w:eastAsia="Arial Unicode MS" w:hAnsi="Times New Roman" w:cs="Times New Roman"/>
          <w:sz w:val="24"/>
          <w:lang w:val="en-IE" w:eastAsia="en-AU" w:bidi="hi-IN"/>
        </w:rPr>
        <w:t xml:space="preserve">a </w:t>
      </w:r>
      <w:r w:rsidR="003553DB" w:rsidRPr="0040435E">
        <w:rPr>
          <w:rFonts w:ascii="Times New Roman" w:eastAsia="Arial Unicode MS" w:hAnsi="Times New Roman" w:cs="Times New Roman"/>
          <w:sz w:val="24"/>
          <w:lang w:val="en-IE" w:eastAsia="en-AU" w:bidi="hi-IN"/>
        </w:rPr>
        <w:t>regulatory</w:t>
      </w:r>
      <w:r w:rsidR="0040435E" w:rsidRPr="0040435E">
        <w:rPr>
          <w:rFonts w:ascii="Times New Roman" w:eastAsia="Arial Unicode MS" w:hAnsi="Times New Roman" w:cs="Times New Roman"/>
          <w:sz w:val="24"/>
          <w:lang w:val="en-IE" w:eastAsia="en-AU" w:bidi="hi-IN"/>
        </w:rPr>
        <w:t xml:space="preserve"> impact assessment</w:t>
      </w:r>
      <w:r w:rsidR="007E461C">
        <w:rPr>
          <w:rFonts w:ascii="Times New Roman" w:eastAsia="Arial Unicode MS" w:hAnsi="Times New Roman" w:cs="Times New Roman"/>
          <w:sz w:val="24"/>
          <w:lang w:val="en-IE" w:eastAsia="en-AU" w:bidi="hi-IN"/>
        </w:rPr>
        <w:t>.</w:t>
      </w:r>
      <w:r w:rsidR="00F209AC">
        <w:rPr>
          <w:rStyle w:val="FootnoteReference"/>
          <w:rFonts w:ascii="Times New Roman" w:eastAsia="Arial Unicode MS" w:hAnsi="Times New Roman" w:cs="Times New Roman"/>
          <w:sz w:val="24"/>
          <w:lang w:val="en-IE" w:eastAsia="en-AU" w:bidi="hi-IN"/>
        </w:rPr>
        <w:footnoteReference w:id="3"/>
      </w:r>
      <w:r w:rsidR="0040435E" w:rsidRPr="0040435E">
        <w:rPr>
          <w:rFonts w:ascii="Times New Roman" w:eastAsia="Arial Unicode MS" w:hAnsi="Times New Roman" w:cs="Times New Roman"/>
          <w:sz w:val="24"/>
          <w:lang w:val="en-IE" w:eastAsia="en-AU" w:bidi="hi-IN"/>
        </w:rPr>
        <w:t xml:space="preserve"> </w:t>
      </w:r>
    </w:p>
    <w:p w:rsidR="007C3B0C" w:rsidRDefault="00B14A7F" w:rsidP="00FE46E9">
      <w:pPr>
        <w:spacing w:before="100" w:beforeAutospacing="1" w:after="100" w:afterAutospacing="1"/>
        <w:jc w:val="both"/>
        <w:rPr>
          <w:rFonts w:ascii="Times New Roman" w:eastAsia="Arial Unicode MS" w:hAnsi="Times New Roman" w:cs="Times New Roman"/>
          <w:sz w:val="24"/>
          <w:lang w:val="en-IE" w:eastAsia="en-AU" w:bidi="hi-IN"/>
        </w:rPr>
      </w:pPr>
      <w:r w:rsidRPr="00B14A7F">
        <w:rPr>
          <w:rFonts w:ascii="Times New Roman" w:eastAsia="Arial Unicode MS" w:hAnsi="Times New Roman" w:cs="Times New Roman"/>
          <w:sz w:val="24"/>
          <w:lang w:val="en-IE" w:eastAsia="en-AU" w:bidi="hi-IN"/>
        </w:rPr>
        <w:t xml:space="preserve">The protection of individuals’ privacy is more than a mere matter of principle, and the potential for poor regulatory design to diminish consumer confidence and trust is significant. </w:t>
      </w:r>
      <w:r>
        <w:rPr>
          <w:rFonts w:ascii="Times New Roman" w:eastAsia="Arial Unicode MS" w:hAnsi="Times New Roman" w:cs="Times New Roman"/>
          <w:sz w:val="24"/>
          <w:lang w:val="en-IE" w:eastAsia="en-AU" w:bidi="hi-IN"/>
        </w:rPr>
        <w:t xml:space="preserve">If consumers lose confidence in the capacity of the proposed framework to provide adequate protections for their private information, the potential benefits of the reforms will be lost. </w:t>
      </w:r>
    </w:p>
    <w:p w:rsidR="00042491" w:rsidRDefault="00327A98" w:rsidP="00FE46E9">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56704" behindDoc="0" locked="0" layoutInCell="1" allowOverlap="1" wp14:anchorId="6D75246A" wp14:editId="11A12953">
                <wp:simplePos x="0" y="0"/>
                <wp:positionH relativeFrom="column">
                  <wp:posOffset>2730</wp:posOffset>
                </wp:positionH>
                <wp:positionV relativeFrom="paragraph">
                  <wp:posOffset>44763</wp:posOffset>
                </wp:positionV>
                <wp:extent cx="5720080" cy="987425"/>
                <wp:effectExtent l="0" t="0" r="13970" b="22225"/>
                <wp:wrapNone/>
                <wp:docPr id="4" name="Text Box 4"/>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EF68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EF68DF">
                            <w:pPr>
                              <w:rPr>
                                <w:rFonts w:ascii="Times New Roman" w:hAnsi="Times New Roman" w:cs="Times New Roman"/>
                                <w:i/>
                              </w:rPr>
                            </w:pPr>
                            <w:r>
                              <w:rPr>
                                <w:rFonts w:ascii="Times New Roman" w:hAnsi="Times New Roman" w:cs="Times New Roman"/>
                                <w:i/>
                              </w:rPr>
                              <w:t>That</w:t>
                            </w:r>
                            <w:r w:rsidRPr="001410E8">
                              <w:rPr>
                                <w:rFonts w:ascii="Times New Roman" w:hAnsi="Times New Roman" w:cs="Times New Roman"/>
                                <w:i/>
                              </w:rPr>
                              <w:t xml:space="preserve"> Treasury takes steps to quantify the potential costs of, or risks to consumers in economic and social terms, of as a result of losses of privacy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left:0;text-align:left;margin-left:.2pt;margin-top:3.5pt;width:450.4pt;height: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" fillcolor="window" strokecolor="#00b0f0" strokeweight=".5pt">
                <v:textbox>
                  <w:txbxContent>
                    <w:p w:rsidR="00DD5468" w:rsidRPr="001410E8" w:rsidRDefault="00DD5468" w:rsidP="00EF68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EF68DF">
                      <w:pPr>
                        <w:rPr>
                          <w:rFonts w:ascii="Times New Roman" w:hAnsi="Times New Roman" w:cs="Times New Roman"/>
                          <w:i/>
                        </w:rPr>
                      </w:pPr>
                      <w:r>
                        <w:rPr>
                          <w:rFonts w:ascii="Times New Roman" w:hAnsi="Times New Roman" w:cs="Times New Roman"/>
                          <w:i/>
                        </w:rPr>
                        <w:t>That</w:t>
                      </w:r>
                      <w:r w:rsidRPr="001410E8">
                        <w:rPr>
                          <w:rFonts w:ascii="Times New Roman" w:hAnsi="Times New Roman" w:cs="Times New Roman"/>
                          <w:i/>
                        </w:rPr>
                        <w:t xml:space="preserve"> Treasury takes steps to quantify the potential costs of, or risks to consumers in economic and social terms, of as a result of losses of privacy as part of a rigorous and public regulatory impact assessment.</w:t>
                      </w:r>
                    </w:p>
                  </w:txbxContent>
                </v:textbox>
              </v:shape>
            </w:pict>
          </mc:Fallback>
        </mc:AlternateContent>
      </w:r>
    </w:p>
    <w:p w:rsidR="00042491" w:rsidRDefault="00042491" w:rsidP="00FE46E9">
      <w:pPr>
        <w:spacing w:before="100" w:beforeAutospacing="1" w:after="100" w:afterAutospacing="1"/>
        <w:jc w:val="both"/>
        <w:rPr>
          <w:rFonts w:ascii="Times New Roman" w:eastAsia="Arial Unicode MS" w:hAnsi="Times New Roman" w:cs="Times New Roman"/>
          <w:sz w:val="24"/>
          <w:lang w:val="en-IE" w:eastAsia="en-AU" w:bidi="hi-IN"/>
        </w:rPr>
      </w:pPr>
    </w:p>
    <w:p w:rsidR="00042491" w:rsidRDefault="00042491" w:rsidP="00FE46E9">
      <w:pPr>
        <w:spacing w:before="100" w:beforeAutospacing="1" w:after="100" w:afterAutospacing="1"/>
        <w:jc w:val="both"/>
        <w:rPr>
          <w:rFonts w:ascii="Times New Roman" w:eastAsia="Arial Unicode MS" w:hAnsi="Times New Roman" w:cs="Times New Roman"/>
          <w:sz w:val="24"/>
          <w:lang w:val="en-IE" w:eastAsia="en-AU" w:bidi="hi-IN"/>
        </w:rPr>
      </w:pPr>
    </w:p>
    <w:p w:rsidR="00B71784" w:rsidRPr="00B71784" w:rsidRDefault="00B71784" w:rsidP="00B71784">
      <w:pPr>
        <w:spacing w:before="100" w:beforeAutospacing="1" w:after="100" w:afterAutospacing="1" w:line="360" w:lineRule="auto"/>
        <w:jc w:val="both"/>
        <w:rPr>
          <w:rFonts w:ascii="Times New Roman" w:eastAsiaTheme="minorEastAsia" w:hAnsi="Times New Roman" w:cs="Times New Roman"/>
          <w:color w:val="FF0000"/>
          <w:sz w:val="24"/>
          <w:szCs w:val="24"/>
          <w:lang w:val="en-AU" w:eastAsia="en-AU"/>
        </w:rPr>
      </w:pPr>
    </w:p>
    <w:p w:rsidR="00F62324" w:rsidRDefault="00F62324" w:rsidP="004A7D2E">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5" w:name="_Toc524350290"/>
      <w:r>
        <w:rPr>
          <w:rFonts w:ascii="Calibri" w:eastAsia="Arial Unicode MS" w:hAnsi="Calibri" w:cs="font331"/>
          <w:bCs/>
          <w:kern w:val="1"/>
          <w:sz w:val="44"/>
          <w:szCs w:val="28"/>
          <w:lang w:val="en-IE" w:eastAsia="hi-IN" w:bidi="hi-IN"/>
        </w:rPr>
        <w:t>Consent</w:t>
      </w:r>
      <w:bookmarkEnd w:id="5"/>
      <w:r>
        <w:rPr>
          <w:rFonts w:ascii="Calibri" w:eastAsia="Arial Unicode MS" w:hAnsi="Calibri" w:cs="font331"/>
          <w:bCs/>
          <w:kern w:val="1"/>
          <w:sz w:val="44"/>
          <w:szCs w:val="28"/>
          <w:lang w:val="en-IE" w:eastAsia="hi-IN" w:bidi="hi-IN"/>
        </w:rPr>
        <w:t xml:space="preserve"> </w:t>
      </w:r>
    </w:p>
    <w:p w:rsidR="00A56017" w:rsidRDefault="00A56017" w:rsidP="00774E63">
      <w:pPr>
        <w:spacing w:after="0"/>
        <w:jc w:val="both"/>
        <w:rPr>
          <w:rFonts w:ascii="Times New Roman" w:hAnsi="Times New Roman" w:cs="Times New Roman"/>
          <w:sz w:val="24"/>
          <w:szCs w:val="24"/>
          <w:lang w:val="en-IE" w:eastAsia="hi-IN" w:bidi="hi-IN"/>
        </w:rPr>
      </w:pPr>
    </w:p>
    <w:p w:rsidR="00CA20B0" w:rsidRDefault="00E97B9C" w:rsidP="000A647B">
      <w:pPr>
        <w:spacing w:after="0"/>
        <w:jc w:val="both"/>
        <w:rPr>
          <w:rFonts w:ascii="Times New Roman" w:hAnsi="Times New Roman" w:cs="Times New Roman"/>
          <w:sz w:val="24"/>
          <w:szCs w:val="24"/>
          <w:lang w:val="en-IE" w:eastAsia="hi-IN" w:bidi="hi-IN"/>
        </w:rPr>
      </w:pPr>
      <w:r>
        <w:rPr>
          <w:rFonts w:ascii="Times New Roman" w:hAnsi="Times New Roman" w:cs="Times New Roman"/>
          <w:sz w:val="24"/>
          <w:szCs w:val="24"/>
          <w:lang w:val="en-IE" w:eastAsia="hi-IN" w:bidi="hi-IN"/>
        </w:rPr>
        <w:t>In order for the proposed framework to be fit-for-purpose it is essential that the primary means through which consumers can influence their privacy</w:t>
      </w:r>
      <w:r w:rsidR="00B143A2">
        <w:rPr>
          <w:rFonts w:ascii="Times New Roman" w:hAnsi="Times New Roman" w:cs="Times New Roman"/>
          <w:sz w:val="24"/>
          <w:szCs w:val="24"/>
          <w:lang w:val="en-IE" w:eastAsia="hi-IN" w:bidi="hi-IN"/>
        </w:rPr>
        <w:t>,</w:t>
      </w:r>
      <w:r w:rsidR="00CA20B0">
        <w:rPr>
          <w:rFonts w:ascii="Times New Roman" w:hAnsi="Times New Roman" w:cs="Times New Roman"/>
          <w:sz w:val="24"/>
          <w:szCs w:val="24"/>
          <w:lang w:val="en-IE" w:eastAsia="hi-IN" w:bidi="hi-IN"/>
        </w:rPr>
        <w:t xml:space="preserve"> </w:t>
      </w:r>
      <w:r w:rsidR="00B012D0">
        <w:rPr>
          <w:rFonts w:ascii="Times New Roman" w:hAnsi="Times New Roman" w:cs="Times New Roman"/>
          <w:sz w:val="24"/>
          <w:szCs w:val="24"/>
          <w:lang w:val="en-IE" w:eastAsia="hi-IN" w:bidi="hi-IN"/>
        </w:rPr>
        <w:t>namely consent, is defined in accordance with best practice.</w:t>
      </w:r>
      <w:r w:rsidR="000A647B">
        <w:rPr>
          <w:rFonts w:ascii="Times New Roman" w:hAnsi="Times New Roman" w:cs="Times New Roman"/>
          <w:sz w:val="24"/>
          <w:szCs w:val="24"/>
          <w:lang w:val="en-IE" w:eastAsia="hi-IN" w:bidi="hi-IN"/>
        </w:rPr>
        <w:t xml:space="preserve"> </w:t>
      </w:r>
      <w:r w:rsidR="00E6035E">
        <w:rPr>
          <w:rFonts w:ascii="Times New Roman" w:hAnsi="Times New Roman" w:cs="Times New Roman"/>
          <w:sz w:val="24"/>
          <w:szCs w:val="24"/>
          <w:lang w:val="en-IE" w:eastAsia="hi-IN" w:bidi="hi-IN"/>
        </w:rPr>
        <w:t>To this end c</w:t>
      </w:r>
      <w:r w:rsidR="00CA20B0">
        <w:rPr>
          <w:rFonts w:ascii="Times New Roman" w:hAnsi="Times New Roman" w:cs="Times New Roman"/>
          <w:sz w:val="24"/>
          <w:szCs w:val="24"/>
          <w:lang w:val="en-IE" w:eastAsia="hi-IN" w:bidi="hi-IN"/>
        </w:rPr>
        <w:t>onsent must be</w:t>
      </w:r>
      <w:r w:rsidR="00A752FD">
        <w:rPr>
          <w:rFonts w:ascii="Times New Roman" w:hAnsi="Times New Roman" w:cs="Times New Roman"/>
          <w:sz w:val="24"/>
          <w:szCs w:val="24"/>
          <w:lang w:val="en-IE" w:eastAsia="hi-IN" w:bidi="hi-IN"/>
        </w:rPr>
        <w:t xml:space="preserve"> genuine and be</w:t>
      </w:r>
      <w:r w:rsidR="00CA20B0">
        <w:rPr>
          <w:rFonts w:ascii="Times New Roman" w:hAnsi="Times New Roman" w:cs="Times New Roman"/>
          <w:sz w:val="24"/>
          <w:szCs w:val="24"/>
          <w:lang w:val="en-IE" w:eastAsia="hi-IN" w:bidi="hi-IN"/>
        </w:rPr>
        <w:t xml:space="preserve">: </w:t>
      </w:r>
    </w:p>
    <w:p w:rsidR="00CA20B0"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Explicit;</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Specific to purpose;</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Unbundled;</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Easy to understand; </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Revocable; </w:t>
      </w:r>
    </w:p>
    <w:p w:rsidR="00DE489D" w:rsidRPr="00884E97" w:rsidRDefault="00DD6853" w:rsidP="002E06C0">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Freely given </w:t>
      </w:r>
    </w:p>
    <w:p w:rsidR="00884E97" w:rsidRPr="00AC06E2" w:rsidRDefault="00884E97" w:rsidP="00884E97">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ACCAN supports the adoption of a definition of consent that draws upon existing regulatory best practice, and acknowledges the significant challenges that consumers can face when seeking to actively engage with their privacy.</w:t>
      </w:r>
      <w:r w:rsidR="00EC036B">
        <w:rPr>
          <w:rFonts w:ascii="Times New Roman" w:hAnsi="Times New Roman" w:cs="Times New Roman"/>
          <w:color w:val="000000" w:themeColor="text1"/>
          <w:sz w:val="24"/>
          <w:szCs w:val="24"/>
          <w:lang w:val="en-IE" w:eastAsia="hi-IN" w:bidi="hi-IN"/>
        </w:rPr>
        <w:t xml:space="preserve"> </w:t>
      </w:r>
      <w:r w:rsidRPr="00976021">
        <w:rPr>
          <w:rFonts w:ascii="Times New Roman" w:hAnsi="Times New Roman" w:cs="Times New Roman"/>
          <w:color w:val="000000" w:themeColor="text1"/>
          <w:sz w:val="24"/>
          <w:szCs w:val="24"/>
          <w:lang w:val="en-IE" w:eastAsia="hi-IN" w:bidi="hi-IN"/>
        </w:rPr>
        <w:t xml:space="preserve">The challenges faced by consumers have been documented in the research of the </w:t>
      </w:r>
      <w:r>
        <w:rPr>
          <w:rFonts w:ascii="Times New Roman" w:hAnsi="Times New Roman" w:cs="Times New Roman"/>
          <w:color w:val="000000" w:themeColor="text1"/>
          <w:sz w:val="24"/>
          <w:szCs w:val="24"/>
          <w:lang w:val="en-IE" w:eastAsia="hi-IN" w:bidi="hi-IN"/>
        </w:rPr>
        <w:t>Consumer Policy Research Centre (</w:t>
      </w:r>
      <w:r w:rsidRPr="00976021">
        <w:rPr>
          <w:rFonts w:ascii="Times New Roman" w:hAnsi="Times New Roman" w:cs="Times New Roman"/>
          <w:color w:val="000000" w:themeColor="text1"/>
          <w:sz w:val="24"/>
          <w:szCs w:val="24"/>
          <w:lang w:val="en-IE" w:eastAsia="hi-IN" w:bidi="hi-IN"/>
        </w:rPr>
        <w:t>CPRC</w:t>
      </w:r>
      <w:r>
        <w:rPr>
          <w:rFonts w:ascii="Times New Roman" w:hAnsi="Times New Roman" w:cs="Times New Roman"/>
          <w:color w:val="000000" w:themeColor="text1"/>
          <w:sz w:val="24"/>
          <w:szCs w:val="24"/>
          <w:lang w:val="en-IE" w:eastAsia="hi-IN" w:bidi="hi-IN"/>
        </w:rPr>
        <w:t>)</w:t>
      </w:r>
      <w:r w:rsidRPr="00976021">
        <w:rPr>
          <w:rFonts w:ascii="Times New Roman" w:hAnsi="Times New Roman" w:cs="Times New Roman"/>
          <w:color w:val="000000" w:themeColor="text1"/>
          <w:sz w:val="24"/>
          <w:szCs w:val="24"/>
          <w:lang w:val="en-IE" w:eastAsia="hi-IN" w:bidi="hi-IN"/>
        </w:rPr>
        <w:t xml:space="preserve"> </w:t>
      </w:r>
      <w:r w:rsidRPr="007F0AFE">
        <w:rPr>
          <w:rFonts w:ascii="Times New Roman" w:hAnsi="Times New Roman" w:cs="Times New Roman"/>
          <w:color w:val="000000"/>
          <w:sz w:val="24"/>
        </w:rPr>
        <w:t>(2018)</w:t>
      </w:r>
      <w:r w:rsidRPr="00976021">
        <w:rPr>
          <w:rFonts w:ascii="Times New Roman" w:hAnsi="Times New Roman" w:cs="Times New Roman"/>
          <w:color w:val="000000" w:themeColor="text1"/>
          <w:sz w:val="24"/>
          <w:szCs w:val="24"/>
          <w:lang w:val="en-IE" w:eastAsia="hi-IN" w:bidi="hi-IN"/>
        </w:rPr>
        <w:t xml:space="preserve"> </w:t>
      </w:r>
      <w:r>
        <w:rPr>
          <w:rFonts w:ascii="Times New Roman" w:hAnsi="Times New Roman" w:cs="Times New Roman"/>
          <w:color w:val="000000" w:themeColor="text1"/>
          <w:sz w:val="24"/>
          <w:szCs w:val="24"/>
          <w:lang w:val="en-IE" w:eastAsia="hi-IN" w:bidi="hi-IN"/>
        </w:rPr>
        <w:t xml:space="preserve">that </w:t>
      </w:r>
      <w:r w:rsidRPr="00976021">
        <w:rPr>
          <w:rFonts w:ascii="Times New Roman" w:hAnsi="Times New Roman" w:cs="Times New Roman"/>
          <w:color w:val="000000" w:themeColor="text1"/>
          <w:sz w:val="24"/>
          <w:szCs w:val="24"/>
          <w:lang w:val="en-IE" w:eastAsia="hi-IN" w:bidi="hi-IN"/>
        </w:rPr>
        <w:t xml:space="preserve">indicates that the vast majority of Australians </w:t>
      </w:r>
      <w:r w:rsidRPr="00AC06E2">
        <w:rPr>
          <w:rFonts w:ascii="Times New Roman" w:hAnsi="Times New Roman" w:cs="Times New Roman"/>
          <w:color w:val="000000" w:themeColor="text1"/>
          <w:sz w:val="24"/>
          <w:szCs w:val="24"/>
          <w:lang w:val="en-IE" w:eastAsia="hi-IN" w:bidi="hi-IN"/>
        </w:rPr>
        <w:t>do not engage with their privacy</w:t>
      </w:r>
      <w:r w:rsidR="00647B26">
        <w:rPr>
          <w:rFonts w:ascii="Times New Roman" w:hAnsi="Times New Roman" w:cs="Times New Roman"/>
          <w:color w:val="000000" w:themeColor="text1"/>
          <w:sz w:val="24"/>
          <w:szCs w:val="24"/>
          <w:lang w:val="en-IE" w:eastAsia="hi-IN" w:bidi="hi-IN"/>
        </w:rPr>
        <w:t>. Relevant findings are:</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r w:rsidRPr="00AC06E2">
        <w:rPr>
          <w:rFonts w:ascii="Times New Roman" w:hAnsi="Times New Roman" w:cs="Times New Roman"/>
          <w:color w:val="000000" w:themeColor="text1"/>
          <w:szCs w:val="24"/>
          <w:lang w:val="en-IE" w:eastAsia="hi-IN" w:bidi="hi-IN"/>
        </w:rPr>
        <w:t>33% of individuals surveyed indicat</w:t>
      </w:r>
      <w:r w:rsidR="00647B26">
        <w:rPr>
          <w:rFonts w:ascii="Times New Roman" w:hAnsi="Times New Roman" w:cs="Times New Roman"/>
          <w:color w:val="000000" w:themeColor="text1"/>
          <w:szCs w:val="24"/>
          <w:lang w:val="en-IE" w:eastAsia="hi-IN" w:bidi="hi-IN"/>
        </w:rPr>
        <w:t>ed</w:t>
      </w:r>
      <w:r w:rsidRPr="00AC06E2">
        <w:rPr>
          <w:rFonts w:ascii="Times New Roman" w:hAnsi="Times New Roman" w:cs="Times New Roman"/>
          <w:color w:val="000000" w:themeColor="text1"/>
          <w:szCs w:val="24"/>
          <w:lang w:val="en-IE" w:eastAsia="hi-IN" w:bidi="hi-IN"/>
        </w:rPr>
        <w:t xml:space="preserve"> they never read a privacy policy;</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r w:rsidRPr="00AC06E2">
        <w:rPr>
          <w:rFonts w:ascii="Times New Roman" w:hAnsi="Times New Roman" w:cs="Times New Roman"/>
          <w:color w:val="000000" w:themeColor="text1"/>
          <w:szCs w:val="24"/>
          <w:lang w:val="en-IE" w:eastAsia="hi-IN" w:bidi="hi-IN"/>
        </w:rPr>
        <w:t xml:space="preserve">67% of consumers signing up for policies did not feel comfortable as it was a pre-condition of accessing a service; </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proofErr w:type="gramStart"/>
      <w:r w:rsidRPr="00AC06E2">
        <w:rPr>
          <w:rFonts w:ascii="Times New Roman" w:hAnsi="Times New Roman" w:cs="Times New Roman"/>
          <w:color w:val="000000" w:themeColor="text1"/>
          <w:szCs w:val="24"/>
          <w:lang w:val="en-IE" w:eastAsia="hi-IN" w:bidi="hi-IN"/>
        </w:rPr>
        <w:t>the</w:t>
      </w:r>
      <w:proofErr w:type="gramEnd"/>
      <w:r w:rsidRPr="00AC06E2">
        <w:rPr>
          <w:rFonts w:ascii="Times New Roman" w:hAnsi="Times New Roman" w:cs="Times New Roman"/>
          <w:color w:val="000000" w:themeColor="text1"/>
          <w:szCs w:val="24"/>
          <w:lang w:val="en-IE" w:eastAsia="hi-IN" w:bidi="hi-IN"/>
        </w:rPr>
        <w:t xml:space="preserve"> vast majority of consumers </w:t>
      </w:r>
      <w:r w:rsidR="00647B26">
        <w:rPr>
          <w:rFonts w:ascii="Times New Roman" w:hAnsi="Times New Roman" w:cs="Times New Roman"/>
          <w:color w:val="000000" w:themeColor="text1"/>
          <w:szCs w:val="24"/>
          <w:lang w:val="en-IE" w:eastAsia="hi-IN" w:bidi="hi-IN"/>
        </w:rPr>
        <w:t xml:space="preserve">are </w:t>
      </w:r>
      <w:r w:rsidRPr="00AC06E2">
        <w:rPr>
          <w:rFonts w:ascii="Times New Roman" w:hAnsi="Times New Roman" w:cs="Times New Roman"/>
          <w:color w:val="000000" w:themeColor="text1"/>
          <w:szCs w:val="24"/>
          <w:lang w:val="en-IE" w:eastAsia="hi-IN" w:bidi="hi-IN"/>
        </w:rPr>
        <w:t>not comfortable with companies sharing their information for a variety of secondary purposes.</w:t>
      </w:r>
    </w:p>
    <w:p w:rsidR="00884E97" w:rsidRPr="00884E97" w:rsidRDefault="00884E97" w:rsidP="002E06C0">
      <w:pPr>
        <w:jc w:val="both"/>
        <w:rPr>
          <w:rFonts w:ascii="Times New Roman" w:hAnsi="Times New Roman" w:cs="Times New Roman"/>
          <w:sz w:val="24"/>
          <w:szCs w:val="24"/>
          <w:lang w:val="en-IE" w:eastAsia="hi-IN" w:bidi="hi-IN"/>
        </w:rPr>
      </w:pPr>
      <w:r w:rsidRPr="00C76CC9">
        <w:rPr>
          <w:rFonts w:ascii="Times New Roman" w:hAnsi="Times New Roman" w:cs="Times New Roman"/>
          <w:sz w:val="24"/>
          <w:szCs w:val="24"/>
          <w:lang w:val="en-IE" w:eastAsia="hi-IN" w:bidi="hi-IN"/>
        </w:rPr>
        <w:t xml:space="preserve">Despite significant discomfort and concern over engaging with their privacy, survey results indicate that consumers want their privacy dealt with fairly, and for government regulation to ensure that they can have better control over their privacy, through genuine consent and control </w:t>
      </w:r>
      <w:r w:rsidRPr="00C76CC9">
        <w:rPr>
          <w:rFonts w:ascii="Times New Roman" w:hAnsi="Times New Roman" w:cs="Times New Roman"/>
          <w:sz w:val="24"/>
        </w:rPr>
        <w:t>(</w:t>
      </w:r>
      <w:r>
        <w:rPr>
          <w:rFonts w:ascii="Times New Roman" w:hAnsi="Times New Roman" w:cs="Times New Roman"/>
          <w:sz w:val="24"/>
        </w:rPr>
        <w:t xml:space="preserve">CPRC </w:t>
      </w:r>
      <w:r w:rsidRPr="00C76CC9">
        <w:rPr>
          <w:rFonts w:ascii="Times New Roman" w:hAnsi="Times New Roman" w:cs="Times New Roman"/>
          <w:sz w:val="24"/>
        </w:rPr>
        <w:t>2018)</w:t>
      </w:r>
      <w:r w:rsidRPr="00C76CC9">
        <w:rPr>
          <w:rFonts w:ascii="Times New Roman" w:hAnsi="Times New Roman" w:cs="Times New Roman"/>
          <w:sz w:val="24"/>
          <w:szCs w:val="24"/>
          <w:lang w:val="en-IE" w:eastAsia="hi-IN" w:bidi="hi-IN"/>
        </w:rPr>
        <w:t xml:space="preserve">. </w:t>
      </w:r>
    </w:p>
    <w:p w:rsidR="00A752FD" w:rsidRDefault="00A752FD" w:rsidP="002E06C0">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In practice this would require consumers to unambiguously </w:t>
      </w:r>
      <w:r w:rsidR="00DE489D">
        <w:rPr>
          <w:rFonts w:ascii="Times New Roman" w:hAnsi="Times New Roman" w:cs="Times New Roman"/>
          <w:color w:val="000000" w:themeColor="text1"/>
          <w:sz w:val="24"/>
          <w:szCs w:val="24"/>
          <w:lang w:val="en-IE" w:eastAsia="hi-IN" w:bidi="hi-IN"/>
        </w:rPr>
        <w:t>or explicitly</w:t>
      </w:r>
      <w:r>
        <w:rPr>
          <w:rFonts w:ascii="Times New Roman" w:hAnsi="Times New Roman" w:cs="Times New Roman"/>
          <w:color w:val="000000" w:themeColor="text1"/>
          <w:sz w:val="24"/>
          <w:szCs w:val="24"/>
          <w:lang w:val="en-IE" w:eastAsia="hi-IN" w:bidi="hi-IN"/>
        </w:rPr>
        <w:t xml:space="preserve"> consent to the use of their information for nominated or specific purposes</w:t>
      </w:r>
      <w:r w:rsidR="00DE489D">
        <w:rPr>
          <w:rFonts w:ascii="Times New Roman" w:hAnsi="Times New Roman" w:cs="Times New Roman"/>
          <w:color w:val="000000" w:themeColor="text1"/>
          <w:sz w:val="24"/>
          <w:szCs w:val="24"/>
          <w:lang w:val="en-IE" w:eastAsia="hi-IN" w:bidi="hi-IN"/>
        </w:rPr>
        <w:t xml:space="preserve">, with a ban on alternative uses. It would also require consent to be unbundled from product or service offerings, with a ban on consumer information being a contractual requirement except where the information is essential to the provision of the service (e.g. insurance). </w:t>
      </w:r>
    </w:p>
    <w:p w:rsidR="00884E97" w:rsidRDefault="00DE489D" w:rsidP="002E06C0">
      <w:pPr>
        <w:jc w:val="both"/>
        <w:rPr>
          <w:rFonts w:ascii="Times New Roman" w:hAnsi="Times New Roman" w:cs="Times New Roman"/>
          <w:sz w:val="24"/>
          <w:szCs w:val="24"/>
          <w:lang w:val="en-IE" w:eastAsia="hi-IN" w:bidi="hi-IN"/>
        </w:rPr>
      </w:pPr>
      <w:r>
        <w:rPr>
          <w:rFonts w:ascii="Times New Roman" w:hAnsi="Times New Roman" w:cs="Times New Roman"/>
          <w:color w:val="000000" w:themeColor="text1"/>
          <w:sz w:val="24"/>
          <w:szCs w:val="24"/>
          <w:lang w:val="en-IE" w:eastAsia="hi-IN" w:bidi="hi-IN"/>
        </w:rPr>
        <w:t xml:space="preserve">Where consent is sought, businesses should be required to provide clear and easy to understand information so that consumers can readily engage with their privacy and be informed as to the extent of the consent and implications of consent. As part of this, </w:t>
      </w:r>
      <w:r w:rsidRPr="00C76CC9">
        <w:rPr>
          <w:rFonts w:ascii="Times New Roman" w:hAnsi="Times New Roman" w:cs="Times New Roman"/>
          <w:sz w:val="24"/>
          <w:szCs w:val="24"/>
          <w:lang w:val="en-IE" w:eastAsia="hi-IN" w:bidi="hi-IN"/>
        </w:rPr>
        <w:t xml:space="preserve">consent processes </w:t>
      </w:r>
      <w:r>
        <w:rPr>
          <w:rFonts w:ascii="Times New Roman" w:hAnsi="Times New Roman" w:cs="Times New Roman"/>
          <w:sz w:val="24"/>
          <w:szCs w:val="24"/>
          <w:lang w:val="en-IE" w:eastAsia="hi-IN" w:bidi="hi-IN"/>
        </w:rPr>
        <w:t xml:space="preserve">need </w:t>
      </w:r>
      <w:r w:rsidRPr="00C76CC9">
        <w:rPr>
          <w:rFonts w:ascii="Times New Roman" w:hAnsi="Times New Roman" w:cs="Times New Roman"/>
          <w:sz w:val="24"/>
          <w:szCs w:val="24"/>
          <w:lang w:val="en-IE" w:eastAsia="hi-IN" w:bidi="hi-IN"/>
        </w:rPr>
        <w:t xml:space="preserve">to be designed to preclude businesses from using complexity, to deter consumers from engagement to their detriment </w:t>
      </w:r>
      <w:r w:rsidRPr="00C76CC9">
        <w:rPr>
          <w:rFonts w:ascii="Times New Roman" w:hAnsi="Times New Roman" w:cs="Times New Roman"/>
          <w:sz w:val="24"/>
          <w:szCs w:val="24"/>
        </w:rPr>
        <w:t>(Ayres &amp; Schwartz 2014; Ben-</w:t>
      </w:r>
      <w:proofErr w:type="spellStart"/>
      <w:r w:rsidRPr="00C76CC9">
        <w:rPr>
          <w:rFonts w:ascii="Times New Roman" w:hAnsi="Times New Roman" w:cs="Times New Roman"/>
          <w:sz w:val="24"/>
          <w:szCs w:val="24"/>
        </w:rPr>
        <w:t>Shahar</w:t>
      </w:r>
      <w:proofErr w:type="spellEnd"/>
      <w:r w:rsidRPr="00C76CC9">
        <w:rPr>
          <w:rFonts w:ascii="Times New Roman" w:hAnsi="Times New Roman" w:cs="Times New Roman"/>
          <w:sz w:val="24"/>
          <w:szCs w:val="24"/>
        </w:rPr>
        <w:t xml:space="preserve"> 2009)</w:t>
      </w:r>
      <w:r w:rsidRPr="00C76CC9">
        <w:rPr>
          <w:rFonts w:ascii="Times New Roman" w:hAnsi="Times New Roman" w:cs="Times New Roman"/>
          <w:sz w:val="24"/>
          <w:szCs w:val="24"/>
          <w:lang w:val="en-IE" w:eastAsia="hi-IN" w:bidi="hi-IN"/>
        </w:rPr>
        <w:t xml:space="preserve">. </w:t>
      </w:r>
    </w:p>
    <w:p w:rsidR="00A339D0" w:rsidRPr="00A339D0" w:rsidRDefault="00DE489D" w:rsidP="002E06C0">
      <w:pPr>
        <w:jc w:val="both"/>
        <w:rPr>
          <w:rFonts w:ascii="Times New Roman" w:hAnsi="Times New Roman" w:cs="Times New Roman"/>
          <w:sz w:val="24"/>
          <w:szCs w:val="24"/>
          <w:lang w:val="en-IE" w:eastAsia="hi-IN" w:bidi="hi-IN"/>
        </w:rPr>
      </w:pPr>
      <w:r>
        <w:rPr>
          <w:rFonts w:ascii="Times New Roman" w:hAnsi="Times New Roman" w:cs="Times New Roman"/>
          <w:sz w:val="24"/>
          <w:szCs w:val="24"/>
          <w:lang w:val="en-IE" w:eastAsia="hi-IN" w:bidi="hi-IN"/>
        </w:rPr>
        <w:t>Consent should also be revocable</w:t>
      </w:r>
      <w:r w:rsidR="00EC036B">
        <w:rPr>
          <w:rFonts w:ascii="Times New Roman" w:hAnsi="Times New Roman" w:cs="Times New Roman"/>
          <w:sz w:val="24"/>
          <w:szCs w:val="24"/>
          <w:lang w:val="en-IE" w:eastAsia="hi-IN" w:bidi="hi-IN"/>
        </w:rPr>
        <w:t>. C</w:t>
      </w:r>
      <w:r>
        <w:rPr>
          <w:rFonts w:ascii="Times New Roman" w:hAnsi="Times New Roman" w:cs="Times New Roman"/>
          <w:sz w:val="24"/>
          <w:szCs w:val="24"/>
          <w:lang w:val="en-IE" w:eastAsia="hi-IN" w:bidi="hi-IN"/>
        </w:rPr>
        <w:t xml:space="preserve">onsumers should be able to withdraw their consent to the use or sharing of their data, by providing notice to firms of the withdrawal of their consent. </w:t>
      </w:r>
      <w:r w:rsidR="00A339D0">
        <w:rPr>
          <w:rFonts w:ascii="Times New Roman" w:hAnsi="Times New Roman" w:cs="Times New Roman"/>
          <w:sz w:val="24"/>
          <w:szCs w:val="24"/>
          <w:lang w:val="en-IE" w:eastAsia="hi-IN" w:bidi="hi-IN"/>
        </w:rPr>
        <w:t>Moreover consent should be freely given, and consumers’ should not be subjected to pressure to provide consent in order to access services.</w:t>
      </w:r>
    </w:p>
    <w:p w:rsidR="00A752FD" w:rsidRDefault="007451C2" w:rsidP="002E06C0">
      <w:pPr>
        <w:jc w:val="both"/>
        <w:rPr>
          <w:rFonts w:ascii="Times New Roman" w:hAnsi="Times New Roman" w:cs="Times New Roman"/>
          <w:color w:val="000000" w:themeColor="text1"/>
          <w:sz w:val="24"/>
          <w:szCs w:val="24"/>
          <w:lang w:val="en-IE" w:eastAsia="hi-IN" w:bidi="hi-IN"/>
        </w:rPr>
      </w:pPr>
      <w:r w:rsidRPr="007451C2">
        <w:rPr>
          <w:rFonts w:ascii="Times New Roman" w:hAnsi="Times New Roman" w:cs="Times New Roman"/>
          <w:color w:val="000000" w:themeColor="text1"/>
          <w:sz w:val="24"/>
          <w:szCs w:val="24"/>
          <w:lang w:val="en-IE" w:eastAsia="hi-IN" w:bidi="hi-IN"/>
        </w:rPr>
        <w:t xml:space="preserve">In order </w:t>
      </w:r>
      <w:r>
        <w:rPr>
          <w:rFonts w:ascii="Times New Roman" w:hAnsi="Times New Roman" w:cs="Times New Roman"/>
          <w:color w:val="000000" w:themeColor="text1"/>
          <w:sz w:val="24"/>
          <w:szCs w:val="24"/>
          <w:lang w:val="en-IE" w:eastAsia="hi-IN" w:bidi="hi-IN"/>
        </w:rPr>
        <w:t>for consumers to be adequately protected, and obtain benefits through the sharing of data</w:t>
      </w:r>
      <w:r w:rsidR="005E0640">
        <w:rPr>
          <w:rFonts w:ascii="Times New Roman" w:hAnsi="Times New Roman" w:cs="Times New Roman"/>
          <w:color w:val="000000" w:themeColor="text1"/>
          <w:sz w:val="24"/>
          <w:szCs w:val="24"/>
          <w:lang w:val="en-IE" w:eastAsia="hi-IN" w:bidi="hi-IN"/>
        </w:rPr>
        <w:t>,</w:t>
      </w:r>
      <w:r>
        <w:rPr>
          <w:rFonts w:ascii="Times New Roman" w:hAnsi="Times New Roman" w:cs="Times New Roman"/>
          <w:color w:val="000000" w:themeColor="text1"/>
          <w:sz w:val="24"/>
          <w:szCs w:val="24"/>
          <w:lang w:val="en-IE" w:eastAsia="hi-IN" w:bidi="hi-IN"/>
        </w:rPr>
        <w:t xml:space="preserve"> the process of giving consent must be commensurate with best practice. To this end, consumers should be in control of </w:t>
      </w:r>
      <w:r w:rsidR="00DE3564">
        <w:rPr>
          <w:rFonts w:ascii="Times New Roman" w:hAnsi="Times New Roman" w:cs="Times New Roman"/>
          <w:color w:val="000000" w:themeColor="text1"/>
          <w:sz w:val="24"/>
          <w:szCs w:val="24"/>
          <w:lang w:val="en-IE" w:eastAsia="hi-IN" w:bidi="hi-IN"/>
        </w:rPr>
        <w:t>their personal data.</w:t>
      </w:r>
      <w:r w:rsidR="005F5B26">
        <w:rPr>
          <w:rFonts w:ascii="Times New Roman" w:hAnsi="Times New Roman" w:cs="Times New Roman"/>
          <w:color w:val="000000" w:themeColor="text1"/>
          <w:sz w:val="24"/>
          <w:szCs w:val="24"/>
          <w:lang w:val="en-IE" w:eastAsia="hi-IN" w:bidi="hi-IN"/>
        </w:rPr>
        <w:t xml:space="preserve"> </w:t>
      </w:r>
      <w:r w:rsidR="002573DA">
        <w:rPr>
          <w:rFonts w:ascii="Times New Roman" w:hAnsi="Times New Roman" w:cs="Times New Roman"/>
          <w:color w:val="000000" w:themeColor="text1"/>
          <w:sz w:val="24"/>
          <w:szCs w:val="24"/>
          <w:lang w:val="en-IE" w:eastAsia="hi-IN" w:bidi="hi-IN"/>
        </w:rPr>
        <w:t xml:space="preserve">If consumers lose confidence in the management and protection of their data they are likely to disengage </w:t>
      </w:r>
      <w:r w:rsidR="00B11225">
        <w:rPr>
          <w:rFonts w:ascii="Times New Roman" w:hAnsi="Times New Roman" w:cs="Times New Roman"/>
          <w:color w:val="000000" w:themeColor="text1"/>
          <w:sz w:val="24"/>
          <w:szCs w:val="24"/>
          <w:lang w:val="en-IE" w:eastAsia="hi-IN" w:bidi="hi-IN"/>
        </w:rPr>
        <w:t>and the benefits of the CDR framework are likely to be lost.</w:t>
      </w:r>
    </w:p>
    <w:p w:rsidR="00B11225" w:rsidRPr="00B11225" w:rsidRDefault="00B11225" w:rsidP="00B11225">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Consent underpins the economics of the CDR</w:t>
      </w:r>
    </w:p>
    <w:p w:rsidR="007F4A60" w:rsidRDefault="006F1135" w:rsidP="00B92BDC">
      <w:pPr>
        <w:spacing w:after="0"/>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The fundamental economic basis of the proposed CDR framework rests on the principle that freely negotiated agreements made between parties only occur when it is to the benefit of both parties.</w:t>
      </w:r>
      <w:r w:rsidR="00304659">
        <w:rPr>
          <w:rFonts w:ascii="Times New Roman" w:hAnsi="Times New Roman" w:cs="Times New Roman"/>
          <w:color w:val="000000" w:themeColor="text1"/>
          <w:sz w:val="24"/>
          <w:szCs w:val="24"/>
          <w:lang w:val="en-IE" w:eastAsia="hi-IN" w:bidi="hi-IN"/>
        </w:rPr>
        <w:t xml:space="preserve"> </w:t>
      </w:r>
      <w:r w:rsidR="00004AD2">
        <w:rPr>
          <w:rFonts w:ascii="Times New Roman" w:hAnsi="Times New Roman" w:cs="Times New Roman"/>
          <w:color w:val="000000" w:themeColor="text1"/>
          <w:sz w:val="24"/>
          <w:szCs w:val="24"/>
          <w:lang w:val="en-IE" w:eastAsia="hi-IN" w:bidi="hi-IN"/>
        </w:rPr>
        <w:t xml:space="preserve">The core barrier to the development of mutually beneficial agreements is the existence of transaction costs – that is the costs associated </w:t>
      </w:r>
      <w:r w:rsidR="00004AD2" w:rsidRPr="007F4A60">
        <w:rPr>
          <w:rFonts w:ascii="Times New Roman" w:hAnsi="Times New Roman" w:cs="Times New Roman"/>
          <w:color w:val="000000" w:themeColor="text1"/>
          <w:sz w:val="24"/>
          <w:szCs w:val="24"/>
          <w:lang w:val="en-IE" w:eastAsia="hi-IN" w:bidi="hi-IN"/>
        </w:rPr>
        <w:t xml:space="preserve">with developing, making and enforcing agreements. </w:t>
      </w:r>
    </w:p>
    <w:p w:rsidR="008F601D" w:rsidRDefault="008F601D" w:rsidP="00B92BDC">
      <w:pPr>
        <w:spacing w:after="0"/>
        <w:jc w:val="both"/>
        <w:rPr>
          <w:rFonts w:ascii="Times New Roman" w:hAnsi="Times New Roman" w:cs="Times New Roman"/>
          <w:color w:val="000000" w:themeColor="text1"/>
          <w:sz w:val="24"/>
          <w:szCs w:val="24"/>
          <w:lang w:val="en-IE" w:eastAsia="hi-IN" w:bidi="hi-IN"/>
        </w:rPr>
      </w:pPr>
    </w:p>
    <w:p w:rsidR="00377BAB" w:rsidRDefault="003920BB" w:rsidP="00B92BDC">
      <w:pPr>
        <w:spacing w:after="0"/>
        <w:jc w:val="both"/>
        <w:rPr>
          <w:rFonts w:ascii="Times New Roman" w:hAnsi="Times New Roman" w:cs="Times New Roman"/>
          <w:color w:val="000000" w:themeColor="text1"/>
          <w:sz w:val="24"/>
          <w:szCs w:val="24"/>
          <w:lang w:val="en-IE" w:eastAsia="hi-IN" w:bidi="hi-IN"/>
        </w:rPr>
      </w:pPr>
      <w:r w:rsidRPr="007F4A60">
        <w:rPr>
          <w:rFonts w:ascii="Times New Roman" w:hAnsi="Times New Roman" w:cs="Times New Roman"/>
          <w:color w:val="000000" w:themeColor="text1"/>
          <w:sz w:val="24"/>
          <w:szCs w:val="24"/>
          <w:lang w:val="en-IE" w:eastAsia="hi-IN" w:bidi="hi-IN"/>
        </w:rPr>
        <w:t xml:space="preserve">The absence of </w:t>
      </w:r>
      <w:r w:rsidR="003C0E4F">
        <w:rPr>
          <w:rFonts w:ascii="Times New Roman" w:hAnsi="Times New Roman" w:cs="Times New Roman"/>
          <w:color w:val="000000" w:themeColor="text1"/>
          <w:sz w:val="24"/>
          <w:szCs w:val="24"/>
          <w:lang w:val="en-IE" w:eastAsia="hi-IN" w:bidi="hi-IN"/>
        </w:rPr>
        <w:t>genuine</w:t>
      </w:r>
      <w:r w:rsidRPr="007F4A60">
        <w:rPr>
          <w:rFonts w:ascii="Times New Roman" w:hAnsi="Times New Roman" w:cs="Times New Roman"/>
          <w:color w:val="000000" w:themeColor="text1"/>
          <w:sz w:val="24"/>
          <w:szCs w:val="24"/>
          <w:lang w:val="en-IE" w:eastAsia="hi-IN" w:bidi="hi-IN"/>
        </w:rPr>
        <w:t xml:space="preserve"> </w:t>
      </w:r>
      <w:r w:rsidR="00884E97" w:rsidRPr="007F4A60">
        <w:rPr>
          <w:rFonts w:ascii="Times New Roman" w:hAnsi="Times New Roman" w:cs="Times New Roman"/>
          <w:color w:val="000000" w:themeColor="text1"/>
          <w:sz w:val="24"/>
          <w:szCs w:val="24"/>
          <w:lang w:val="en-IE" w:eastAsia="hi-IN" w:bidi="hi-IN"/>
        </w:rPr>
        <w:t>consent</w:t>
      </w:r>
      <w:r w:rsidRPr="007F4A60">
        <w:rPr>
          <w:rFonts w:ascii="Times New Roman" w:hAnsi="Times New Roman" w:cs="Times New Roman"/>
          <w:color w:val="000000" w:themeColor="text1"/>
          <w:sz w:val="24"/>
          <w:szCs w:val="24"/>
          <w:lang w:val="en-IE" w:eastAsia="hi-IN" w:bidi="hi-IN"/>
        </w:rPr>
        <w:t xml:space="preserve"> undermines the </w:t>
      </w:r>
      <w:r w:rsidR="000D11A6" w:rsidRPr="007F4A60">
        <w:rPr>
          <w:rFonts w:ascii="Times New Roman" w:hAnsi="Times New Roman" w:cs="Times New Roman"/>
          <w:color w:val="000000" w:themeColor="text1"/>
          <w:sz w:val="24"/>
          <w:szCs w:val="24"/>
          <w:lang w:val="en-IE" w:eastAsia="hi-IN" w:bidi="hi-IN"/>
        </w:rPr>
        <w:t>fundamental</w:t>
      </w:r>
      <w:r w:rsidRPr="007F4A60">
        <w:rPr>
          <w:rFonts w:ascii="Times New Roman" w:hAnsi="Times New Roman" w:cs="Times New Roman"/>
          <w:color w:val="000000" w:themeColor="text1"/>
          <w:sz w:val="24"/>
          <w:szCs w:val="24"/>
          <w:lang w:val="en-IE" w:eastAsia="hi-IN" w:bidi="hi-IN"/>
        </w:rPr>
        <w:t xml:space="preserve"> economic premise of the proposed reform, and consequently without this core assumption being met, it is reasonable to conclude that </w:t>
      </w:r>
      <w:r w:rsidR="008F601D" w:rsidRPr="007F4A60">
        <w:rPr>
          <w:rFonts w:ascii="Times New Roman" w:hAnsi="Times New Roman" w:cs="Times New Roman"/>
          <w:color w:val="000000" w:themeColor="text1"/>
          <w:sz w:val="24"/>
          <w:szCs w:val="24"/>
          <w:lang w:val="en-IE" w:eastAsia="hi-IN" w:bidi="hi-IN"/>
        </w:rPr>
        <w:t xml:space="preserve">the </w:t>
      </w:r>
      <w:r w:rsidR="008F601D">
        <w:rPr>
          <w:rFonts w:ascii="Times New Roman" w:hAnsi="Times New Roman" w:cs="Times New Roman"/>
          <w:color w:val="000000" w:themeColor="text1"/>
          <w:sz w:val="24"/>
          <w:szCs w:val="24"/>
          <w:lang w:val="en-IE" w:eastAsia="hi-IN" w:bidi="hi-IN"/>
        </w:rPr>
        <w:t xml:space="preserve">expected </w:t>
      </w:r>
      <w:r w:rsidR="008F601D" w:rsidRPr="007F4A60">
        <w:rPr>
          <w:rFonts w:ascii="Times New Roman" w:hAnsi="Times New Roman" w:cs="Times New Roman"/>
          <w:color w:val="000000" w:themeColor="text1"/>
          <w:sz w:val="24"/>
          <w:szCs w:val="24"/>
          <w:lang w:val="en-IE" w:eastAsia="hi-IN" w:bidi="hi-IN"/>
        </w:rPr>
        <w:t>economic</w:t>
      </w:r>
      <w:r w:rsidRPr="007F4A60">
        <w:rPr>
          <w:rFonts w:ascii="Times New Roman" w:hAnsi="Times New Roman" w:cs="Times New Roman"/>
          <w:color w:val="000000" w:themeColor="text1"/>
          <w:sz w:val="24"/>
          <w:szCs w:val="24"/>
          <w:lang w:val="en-IE" w:eastAsia="hi-IN" w:bidi="hi-IN"/>
        </w:rPr>
        <w:t xml:space="preserve"> benefits will not flow.</w:t>
      </w:r>
    </w:p>
    <w:p w:rsidR="00B92BDC" w:rsidRDefault="00B92BDC" w:rsidP="00B92BDC">
      <w:pPr>
        <w:spacing w:after="0"/>
        <w:jc w:val="both"/>
        <w:rPr>
          <w:rFonts w:ascii="Times New Roman" w:hAnsi="Times New Roman" w:cs="Times New Roman"/>
          <w:color w:val="000000" w:themeColor="text1"/>
          <w:sz w:val="24"/>
          <w:szCs w:val="24"/>
          <w:lang w:val="en-IE" w:eastAsia="hi-IN" w:bidi="hi-IN"/>
        </w:rPr>
      </w:pPr>
    </w:p>
    <w:p w:rsidR="00EF74BD" w:rsidRDefault="00090FAF" w:rsidP="00B92BDC">
      <w:pPr>
        <w:spacing w:after="0"/>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The definition of </w:t>
      </w:r>
      <w:r w:rsidR="00884E97">
        <w:rPr>
          <w:rFonts w:ascii="Times New Roman" w:hAnsi="Times New Roman" w:cs="Times New Roman"/>
          <w:color w:val="000000" w:themeColor="text1"/>
          <w:sz w:val="24"/>
          <w:szCs w:val="24"/>
          <w:lang w:val="en-IE" w:eastAsia="hi-IN" w:bidi="hi-IN"/>
        </w:rPr>
        <w:t>consent</w:t>
      </w:r>
      <w:r>
        <w:rPr>
          <w:rFonts w:ascii="Times New Roman" w:hAnsi="Times New Roman" w:cs="Times New Roman"/>
          <w:color w:val="000000" w:themeColor="text1"/>
          <w:sz w:val="24"/>
          <w:szCs w:val="24"/>
          <w:lang w:val="en-IE" w:eastAsia="hi-IN" w:bidi="hi-IN"/>
        </w:rPr>
        <w:t xml:space="preserve"> is therefore essential to the operation of the proposed CDR framework, and accordingly a best practice definition should be adopted. </w:t>
      </w:r>
      <w:r w:rsidR="0059181C">
        <w:rPr>
          <w:rFonts w:ascii="Times New Roman" w:hAnsi="Times New Roman" w:cs="Times New Roman"/>
          <w:color w:val="000000" w:themeColor="text1"/>
          <w:sz w:val="24"/>
          <w:szCs w:val="24"/>
          <w:lang w:val="en-IE" w:eastAsia="hi-IN" w:bidi="hi-IN"/>
        </w:rPr>
        <w:t xml:space="preserve">In the absence of an appropriate definition of consent and substantive requirements surrounding the </w:t>
      </w:r>
      <w:r w:rsidR="00E3255D">
        <w:rPr>
          <w:rFonts w:ascii="Times New Roman" w:hAnsi="Times New Roman" w:cs="Times New Roman"/>
          <w:color w:val="000000" w:themeColor="text1"/>
          <w:sz w:val="24"/>
          <w:szCs w:val="24"/>
          <w:lang w:val="en-IE" w:eastAsia="hi-IN" w:bidi="hi-IN"/>
        </w:rPr>
        <w:t xml:space="preserve">way in which consumers may consent to the use, sharing and transfer of their data it is unlikely that the potential benefits of reform will be realised. </w:t>
      </w: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8832" behindDoc="0" locked="0" layoutInCell="1" allowOverlap="1" wp14:anchorId="503DE927" wp14:editId="08184C51">
                <wp:simplePos x="0" y="0"/>
                <wp:positionH relativeFrom="column">
                  <wp:posOffset>0</wp:posOffset>
                </wp:positionH>
                <wp:positionV relativeFrom="paragraph">
                  <wp:posOffset>63596</wp:posOffset>
                </wp:positionV>
                <wp:extent cx="5720080" cy="777922"/>
                <wp:effectExtent l="0" t="0" r="13970" b="22225"/>
                <wp:wrapNone/>
                <wp:docPr id="42" name="Text Box 42"/>
                <wp:cNvGraphicFramePr/>
                <a:graphic xmlns:a="http://schemas.openxmlformats.org/drawingml/2006/main">
                  <a:graphicData uri="http://schemas.microsoft.com/office/word/2010/wordprocessingShape">
                    <wps:wsp>
                      <wps:cNvSpPr txBox="1"/>
                      <wps:spPr>
                        <a:xfrm>
                          <a:off x="0" y="0"/>
                          <a:ext cx="5720080" cy="777922"/>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7" type="#_x0000_t202" style="position:absolute;left:0;text-align:left;margin-left:0;margin-top:5pt;width:450.4pt;height: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" fillcolor="window" strokecolor="#00b0f0" strokeweight=".5pt">
                <v:textbo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v:textbox>
              </v:shape>
            </w:pict>
          </mc:Fallback>
        </mc:AlternateContent>
      </w: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393A39" w:rsidRPr="00987F8E" w:rsidRDefault="00393A39" w:rsidP="00B92BDC">
      <w:pPr>
        <w:spacing w:before="100" w:beforeAutospacing="1" w:after="100" w:afterAutospacing="1" w:line="240" w:lineRule="auto"/>
        <w:jc w:val="both"/>
        <w:rPr>
          <w:rFonts w:ascii="Arial" w:eastAsiaTheme="minorEastAsia" w:hAnsi="Arial" w:cs="Arial"/>
          <w:b/>
          <w:sz w:val="32"/>
          <w:szCs w:val="32"/>
          <w:lang w:val="en-AU" w:eastAsia="en-AU"/>
        </w:rPr>
      </w:pPr>
      <w:r w:rsidRPr="00987F8E">
        <w:rPr>
          <w:rFonts w:ascii="Arial" w:eastAsiaTheme="minorEastAsia" w:hAnsi="Arial" w:cs="Arial"/>
          <w:b/>
          <w:sz w:val="32"/>
          <w:szCs w:val="32"/>
          <w:lang w:val="en-AU" w:eastAsia="en-AU"/>
        </w:rPr>
        <w:t xml:space="preserve">Transfer of data concerning consumer consents </w:t>
      </w:r>
    </w:p>
    <w:p w:rsidR="00393A39" w:rsidRDefault="00393A39" w:rsidP="00393A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ACCAN supports the implementation of measures that reduce the complexity of consumers engaging with their data and privacy. Accordingly we support the adoption of measures that would allow consumers to port their privacy preferences to potential service providers. As part of this process consumers should be reminded of their existing setting, as this may prove an effective nudge for greater consumer engagement in the management of their privacy.</w:t>
      </w:r>
    </w:p>
    <w:p w:rsidR="002966C7" w:rsidRPr="00B92BDC" w:rsidRDefault="00B92BDC" w:rsidP="00B92BDC">
      <w:pPr>
        <w:spacing w:before="100" w:beforeAutospacing="1" w:after="100" w:afterAutospacing="1" w:line="360" w:lineRule="auto"/>
        <w:jc w:val="both"/>
        <w:rPr>
          <w:rFonts w:ascii="Arial" w:eastAsiaTheme="minorEastAsia" w:hAnsi="Arial" w:cs="Arial"/>
          <w:b/>
          <w:sz w:val="32"/>
          <w:szCs w:val="32"/>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1728" behindDoc="0" locked="0" layoutInCell="1" allowOverlap="1" wp14:anchorId="7AB632F6" wp14:editId="5253F699">
                <wp:simplePos x="0" y="0"/>
                <wp:positionH relativeFrom="column">
                  <wp:posOffset>0</wp:posOffset>
                </wp:positionH>
                <wp:positionV relativeFrom="paragraph">
                  <wp:posOffset>20010</wp:posOffset>
                </wp:positionV>
                <wp:extent cx="5720080" cy="935665"/>
                <wp:effectExtent l="0" t="0" r="13970" b="17145"/>
                <wp:wrapNone/>
                <wp:docPr id="20" name="Text Box 20"/>
                <wp:cNvGraphicFramePr/>
                <a:graphic xmlns:a="http://schemas.openxmlformats.org/drawingml/2006/main">
                  <a:graphicData uri="http://schemas.microsoft.com/office/word/2010/wordprocessingShape">
                    <wps:wsp>
                      <wps:cNvSpPr txBox="1"/>
                      <wps:spPr>
                        <a:xfrm>
                          <a:off x="0" y="0"/>
                          <a:ext cx="5720080" cy="935665"/>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8" type="#_x0000_t202" style="position:absolute;left:0;text-align:left;margin-left:0;margin-top:1.6pt;width:450.4pt;height:7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" fillcolor="window" strokecolor="#00b0f0" strokeweight=".5pt">
                <v:textbo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v:textbox>
              </v:shape>
            </w:pict>
          </mc:Fallback>
        </mc:AlternateContent>
      </w:r>
    </w:p>
    <w:p w:rsidR="00D83F66" w:rsidRPr="004A7D2E" w:rsidRDefault="00D83F66" w:rsidP="004A7D2E">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6" w:name="_Toc524350291"/>
      <w:r>
        <w:rPr>
          <w:rFonts w:ascii="Calibri" w:eastAsia="Arial Unicode MS" w:hAnsi="Calibri" w:cs="font331"/>
          <w:bCs/>
          <w:kern w:val="1"/>
          <w:sz w:val="44"/>
          <w:szCs w:val="28"/>
          <w:lang w:val="en-IE" w:eastAsia="hi-IN" w:bidi="hi-IN"/>
        </w:rPr>
        <w:t>C</w:t>
      </w:r>
      <w:r w:rsidR="004A7D2E">
        <w:rPr>
          <w:rFonts w:ascii="Calibri" w:eastAsia="Arial Unicode MS" w:hAnsi="Calibri" w:cs="font331"/>
          <w:bCs/>
          <w:kern w:val="1"/>
          <w:sz w:val="44"/>
          <w:szCs w:val="28"/>
          <w:lang w:val="en-IE" w:eastAsia="hi-IN" w:bidi="hi-IN"/>
        </w:rPr>
        <w:t>ompetition</w:t>
      </w:r>
      <w:bookmarkEnd w:id="6"/>
    </w:p>
    <w:p w:rsidR="00303ECE" w:rsidRDefault="004A7D2E" w:rsidP="007F0558">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consumer data right has the potential to spur an increase in competition in the telecommunications market. However, alongside this potential to promote competition is the risk that leakages of data or theft may allow for data aggregators to support anti-competitive practices. </w:t>
      </w:r>
    </w:p>
    <w:p w:rsidR="00E40AF5" w:rsidRDefault="00303ECE" w:rsidP="00CB7501">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This section briefly examines the relationship between concentration and competition within the telecommunications sector, before moving on to potential risks</w:t>
      </w:r>
      <w:r w:rsidR="00CB7501">
        <w:rPr>
          <w:rFonts w:ascii="Times New Roman" w:eastAsia="Arial Unicode MS" w:hAnsi="Times New Roman" w:cs="Times New Roman"/>
          <w:sz w:val="24"/>
          <w:lang w:val="en-IE" w:eastAsia="en-AU" w:bidi="hi-IN"/>
        </w:rPr>
        <w:t xml:space="preserve"> and issues</w:t>
      </w:r>
      <w:r>
        <w:rPr>
          <w:rFonts w:ascii="Times New Roman" w:eastAsia="Arial Unicode MS" w:hAnsi="Times New Roman" w:cs="Times New Roman"/>
          <w:sz w:val="24"/>
          <w:lang w:val="en-IE" w:eastAsia="en-AU" w:bidi="hi-IN"/>
        </w:rPr>
        <w:t xml:space="preserve"> associated with the proposed consumer data right. </w:t>
      </w:r>
    </w:p>
    <w:p w:rsidR="00F6667D" w:rsidRPr="00F6667D" w:rsidRDefault="00F6667D" w:rsidP="00F6667D">
      <w:pPr>
        <w:spacing w:before="100" w:beforeAutospacing="1" w:after="100" w:afterAutospacing="1" w:line="240" w:lineRule="auto"/>
        <w:jc w:val="both"/>
        <w:rPr>
          <w:rFonts w:ascii="Times New Roman" w:eastAsiaTheme="minorEastAsia" w:hAnsi="Times New Roman" w:cs="Times New Roman"/>
          <w:sz w:val="24"/>
          <w:lang w:val="en-AU"/>
        </w:rPr>
      </w:pPr>
      <w:r>
        <w:rPr>
          <w:rFonts w:ascii="Arial" w:eastAsiaTheme="minorEastAsia" w:hAnsi="Arial" w:cs="Arial"/>
          <w:b/>
          <w:sz w:val="32"/>
          <w:szCs w:val="32"/>
          <w:lang w:val="en-AU" w:eastAsia="en-AU"/>
        </w:rPr>
        <w:t>Price discrimination</w:t>
      </w:r>
    </w:p>
    <w:p w:rsidR="00974AA3" w:rsidRDefault="00F77FC6" w:rsidP="006C0E3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leak of consumer data right information in sufficient quantities would allow for the detailed profiling of consumer groups</w:t>
      </w:r>
      <w:r w:rsidR="005F1F18">
        <w:rPr>
          <w:rFonts w:ascii="Times New Roman" w:eastAsiaTheme="minorEastAsia" w:hAnsi="Times New Roman" w:cs="Times New Roman"/>
          <w:sz w:val="24"/>
          <w:szCs w:val="24"/>
          <w:lang w:val="en-AU" w:eastAsia="en-AU"/>
        </w:rPr>
        <w:t xml:space="preserve">. </w:t>
      </w:r>
      <w:r w:rsidR="005416A5">
        <w:rPr>
          <w:rFonts w:ascii="Times New Roman" w:eastAsiaTheme="minorEastAsia" w:hAnsi="Times New Roman" w:cs="Times New Roman"/>
          <w:sz w:val="24"/>
          <w:szCs w:val="24"/>
          <w:lang w:val="en-AU" w:eastAsia="en-AU"/>
        </w:rPr>
        <w:t xml:space="preserve">As a </w:t>
      </w:r>
      <w:r w:rsidR="00D21DDA">
        <w:rPr>
          <w:rFonts w:ascii="Times New Roman" w:eastAsiaTheme="minorEastAsia" w:hAnsi="Times New Roman" w:cs="Times New Roman"/>
          <w:sz w:val="24"/>
          <w:szCs w:val="24"/>
          <w:lang w:val="en-AU" w:eastAsia="en-AU"/>
        </w:rPr>
        <w:t>consequence,</w:t>
      </w:r>
      <w:r w:rsidR="005416A5">
        <w:rPr>
          <w:rFonts w:ascii="Times New Roman" w:eastAsiaTheme="minorEastAsia" w:hAnsi="Times New Roman" w:cs="Times New Roman"/>
          <w:sz w:val="24"/>
          <w:szCs w:val="24"/>
          <w:lang w:val="en-AU" w:eastAsia="en-AU"/>
        </w:rPr>
        <w:t xml:space="preserve"> there is</w:t>
      </w:r>
      <w:r w:rsidR="008B5865">
        <w:rPr>
          <w:rFonts w:ascii="Times New Roman" w:eastAsiaTheme="minorEastAsia" w:hAnsi="Times New Roman" w:cs="Times New Roman"/>
          <w:sz w:val="24"/>
          <w:szCs w:val="24"/>
          <w:lang w:val="en-AU" w:eastAsia="en-AU"/>
        </w:rPr>
        <w:t xml:space="preserve"> the prospect that for many consumers currently purchasing services at prices below their maximum willingness to pay</w:t>
      </w:r>
      <w:r w:rsidR="00327A98">
        <w:rPr>
          <w:rFonts w:ascii="Times New Roman" w:eastAsiaTheme="minorEastAsia" w:hAnsi="Times New Roman" w:cs="Times New Roman"/>
          <w:sz w:val="24"/>
          <w:szCs w:val="24"/>
          <w:lang w:val="en-AU" w:eastAsia="en-AU"/>
        </w:rPr>
        <w:t xml:space="preserve"> </w:t>
      </w:r>
      <w:r w:rsidR="008B5865">
        <w:rPr>
          <w:rFonts w:ascii="Times New Roman" w:eastAsiaTheme="minorEastAsia" w:hAnsi="Times New Roman" w:cs="Times New Roman"/>
          <w:sz w:val="24"/>
          <w:szCs w:val="24"/>
          <w:lang w:val="en-AU" w:eastAsia="en-AU"/>
        </w:rPr>
        <w:t xml:space="preserve">will face increases in the prices that they face. </w:t>
      </w:r>
    </w:p>
    <w:p w:rsidR="00C00E81" w:rsidRDefault="00C00E81"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Price discrimination, in and of itself </w:t>
      </w:r>
      <w:r w:rsidR="00E15E43">
        <w:rPr>
          <w:rFonts w:ascii="Times New Roman" w:hAnsi="Times New Roman" w:cs="Times New Roman"/>
          <w:color w:val="000000" w:themeColor="text1"/>
          <w:sz w:val="24"/>
          <w:szCs w:val="24"/>
        </w:rPr>
        <w:t>may lead</w:t>
      </w:r>
      <w:r>
        <w:rPr>
          <w:rFonts w:ascii="Times New Roman" w:hAnsi="Times New Roman" w:cs="Times New Roman"/>
          <w:color w:val="000000" w:themeColor="text1"/>
          <w:sz w:val="24"/>
          <w:szCs w:val="24"/>
        </w:rPr>
        <w:t xml:space="preserve"> to improvements in total welfare if, and only if it increases total output – that is, services are offered that match the needs of underserved groups </w:t>
      </w:r>
      <w:r w:rsidR="009039AD" w:rsidRPr="00513F6C">
        <w:rPr>
          <w:rFonts w:ascii="Times New Roman" w:hAnsi="Times New Roman" w:cs="Times New Roman"/>
          <w:sz w:val="24"/>
        </w:rPr>
        <w:t>(</w:t>
      </w:r>
      <w:proofErr w:type="spellStart"/>
      <w:r w:rsidR="009039AD" w:rsidRPr="00513F6C">
        <w:rPr>
          <w:rFonts w:ascii="Times New Roman" w:hAnsi="Times New Roman" w:cs="Times New Roman"/>
          <w:sz w:val="24"/>
        </w:rPr>
        <w:t>Schmalensee</w:t>
      </w:r>
      <w:proofErr w:type="spellEnd"/>
      <w:r w:rsidR="009039AD" w:rsidRPr="00513F6C">
        <w:rPr>
          <w:rFonts w:ascii="Times New Roman" w:hAnsi="Times New Roman" w:cs="Times New Roman"/>
          <w:sz w:val="24"/>
        </w:rPr>
        <w:t xml:space="preserve"> 1981; Varian 1985, p.2)</w:t>
      </w:r>
      <w:r>
        <w:rPr>
          <w:rFonts w:ascii="Times New Roman" w:hAnsi="Times New Roman" w:cs="Times New Roman"/>
          <w:color w:val="000000" w:themeColor="text1"/>
          <w:sz w:val="24"/>
          <w:szCs w:val="24"/>
        </w:rPr>
        <w:t>. ACCAN has concerns</w:t>
      </w:r>
      <w:r w:rsidR="005E06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however, that models of price discrimination may be developed, not with a view to providing services to underserved consumers (that is the marginal consumer) but rather to extract maximum rents from all consumers.</w:t>
      </w:r>
    </w:p>
    <w:p w:rsidR="00452F0D" w:rsidRDefault="00452F0D"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consumers, price discrimination may be subtle, targeted to vulnerable groups, or across the</w:t>
      </w:r>
      <w:r w:rsidR="008C26C4">
        <w:rPr>
          <w:rFonts w:ascii="Times New Roman" w:hAnsi="Times New Roman" w:cs="Times New Roman"/>
          <w:color w:val="000000" w:themeColor="text1"/>
          <w:sz w:val="24"/>
          <w:szCs w:val="24"/>
        </w:rPr>
        <w:t xml:space="preserve"> general consumer</w:t>
      </w:r>
      <w:r>
        <w:rPr>
          <w:rFonts w:ascii="Times New Roman" w:hAnsi="Times New Roman" w:cs="Times New Roman"/>
          <w:color w:val="000000" w:themeColor="text1"/>
          <w:sz w:val="24"/>
          <w:szCs w:val="24"/>
        </w:rPr>
        <w:t xml:space="preserve"> population (e.g. through the offering of below average discounts to individuals in wealthier postcodes, or whether an individual is at pension age). The data requirements for refined discrimination models are significant, and although some discrimination is likely to be present within the marketplace, increases in the total volume of data being shared increases the scope for price discrimination. </w:t>
      </w:r>
    </w:p>
    <w:p w:rsidR="00452F0D" w:rsidRDefault="00452F0D"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price discrimination occurs there is the potential for exploitation to occur. Price discrimination may net significant gains to business, to the material detriment of consumers who may see either reduced savings or increases in prices for services. If these changes occur incrementally (e.g. 0.25% increase every quarter), many consumers may not notice or indeed </w:t>
      </w:r>
      <w:proofErr w:type="spellStart"/>
      <w:r>
        <w:rPr>
          <w:rFonts w:ascii="Times New Roman" w:hAnsi="Times New Roman" w:cs="Times New Roman"/>
          <w:color w:val="000000" w:themeColor="text1"/>
          <w:sz w:val="24"/>
          <w:szCs w:val="24"/>
        </w:rPr>
        <w:t>realise</w:t>
      </w:r>
      <w:proofErr w:type="spellEnd"/>
      <w:r>
        <w:rPr>
          <w:rFonts w:ascii="Times New Roman" w:hAnsi="Times New Roman" w:cs="Times New Roman"/>
          <w:color w:val="000000" w:themeColor="text1"/>
          <w:sz w:val="24"/>
          <w:szCs w:val="24"/>
        </w:rPr>
        <w:t xml:space="preserve"> the losses that they are facing.</w:t>
      </w:r>
    </w:p>
    <w:p w:rsidR="00B31249" w:rsidRPr="00B31249" w:rsidRDefault="00B31249" w:rsidP="006C0E3E">
      <w:pPr>
        <w:spacing w:before="100" w:beforeAutospacing="1" w:after="100" w:afterAutospacing="1"/>
        <w:jc w:val="both"/>
        <w:rPr>
          <w:rFonts w:ascii="Times New Roman" w:eastAsiaTheme="minorEastAsia" w:hAnsi="Times New Roman" w:cs="Times New Roman"/>
          <w:sz w:val="24"/>
          <w:szCs w:val="24"/>
          <w:lang w:val="en-AU" w:eastAsia="en-AU"/>
        </w:rPr>
      </w:pPr>
      <w:r w:rsidRPr="00B31249">
        <w:rPr>
          <w:rFonts w:ascii="Times New Roman" w:eastAsiaTheme="minorEastAsia" w:hAnsi="Times New Roman" w:cs="Times New Roman"/>
          <w:sz w:val="24"/>
          <w:szCs w:val="24"/>
          <w:lang w:val="en-AU" w:eastAsia="en-AU"/>
        </w:rPr>
        <w:t xml:space="preserve">Price discrimination can only occur when three conditions are met </w:t>
      </w:r>
      <w:r w:rsidRPr="00B31249">
        <w:rPr>
          <w:rFonts w:ascii="Times New Roman" w:hAnsi="Times New Roman" w:cs="Times New Roman"/>
          <w:sz w:val="24"/>
        </w:rPr>
        <w:t>(Varian 1989, p. 1-2)</w:t>
      </w:r>
      <w:r w:rsidRPr="00B31249">
        <w:rPr>
          <w:rFonts w:ascii="Times New Roman" w:eastAsiaTheme="minorEastAsia" w:hAnsi="Times New Roman" w:cs="Times New Roman"/>
          <w:sz w:val="24"/>
          <w:szCs w:val="24"/>
          <w:lang w:val="en-AU" w:eastAsia="en-AU"/>
        </w:rPr>
        <w:t xml:space="preserve">: </w:t>
      </w:r>
    </w:p>
    <w:p w:rsidR="00B31249" w:rsidRPr="00B31249"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has market power</w:t>
      </w:r>
      <w:r w:rsidR="00BB6950">
        <w:rPr>
          <w:rFonts w:ascii="Times New Roman" w:eastAsiaTheme="minorEastAsia" w:hAnsi="Times New Roman" w:cs="Times New Roman"/>
          <w:szCs w:val="24"/>
          <w:lang w:eastAsia="en-AU"/>
        </w:rPr>
        <w:t>;</w:t>
      </w:r>
      <w:r w:rsidRPr="00B31249">
        <w:rPr>
          <w:rFonts w:ascii="Times New Roman" w:eastAsiaTheme="minorEastAsia" w:hAnsi="Times New Roman" w:cs="Times New Roman"/>
          <w:szCs w:val="24"/>
          <w:lang w:eastAsia="en-AU"/>
        </w:rPr>
        <w:t xml:space="preserve"> </w:t>
      </w:r>
    </w:p>
    <w:p w:rsidR="00B31249" w:rsidRPr="00B31249"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has the ability to sort consumers;</w:t>
      </w:r>
    </w:p>
    <w:p w:rsidR="00C00E81" w:rsidRPr="00C00E81"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must be able to prevent resale.</w:t>
      </w:r>
    </w:p>
    <w:p w:rsidR="007444A3" w:rsidRDefault="00BB6950" w:rsidP="00B31249">
      <w:pPr>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lang w:eastAsia="en-AU"/>
        </w:rPr>
        <w:t>The sectors identified as priorities for implementation of the CDR framework, are characterized by high levels of concentration, and rates of return in excess of normal market levels</w:t>
      </w:r>
      <w:r w:rsidRPr="00551903">
        <w:rPr>
          <w:rFonts w:ascii="Times New Roman" w:hAnsi="Times New Roman" w:cs="Times New Roman"/>
          <w:color w:val="000000" w:themeColor="text1"/>
          <w:sz w:val="24"/>
          <w:szCs w:val="24"/>
        </w:rPr>
        <w:t xml:space="preserve"> (Grattan 2017, p. 31)</w:t>
      </w:r>
      <w:r>
        <w:rPr>
          <w:rFonts w:ascii="Times New Roman" w:hAnsi="Times New Roman" w:cs="Times New Roman"/>
          <w:color w:val="000000" w:themeColor="text1"/>
          <w:sz w:val="24"/>
          <w:szCs w:val="24"/>
        </w:rPr>
        <w:t>, which is common among markets with significant scale and network economies</w:t>
      </w:r>
      <w:r w:rsidRPr="005519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These characteristics are consistent with some element of market power, and the telecommunications and energy markets could reasonably be described as having oligopolistic competition.</w:t>
      </w:r>
    </w:p>
    <w:p w:rsidR="001B1798" w:rsidRDefault="001B1798"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financial </w:t>
      </w:r>
      <w:r w:rsidR="00BA744A">
        <w:rPr>
          <w:rFonts w:ascii="Times New Roman" w:hAnsi="Times New Roman" w:cs="Times New Roman"/>
          <w:color w:val="000000" w:themeColor="text1"/>
          <w:sz w:val="24"/>
          <w:szCs w:val="24"/>
        </w:rPr>
        <w:t>services</w:t>
      </w:r>
      <w:r>
        <w:rPr>
          <w:rFonts w:ascii="Times New Roman" w:hAnsi="Times New Roman" w:cs="Times New Roman"/>
          <w:color w:val="000000" w:themeColor="text1"/>
          <w:sz w:val="24"/>
          <w:szCs w:val="24"/>
        </w:rPr>
        <w:t xml:space="preserve"> sector is characterized by low levels of competition, oligopolistic market structures and a tendency for firms to avoid intense price competi</w:t>
      </w:r>
      <w:r w:rsidR="00905726">
        <w:rPr>
          <w:rFonts w:ascii="Times New Roman" w:hAnsi="Times New Roman" w:cs="Times New Roman"/>
          <w:color w:val="000000" w:themeColor="text1"/>
          <w:sz w:val="24"/>
          <w:szCs w:val="24"/>
        </w:rPr>
        <w:t>tion in order to enhance profitability</w:t>
      </w:r>
      <w:r>
        <w:rPr>
          <w:rFonts w:ascii="Times New Roman" w:hAnsi="Times New Roman" w:cs="Times New Roman"/>
          <w:color w:val="000000" w:themeColor="text1"/>
          <w:sz w:val="24"/>
          <w:szCs w:val="24"/>
        </w:rPr>
        <w:t xml:space="preserve">. </w:t>
      </w:r>
      <w:r w:rsidR="00C70D97">
        <w:rPr>
          <w:rFonts w:ascii="Times New Roman" w:hAnsi="Times New Roman" w:cs="Times New Roman"/>
          <w:color w:val="000000" w:themeColor="text1"/>
          <w:sz w:val="24"/>
          <w:szCs w:val="24"/>
        </w:rPr>
        <w:t>This has resulted in firms set</w:t>
      </w:r>
      <w:r w:rsidR="00113C2C">
        <w:rPr>
          <w:rFonts w:ascii="Times New Roman" w:hAnsi="Times New Roman" w:cs="Times New Roman"/>
          <w:color w:val="000000" w:themeColor="text1"/>
          <w:sz w:val="24"/>
          <w:szCs w:val="24"/>
        </w:rPr>
        <w:t>ting</w:t>
      </w:r>
      <w:r w:rsidR="00C70D97">
        <w:rPr>
          <w:rFonts w:ascii="Times New Roman" w:hAnsi="Times New Roman" w:cs="Times New Roman"/>
          <w:color w:val="000000" w:themeColor="text1"/>
          <w:sz w:val="24"/>
          <w:szCs w:val="24"/>
        </w:rPr>
        <w:t xml:space="preserve"> prices at similar levels or cluster, in order to maximize their potential margins </w:t>
      </w:r>
      <w:r w:rsidR="00713F4D">
        <w:rPr>
          <w:rFonts w:ascii="Times New Roman" w:hAnsi="Times New Roman" w:cs="Times New Roman"/>
          <w:noProof/>
          <w:color w:val="000000" w:themeColor="text1"/>
          <w:sz w:val="24"/>
          <w:szCs w:val="24"/>
        </w:rPr>
        <w:t>(PC 2018, p. 8)</w:t>
      </w:r>
      <w:r w:rsidR="00713F4D">
        <w:rPr>
          <w:rFonts w:ascii="Times New Roman" w:hAnsi="Times New Roman" w:cs="Times New Roman"/>
          <w:color w:val="000000" w:themeColor="text1"/>
          <w:sz w:val="24"/>
          <w:szCs w:val="24"/>
        </w:rPr>
        <w:t xml:space="preserve">, rather than seek to attract new customers through aggressive discounting. </w:t>
      </w:r>
    </w:p>
    <w:p w:rsidR="00320DDA" w:rsidRDefault="00AF4522"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noted by the Productivity Commission, this type of behavior is reflective of the major banks having </w:t>
      </w:r>
      <w:r w:rsidR="00DF29C4">
        <w:rPr>
          <w:rFonts w:ascii="Times New Roman" w:hAnsi="Times New Roman" w:cs="Times New Roman"/>
          <w:color w:val="000000" w:themeColor="text1"/>
          <w:sz w:val="24"/>
          <w:szCs w:val="24"/>
        </w:rPr>
        <w:t>market</w:t>
      </w:r>
      <w:r>
        <w:rPr>
          <w:rFonts w:ascii="Times New Roman" w:hAnsi="Times New Roman" w:cs="Times New Roman"/>
          <w:color w:val="000000" w:themeColor="text1"/>
          <w:sz w:val="24"/>
          <w:szCs w:val="24"/>
        </w:rPr>
        <w:t xml:space="preserve"> power</w:t>
      </w:r>
      <w:r w:rsidR="0003406C">
        <w:rPr>
          <w:rFonts w:ascii="Times New Roman" w:hAnsi="Times New Roman" w:cs="Times New Roman"/>
          <w:color w:val="000000" w:themeColor="text1"/>
          <w:sz w:val="24"/>
          <w:szCs w:val="24"/>
        </w:rPr>
        <w:t xml:space="preserve"> (2018, p. 9)</w:t>
      </w:r>
      <w:r>
        <w:rPr>
          <w:rFonts w:ascii="Times New Roman" w:hAnsi="Times New Roman" w:cs="Times New Roman"/>
          <w:color w:val="000000" w:themeColor="text1"/>
          <w:sz w:val="24"/>
          <w:szCs w:val="24"/>
        </w:rPr>
        <w:t>, and therefor</w:t>
      </w:r>
      <w:r w:rsidR="00CC537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the ability to set prices. Such conduct, indicates an uncompetitive marketplace and that a precondition for price discrimination is met in the largest market identified for reform.</w:t>
      </w:r>
    </w:p>
    <w:p w:rsidR="006E38DE" w:rsidRDefault="009C5ECB"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for major banks to increase their overall revenue through discounting, the ACCC concluded that there would need to be a significant expansion in the number of loans offered (2018, p. 12). This indicates that the price-quantity trade-off is such that any reduction in </w:t>
      </w:r>
      <w:r w:rsidR="00615A5B">
        <w:rPr>
          <w:rFonts w:ascii="Times New Roman" w:hAnsi="Times New Roman" w:cs="Times New Roman"/>
          <w:color w:val="000000" w:themeColor="text1"/>
          <w:sz w:val="24"/>
          <w:szCs w:val="24"/>
        </w:rPr>
        <w:t>price</w:t>
      </w:r>
      <w:r>
        <w:rPr>
          <w:rFonts w:ascii="Times New Roman" w:hAnsi="Times New Roman" w:cs="Times New Roman"/>
          <w:color w:val="000000" w:themeColor="text1"/>
          <w:sz w:val="24"/>
          <w:szCs w:val="24"/>
        </w:rPr>
        <w:t xml:space="preserve"> i</w:t>
      </w:r>
      <w:r w:rsidR="00EC7F6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not offset by a sufficient </w:t>
      </w:r>
      <w:r w:rsidR="006E38DE">
        <w:rPr>
          <w:rFonts w:ascii="Times New Roman" w:hAnsi="Times New Roman" w:cs="Times New Roman"/>
          <w:color w:val="000000" w:themeColor="text1"/>
          <w:sz w:val="24"/>
          <w:szCs w:val="24"/>
        </w:rPr>
        <w:t>increase in quantity of customers.</w:t>
      </w:r>
    </w:p>
    <w:p w:rsidR="00F872BB" w:rsidRPr="00DA4E07" w:rsidRDefault="006E38DE" w:rsidP="00B31249">
      <w:pPr>
        <w:jc w:val="both"/>
        <w:rPr>
          <w:rFonts w:ascii="Times New Roman" w:hAnsi="Times New Roman" w:cs="Times New Roman"/>
          <w:color w:val="000000" w:themeColor="text1"/>
          <w:sz w:val="24"/>
          <w:szCs w:val="24"/>
        </w:rPr>
      </w:pPr>
      <w:r w:rsidRPr="00DA4E07">
        <w:rPr>
          <w:rFonts w:ascii="Times New Roman" w:hAnsi="Times New Roman" w:cs="Times New Roman"/>
          <w:color w:val="000000" w:themeColor="text1"/>
          <w:sz w:val="24"/>
          <w:szCs w:val="24"/>
        </w:rPr>
        <w:t xml:space="preserve">In the banking and financial services context, this means that </w:t>
      </w:r>
      <w:r w:rsidR="00DA4E07" w:rsidRPr="00DA4E07">
        <w:rPr>
          <w:rFonts w:ascii="Times New Roman" w:hAnsi="Times New Roman" w:cs="Times New Roman"/>
          <w:color w:val="000000" w:themeColor="text1"/>
          <w:sz w:val="24"/>
          <w:szCs w:val="24"/>
        </w:rPr>
        <w:t>the</w:t>
      </w:r>
      <w:r w:rsidR="00F872BB" w:rsidRPr="00DA4E07">
        <w:rPr>
          <w:rFonts w:ascii="Times New Roman" w:hAnsi="Times New Roman" w:cs="Times New Roman"/>
          <w:color w:val="000000" w:themeColor="text1"/>
          <w:sz w:val="24"/>
          <w:szCs w:val="24"/>
        </w:rPr>
        <w:t xml:space="preserve"> fundamental criterion</w:t>
      </w:r>
      <w:r w:rsidRPr="00DA4E07">
        <w:rPr>
          <w:rFonts w:ascii="Times New Roman" w:hAnsi="Times New Roman" w:cs="Times New Roman"/>
          <w:color w:val="000000" w:themeColor="text1"/>
          <w:sz w:val="24"/>
          <w:szCs w:val="24"/>
        </w:rPr>
        <w:t xml:space="preserve"> for the</w:t>
      </w:r>
      <w:r w:rsidR="00EC7F6A">
        <w:rPr>
          <w:rFonts w:ascii="Times New Roman" w:hAnsi="Times New Roman" w:cs="Times New Roman"/>
          <w:color w:val="000000" w:themeColor="text1"/>
          <w:sz w:val="24"/>
          <w:szCs w:val="24"/>
        </w:rPr>
        <w:t>re</w:t>
      </w:r>
      <w:r w:rsidRPr="00DA4E07">
        <w:rPr>
          <w:rFonts w:ascii="Times New Roman" w:hAnsi="Times New Roman" w:cs="Times New Roman"/>
          <w:color w:val="000000" w:themeColor="text1"/>
          <w:sz w:val="24"/>
          <w:szCs w:val="24"/>
        </w:rPr>
        <w:t xml:space="preserve"> being an increase in welfare as a result of </w:t>
      </w:r>
      <w:r w:rsidR="00DA4E07" w:rsidRPr="00DA4E07">
        <w:rPr>
          <w:rFonts w:ascii="Times New Roman" w:hAnsi="Times New Roman" w:cs="Times New Roman"/>
          <w:color w:val="000000" w:themeColor="text1"/>
          <w:sz w:val="24"/>
          <w:szCs w:val="24"/>
        </w:rPr>
        <w:t>price discrim</w:t>
      </w:r>
      <w:r w:rsidR="00DA4E07">
        <w:rPr>
          <w:rFonts w:ascii="Times New Roman" w:hAnsi="Times New Roman" w:cs="Times New Roman"/>
          <w:color w:val="000000" w:themeColor="text1"/>
          <w:sz w:val="24"/>
          <w:szCs w:val="24"/>
        </w:rPr>
        <w:t>in</w:t>
      </w:r>
      <w:r w:rsidR="00DA4E07" w:rsidRPr="00DA4E07">
        <w:rPr>
          <w:rFonts w:ascii="Times New Roman" w:hAnsi="Times New Roman" w:cs="Times New Roman"/>
          <w:color w:val="000000" w:themeColor="text1"/>
          <w:sz w:val="24"/>
          <w:szCs w:val="24"/>
        </w:rPr>
        <w:t xml:space="preserve">ation – that such discrimination increases total output to underserved groups, cannot be met </w:t>
      </w:r>
      <w:r w:rsidR="00F872BB" w:rsidRPr="00DA4E07">
        <w:rPr>
          <w:rFonts w:ascii="Times New Roman" w:hAnsi="Times New Roman" w:cs="Times New Roman"/>
          <w:color w:val="000000" w:themeColor="text1"/>
          <w:sz w:val="24"/>
        </w:rPr>
        <w:t>(</w:t>
      </w:r>
      <w:proofErr w:type="spellStart"/>
      <w:r w:rsidR="00F872BB" w:rsidRPr="00DA4E07">
        <w:rPr>
          <w:rFonts w:ascii="Times New Roman" w:hAnsi="Times New Roman" w:cs="Times New Roman"/>
          <w:color w:val="000000" w:themeColor="text1"/>
          <w:sz w:val="24"/>
        </w:rPr>
        <w:t>Schmalensee</w:t>
      </w:r>
      <w:proofErr w:type="spellEnd"/>
      <w:r w:rsidR="00F872BB" w:rsidRPr="00DA4E07">
        <w:rPr>
          <w:rFonts w:ascii="Times New Roman" w:hAnsi="Times New Roman" w:cs="Times New Roman"/>
          <w:color w:val="000000" w:themeColor="text1"/>
          <w:sz w:val="24"/>
        </w:rPr>
        <w:t xml:space="preserve"> 1981; Varian 1985, p.2)</w:t>
      </w:r>
      <w:r w:rsidR="00DA4E07" w:rsidRPr="00DA4E07">
        <w:rPr>
          <w:rFonts w:ascii="Times New Roman" w:hAnsi="Times New Roman" w:cs="Times New Roman"/>
          <w:color w:val="000000" w:themeColor="text1"/>
          <w:sz w:val="24"/>
          <w:szCs w:val="24"/>
        </w:rPr>
        <w:t>.</w:t>
      </w:r>
      <w:r w:rsidR="00DF29C4">
        <w:rPr>
          <w:rFonts w:ascii="Times New Roman" w:hAnsi="Times New Roman" w:cs="Times New Roman"/>
          <w:color w:val="000000" w:themeColor="text1"/>
          <w:sz w:val="24"/>
          <w:szCs w:val="24"/>
        </w:rPr>
        <w:t xml:space="preserve"> </w:t>
      </w:r>
    </w:p>
    <w:p w:rsidR="00441209" w:rsidRDefault="00441209"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major banks can constrain resale through contractual provisions and have the ability to sort customers to some extent, it is feasible for welfare reducing price discrimination to occur. The capacity for this to </w:t>
      </w:r>
      <w:r w:rsidR="00615A5B">
        <w:rPr>
          <w:rFonts w:ascii="Times New Roman" w:hAnsi="Times New Roman" w:cs="Times New Roman"/>
          <w:color w:val="000000" w:themeColor="text1"/>
          <w:sz w:val="24"/>
          <w:szCs w:val="24"/>
        </w:rPr>
        <w:t>occur</w:t>
      </w:r>
      <w:r>
        <w:rPr>
          <w:rFonts w:ascii="Times New Roman" w:hAnsi="Times New Roman" w:cs="Times New Roman"/>
          <w:color w:val="000000" w:themeColor="text1"/>
          <w:sz w:val="24"/>
          <w:szCs w:val="24"/>
        </w:rPr>
        <w:t xml:space="preserve"> is likely to be enhanced as a consequence </w:t>
      </w:r>
      <w:r w:rsidR="002F3022">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increased data transfers and sharing through the CDR.</w:t>
      </w:r>
    </w:p>
    <w:p w:rsidR="00441209" w:rsidRDefault="00C3485F" w:rsidP="00B033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notes that firms within the identified markets have: </w:t>
      </w:r>
    </w:p>
    <w:p w:rsidR="00C3485F" w:rsidRDefault="0006298D" w:rsidP="00B0338E">
      <w:pPr>
        <w:pStyle w:val="ListParagraph"/>
        <w:numPr>
          <w:ilvl w:val="0"/>
          <w:numId w:val="19"/>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some element of market power;</w:t>
      </w:r>
    </w:p>
    <w:p w:rsidR="0006298D" w:rsidRDefault="0006298D" w:rsidP="00B0338E">
      <w:pPr>
        <w:pStyle w:val="ListParagraph"/>
        <w:numPr>
          <w:ilvl w:val="0"/>
          <w:numId w:val="19"/>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some capacity to distinguish between </w:t>
      </w:r>
      <w:r w:rsidR="00B0338E">
        <w:rPr>
          <w:rFonts w:ascii="Times New Roman" w:hAnsi="Times New Roman" w:cs="Times New Roman"/>
          <w:color w:val="000000" w:themeColor="text1"/>
          <w:szCs w:val="24"/>
        </w:rPr>
        <w:t>consumers, that will be enhanced through CDR data;</w:t>
      </w:r>
    </w:p>
    <w:p w:rsidR="00B0338E" w:rsidRPr="00C3485F" w:rsidRDefault="00B0338E" w:rsidP="00B0338E">
      <w:pPr>
        <w:pStyle w:val="ListParagraph"/>
        <w:numPr>
          <w:ilvl w:val="0"/>
          <w:numId w:val="19"/>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capacity to limit or preclude resale.</w:t>
      </w:r>
    </w:p>
    <w:p w:rsidR="00B0338E" w:rsidRDefault="00452F0D" w:rsidP="00B0338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energy and telecommunications industries similarly</w:t>
      </w:r>
      <w:r w:rsidR="00B0338E">
        <w:rPr>
          <w:rFonts w:ascii="Times New Roman" w:eastAsiaTheme="minorEastAsia" w:hAnsi="Times New Roman" w:cs="Times New Roman"/>
          <w:sz w:val="24"/>
          <w:szCs w:val="24"/>
          <w:lang w:val="en-AU" w:eastAsia="en-AU"/>
        </w:rPr>
        <w:t xml:space="preserve"> face price-quantity trade-offs that may make it more profitable to adopt price discrimination strategies, rather than seek to address underserved markets. </w:t>
      </w:r>
    </w:p>
    <w:p w:rsidR="00204433" w:rsidRDefault="00204433"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147AA3" w:rsidRDefault="00204433" w:rsidP="00B0338E">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9440" behindDoc="0" locked="0" layoutInCell="1" allowOverlap="1" wp14:anchorId="5E8C403F" wp14:editId="1FF0A2FF">
                <wp:simplePos x="0" y="0"/>
                <wp:positionH relativeFrom="column">
                  <wp:posOffset>0</wp:posOffset>
                </wp:positionH>
                <wp:positionV relativeFrom="paragraph">
                  <wp:posOffset>1103630</wp:posOffset>
                </wp:positionV>
                <wp:extent cx="5720080" cy="987425"/>
                <wp:effectExtent l="0" t="0" r="13970" b="22225"/>
                <wp:wrapNone/>
                <wp:docPr id="14" name="Text Box 14"/>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C35DED" w:rsidRDefault="00DD5468" w:rsidP="005C7439">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6</w:t>
                            </w:r>
                          </w:p>
                          <w:p w:rsidR="00DD5468" w:rsidRPr="00C35DED" w:rsidRDefault="00DD5468" w:rsidP="00C35DED">
                            <w:pPr>
                              <w:jc w:val="both"/>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w:t>
                            </w:r>
                            <w:r>
                              <w:rPr>
                                <w:rFonts w:ascii="Times New Roman" w:hAnsi="Times New Roman" w:cs="Times New Roman"/>
                                <w:i/>
                              </w:rPr>
                              <w:t>s</w:t>
                            </w:r>
                            <w:r w:rsidRPr="00C35DED">
                              <w:rPr>
                                <w:rFonts w:ascii="Times New Roman" w:hAnsi="Times New Roman" w:cs="Times New Roman"/>
                                <w:i/>
                              </w:rPr>
                              <w:t xml:space="preserve"> steps to quantify the potential costs of, or risks to consumers in economic and social terms, of as the use of CDR data to engage in price discrimination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9" type="#_x0000_t202" style="position:absolute;left:0;text-align:left;margin-left:0;margin-top:86.9pt;width:450.4pt;height:7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" fillcolor="window" strokecolor="#00b0f0" strokeweight=".5pt">
                <v:textbox>
                  <w:txbxContent>
                    <w:p w:rsidR="00DD5468" w:rsidRPr="00C35DED" w:rsidRDefault="00DD5468" w:rsidP="005C7439">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6</w:t>
                      </w:r>
                    </w:p>
                    <w:p w:rsidR="00DD5468" w:rsidRPr="00C35DED" w:rsidRDefault="00DD5468" w:rsidP="00C35DED">
                      <w:pPr>
                        <w:jc w:val="both"/>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w:t>
                      </w:r>
                      <w:r>
                        <w:rPr>
                          <w:rFonts w:ascii="Times New Roman" w:hAnsi="Times New Roman" w:cs="Times New Roman"/>
                          <w:i/>
                        </w:rPr>
                        <w:t>s</w:t>
                      </w:r>
                      <w:r w:rsidRPr="00C35DED">
                        <w:rPr>
                          <w:rFonts w:ascii="Times New Roman" w:hAnsi="Times New Roman" w:cs="Times New Roman"/>
                          <w:i/>
                        </w:rPr>
                        <w:t xml:space="preserve"> steps to quantify the potential costs of, or risks to consumers in economic and social terms, of as the use of CDR data to engage in price discrimination as part of a rigorous and public regulatory impact assessment.</w:t>
                      </w:r>
                    </w:p>
                  </w:txbxContent>
                </v:textbox>
              </v:shape>
            </w:pict>
          </mc:Fallback>
        </mc:AlternateContent>
      </w:r>
      <w:r w:rsidR="00B0338E">
        <w:rPr>
          <w:rFonts w:ascii="Times New Roman" w:eastAsiaTheme="minorEastAsia" w:hAnsi="Times New Roman" w:cs="Times New Roman"/>
          <w:sz w:val="24"/>
          <w:szCs w:val="24"/>
          <w:lang w:val="en-AU" w:eastAsia="en-AU"/>
        </w:rPr>
        <w:t xml:space="preserve">ACCAN is supportive of the proposed reforms and would support additional measures being included within the draft legislation to curtail the potential for CDR data to be used for the purposes of price discrimination, where such discrimination is to the detriment of consumers. </w:t>
      </w:r>
      <w:r w:rsidR="00147AA3">
        <w:rPr>
          <w:rFonts w:ascii="Times New Roman" w:eastAsiaTheme="minorEastAsia" w:hAnsi="Times New Roman" w:cs="Times New Roman"/>
          <w:sz w:val="24"/>
          <w:szCs w:val="24"/>
          <w:lang w:val="en-AU" w:eastAsia="en-AU"/>
        </w:rPr>
        <w:t>Although we do not consider such behaviour a likely outcome in the telecommunications context, in other sectors the risk of such conduct is greater.</w:t>
      </w:r>
    </w:p>
    <w:p w:rsidR="00B0338E" w:rsidRDefault="00B0338E"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54685D" w:rsidRDefault="0054685D"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03308C" w:rsidRPr="00B0338E" w:rsidRDefault="0003308C"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F6667D" w:rsidRPr="00566EFC" w:rsidRDefault="00F6667D" w:rsidP="00F6667D">
      <w:pPr>
        <w:spacing w:before="100" w:beforeAutospacing="1" w:after="100" w:afterAutospacing="1" w:line="240" w:lineRule="auto"/>
        <w:jc w:val="both"/>
        <w:rPr>
          <w:rFonts w:ascii="Times New Roman" w:eastAsiaTheme="minorEastAsia" w:hAnsi="Times New Roman" w:cs="Times New Roman"/>
          <w:sz w:val="24"/>
          <w:lang w:val="en-AU"/>
        </w:rPr>
      </w:pPr>
      <w:r>
        <w:rPr>
          <w:rFonts w:ascii="Arial" w:eastAsiaTheme="minorEastAsia" w:hAnsi="Arial" w:cs="Arial"/>
          <w:b/>
          <w:sz w:val="32"/>
          <w:szCs w:val="32"/>
          <w:lang w:val="en-AU" w:eastAsia="en-AU"/>
        </w:rPr>
        <w:t>Creating a sustainable cartel</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The core barrier to the creation of a price fixing cartel is the incentive that exists for firms within the cartel to defect from the agreement in order to capture greater market share than that allocated under the terms of the cartel. The inability of firms within a cartel structure to effectively monitor their counterparties prevents them from taking actions to punish or deter defection, and as a consequence in the absence of a credible threat of loss</w:t>
      </w:r>
      <w:r w:rsidR="00EC7F6A">
        <w:rPr>
          <w:rFonts w:ascii="Times New Roman" w:eastAsia="Arial Unicode MS" w:hAnsi="Times New Roman" w:cs="Times New Roman"/>
          <w:sz w:val="24"/>
          <w:lang w:val="en-IE" w:eastAsia="en-AU" w:bidi="hi-IN"/>
        </w:rPr>
        <w:t>,</w:t>
      </w:r>
      <w:r>
        <w:rPr>
          <w:rFonts w:ascii="Times New Roman" w:eastAsia="Arial Unicode MS" w:hAnsi="Times New Roman" w:cs="Times New Roman"/>
          <w:sz w:val="24"/>
          <w:lang w:val="en-IE" w:eastAsia="en-AU" w:bidi="hi-IN"/>
        </w:rPr>
        <w:t xml:space="preserve"> defection inevitably occurs. </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creation of the consumer data right, establishes a framework where information concerning the offerings being made to a consumer and their characteristics are inevitably made available between a small </w:t>
      </w:r>
      <w:proofErr w:type="gramStart"/>
      <w:r>
        <w:rPr>
          <w:rFonts w:ascii="Times New Roman" w:eastAsia="Arial Unicode MS" w:hAnsi="Times New Roman" w:cs="Times New Roman"/>
          <w:sz w:val="24"/>
          <w:lang w:val="en-IE" w:eastAsia="en-AU" w:bidi="hi-IN"/>
        </w:rPr>
        <w:t>number</w:t>
      </w:r>
      <w:proofErr w:type="gramEnd"/>
      <w:r>
        <w:rPr>
          <w:rFonts w:ascii="Times New Roman" w:eastAsia="Arial Unicode MS" w:hAnsi="Times New Roman" w:cs="Times New Roman"/>
          <w:sz w:val="24"/>
          <w:lang w:val="en-IE" w:eastAsia="en-AU" w:bidi="hi-IN"/>
        </w:rPr>
        <w:t xml:space="preserve"> of competitors. As a consequence businesses will have detailed information concerning the pricing and discounting strategy of their competitors and be able to asses</w:t>
      </w:r>
      <w:r w:rsidR="00421641">
        <w:rPr>
          <w:rFonts w:ascii="Times New Roman" w:eastAsia="Arial Unicode MS" w:hAnsi="Times New Roman" w:cs="Times New Roman"/>
          <w:sz w:val="24"/>
          <w:lang w:val="en-IE" w:eastAsia="en-AU" w:bidi="hi-IN"/>
        </w:rPr>
        <w:t>s</w:t>
      </w:r>
      <w:r>
        <w:rPr>
          <w:rFonts w:ascii="Times New Roman" w:eastAsia="Arial Unicode MS" w:hAnsi="Times New Roman" w:cs="Times New Roman"/>
          <w:sz w:val="24"/>
          <w:lang w:val="en-IE" w:eastAsia="en-AU" w:bidi="hi-IN"/>
        </w:rPr>
        <w:t xml:space="preserve"> and gauge competition within definable consumer segments or sub-markets. </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For the would-be cartel the availability of this information allows for both effective monitoring of the state of compliance with an existing cartel agreement, and for the identification of defection within specific submarkets. This allows for the implementation of pricing and discounting strategies that punish non-compliance for defective behaviour and to effectively deter conduct, in a targeted, proportionate and effective fashion without </w:t>
      </w:r>
      <w:r w:rsidR="000A1660">
        <w:rPr>
          <w:rFonts w:ascii="Times New Roman" w:eastAsia="Arial Unicode MS" w:hAnsi="Times New Roman" w:cs="Times New Roman"/>
          <w:sz w:val="24"/>
          <w:lang w:val="en-IE" w:eastAsia="en-AU" w:bidi="hi-IN"/>
        </w:rPr>
        <w:t>undermining the stability of the cartel.</w:t>
      </w:r>
    </w:p>
    <w:p w:rsidR="002458A0" w:rsidRDefault="00204433" w:rsidP="00B31249">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5344" behindDoc="0" locked="0" layoutInCell="1" allowOverlap="1" wp14:anchorId="7FC73F4F" wp14:editId="263CAE0B">
                <wp:simplePos x="0" y="0"/>
                <wp:positionH relativeFrom="column">
                  <wp:posOffset>-2938</wp:posOffset>
                </wp:positionH>
                <wp:positionV relativeFrom="paragraph">
                  <wp:posOffset>1125505</wp:posOffset>
                </wp:positionV>
                <wp:extent cx="5720080" cy="987425"/>
                <wp:effectExtent l="0" t="0" r="13970" b="22225"/>
                <wp:wrapNone/>
                <wp:docPr id="13" name="Text Box 13"/>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C35DED" w:rsidRDefault="00DD5468" w:rsidP="00DC683E">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7</w:t>
                            </w:r>
                          </w:p>
                          <w:p w:rsidR="00DD5468" w:rsidRPr="00C35DED" w:rsidRDefault="00DD5468" w:rsidP="00DC683E">
                            <w:pPr>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takes steps to quantify the potential costs of, or risks to consumers from firms using consumer data to engaging in anti-competitive or collusive conduct within the identified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0" type="#_x0000_t202" style="position:absolute;left:0;text-align:left;margin-left:-.25pt;margin-top:88.6pt;width:450.4pt;height:7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" fillcolor="window" strokecolor="#00b0f0" strokeweight=".5pt">
                <v:textbox>
                  <w:txbxContent>
                    <w:p w:rsidR="00DD5468" w:rsidRPr="00C35DED" w:rsidRDefault="00DD5468" w:rsidP="00DC683E">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7</w:t>
                      </w:r>
                    </w:p>
                    <w:p w:rsidR="00DD5468" w:rsidRPr="00C35DED" w:rsidRDefault="00DD5468" w:rsidP="00DC683E">
                      <w:pPr>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takes steps to quantify the potential costs of, or risks to consumers from firms using consumer data to engaging in anti-competitive or collusive conduct within the identified markets.</w:t>
                      </w:r>
                    </w:p>
                  </w:txbxContent>
                </v:textbox>
              </v:shape>
            </w:pict>
          </mc:Fallback>
        </mc:AlternateContent>
      </w:r>
      <w:r w:rsidR="00C70FC7">
        <w:rPr>
          <w:rFonts w:ascii="Times New Roman" w:eastAsia="Arial Unicode MS" w:hAnsi="Times New Roman" w:cs="Times New Roman"/>
          <w:sz w:val="24"/>
          <w:lang w:val="en-IE" w:eastAsia="en-AU" w:bidi="hi-IN"/>
        </w:rPr>
        <w:t>Within the telecommunications market there are considerably lesser incentives to engage in such behaviour, given existi</w:t>
      </w:r>
      <w:r w:rsidR="00564BCB">
        <w:rPr>
          <w:rFonts w:ascii="Times New Roman" w:eastAsia="Arial Unicode MS" w:hAnsi="Times New Roman" w:cs="Times New Roman"/>
          <w:sz w:val="24"/>
          <w:lang w:val="en-IE" w:eastAsia="en-AU" w:bidi="hi-IN"/>
        </w:rPr>
        <w:t xml:space="preserve">ng transparency concerning the </w:t>
      </w:r>
      <w:r w:rsidR="00600610">
        <w:rPr>
          <w:rFonts w:ascii="Times New Roman" w:eastAsia="Arial Unicode MS" w:hAnsi="Times New Roman" w:cs="Times New Roman"/>
          <w:sz w:val="24"/>
          <w:lang w:val="en-IE" w:eastAsia="en-AU" w:bidi="hi-IN"/>
        </w:rPr>
        <w:t xml:space="preserve">pricing and characteristics of service offerings. However, there is a need to put in place </w:t>
      </w:r>
      <w:r w:rsidR="00153442">
        <w:rPr>
          <w:rFonts w:ascii="Times New Roman" w:eastAsia="Arial Unicode MS" w:hAnsi="Times New Roman" w:cs="Times New Roman"/>
          <w:sz w:val="24"/>
          <w:lang w:val="en-IE" w:eastAsia="en-AU" w:bidi="hi-IN"/>
        </w:rPr>
        <w:t>appropriate regulatory restrictions on the use of CDR data, including the aggregation of data where such aggregation may facilitate the formation and continuation of cartels.</w:t>
      </w:r>
    </w:p>
    <w:p w:rsidR="00DC683E" w:rsidRDefault="00DC683E" w:rsidP="00B31249">
      <w:pPr>
        <w:spacing w:before="100" w:beforeAutospacing="1" w:after="100" w:afterAutospacing="1"/>
        <w:jc w:val="both"/>
        <w:rPr>
          <w:rFonts w:ascii="Times New Roman" w:eastAsia="Arial Unicode MS" w:hAnsi="Times New Roman" w:cs="Times New Roman"/>
          <w:sz w:val="24"/>
          <w:lang w:val="en-IE" w:eastAsia="en-AU" w:bidi="hi-IN"/>
        </w:rPr>
      </w:pPr>
    </w:p>
    <w:p w:rsidR="005D5DA2" w:rsidRDefault="005D5DA2" w:rsidP="005D5DA2">
      <w:pPr>
        <w:spacing w:line="360" w:lineRule="auto"/>
        <w:jc w:val="both"/>
        <w:rPr>
          <w:rFonts w:ascii="Arial" w:eastAsia="Arial Unicode MS" w:hAnsi="Arial" w:cs="Arial"/>
          <w:sz w:val="28"/>
          <w:lang w:val="en-IE" w:eastAsia="en-AU" w:bidi="hi-IN"/>
        </w:rPr>
      </w:pPr>
      <w:r>
        <w:rPr>
          <w:rFonts w:ascii="Arial" w:eastAsia="Arial Unicode MS" w:hAnsi="Arial" w:cs="Arial"/>
          <w:sz w:val="28"/>
          <w:lang w:val="en-IE" w:eastAsia="en-AU" w:bidi="hi-IN"/>
        </w:rPr>
        <w:t>What is at risk?</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The consumer losses associated with anti-competitive conduct can often be significant and immediate, particularly for consumers on low incomes. </w:t>
      </w:r>
      <w:r w:rsidR="00421641">
        <w:rPr>
          <w:rFonts w:ascii="Times New Roman" w:hAnsi="Times New Roman" w:cs="Times New Roman"/>
          <w:sz w:val="24"/>
        </w:rPr>
        <w:t>T</w:t>
      </w:r>
      <w:r w:rsidRPr="005D5DA2">
        <w:rPr>
          <w:rFonts w:ascii="Times New Roman" w:hAnsi="Times New Roman" w:cs="Times New Roman"/>
          <w:sz w:val="24"/>
        </w:rPr>
        <w:t>his means consumers face higher prices than necessary and increased financial pressure</w:t>
      </w:r>
      <w:r w:rsidR="00421641">
        <w:rPr>
          <w:rFonts w:ascii="Times New Roman" w:hAnsi="Times New Roman" w:cs="Times New Roman"/>
          <w:sz w:val="24"/>
        </w:rPr>
        <w:t xml:space="preserve"> (or a loss of consumer surplus)</w:t>
      </w:r>
      <w:r w:rsidRPr="005D5DA2">
        <w:rPr>
          <w:rFonts w:ascii="Times New Roman" w:hAnsi="Times New Roman" w:cs="Times New Roman"/>
          <w:sz w:val="24"/>
        </w:rPr>
        <w:t xml:space="preserve">. </w:t>
      </w:r>
    </w:p>
    <w:p w:rsidR="00E31305"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The costs borne by consumers as a result of anti-competitive conduct are often inadequately </w:t>
      </w:r>
      <w:r w:rsidR="002458A0" w:rsidRPr="005D5DA2">
        <w:rPr>
          <w:rFonts w:ascii="Times New Roman" w:hAnsi="Times New Roman" w:cs="Times New Roman"/>
          <w:sz w:val="24"/>
        </w:rPr>
        <w:t>recognized</w:t>
      </w:r>
      <w:r w:rsidRPr="005D5DA2">
        <w:rPr>
          <w:rFonts w:ascii="Times New Roman" w:hAnsi="Times New Roman" w:cs="Times New Roman"/>
          <w:sz w:val="24"/>
        </w:rPr>
        <w:t xml:space="preserve"> as the losses are spread across the consumer population and at an individual level may be small. </w:t>
      </w:r>
      <w:r w:rsidR="00950B40" w:rsidRPr="005D5DA2">
        <w:rPr>
          <w:rFonts w:ascii="Times New Roman" w:hAnsi="Times New Roman" w:cs="Times New Roman"/>
          <w:sz w:val="24"/>
        </w:rPr>
        <w:t>However,</w:t>
      </w:r>
      <w:r w:rsidRPr="005D5DA2">
        <w:rPr>
          <w:rFonts w:ascii="Times New Roman" w:hAnsi="Times New Roman" w:cs="Times New Roman"/>
          <w:sz w:val="24"/>
        </w:rPr>
        <w:t xml:space="preserve"> the true losses experienced by consumers can be significant given the pervasive use of communications services and the significant revenue generated by the sector. </w:t>
      </w:r>
    </w:p>
    <w:p w:rsidR="006730E8" w:rsidRPr="006730E8" w:rsidRDefault="006730E8" w:rsidP="00BB4586">
      <w:pPr>
        <w:jc w:val="both"/>
        <w:rPr>
          <w:rFonts w:ascii="Times New Roman" w:hAnsi="Times New Roman" w:cs="Times New Roman"/>
          <w:i/>
          <w:sz w:val="24"/>
        </w:rPr>
      </w:pPr>
      <w:r>
        <w:rPr>
          <w:rFonts w:ascii="Times New Roman" w:hAnsi="Times New Roman" w:cs="Times New Roman"/>
          <w:i/>
          <w:sz w:val="24"/>
        </w:rPr>
        <w:t xml:space="preserve">Risks in the communications sector </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The revenues of the communications sector have been estimated at a value of $22 billion for mobile or wireless services and $10.3 billion for fixed line services for 2015-16 (BCAR 2017, p. 11-14). Given the size of industry revenues, a pricing distortion on the order of 0.5% would result in consumer losses of $110 million for the mobile market and $51.5 million for the fixed line market. </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Such a distortion is not difficult to envisage, and although in many instances the detriment associated with anti-competitive conduct may be limited by the market share of an entity, the communications market is exceptionally concentrated (Grattan Institute 2017, p. 14). This means that even if only one entity engages in anti-competitive conduct that a material number of consumers will be </w:t>
      </w:r>
      <w:r w:rsidR="00D24EC7" w:rsidRPr="005D5DA2">
        <w:rPr>
          <w:rFonts w:ascii="Times New Roman" w:hAnsi="Times New Roman" w:cs="Times New Roman"/>
          <w:sz w:val="24"/>
        </w:rPr>
        <w:t>affected,</w:t>
      </w:r>
      <w:r w:rsidRPr="005D5DA2">
        <w:rPr>
          <w:rFonts w:ascii="Times New Roman" w:hAnsi="Times New Roman" w:cs="Times New Roman"/>
          <w:sz w:val="24"/>
        </w:rPr>
        <w:t xml:space="preserve"> and losses will be significant. </w:t>
      </w:r>
    </w:p>
    <w:p w:rsidR="00974AA3"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For </w:t>
      </w:r>
      <w:r w:rsidR="00EB407F" w:rsidRPr="005D5DA2">
        <w:rPr>
          <w:rFonts w:ascii="Times New Roman" w:hAnsi="Times New Roman" w:cs="Times New Roman"/>
          <w:sz w:val="24"/>
        </w:rPr>
        <w:t>example,</w:t>
      </w:r>
      <w:r w:rsidRPr="005D5DA2">
        <w:rPr>
          <w:rFonts w:ascii="Times New Roman" w:hAnsi="Times New Roman" w:cs="Times New Roman"/>
          <w:sz w:val="24"/>
        </w:rPr>
        <w:t xml:space="preserve"> a unilateral 1% increase in price in the mobile market by one of the three major operators would </w:t>
      </w:r>
      <w:r w:rsidR="00421641">
        <w:rPr>
          <w:rFonts w:ascii="Times New Roman" w:hAnsi="Times New Roman" w:cs="Times New Roman"/>
          <w:sz w:val="24"/>
        </w:rPr>
        <w:t xml:space="preserve">result in </w:t>
      </w:r>
      <w:r w:rsidRPr="005D5DA2">
        <w:rPr>
          <w:rFonts w:ascii="Times New Roman" w:hAnsi="Times New Roman" w:cs="Times New Roman"/>
          <w:sz w:val="24"/>
        </w:rPr>
        <w:t>consumer losses of between $39.6 million to $103.4 million.</w:t>
      </w:r>
      <w:r w:rsidRPr="00E575ED">
        <w:rPr>
          <w:rStyle w:val="FootnoteReference"/>
        </w:rPr>
        <w:footnoteReference w:id="4"/>
      </w:r>
      <w:r w:rsidRPr="005D5DA2">
        <w:rPr>
          <w:rFonts w:ascii="Times New Roman" w:hAnsi="Times New Roman" w:cs="Times New Roman"/>
          <w:sz w:val="24"/>
        </w:rPr>
        <w:t xml:space="preserve"> These losses may be greater where unilateral anti-competitive conduct leads other service providers to increase their prices or dissuades price competition.</w:t>
      </w:r>
    </w:p>
    <w:p w:rsidR="005D5DA2" w:rsidRDefault="005D5DA2" w:rsidP="00BB4586">
      <w:pPr>
        <w:jc w:val="both"/>
        <w:rPr>
          <w:rFonts w:ascii="Times New Roman" w:hAnsi="Times New Roman" w:cs="Times New Roman"/>
          <w:sz w:val="24"/>
        </w:rPr>
      </w:pPr>
      <w:r>
        <w:rPr>
          <w:rFonts w:ascii="Times New Roman" w:hAnsi="Times New Roman" w:cs="Times New Roman"/>
          <w:sz w:val="24"/>
        </w:rPr>
        <w:t>Given that the identification of a cartel typically takes several years and often only occurs where a party to the cartel defects the potential losses to c</w:t>
      </w:r>
      <w:r w:rsidR="001D1B27">
        <w:rPr>
          <w:rFonts w:ascii="Times New Roman" w:hAnsi="Times New Roman" w:cs="Times New Roman"/>
          <w:sz w:val="24"/>
        </w:rPr>
        <w:t xml:space="preserve">onsumers for a 1% increase in relative prices over a </w:t>
      </w:r>
      <w:r w:rsidR="008C4EBF">
        <w:rPr>
          <w:rFonts w:ascii="Times New Roman" w:hAnsi="Times New Roman" w:cs="Times New Roman"/>
          <w:sz w:val="24"/>
        </w:rPr>
        <w:t>5-year</w:t>
      </w:r>
      <w:r w:rsidR="001D1B27">
        <w:rPr>
          <w:rFonts w:ascii="Times New Roman" w:hAnsi="Times New Roman" w:cs="Times New Roman"/>
          <w:sz w:val="24"/>
        </w:rPr>
        <w:t xml:space="preserve"> period would be:</w:t>
      </w:r>
    </w:p>
    <w:p w:rsidR="001D1B27" w:rsidRDefault="001D1B27" w:rsidP="00116291">
      <w:pPr>
        <w:pStyle w:val="ListParagraph"/>
        <w:numPr>
          <w:ilvl w:val="0"/>
          <w:numId w:val="8"/>
        </w:numPr>
        <w:spacing w:line="276" w:lineRule="auto"/>
        <w:rPr>
          <w:rFonts w:ascii="Times New Roman" w:hAnsi="Times New Roman" w:cs="Times New Roman"/>
        </w:rPr>
      </w:pPr>
      <w:r>
        <w:rPr>
          <w:rFonts w:ascii="Times New Roman" w:hAnsi="Times New Roman" w:cs="Times New Roman"/>
        </w:rPr>
        <w:t>For fixed line services $515 million</w:t>
      </w:r>
    </w:p>
    <w:p w:rsidR="00CB7501" w:rsidRPr="007F6B53" w:rsidRDefault="001D1B27" w:rsidP="00116291">
      <w:pPr>
        <w:pStyle w:val="ListParagraph"/>
        <w:numPr>
          <w:ilvl w:val="0"/>
          <w:numId w:val="8"/>
        </w:numPr>
        <w:spacing w:line="276" w:lineRule="auto"/>
        <w:rPr>
          <w:rFonts w:ascii="Times New Roman" w:hAnsi="Times New Roman" w:cs="Times New Roman"/>
        </w:rPr>
      </w:pPr>
      <w:r>
        <w:rPr>
          <w:rFonts w:ascii="Times New Roman" w:hAnsi="Times New Roman" w:cs="Times New Roman"/>
        </w:rPr>
        <w:t>For mobile services $1.1 billion</w:t>
      </w:r>
    </w:p>
    <w:p w:rsidR="00C35DED" w:rsidRDefault="005D5DA2" w:rsidP="00BB4586">
      <w:pPr>
        <w:jc w:val="both"/>
        <w:rPr>
          <w:rFonts w:ascii="Times New Roman" w:hAnsi="Times New Roman" w:cs="Times New Roman"/>
          <w:sz w:val="24"/>
        </w:rPr>
      </w:pPr>
      <w:r w:rsidRPr="005D5DA2">
        <w:rPr>
          <w:rFonts w:ascii="Times New Roman" w:hAnsi="Times New Roman" w:cs="Times New Roman"/>
          <w:sz w:val="24"/>
        </w:rPr>
        <w:t>For consumers</w:t>
      </w:r>
      <w:r w:rsidR="00921A1D">
        <w:rPr>
          <w:rFonts w:ascii="Times New Roman" w:hAnsi="Times New Roman" w:cs="Times New Roman"/>
          <w:sz w:val="24"/>
        </w:rPr>
        <w:t>,</w:t>
      </w:r>
      <w:r w:rsidRPr="005D5DA2">
        <w:rPr>
          <w:rFonts w:ascii="Times New Roman" w:hAnsi="Times New Roman" w:cs="Times New Roman"/>
          <w:sz w:val="24"/>
        </w:rPr>
        <w:t xml:space="preserve"> anti-competitive conduct can also create longer term losses with resources being allocated to offending firms, rewarding and </w:t>
      </w:r>
      <w:r w:rsidR="00EB407F" w:rsidRPr="005D5DA2">
        <w:rPr>
          <w:rFonts w:ascii="Times New Roman" w:hAnsi="Times New Roman" w:cs="Times New Roman"/>
          <w:sz w:val="24"/>
        </w:rPr>
        <w:t>incentivizing</w:t>
      </w:r>
      <w:r w:rsidRPr="005D5DA2">
        <w:rPr>
          <w:rFonts w:ascii="Times New Roman" w:hAnsi="Times New Roman" w:cs="Times New Roman"/>
          <w:sz w:val="24"/>
        </w:rPr>
        <w:t xml:space="preserve"> their conduct when consumers purchase their services and compliant firms being discouraged from market participation due to forgone sales. This is particularly important in a marketplace where consumers may sign up to contracts for long periods of time and therefore suffer ongoing detriment due to anti-competitive conduct.</w:t>
      </w:r>
    </w:p>
    <w:p w:rsidR="005F7088" w:rsidRDefault="005F7088" w:rsidP="002534D0">
      <w:pPr>
        <w:jc w:val="both"/>
        <w:rPr>
          <w:rFonts w:ascii="Times New Roman" w:hAnsi="Times New Roman" w:cs="Times New Roman"/>
          <w:i/>
          <w:sz w:val="24"/>
        </w:rPr>
      </w:pPr>
    </w:p>
    <w:p w:rsidR="002534D0" w:rsidRDefault="002534D0" w:rsidP="002534D0">
      <w:pPr>
        <w:jc w:val="both"/>
        <w:rPr>
          <w:rFonts w:ascii="Times New Roman" w:hAnsi="Times New Roman" w:cs="Times New Roman"/>
          <w:i/>
          <w:sz w:val="24"/>
        </w:rPr>
      </w:pPr>
      <w:r>
        <w:rPr>
          <w:rFonts w:ascii="Times New Roman" w:hAnsi="Times New Roman" w:cs="Times New Roman"/>
          <w:i/>
          <w:sz w:val="24"/>
        </w:rPr>
        <w:t xml:space="preserve">Risks to vulnerable consumers </w:t>
      </w:r>
    </w:p>
    <w:p w:rsidR="00BC64F0" w:rsidRPr="00255DEA" w:rsidRDefault="00180975" w:rsidP="00BB4586">
      <w:pPr>
        <w:jc w:val="both"/>
        <w:rPr>
          <w:rFonts w:ascii="Times New Roman" w:hAnsi="Times New Roman" w:cs="Times New Roman"/>
          <w:color w:val="000000" w:themeColor="text1"/>
          <w:sz w:val="24"/>
        </w:rPr>
      </w:pPr>
      <w:r w:rsidRPr="002458A0">
        <w:rPr>
          <w:rFonts w:ascii="Times New Roman" w:hAnsi="Times New Roman" w:cs="Times New Roman"/>
          <w:color w:val="000000" w:themeColor="text1"/>
          <w:sz w:val="24"/>
        </w:rPr>
        <w:t xml:space="preserve">The impacts of anti-competitive behavior are disproportionately felt by those consumers on the lowest incomes, and with the least capacity to avoid costs. </w:t>
      </w:r>
      <w:r w:rsidR="00950B40" w:rsidRPr="00D257B5">
        <w:rPr>
          <w:rFonts w:ascii="Times New Roman" w:hAnsi="Times New Roman" w:cs="Times New Roman"/>
          <w:color w:val="000000" w:themeColor="text1"/>
          <w:sz w:val="24"/>
        </w:rPr>
        <w:t xml:space="preserve">ACCAN has concerns that </w:t>
      </w:r>
      <w:r w:rsidR="00E32693" w:rsidRPr="00D257B5">
        <w:rPr>
          <w:rFonts w:ascii="Times New Roman" w:hAnsi="Times New Roman" w:cs="Times New Roman"/>
          <w:color w:val="000000" w:themeColor="text1"/>
          <w:sz w:val="24"/>
        </w:rPr>
        <w:t xml:space="preserve">for </w:t>
      </w:r>
      <w:r w:rsidR="00950B40" w:rsidRPr="00D257B5">
        <w:rPr>
          <w:rFonts w:ascii="Times New Roman" w:hAnsi="Times New Roman" w:cs="Times New Roman"/>
          <w:color w:val="000000" w:themeColor="text1"/>
          <w:sz w:val="24"/>
        </w:rPr>
        <w:t xml:space="preserve">vulnerable consumers </w:t>
      </w:r>
      <w:r w:rsidR="00E32693" w:rsidRPr="00D257B5">
        <w:rPr>
          <w:rFonts w:ascii="Times New Roman" w:hAnsi="Times New Roman" w:cs="Times New Roman"/>
          <w:color w:val="000000" w:themeColor="text1"/>
          <w:sz w:val="24"/>
        </w:rPr>
        <w:t xml:space="preserve">the leakage of data will allow for the development of </w:t>
      </w:r>
      <w:r w:rsidR="00D257B5" w:rsidRPr="00D257B5">
        <w:rPr>
          <w:rFonts w:ascii="Times New Roman" w:hAnsi="Times New Roman" w:cs="Times New Roman"/>
          <w:color w:val="000000" w:themeColor="text1"/>
          <w:sz w:val="24"/>
        </w:rPr>
        <w:t xml:space="preserve">models targeted at extracting the maximum possible charges from them. </w:t>
      </w:r>
    </w:p>
    <w:p w:rsidR="003A651B" w:rsidRPr="00C76CC9" w:rsidRDefault="003A651B" w:rsidP="003A651B">
      <w:pPr>
        <w:jc w:val="both"/>
        <w:rPr>
          <w:rFonts w:ascii="Times New Roman" w:hAnsi="Times New Roman" w:cs="Times New Roman"/>
          <w:sz w:val="24"/>
        </w:rPr>
      </w:pPr>
      <w:r w:rsidRPr="00C76CC9">
        <w:rPr>
          <w:rFonts w:ascii="Times New Roman" w:hAnsi="Times New Roman" w:cs="Times New Roman"/>
          <w:sz w:val="24"/>
        </w:rPr>
        <w:t xml:space="preserve">Consumers on low incomes typically spend a significant proportion of their income on telecommunications services. Households in the first and second lowest income deciles on average pay just under 10% and 6% of their disposable income on communication services respectively (BCAR 2017, p.27). This is well in excess of average household expenditure on communications, which accounts for approximately 3.5% of disposable income (BCAR 2017, p. 27). </w:t>
      </w:r>
    </w:p>
    <w:p w:rsidR="00255DEA" w:rsidRPr="00B35E4C" w:rsidRDefault="003A651B" w:rsidP="00BB4586">
      <w:pPr>
        <w:jc w:val="both"/>
        <w:rPr>
          <w:rFonts w:ascii="Times New Roman" w:hAnsi="Times New Roman" w:cs="Times New Roman"/>
          <w:color w:val="FF0000"/>
          <w:sz w:val="24"/>
        </w:rPr>
      </w:pPr>
      <w:r w:rsidRPr="00C76CC9">
        <w:rPr>
          <w:rFonts w:ascii="Times New Roman" w:hAnsi="Times New Roman" w:cs="Times New Roman"/>
          <w:color w:val="000000" w:themeColor="text1"/>
          <w:sz w:val="24"/>
        </w:rPr>
        <w:t xml:space="preserve">These households are characterized by high levels of </w:t>
      </w:r>
      <w:r w:rsidRPr="00C76CC9">
        <w:rPr>
          <w:rFonts w:ascii="Times New Roman" w:hAnsi="Times New Roman" w:cs="Times New Roman"/>
          <w:color w:val="000000" w:themeColor="text1"/>
          <w:sz w:val="24"/>
          <w:szCs w:val="24"/>
        </w:rPr>
        <w:t>f</w:t>
      </w:r>
      <w:r w:rsidR="00496EC4" w:rsidRPr="00C76CC9">
        <w:rPr>
          <w:rFonts w:ascii="Times New Roman" w:hAnsi="Times New Roman" w:cs="Times New Roman"/>
          <w:color w:val="000000" w:themeColor="text1"/>
          <w:sz w:val="24"/>
          <w:szCs w:val="24"/>
        </w:rPr>
        <w:t xml:space="preserve">inancial </w:t>
      </w:r>
      <w:r w:rsidR="00496EC4" w:rsidRPr="00C76CC9">
        <w:rPr>
          <w:rFonts w:ascii="Times New Roman" w:hAnsi="Times New Roman" w:cs="Times New Roman"/>
          <w:sz w:val="24"/>
          <w:szCs w:val="24"/>
        </w:rPr>
        <w:t>stress</w:t>
      </w:r>
      <w:r w:rsidRPr="00C76CC9">
        <w:rPr>
          <w:rFonts w:ascii="Times New Roman" w:hAnsi="Times New Roman" w:cs="Times New Roman"/>
          <w:sz w:val="24"/>
          <w:szCs w:val="24"/>
        </w:rPr>
        <w:t>, which</w:t>
      </w:r>
      <w:r w:rsidR="00496EC4" w:rsidRPr="00C76CC9">
        <w:rPr>
          <w:rFonts w:ascii="Times New Roman" w:hAnsi="Times New Roman" w:cs="Times New Roman"/>
          <w:sz w:val="24"/>
          <w:szCs w:val="24"/>
        </w:rPr>
        <w:t xml:space="preserve"> continues to be experienced by consumers on low incomes, with 15.6% of consumers in the lowest income quintile indicating they had been unable to pay their utility bills on time in the twelve months leading up to the census </w:t>
      </w:r>
      <w:r w:rsidR="00496EC4" w:rsidRPr="00C76CC9">
        <w:rPr>
          <w:rFonts w:ascii="Times New Roman" w:hAnsi="Times New Roman" w:cs="Times New Roman"/>
          <w:sz w:val="24"/>
        </w:rPr>
        <w:t>(ABS 2017)</w:t>
      </w:r>
      <w:r w:rsidR="00496EC4" w:rsidRPr="00C76CC9">
        <w:rPr>
          <w:rFonts w:ascii="Times New Roman" w:hAnsi="Times New Roman" w:cs="Times New Roman"/>
          <w:sz w:val="24"/>
          <w:szCs w:val="24"/>
        </w:rPr>
        <w:t>.</w:t>
      </w:r>
      <w:r w:rsidR="00496EC4" w:rsidRPr="004206F6">
        <w:rPr>
          <w:rFonts w:ascii="Times New Roman" w:hAnsi="Times New Roman" w:cs="Times New Roman"/>
          <w:sz w:val="24"/>
          <w:szCs w:val="24"/>
        </w:rPr>
        <w:t xml:space="preserve"> </w:t>
      </w:r>
    </w:p>
    <w:p w:rsidR="00256AC0" w:rsidRPr="006730E8" w:rsidRDefault="006730E8" w:rsidP="00BB4586">
      <w:pPr>
        <w:jc w:val="both"/>
        <w:rPr>
          <w:rFonts w:ascii="Times New Roman" w:hAnsi="Times New Roman" w:cs="Times New Roman"/>
          <w:i/>
          <w:sz w:val="24"/>
        </w:rPr>
      </w:pPr>
      <w:r>
        <w:rPr>
          <w:rFonts w:ascii="Times New Roman" w:hAnsi="Times New Roman" w:cs="Times New Roman"/>
          <w:i/>
          <w:sz w:val="24"/>
        </w:rPr>
        <w:t xml:space="preserve">Risks more broadly </w:t>
      </w:r>
    </w:p>
    <w:p w:rsidR="00950B40" w:rsidRDefault="00950B40" w:rsidP="00CB7501">
      <w:pPr>
        <w:jc w:val="both"/>
        <w:rPr>
          <w:rFonts w:ascii="Times New Roman" w:hAnsi="Times New Roman" w:cs="Times New Roman"/>
          <w:color w:val="000000" w:themeColor="text1"/>
          <w:sz w:val="24"/>
        </w:rPr>
      </w:pPr>
      <w:r w:rsidRPr="00D351D7">
        <w:rPr>
          <w:rFonts w:ascii="Times New Roman" w:hAnsi="Times New Roman" w:cs="Times New Roman"/>
          <w:color w:val="000000" w:themeColor="text1"/>
          <w:sz w:val="24"/>
        </w:rPr>
        <w:t xml:space="preserve">The risks of anti-competitive conduct </w:t>
      </w:r>
      <w:r w:rsidR="00D351D7" w:rsidRPr="00D351D7">
        <w:rPr>
          <w:rFonts w:ascii="Times New Roman" w:hAnsi="Times New Roman" w:cs="Times New Roman"/>
          <w:color w:val="000000" w:themeColor="text1"/>
          <w:sz w:val="24"/>
        </w:rPr>
        <w:t>within the</w:t>
      </w:r>
      <w:r w:rsidRPr="00D351D7">
        <w:rPr>
          <w:rFonts w:ascii="Times New Roman" w:hAnsi="Times New Roman" w:cs="Times New Roman"/>
          <w:color w:val="000000" w:themeColor="text1"/>
          <w:sz w:val="24"/>
        </w:rPr>
        <w:t xml:space="preserve"> identified </w:t>
      </w:r>
      <w:r w:rsidR="00D351D7" w:rsidRPr="00D351D7">
        <w:rPr>
          <w:rFonts w:ascii="Times New Roman" w:hAnsi="Times New Roman" w:cs="Times New Roman"/>
          <w:color w:val="000000" w:themeColor="text1"/>
          <w:sz w:val="24"/>
        </w:rPr>
        <w:t xml:space="preserve">markets </w:t>
      </w:r>
      <w:r w:rsidRPr="00D351D7">
        <w:rPr>
          <w:rFonts w:ascii="Times New Roman" w:hAnsi="Times New Roman" w:cs="Times New Roman"/>
          <w:color w:val="000000" w:themeColor="text1"/>
          <w:sz w:val="24"/>
        </w:rPr>
        <w:t>are material and demonstrable.</w:t>
      </w:r>
      <w:r w:rsidR="009469FF" w:rsidRPr="00D351D7">
        <w:rPr>
          <w:rFonts w:ascii="Times New Roman" w:hAnsi="Times New Roman" w:cs="Times New Roman"/>
          <w:color w:val="000000" w:themeColor="text1"/>
          <w:sz w:val="24"/>
        </w:rPr>
        <w:t xml:space="preserve"> </w:t>
      </w:r>
      <w:r w:rsidRPr="00D351D7">
        <w:rPr>
          <w:rFonts w:ascii="Times New Roman" w:hAnsi="Times New Roman" w:cs="Times New Roman"/>
          <w:color w:val="000000" w:themeColor="text1"/>
          <w:sz w:val="24"/>
        </w:rPr>
        <w:t xml:space="preserve">In the banking and financial services market, the potential for anti-competitive conduct is </w:t>
      </w:r>
      <w:r w:rsidR="006174D3" w:rsidRPr="00D351D7">
        <w:rPr>
          <w:rFonts w:ascii="Times New Roman" w:hAnsi="Times New Roman" w:cs="Times New Roman"/>
          <w:color w:val="000000" w:themeColor="text1"/>
          <w:sz w:val="24"/>
        </w:rPr>
        <w:t xml:space="preserve">significant, and recent conduct indicates that this risk is real and material. </w:t>
      </w:r>
    </w:p>
    <w:p w:rsidR="00950B40" w:rsidRPr="004C5128" w:rsidRDefault="009851DD" w:rsidP="00CB7501">
      <w:pPr>
        <w:jc w:val="both"/>
        <w:rPr>
          <w:rFonts w:ascii="Times New Roman" w:hAnsi="Times New Roman" w:cs="Times New Roman"/>
          <w:color w:val="000000" w:themeColor="text1"/>
          <w:sz w:val="24"/>
        </w:rPr>
      </w:pPr>
      <w:r w:rsidRPr="009851DD">
        <w:rPr>
          <w:rFonts w:ascii="Times New Roman" w:hAnsi="Times New Roman" w:cs="Times New Roman"/>
          <w:color w:val="000000" w:themeColor="text1"/>
          <w:sz w:val="24"/>
        </w:rPr>
        <w:t xml:space="preserve">Moreover, the size of this sector </w:t>
      </w:r>
      <w:r w:rsidR="00764FBB">
        <w:rPr>
          <w:rFonts w:ascii="Times New Roman" w:hAnsi="Times New Roman" w:cs="Times New Roman"/>
          <w:color w:val="000000" w:themeColor="text1"/>
          <w:sz w:val="24"/>
        </w:rPr>
        <w:t>increases</w:t>
      </w:r>
      <w:r w:rsidRPr="009851DD">
        <w:rPr>
          <w:rFonts w:ascii="Times New Roman" w:hAnsi="Times New Roman" w:cs="Times New Roman"/>
          <w:color w:val="000000" w:themeColor="text1"/>
          <w:sz w:val="24"/>
        </w:rPr>
        <w:t xml:space="preserve"> the level of risk to consumers and the economy, </w:t>
      </w:r>
      <w:r w:rsidR="007444A3" w:rsidRPr="009851DD">
        <w:rPr>
          <w:rFonts w:ascii="Times New Roman" w:hAnsi="Times New Roman" w:cs="Times New Roman"/>
          <w:color w:val="000000" w:themeColor="text1"/>
          <w:sz w:val="24"/>
          <w:szCs w:val="24"/>
        </w:rPr>
        <w:t xml:space="preserve">with the sector accounting for 9% of GDP in 2016-17, or $149 billion </w:t>
      </w:r>
      <w:r w:rsidR="007444A3" w:rsidRPr="009851DD">
        <w:rPr>
          <w:rFonts w:ascii="Times New Roman" w:hAnsi="Times New Roman" w:cs="Times New Roman"/>
          <w:noProof/>
          <w:color w:val="000000" w:themeColor="text1"/>
          <w:sz w:val="24"/>
          <w:szCs w:val="24"/>
        </w:rPr>
        <w:t>(PC 2018, p. 57)</w:t>
      </w:r>
      <w:r w:rsidR="007444A3" w:rsidRPr="009851DD">
        <w:rPr>
          <w:rFonts w:ascii="Times New Roman" w:hAnsi="Times New Roman" w:cs="Times New Roman"/>
          <w:color w:val="000000" w:themeColor="text1"/>
          <w:sz w:val="24"/>
          <w:szCs w:val="24"/>
        </w:rPr>
        <w:t xml:space="preserve">. </w:t>
      </w:r>
      <w:r w:rsidR="00655063" w:rsidRPr="009851DD">
        <w:rPr>
          <w:rFonts w:ascii="Times New Roman" w:hAnsi="Times New Roman" w:cs="Times New Roman"/>
          <w:color w:val="000000" w:themeColor="text1"/>
          <w:sz w:val="24"/>
          <w:szCs w:val="24"/>
        </w:rPr>
        <w:t xml:space="preserve">The size of the </w:t>
      </w:r>
      <w:r w:rsidR="00655063" w:rsidRPr="004C5128">
        <w:rPr>
          <w:rFonts w:ascii="Times New Roman" w:hAnsi="Times New Roman" w:cs="Times New Roman"/>
          <w:color w:val="000000" w:themeColor="text1"/>
          <w:sz w:val="24"/>
          <w:szCs w:val="24"/>
        </w:rPr>
        <w:t xml:space="preserve">sector means, that as with the telecommunications and energy sectors that the potential implications of anti-competitive conduct are significant and will result in material detriment to consumers. </w:t>
      </w:r>
    </w:p>
    <w:p w:rsidR="00903796" w:rsidRPr="00F44622" w:rsidRDefault="00655063" w:rsidP="00F44622">
      <w:pPr>
        <w:jc w:val="both"/>
        <w:rPr>
          <w:rFonts w:ascii="Times New Roman" w:hAnsi="Times New Roman" w:cs="Times New Roman"/>
          <w:color w:val="000000" w:themeColor="text1"/>
          <w:sz w:val="24"/>
          <w:szCs w:val="24"/>
        </w:rPr>
      </w:pPr>
      <w:r w:rsidRPr="004C5128">
        <w:rPr>
          <w:rFonts w:ascii="Times New Roman" w:hAnsi="Times New Roman" w:cs="Times New Roman"/>
          <w:color w:val="000000" w:themeColor="text1"/>
          <w:sz w:val="24"/>
          <w:szCs w:val="24"/>
        </w:rPr>
        <w:t>In the light of recent misconduct by major financial institutions in Australia, reflected both in the Royal Commission into Misconduct in the Banking, Superannuation and Financial Services Industry, and in recent court action and settlements for fixing</w:t>
      </w:r>
      <w:r w:rsidR="00BE0DCE" w:rsidRPr="004C5128">
        <w:rPr>
          <w:rFonts w:ascii="Times New Roman" w:hAnsi="Times New Roman" w:cs="Times New Roman"/>
          <w:color w:val="000000" w:themeColor="text1"/>
          <w:sz w:val="24"/>
          <w:szCs w:val="24"/>
        </w:rPr>
        <w:t xml:space="preserve"> systemically important</w:t>
      </w:r>
      <w:r w:rsidRPr="004C5128">
        <w:rPr>
          <w:rFonts w:ascii="Times New Roman" w:hAnsi="Times New Roman" w:cs="Times New Roman"/>
          <w:color w:val="000000" w:themeColor="text1"/>
          <w:sz w:val="24"/>
          <w:szCs w:val="24"/>
        </w:rPr>
        <w:t xml:space="preserve"> interest rates in key wholesale </w:t>
      </w:r>
      <w:r w:rsidR="000A647B" w:rsidRPr="004C5128">
        <w:rPr>
          <w:rFonts w:ascii="Times New Roman" w:hAnsi="Times New Roman" w:cs="Times New Roman"/>
          <w:color w:val="000000" w:themeColor="text1"/>
          <w:sz w:val="24"/>
          <w:szCs w:val="24"/>
        </w:rPr>
        <w:t>markets,</w:t>
      </w:r>
      <w:r w:rsidR="008E15BA" w:rsidRPr="004C5128">
        <w:rPr>
          <w:rFonts w:ascii="Times New Roman" w:hAnsi="Times New Roman" w:cs="Times New Roman"/>
          <w:color w:val="000000" w:themeColor="text1"/>
          <w:sz w:val="24"/>
          <w:szCs w:val="24"/>
        </w:rPr>
        <w:t xml:space="preserve"> it is clear that there is continued risk of misconduct. </w:t>
      </w:r>
      <w:r w:rsidR="00481D83" w:rsidRPr="004C5128">
        <w:rPr>
          <w:rFonts w:ascii="Times New Roman" w:hAnsi="Times New Roman" w:cs="Times New Roman"/>
          <w:color w:val="000000" w:themeColor="text1"/>
          <w:sz w:val="24"/>
          <w:szCs w:val="24"/>
        </w:rPr>
        <w:t xml:space="preserve">There is accordingly the need for serious consideration of the potential for </w:t>
      </w:r>
      <w:r w:rsidR="004C5128" w:rsidRPr="004C5128">
        <w:rPr>
          <w:rFonts w:ascii="Times New Roman" w:hAnsi="Times New Roman" w:cs="Times New Roman"/>
          <w:color w:val="000000" w:themeColor="text1"/>
          <w:sz w:val="24"/>
          <w:szCs w:val="24"/>
        </w:rPr>
        <w:t>misconduct, and what policy measures may be put in place to mitigate these risks.</w:t>
      </w:r>
    </w:p>
    <w:p w:rsidR="00651CF6" w:rsidRDefault="00651CF6" w:rsidP="00651CF6">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7" w:name="_Toc524350292"/>
      <w:r>
        <w:rPr>
          <w:rFonts w:ascii="Calibri" w:eastAsia="Arial Unicode MS" w:hAnsi="Calibri" w:cs="font331"/>
          <w:bCs/>
          <w:kern w:val="1"/>
          <w:sz w:val="44"/>
          <w:szCs w:val="28"/>
          <w:lang w:val="en-IE" w:eastAsia="hi-IN" w:bidi="hi-IN"/>
        </w:rPr>
        <w:t xml:space="preserve">Questions </w:t>
      </w:r>
      <w:proofErr w:type="gramStart"/>
      <w:r>
        <w:rPr>
          <w:rFonts w:ascii="Calibri" w:eastAsia="Arial Unicode MS" w:hAnsi="Calibri" w:cs="font331"/>
          <w:bCs/>
          <w:kern w:val="1"/>
          <w:sz w:val="44"/>
          <w:szCs w:val="28"/>
          <w:lang w:val="en-IE" w:eastAsia="hi-IN" w:bidi="hi-IN"/>
        </w:rPr>
        <w:t>raised</w:t>
      </w:r>
      <w:proofErr w:type="gramEnd"/>
      <w:r>
        <w:rPr>
          <w:rFonts w:ascii="Calibri" w:eastAsia="Arial Unicode MS" w:hAnsi="Calibri" w:cs="font331"/>
          <w:bCs/>
          <w:kern w:val="1"/>
          <w:sz w:val="44"/>
          <w:szCs w:val="28"/>
          <w:lang w:val="en-IE" w:eastAsia="hi-IN" w:bidi="hi-IN"/>
        </w:rPr>
        <w:t xml:space="preserve"> at roundtables</w:t>
      </w:r>
      <w:bookmarkEnd w:id="7"/>
    </w:p>
    <w:p w:rsidR="00651CF6" w:rsidRDefault="00651CF6" w:rsidP="00651CF6">
      <w:pPr>
        <w:rPr>
          <w:rFonts w:ascii="Times New Roman" w:hAnsi="Times New Roman" w:cs="Times New Roman"/>
          <w:color w:val="000000" w:themeColor="text1"/>
          <w:sz w:val="24"/>
          <w:szCs w:val="24"/>
          <w:lang w:val="en-IE" w:eastAsia="hi-IN" w:bidi="hi-IN"/>
        </w:rPr>
      </w:pPr>
    </w:p>
    <w:p w:rsidR="00651CF6" w:rsidRDefault="00651CF6" w:rsidP="00651CF6">
      <w:pPr>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To the extent that these que</w:t>
      </w:r>
      <w:bookmarkStart w:id="8" w:name="_GoBack"/>
      <w:bookmarkEnd w:id="8"/>
      <w:r>
        <w:rPr>
          <w:rFonts w:ascii="Times New Roman" w:hAnsi="Times New Roman" w:cs="Times New Roman"/>
          <w:color w:val="000000" w:themeColor="text1"/>
          <w:sz w:val="24"/>
          <w:szCs w:val="24"/>
          <w:lang w:val="en-IE" w:eastAsia="hi-IN" w:bidi="hi-IN"/>
        </w:rPr>
        <w:t xml:space="preserve">stions are not addressed in the above material. </w:t>
      </w:r>
    </w:p>
    <w:p w:rsidR="00651CF6" w:rsidRPr="00572F1C" w:rsidRDefault="00651CF6" w:rsidP="00651CF6">
      <w:pPr>
        <w:spacing w:before="100" w:beforeAutospacing="1" w:after="100" w:afterAutospacing="1"/>
        <w:jc w:val="both"/>
        <w:rPr>
          <w:rFonts w:ascii="Arial" w:eastAsiaTheme="minorEastAsia" w:hAnsi="Arial" w:cs="Arial"/>
          <w:color w:val="000000" w:themeColor="text1"/>
          <w:sz w:val="28"/>
          <w:szCs w:val="28"/>
          <w:lang w:val="en-AU" w:eastAsia="en-AU"/>
        </w:rPr>
      </w:pPr>
      <w:r w:rsidRPr="00572F1C">
        <w:rPr>
          <w:rFonts w:ascii="Arial" w:eastAsiaTheme="minorEastAsia" w:hAnsi="Arial" w:cs="Arial"/>
          <w:color w:val="000000" w:themeColor="text1"/>
          <w:sz w:val="28"/>
          <w:szCs w:val="28"/>
          <w:lang w:val="en-AU" w:eastAsia="en-AU"/>
        </w:rPr>
        <w:t>Defining data</w:t>
      </w:r>
    </w:p>
    <w:p w:rsidR="00651CF6"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The drafting of </w:t>
      </w:r>
      <w:proofErr w:type="gramStart"/>
      <w:r>
        <w:rPr>
          <w:rFonts w:ascii="Times New Roman" w:hAnsi="Times New Roman" w:cs="Times New Roman"/>
          <w:color w:val="000000" w:themeColor="text1"/>
          <w:sz w:val="24"/>
          <w:szCs w:val="24"/>
          <w:lang w:val="en-IE" w:eastAsia="hi-IN" w:bidi="hi-IN"/>
        </w:rPr>
        <w:t>s56AF(</w:t>
      </w:r>
      <w:proofErr w:type="gramEnd"/>
      <w:r>
        <w:rPr>
          <w:rFonts w:ascii="Times New Roman" w:hAnsi="Times New Roman" w:cs="Times New Roman"/>
          <w:color w:val="000000" w:themeColor="text1"/>
          <w:sz w:val="24"/>
          <w:szCs w:val="24"/>
          <w:lang w:val="en-IE" w:eastAsia="hi-IN" w:bidi="hi-IN"/>
        </w:rPr>
        <w:t xml:space="preserve">1) should be further refined to </w:t>
      </w:r>
      <w:r w:rsidR="000C6F20">
        <w:rPr>
          <w:rFonts w:ascii="Times New Roman" w:hAnsi="Times New Roman" w:cs="Times New Roman"/>
          <w:color w:val="000000" w:themeColor="text1"/>
          <w:sz w:val="24"/>
          <w:szCs w:val="24"/>
          <w:lang w:val="en-IE" w:eastAsia="hi-IN" w:bidi="hi-IN"/>
        </w:rPr>
        <w:t xml:space="preserve">ensure the coverage of a variety of categories of data, noting that the scope of application of the CDR can be narrowed further through the rule making process. ACCAN believes that it is important to </w:t>
      </w:r>
      <w:r>
        <w:rPr>
          <w:rFonts w:ascii="Times New Roman" w:hAnsi="Times New Roman" w:cs="Times New Roman"/>
          <w:color w:val="000000" w:themeColor="text1"/>
          <w:sz w:val="24"/>
          <w:szCs w:val="24"/>
          <w:lang w:val="en-IE" w:eastAsia="hi-IN" w:bidi="hi-IN"/>
        </w:rPr>
        <w:t xml:space="preserve">provide broad powers to the ACCC and ensure that </w:t>
      </w:r>
      <w:r w:rsidR="00764FBB">
        <w:rPr>
          <w:rFonts w:ascii="Times New Roman" w:hAnsi="Times New Roman" w:cs="Times New Roman"/>
          <w:color w:val="000000" w:themeColor="text1"/>
          <w:sz w:val="24"/>
          <w:szCs w:val="24"/>
          <w:lang w:val="en-IE" w:eastAsia="hi-IN" w:bidi="hi-IN"/>
        </w:rPr>
        <w:t>it has</w:t>
      </w:r>
      <w:r w:rsidR="000C6F20">
        <w:rPr>
          <w:rFonts w:ascii="Times New Roman" w:hAnsi="Times New Roman" w:cs="Times New Roman"/>
          <w:color w:val="000000" w:themeColor="text1"/>
          <w:sz w:val="24"/>
          <w:szCs w:val="24"/>
          <w:lang w:val="en-IE" w:eastAsia="hi-IN" w:bidi="hi-IN"/>
        </w:rPr>
        <w:t xml:space="preserve"> the ability to make rules to cover a variety of potential contingencies. </w:t>
      </w:r>
    </w:p>
    <w:p w:rsidR="00651CF6" w:rsidRDefault="003343CA"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The scope of application of the privacy safeguards should be broad, to ensure that consumers have appropriate privacy protections and an incentive to engage with the CDR framework. Clear processes should be set out for exempting entities or categories of data from protection, with the basis for doing</w:t>
      </w:r>
      <w:r w:rsidR="00764FBB">
        <w:rPr>
          <w:rFonts w:ascii="Times New Roman" w:hAnsi="Times New Roman" w:cs="Times New Roman"/>
          <w:color w:val="000000" w:themeColor="text1"/>
          <w:sz w:val="24"/>
          <w:szCs w:val="24"/>
          <w:lang w:val="en-IE" w:eastAsia="hi-IN" w:bidi="hi-IN"/>
        </w:rPr>
        <w:t xml:space="preserve"> so</w:t>
      </w:r>
      <w:r>
        <w:rPr>
          <w:rFonts w:ascii="Times New Roman" w:hAnsi="Times New Roman" w:cs="Times New Roman"/>
          <w:color w:val="000000" w:themeColor="text1"/>
          <w:sz w:val="24"/>
          <w:szCs w:val="24"/>
          <w:lang w:val="en-IE" w:eastAsia="hi-IN" w:bidi="hi-IN"/>
        </w:rPr>
        <w:t xml:space="preserve"> outlined in a public and rigorous regulatory impact assessment.  </w:t>
      </w:r>
    </w:p>
    <w:p w:rsidR="00651CF6" w:rsidRPr="00572F1C"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ACCAN believes that further refinements must be made to the definition of derived data to ensure that it adequately encapsulates all data that is derived, that pertains to consumers. A broad definition of derived data is preferable, as further refinements may be made to the scope of the data under the regulation making process, whereas an unduly restrictive definition within the legislation would preclude further refinements. </w:t>
      </w:r>
    </w:p>
    <w:p w:rsidR="00651CF6" w:rsidRDefault="00651CF6" w:rsidP="00651CF6">
      <w:pPr>
        <w:spacing w:before="100" w:beforeAutospacing="1" w:after="100" w:afterAutospacing="1"/>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Class actions</w:t>
      </w:r>
    </w:p>
    <w:p w:rsidR="00651CF6"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8"/>
          <w:lang w:val="en-AU" w:eastAsia="en-AU"/>
        </w:rPr>
      </w:pPr>
      <w:r w:rsidRPr="00037AB7">
        <w:rPr>
          <w:rFonts w:ascii="Times New Roman" w:eastAsiaTheme="minorEastAsia" w:hAnsi="Times New Roman" w:cs="Times New Roman"/>
          <w:color w:val="000000" w:themeColor="text1"/>
          <w:sz w:val="24"/>
          <w:szCs w:val="28"/>
          <w:lang w:val="en-AU" w:eastAsia="en-AU"/>
        </w:rPr>
        <w:t xml:space="preserve">The current drafting </w:t>
      </w:r>
      <w:r>
        <w:rPr>
          <w:rFonts w:ascii="Times New Roman" w:eastAsiaTheme="minorEastAsia" w:hAnsi="Times New Roman" w:cs="Times New Roman"/>
          <w:color w:val="000000" w:themeColor="text1"/>
          <w:sz w:val="24"/>
          <w:szCs w:val="28"/>
          <w:lang w:val="en-AU" w:eastAsia="en-AU"/>
        </w:rPr>
        <w:t>of provisions</w:t>
      </w:r>
      <w:r w:rsidRPr="00037AB7">
        <w:rPr>
          <w:rFonts w:ascii="Times New Roman" w:eastAsiaTheme="minorEastAsia" w:hAnsi="Times New Roman" w:cs="Times New Roman"/>
          <w:color w:val="000000" w:themeColor="text1"/>
          <w:sz w:val="24"/>
          <w:szCs w:val="28"/>
          <w:lang w:val="en-AU" w:eastAsia="en-AU"/>
        </w:rPr>
        <w:t xml:space="preserve"> do not appear to be class action friendly</w:t>
      </w:r>
      <w:r>
        <w:rPr>
          <w:rFonts w:ascii="Times New Roman" w:eastAsiaTheme="minorEastAsia" w:hAnsi="Times New Roman" w:cs="Times New Roman"/>
          <w:color w:val="000000" w:themeColor="text1"/>
          <w:sz w:val="24"/>
          <w:szCs w:val="28"/>
          <w:lang w:val="en-AU" w:eastAsia="en-AU"/>
        </w:rPr>
        <w:t>, when read in the context of the relevant division.</w:t>
      </w:r>
      <w:r w:rsidRPr="00E575ED">
        <w:rPr>
          <w:rStyle w:val="FootnoteReference"/>
        </w:rPr>
        <w:footnoteReference w:id="5"/>
      </w:r>
      <w:r>
        <w:rPr>
          <w:rFonts w:ascii="Times New Roman" w:eastAsiaTheme="minorEastAsia" w:hAnsi="Times New Roman" w:cs="Times New Roman"/>
          <w:color w:val="000000" w:themeColor="text1"/>
          <w:sz w:val="24"/>
          <w:szCs w:val="28"/>
          <w:lang w:val="en-AU" w:eastAsia="en-AU"/>
        </w:rPr>
        <w:t xml:space="preserve"> Although, the individual text of the provisions is appropriate when read individually, the interaction of s82, with the jurisdictional limitations set out in s86AA may preclude a class of applicants obtaining damages in excess of $750,000, noting that the current drafting of s86AA is ambiguous as to whether regulation may operate to set a higher cap.</w:t>
      </w:r>
    </w:p>
    <w:p w:rsidR="00651CF6"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8"/>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9920" behindDoc="0" locked="0" layoutInCell="1" allowOverlap="1" wp14:anchorId="2E181270" wp14:editId="6C883152">
                <wp:simplePos x="0" y="0"/>
                <wp:positionH relativeFrom="column">
                  <wp:posOffset>0</wp:posOffset>
                </wp:positionH>
                <wp:positionV relativeFrom="paragraph">
                  <wp:posOffset>-2451</wp:posOffset>
                </wp:positionV>
                <wp:extent cx="5720080" cy="888643"/>
                <wp:effectExtent l="0" t="0" r="7620" b="13335"/>
                <wp:wrapNone/>
                <wp:docPr id="24" name="Text Box 24"/>
                <wp:cNvGraphicFramePr/>
                <a:graphic xmlns:a="http://schemas.openxmlformats.org/drawingml/2006/main">
                  <a:graphicData uri="http://schemas.microsoft.com/office/word/2010/wordprocessingShape">
                    <wps:wsp>
                      <wps:cNvSpPr txBox="1"/>
                      <wps:spPr>
                        <a:xfrm>
                          <a:off x="0" y="0"/>
                          <a:ext cx="5720080" cy="888643"/>
                        </a:xfrm>
                        <a:prstGeom prst="rect">
                          <a:avLst/>
                        </a:prstGeom>
                        <a:solidFill>
                          <a:sysClr val="window" lastClr="FFFFFF"/>
                        </a:solidFill>
                        <a:ln w="6350">
                          <a:solidFill>
                            <a:srgbClr val="00B0F0"/>
                          </a:solidFill>
                        </a:ln>
                      </wps:spPr>
                      <wps:txbx>
                        <w:txbxContent>
                          <w:p w:rsidR="00DD5468" w:rsidRPr="00C35DED" w:rsidRDefault="00DD5468" w:rsidP="00651CF6">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8</w:t>
                            </w:r>
                          </w:p>
                          <w:p w:rsidR="00DD5468" w:rsidRPr="00C35DED" w:rsidRDefault="00DD5468" w:rsidP="00651CF6">
                            <w:pPr>
                              <w:jc w:val="both"/>
                              <w:rPr>
                                <w:rFonts w:ascii="Times New Roman" w:hAnsi="Times New Roman" w:cs="Times New Roman"/>
                              </w:rPr>
                            </w:pPr>
                            <w:r w:rsidRPr="00C35DED">
                              <w:rPr>
                                <w:rFonts w:ascii="Times New Roman" w:hAnsi="Times New Roman" w:cs="Times New Roman"/>
                                <w:i/>
                              </w:rPr>
                              <w:t xml:space="preserve">That Treasury </w:t>
                            </w:r>
                            <w:proofErr w:type="gramStart"/>
                            <w:r w:rsidRPr="00C35DED">
                              <w:rPr>
                                <w:rFonts w:ascii="Times New Roman" w:hAnsi="Times New Roman" w:cs="Times New Roman"/>
                                <w:i/>
                              </w:rPr>
                              <w:t>amend</w:t>
                            </w:r>
                            <w:proofErr w:type="gramEnd"/>
                            <w:r w:rsidRPr="00C35DED">
                              <w:rPr>
                                <w:rFonts w:ascii="Times New Roman" w:hAnsi="Times New Roman" w:cs="Times New Roman"/>
                                <w:i/>
                              </w:rPr>
                              <w:t xml:space="preserve"> the </w:t>
                            </w:r>
                            <w:r w:rsidRPr="00C35DED">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1" type="#_x0000_t202" style="position:absolute;left:0;text-align:left;margin-left:0;margin-top:-.2pt;width:450.4pt;height:6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" fillcolor="window" strokecolor="#00b0f0" strokeweight=".5pt">
                <v:textbox>
                  <w:txbxContent>
                    <w:p w:rsidR="00DD5468" w:rsidRPr="00C35DED" w:rsidRDefault="00DD5468" w:rsidP="00651CF6">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8</w:t>
                      </w:r>
                    </w:p>
                    <w:p w:rsidR="00DD5468" w:rsidRPr="00C35DED" w:rsidRDefault="00DD5468" w:rsidP="00651CF6">
                      <w:pPr>
                        <w:jc w:val="both"/>
                        <w:rPr>
                          <w:rFonts w:ascii="Times New Roman" w:hAnsi="Times New Roman" w:cs="Times New Roman"/>
                        </w:rPr>
                      </w:pPr>
                      <w:r w:rsidRPr="00C35DED">
                        <w:rPr>
                          <w:rFonts w:ascii="Times New Roman" w:hAnsi="Times New Roman" w:cs="Times New Roman"/>
                          <w:i/>
                        </w:rPr>
                        <w:t xml:space="preserve">That Treasury </w:t>
                      </w:r>
                      <w:proofErr w:type="gramStart"/>
                      <w:r w:rsidRPr="00C35DED">
                        <w:rPr>
                          <w:rFonts w:ascii="Times New Roman" w:hAnsi="Times New Roman" w:cs="Times New Roman"/>
                          <w:i/>
                        </w:rPr>
                        <w:t>amend</w:t>
                      </w:r>
                      <w:proofErr w:type="gramEnd"/>
                      <w:r w:rsidRPr="00C35DED">
                        <w:rPr>
                          <w:rFonts w:ascii="Times New Roman" w:hAnsi="Times New Roman" w:cs="Times New Roman"/>
                          <w:i/>
                        </w:rPr>
                        <w:t xml:space="preserve"> the </w:t>
                      </w:r>
                      <w:r w:rsidRPr="00C35DED">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v:textbox>
              </v:shape>
            </w:pict>
          </mc:Fallback>
        </mc:AlternateContent>
      </w:r>
    </w:p>
    <w:p w:rsidR="00651CF6"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p>
    <w:p w:rsidR="00B11CDF" w:rsidRDefault="00B11CDF"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B11CDF" w:rsidRDefault="00B11CDF"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B92BDC" w:rsidRDefault="00B92BDC"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F9783D" w:rsidRPr="004502CA" w:rsidRDefault="00F9783D" w:rsidP="004502CA">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Non-economic loss</w:t>
      </w:r>
    </w:p>
    <w:p w:rsidR="00F9783D" w:rsidRPr="00AE1D9C" w:rsidRDefault="00F9783D" w:rsidP="00F9783D">
      <w:pPr>
        <w:spacing w:before="100" w:beforeAutospacing="1" w:after="100" w:afterAutospacing="1"/>
        <w:jc w:val="both"/>
        <w:rPr>
          <w:rFonts w:ascii="Times New Roman" w:eastAsia="Arial Unicode MS" w:hAnsi="Times New Roman" w:cs="Times New Roman"/>
          <w:color w:val="FF0000"/>
          <w:sz w:val="24"/>
          <w:lang w:val="en-IE" w:eastAsia="en-AU" w:bidi="hi-IN"/>
        </w:rPr>
      </w:pPr>
      <w:r w:rsidRPr="003D4E72">
        <w:rPr>
          <w:rFonts w:ascii="Times New Roman" w:eastAsia="Arial Unicode MS" w:hAnsi="Times New Roman" w:cs="Times New Roman"/>
          <w:sz w:val="24"/>
          <w:lang w:val="en-IE" w:eastAsia="en-AU" w:bidi="hi-IN"/>
        </w:rPr>
        <w:t xml:space="preserve">ACCAN supports a broad definition of non-economic loss, that both reflect the material detriment that an individual may face at a personal level as a result of a breach of their privacy. </w:t>
      </w:r>
      <w:r>
        <w:rPr>
          <w:rFonts w:ascii="Times New Roman" w:eastAsia="Arial Unicode MS" w:hAnsi="Times New Roman" w:cs="Times New Roman"/>
          <w:sz w:val="24"/>
          <w:lang w:val="en-IE" w:eastAsia="en-AU" w:bidi="hi-IN"/>
        </w:rPr>
        <w:t>Although not a penalty, and therefore not intended to deter, it is important that custodians of data are aware of the material losses that flow from data breaches for individuals, and therefore inclusion of a person’s feelings or sense of loss is appropriate.</w:t>
      </w:r>
    </w:p>
    <w:p w:rsidR="00F9783D" w:rsidRPr="004502CA" w:rsidRDefault="00F9783D" w:rsidP="004502CA">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It is also appropriate that consumers have access to exemplary or treble damages within the framework given the significant costs that consumers may face when seeking redress. In the absence of triple or exemplary damages consumers may suffer material loss, but be rationally apathetic and fail to seek compensation as the costs of doing so may exceed the compensation they may receive </w:t>
      </w:r>
      <w:r w:rsidRPr="009039AD">
        <w:rPr>
          <w:rFonts w:ascii="Times New Roman" w:hAnsi="Times New Roman" w:cs="Times New Roman"/>
          <w:sz w:val="24"/>
        </w:rPr>
        <w:t>(</w:t>
      </w:r>
      <w:proofErr w:type="spellStart"/>
      <w:r w:rsidRPr="009039AD">
        <w:rPr>
          <w:rFonts w:ascii="Times New Roman" w:hAnsi="Times New Roman" w:cs="Times New Roman"/>
          <w:sz w:val="24"/>
        </w:rPr>
        <w:t>Kaplow</w:t>
      </w:r>
      <w:proofErr w:type="spellEnd"/>
      <w:r w:rsidRPr="009039AD">
        <w:rPr>
          <w:rFonts w:ascii="Times New Roman" w:hAnsi="Times New Roman" w:cs="Times New Roman"/>
          <w:sz w:val="24"/>
        </w:rPr>
        <w:t xml:space="preserve"> 1986; </w:t>
      </w:r>
      <w:proofErr w:type="spellStart"/>
      <w:r w:rsidRPr="009039AD">
        <w:rPr>
          <w:rFonts w:ascii="Times New Roman" w:hAnsi="Times New Roman" w:cs="Times New Roman"/>
          <w:sz w:val="24"/>
        </w:rPr>
        <w:t>Shavell</w:t>
      </w:r>
      <w:proofErr w:type="spellEnd"/>
      <w:r w:rsidRPr="009039AD">
        <w:rPr>
          <w:rFonts w:ascii="Times New Roman" w:hAnsi="Times New Roman" w:cs="Times New Roman"/>
          <w:sz w:val="24"/>
        </w:rPr>
        <w:t xml:space="preserve"> 1982)</w:t>
      </w:r>
      <w:r w:rsidRPr="00137C87">
        <w:rPr>
          <w:rFonts w:ascii="Times New Roman" w:eastAsia="Arial Unicode MS" w:hAnsi="Times New Roman" w:cs="Times New Roman"/>
          <w:sz w:val="24"/>
          <w:lang w:val="en-IE" w:eastAsia="en-AU" w:bidi="hi-IN"/>
        </w:rPr>
        <w:t>.</w:t>
      </w:r>
      <w:r>
        <w:rPr>
          <w:rFonts w:ascii="Times New Roman" w:eastAsia="Arial Unicode MS" w:hAnsi="Times New Roman" w:cs="Times New Roman"/>
          <w:sz w:val="24"/>
          <w:lang w:val="en-IE" w:eastAsia="en-AU" w:bidi="hi-IN"/>
        </w:rPr>
        <w:t xml:space="preserve"> </w:t>
      </w:r>
    </w:p>
    <w:p w:rsidR="00651CF6" w:rsidRPr="004C3A18"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Civil penalty provisions</w:t>
      </w:r>
    </w:p>
    <w:p w:rsidR="00651CF6"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ACCAN generally supports the civil penalty provisions set out within the draft legislation. However, we believe that there is a need for the legislation to incorporate exemplary penalties, where a party seeks to use consumer data for the purposes of collusion or targeted price discrimination against vulnerable populations, or where data is used to re-identified individuals.</w:t>
      </w:r>
    </w:p>
    <w:p w:rsidR="00651CF6" w:rsidRPr="00E477A9"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sidRPr="00A366DB">
        <w:rPr>
          <w:rFonts w:ascii="Arial" w:eastAsiaTheme="minorEastAsia" w:hAnsi="Arial" w:cs="Arial"/>
          <w:color w:val="000000" w:themeColor="text1"/>
          <w:sz w:val="28"/>
          <w:szCs w:val="28"/>
          <w:lang w:val="en-AU" w:eastAsia="en-AU"/>
        </w:rPr>
        <w:t xml:space="preserve">Standards </w:t>
      </w:r>
    </w:p>
    <w:p w:rsidR="00651CF6" w:rsidRPr="00E477A9"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E477A9">
        <w:rPr>
          <w:rFonts w:ascii="Times New Roman" w:eastAsiaTheme="minorEastAsia" w:hAnsi="Times New Roman" w:cs="Times New Roman"/>
          <w:color w:val="000000" w:themeColor="text1"/>
          <w:sz w:val="24"/>
          <w:szCs w:val="24"/>
          <w:lang w:val="en-AU" w:eastAsia="en-AU"/>
        </w:rPr>
        <w:t xml:space="preserve">Although supportive of regulatory flexibility with respect to voluntary and mandatory standards, ACCAN believes that further information is required with respect to the characterisation of standards as forming a multi-lateral contract. The protections, remedies and penalties that may flow from a multi-party contractual structure are distinct from those that would otherwise flow from regulatory, administrative or criminal processes. </w:t>
      </w:r>
    </w:p>
    <w:p w:rsidR="00651CF6" w:rsidRPr="00E477A9"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E477A9">
        <w:rPr>
          <w:rFonts w:ascii="Times New Roman" w:eastAsiaTheme="minorEastAsia" w:hAnsi="Times New Roman" w:cs="Times New Roman"/>
          <w:color w:val="000000" w:themeColor="text1"/>
          <w:sz w:val="24"/>
          <w:szCs w:val="24"/>
          <w:lang w:val="en-AU" w:eastAsia="en-AU"/>
        </w:rPr>
        <w:t>There is therefore a need for clarity concerning how standards are intended to operate, noting that these complexities may have a material bearing on how these standards practically operate.</w:t>
      </w:r>
      <w:r>
        <w:rPr>
          <w:rFonts w:ascii="Times New Roman" w:eastAsiaTheme="minorEastAsia" w:hAnsi="Times New Roman" w:cs="Times New Roman"/>
          <w:color w:val="000000" w:themeColor="text1"/>
          <w:sz w:val="24"/>
          <w:szCs w:val="24"/>
          <w:lang w:val="en-AU" w:eastAsia="en-AU"/>
        </w:rPr>
        <w:t xml:space="preserve"> </w:t>
      </w:r>
    </w:p>
    <w:p w:rsidR="00651CF6" w:rsidRPr="00824104" w:rsidRDefault="00651CF6" w:rsidP="00CD7168">
      <w:pPr>
        <w:spacing w:before="100" w:beforeAutospacing="1" w:after="100" w:afterAutospacing="1"/>
        <w:jc w:val="both"/>
        <w:rPr>
          <w:rFonts w:ascii="Times New Roman" w:eastAsiaTheme="minorEastAsia" w:hAnsi="Times New Roman" w:cs="Times New Roman"/>
          <w:color w:val="FF0000"/>
          <w:sz w:val="24"/>
          <w:szCs w:val="24"/>
          <w:lang w:val="en-AU" w:eastAsia="en-AU"/>
        </w:rPr>
      </w:pPr>
    </w:p>
    <w:p w:rsidR="00DD0AEA" w:rsidRPr="00DD0AEA" w:rsidRDefault="00DD0AEA" w:rsidP="00DD0AEA">
      <w:pPr>
        <w:keepNext/>
        <w:keepLines/>
        <w:pageBreakBefore/>
        <w:suppressAutoHyphens/>
        <w:spacing w:before="28" w:after="240" w:line="240" w:lineRule="auto"/>
        <w:jc w:val="both"/>
        <w:outlineLvl w:val="0"/>
        <w:rPr>
          <w:rFonts w:ascii="Calibri" w:eastAsia="Arial Unicode MS" w:hAnsi="Calibri" w:cs="font331"/>
          <w:bCs/>
          <w:kern w:val="1"/>
          <w:sz w:val="44"/>
          <w:szCs w:val="28"/>
          <w:lang w:val="en-IE" w:eastAsia="hi-IN" w:bidi="hi-IN"/>
        </w:rPr>
      </w:pPr>
      <w:bookmarkStart w:id="9" w:name="_Toc524350293"/>
      <w:r w:rsidRPr="00DD0AEA">
        <w:rPr>
          <w:rFonts w:ascii="Calibri" w:eastAsia="Arial Unicode MS" w:hAnsi="Calibri" w:cs="font331"/>
          <w:bCs/>
          <w:kern w:val="1"/>
          <w:sz w:val="44"/>
          <w:szCs w:val="28"/>
          <w:lang w:val="en-IE" w:eastAsia="hi-IN" w:bidi="hi-IN"/>
        </w:rPr>
        <w:t>Reference List</w:t>
      </w:r>
      <w:bookmarkEnd w:id="9"/>
    </w:p>
    <w:p w:rsidR="00B34855" w:rsidRDefault="00B34855" w:rsidP="00B34855">
      <w:pPr>
        <w:pStyle w:val="Bibliography"/>
        <w:rPr>
          <w:rFonts w:ascii="Times New Roman" w:hAnsi="Times New Roman" w:cs="Times New Roman"/>
          <w:szCs w:val="24"/>
        </w:rPr>
      </w:pPr>
      <w:r>
        <w:rPr>
          <w:rFonts w:ascii="Times New Roman" w:hAnsi="Times New Roman" w:cs="Times New Roman"/>
          <w:szCs w:val="24"/>
        </w:rPr>
        <w:t>ABS (</w:t>
      </w:r>
      <w:r w:rsidRPr="00A60CD9">
        <w:rPr>
          <w:rFonts w:ascii="Times New Roman" w:hAnsi="Times New Roman" w:cs="Times New Roman"/>
          <w:szCs w:val="24"/>
        </w:rPr>
        <w:t>Australian Bureau of Statistics</w:t>
      </w:r>
      <w:r>
        <w:rPr>
          <w:rFonts w:ascii="Times New Roman" w:hAnsi="Times New Roman" w:cs="Times New Roman"/>
          <w:szCs w:val="24"/>
        </w:rPr>
        <w:t>)</w:t>
      </w:r>
      <w:r w:rsidRPr="00A60CD9">
        <w:rPr>
          <w:rFonts w:ascii="Times New Roman" w:hAnsi="Times New Roman" w:cs="Times New Roman"/>
          <w:szCs w:val="24"/>
        </w:rPr>
        <w:t xml:space="preserve"> 2017, </w:t>
      </w:r>
      <w:r w:rsidRPr="00A60CD9">
        <w:rPr>
          <w:rFonts w:ascii="Times New Roman" w:hAnsi="Times New Roman" w:cs="Times New Roman"/>
          <w:i/>
          <w:iCs/>
          <w:szCs w:val="24"/>
        </w:rPr>
        <w:t>Household Expenditure Survey, Australia: Summary of Results, 2015-16</w:t>
      </w:r>
      <w:r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ACCC</w:t>
      </w:r>
      <w:r>
        <w:rPr>
          <w:rFonts w:ascii="Times New Roman" w:hAnsi="Times New Roman" w:cs="Times New Roman"/>
          <w:szCs w:val="24"/>
        </w:rPr>
        <w:t xml:space="preserve"> (Australian Competition and Consumer Commission)</w:t>
      </w:r>
      <w:r w:rsidRPr="00A60CD9">
        <w:rPr>
          <w:rFonts w:ascii="Times New Roman" w:hAnsi="Times New Roman" w:cs="Times New Roman"/>
          <w:szCs w:val="24"/>
        </w:rPr>
        <w:t xml:space="preserve"> 2018</w:t>
      </w:r>
      <w:r>
        <w:rPr>
          <w:rFonts w:ascii="Times New Roman" w:hAnsi="Times New Roman" w:cs="Times New Roman"/>
          <w:szCs w:val="24"/>
        </w:rPr>
        <w:t>a</w:t>
      </w:r>
      <w:r w:rsidRPr="00A60CD9">
        <w:rPr>
          <w:rFonts w:ascii="Times New Roman" w:hAnsi="Times New Roman" w:cs="Times New Roman"/>
          <w:szCs w:val="24"/>
        </w:rPr>
        <w:t xml:space="preserve">, </w:t>
      </w:r>
      <w:r w:rsidRPr="00A60CD9">
        <w:rPr>
          <w:rFonts w:ascii="Times New Roman" w:hAnsi="Times New Roman" w:cs="Times New Roman"/>
          <w:i/>
          <w:iCs/>
          <w:szCs w:val="24"/>
        </w:rPr>
        <w:t>Retail Electricity Pricing Inquiry—Final Report</w:t>
      </w:r>
      <w:r w:rsidRPr="00A60CD9">
        <w:rPr>
          <w:rFonts w:ascii="Times New Roman" w:hAnsi="Times New Roman" w:cs="Times New Roman"/>
          <w:szCs w:val="24"/>
        </w:rPr>
        <w:t>.</w:t>
      </w:r>
      <w:proofErr w:type="gramEnd"/>
    </w:p>
    <w:p w:rsidR="00A60CD9" w:rsidRDefault="00A60CD9" w:rsidP="00A60CD9">
      <w:pPr>
        <w:pStyle w:val="Bibliography"/>
        <w:rPr>
          <w:rFonts w:ascii="Times New Roman" w:hAnsi="Times New Roman" w:cs="Times New Roman"/>
          <w:szCs w:val="24"/>
        </w:rPr>
      </w:pPr>
      <w:proofErr w:type="gramStart"/>
      <w:r>
        <w:rPr>
          <w:rFonts w:ascii="Times New Roman" w:hAnsi="Times New Roman" w:cs="Times New Roman"/>
          <w:szCs w:val="24"/>
        </w:rPr>
        <w:t>ACCC (</w:t>
      </w:r>
      <w:r w:rsidRPr="00A60CD9">
        <w:rPr>
          <w:rFonts w:ascii="Times New Roman" w:hAnsi="Times New Roman" w:cs="Times New Roman"/>
          <w:szCs w:val="24"/>
        </w:rPr>
        <w:t>Australian Competition and Consumer Commission</w:t>
      </w:r>
      <w:r>
        <w:rPr>
          <w:rFonts w:ascii="Times New Roman" w:hAnsi="Times New Roman" w:cs="Times New Roman"/>
          <w:szCs w:val="24"/>
        </w:rPr>
        <w:t>)</w:t>
      </w:r>
      <w:r w:rsidRPr="00A60CD9">
        <w:rPr>
          <w:rFonts w:ascii="Times New Roman" w:hAnsi="Times New Roman" w:cs="Times New Roman"/>
          <w:szCs w:val="24"/>
        </w:rPr>
        <w:t xml:space="preserve"> 2018</w:t>
      </w:r>
      <w:r>
        <w:rPr>
          <w:rFonts w:ascii="Times New Roman" w:hAnsi="Times New Roman" w:cs="Times New Roman"/>
          <w:szCs w:val="24"/>
        </w:rPr>
        <w:t>b</w:t>
      </w:r>
      <w:r w:rsidRPr="00A60CD9">
        <w:rPr>
          <w:rFonts w:ascii="Times New Roman" w:hAnsi="Times New Roman" w:cs="Times New Roman"/>
          <w:szCs w:val="24"/>
        </w:rPr>
        <w:t xml:space="preserve">, </w:t>
      </w:r>
      <w:r w:rsidRPr="00A60CD9">
        <w:rPr>
          <w:rFonts w:ascii="Times New Roman" w:hAnsi="Times New Roman" w:cs="Times New Roman"/>
          <w:i/>
          <w:iCs/>
          <w:szCs w:val="24"/>
        </w:rPr>
        <w:t>Communications Sector Market Study</w:t>
      </w:r>
      <w:r>
        <w:rPr>
          <w:rFonts w:ascii="Times New Roman" w:hAnsi="Times New Roman" w:cs="Times New Roman"/>
          <w:szCs w:val="24"/>
        </w:rPr>
        <w:t>.</w:t>
      </w:r>
      <w:proofErr w:type="gramEnd"/>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Acquisti</w:t>
      </w:r>
      <w:proofErr w:type="spellEnd"/>
      <w:r w:rsidRPr="00A60CD9">
        <w:rPr>
          <w:rFonts w:ascii="Times New Roman" w:hAnsi="Times New Roman" w:cs="Times New Roman"/>
          <w:szCs w:val="24"/>
        </w:rPr>
        <w:t xml:space="preserve">, A., John, L.K. &amp; </w:t>
      </w:r>
      <w:proofErr w:type="spellStart"/>
      <w:r w:rsidRPr="00A60CD9">
        <w:rPr>
          <w:rFonts w:ascii="Times New Roman" w:hAnsi="Times New Roman" w:cs="Times New Roman"/>
          <w:szCs w:val="24"/>
        </w:rPr>
        <w:t>Loewenstein</w:t>
      </w:r>
      <w:proofErr w:type="spellEnd"/>
      <w:r w:rsidRPr="00A60CD9">
        <w:rPr>
          <w:rFonts w:ascii="Times New Roman" w:hAnsi="Times New Roman" w:cs="Times New Roman"/>
          <w:szCs w:val="24"/>
        </w:rPr>
        <w:t xml:space="preserve">, G. 2013, ‘What is privacy worth?’, </w:t>
      </w:r>
      <w:r w:rsidRPr="00A60CD9">
        <w:rPr>
          <w:rFonts w:ascii="Times New Roman" w:hAnsi="Times New Roman" w:cs="Times New Roman"/>
          <w:i/>
          <w:iCs/>
          <w:szCs w:val="24"/>
        </w:rPr>
        <w:t>The Journal of Legal Studies</w:t>
      </w:r>
      <w:r w:rsidRPr="00A60CD9">
        <w:rPr>
          <w:rFonts w:ascii="Times New Roman" w:hAnsi="Times New Roman" w:cs="Times New Roman"/>
          <w:szCs w:val="24"/>
        </w:rPr>
        <w:t>, vol. 42, no. 2, pp. 249–74.</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Akerlof</w:t>
      </w:r>
      <w:proofErr w:type="spellEnd"/>
      <w:r w:rsidRPr="00A60CD9">
        <w:rPr>
          <w:rFonts w:ascii="Times New Roman" w:hAnsi="Times New Roman" w:cs="Times New Roman"/>
          <w:szCs w:val="24"/>
        </w:rPr>
        <w:t xml:space="preserve">, G. 1970, ‘The Market for “Lemons” Quality Uncertainty and the Market Mechanism’, </w:t>
      </w:r>
      <w:r w:rsidRPr="00A60CD9">
        <w:rPr>
          <w:rFonts w:ascii="Times New Roman" w:hAnsi="Times New Roman" w:cs="Times New Roman"/>
          <w:i/>
          <w:iCs/>
          <w:szCs w:val="24"/>
        </w:rPr>
        <w:t>Quarterly Journal of Economics</w:t>
      </w:r>
      <w:r w:rsidRPr="00A60CD9">
        <w:rPr>
          <w:rFonts w:ascii="Times New Roman" w:hAnsi="Times New Roman" w:cs="Times New Roman"/>
          <w:szCs w:val="24"/>
        </w:rPr>
        <w:t>, vol. 84, no. 3, pp. 488–500.</w:t>
      </w:r>
    </w:p>
    <w:p w:rsidR="00A60CD9" w:rsidRPr="00A60CD9" w:rsidRDefault="00A60CD9" w:rsidP="00A60CD9">
      <w:pPr>
        <w:pStyle w:val="Bibliography"/>
        <w:rPr>
          <w:rFonts w:ascii="Times New Roman" w:hAnsi="Times New Roman" w:cs="Times New Roman"/>
          <w:szCs w:val="24"/>
        </w:rPr>
      </w:pPr>
      <w:r>
        <w:rPr>
          <w:rFonts w:ascii="Times New Roman" w:hAnsi="Times New Roman" w:cs="Times New Roman"/>
          <w:szCs w:val="24"/>
        </w:rPr>
        <w:t>ACMA (</w:t>
      </w:r>
      <w:r w:rsidRPr="00A60CD9">
        <w:rPr>
          <w:rFonts w:ascii="Times New Roman" w:hAnsi="Times New Roman" w:cs="Times New Roman"/>
          <w:szCs w:val="24"/>
        </w:rPr>
        <w:t>Australian Communications and Media Authority</w:t>
      </w:r>
      <w:r>
        <w:rPr>
          <w:rFonts w:ascii="Times New Roman" w:hAnsi="Times New Roman" w:cs="Times New Roman"/>
          <w:szCs w:val="24"/>
        </w:rPr>
        <w:t>)</w:t>
      </w:r>
      <w:r w:rsidRPr="00A60CD9">
        <w:rPr>
          <w:rFonts w:ascii="Times New Roman" w:hAnsi="Times New Roman" w:cs="Times New Roman"/>
          <w:szCs w:val="24"/>
        </w:rPr>
        <w:t xml:space="preserve"> 2018, </w:t>
      </w:r>
      <w:r w:rsidRPr="00A60CD9">
        <w:rPr>
          <w:rFonts w:ascii="Times New Roman" w:hAnsi="Times New Roman" w:cs="Times New Roman"/>
          <w:i/>
          <w:iCs/>
          <w:szCs w:val="24"/>
        </w:rPr>
        <w:t>NBN Consumer Experience - Residential Research Snapshot</w:t>
      </w:r>
      <w:r w:rsidRPr="00A60CD9">
        <w:rPr>
          <w:rFonts w:ascii="Times New Roman" w:hAnsi="Times New Roman" w:cs="Times New Roman"/>
          <w:szCs w:val="24"/>
        </w:rPr>
        <w:t>, trans. ACMA</w:t>
      </w:r>
      <w:proofErr w:type="gramStart"/>
      <w:r w:rsidRPr="00A60CD9">
        <w:rPr>
          <w:rFonts w:ascii="Times New Roman" w:hAnsi="Times New Roman" w:cs="Times New Roman"/>
          <w:szCs w:val="24"/>
        </w:rPr>
        <w:t>,.</w:t>
      </w:r>
      <w:proofErr w:type="gramEnd"/>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Ayres, I. &amp; Schwartz, A. 2014, ‘The no-reading problem in consumer contract law’, </w:t>
      </w:r>
      <w:r w:rsidRPr="00A60CD9">
        <w:rPr>
          <w:rFonts w:ascii="Times New Roman" w:hAnsi="Times New Roman" w:cs="Times New Roman"/>
          <w:i/>
          <w:iCs/>
          <w:szCs w:val="24"/>
        </w:rPr>
        <w:t>Stan.</w:t>
      </w:r>
      <w:proofErr w:type="gramEnd"/>
      <w:r w:rsidRPr="00A60CD9">
        <w:rPr>
          <w:rFonts w:ascii="Times New Roman" w:hAnsi="Times New Roman" w:cs="Times New Roman"/>
          <w:i/>
          <w:iCs/>
          <w:szCs w:val="24"/>
        </w:rPr>
        <w:t xml:space="preserve"> L. Rev.</w:t>
      </w:r>
      <w:r w:rsidRPr="00A60CD9">
        <w:rPr>
          <w:rFonts w:ascii="Times New Roman" w:hAnsi="Times New Roman" w:cs="Times New Roman"/>
          <w:szCs w:val="24"/>
        </w:rPr>
        <w:t>, vol. 66, p. 545.</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Ben-</w:t>
      </w:r>
      <w:proofErr w:type="spellStart"/>
      <w:r w:rsidRPr="00A60CD9">
        <w:rPr>
          <w:rFonts w:ascii="Times New Roman" w:hAnsi="Times New Roman" w:cs="Times New Roman"/>
          <w:szCs w:val="24"/>
        </w:rPr>
        <w:t>Shahar</w:t>
      </w:r>
      <w:proofErr w:type="spellEnd"/>
      <w:r w:rsidRPr="00A60CD9">
        <w:rPr>
          <w:rFonts w:ascii="Times New Roman" w:hAnsi="Times New Roman" w:cs="Times New Roman"/>
          <w:szCs w:val="24"/>
        </w:rPr>
        <w:t xml:space="preserve">, O. 2009, ‘The Myth of the ‘Opportunity to </w:t>
      </w:r>
      <w:proofErr w:type="spellStart"/>
      <w:r w:rsidRPr="00A60CD9">
        <w:rPr>
          <w:rFonts w:ascii="Times New Roman" w:hAnsi="Times New Roman" w:cs="Times New Roman"/>
          <w:szCs w:val="24"/>
        </w:rPr>
        <w:t>Read’in</w:t>
      </w:r>
      <w:proofErr w:type="spellEnd"/>
      <w:r w:rsidRPr="00A60CD9">
        <w:rPr>
          <w:rFonts w:ascii="Times New Roman" w:hAnsi="Times New Roman" w:cs="Times New Roman"/>
          <w:szCs w:val="24"/>
        </w:rPr>
        <w:t xml:space="preserve"> Contract law’, </w:t>
      </w:r>
      <w:r w:rsidRPr="00A60CD9">
        <w:rPr>
          <w:rFonts w:ascii="Times New Roman" w:hAnsi="Times New Roman" w:cs="Times New Roman"/>
          <w:i/>
          <w:iCs/>
          <w:szCs w:val="24"/>
        </w:rPr>
        <w:t>European Review of Contract Law</w:t>
      </w:r>
      <w:r w:rsidRPr="00A60CD9">
        <w:rPr>
          <w:rFonts w:ascii="Times New Roman" w:hAnsi="Times New Roman" w:cs="Times New Roman"/>
          <w:szCs w:val="24"/>
        </w:rPr>
        <w:t>, vol. 5, no. 1, pp. 1–28.</w:t>
      </w:r>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BCAR (</w:t>
      </w:r>
      <w:r w:rsidR="00A60CD9" w:rsidRPr="00A60CD9">
        <w:rPr>
          <w:rFonts w:ascii="Times New Roman" w:hAnsi="Times New Roman" w:cs="Times New Roman"/>
          <w:szCs w:val="24"/>
        </w:rPr>
        <w:t>Bureau of Communications and Arts Research</w:t>
      </w:r>
      <w:r>
        <w:rPr>
          <w:rFonts w:ascii="Times New Roman" w:hAnsi="Times New Roman" w:cs="Times New Roman"/>
          <w:szCs w:val="24"/>
        </w:rPr>
        <w:t>)</w:t>
      </w:r>
      <w:r w:rsidR="00A60CD9" w:rsidRPr="00A60CD9">
        <w:rPr>
          <w:rFonts w:ascii="Times New Roman" w:hAnsi="Times New Roman" w:cs="Times New Roman"/>
          <w:szCs w:val="24"/>
        </w:rPr>
        <w:t xml:space="preserve"> 2017, </w:t>
      </w:r>
      <w:r w:rsidR="00A60CD9" w:rsidRPr="00A60CD9">
        <w:rPr>
          <w:rFonts w:ascii="Times New Roman" w:hAnsi="Times New Roman" w:cs="Times New Roman"/>
          <w:i/>
          <w:iCs/>
          <w:szCs w:val="24"/>
        </w:rPr>
        <w:t>Trends and drivers in the affordability of communications services for Australian Households</w:t>
      </w:r>
      <w:r w:rsidR="00A60CD9" w:rsidRPr="00A60CD9">
        <w:rPr>
          <w:rFonts w:ascii="Times New Roman" w:hAnsi="Times New Roman" w:cs="Times New Roman"/>
          <w:szCs w:val="24"/>
        </w:rPr>
        <w:t>, Working Paper, Canberra.</w:t>
      </w:r>
      <w:proofErr w:type="gramEnd"/>
    </w:p>
    <w:p w:rsidR="00A60CD9" w:rsidRPr="00A60CD9" w:rsidRDefault="00A60CD9" w:rsidP="00A60CD9">
      <w:pPr>
        <w:pStyle w:val="Bibliography"/>
        <w:rPr>
          <w:rFonts w:ascii="Times New Roman" w:hAnsi="Times New Roman" w:cs="Times New Roman"/>
          <w:szCs w:val="24"/>
        </w:rPr>
      </w:pPr>
      <w:proofErr w:type="spellStart"/>
      <w:proofErr w:type="gramStart"/>
      <w:r w:rsidRPr="00A60CD9">
        <w:rPr>
          <w:rFonts w:ascii="Times New Roman" w:hAnsi="Times New Roman" w:cs="Times New Roman"/>
          <w:szCs w:val="24"/>
        </w:rPr>
        <w:t>Cecot</w:t>
      </w:r>
      <w:proofErr w:type="spellEnd"/>
      <w:r w:rsidRPr="00A60CD9">
        <w:rPr>
          <w:rFonts w:ascii="Times New Roman" w:hAnsi="Times New Roman" w:cs="Times New Roman"/>
          <w:szCs w:val="24"/>
        </w:rPr>
        <w:t xml:space="preserve">, C., Hahn, R., Renda, A. &amp; </w:t>
      </w:r>
      <w:proofErr w:type="spellStart"/>
      <w:r w:rsidRPr="00A60CD9">
        <w:rPr>
          <w:rFonts w:ascii="Times New Roman" w:hAnsi="Times New Roman" w:cs="Times New Roman"/>
          <w:szCs w:val="24"/>
        </w:rPr>
        <w:t>Schrefler</w:t>
      </w:r>
      <w:proofErr w:type="spellEnd"/>
      <w:r w:rsidRPr="00A60CD9">
        <w:rPr>
          <w:rFonts w:ascii="Times New Roman" w:hAnsi="Times New Roman" w:cs="Times New Roman"/>
          <w:szCs w:val="24"/>
        </w:rPr>
        <w:t xml:space="preserve">, L. 2008, ‘An evaluation of the quality of impact assessment in the European Union with lessons for the US and the EU’, </w:t>
      </w:r>
      <w:r w:rsidRPr="00A60CD9">
        <w:rPr>
          <w:rFonts w:ascii="Times New Roman" w:hAnsi="Times New Roman" w:cs="Times New Roman"/>
          <w:i/>
          <w:iCs/>
          <w:szCs w:val="24"/>
        </w:rPr>
        <w:t>Regulation and Governance</w:t>
      </w:r>
      <w:r w:rsidRPr="00A60CD9">
        <w:rPr>
          <w:rFonts w:ascii="Times New Roman" w:hAnsi="Times New Roman" w:cs="Times New Roman"/>
          <w:szCs w:val="24"/>
        </w:rPr>
        <w:t>, vol. 2, no. 4, pp. 405–24.</w:t>
      </w:r>
      <w:proofErr w:type="gramEnd"/>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Coase, R. 1937, ‘The Nature of the Firm’, </w:t>
      </w:r>
      <w:proofErr w:type="spellStart"/>
      <w:r w:rsidRPr="00A60CD9">
        <w:rPr>
          <w:rFonts w:ascii="Times New Roman" w:hAnsi="Times New Roman" w:cs="Times New Roman"/>
          <w:i/>
          <w:iCs/>
          <w:szCs w:val="24"/>
        </w:rPr>
        <w:t>Economica</w:t>
      </w:r>
      <w:proofErr w:type="spellEnd"/>
      <w:r w:rsidRPr="00A60CD9">
        <w:rPr>
          <w:rFonts w:ascii="Times New Roman" w:hAnsi="Times New Roman" w:cs="Times New Roman"/>
          <w:szCs w:val="24"/>
        </w:rPr>
        <w:t>, vol. 4, no. 1, pp. 386–405.</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CPRC (</w:t>
      </w:r>
      <w:r w:rsidR="00A60CD9" w:rsidRPr="00A60CD9">
        <w:rPr>
          <w:rFonts w:ascii="Times New Roman" w:hAnsi="Times New Roman" w:cs="Times New Roman"/>
          <w:szCs w:val="24"/>
        </w:rPr>
        <w:t>Consumer Policy Research Centre</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Fact Sheet: Data protection rules are falling Australian Consumers</w:t>
      </w:r>
      <w:r w:rsidR="00A60CD9" w:rsidRPr="00A60CD9">
        <w:rPr>
          <w:rFonts w:ascii="Times New Roman" w:hAnsi="Times New Roman" w:cs="Times New Roman"/>
          <w:szCs w:val="24"/>
        </w:rPr>
        <w:t>.</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DPMC (</w:t>
      </w:r>
      <w:r w:rsidR="00A60CD9" w:rsidRPr="00A60CD9">
        <w:rPr>
          <w:rFonts w:ascii="Times New Roman" w:hAnsi="Times New Roman" w:cs="Times New Roman"/>
          <w:szCs w:val="24"/>
        </w:rPr>
        <w:t>Department of Prime Minister and Cabinet</w:t>
      </w:r>
      <w:r>
        <w:rPr>
          <w:rFonts w:ascii="Times New Roman" w:hAnsi="Times New Roman" w:cs="Times New Roman"/>
          <w:szCs w:val="24"/>
        </w:rPr>
        <w:t>)</w:t>
      </w:r>
      <w:r w:rsidR="00A60CD9" w:rsidRPr="00A60CD9">
        <w:rPr>
          <w:rFonts w:ascii="Times New Roman" w:hAnsi="Times New Roman" w:cs="Times New Roman"/>
          <w:szCs w:val="24"/>
        </w:rPr>
        <w:t xml:space="preserve"> 2014, </w:t>
      </w:r>
      <w:proofErr w:type="gramStart"/>
      <w:r w:rsidR="00A60CD9" w:rsidRPr="00A60CD9">
        <w:rPr>
          <w:rFonts w:ascii="Times New Roman" w:hAnsi="Times New Roman" w:cs="Times New Roman"/>
          <w:i/>
          <w:iCs/>
          <w:szCs w:val="24"/>
        </w:rPr>
        <w:t>The</w:t>
      </w:r>
      <w:proofErr w:type="gramEnd"/>
      <w:r w:rsidR="00A60CD9" w:rsidRPr="00A60CD9">
        <w:rPr>
          <w:rFonts w:ascii="Times New Roman" w:hAnsi="Times New Roman" w:cs="Times New Roman"/>
          <w:i/>
          <w:iCs/>
          <w:szCs w:val="24"/>
        </w:rPr>
        <w:t xml:space="preserve"> Australian Government Guide to Regulation</w:t>
      </w:r>
      <w:r w:rsidR="00A60CD9"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1998, ‘Government Analysis of the Benefits of Regulation’, </w:t>
      </w:r>
      <w:r w:rsidRPr="00A60CD9">
        <w:rPr>
          <w:rFonts w:ascii="Times New Roman" w:hAnsi="Times New Roman" w:cs="Times New Roman"/>
          <w:i/>
          <w:iCs/>
          <w:szCs w:val="24"/>
        </w:rPr>
        <w:t>Journal of Economic Perspectives</w:t>
      </w:r>
      <w:r w:rsidRPr="00A60CD9">
        <w:rPr>
          <w:rFonts w:ascii="Times New Roman" w:hAnsi="Times New Roman" w:cs="Times New Roman"/>
          <w:szCs w:val="24"/>
        </w:rPr>
        <w:t>, vol. 12, no. 4, pp. 201–10.</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Burnett, J., Chan, Y., </w:t>
      </w:r>
      <w:proofErr w:type="spellStart"/>
      <w:r w:rsidRPr="00A60CD9">
        <w:rPr>
          <w:rFonts w:ascii="Times New Roman" w:hAnsi="Times New Roman" w:cs="Times New Roman"/>
          <w:szCs w:val="24"/>
        </w:rPr>
        <w:t>Mader</w:t>
      </w:r>
      <w:proofErr w:type="spellEnd"/>
      <w:r w:rsidRPr="00A60CD9">
        <w:rPr>
          <w:rFonts w:ascii="Times New Roman" w:hAnsi="Times New Roman" w:cs="Times New Roman"/>
          <w:szCs w:val="24"/>
        </w:rPr>
        <w:t xml:space="preserve">, E. &amp; Moyle, P. 2000, ‘Assessing the quality of regulatory impact analyses’, </w:t>
      </w:r>
      <w:r w:rsidRPr="00A60CD9">
        <w:rPr>
          <w:rFonts w:ascii="Times New Roman" w:hAnsi="Times New Roman" w:cs="Times New Roman"/>
          <w:i/>
          <w:iCs/>
          <w:szCs w:val="24"/>
        </w:rPr>
        <w:t>The Harvard Journal of Law and Public Policy</w:t>
      </w:r>
      <w:r w:rsidRPr="00A60CD9">
        <w:rPr>
          <w:rFonts w:ascii="Times New Roman" w:hAnsi="Times New Roman" w:cs="Times New Roman"/>
          <w:szCs w:val="24"/>
        </w:rPr>
        <w:t>, vol. 23, no. 3, pp. 859–86.</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Hahn, R. &amp; Dudley, P. 2007, ‘How well does the US government do benefit-cost analysis?</w:t>
      </w:r>
      <w:proofErr w:type="gramStart"/>
      <w:r w:rsidRPr="00A60CD9">
        <w:rPr>
          <w:rFonts w:ascii="Times New Roman" w:hAnsi="Times New Roman" w:cs="Times New Roman"/>
          <w:szCs w:val="24"/>
        </w:rPr>
        <w:t>’,</w:t>
      </w:r>
      <w:proofErr w:type="gramEnd"/>
      <w:r w:rsidRPr="00A60CD9">
        <w:rPr>
          <w:rFonts w:ascii="Times New Roman" w:hAnsi="Times New Roman" w:cs="Times New Roman"/>
          <w:szCs w:val="24"/>
        </w:rPr>
        <w:t xml:space="preserve"> </w:t>
      </w:r>
      <w:r w:rsidRPr="00A60CD9">
        <w:rPr>
          <w:rFonts w:ascii="Times New Roman" w:hAnsi="Times New Roman" w:cs="Times New Roman"/>
          <w:i/>
          <w:iCs/>
          <w:szCs w:val="24"/>
        </w:rPr>
        <w:t>Review of Environmental Economics and Policy</w:t>
      </w:r>
      <w:r w:rsidRPr="00A60CD9">
        <w:rPr>
          <w:rFonts w:ascii="Times New Roman" w:hAnsi="Times New Roman" w:cs="Times New Roman"/>
          <w:szCs w:val="24"/>
        </w:rPr>
        <w:t>, vol. 1, no. 2, pp. 192–211.</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&amp; </w:t>
      </w:r>
      <w:proofErr w:type="spellStart"/>
      <w:r w:rsidRPr="00A60CD9">
        <w:rPr>
          <w:rFonts w:ascii="Times New Roman" w:hAnsi="Times New Roman" w:cs="Times New Roman"/>
          <w:szCs w:val="24"/>
        </w:rPr>
        <w:t>Hird</w:t>
      </w:r>
      <w:proofErr w:type="spellEnd"/>
      <w:r w:rsidRPr="00A60CD9">
        <w:rPr>
          <w:rFonts w:ascii="Times New Roman" w:hAnsi="Times New Roman" w:cs="Times New Roman"/>
          <w:szCs w:val="24"/>
        </w:rPr>
        <w:t>, J. 1991, ‘</w:t>
      </w:r>
      <w:proofErr w:type="gramStart"/>
      <w:r w:rsidRPr="00A60CD9">
        <w:rPr>
          <w:rFonts w:ascii="Times New Roman" w:hAnsi="Times New Roman" w:cs="Times New Roman"/>
          <w:szCs w:val="24"/>
        </w:rPr>
        <w:t>The</w:t>
      </w:r>
      <w:proofErr w:type="gramEnd"/>
      <w:r w:rsidRPr="00A60CD9">
        <w:rPr>
          <w:rFonts w:ascii="Times New Roman" w:hAnsi="Times New Roman" w:cs="Times New Roman"/>
          <w:szCs w:val="24"/>
        </w:rPr>
        <w:t xml:space="preserve"> Costs and Benefits of Regulation: Review and Synthesis’, </w:t>
      </w:r>
      <w:r w:rsidRPr="00A60CD9">
        <w:rPr>
          <w:rFonts w:ascii="Times New Roman" w:hAnsi="Times New Roman" w:cs="Times New Roman"/>
          <w:i/>
          <w:iCs/>
          <w:szCs w:val="24"/>
        </w:rPr>
        <w:t>Yale Journal of Regulation</w:t>
      </w:r>
      <w:r w:rsidRPr="00A60CD9">
        <w:rPr>
          <w:rFonts w:ascii="Times New Roman" w:hAnsi="Times New Roman" w:cs="Times New Roman"/>
          <w:szCs w:val="24"/>
        </w:rPr>
        <w:t>, vol. 8, no. 1, pp. 235–78.</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&amp; </w:t>
      </w:r>
      <w:proofErr w:type="spellStart"/>
      <w:r w:rsidRPr="00A60CD9">
        <w:rPr>
          <w:rFonts w:ascii="Times New Roman" w:hAnsi="Times New Roman" w:cs="Times New Roman"/>
          <w:szCs w:val="24"/>
        </w:rPr>
        <w:t>Tetlock</w:t>
      </w:r>
      <w:proofErr w:type="spellEnd"/>
      <w:r w:rsidRPr="00A60CD9">
        <w:rPr>
          <w:rFonts w:ascii="Times New Roman" w:hAnsi="Times New Roman" w:cs="Times New Roman"/>
          <w:szCs w:val="24"/>
        </w:rPr>
        <w:t xml:space="preserve">, P. 2008, ‘Has economic analysis improved regulatory decisions’, </w:t>
      </w:r>
      <w:r w:rsidRPr="00A60CD9">
        <w:rPr>
          <w:rFonts w:ascii="Times New Roman" w:hAnsi="Times New Roman" w:cs="Times New Roman"/>
          <w:i/>
          <w:iCs/>
          <w:szCs w:val="24"/>
        </w:rPr>
        <w:t>Journal of Economic Perspectives</w:t>
      </w:r>
      <w:r w:rsidRPr="00A60CD9">
        <w:rPr>
          <w:rFonts w:ascii="Times New Roman" w:hAnsi="Times New Roman" w:cs="Times New Roman"/>
          <w:szCs w:val="24"/>
        </w:rPr>
        <w:t>, vol. 22, no. 1, pp. 67–84.</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Hicks, J. 1939, ‘The Foundations of Welfare Economics’, </w:t>
      </w:r>
      <w:proofErr w:type="gramStart"/>
      <w:r w:rsidRPr="00A60CD9">
        <w:rPr>
          <w:rFonts w:ascii="Times New Roman" w:hAnsi="Times New Roman" w:cs="Times New Roman"/>
          <w:i/>
          <w:iCs/>
          <w:szCs w:val="24"/>
        </w:rPr>
        <w:t>The</w:t>
      </w:r>
      <w:proofErr w:type="gramEnd"/>
      <w:r w:rsidRPr="00A60CD9">
        <w:rPr>
          <w:rFonts w:ascii="Times New Roman" w:hAnsi="Times New Roman" w:cs="Times New Roman"/>
          <w:i/>
          <w:iCs/>
          <w:szCs w:val="24"/>
        </w:rPr>
        <w:t xml:space="preserve"> Economic Journal</w:t>
      </w:r>
      <w:r w:rsidRPr="00A60CD9">
        <w:rPr>
          <w:rFonts w:ascii="Times New Roman" w:hAnsi="Times New Roman" w:cs="Times New Roman"/>
          <w:szCs w:val="24"/>
        </w:rPr>
        <w:t>, vol. 49, no. 196, pp. 676–712.</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Kaldor</w:t>
      </w:r>
      <w:proofErr w:type="spellEnd"/>
      <w:r w:rsidRPr="00A60CD9">
        <w:rPr>
          <w:rFonts w:ascii="Times New Roman" w:hAnsi="Times New Roman" w:cs="Times New Roman"/>
          <w:szCs w:val="24"/>
        </w:rPr>
        <w:t xml:space="preserve">, N. 1939, ‘Welfare Propositions of Economics and Interpersonal Comparisons of Utility’, </w:t>
      </w:r>
      <w:proofErr w:type="gramStart"/>
      <w:r w:rsidRPr="00A60CD9">
        <w:rPr>
          <w:rFonts w:ascii="Times New Roman" w:hAnsi="Times New Roman" w:cs="Times New Roman"/>
          <w:i/>
          <w:iCs/>
          <w:szCs w:val="24"/>
        </w:rPr>
        <w:t>The</w:t>
      </w:r>
      <w:proofErr w:type="gramEnd"/>
      <w:r w:rsidRPr="00A60CD9">
        <w:rPr>
          <w:rFonts w:ascii="Times New Roman" w:hAnsi="Times New Roman" w:cs="Times New Roman"/>
          <w:i/>
          <w:iCs/>
          <w:szCs w:val="24"/>
        </w:rPr>
        <w:t xml:space="preserve"> Economic Journal</w:t>
      </w:r>
      <w:r w:rsidRPr="00A60CD9">
        <w:rPr>
          <w:rFonts w:ascii="Times New Roman" w:hAnsi="Times New Roman" w:cs="Times New Roman"/>
          <w:szCs w:val="24"/>
        </w:rPr>
        <w:t>, vol. 49, no. 195, pp. 549–52.</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Kaplow</w:t>
      </w:r>
      <w:proofErr w:type="spellEnd"/>
      <w:r w:rsidRPr="00A60CD9">
        <w:rPr>
          <w:rFonts w:ascii="Times New Roman" w:hAnsi="Times New Roman" w:cs="Times New Roman"/>
          <w:szCs w:val="24"/>
        </w:rPr>
        <w:t xml:space="preserve">, L. 1986, ‘Private versus Social Costs in Bringing Suit’, </w:t>
      </w:r>
      <w:r w:rsidRPr="00A60CD9">
        <w:rPr>
          <w:rFonts w:ascii="Times New Roman" w:hAnsi="Times New Roman" w:cs="Times New Roman"/>
          <w:i/>
          <w:iCs/>
          <w:szCs w:val="24"/>
        </w:rPr>
        <w:t>The Journal of Legal Studies</w:t>
      </w:r>
      <w:r w:rsidRPr="00A60CD9">
        <w:rPr>
          <w:rFonts w:ascii="Times New Roman" w:hAnsi="Times New Roman" w:cs="Times New Roman"/>
          <w:szCs w:val="24"/>
        </w:rPr>
        <w:t>, vol. 15, no. 2, pp. 371–85.</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Kaplow</w:t>
      </w:r>
      <w:proofErr w:type="spellEnd"/>
      <w:r w:rsidRPr="00A60CD9">
        <w:rPr>
          <w:rFonts w:ascii="Times New Roman" w:hAnsi="Times New Roman" w:cs="Times New Roman"/>
          <w:szCs w:val="24"/>
        </w:rPr>
        <w:t xml:space="preserve">, L. 1992, ‘Rules versus standards: An economic analysis’, </w:t>
      </w:r>
      <w:r w:rsidRPr="00A60CD9">
        <w:rPr>
          <w:rFonts w:ascii="Times New Roman" w:hAnsi="Times New Roman" w:cs="Times New Roman"/>
          <w:i/>
          <w:iCs/>
          <w:szCs w:val="24"/>
        </w:rPr>
        <w:t xml:space="preserve">Duke </w:t>
      </w:r>
      <w:proofErr w:type="spellStart"/>
      <w:r w:rsidRPr="00A60CD9">
        <w:rPr>
          <w:rFonts w:ascii="Times New Roman" w:hAnsi="Times New Roman" w:cs="Times New Roman"/>
          <w:i/>
          <w:iCs/>
          <w:szCs w:val="24"/>
        </w:rPr>
        <w:t>Lj</w:t>
      </w:r>
      <w:proofErr w:type="spellEnd"/>
      <w:r w:rsidRPr="00A60CD9">
        <w:rPr>
          <w:rFonts w:ascii="Times New Roman" w:hAnsi="Times New Roman" w:cs="Times New Roman"/>
          <w:szCs w:val="24"/>
        </w:rPr>
        <w:t>, vol. 42, p. 557.</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King, S. 2009, ‘</w:t>
      </w:r>
      <w:proofErr w:type="gramStart"/>
      <w:r w:rsidRPr="00A60CD9">
        <w:rPr>
          <w:rFonts w:ascii="Times New Roman" w:hAnsi="Times New Roman" w:cs="Times New Roman"/>
          <w:szCs w:val="24"/>
        </w:rPr>
        <w:t>The</w:t>
      </w:r>
      <w:proofErr w:type="gramEnd"/>
      <w:r w:rsidRPr="00A60CD9">
        <w:rPr>
          <w:rFonts w:ascii="Times New Roman" w:hAnsi="Times New Roman" w:cs="Times New Roman"/>
          <w:szCs w:val="24"/>
        </w:rPr>
        <w:t xml:space="preserve"> 2008 ACCC Merger Guidelines: How and Why Have They Changes’, </w:t>
      </w:r>
      <w:r w:rsidRPr="00A60CD9">
        <w:rPr>
          <w:rFonts w:ascii="Times New Roman" w:hAnsi="Times New Roman" w:cs="Times New Roman"/>
          <w:i/>
          <w:iCs/>
          <w:szCs w:val="24"/>
        </w:rPr>
        <w:t>UNSW Law Journal</w:t>
      </w:r>
      <w:r w:rsidRPr="00A60CD9">
        <w:rPr>
          <w:rFonts w:ascii="Times New Roman" w:hAnsi="Times New Roman" w:cs="Times New Roman"/>
          <w:szCs w:val="24"/>
        </w:rPr>
        <w:t>, vol. 32, no. 1, pp. 263–74.</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Marneffe</w:t>
      </w:r>
      <w:proofErr w:type="spellEnd"/>
      <w:r w:rsidRPr="00A60CD9">
        <w:rPr>
          <w:rFonts w:ascii="Times New Roman" w:hAnsi="Times New Roman" w:cs="Times New Roman"/>
          <w:szCs w:val="24"/>
        </w:rPr>
        <w:t xml:space="preserve">, W. &amp; </w:t>
      </w:r>
      <w:proofErr w:type="spellStart"/>
      <w:r w:rsidRPr="00A60CD9">
        <w:rPr>
          <w:rFonts w:ascii="Times New Roman" w:hAnsi="Times New Roman" w:cs="Times New Roman"/>
          <w:szCs w:val="24"/>
        </w:rPr>
        <w:t>Vereeck</w:t>
      </w:r>
      <w:proofErr w:type="spellEnd"/>
      <w:r w:rsidRPr="00A60CD9">
        <w:rPr>
          <w:rFonts w:ascii="Times New Roman" w:hAnsi="Times New Roman" w:cs="Times New Roman"/>
          <w:szCs w:val="24"/>
        </w:rPr>
        <w:t xml:space="preserve">, L. 2011, ‘The meaning of regulatory costs’, </w:t>
      </w:r>
      <w:r w:rsidRPr="00A60CD9">
        <w:rPr>
          <w:rFonts w:ascii="Times New Roman" w:hAnsi="Times New Roman" w:cs="Times New Roman"/>
          <w:i/>
          <w:iCs/>
          <w:szCs w:val="24"/>
        </w:rPr>
        <w:t>European Journal of Law and Economics</w:t>
      </w:r>
      <w:r w:rsidRPr="00A60CD9">
        <w:rPr>
          <w:rFonts w:ascii="Times New Roman" w:hAnsi="Times New Roman" w:cs="Times New Roman"/>
          <w:szCs w:val="24"/>
        </w:rPr>
        <w:t>, vol. 32, no. 3, pp. 341–56.</w:t>
      </w:r>
    </w:p>
    <w:p w:rsidR="00A60CD9" w:rsidRPr="00B34855"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Minifie</w:t>
      </w:r>
      <w:proofErr w:type="spellEnd"/>
      <w:r w:rsidRPr="00A60CD9">
        <w:rPr>
          <w:rFonts w:ascii="Times New Roman" w:hAnsi="Times New Roman" w:cs="Times New Roman"/>
          <w:szCs w:val="24"/>
        </w:rPr>
        <w:t>, J.</w:t>
      </w:r>
      <w:r w:rsidR="00B34855">
        <w:rPr>
          <w:rFonts w:ascii="Times New Roman" w:hAnsi="Times New Roman" w:cs="Times New Roman"/>
          <w:szCs w:val="24"/>
        </w:rPr>
        <w:t xml:space="preserve">, </w:t>
      </w:r>
      <w:proofErr w:type="spellStart"/>
      <w:r w:rsidR="00B34855">
        <w:rPr>
          <w:rFonts w:ascii="Times New Roman" w:hAnsi="Times New Roman" w:cs="Times New Roman"/>
          <w:szCs w:val="24"/>
        </w:rPr>
        <w:t>Chrisholm</w:t>
      </w:r>
      <w:proofErr w:type="spellEnd"/>
      <w:r w:rsidR="00B34855">
        <w:rPr>
          <w:rFonts w:ascii="Times New Roman" w:hAnsi="Times New Roman" w:cs="Times New Roman"/>
          <w:szCs w:val="24"/>
        </w:rPr>
        <w:t>, C.</w:t>
      </w:r>
      <w:r w:rsidRPr="00A60CD9">
        <w:rPr>
          <w:rFonts w:ascii="Times New Roman" w:hAnsi="Times New Roman" w:cs="Times New Roman"/>
          <w:szCs w:val="24"/>
        </w:rPr>
        <w:t xml:space="preserve"> &amp;</w:t>
      </w:r>
      <w:r w:rsidR="00B34855">
        <w:rPr>
          <w:rFonts w:ascii="Times New Roman" w:hAnsi="Times New Roman" w:cs="Times New Roman"/>
          <w:szCs w:val="24"/>
        </w:rPr>
        <w:t xml:space="preserve"> Percival, L.</w:t>
      </w:r>
      <w:r w:rsidRPr="00A60CD9">
        <w:rPr>
          <w:rFonts w:ascii="Times New Roman" w:hAnsi="Times New Roman" w:cs="Times New Roman"/>
          <w:szCs w:val="24"/>
        </w:rPr>
        <w:t xml:space="preserve"> 2017, </w:t>
      </w:r>
      <w:r w:rsidRPr="00A60CD9">
        <w:rPr>
          <w:rFonts w:ascii="Times New Roman" w:hAnsi="Times New Roman" w:cs="Times New Roman"/>
          <w:i/>
          <w:iCs/>
          <w:szCs w:val="24"/>
        </w:rPr>
        <w:t>Competition in Australia: too little of a good thing</w:t>
      </w:r>
      <w:proofErr w:type="gramStart"/>
      <w:r w:rsidRPr="00A60CD9">
        <w:rPr>
          <w:rFonts w:ascii="Times New Roman" w:hAnsi="Times New Roman" w:cs="Times New Roman"/>
          <w:i/>
          <w:iCs/>
          <w:szCs w:val="24"/>
        </w:rPr>
        <w:t>?</w:t>
      </w:r>
      <w:r w:rsidR="00B34855">
        <w:rPr>
          <w:rFonts w:ascii="Times New Roman" w:hAnsi="Times New Roman" w:cs="Times New Roman"/>
          <w:iCs/>
          <w:szCs w:val="24"/>
        </w:rPr>
        <w:t>,</w:t>
      </w:r>
      <w:proofErr w:type="gramEnd"/>
      <w:r w:rsidR="00B34855">
        <w:rPr>
          <w:rFonts w:ascii="Times New Roman" w:hAnsi="Times New Roman" w:cs="Times New Roman"/>
          <w:iCs/>
          <w:szCs w:val="24"/>
        </w:rPr>
        <w:t xml:space="preserve"> </w:t>
      </w:r>
      <w:r w:rsidR="00B34855" w:rsidRPr="00A60CD9">
        <w:rPr>
          <w:rFonts w:ascii="Times New Roman" w:hAnsi="Times New Roman" w:cs="Times New Roman"/>
          <w:szCs w:val="24"/>
        </w:rPr>
        <w:t>Grattan Institute</w:t>
      </w:r>
      <w:r w:rsidR="00B34855">
        <w:rPr>
          <w:rFonts w:ascii="Times New Roman" w:hAnsi="Times New Roman" w:cs="Times New Roman"/>
          <w:szCs w:val="24"/>
        </w:rPr>
        <w:t>.</w:t>
      </w:r>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OECD (</w:t>
      </w:r>
      <w:r w:rsidR="00A60CD9" w:rsidRPr="00A60CD9">
        <w:rPr>
          <w:rFonts w:ascii="Times New Roman" w:hAnsi="Times New Roman" w:cs="Times New Roman"/>
          <w:szCs w:val="24"/>
        </w:rPr>
        <w:t>Organisation for Economic Co-operation and Development</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Improving Online Disclosures with Behavioural Insights</w:t>
      </w:r>
      <w:r>
        <w:rPr>
          <w:rFonts w:ascii="Times New Roman" w:hAnsi="Times New Roman" w:cs="Times New Roman"/>
          <w:szCs w:val="24"/>
        </w:rPr>
        <w:t>,</w:t>
      </w:r>
      <w:r w:rsidR="00A60CD9" w:rsidRPr="00A60CD9">
        <w:rPr>
          <w:rFonts w:ascii="Times New Roman" w:hAnsi="Times New Roman" w:cs="Times New Roman"/>
          <w:szCs w:val="24"/>
        </w:rPr>
        <w:t xml:space="preserve"> OECD </w:t>
      </w:r>
      <w:r w:rsidRPr="00A60CD9">
        <w:rPr>
          <w:rFonts w:ascii="Times New Roman" w:hAnsi="Times New Roman" w:cs="Times New Roman"/>
          <w:szCs w:val="24"/>
        </w:rPr>
        <w:t>Digital</w:t>
      </w:r>
      <w:r w:rsidR="00A60CD9" w:rsidRPr="00A60CD9">
        <w:rPr>
          <w:rFonts w:ascii="Times New Roman" w:hAnsi="Times New Roman" w:cs="Times New Roman"/>
          <w:szCs w:val="24"/>
        </w:rPr>
        <w:t xml:space="preserve"> Economy Papers, Paris.</w:t>
      </w:r>
      <w:proofErr w:type="gramEnd"/>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OECD (</w:t>
      </w:r>
      <w:r w:rsidR="00A60CD9" w:rsidRPr="00A60CD9">
        <w:rPr>
          <w:rFonts w:ascii="Times New Roman" w:hAnsi="Times New Roman" w:cs="Times New Roman"/>
          <w:szCs w:val="24"/>
        </w:rPr>
        <w:t>Organisation for Economic Co-operation and Development</w:t>
      </w:r>
      <w:r>
        <w:rPr>
          <w:rFonts w:ascii="Times New Roman" w:hAnsi="Times New Roman" w:cs="Times New Roman"/>
          <w:szCs w:val="24"/>
        </w:rPr>
        <w:t>_</w:t>
      </w:r>
      <w:r w:rsidR="00A60CD9" w:rsidRPr="00A60CD9">
        <w:rPr>
          <w:rFonts w:ascii="Times New Roman" w:hAnsi="Times New Roman" w:cs="Times New Roman"/>
          <w:szCs w:val="24"/>
        </w:rPr>
        <w:t xml:space="preserve"> 2012, </w:t>
      </w:r>
      <w:r w:rsidR="00A60CD9" w:rsidRPr="00A60CD9">
        <w:rPr>
          <w:rFonts w:ascii="Times New Roman" w:hAnsi="Times New Roman" w:cs="Times New Roman"/>
          <w:i/>
          <w:iCs/>
          <w:szCs w:val="24"/>
        </w:rPr>
        <w:t>Recommendation of the Council on Regulatory Policy and Governance</w:t>
      </w:r>
      <w:r w:rsidR="00A60CD9" w:rsidRPr="00A60CD9">
        <w:rPr>
          <w:rFonts w:ascii="Times New Roman" w:hAnsi="Times New Roman" w:cs="Times New Roman"/>
          <w:szCs w:val="24"/>
        </w:rPr>
        <w:t>, Paris.</w:t>
      </w:r>
    </w:p>
    <w:p w:rsidR="00E15E43" w:rsidRPr="00A60CD9" w:rsidRDefault="00E15E43" w:rsidP="00E15E43">
      <w:pPr>
        <w:pStyle w:val="Bibliography"/>
        <w:rPr>
          <w:rFonts w:ascii="Times New Roman" w:hAnsi="Times New Roman" w:cs="Times New Roman"/>
          <w:szCs w:val="24"/>
        </w:rPr>
      </w:pPr>
      <w:r>
        <w:rPr>
          <w:rFonts w:ascii="Times New Roman" w:hAnsi="Times New Roman" w:cs="Times New Roman"/>
          <w:szCs w:val="24"/>
        </w:rPr>
        <w:t>PC (</w:t>
      </w:r>
      <w:r w:rsidRPr="00A60CD9">
        <w:rPr>
          <w:rFonts w:ascii="Times New Roman" w:hAnsi="Times New Roman" w:cs="Times New Roman"/>
          <w:szCs w:val="24"/>
        </w:rPr>
        <w:t>Productivity Commission</w:t>
      </w:r>
      <w:r>
        <w:rPr>
          <w:rFonts w:ascii="Times New Roman" w:hAnsi="Times New Roman" w:cs="Times New Roman"/>
          <w:szCs w:val="24"/>
        </w:rPr>
        <w:t>)</w:t>
      </w:r>
      <w:r w:rsidRPr="00A60CD9">
        <w:rPr>
          <w:rFonts w:ascii="Times New Roman" w:hAnsi="Times New Roman" w:cs="Times New Roman"/>
          <w:szCs w:val="24"/>
        </w:rPr>
        <w:t xml:space="preserve"> 2012, </w:t>
      </w:r>
      <w:r w:rsidRPr="00A60CD9">
        <w:rPr>
          <w:rFonts w:ascii="Times New Roman" w:hAnsi="Times New Roman" w:cs="Times New Roman"/>
          <w:i/>
          <w:iCs/>
          <w:szCs w:val="24"/>
        </w:rPr>
        <w:t>Regulatory Impact Analysis: Benchmarking</w:t>
      </w:r>
      <w:r w:rsidRPr="00A60CD9">
        <w:rPr>
          <w:rFonts w:ascii="Times New Roman" w:hAnsi="Times New Roman" w:cs="Times New Roman"/>
          <w:szCs w:val="24"/>
        </w:rPr>
        <w:t>, Canberra.</w:t>
      </w:r>
    </w:p>
    <w:p w:rsidR="00E15E43" w:rsidRDefault="00E15E43" w:rsidP="00E15E43">
      <w:pPr>
        <w:pStyle w:val="Bibliography"/>
        <w:rPr>
          <w:rFonts w:ascii="Times New Roman" w:hAnsi="Times New Roman" w:cs="Times New Roman"/>
          <w:szCs w:val="24"/>
        </w:rPr>
      </w:pPr>
      <w:proofErr w:type="gramStart"/>
      <w:r>
        <w:rPr>
          <w:rFonts w:ascii="Times New Roman" w:hAnsi="Times New Roman" w:cs="Times New Roman"/>
          <w:szCs w:val="24"/>
        </w:rPr>
        <w:t>PC (</w:t>
      </w:r>
      <w:r w:rsidRPr="00A60CD9">
        <w:rPr>
          <w:rFonts w:ascii="Times New Roman" w:hAnsi="Times New Roman" w:cs="Times New Roman"/>
          <w:szCs w:val="24"/>
        </w:rPr>
        <w:t>Productivity Commission</w:t>
      </w:r>
      <w:r>
        <w:rPr>
          <w:rFonts w:ascii="Times New Roman" w:hAnsi="Times New Roman" w:cs="Times New Roman"/>
          <w:szCs w:val="24"/>
        </w:rPr>
        <w:t>)</w:t>
      </w:r>
      <w:r w:rsidRPr="00A60CD9">
        <w:rPr>
          <w:rFonts w:ascii="Times New Roman" w:hAnsi="Times New Roman" w:cs="Times New Roman"/>
          <w:szCs w:val="24"/>
        </w:rPr>
        <w:t xml:space="preserve"> 2017, </w:t>
      </w:r>
      <w:r w:rsidRPr="00A60CD9">
        <w:rPr>
          <w:rFonts w:ascii="Times New Roman" w:hAnsi="Times New Roman" w:cs="Times New Roman"/>
          <w:i/>
          <w:iCs/>
          <w:szCs w:val="24"/>
        </w:rPr>
        <w:t>Telecommunications Universal Service Obligation</w:t>
      </w:r>
      <w:r>
        <w:rPr>
          <w:rFonts w:ascii="Times New Roman" w:hAnsi="Times New Roman" w:cs="Times New Roman"/>
          <w:szCs w:val="24"/>
        </w:rPr>
        <w:t>, Canberra.</w:t>
      </w:r>
      <w:proofErr w:type="gramEnd"/>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PC (</w:t>
      </w:r>
      <w:r w:rsidR="00A60CD9" w:rsidRPr="00A60CD9">
        <w:rPr>
          <w:rFonts w:ascii="Times New Roman" w:hAnsi="Times New Roman" w:cs="Times New Roman"/>
          <w:szCs w:val="24"/>
        </w:rPr>
        <w:t>Productivity Commission</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Competition in the Australian Financial System</w:t>
      </w:r>
      <w:r w:rsidR="00A60CD9" w:rsidRPr="00A60CD9">
        <w:rPr>
          <w:rFonts w:ascii="Times New Roman" w:hAnsi="Times New Roman" w:cs="Times New Roman"/>
          <w:szCs w:val="24"/>
        </w:rPr>
        <w:t>, Canberra.</w:t>
      </w:r>
      <w:proofErr w:type="gramEnd"/>
    </w:p>
    <w:p w:rsidR="00A60CD9" w:rsidRPr="00A60CD9" w:rsidRDefault="00A60CD9" w:rsidP="00A60CD9">
      <w:pPr>
        <w:pStyle w:val="Bibliography"/>
        <w:rPr>
          <w:rFonts w:ascii="Times New Roman" w:hAnsi="Times New Roman" w:cs="Times New Roman"/>
          <w:szCs w:val="24"/>
        </w:rPr>
      </w:pPr>
      <w:proofErr w:type="spellStart"/>
      <w:proofErr w:type="gramStart"/>
      <w:r w:rsidRPr="00A60CD9">
        <w:rPr>
          <w:rFonts w:ascii="Times New Roman" w:hAnsi="Times New Roman" w:cs="Times New Roman"/>
          <w:szCs w:val="24"/>
        </w:rPr>
        <w:t>Schmalensee</w:t>
      </w:r>
      <w:proofErr w:type="spellEnd"/>
      <w:r w:rsidRPr="00A60CD9">
        <w:rPr>
          <w:rFonts w:ascii="Times New Roman" w:hAnsi="Times New Roman" w:cs="Times New Roman"/>
          <w:szCs w:val="24"/>
        </w:rPr>
        <w:t xml:space="preserve">, R. 1981, ‘Output and welfare implications of monopolistic third-degree price discrimination’, </w:t>
      </w:r>
      <w:r w:rsidRPr="00A60CD9">
        <w:rPr>
          <w:rFonts w:ascii="Times New Roman" w:hAnsi="Times New Roman" w:cs="Times New Roman"/>
          <w:i/>
          <w:iCs/>
          <w:szCs w:val="24"/>
        </w:rPr>
        <w:t>The American Economic Review</w:t>
      </w:r>
      <w:r w:rsidRPr="00A60CD9">
        <w:rPr>
          <w:rFonts w:ascii="Times New Roman" w:hAnsi="Times New Roman" w:cs="Times New Roman"/>
          <w:szCs w:val="24"/>
        </w:rPr>
        <w:t>, vol. 71, no. 1, pp. 242–7.</w:t>
      </w:r>
      <w:proofErr w:type="gramEnd"/>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Shavell</w:t>
      </w:r>
      <w:proofErr w:type="spellEnd"/>
      <w:r w:rsidRPr="00A60CD9">
        <w:rPr>
          <w:rFonts w:ascii="Times New Roman" w:hAnsi="Times New Roman" w:cs="Times New Roman"/>
          <w:szCs w:val="24"/>
        </w:rPr>
        <w:t xml:space="preserve">, S. 1982, ‘The social versus the private incentive to bring suit in a costly legal system’, </w:t>
      </w:r>
      <w:r w:rsidRPr="00A60CD9">
        <w:rPr>
          <w:rFonts w:ascii="Times New Roman" w:hAnsi="Times New Roman" w:cs="Times New Roman"/>
          <w:i/>
          <w:iCs/>
          <w:szCs w:val="24"/>
        </w:rPr>
        <w:t>Journal of Legal Studies</w:t>
      </w:r>
      <w:r w:rsidRPr="00A60CD9">
        <w:rPr>
          <w:rFonts w:ascii="Times New Roman" w:hAnsi="Times New Roman" w:cs="Times New Roman"/>
          <w:szCs w:val="24"/>
        </w:rPr>
        <w:t>, vol. 11, no. 2, pp. 333–9.</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Su, J., Shukla, A., </w:t>
      </w:r>
      <w:proofErr w:type="spellStart"/>
      <w:r w:rsidRPr="00A60CD9">
        <w:rPr>
          <w:rFonts w:ascii="Times New Roman" w:hAnsi="Times New Roman" w:cs="Times New Roman"/>
          <w:szCs w:val="24"/>
        </w:rPr>
        <w:t>Goel</w:t>
      </w:r>
      <w:proofErr w:type="spellEnd"/>
      <w:r w:rsidRPr="00A60CD9">
        <w:rPr>
          <w:rFonts w:ascii="Times New Roman" w:hAnsi="Times New Roman" w:cs="Times New Roman"/>
          <w:szCs w:val="24"/>
        </w:rPr>
        <w:t xml:space="preserve">, S. &amp; Narayanan, A. 2017, </w:t>
      </w:r>
      <w:r w:rsidRPr="00A60CD9">
        <w:rPr>
          <w:rFonts w:ascii="Times New Roman" w:hAnsi="Times New Roman" w:cs="Times New Roman"/>
          <w:i/>
          <w:iCs/>
          <w:szCs w:val="24"/>
        </w:rPr>
        <w:t>De-anonymizing web browsing data with social networks</w:t>
      </w:r>
      <w:r w:rsidRPr="00A60CD9">
        <w:rPr>
          <w:rFonts w:ascii="Times New Roman" w:hAnsi="Times New Roman" w:cs="Times New Roman"/>
          <w:szCs w:val="24"/>
        </w:rPr>
        <w:t>, International World Wide Web Conferences Steering Committee, pp. 1261–9.</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TIO (</w:t>
      </w:r>
      <w:r w:rsidR="00A60CD9" w:rsidRPr="00A60CD9">
        <w:rPr>
          <w:rFonts w:ascii="Times New Roman" w:hAnsi="Times New Roman" w:cs="Times New Roman"/>
          <w:szCs w:val="24"/>
        </w:rPr>
        <w:t>Telecommunications Industry Ombudsman</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2016-2017 Annual Report</w:t>
      </w:r>
      <w:r w:rsidR="00A60CD9"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Varian, H.R. 1989, ‘Price discrimination’, </w:t>
      </w:r>
      <w:r w:rsidRPr="00A60CD9">
        <w:rPr>
          <w:rFonts w:ascii="Times New Roman" w:hAnsi="Times New Roman" w:cs="Times New Roman"/>
          <w:i/>
          <w:iCs/>
          <w:szCs w:val="24"/>
        </w:rPr>
        <w:t>Handbook of industrial organization</w:t>
      </w:r>
      <w:r w:rsidRPr="00A60CD9">
        <w:rPr>
          <w:rFonts w:ascii="Times New Roman" w:hAnsi="Times New Roman" w:cs="Times New Roman"/>
          <w:szCs w:val="24"/>
        </w:rPr>
        <w:t>, vol. 1, pp. 597–654.</w:t>
      </w:r>
      <w:proofErr w:type="gramEnd"/>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Varian, H.R. 1985, ‘Price discrimination and social welfare’, </w:t>
      </w:r>
      <w:r w:rsidRPr="00A60CD9">
        <w:rPr>
          <w:rFonts w:ascii="Times New Roman" w:hAnsi="Times New Roman" w:cs="Times New Roman"/>
          <w:i/>
          <w:iCs/>
          <w:szCs w:val="24"/>
        </w:rPr>
        <w:t>The American Economic Review</w:t>
      </w:r>
      <w:r w:rsidRPr="00A60CD9">
        <w:rPr>
          <w:rFonts w:ascii="Times New Roman" w:hAnsi="Times New Roman" w:cs="Times New Roman"/>
          <w:szCs w:val="24"/>
        </w:rPr>
        <w:t>, vol. 75, no. 4, pp. 870–5.</w:t>
      </w:r>
      <w:proofErr w:type="gramEnd"/>
    </w:p>
    <w:p w:rsidR="003A17FE" w:rsidRDefault="003A17FE" w:rsidP="00DA23A9">
      <w:pPr>
        <w:pStyle w:val="Bibliography"/>
      </w:pPr>
    </w:p>
    <w:sectPr w:rsidR="003A17FE"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7E" w:rsidRDefault="00A27D7E" w:rsidP="00DD0AEA">
      <w:pPr>
        <w:spacing w:after="0" w:line="240" w:lineRule="auto"/>
      </w:pPr>
      <w:r>
        <w:separator/>
      </w:r>
    </w:p>
  </w:endnote>
  <w:endnote w:type="continuationSeparator" w:id="0">
    <w:p w:rsidR="00A27D7E" w:rsidRDefault="00A27D7E"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8C5E65">
      <w:rPr>
        <w:noProof/>
      </w:rPr>
      <w:t>2</w:t>
    </w:r>
    <w:r w:rsidRPr="00C4251E">
      <w:rPr>
        <w:noProof/>
      </w:rPr>
      <w:fldChar w:fldCharType="end"/>
    </w:r>
  </w:p>
  <w:p w:rsidR="00DD5468" w:rsidRPr="000F58CC" w:rsidRDefault="00DD5468"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Footerpage1"/>
    </w:pPr>
    <w:r w:rsidRPr="004A0B0A">
      <w:rPr>
        <w:color w:val="44C8F5"/>
      </w:rPr>
      <w:t>Australian Communications Consumer Action Network (ACCAN)</w:t>
    </w:r>
  </w:p>
  <w:p w:rsidR="00DD5468" w:rsidRDefault="00DD5468" w:rsidP="00DD0AEA">
    <w:pPr>
      <w:pStyle w:val="Footerpage1"/>
      <w:rPr>
        <w:i/>
      </w:rPr>
    </w:pPr>
    <w:r w:rsidRPr="004A0B0A">
      <w:rPr>
        <w:i/>
        <w:color w:val="44C8F5"/>
      </w:rPr>
      <w:t>Australia’s peak telecommunications consumer organisation</w:t>
    </w:r>
  </w:p>
  <w:p w:rsidR="00DD5468" w:rsidRDefault="00DD5468" w:rsidP="00DD0AEA">
    <w:pPr>
      <w:pStyle w:val="Footerpage1"/>
    </w:pPr>
    <w:r w:rsidRPr="008E763A">
      <w:rPr>
        <w:noProof/>
        <w:lang w:val="en-US"/>
      </w:rPr>
      <mc:AlternateContent>
        <mc:Choice Requires="wps">
          <w:drawing>
            <wp:inline distT="0" distB="0" distL="0" distR="0" wp14:anchorId="6B4AEB65" wp14:editId="3435657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DD5468" w:rsidRDefault="00DD5468" w:rsidP="00DD0AEA">
    <w:pPr>
      <w:pStyle w:val="Footerpage1"/>
    </w:pPr>
    <w:r w:rsidRPr="008E763A">
      <w:t>Tel: (02) 9288 4000 | TTY: (02) 9281 5322 | Fax: (02) 9288 4019</w:t>
    </w:r>
  </w:p>
  <w:p w:rsidR="00DD5468" w:rsidRDefault="00DD5468"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7E" w:rsidRDefault="00A27D7E" w:rsidP="00DD0AEA">
      <w:pPr>
        <w:spacing w:after="0" w:line="240" w:lineRule="auto"/>
      </w:pPr>
      <w:r>
        <w:separator/>
      </w:r>
    </w:p>
  </w:footnote>
  <w:footnote w:type="continuationSeparator" w:id="0">
    <w:p w:rsidR="00A27D7E" w:rsidRDefault="00A27D7E" w:rsidP="00DD0AEA">
      <w:pPr>
        <w:spacing w:after="0" w:line="240" w:lineRule="auto"/>
      </w:pPr>
      <w:r>
        <w:continuationSeparator/>
      </w:r>
    </w:p>
  </w:footnote>
  <w:footnote w:id="1">
    <w:p w:rsidR="00DD5468" w:rsidRPr="002B54EA" w:rsidRDefault="00DD5468" w:rsidP="00585151">
      <w:pPr>
        <w:pStyle w:val="FootnoteText"/>
        <w:jc w:val="both"/>
        <w:rPr>
          <w:rFonts w:ascii="Times New Roman" w:hAnsi="Times New Roman" w:cs="Times New Roman"/>
        </w:rPr>
      </w:pPr>
      <w:r w:rsidRPr="002B54EA">
        <w:rPr>
          <w:rStyle w:val="FootnoteReference"/>
          <w:rFonts w:ascii="Times New Roman" w:hAnsi="Times New Roman" w:cs="Times New Roman"/>
        </w:rPr>
        <w:footnoteRef/>
      </w:r>
      <w:r w:rsidRPr="002B54EA">
        <w:rPr>
          <w:rFonts w:ascii="Times New Roman" w:hAnsi="Times New Roman" w:cs="Times New Roman"/>
        </w:rPr>
        <w:t>. Insofar as the cost of information may be a driver in the emergence of information asymmetries, noting that an analysis of disaggregated costs of observation, communicating and interpreting information amongst others. A reduction in the costs of communicating information, does not necessarily result in a reduction in information asymmetries where consumers are not in a position to observe all product or service characteristics (at reasonable cost) or where a counterparty may raise the costs of transacting through complex contracts, or creating barriers to enforcement.</w:t>
      </w:r>
    </w:p>
  </w:footnote>
  <w:footnote w:id="2">
    <w:p w:rsidR="00DD5468" w:rsidRPr="002B54EA" w:rsidRDefault="00DD5468">
      <w:pPr>
        <w:pStyle w:val="FootnoteText"/>
        <w:rPr>
          <w:rFonts w:ascii="Times New Roman" w:hAnsi="Times New Roman" w:cs="Times New Roman"/>
          <w:lang w:val="en-US"/>
        </w:rPr>
      </w:pPr>
      <w:r w:rsidRPr="002B54EA">
        <w:rPr>
          <w:rStyle w:val="FootnoteReference"/>
          <w:rFonts w:ascii="Times New Roman" w:hAnsi="Times New Roman" w:cs="Times New Roman"/>
        </w:rPr>
        <w:footnoteRef/>
      </w:r>
      <w:r w:rsidRPr="002B54EA">
        <w:rPr>
          <w:rFonts w:ascii="Times New Roman" w:hAnsi="Times New Roman" w:cs="Times New Roman"/>
        </w:rPr>
        <w:t>. This calculation is based on market share as calculated by the Grattan Institute, and ACCC industry revenue figures.</w:t>
      </w:r>
    </w:p>
  </w:footnote>
  <w:footnote w:id="3">
    <w:p w:rsidR="00DD5468" w:rsidRPr="008F601D" w:rsidRDefault="00DD5468" w:rsidP="008F601D">
      <w:pPr>
        <w:spacing w:before="100" w:beforeAutospacing="1" w:after="100" w:afterAutospacing="1"/>
        <w:jc w:val="both"/>
        <w:rPr>
          <w:rFonts w:ascii="Times New Roman" w:hAnsi="Times New Roman" w:cs="Times New Roman"/>
          <w:sz w:val="20"/>
        </w:rPr>
      </w:pPr>
      <w:r w:rsidRPr="008F601D">
        <w:rPr>
          <w:rStyle w:val="FootnoteReference"/>
          <w:rFonts w:ascii="Times New Roman" w:hAnsi="Times New Roman" w:cs="Times New Roman"/>
          <w:sz w:val="20"/>
          <w:szCs w:val="20"/>
        </w:rPr>
        <w:footnoteRef/>
      </w:r>
      <w:r w:rsidRPr="008F601D">
        <w:rPr>
          <w:rFonts w:ascii="Times New Roman" w:hAnsi="Times New Roman" w:cs="Times New Roman"/>
          <w:sz w:val="20"/>
          <w:szCs w:val="20"/>
        </w:rPr>
        <w:t xml:space="preserve"> </w:t>
      </w:r>
      <w:proofErr w:type="gramStart"/>
      <w:r w:rsidRPr="008F601D">
        <w:rPr>
          <w:rFonts w:ascii="Times New Roman" w:hAnsi="Times New Roman" w:cs="Times New Roman"/>
          <w:sz w:val="20"/>
          <w:szCs w:val="20"/>
        </w:rPr>
        <w:t>(</w:t>
      </w:r>
      <w:proofErr w:type="spellStart"/>
      <w:r w:rsidRPr="008F601D">
        <w:rPr>
          <w:rFonts w:ascii="Times New Roman" w:hAnsi="Times New Roman" w:cs="Times New Roman"/>
          <w:sz w:val="20"/>
          <w:szCs w:val="20"/>
        </w:rPr>
        <w:t>Cecot</w:t>
      </w:r>
      <w:proofErr w:type="spellEnd"/>
      <w:r w:rsidRPr="008F601D">
        <w:rPr>
          <w:rFonts w:ascii="Times New Roman" w:hAnsi="Times New Roman" w:cs="Times New Roman"/>
          <w:sz w:val="20"/>
          <w:szCs w:val="20"/>
        </w:rPr>
        <w:t xml:space="preserve"> et al. 2008; Hahn &amp; </w:t>
      </w:r>
      <w:proofErr w:type="spellStart"/>
      <w:r w:rsidRPr="008F601D">
        <w:rPr>
          <w:rFonts w:ascii="Times New Roman" w:hAnsi="Times New Roman" w:cs="Times New Roman"/>
          <w:sz w:val="20"/>
          <w:szCs w:val="20"/>
        </w:rPr>
        <w:t>Hird</w:t>
      </w:r>
      <w:proofErr w:type="spellEnd"/>
      <w:r w:rsidRPr="008F601D">
        <w:rPr>
          <w:rFonts w:ascii="Times New Roman" w:hAnsi="Times New Roman" w:cs="Times New Roman"/>
          <w:sz w:val="20"/>
          <w:szCs w:val="20"/>
        </w:rPr>
        <w:t xml:space="preserve"> 1991; Hahn 1998; Hahn et al. 2000; Hahn &amp; Dudley 2007; Hahn &amp; </w:t>
      </w:r>
      <w:proofErr w:type="spellStart"/>
      <w:r w:rsidRPr="008F601D">
        <w:rPr>
          <w:rFonts w:ascii="Times New Roman" w:hAnsi="Times New Roman" w:cs="Times New Roman"/>
          <w:sz w:val="20"/>
          <w:szCs w:val="20"/>
        </w:rPr>
        <w:t>Tetlock</w:t>
      </w:r>
      <w:proofErr w:type="spellEnd"/>
      <w:r w:rsidRPr="008F601D">
        <w:rPr>
          <w:rFonts w:ascii="Times New Roman" w:hAnsi="Times New Roman" w:cs="Times New Roman"/>
          <w:sz w:val="20"/>
          <w:szCs w:val="20"/>
        </w:rPr>
        <w:t xml:space="preserve"> 2008) and in Australia (PC 2012, p. 11).</w:t>
      </w:r>
      <w:proofErr w:type="gramEnd"/>
      <w:r w:rsidRPr="008F601D">
        <w:rPr>
          <w:rFonts w:ascii="Times New Roman" w:hAnsi="Times New Roman" w:cs="Times New Roman"/>
          <w:sz w:val="20"/>
          <w:szCs w:val="20"/>
        </w:rPr>
        <w:t xml:space="preserve"> </w:t>
      </w:r>
    </w:p>
  </w:footnote>
  <w:footnote w:id="4">
    <w:p w:rsidR="00DD5468" w:rsidRPr="002B54EA" w:rsidRDefault="00DD5468" w:rsidP="005D5DA2">
      <w:pPr>
        <w:pStyle w:val="FootnoteText"/>
        <w:rPr>
          <w:rFonts w:ascii="Times New Roman" w:hAnsi="Times New Roman" w:cs="Times New Roman"/>
          <w:lang w:val="en-US"/>
        </w:rPr>
      </w:pPr>
      <w:r w:rsidRPr="002B54EA">
        <w:rPr>
          <w:rStyle w:val="FootnoteReference"/>
          <w:rFonts w:ascii="Times New Roman" w:hAnsi="Times New Roman" w:cs="Times New Roman"/>
        </w:rPr>
        <w:footnoteRef/>
      </w:r>
      <w:r w:rsidRPr="002B54EA">
        <w:rPr>
          <w:rFonts w:ascii="Times New Roman" w:hAnsi="Times New Roman" w:cs="Times New Roman"/>
        </w:rPr>
        <w:t xml:space="preserve">. Estimated based on market share figures (Grattan 2017), known industry revenue figures (BCAR 2017, p. 11-14) and assuming </w:t>
      </w:r>
      <w:proofErr w:type="gramStart"/>
      <w:r w:rsidRPr="002B54EA">
        <w:rPr>
          <w:rFonts w:ascii="Times New Roman" w:hAnsi="Times New Roman" w:cs="Times New Roman"/>
        </w:rPr>
        <w:t>a revenue</w:t>
      </w:r>
      <w:proofErr w:type="gramEnd"/>
      <w:r w:rsidRPr="002B54EA">
        <w:rPr>
          <w:rFonts w:ascii="Times New Roman" w:hAnsi="Times New Roman" w:cs="Times New Roman"/>
        </w:rPr>
        <w:t xml:space="preserve"> split approximately in line with market share. </w:t>
      </w:r>
    </w:p>
  </w:footnote>
  <w:footnote w:id="5">
    <w:p w:rsidR="00DD5468" w:rsidRPr="002B54EA" w:rsidRDefault="00DD5468" w:rsidP="00651CF6">
      <w:pPr>
        <w:pStyle w:val="FootnoteText"/>
        <w:rPr>
          <w:rFonts w:ascii="Times New Roman" w:hAnsi="Times New Roman" w:cs="Times New Roman"/>
        </w:rPr>
      </w:pPr>
      <w:r w:rsidRPr="002B54EA">
        <w:rPr>
          <w:rStyle w:val="FootnoteReference"/>
          <w:rFonts w:ascii="Times New Roman" w:hAnsi="Times New Roman" w:cs="Times New Roman"/>
        </w:rPr>
        <w:footnoteRef/>
      </w:r>
      <w:r w:rsidRPr="002B54EA">
        <w:rPr>
          <w:rFonts w:ascii="Times New Roman" w:hAnsi="Times New Roman" w:cs="Times New Roman"/>
        </w:rPr>
        <w:t xml:space="preserve">. </w:t>
      </w:r>
      <w:r w:rsidRPr="002B54EA">
        <w:rPr>
          <w:rFonts w:ascii="Times New Roman" w:hAnsi="Times New Roman" w:cs="Times New Roman"/>
          <w:i/>
        </w:rPr>
        <w:t xml:space="preserve">Competition and Consumer Act 2010 </w:t>
      </w:r>
      <w:r w:rsidRPr="002B54EA">
        <w:rPr>
          <w:rFonts w:ascii="Times New Roman" w:hAnsi="Times New Roman" w:cs="Times New Roman"/>
        </w:rPr>
        <w:t>(</w:t>
      </w:r>
      <w:proofErr w:type="spellStart"/>
      <w:r w:rsidRPr="002B54EA">
        <w:rPr>
          <w:rFonts w:ascii="Times New Roman" w:hAnsi="Times New Roman" w:cs="Times New Roman"/>
        </w:rPr>
        <w:t>Cth</w:t>
      </w:r>
      <w:proofErr w:type="spellEnd"/>
      <w:r w:rsidRPr="002B54EA">
        <w:rPr>
          <w:rFonts w:ascii="Times New Roman" w:hAnsi="Times New Roman" w:cs="Times New Roman"/>
        </w:rPr>
        <w:t>) s. 82, s.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Header"/>
      <w:jc w:val="right"/>
    </w:pPr>
    <w:r>
      <w:rPr>
        <w:noProof/>
        <w:lang w:val="en-US"/>
      </w:rPr>
      <w:drawing>
        <wp:inline distT="0" distB="0" distL="0" distR="0" wp14:anchorId="307F5F80" wp14:editId="217F6D7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Header"/>
      <w:jc w:val="center"/>
    </w:pPr>
    <w:r>
      <w:rPr>
        <w:noProof/>
        <w:lang w:val="en-US"/>
      </w:rPr>
      <w:drawing>
        <wp:inline distT="0" distB="0" distL="0" distR="0" wp14:anchorId="30966DE1" wp14:editId="160224D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00"/>
    <w:multiLevelType w:val="hybridMultilevel"/>
    <w:tmpl w:val="5150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66B8E"/>
    <w:multiLevelType w:val="hybridMultilevel"/>
    <w:tmpl w:val="D77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2005"/>
    <w:multiLevelType w:val="hybridMultilevel"/>
    <w:tmpl w:val="52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B21D1"/>
    <w:multiLevelType w:val="hybridMultilevel"/>
    <w:tmpl w:val="274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4733"/>
    <w:multiLevelType w:val="hybridMultilevel"/>
    <w:tmpl w:val="4892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62D1DC5"/>
    <w:multiLevelType w:val="hybridMultilevel"/>
    <w:tmpl w:val="AC18C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43466A"/>
    <w:multiLevelType w:val="hybridMultilevel"/>
    <w:tmpl w:val="169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A6987"/>
    <w:multiLevelType w:val="hybridMultilevel"/>
    <w:tmpl w:val="57D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B0B46"/>
    <w:multiLevelType w:val="hybridMultilevel"/>
    <w:tmpl w:val="6B54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10207C3"/>
    <w:multiLevelType w:val="hybridMultilevel"/>
    <w:tmpl w:val="0E5A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34FEF"/>
    <w:multiLevelType w:val="hybridMultilevel"/>
    <w:tmpl w:val="A24C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67144"/>
    <w:multiLevelType w:val="multilevel"/>
    <w:tmpl w:val="989E8E90"/>
    <w:numStyleLink w:val="Appendices"/>
  </w:abstractNum>
  <w:abstractNum w:abstractNumId="15">
    <w:nsid w:val="67CD6231"/>
    <w:multiLevelType w:val="multilevel"/>
    <w:tmpl w:val="F2FC669E"/>
    <w:numStyleLink w:val="Recommendations"/>
  </w:abstractNum>
  <w:abstractNum w:abstractNumId="16">
    <w:nsid w:val="6A353269"/>
    <w:multiLevelType w:val="hybridMultilevel"/>
    <w:tmpl w:val="5E7E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6F2C347E"/>
    <w:multiLevelType w:val="hybridMultilevel"/>
    <w:tmpl w:val="1F2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87D1B"/>
    <w:multiLevelType w:val="hybridMultilevel"/>
    <w:tmpl w:val="6DB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07A96"/>
    <w:multiLevelType w:val="hybridMultilevel"/>
    <w:tmpl w:val="3208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101B4B"/>
    <w:multiLevelType w:val="hybridMultilevel"/>
    <w:tmpl w:val="923C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3">
    <w:nsid w:val="7DD41085"/>
    <w:multiLevelType w:val="hybridMultilevel"/>
    <w:tmpl w:val="DFF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14"/>
  </w:num>
  <w:num w:numId="5">
    <w:abstractNumId w:val="17"/>
  </w:num>
  <w:num w:numId="6">
    <w:abstractNumId w:val="6"/>
  </w:num>
  <w:num w:numId="7">
    <w:abstractNumId w:val="15"/>
  </w:num>
  <w:num w:numId="8">
    <w:abstractNumId w:val="13"/>
  </w:num>
  <w:num w:numId="9">
    <w:abstractNumId w:val="18"/>
  </w:num>
  <w:num w:numId="10">
    <w:abstractNumId w:val="3"/>
  </w:num>
  <w:num w:numId="11">
    <w:abstractNumId w:val="12"/>
  </w:num>
  <w:num w:numId="12">
    <w:abstractNumId w:val="19"/>
  </w:num>
  <w:num w:numId="13">
    <w:abstractNumId w:val="0"/>
  </w:num>
  <w:num w:numId="14">
    <w:abstractNumId w:val="2"/>
  </w:num>
  <w:num w:numId="15">
    <w:abstractNumId w:val="20"/>
  </w:num>
  <w:num w:numId="16">
    <w:abstractNumId w:val="10"/>
  </w:num>
  <w:num w:numId="17">
    <w:abstractNumId w:val="7"/>
  </w:num>
  <w:num w:numId="18">
    <w:abstractNumId w:val="4"/>
  </w:num>
  <w:num w:numId="19">
    <w:abstractNumId w:val="16"/>
  </w:num>
  <w:num w:numId="20">
    <w:abstractNumId w:val="21"/>
  </w:num>
  <w:num w:numId="21">
    <w:abstractNumId w:val="8"/>
  </w:num>
  <w:num w:numId="22">
    <w:abstractNumId w:val="9"/>
  </w:num>
  <w:num w:numId="23">
    <w:abstractNumId w:val="1"/>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03392"/>
    <w:rsid w:val="00003A68"/>
    <w:rsid w:val="00004AD2"/>
    <w:rsid w:val="0000697A"/>
    <w:rsid w:val="00010274"/>
    <w:rsid w:val="00010B72"/>
    <w:rsid w:val="00015584"/>
    <w:rsid w:val="0001659C"/>
    <w:rsid w:val="00016B13"/>
    <w:rsid w:val="00017CB9"/>
    <w:rsid w:val="000234F7"/>
    <w:rsid w:val="0003141F"/>
    <w:rsid w:val="0003308C"/>
    <w:rsid w:val="00033198"/>
    <w:rsid w:val="000331EB"/>
    <w:rsid w:val="0003406C"/>
    <w:rsid w:val="00034C47"/>
    <w:rsid w:val="00034FE6"/>
    <w:rsid w:val="00035C28"/>
    <w:rsid w:val="00037AB7"/>
    <w:rsid w:val="000413C9"/>
    <w:rsid w:val="0004148D"/>
    <w:rsid w:val="00042491"/>
    <w:rsid w:val="000435FC"/>
    <w:rsid w:val="0004472D"/>
    <w:rsid w:val="00044C24"/>
    <w:rsid w:val="0004561D"/>
    <w:rsid w:val="00046608"/>
    <w:rsid w:val="00047639"/>
    <w:rsid w:val="00047762"/>
    <w:rsid w:val="00050D2D"/>
    <w:rsid w:val="00051308"/>
    <w:rsid w:val="000519B4"/>
    <w:rsid w:val="00053843"/>
    <w:rsid w:val="00055B60"/>
    <w:rsid w:val="00055F26"/>
    <w:rsid w:val="00056795"/>
    <w:rsid w:val="00057F21"/>
    <w:rsid w:val="00061692"/>
    <w:rsid w:val="000624F7"/>
    <w:rsid w:val="0006298D"/>
    <w:rsid w:val="00063E08"/>
    <w:rsid w:val="00064FD9"/>
    <w:rsid w:val="000658C0"/>
    <w:rsid w:val="000668FE"/>
    <w:rsid w:val="00066D0B"/>
    <w:rsid w:val="00067B0E"/>
    <w:rsid w:val="0007060B"/>
    <w:rsid w:val="0007225A"/>
    <w:rsid w:val="0007524C"/>
    <w:rsid w:val="000769D6"/>
    <w:rsid w:val="00080711"/>
    <w:rsid w:val="00084427"/>
    <w:rsid w:val="000853F1"/>
    <w:rsid w:val="000877B2"/>
    <w:rsid w:val="00087F08"/>
    <w:rsid w:val="00090C07"/>
    <w:rsid w:val="00090FAF"/>
    <w:rsid w:val="000946B7"/>
    <w:rsid w:val="00096913"/>
    <w:rsid w:val="00097123"/>
    <w:rsid w:val="000A1660"/>
    <w:rsid w:val="000A3048"/>
    <w:rsid w:val="000A647B"/>
    <w:rsid w:val="000A7A92"/>
    <w:rsid w:val="000B2D5F"/>
    <w:rsid w:val="000B3ABA"/>
    <w:rsid w:val="000C6D95"/>
    <w:rsid w:val="000C6F20"/>
    <w:rsid w:val="000D11A6"/>
    <w:rsid w:val="000D2612"/>
    <w:rsid w:val="000D746C"/>
    <w:rsid w:val="000E13A7"/>
    <w:rsid w:val="000E2020"/>
    <w:rsid w:val="000E2A2B"/>
    <w:rsid w:val="000E2D6E"/>
    <w:rsid w:val="000E35F6"/>
    <w:rsid w:val="000E479A"/>
    <w:rsid w:val="000E543D"/>
    <w:rsid w:val="000E59DE"/>
    <w:rsid w:val="000E6CE2"/>
    <w:rsid w:val="000E71AE"/>
    <w:rsid w:val="000F0B07"/>
    <w:rsid w:val="000F47F3"/>
    <w:rsid w:val="000F4995"/>
    <w:rsid w:val="000F74B5"/>
    <w:rsid w:val="00100D57"/>
    <w:rsid w:val="00101348"/>
    <w:rsid w:val="00101782"/>
    <w:rsid w:val="00111E14"/>
    <w:rsid w:val="00113C2C"/>
    <w:rsid w:val="00114C73"/>
    <w:rsid w:val="00116291"/>
    <w:rsid w:val="00121C45"/>
    <w:rsid w:val="00121F80"/>
    <w:rsid w:val="00124A39"/>
    <w:rsid w:val="001259B4"/>
    <w:rsid w:val="001265E5"/>
    <w:rsid w:val="00126FA8"/>
    <w:rsid w:val="001270EF"/>
    <w:rsid w:val="0013146C"/>
    <w:rsid w:val="0013255E"/>
    <w:rsid w:val="00134585"/>
    <w:rsid w:val="001363B8"/>
    <w:rsid w:val="0013687E"/>
    <w:rsid w:val="00136F17"/>
    <w:rsid w:val="001374C1"/>
    <w:rsid w:val="00137C87"/>
    <w:rsid w:val="001410E8"/>
    <w:rsid w:val="00141647"/>
    <w:rsid w:val="001429B7"/>
    <w:rsid w:val="00142AC7"/>
    <w:rsid w:val="001447F9"/>
    <w:rsid w:val="00144A85"/>
    <w:rsid w:val="0014585F"/>
    <w:rsid w:val="00146E77"/>
    <w:rsid w:val="00147481"/>
    <w:rsid w:val="00147AA3"/>
    <w:rsid w:val="0015005E"/>
    <w:rsid w:val="00151504"/>
    <w:rsid w:val="0015202E"/>
    <w:rsid w:val="00153442"/>
    <w:rsid w:val="001547AF"/>
    <w:rsid w:val="0015743E"/>
    <w:rsid w:val="001600B3"/>
    <w:rsid w:val="001625EA"/>
    <w:rsid w:val="001641BC"/>
    <w:rsid w:val="001658CF"/>
    <w:rsid w:val="00170191"/>
    <w:rsid w:val="001717EA"/>
    <w:rsid w:val="00171E49"/>
    <w:rsid w:val="00172DA1"/>
    <w:rsid w:val="00174078"/>
    <w:rsid w:val="001746BF"/>
    <w:rsid w:val="00180975"/>
    <w:rsid w:val="00182364"/>
    <w:rsid w:val="001830C5"/>
    <w:rsid w:val="0018368F"/>
    <w:rsid w:val="00184357"/>
    <w:rsid w:val="0018602F"/>
    <w:rsid w:val="00190EB6"/>
    <w:rsid w:val="0019149E"/>
    <w:rsid w:val="00196A64"/>
    <w:rsid w:val="00197499"/>
    <w:rsid w:val="001A0AD8"/>
    <w:rsid w:val="001A2BF7"/>
    <w:rsid w:val="001A6153"/>
    <w:rsid w:val="001A6552"/>
    <w:rsid w:val="001B1798"/>
    <w:rsid w:val="001B2365"/>
    <w:rsid w:val="001B6EDD"/>
    <w:rsid w:val="001B7422"/>
    <w:rsid w:val="001B7A9C"/>
    <w:rsid w:val="001B7C45"/>
    <w:rsid w:val="001C1418"/>
    <w:rsid w:val="001C4C22"/>
    <w:rsid w:val="001C79E9"/>
    <w:rsid w:val="001D152D"/>
    <w:rsid w:val="001D1B27"/>
    <w:rsid w:val="001D41E6"/>
    <w:rsid w:val="001D5F76"/>
    <w:rsid w:val="001D7238"/>
    <w:rsid w:val="001E21C8"/>
    <w:rsid w:val="001E3DB6"/>
    <w:rsid w:val="001E5100"/>
    <w:rsid w:val="001E6412"/>
    <w:rsid w:val="001E671C"/>
    <w:rsid w:val="001F065B"/>
    <w:rsid w:val="001F2B9B"/>
    <w:rsid w:val="001F4F6C"/>
    <w:rsid w:val="001F7635"/>
    <w:rsid w:val="001F765D"/>
    <w:rsid w:val="00204433"/>
    <w:rsid w:val="00211FFD"/>
    <w:rsid w:val="0021586A"/>
    <w:rsid w:val="0021693D"/>
    <w:rsid w:val="00221EA5"/>
    <w:rsid w:val="00227E87"/>
    <w:rsid w:val="0023010B"/>
    <w:rsid w:val="00231F9A"/>
    <w:rsid w:val="00232EF3"/>
    <w:rsid w:val="0023308E"/>
    <w:rsid w:val="002351DE"/>
    <w:rsid w:val="00236A74"/>
    <w:rsid w:val="002377F2"/>
    <w:rsid w:val="00237DEA"/>
    <w:rsid w:val="00241038"/>
    <w:rsid w:val="002458A0"/>
    <w:rsid w:val="00246B7D"/>
    <w:rsid w:val="002534D0"/>
    <w:rsid w:val="00254602"/>
    <w:rsid w:val="00255DEA"/>
    <w:rsid w:val="00256AC0"/>
    <w:rsid w:val="002573DA"/>
    <w:rsid w:val="00261DAC"/>
    <w:rsid w:val="002624D9"/>
    <w:rsid w:val="00263494"/>
    <w:rsid w:val="00264980"/>
    <w:rsid w:val="00272246"/>
    <w:rsid w:val="00272604"/>
    <w:rsid w:val="0027479A"/>
    <w:rsid w:val="00274A80"/>
    <w:rsid w:val="0027511B"/>
    <w:rsid w:val="00275219"/>
    <w:rsid w:val="002771C8"/>
    <w:rsid w:val="00280CF9"/>
    <w:rsid w:val="00282CE3"/>
    <w:rsid w:val="00283661"/>
    <w:rsid w:val="00285170"/>
    <w:rsid w:val="002871EF"/>
    <w:rsid w:val="00291581"/>
    <w:rsid w:val="00294DFD"/>
    <w:rsid w:val="00294F22"/>
    <w:rsid w:val="002966C7"/>
    <w:rsid w:val="00296CD9"/>
    <w:rsid w:val="00297E6E"/>
    <w:rsid w:val="002A2A16"/>
    <w:rsid w:val="002A4E4D"/>
    <w:rsid w:val="002B54EA"/>
    <w:rsid w:val="002B6CFA"/>
    <w:rsid w:val="002B742B"/>
    <w:rsid w:val="002C7EE5"/>
    <w:rsid w:val="002D0066"/>
    <w:rsid w:val="002D0969"/>
    <w:rsid w:val="002D0DC5"/>
    <w:rsid w:val="002D0F13"/>
    <w:rsid w:val="002D134F"/>
    <w:rsid w:val="002D1D18"/>
    <w:rsid w:val="002D4884"/>
    <w:rsid w:val="002D4E13"/>
    <w:rsid w:val="002D5B22"/>
    <w:rsid w:val="002E06C0"/>
    <w:rsid w:val="002E1311"/>
    <w:rsid w:val="002E334F"/>
    <w:rsid w:val="002E623A"/>
    <w:rsid w:val="002F3022"/>
    <w:rsid w:val="002F4293"/>
    <w:rsid w:val="002F42FE"/>
    <w:rsid w:val="002F68DC"/>
    <w:rsid w:val="002F6CEC"/>
    <w:rsid w:val="003020AB"/>
    <w:rsid w:val="003030F0"/>
    <w:rsid w:val="003034FB"/>
    <w:rsid w:val="00303ECE"/>
    <w:rsid w:val="00304262"/>
    <w:rsid w:val="003042BF"/>
    <w:rsid w:val="00304659"/>
    <w:rsid w:val="00311D60"/>
    <w:rsid w:val="00314913"/>
    <w:rsid w:val="00315928"/>
    <w:rsid w:val="00315F77"/>
    <w:rsid w:val="00320323"/>
    <w:rsid w:val="00320DDA"/>
    <w:rsid w:val="00322CCE"/>
    <w:rsid w:val="00322DEE"/>
    <w:rsid w:val="00324797"/>
    <w:rsid w:val="00325B6A"/>
    <w:rsid w:val="00326601"/>
    <w:rsid w:val="00327750"/>
    <w:rsid w:val="003279A8"/>
    <w:rsid w:val="00327A98"/>
    <w:rsid w:val="00331742"/>
    <w:rsid w:val="003343CA"/>
    <w:rsid w:val="00335E19"/>
    <w:rsid w:val="003403FF"/>
    <w:rsid w:val="00342020"/>
    <w:rsid w:val="0034342B"/>
    <w:rsid w:val="00344CDC"/>
    <w:rsid w:val="003464DD"/>
    <w:rsid w:val="00347720"/>
    <w:rsid w:val="00352240"/>
    <w:rsid w:val="0035283B"/>
    <w:rsid w:val="0035297C"/>
    <w:rsid w:val="00353BAD"/>
    <w:rsid w:val="00354A82"/>
    <w:rsid w:val="00354A96"/>
    <w:rsid w:val="00354DA7"/>
    <w:rsid w:val="003553DB"/>
    <w:rsid w:val="00356467"/>
    <w:rsid w:val="003607BA"/>
    <w:rsid w:val="00361F71"/>
    <w:rsid w:val="0036272B"/>
    <w:rsid w:val="00363C8C"/>
    <w:rsid w:val="0036547B"/>
    <w:rsid w:val="00367560"/>
    <w:rsid w:val="00370F61"/>
    <w:rsid w:val="00371A7A"/>
    <w:rsid w:val="00376D54"/>
    <w:rsid w:val="00377BAB"/>
    <w:rsid w:val="00377D5F"/>
    <w:rsid w:val="00383F30"/>
    <w:rsid w:val="00387215"/>
    <w:rsid w:val="00391816"/>
    <w:rsid w:val="003920BB"/>
    <w:rsid w:val="003921BD"/>
    <w:rsid w:val="003935D5"/>
    <w:rsid w:val="00393A39"/>
    <w:rsid w:val="003956D0"/>
    <w:rsid w:val="00395C98"/>
    <w:rsid w:val="003A17FE"/>
    <w:rsid w:val="003A3800"/>
    <w:rsid w:val="003A3819"/>
    <w:rsid w:val="003A3DFD"/>
    <w:rsid w:val="003A651B"/>
    <w:rsid w:val="003B3045"/>
    <w:rsid w:val="003B53CB"/>
    <w:rsid w:val="003C0E4F"/>
    <w:rsid w:val="003C2AF4"/>
    <w:rsid w:val="003C3AE3"/>
    <w:rsid w:val="003C3B62"/>
    <w:rsid w:val="003D24C4"/>
    <w:rsid w:val="003D2624"/>
    <w:rsid w:val="003D4E72"/>
    <w:rsid w:val="003E754E"/>
    <w:rsid w:val="003F18AF"/>
    <w:rsid w:val="003F6545"/>
    <w:rsid w:val="003F732A"/>
    <w:rsid w:val="00402398"/>
    <w:rsid w:val="00402D40"/>
    <w:rsid w:val="00402DA9"/>
    <w:rsid w:val="00404275"/>
    <w:rsid w:val="0040435E"/>
    <w:rsid w:val="00406AF4"/>
    <w:rsid w:val="00411157"/>
    <w:rsid w:val="00412E73"/>
    <w:rsid w:val="004132EF"/>
    <w:rsid w:val="00413579"/>
    <w:rsid w:val="004166B5"/>
    <w:rsid w:val="00416A2F"/>
    <w:rsid w:val="00416D47"/>
    <w:rsid w:val="00416EF8"/>
    <w:rsid w:val="004206F6"/>
    <w:rsid w:val="00421641"/>
    <w:rsid w:val="0042174C"/>
    <w:rsid w:val="004279F0"/>
    <w:rsid w:val="00432F5F"/>
    <w:rsid w:val="00435046"/>
    <w:rsid w:val="00437BCE"/>
    <w:rsid w:val="00441209"/>
    <w:rsid w:val="00442900"/>
    <w:rsid w:val="00442BE2"/>
    <w:rsid w:val="00443EDE"/>
    <w:rsid w:val="004454E9"/>
    <w:rsid w:val="0044583A"/>
    <w:rsid w:val="00446087"/>
    <w:rsid w:val="0044635C"/>
    <w:rsid w:val="004472A7"/>
    <w:rsid w:val="00447614"/>
    <w:rsid w:val="0045005F"/>
    <w:rsid w:val="004502CA"/>
    <w:rsid w:val="00450EAA"/>
    <w:rsid w:val="0045127F"/>
    <w:rsid w:val="00451699"/>
    <w:rsid w:val="004520DF"/>
    <w:rsid w:val="00452F0D"/>
    <w:rsid w:val="00454507"/>
    <w:rsid w:val="00461853"/>
    <w:rsid w:val="004619D0"/>
    <w:rsid w:val="004659D0"/>
    <w:rsid w:val="00465B8E"/>
    <w:rsid w:val="00467B03"/>
    <w:rsid w:val="00470761"/>
    <w:rsid w:val="00470D62"/>
    <w:rsid w:val="00472E94"/>
    <w:rsid w:val="004739B5"/>
    <w:rsid w:val="00476C27"/>
    <w:rsid w:val="0048029F"/>
    <w:rsid w:val="00480D20"/>
    <w:rsid w:val="00481203"/>
    <w:rsid w:val="00481D83"/>
    <w:rsid w:val="004837BA"/>
    <w:rsid w:val="00485C8E"/>
    <w:rsid w:val="00491257"/>
    <w:rsid w:val="0049149C"/>
    <w:rsid w:val="00492392"/>
    <w:rsid w:val="0049337D"/>
    <w:rsid w:val="00494BA4"/>
    <w:rsid w:val="00495886"/>
    <w:rsid w:val="004959CE"/>
    <w:rsid w:val="00496EC4"/>
    <w:rsid w:val="004A136C"/>
    <w:rsid w:val="004A3BF0"/>
    <w:rsid w:val="004A3C66"/>
    <w:rsid w:val="004A47CF"/>
    <w:rsid w:val="004A4A20"/>
    <w:rsid w:val="004A7372"/>
    <w:rsid w:val="004A7D2E"/>
    <w:rsid w:val="004B0966"/>
    <w:rsid w:val="004B5C19"/>
    <w:rsid w:val="004B5D6B"/>
    <w:rsid w:val="004C044C"/>
    <w:rsid w:val="004C059C"/>
    <w:rsid w:val="004C0D03"/>
    <w:rsid w:val="004C0F7C"/>
    <w:rsid w:val="004C127F"/>
    <w:rsid w:val="004C26B4"/>
    <w:rsid w:val="004C3A18"/>
    <w:rsid w:val="004C5128"/>
    <w:rsid w:val="004C68E0"/>
    <w:rsid w:val="004C7340"/>
    <w:rsid w:val="004D213E"/>
    <w:rsid w:val="004D2F00"/>
    <w:rsid w:val="004D4267"/>
    <w:rsid w:val="004D4E46"/>
    <w:rsid w:val="004D508C"/>
    <w:rsid w:val="004D7E66"/>
    <w:rsid w:val="004E04F3"/>
    <w:rsid w:val="004E2ACB"/>
    <w:rsid w:val="004E58A4"/>
    <w:rsid w:val="004E6D0D"/>
    <w:rsid w:val="004F083E"/>
    <w:rsid w:val="004F3578"/>
    <w:rsid w:val="004F628A"/>
    <w:rsid w:val="0050625D"/>
    <w:rsid w:val="005062DB"/>
    <w:rsid w:val="005069C8"/>
    <w:rsid w:val="005121FC"/>
    <w:rsid w:val="00513D8B"/>
    <w:rsid w:val="00513F6C"/>
    <w:rsid w:val="00514002"/>
    <w:rsid w:val="005156B8"/>
    <w:rsid w:val="00515EA1"/>
    <w:rsid w:val="005206E9"/>
    <w:rsid w:val="00522232"/>
    <w:rsid w:val="005264CC"/>
    <w:rsid w:val="00526DC0"/>
    <w:rsid w:val="00527902"/>
    <w:rsid w:val="00530F73"/>
    <w:rsid w:val="00532703"/>
    <w:rsid w:val="005377B5"/>
    <w:rsid w:val="005416A5"/>
    <w:rsid w:val="00543616"/>
    <w:rsid w:val="0054685D"/>
    <w:rsid w:val="00551903"/>
    <w:rsid w:val="00556538"/>
    <w:rsid w:val="00557149"/>
    <w:rsid w:val="00560699"/>
    <w:rsid w:val="00562802"/>
    <w:rsid w:val="00563B9C"/>
    <w:rsid w:val="00564BCB"/>
    <w:rsid w:val="00564C3B"/>
    <w:rsid w:val="00566EFC"/>
    <w:rsid w:val="00567221"/>
    <w:rsid w:val="00572F1C"/>
    <w:rsid w:val="00573104"/>
    <w:rsid w:val="0057425E"/>
    <w:rsid w:val="0057732B"/>
    <w:rsid w:val="00583822"/>
    <w:rsid w:val="00585151"/>
    <w:rsid w:val="00585621"/>
    <w:rsid w:val="005868B7"/>
    <w:rsid w:val="0058768E"/>
    <w:rsid w:val="005907DA"/>
    <w:rsid w:val="0059181C"/>
    <w:rsid w:val="005A5460"/>
    <w:rsid w:val="005B2279"/>
    <w:rsid w:val="005B2BEB"/>
    <w:rsid w:val="005B46F8"/>
    <w:rsid w:val="005B4BCE"/>
    <w:rsid w:val="005C15EF"/>
    <w:rsid w:val="005C4860"/>
    <w:rsid w:val="005C6899"/>
    <w:rsid w:val="005C7060"/>
    <w:rsid w:val="005C7439"/>
    <w:rsid w:val="005D05BE"/>
    <w:rsid w:val="005D16F8"/>
    <w:rsid w:val="005D1F51"/>
    <w:rsid w:val="005D4709"/>
    <w:rsid w:val="005D5DA2"/>
    <w:rsid w:val="005E0640"/>
    <w:rsid w:val="005E0670"/>
    <w:rsid w:val="005E24C0"/>
    <w:rsid w:val="005E3E23"/>
    <w:rsid w:val="005E50EA"/>
    <w:rsid w:val="005E6C4B"/>
    <w:rsid w:val="005E773E"/>
    <w:rsid w:val="005F1F18"/>
    <w:rsid w:val="005F31BF"/>
    <w:rsid w:val="005F4B20"/>
    <w:rsid w:val="005F5B26"/>
    <w:rsid w:val="005F61ED"/>
    <w:rsid w:val="005F6CA0"/>
    <w:rsid w:val="005F7088"/>
    <w:rsid w:val="00600610"/>
    <w:rsid w:val="006013DA"/>
    <w:rsid w:val="00606D1C"/>
    <w:rsid w:val="00606E63"/>
    <w:rsid w:val="00611494"/>
    <w:rsid w:val="00612822"/>
    <w:rsid w:val="006133F4"/>
    <w:rsid w:val="00615A5B"/>
    <w:rsid w:val="00615B00"/>
    <w:rsid w:val="00615FA3"/>
    <w:rsid w:val="006162CE"/>
    <w:rsid w:val="006174D3"/>
    <w:rsid w:val="0062111F"/>
    <w:rsid w:val="006239A4"/>
    <w:rsid w:val="006242A4"/>
    <w:rsid w:val="00626A02"/>
    <w:rsid w:val="00627D07"/>
    <w:rsid w:val="0063078E"/>
    <w:rsid w:val="00632BAF"/>
    <w:rsid w:val="00633C30"/>
    <w:rsid w:val="006356C2"/>
    <w:rsid w:val="00636BD6"/>
    <w:rsid w:val="006373C2"/>
    <w:rsid w:val="0064008B"/>
    <w:rsid w:val="00640ADB"/>
    <w:rsid w:val="00642AA2"/>
    <w:rsid w:val="00642D31"/>
    <w:rsid w:val="00642EAC"/>
    <w:rsid w:val="00645FA2"/>
    <w:rsid w:val="00647B26"/>
    <w:rsid w:val="00651CF6"/>
    <w:rsid w:val="006524FE"/>
    <w:rsid w:val="00653E10"/>
    <w:rsid w:val="00655063"/>
    <w:rsid w:val="00655F93"/>
    <w:rsid w:val="00656A82"/>
    <w:rsid w:val="006578A0"/>
    <w:rsid w:val="006646D8"/>
    <w:rsid w:val="0066669A"/>
    <w:rsid w:val="0066746F"/>
    <w:rsid w:val="006703B0"/>
    <w:rsid w:val="00670764"/>
    <w:rsid w:val="006730E8"/>
    <w:rsid w:val="0067666A"/>
    <w:rsid w:val="00677387"/>
    <w:rsid w:val="00685C3D"/>
    <w:rsid w:val="006867A0"/>
    <w:rsid w:val="00696688"/>
    <w:rsid w:val="006A1297"/>
    <w:rsid w:val="006A1624"/>
    <w:rsid w:val="006A3F73"/>
    <w:rsid w:val="006B167E"/>
    <w:rsid w:val="006B1F2C"/>
    <w:rsid w:val="006B6CCF"/>
    <w:rsid w:val="006B6D6A"/>
    <w:rsid w:val="006C025B"/>
    <w:rsid w:val="006C0E3E"/>
    <w:rsid w:val="006C23E7"/>
    <w:rsid w:val="006C7140"/>
    <w:rsid w:val="006D11CF"/>
    <w:rsid w:val="006D51AF"/>
    <w:rsid w:val="006E2279"/>
    <w:rsid w:val="006E38DE"/>
    <w:rsid w:val="006E55DE"/>
    <w:rsid w:val="006E7AD9"/>
    <w:rsid w:val="006E7CE7"/>
    <w:rsid w:val="006F1135"/>
    <w:rsid w:val="006F132E"/>
    <w:rsid w:val="006F28D1"/>
    <w:rsid w:val="006F4D60"/>
    <w:rsid w:val="006F6129"/>
    <w:rsid w:val="007056F2"/>
    <w:rsid w:val="00707CC6"/>
    <w:rsid w:val="00710396"/>
    <w:rsid w:val="00710E4C"/>
    <w:rsid w:val="0071162E"/>
    <w:rsid w:val="00711D4D"/>
    <w:rsid w:val="00712139"/>
    <w:rsid w:val="00713F4D"/>
    <w:rsid w:val="0071761C"/>
    <w:rsid w:val="0071770B"/>
    <w:rsid w:val="00721B19"/>
    <w:rsid w:val="00724C9D"/>
    <w:rsid w:val="00726243"/>
    <w:rsid w:val="0072706B"/>
    <w:rsid w:val="007304A2"/>
    <w:rsid w:val="00732B40"/>
    <w:rsid w:val="00733134"/>
    <w:rsid w:val="007337FA"/>
    <w:rsid w:val="007347EA"/>
    <w:rsid w:val="00734E67"/>
    <w:rsid w:val="00741738"/>
    <w:rsid w:val="00741E0F"/>
    <w:rsid w:val="00742CF5"/>
    <w:rsid w:val="007444A3"/>
    <w:rsid w:val="007451C2"/>
    <w:rsid w:val="00746279"/>
    <w:rsid w:val="00746A10"/>
    <w:rsid w:val="00753998"/>
    <w:rsid w:val="007639BC"/>
    <w:rsid w:val="00764FBB"/>
    <w:rsid w:val="007663D5"/>
    <w:rsid w:val="00766A18"/>
    <w:rsid w:val="00766D5B"/>
    <w:rsid w:val="00773220"/>
    <w:rsid w:val="0077406C"/>
    <w:rsid w:val="00774E63"/>
    <w:rsid w:val="00776360"/>
    <w:rsid w:val="00776649"/>
    <w:rsid w:val="007776F2"/>
    <w:rsid w:val="00777DE0"/>
    <w:rsid w:val="00780BF3"/>
    <w:rsid w:val="00780C18"/>
    <w:rsid w:val="00780E23"/>
    <w:rsid w:val="007827C1"/>
    <w:rsid w:val="0078337D"/>
    <w:rsid w:val="00786552"/>
    <w:rsid w:val="0078745C"/>
    <w:rsid w:val="00792CE3"/>
    <w:rsid w:val="0079319E"/>
    <w:rsid w:val="00795634"/>
    <w:rsid w:val="00795CA7"/>
    <w:rsid w:val="007A0C16"/>
    <w:rsid w:val="007A6C10"/>
    <w:rsid w:val="007B33BA"/>
    <w:rsid w:val="007B40EF"/>
    <w:rsid w:val="007B58FE"/>
    <w:rsid w:val="007B7633"/>
    <w:rsid w:val="007B77D5"/>
    <w:rsid w:val="007C026D"/>
    <w:rsid w:val="007C12E5"/>
    <w:rsid w:val="007C3B0C"/>
    <w:rsid w:val="007C53B5"/>
    <w:rsid w:val="007C58AE"/>
    <w:rsid w:val="007C69E5"/>
    <w:rsid w:val="007D1B98"/>
    <w:rsid w:val="007D4222"/>
    <w:rsid w:val="007D4CBB"/>
    <w:rsid w:val="007D65FF"/>
    <w:rsid w:val="007D6A9F"/>
    <w:rsid w:val="007E2CF1"/>
    <w:rsid w:val="007E3C05"/>
    <w:rsid w:val="007E461C"/>
    <w:rsid w:val="007E7BFC"/>
    <w:rsid w:val="007F0558"/>
    <w:rsid w:val="007F0ABC"/>
    <w:rsid w:val="007F0AFE"/>
    <w:rsid w:val="007F39E1"/>
    <w:rsid w:val="007F4A60"/>
    <w:rsid w:val="007F514C"/>
    <w:rsid w:val="007F6B53"/>
    <w:rsid w:val="007F7D8F"/>
    <w:rsid w:val="007F7F23"/>
    <w:rsid w:val="007F7F2C"/>
    <w:rsid w:val="0080516E"/>
    <w:rsid w:val="0081316D"/>
    <w:rsid w:val="008159AB"/>
    <w:rsid w:val="00815A64"/>
    <w:rsid w:val="00816B41"/>
    <w:rsid w:val="00817418"/>
    <w:rsid w:val="0082132C"/>
    <w:rsid w:val="00824104"/>
    <w:rsid w:val="00826FF4"/>
    <w:rsid w:val="008312E1"/>
    <w:rsid w:val="00831558"/>
    <w:rsid w:val="00831EE3"/>
    <w:rsid w:val="008340A5"/>
    <w:rsid w:val="00834C38"/>
    <w:rsid w:val="00834FED"/>
    <w:rsid w:val="0083630D"/>
    <w:rsid w:val="00837A23"/>
    <w:rsid w:val="008400C9"/>
    <w:rsid w:val="00840306"/>
    <w:rsid w:val="00840ADC"/>
    <w:rsid w:val="00842EE4"/>
    <w:rsid w:val="00843D49"/>
    <w:rsid w:val="0084480B"/>
    <w:rsid w:val="00850A6A"/>
    <w:rsid w:val="008516A2"/>
    <w:rsid w:val="0085315F"/>
    <w:rsid w:val="008620BB"/>
    <w:rsid w:val="00865A84"/>
    <w:rsid w:val="008701E9"/>
    <w:rsid w:val="008718F7"/>
    <w:rsid w:val="00876762"/>
    <w:rsid w:val="00882D53"/>
    <w:rsid w:val="00883988"/>
    <w:rsid w:val="00884E97"/>
    <w:rsid w:val="008862B8"/>
    <w:rsid w:val="00887972"/>
    <w:rsid w:val="00894ECE"/>
    <w:rsid w:val="0089624D"/>
    <w:rsid w:val="00896E22"/>
    <w:rsid w:val="0089787C"/>
    <w:rsid w:val="008A3A53"/>
    <w:rsid w:val="008A3DF2"/>
    <w:rsid w:val="008A4F77"/>
    <w:rsid w:val="008A7645"/>
    <w:rsid w:val="008B1F1B"/>
    <w:rsid w:val="008B2897"/>
    <w:rsid w:val="008B502C"/>
    <w:rsid w:val="008B5761"/>
    <w:rsid w:val="008B5865"/>
    <w:rsid w:val="008B6B18"/>
    <w:rsid w:val="008C26C4"/>
    <w:rsid w:val="008C3A70"/>
    <w:rsid w:val="008C4EBF"/>
    <w:rsid w:val="008C5AD9"/>
    <w:rsid w:val="008C5CCC"/>
    <w:rsid w:val="008C5E65"/>
    <w:rsid w:val="008C6403"/>
    <w:rsid w:val="008C68EA"/>
    <w:rsid w:val="008D00E2"/>
    <w:rsid w:val="008D0A3A"/>
    <w:rsid w:val="008D3D8E"/>
    <w:rsid w:val="008D4FE2"/>
    <w:rsid w:val="008D751F"/>
    <w:rsid w:val="008E15BA"/>
    <w:rsid w:val="008E29A2"/>
    <w:rsid w:val="008E4F45"/>
    <w:rsid w:val="008E639A"/>
    <w:rsid w:val="008E6BBE"/>
    <w:rsid w:val="008E6F51"/>
    <w:rsid w:val="008F27BC"/>
    <w:rsid w:val="008F3159"/>
    <w:rsid w:val="008F601D"/>
    <w:rsid w:val="008F69A1"/>
    <w:rsid w:val="00902872"/>
    <w:rsid w:val="00903796"/>
    <w:rsid w:val="009039AD"/>
    <w:rsid w:val="009049CC"/>
    <w:rsid w:val="00904D53"/>
    <w:rsid w:val="00905726"/>
    <w:rsid w:val="0091280A"/>
    <w:rsid w:val="009166A7"/>
    <w:rsid w:val="00921A1D"/>
    <w:rsid w:val="00922B0B"/>
    <w:rsid w:val="009325F6"/>
    <w:rsid w:val="0093511E"/>
    <w:rsid w:val="00940B68"/>
    <w:rsid w:val="0094141B"/>
    <w:rsid w:val="00941CBB"/>
    <w:rsid w:val="00942FF8"/>
    <w:rsid w:val="00943CE4"/>
    <w:rsid w:val="00944CC8"/>
    <w:rsid w:val="0094557B"/>
    <w:rsid w:val="009469FF"/>
    <w:rsid w:val="009507BA"/>
    <w:rsid w:val="00950B40"/>
    <w:rsid w:val="00956382"/>
    <w:rsid w:val="00956EDA"/>
    <w:rsid w:val="00964D63"/>
    <w:rsid w:val="009657D0"/>
    <w:rsid w:val="0096758E"/>
    <w:rsid w:val="00971F22"/>
    <w:rsid w:val="009721F9"/>
    <w:rsid w:val="00972996"/>
    <w:rsid w:val="00974AA3"/>
    <w:rsid w:val="00974DE3"/>
    <w:rsid w:val="00976021"/>
    <w:rsid w:val="00976869"/>
    <w:rsid w:val="009809C7"/>
    <w:rsid w:val="00980C15"/>
    <w:rsid w:val="00982F6E"/>
    <w:rsid w:val="00983651"/>
    <w:rsid w:val="00984060"/>
    <w:rsid w:val="009851DD"/>
    <w:rsid w:val="00987F8E"/>
    <w:rsid w:val="009968E8"/>
    <w:rsid w:val="009A1EB1"/>
    <w:rsid w:val="009A3FE1"/>
    <w:rsid w:val="009A49A4"/>
    <w:rsid w:val="009A50D0"/>
    <w:rsid w:val="009A6BA8"/>
    <w:rsid w:val="009B0813"/>
    <w:rsid w:val="009B1230"/>
    <w:rsid w:val="009B178B"/>
    <w:rsid w:val="009B42DF"/>
    <w:rsid w:val="009B619F"/>
    <w:rsid w:val="009B6AC6"/>
    <w:rsid w:val="009C344C"/>
    <w:rsid w:val="009C4DF6"/>
    <w:rsid w:val="009C52F4"/>
    <w:rsid w:val="009C5ECB"/>
    <w:rsid w:val="009C71EF"/>
    <w:rsid w:val="009C7AA0"/>
    <w:rsid w:val="009D05C8"/>
    <w:rsid w:val="009D10CB"/>
    <w:rsid w:val="009D1D79"/>
    <w:rsid w:val="009D241C"/>
    <w:rsid w:val="009D2CA2"/>
    <w:rsid w:val="009E175E"/>
    <w:rsid w:val="009E2A09"/>
    <w:rsid w:val="009E4794"/>
    <w:rsid w:val="009F0660"/>
    <w:rsid w:val="009F1C57"/>
    <w:rsid w:val="009F1F82"/>
    <w:rsid w:val="009F2CE5"/>
    <w:rsid w:val="009F31CF"/>
    <w:rsid w:val="009F384E"/>
    <w:rsid w:val="009F39B1"/>
    <w:rsid w:val="009F4482"/>
    <w:rsid w:val="00A00C57"/>
    <w:rsid w:val="00A06188"/>
    <w:rsid w:val="00A07115"/>
    <w:rsid w:val="00A07213"/>
    <w:rsid w:val="00A07B6E"/>
    <w:rsid w:val="00A122C0"/>
    <w:rsid w:val="00A1352F"/>
    <w:rsid w:val="00A136C2"/>
    <w:rsid w:val="00A143BB"/>
    <w:rsid w:val="00A16B1C"/>
    <w:rsid w:val="00A23A19"/>
    <w:rsid w:val="00A25078"/>
    <w:rsid w:val="00A27D7E"/>
    <w:rsid w:val="00A30E0D"/>
    <w:rsid w:val="00A3181E"/>
    <w:rsid w:val="00A31B67"/>
    <w:rsid w:val="00A31D94"/>
    <w:rsid w:val="00A339D0"/>
    <w:rsid w:val="00A33D18"/>
    <w:rsid w:val="00A36126"/>
    <w:rsid w:val="00A366DB"/>
    <w:rsid w:val="00A366EF"/>
    <w:rsid w:val="00A428C2"/>
    <w:rsid w:val="00A42F42"/>
    <w:rsid w:val="00A47523"/>
    <w:rsid w:val="00A54AE0"/>
    <w:rsid w:val="00A55C32"/>
    <w:rsid w:val="00A56017"/>
    <w:rsid w:val="00A5744B"/>
    <w:rsid w:val="00A602C9"/>
    <w:rsid w:val="00A60CD9"/>
    <w:rsid w:val="00A615F1"/>
    <w:rsid w:val="00A63898"/>
    <w:rsid w:val="00A65083"/>
    <w:rsid w:val="00A65B92"/>
    <w:rsid w:val="00A727EA"/>
    <w:rsid w:val="00A739E0"/>
    <w:rsid w:val="00A74A74"/>
    <w:rsid w:val="00A752FD"/>
    <w:rsid w:val="00A77FF5"/>
    <w:rsid w:val="00A807C8"/>
    <w:rsid w:val="00A81CCB"/>
    <w:rsid w:val="00A82C86"/>
    <w:rsid w:val="00A904C2"/>
    <w:rsid w:val="00A90C27"/>
    <w:rsid w:val="00A9131D"/>
    <w:rsid w:val="00A927A2"/>
    <w:rsid w:val="00A92887"/>
    <w:rsid w:val="00A95E50"/>
    <w:rsid w:val="00AA1499"/>
    <w:rsid w:val="00AA259E"/>
    <w:rsid w:val="00AA70FD"/>
    <w:rsid w:val="00AB1FA5"/>
    <w:rsid w:val="00AB3274"/>
    <w:rsid w:val="00AB3F53"/>
    <w:rsid w:val="00AB45EF"/>
    <w:rsid w:val="00AB5934"/>
    <w:rsid w:val="00AC06E2"/>
    <w:rsid w:val="00AC201E"/>
    <w:rsid w:val="00AC4C40"/>
    <w:rsid w:val="00AC55D2"/>
    <w:rsid w:val="00AC600C"/>
    <w:rsid w:val="00AC67EF"/>
    <w:rsid w:val="00AD4E6F"/>
    <w:rsid w:val="00AD6B7D"/>
    <w:rsid w:val="00AE0530"/>
    <w:rsid w:val="00AE1D9C"/>
    <w:rsid w:val="00AE1FA2"/>
    <w:rsid w:val="00AE22C9"/>
    <w:rsid w:val="00AE2334"/>
    <w:rsid w:val="00AE28C5"/>
    <w:rsid w:val="00AE3F98"/>
    <w:rsid w:val="00AF12B7"/>
    <w:rsid w:val="00AF18E8"/>
    <w:rsid w:val="00AF4522"/>
    <w:rsid w:val="00AF45D0"/>
    <w:rsid w:val="00AF7362"/>
    <w:rsid w:val="00B012D0"/>
    <w:rsid w:val="00B01DDD"/>
    <w:rsid w:val="00B0338E"/>
    <w:rsid w:val="00B04B84"/>
    <w:rsid w:val="00B066AB"/>
    <w:rsid w:val="00B07049"/>
    <w:rsid w:val="00B10975"/>
    <w:rsid w:val="00B11225"/>
    <w:rsid w:val="00B11242"/>
    <w:rsid w:val="00B112DD"/>
    <w:rsid w:val="00B11CDF"/>
    <w:rsid w:val="00B1325D"/>
    <w:rsid w:val="00B1377A"/>
    <w:rsid w:val="00B137FC"/>
    <w:rsid w:val="00B143A2"/>
    <w:rsid w:val="00B14A7F"/>
    <w:rsid w:val="00B1590F"/>
    <w:rsid w:val="00B15E0D"/>
    <w:rsid w:val="00B15F38"/>
    <w:rsid w:val="00B21BE3"/>
    <w:rsid w:val="00B2284C"/>
    <w:rsid w:val="00B22C9F"/>
    <w:rsid w:val="00B23DD5"/>
    <w:rsid w:val="00B2554D"/>
    <w:rsid w:val="00B25D20"/>
    <w:rsid w:val="00B26A44"/>
    <w:rsid w:val="00B31249"/>
    <w:rsid w:val="00B32F94"/>
    <w:rsid w:val="00B33EDE"/>
    <w:rsid w:val="00B34855"/>
    <w:rsid w:val="00B35E4C"/>
    <w:rsid w:val="00B3689A"/>
    <w:rsid w:val="00B36DCB"/>
    <w:rsid w:val="00B41CB2"/>
    <w:rsid w:val="00B42BD5"/>
    <w:rsid w:val="00B44FE6"/>
    <w:rsid w:val="00B471BE"/>
    <w:rsid w:val="00B507AC"/>
    <w:rsid w:val="00B55327"/>
    <w:rsid w:val="00B55516"/>
    <w:rsid w:val="00B569DA"/>
    <w:rsid w:val="00B5701D"/>
    <w:rsid w:val="00B575C8"/>
    <w:rsid w:val="00B60DBE"/>
    <w:rsid w:val="00B615E4"/>
    <w:rsid w:val="00B6343D"/>
    <w:rsid w:val="00B638CC"/>
    <w:rsid w:val="00B63AB1"/>
    <w:rsid w:val="00B63D31"/>
    <w:rsid w:val="00B6570E"/>
    <w:rsid w:val="00B67F4E"/>
    <w:rsid w:val="00B7038A"/>
    <w:rsid w:val="00B71784"/>
    <w:rsid w:val="00B73960"/>
    <w:rsid w:val="00B75C98"/>
    <w:rsid w:val="00B76566"/>
    <w:rsid w:val="00B766F3"/>
    <w:rsid w:val="00B81B9E"/>
    <w:rsid w:val="00B82D46"/>
    <w:rsid w:val="00B85AB8"/>
    <w:rsid w:val="00B91934"/>
    <w:rsid w:val="00B92BDC"/>
    <w:rsid w:val="00B95FD1"/>
    <w:rsid w:val="00B96C46"/>
    <w:rsid w:val="00BA0904"/>
    <w:rsid w:val="00BA3C92"/>
    <w:rsid w:val="00BA46D3"/>
    <w:rsid w:val="00BA705A"/>
    <w:rsid w:val="00BA744A"/>
    <w:rsid w:val="00BB21AC"/>
    <w:rsid w:val="00BB2222"/>
    <w:rsid w:val="00BB3661"/>
    <w:rsid w:val="00BB4586"/>
    <w:rsid w:val="00BB6950"/>
    <w:rsid w:val="00BB7148"/>
    <w:rsid w:val="00BB7C5E"/>
    <w:rsid w:val="00BC20FF"/>
    <w:rsid w:val="00BC3D4D"/>
    <w:rsid w:val="00BC4AD7"/>
    <w:rsid w:val="00BC64F0"/>
    <w:rsid w:val="00BC7836"/>
    <w:rsid w:val="00BD368F"/>
    <w:rsid w:val="00BD3ABF"/>
    <w:rsid w:val="00BD3D5A"/>
    <w:rsid w:val="00BD4E54"/>
    <w:rsid w:val="00BD690E"/>
    <w:rsid w:val="00BD6B34"/>
    <w:rsid w:val="00BE009C"/>
    <w:rsid w:val="00BE0DCE"/>
    <w:rsid w:val="00BE6EB4"/>
    <w:rsid w:val="00BE79AE"/>
    <w:rsid w:val="00BF1FA6"/>
    <w:rsid w:val="00BF38FA"/>
    <w:rsid w:val="00BF41DC"/>
    <w:rsid w:val="00BF5C3F"/>
    <w:rsid w:val="00BF70D1"/>
    <w:rsid w:val="00C00E81"/>
    <w:rsid w:val="00C01FDE"/>
    <w:rsid w:val="00C03328"/>
    <w:rsid w:val="00C077BF"/>
    <w:rsid w:val="00C1081F"/>
    <w:rsid w:val="00C1342E"/>
    <w:rsid w:val="00C14B9E"/>
    <w:rsid w:val="00C16C96"/>
    <w:rsid w:val="00C2008A"/>
    <w:rsid w:val="00C229FA"/>
    <w:rsid w:val="00C22A71"/>
    <w:rsid w:val="00C27AFF"/>
    <w:rsid w:val="00C3101E"/>
    <w:rsid w:val="00C3485F"/>
    <w:rsid w:val="00C35DED"/>
    <w:rsid w:val="00C365BF"/>
    <w:rsid w:val="00C3799F"/>
    <w:rsid w:val="00C400B0"/>
    <w:rsid w:val="00C411EE"/>
    <w:rsid w:val="00C42884"/>
    <w:rsid w:val="00C42B5E"/>
    <w:rsid w:val="00C43B4E"/>
    <w:rsid w:val="00C478BB"/>
    <w:rsid w:val="00C50431"/>
    <w:rsid w:val="00C510F5"/>
    <w:rsid w:val="00C52D15"/>
    <w:rsid w:val="00C557FA"/>
    <w:rsid w:val="00C61D9A"/>
    <w:rsid w:val="00C62078"/>
    <w:rsid w:val="00C70D97"/>
    <w:rsid w:val="00C70FC7"/>
    <w:rsid w:val="00C71B14"/>
    <w:rsid w:val="00C7274B"/>
    <w:rsid w:val="00C76CC9"/>
    <w:rsid w:val="00C773CD"/>
    <w:rsid w:val="00C77CC3"/>
    <w:rsid w:val="00C81D10"/>
    <w:rsid w:val="00C824ED"/>
    <w:rsid w:val="00C83F94"/>
    <w:rsid w:val="00C8634A"/>
    <w:rsid w:val="00C8710B"/>
    <w:rsid w:val="00C90729"/>
    <w:rsid w:val="00C912C4"/>
    <w:rsid w:val="00C95C69"/>
    <w:rsid w:val="00CA088C"/>
    <w:rsid w:val="00CA11B7"/>
    <w:rsid w:val="00CA20B0"/>
    <w:rsid w:val="00CA58DD"/>
    <w:rsid w:val="00CB051B"/>
    <w:rsid w:val="00CB67A0"/>
    <w:rsid w:val="00CB7501"/>
    <w:rsid w:val="00CC0CC2"/>
    <w:rsid w:val="00CC2A4E"/>
    <w:rsid w:val="00CC33AD"/>
    <w:rsid w:val="00CC5376"/>
    <w:rsid w:val="00CC630F"/>
    <w:rsid w:val="00CC79EF"/>
    <w:rsid w:val="00CD079E"/>
    <w:rsid w:val="00CD1B6E"/>
    <w:rsid w:val="00CD7168"/>
    <w:rsid w:val="00CE1AF9"/>
    <w:rsid w:val="00CE2377"/>
    <w:rsid w:val="00CE371C"/>
    <w:rsid w:val="00CE4C87"/>
    <w:rsid w:val="00CE7006"/>
    <w:rsid w:val="00CF40BB"/>
    <w:rsid w:val="00CF50DC"/>
    <w:rsid w:val="00D007F8"/>
    <w:rsid w:val="00D01314"/>
    <w:rsid w:val="00D01C70"/>
    <w:rsid w:val="00D0244A"/>
    <w:rsid w:val="00D04C2F"/>
    <w:rsid w:val="00D06F15"/>
    <w:rsid w:val="00D07E30"/>
    <w:rsid w:val="00D20353"/>
    <w:rsid w:val="00D20496"/>
    <w:rsid w:val="00D21459"/>
    <w:rsid w:val="00D21DDA"/>
    <w:rsid w:val="00D24EC7"/>
    <w:rsid w:val="00D257B5"/>
    <w:rsid w:val="00D27A66"/>
    <w:rsid w:val="00D27D25"/>
    <w:rsid w:val="00D3502E"/>
    <w:rsid w:val="00D351D7"/>
    <w:rsid w:val="00D3647E"/>
    <w:rsid w:val="00D36A54"/>
    <w:rsid w:val="00D400F6"/>
    <w:rsid w:val="00D42EEA"/>
    <w:rsid w:val="00D471C6"/>
    <w:rsid w:val="00D50149"/>
    <w:rsid w:val="00D50CD1"/>
    <w:rsid w:val="00D51AE5"/>
    <w:rsid w:val="00D51B97"/>
    <w:rsid w:val="00D51C0D"/>
    <w:rsid w:val="00D52CA9"/>
    <w:rsid w:val="00D53B20"/>
    <w:rsid w:val="00D55204"/>
    <w:rsid w:val="00D567CB"/>
    <w:rsid w:val="00D570A8"/>
    <w:rsid w:val="00D57947"/>
    <w:rsid w:val="00D57E6C"/>
    <w:rsid w:val="00D61EFE"/>
    <w:rsid w:val="00D6639A"/>
    <w:rsid w:val="00D66BA3"/>
    <w:rsid w:val="00D67D01"/>
    <w:rsid w:val="00D714F3"/>
    <w:rsid w:val="00D80025"/>
    <w:rsid w:val="00D80F4E"/>
    <w:rsid w:val="00D83F66"/>
    <w:rsid w:val="00D840CC"/>
    <w:rsid w:val="00D84E52"/>
    <w:rsid w:val="00D859DD"/>
    <w:rsid w:val="00D86C60"/>
    <w:rsid w:val="00DA23A9"/>
    <w:rsid w:val="00DA4E07"/>
    <w:rsid w:val="00DB1513"/>
    <w:rsid w:val="00DB4752"/>
    <w:rsid w:val="00DB5895"/>
    <w:rsid w:val="00DB79A3"/>
    <w:rsid w:val="00DB7CFC"/>
    <w:rsid w:val="00DC08F3"/>
    <w:rsid w:val="00DC1FFB"/>
    <w:rsid w:val="00DC24E1"/>
    <w:rsid w:val="00DC436F"/>
    <w:rsid w:val="00DC683E"/>
    <w:rsid w:val="00DC76AF"/>
    <w:rsid w:val="00DD0523"/>
    <w:rsid w:val="00DD0AEA"/>
    <w:rsid w:val="00DD276C"/>
    <w:rsid w:val="00DD5468"/>
    <w:rsid w:val="00DD575D"/>
    <w:rsid w:val="00DD670B"/>
    <w:rsid w:val="00DD6853"/>
    <w:rsid w:val="00DE004B"/>
    <w:rsid w:val="00DE03E1"/>
    <w:rsid w:val="00DE13B6"/>
    <w:rsid w:val="00DE2D2C"/>
    <w:rsid w:val="00DE3564"/>
    <w:rsid w:val="00DE42BC"/>
    <w:rsid w:val="00DE462D"/>
    <w:rsid w:val="00DE4659"/>
    <w:rsid w:val="00DE489D"/>
    <w:rsid w:val="00DE4E16"/>
    <w:rsid w:val="00DE69B3"/>
    <w:rsid w:val="00DF059B"/>
    <w:rsid w:val="00DF29C4"/>
    <w:rsid w:val="00DF2D9A"/>
    <w:rsid w:val="00DF4880"/>
    <w:rsid w:val="00DF5092"/>
    <w:rsid w:val="00DF78EB"/>
    <w:rsid w:val="00E00FED"/>
    <w:rsid w:val="00E02478"/>
    <w:rsid w:val="00E04190"/>
    <w:rsid w:val="00E06A1A"/>
    <w:rsid w:val="00E07B92"/>
    <w:rsid w:val="00E1192E"/>
    <w:rsid w:val="00E11C7A"/>
    <w:rsid w:val="00E12446"/>
    <w:rsid w:val="00E1368F"/>
    <w:rsid w:val="00E14D42"/>
    <w:rsid w:val="00E155E4"/>
    <w:rsid w:val="00E155EE"/>
    <w:rsid w:val="00E15E43"/>
    <w:rsid w:val="00E15F59"/>
    <w:rsid w:val="00E16016"/>
    <w:rsid w:val="00E16EF5"/>
    <w:rsid w:val="00E20658"/>
    <w:rsid w:val="00E21722"/>
    <w:rsid w:val="00E22331"/>
    <w:rsid w:val="00E257E8"/>
    <w:rsid w:val="00E2669E"/>
    <w:rsid w:val="00E274FB"/>
    <w:rsid w:val="00E27A50"/>
    <w:rsid w:val="00E31305"/>
    <w:rsid w:val="00E3255D"/>
    <w:rsid w:val="00E32693"/>
    <w:rsid w:val="00E327CF"/>
    <w:rsid w:val="00E33E4C"/>
    <w:rsid w:val="00E35599"/>
    <w:rsid w:val="00E36884"/>
    <w:rsid w:val="00E400FD"/>
    <w:rsid w:val="00E401A3"/>
    <w:rsid w:val="00E40AF5"/>
    <w:rsid w:val="00E42DF0"/>
    <w:rsid w:val="00E435B4"/>
    <w:rsid w:val="00E46BFD"/>
    <w:rsid w:val="00E477A9"/>
    <w:rsid w:val="00E47C63"/>
    <w:rsid w:val="00E51D09"/>
    <w:rsid w:val="00E5439F"/>
    <w:rsid w:val="00E55B49"/>
    <w:rsid w:val="00E56BCF"/>
    <w:rsid w:val="00E575ED"/>
    <w:rsid w:val="00E6035E"/>
    <w:rsid w:val="00E615F8"/>
    <w:rsid w:val="00E677ED"/>
    <w:rsid w:val="00E67C2A"/>
    <w:rsid w:val="00E701E1"/>
    <w:rsid w:val="00E70B6F"/>
    <w:rsid w:val="00E75E95"/>
    <w:rsid w:val="00E8013B"/>
    <w:rsid w:val="00E820B6"/>
    <w:rsid w:val="00E82DEE"/>
    <w:rsid w:val="00E85221"/>
    <w:rsid w:val="00E860AF"/>
    <w:rsid w:val="00E8755E"/>
    <w:rsid w:val="00E90053"/>
    <w:rsid w:val="00E92BFE"/>
    <w:rsid w:val="00E92E60"/>
    <w:rsid w:val="00E94BED"/>
    <w:rsid w:val="00E95C4B"/>
    <w:rsid w:val="00E96A8D"/>
    <w:rsid w:val="00E97B9C"/>
    <w:rsid w:val="00E97C49"/>
    <w:rsid w:val="00EA005B"/>
    <w:rsid w:val="00EA00B5"/>
    <w:rsid w:val="00EA26A2"/>
    <w:rsid w:val="00EA3A4D"/>
    <w:rsid w:val="00EA497C"/>
    <w:rsid w:val="00EA5F96"/>
    <w:rsid w:val="00EB0D1E"/>
    <w:rsid w:val="00EB22E6"/>
    <w:rsid w:val="00EB24E2"/>
    <w:rsid w:val="00EB407F"/>
    <w:rsid w:val="00EC036B"/>
    <w:rsid w:val="00EC7F6A"/>
    <w:rsid w:val="00ED0F64"/>
    <w:rsid w:val="00ED27D2"/>
    <w:rsid w:val="00ED4353"/>
    <w:rsid w:val="00ED6F7E"/>
    <w:rsid w:val="00ED758E"/>
    <w:rsid w:val="00EE183A"/>
    <w:rsid w:val="00EE5078"/>
    <w:rsid w:val="00EE5D18"/>
    <w:rsid w:val="00EE7BD5"/>
    <w:rsid w:val="00EF31C1"/>
    <w:rsid w:val="00EF32D1"/>
    <w:rsid w:val="00EF68DF"/>
    <w:rsid w:val="00EF6E99"/>
    <w:rsid w:val="00EF74BD"/>
    <w:rsid w:val="00F00736"/>
    <w:rsid w:val="00F04B97"/>
    <w:rsid w:val="00F10312"/>
    <w:rsid w:val="00F131EB"/>
    <w:rsid w:val="00F13407"/>
    <w:rsid w:val="00F13697"/>
    <w:rsid w:val="00F13807"/>
    <w:rsid w:val="00F15F8F"/>
    <w:rsid w:val="00F16480"/>
    <w:rsid w:val="00F16F33"/>
    <w:rsid w:val="00F209AC"/>
    <w:rsid w:val="00F21780"/>
    <w:rsid w:val="00F2715E"/>
    <w:rsid w:val="00F331F3"/>
    <w:rsid w:val="00F419F2"/>
    <w:rsid w:val="00F41CD6"/>
    <w:rsid w:val="00F422D2"/>
    <w:rsid w:val="00F42A37"/>
    <w:rsid w:val="00F442A5"/>
    <w:rsid w:val="00F44622"/>
    <w:rsid w:val="00F46275"/>
    <w:rsid w:val="00F467F4"/>
    <w:rsid w:val="00F46A19"/>
    <w:rsid w:val="00F501C2"/>
    <w:rsid w:val="00F5022A"/>
    <w:rsid w:val="00F50A07"/>
    <w:rsid w:val="00F5291A"/>
    <w:rsid w:val="00F574EA"/>
    <w:rsid w:val="00F577F7"/>
    <w:rsid w:val="00F600F9"/>
    <w:rsid w:val="00F619ED"/>
    <w:rsid w:val="00F62324"/>
    <w:rsid w:val="00F64584"/>
    <w:rsid w:val="00F647C0"/>
    <w:rsid w:val="00F6667D"/>
    <w:rsid w:val="00F67167"/>
    <w:rsid w:val="00F67C30"/>
    <w:rsid w:val="00F70DE3"/>
    <w:rsid w:val="00F777A1"/>
    <w:rsid w:val="00F77FC6"/>
    <w:rsid w:val="00F8335E"/>
    <w:rsid w:val="00F836FC"/>
    <w:rsid w:val="00F859D4"/>
    <w:rsid w:val="00F86C03"/>
    <w:rsid w:val="00F872BB"/>
    <w:rsid w:val="00F90E8A"/>
    <w:rsid w:val="00F912DB"/>
    <w:rsid w:val="00F925FB"/>
    <w:rsid w:val="00F930AF"/>
    <w:rsid w:val="00F93DBE"/>
    <w:rsid w:val="00F95409"/>
    <w:rsid w:val="00F96358"/>
    <w:rsid w:val="00F9742B"/>
    <w:rsid w:val="00F9783D"/>
    <w:rsid w:val="00FA18DC"/>
    <w:rsid w:val="00FA30F1"/>
    <w:rsid w:val="00FA3784"/>
    <w:rsid w:val="00FA4B0A"/>
    <w:rsid w:val="00FA5EBA"/>
    <w:rsid w:val="00FA7AAD"/>
    <w:rsid w:val="00FB2C46"/>
    <w:rsid w:val="00FB31ED"/>
    <w:rsid w:val="00FC088F"/>
    <w:rsid w:val="00FC2163"/>
    <w:rsid w:val="00FC2490"/>
    <w:rsid w:val="00FC607C"/>
    <w:rsid w:val="00FD6A49"/>
    <w:rsid w:val="00FD789C"/>
    <w:rsid w:val="00FE0015"/>
    <w:rsid w:val="00FE1347"/>
    <w:rsid w:val="00FE17A9"/>
    <w:rsid w:val="00FE21CB"/>
    <w:rsid w:val="00FE456E"/>
    <w:rsid w:val="00FE46E9"/>
    <w:rsid w:val="00FE7339"/>
    <w:rsid w:val="00FF1ADC"/>
    <w:rsid w:val="00FF3055"/>
    <w:rsid w:val="00FF3295"/>
    <w:rsid w:val="00FF486C"/>
    <w:rsid w:val="00FF5C58"/>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413">
      <w:bodyDiv w:val="1"/>
      <w:marLeft w:val="0"/>
      <w:marRight w:val="0"/>
      <w:marTop w:val="0"/>
      <w:marBottom w:val="0"/>
      <w:divBdr>
        <w:top w:val="none" w:sz="0" w:space="0" w:color="auto"/>
        <w:left w:val="none" w:sz="0" w:space="0" w:color="auto"/>
        <w:bottom w:val="none" w:sz="0" w:space="0" w:color="auto"/>
        <w:right w:val="none" w:sz="0" w:space="0" w:color="auto"/>
      </w:divBdr>
      <w:divsChild>
        <w:div w:id="940798207">
          <w:marLeft w:val="0"/>
          <w:marRight w:val="0"/>
          <w:marTop w:val="0"/>
          <w:marBottom w:val="0"/>
          <w:divBdr>
            <w:top w:val="none" w:sz="0" w:space="0" w:color="auto"/>
            <w:left w:val="none" w:sz="0" w:space="0" w:color="auto"/>
            <w:bottom w:val="none" w:sz="0" w:space="0" w:color="auto"/>
            <w:right w:val="none" w:sz="0" w:space="0" w:color="auto"/>
          </w:divBdr>
          <w:divsChild>
            <w:div w:id="1076048821">
              <w:marLeft w:val="0"/>
              <w:marRight w:val="0"/>
              <w:marTop w:val="0"/>
              <w:marBottom w:val="0"/>
              <w:divBdr>
                <w:top w:val="none" w:sz="0" w:space="0" w:color="auto"/>
                <w:left w:val="none" w:sz="0" w:space="0" w:color="auto"/>
                <w:bottom w:val="none" w:sz="0" w:space="0" w:color="auto"/>
                <w:right w:val="none" w:sz="0" w:space="0" w:color="auto"/>
              </w:divBdr>
              <w:divsChild>
                <w:div w:id="7165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654">
      <w:bodyDiv w:val="1"/>
      <w:marLeft w:val="0"/>
      <w:marRight w:val="0"/>
      <w:marTop w:val="0"/>
      <w:marBottom w:val="0"/>
      <w:divBdr>
        <w:top w:val="none" w:sz="0" w:space="0" w:color="auto"/>
        <w:left w:val="none" w:sz="0" w:space="0" w:color="auto"/>
        <w:bottom w:val="none" w:sz="0" w:space="0" w:color="auto"/>
        <w:right w:val="none" w:sz="0" w:space="0" w:color="auto"/>
      </w:divBdr>
      <w:divsChild>
        <w:div w:id="1379431745">
          <w:marLeft w:val="0"/>
          <w:marRight w:val="0"/>
          <w:marTop w:val="0"/>
          <w:marBottom w:val="0"/>
          <w:divBdr>
            <w:top w:val="none" w:sz="0" w:space="0" w:color="auto"/>
            <w:left w:val="none" w:sz="0" w:space="0" w:color="auto"/>
            <w:bottom w:val="none" w:sz="0" w:space="0" w:color="auto"/>
            <w:right w:val="none" w:sz="0" w:space="0" w:color="auto"/>
          </w:divBdr>
          <w:divsChild>
            <w:div w:id="2054114418">
              <w:marLeft w:val="0"/>
              <w:marRight w:val="0"/>
              <w:marTop w:val="0"/>
              <w:marBottom w:val="0"/>
              <w:divBdr>
                <w:top w:val="none" w:sz="0" w:space="0" w:color="auto"/>
                <w:left w:val="none" w:sz="0" w:space="0" w:color="auto"/>
                <w:bottom w:val="none" w:sz="0" w:space="0" w:color="auto"/>
                <w:right w:val="none" w:sz="0" w:space="0" w:color="auto"/>
              </w:divBdr>
              <w:divsChild>
                <w:div w:id="7534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8454-7507-4F0E-B921-D7206974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10496</Words>
  <Characters>59833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8</cp:revision>
  <cp:lastPrinted>2018-09-07T04:29:00Z</cp:lastPrinted>
  <dcterms:created xsi:type="dcterms:W3CDTF">2018-09-11T00:01:00Z</dcterms:created>
  <dcterms:modified xsi:type="dcterms:W3CDTF">2018-09-18T23:18:00Z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id="Fv89KS0j"/&gt;&lt;style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 name="delayCitationUpdates" value="true"/&gt;&lt;pref name="dontAskDelayCitationUpdates" value="true"/&gt;&lt;/prefs&gt;&lt;/data&gt;</vt:lpwstr>
  </property>
</Properties>
</file>