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7E8" w:rsidRDefault="008577E8" w:rsidP="00DD0AEA">
      <w:pPr>
        <w:spacing w:before="360" w:after="360" w:line="240" w:lineRule="auto"/>
        <w:jc w:val="center"/>
        <w:rPr>
          <w:rFonts w:ascii="Calibri" w:eastAsiaTheme="majorEastAsia" w:hAnsi="Calibri" w:cstheme="majorBidi"/>
          <w:b/>
          <w:spacing w:val="5"/>
          <w:kern w:val="28"/>
          <w:sz w:val="52"/>
          <w:szCs w:val="52"/>
          <w:lang w:val="en-AU"/>
        </w:rPr>
      </w:pPr>
      <w:r>
        <w:rPr>
          <w:rFonts w:ascii="Calibri" w:eastAsiaTheme="majorEastAsia" w:hAnsi="Calibri" w:cstheme="majorBidi"/>
          <w:b/>
          <w:spacing w:val="5"/>
          <w:kern w:val="28"/>
          <w:sz w:val="52"/>
          <w:szCs w:val="52"/>
          <w:lang w:val="en-AU"/>
        </w:rPr>
        <w:t xml:space="preserve">Draft Mobile Premium Services Code </w:t>
      </w:r>
    </w:p>
    <w:p w:rsidR="00076F98" w:rsidRDefault="008577E8" w:rsidP="00DD0AEA">
      <w:pPr>
        <w:spacing w:before="360" w:after="360" w:line="240" w:lineRule="auto"/>
        <w:jc w:val="center"/>
        <w:rPr>
          <w:rFonts w:ascii="Calibri" w:eastAsiaTheme="majorEastAsia" w:hAnsi="Calibri" w:cstheme="majorBidi"/>
          <w:b/>
          <w:spacing w:val="5"/>
          <w:kern w:val="28"/>
          <w:sz w:val="52"/>
          <w:szCs w:val="52"/>
          <w:lang w:val="en-AU"/>
        </w:rPr>
      </w:pPr>
      <w:r>
        <w:rPr>
          <w:rFonts w:ascii="Calibri" w:eastAsiaTheme="majorEastAsia" w:hAnsi="Calibri" w:cstheme="majorBidi"/>
          <w:b/>
          <w:spacing w:val="5"/>
          <w:kern w:val="28"/>
          <w:sz w:val="52"/>
          <w:szCs w:val="52"/>
          <w:lang w:val="en-AU"/>
        </w:rPr>
        <w:t>(DR C637:2019)</w:t>
      </w:r>
    </w:p>
    <w:p w:rsidR="00DD0AEA" w:rsidRPr="00DD0AEA" w:rsidRDefault="00DD0AEA" w:rsidP="00DD0AEA">
      <w:pPr>
        <w:spacing w:before="360" w:after="360" w:line="240" w:lineRule="auto"/>
        <w:jc w:val="center"/>
        <w:rPr>
          <w:rFonts w:ascii="Calibri" w:eastAsiaTheme="minorEastAsia" w:hAnsi="Calibri"/>
          <w:sz w:val="32"/>
          <w:szCs w:val="32"/>
          <w:lang w:val="en-AU"/>
        </w:rPr>
      </w:pPr>
      <w:r w:rsidRPr="00DD0AEA">
        <w:rPr>
          <w:rFonts w:ascii="Calibri" w:eastAsiaTheme="minorEastAsia" w:hAnsi="Calibri"/>
          <w:sz w:val="32"/>
          <w:szCs w:val="32"/>
          <w:lang w:val="en-AU"/>
        </w:rPr>
        <w:t>Submission by the Australian Communications Consumer Action Network</w:t>
      </w:r>
    </w:p>
    <w:p w:rsidR="00DD0AEA" w:rsidRPr="00DD0AEA" w:rsidRDefault="008577E8" w:rsidP="00DD0AEA">
      <w:pPr>
        <w:spacing w:before="360" w:after="360" w:line="240" w:lineRule="auto"/>
        <w:jc w:val="center"/>
        <w:rPr>
          <w:rFonts w:ascii="Calibri" w:eastAsiaTheme="minorEastAsia" w:hAnsi="Calibri"/>
          <w:sz w:val="32"/>
          <w:szCs w:val="32"/>
          <w:lang w:val="en-AU"/>
        </w:rPr>
      </w:pPr>
      <w:r>
        <w:rPr>
          <w:rFonts w:ascii="Calibri" w:eastAsiaTheme="minorEastAsia" w:hAnsi="Calibri"/>
          <w:sz w:val="32"/>
          <w:szCs w:val="32"/>
          <w:lang w:val="en-AU"/>
        </w:rPr>
        <w:t>15 May 2019</w:t>
      </w:r>
    </w:p>
    <w:p w:rsidR="00DD0AEA" w:rsidRPr="00DD0AEA" w:rsidRDefault="00DD0AEA" w:rsidP="00DD0AEA">
      <w:pPr>
        <w:spacing w:before="100" w:beforeAutospacing="1" w:after="100" w:afterAutospacing="1" w:line="240" w:lineRule="auto"/>
        <w:jc w:val="both"/>
        <w:rPr>
          <w:rFonts w:eastAsiaTheme="minorEastAsia" w:cstheme="minorHAnsi"/>
          <w:sz w:val="24"/>
          <w:szCs w:val="24"/>
          <w:lang w:val="en-AU"/>
        </w:rPr>
      </w:pPr>
      <w:r w:rsidRPr="00DD0AEA">
        <w:rPr>
          <w:rFonts w:eastAsiaTheme="minorEastAsia" w:cstheme="minorHAnsi"/>
          <w:sz w:val="24"/>
          <w:szCs w:val="24"/>
          <w:lang w:val="en-AU"/>
        </w:rPr>
        <w:br w:type="page"/>
      </w:r>
    </w:p>
    <w:p w:rsidR="00DD0AEA" w:rsidRPr="00742B66" w:rsidRDefault="00DD0AEA" w:rsidP="00DD0AEA">
      <w:pPr>
        <w:spacing w:before="100" w:beforeAutospacing="1" w:after="100" w:afterAutospacing="1" w:line="240" w:lineRule="auto"/>
        <w:jc w:val="both"/>
        <w:rPr>
          <w:rFonts w:eastAsiaTheme="minorEastAsia" w:cstheme="minorHAnsi"/>
          <w:b/>
          <w:sz w:val="24"/>
          <w:lang w:val="en-AU" w:eastAsia="en-AU"/>
        </w:rPr>
      </w:pPr>
      <w:r w:rsidRPr="00742B66">
        <w:rPr>
          <w:rFonts w:eastAsiaTheme="minorEastAsia" w:cstheme="minorHAnsi"/>
          <w:b/>
          <w:sz w:val="24"/>
          <w:lang w:val="en-AU" w:eastAsia="en-AU"/>
        </w:rPr>
        <w:lastRenderedPageBreak/>
        <w:t xml:space="preserve">About ACCAN </w:t>
      </w:r>
    </w:p>
    <w:p w:rsidR="00DD0AEA" w:rsidRPr="00742B66" w:rsidRDefault="00DD0AEA" w:rsidP="00DD0AEA">
      <w:pPr>
        <w:spacing w:before="100" w:beforeAutospacing="1" w:after="100" w:afterAutospacing="1" w:line="240" w:lineRule="auto"/>
        <w:jc w:val="both"/>
        <w:rPr>
          <w:rFonts w:eastAsiaTheme="minorEastAsia" w:cstheme="minorHAnsi"/>
          <w:sz w:val="24"/>
          <w:szCs w:val="24"/>
          <w:lang w:val="en-AU" w:eastAsia="en-AU"/>
        </w:rPr>
      </w:pPr>
      <w:r w:rsidRPr="00742B66">
        <w:rPr>
          <w:rFonts w:eastAsiaTheme="minorEastAsia" w:cstheme="minorHAnsi"/>
          <w:sz w:val="24"/>
          <w:szCs w:val="24"/>
          <w:lang w:val="en-AU" w:eastAsia="en-AU"/>
        </w:rPr>
        <w:t>The Australian Communications Consumer Action Network (ACCAN) is the peak body that represents all consumers on communications issues including telecommunications, broadband and emerging new services. ACCAN provides a strong unified voice to industry and government as consumers work towards availability, accessibility and affordability of communications services for all Australians.</w:t>
      </w:r>
    </w:p>
    <w:p w:rsidR="00DD0AEA" w:rsidRPr="00742B66" w:rsidRDefault="00DD0AEA" w:rsidP="00DD0AEA">
      <w:pPr>
        <w:spacing w:before="100" w:beforeAutospacing="1" w:after="100" w:afterAutospacing="1" w:line="240" w:lineRule="auto"/>
        <w:jc w:val="both"/>
        <w:rPr>
          <w:rFonts w:eastAsiaTheme="minorEastAsia" w:cstheme="minorHAnsi"/>
          <w:sz w:val="24"/>
          <w:szCs w:val="24"/>
          <w:lang w:val="en-AU" w:eastAsia="en-AU"/>
        </w:rPr>
      </w:pPr>
      <w:r w:rsidRPr="00742B66">
        <w:rPr>
          <w:rFonts w:eastAsiaTheme="minorEastAsia" w:cstheme="minorHAnsi"/>
          <w:sz w:val="24"/>
          <w:szCs w:val="24"/>
          <w:lang w:val="en-AU" w:eastAsia="en-AU"/>
        </w:rPr>
        <w:t>Consumers need ACCAN to promote better consumer protection outcomes ensuring speedy responses to complaints and issues. ACCAN aims to empower consumers so that they are well informed and can make good choices about products and services. As a peak body, ACCAN will represent the views of its broad and diverse membership base to policy makers, government and industry to get better outcomes for all communications consumers. </w:t>
      </w:r>
    </w:p>
    <w:p w:rsidR="00DD0AEA" w:rsidRPr="00742B66" w:rsidRDefault="00DD0AEA" w:rsidP="00DD0AEA">
      <w:pPr>
        <w:spacing w:before="100" w:beforeAutospacing="1" w:after="100" w:afterAutospacing="1" w:line="240" w:lineRule="auto"/>
        <w:jc w:val="both"/>
        <w:rPr>
          <w:rFonts w:eastAsiaTheme="minorEastAsia" w:cstheme="minorHAnsi"/>
          <w:b/>
          <w:sz w:val="24"/>
          <w:lang w:val="en-AU" w:eastAsia="en-AU"/>
        </w:rPr>
      </w:pPr>
      <w:r w:rsidRPr="00742B66">
        <w:rPr>
          <w:rFonts w:eastAsiaTheme="minorEastAsia" w:cstheme="minorHAnsi"/>
          <w:b/>
          <w:sz w:val="24"/>
          <w:lang w:val="en-AU" w:eastAsia="en-AU"/>
        </w:rPr>
        <w:t>Contact</w:t>
      </w:r>
    </w:p>
    <w:p w:rsidR="00DD0AEA" w:rsidRPr="00742B66" w:rsidRDefault="00DD0AEA" w:rsidP="00DD0AEA">
      <w:pPr>
        <w:spacing w:before="100" w:beforeAutospacing="1" w:after="100" w:afterAutospacing="1" w:line="240" w:lineRule="auto"/>
        <w:rPr>
          <w:rFonts w:eastAsiaTheme="minorEastAsia" w:cstheme="minorHAnsi"/>
          <w:sz w:val="24"/>
          <w:szCs w:val="24"/>
          <w:lang w:val="en-AU" w:eastAsia="en-AU"/>
        </w:rPr>
      </w:pPr>
      <w:r w:rsidRPr="00742B66">
        <w:rPr>
          <w:rFonts w:eastAsiaTheme="minorEastAsia" w:cstheme="minorHAnsi"/>
          <w:sz w:val="24"/>
          <w:szCs w:val="24"/>
          <w:lang w:val="en-AU" w:eastAsia="en-AU"/>
        </w:rPr>
        <w:t xml:space="preserve">Gareth Downing </w:t>
      </w:r>
      <w:r w:rsidRPr="00742B66">
        <w:rPr>
          <w:rFonts w:eastAsiaTheme="minorEastAsia" w:cstheme="minorHAnsi"/>
          <w:sz w:val="24"/>
          <w:szCs w:val="24"/>
          <w:lang w:val="en-AU" w:eastAsia="en-AU"/>
        </w:rPr>
        <w:br/>
        <w:t>Senior Policy Analyst</w:t>
      </w:r>
    </w:p>
    <w:p w:rsidR="00DD0AEA" w:rsidRPr="00742B66" w:rsidRDefault="00DD0AEA" w:rsidP="00DD0AEA">
      <w:pPr>
        <w:spacing w:before="100" w:beforeAutospacing="1" w:after="100" w:afterAutospacing="1" w:line="240" w:lineRule="auto"/>
        <w:rPr>
          <w:rFonts w:eastAsiaTheme="minorEastAsia" w:cstheme="minorHAnsi"/>
          <w:sz w:val="24"/>
          <w:szCs w:val="24"/>
          <w:lang w:val="en-AU" w:eastAsia="en-AU"/>
        </w:rPr>
      </w:pPr>
      <w:r w:rsidRPr="00742B66">
        <w:rPr>
          <w:rFonts w:eastAsiaTheme="minorEastAsia" w:cstheme="minorHAnsi"/>
          <w:sz w:val="24"/>
          <w:szCs w:val="24"/>
          <w:lang w:val="en-AU" w:eastAsia="en-AU"/>
        </w:rPr>
        <w:t>Suite 402, Level 4</w:t>
      </w:r>
      <w:r w:rsidRPr="00742B66">
        <w:rPr>
          <w:rFonts w:eastAsiaTheme="minorEastAsia" w:cstheme="minorHAnsi"/>
          <w:sz w:val="24"/>
          <w:szCs w:val="24"/>
          <w:lang w:val="en-AU" w:eastAsia="en-AU"/>
        </w:rPr>
        <w:br/>
        <w:t>55 Mountain Street</w:t>
      </w:r>
      <w:r w:rsidRPr="00742B66">
        <w:rPr>
          <w:rFonts w:eastAsiaTheme="minorEastAsia" w:cstheme="minorHAnsi"/>
          <w:sz w:val="24"/>
          <w:szCs w:val="24"/>
          <w:lang w:val="en-AU" w:eastAsia="en-AU"/>
        </w:rPr>
        <w:br/>
        <w:t>Ultimo NSW, 2007</w:t>
      </w:r>
      <w:r w:rsidRPr="00742B66">
        <w:rPr>
          <w:rFonts w:eastAsiaTheme="minorEastAsia" w:cstheme="minorHAnsi"/>
          <w:sz w:val="24"/>
          <w:szCs w:val="24"/>
          <w:lang w:val="en-AU" w:eastAsia="en-AU"/>
        </w:rPr>
        <w:br/>
        <w:t xml:space="preserve">Email: </w:t>
      </w:r>
      <w:hyperlink r:id="rId9" w:history="1">
        <w:r w:rsidRPr="00742B66">
          <w:rPr>
            <w:rFonts w:eastAsiaTheme="minorEastAsia" w:cstheme="minorHAnsi"/>
            <w:color w:val="0000FF" w:themeColor="hyperlink"/>
            <w:sz w:val="24"/>
            <w:szCs w:val="24"/>
            <w:u w:val="single"/>
            <w:lang w:val="en-AU" w:eastAsia="en-AU"/>
          </w:rPr>
          <w:t>info@accan.org.au</w:t>
        </w:r>
      </w:hyperlink>
      <w:r w:rsidRPr="00742B66">
        <w:rPr>
          <w:rFonts w:eastAsiaTheme="minorEastAsia" w:cstheme="minorHAnsi"/>
          <w:color w:val="0000FF" w:themeColor="hyperlink"/>
          <w:sz w:val="24"/>
          <w:szCs w:val="24"/>
          <w:u w:val="single"/>
          <w:lang w:val="en-AU" w:eastAsia="en-AU"/>
        </w:rPr>
        <w:br/>
      </w:r>
      <w:r w:rsidRPr="00742B66">
        <w:rPr>
          <w:rFonts w:eastAsiaTheme="minorEastAsia" w:cstheme="minorHAnsi"/>
          <w:sz w:val="24"/>
          <w:szCs w:val="24"/>
          <w:lang w:val="en-AU" w:eastAsia="en-AU"/>
        </w:rPr>
        <w:t>Phone: (02) 9288 4000</w:t>
      </w:r>
      <w:r w:rsidRPr="00742B66">
        <w:rPr>
          <w:rFonts w:eastAsiaTheme="minorEastAsia" w:cstheme="minorHAnsi"/>
          <w:sz w:val="24"/>
          <w:szCs w:val="24"/>
          <w:lang w:val="en-AU" w:eastAsia="en-AU"/>
        </w:rPr>
        <w:br/>
        <w:t>Fax: (02) 9288 4019</w:t>
      </w:r>
      <w:r w:rsidRPr="00742B66">
        <w:rPr>
          <w:rFonts w:eastAsiaTheme="minorEastAsia" w:cstheme="minorHAnsi"/>
          <w:sz w:val="24"/>
          <w:szCs w:val="24"/>
          <w:lang w:val="en-AU" w:eastAsia="en-AU"/>
        </w:rPr>
        <w:br/>
        <w:t>TTY: 9281 5322</w:t>
      </w:r>
    </w:p>
    <w:p w:rsidR="00DD0AEA" w:rsidRPr="00DD0AEA" w:rsidRDefault="00DD0AEA" w:rsidP="00DD0AEA">
      <w:pPr>
        <w:spacing w:before="100" w:beforeAutospacing="1" w:after="100" w:afterAutospacing="1" w:line="240" w:lineRule="auto"/>
        <w:jc w:val="both"/>
        <w:rPr>
          <w:rFonts w:ascii="Times New Roman" w:eastAsiaTheme="minorEastAsia" w:hAnsi="Times New Roman" w:cs="Times New Roman"/>
          <w:sz w:val="24"/>
          <w:szCs w:val="24"/>
          <w:lang w:val="en-AU" w:eastAsia="en-AU"/>
        </w:rPr>
      </w:pPr>
    </w:p>
    <w:p w:rsidR="00DD0AEA" w:rsidRPr="00DD0AEA" w:rsidRDefault="00DD0AEA" w:rsidP="00DD0AEA">
      <w:pPr>
        <w:spacing w:before="100" w:beforeAutospacing="1" w:after="100" w:afterAutospacing="1" w:line="240" w:lineRule="auto"/>
        <w:jc w:val="both"/>
        <w:rPr>
          <w:rFonts w:ascii="Times New Roman" w:eastAsiaTheme="minorEastAsia" w:hAnsi="Times New Roman" w:cs="Times New Roman"/>
          <w:sz w:val="24"/>
          <w:szCs w:val="24"/>
          <w:lang w:val="en-AU" w:eastAsia="en-AU"/>
        </w:rPr>
      </w:pPr>
    </w:p>
    <w:p w:rsidR="00DD0AEA" w:rsidRPr="00DD0AEA" w:rsidRDefault="00DD0AEA" w:rsidP="00DD0AEA">
      <w:pPr>
        <w:spacing w:before="100" w:beforeAutospacing="1" w:after="100" w:afterAutospacing="1" w:line="240" w:lineRule="auto"/>
        <w:jc w:val="both"/>
        <w:rPr>
          <w:rFonts w:ascii="Times New Roman" w:eastAsiaTheme="minorEastAsia" w:hAnsi="Times New Roman" w:cs="Times New Roman"/>
          <w:sz w:val="24"/>
          <w:szCs w:val="24"/>
          <w:lang w:val="en-AU" w:eastAsia="en-AU"/>
        </w:rPr>
      </w:pPr>
    </w:p>
    <w:p w:rsidR="00DD0AEA" w:rsidRPr="00DD0AEA" w:rsidRDefault="00DD0AEA" w:rsidP="00DD0AEA">
      <w:pPr>
        <w:spacing w:before="100" w:beforeAutospacing="1" w:after="100" w:afterAutospacing="1" w:line="240" w:lineRule="auto"/>
        <w:jc w:val="both"/>
        <w:rPr>
          <w:rFonts w:ascii="Times New Roman" w:eastAsiaTheme="minorEastAsia" w:hAnsi="Times New Roman" w:cs="Times New Roman"/>
          <w:sz w:val="24"/>
          <w:szCs w:val="24"/>
          <w:lang w:val="en-AU" w:eastAsia="en-AU"/>
        </w:rPr>
      </w:pPr>
    </w:p>
    <w:p w:rsidR="00DD0AEA" w:rsidRPr="00DD0AEA" w:rsidRDefault="00DD0AEA" w:rsidP="00DD0AEA">
      <w:pPr>
        <w:spacing w:before="100" w:beforeAutospacing="1" w:after="100" w:afterAutospacing="1" w:line="240" w:lineRule="auto"/>
        <w:jc w:val="both"/>
        <w:rPr>
          <w:rFonts w:ascii="Times New Roman" w:eastAsiaTheme="minorEastAsia" w:hAnsi="Times New Roman" w:cs="Times New Roman"/>
          <w:sz w:val="24"/>
          <w:szCs w:val="24"/>
          <w:lang w:val="en-AU" w:eastAsia="en-AU"/>
        </w:rPr>
      </w:pPr>
    </w:p>
    <w:p w:rsidR="00DD0AEA" w:rsidRPr="00DD0AEA" w:rsidRDefault="00DD0AEA" w:rsidP="00DD0AEA">
      <w:pPr>
        <w:spacing w:before="100" w:beforeAutospacing="1" w:after="100" w:afterAutospacing="1" w:line="240" w:lineRule="auto"/>
        <w:jc w:val="both"/>
        <w:rPr>
          <w:rFonts w:ascii="Times New Roman" w:eastAsiaTheme="minorEastAsia" w:hAnsi="Times New Roman" w:cs="Times New Roman"/>
          <w:sz w:val="24"/>
          <w:szCs w:val="24"/>
          <w:lang w:val="en-AU" w:eastAsia="en-AU"/>
        </w:rPr>
      </w:pPr>
    </w:p>
    <w:p w:rsidR="00DD0AEA" w:rsidRPr="00DD0AEA" w:rsidRDefault="00DD0AEA" w:rsidP="00DD0AEA">
      <w:pPr>
        <w:spacing w:before="100" w:beforeAutospacing="1" w:after="100" w:afterAutospacing="1" w:line="240" w:lineRule="auto"/>
        <w:jc w:val="both"/>
        <w:rPr>
          <w:rFonts w:ascii="Times New Roman" w:eastAsiaTheme="minorEastAsia" w:hAnsi="Times New Roman" w:cs="Times New Roman"/>
          <w:sz w:val="24"/>
          <w:szCs w:val="24"/>
          <w:lang w:val="en-AU" w:eastAsia="en-AU"/>
        </w:rPr>
      </w:pPr>
    </w:p>
    <w:p w:rsidR="00DD0AEA" w:rsidRPr="00DD0AEA" w:rsidRDefault="00DD0AEA" w:rsidP="00DD0AEA">
      <w:pPr>
        <w:tabs>
          <w:tab w:val="left" w:pos="3686"/>
        </w:tabs>
        <w:spacing w:before="100" w:beforeAutospacing="1" w:after="100" w:afterAutospacing="1" w:line="240" w:lineRule="auto"/>
        <w:jc w:val="both"/>
        <w:rPr>
          <w:rFonts w:ascii="Times New Roman" w:eastAsiaTheme="minorEastAsia" w:hAnsi="Times New Roman" w:cs="Times New Roman"/>
          <w:sz w:val="24"/>
          <w:szCs w:val="24"/>
          <w:lang w:val="en-AU" w:eastAsia="en-AU"/>
        </w:rPr>
      </w:pPr>
      <w:r w:rsidRPr="00DD0AEA">
        <w:rPr>
          <w:rFonts w:ascii="Times New Roman" w:eastAsiaTheme="minorEastAsia" w:hAnsi="Times New Roman" w:cs="Times New Roman"/>
          <w:sz w:val="24"/>
          <w:szCs w:val="24"/>
          <w:lang w:val="en-AU" w:eastAsia="en-AU"/>
        </w:rPr>
        <w:tab/>
      </w:r>
    </w:p>
    <w:p w:rsidR="00DD0AEA" w:rsidRPr="00DD0AEA" w:rsidRDefault="00DD0AEA" w:rsidP="00DD0AEA">
      <w:pPr>
        <w:spacing w:before="100" w:beforeAutospacing="1" w:after="100" w:afterAutospacing="1" w:line="240" w:lineRule="auto"/>
        <w:jc w:val="both"/>
        <w:rPr>
          <w:rFonts w:ascii="Times New Roman" w:eastAsiaTheme="minorEastAsia" w:hAnsi="Times New Roman" w:cs="Times New Roman"/>
          <w:sz w:val="24"/>
          <w:szCs w:val="24"/>
          <w:lang w:val="en-AU" w:eastAsia="en-AU"/>
        </w:rPr>
      </w:pPr>
    </w:p>
    <w:p w:rsidR="00DD0AEA" w:rsidRPr="00DD0AEA" w:rsidRDefault="00DD0AEA" w:rsidP="00DD0AEA">
      <w:pPr>
        <w:spacing w:before="100" w:beforeAutospacing="1" w:after="100" w:afterAutospacing="1" w:line="240" w:lineRule="auto"/>
        <w:jc w:val="both"/>
        <w:rPr>
          <w:rFonts w:ascii="Times New Roman" w:eastAsiaTheme="minorEastAsia" w:hAnsi="Times New Roman" w:cs="Times New Roman"/>
          <w:sz w:val="24"/>
          <w:szCs w:val="24"/>
          <w:lang w:val="en-AU" w:eastAsia="en-AU"/>
        </w:rPr>
      </w:pPr>
    </w:p>
    <w:sdt>
      <w:sdtPr>
        <w:rPr>
          <w:rFonts w:ascii="Calibri" w:eastAsiaTheme="minorEastAsia" w:hAnsi="Calibri"/>
          <w:sz w:val="24"/>
          <w:lang w:val="en-AU" w:eastAsia="en-AU"/>
        </w:rPr>
        <w:id w:val="-332999839"/>
        <w:docPartObj>
          <w:docPartGallery w:val="Table of Contents"/>
          <w:docPartUnique/>
        </w:docPartObj>
      </w:sdtPr>
      <w:sdtEndPr>
        <w:rPr>
          <w:b/>
          <w:noProof/>
        </w:rPr>
      </w:sdtEndPr>
      <w:sdtContent>
        <w:p w:rsidR="00DD0AEA" w:rsidRPr="00DD0AEA" w:rsidRDefault="00DD0AEA" w:rsidP="00DD0AEA">
          <w:pPr>
            <w:keepNext/>
            <w:keepLines/>
            <w:pageBreakBefore/>
            <w:spacing w:before="100" w:beforeAutospacing="1" w:after="240"/>
            <w:rPr>
              <w:rFonts w:ascii="Calibri" w:eastAsiaTheme="majorEastAsia" w:hAnsi="Calibri" w:cstheme="majorBidi"/>
              <w:bCs/>
              <w:sz w:val="48"/>
              <w:szCs w:val="28"/>
              <w:lang w:val="en-AU"/>
            </w:rPr>
          </w:pPr>
          <w:r w:rsidRPr="00DD0AEA">
            <w:rPr>
              <w:rFonts w:ascii="Calibri" w:eastAsiaTheme="majorEastAsia" w:hAnsi="Calibri" w:cstheme="majorBidi"/>
              <w:bCs/>
              <w:sz w:val="48"/>
              <w:szCs w:val="28"/>
              <w:lang w:val="en-AU"/>
            </w:rPr>
            <w:t>Contents</w:t>
          </w:r>
        </w:p>
        <w:p w:rsidR="007347D5" w:rsidRDefault="00DD0AEA">
          <w:pPr>
            <w:pStyle w:val="TOC1"/>
            <w:rPr>
              <w:rFonts w:asciiTheme="minorHAnsi" w:hAnsiTheme="minorHAnsi"/>
              <w:noProof/>
              <w:sz w:val="22"/>
              <w:lang w:val="en-US" w:eastAsia="en-US"/>
            </w:rPr>
          </w:pPr>
          <w:r w:rsidRPr="00DD0AEA">
            <w:fldChar w:fldCharType="begin"/>
          </w:r>
          <w:r w:rsidRPr="00DD0AEA">
            <w:instrText xml:space="preserve"> TOC \o "1-3" \h \z \u </w:instrText>
          </w:r>
          <w:r w:rsidRPr="00DD0AEA">
            <w:fldChar w:fldCharType="separate"/>
          </w:r>
          <w:hyperlink w:anchor="_Toc8638259" w:history="1">
            <w:r w:rsidR="007347D5" w:rsidRPr="003B29D2">
              <w:rPr>
                <w:rStyle w:val="Hyperlink"/>
                <w:rFonts w:eastAsia="Arial Unicode MS" w:cs="font331"/>
                <w:bCs/>
                <w:noProof/>
                <w:kern w:val="1"/>
                <w:lang w:val="en-IE" w:eastAsia="hi-IN" w:bidi="hi-IN"/>
              </w:rPr>
              <w:t>Executive Summary</w:t>
            </w:r>
            <w:r w:rsidR="007347D5">
              <w:rPr>
                <w:noProof/>
                <w:webHidden/>
              </w:rPr>
              <w:tab/>
            </w:r>
            <w:r w:rsidR="007347D5">
              <w:rPr>
                <w:noProof/>
                <w:webHidden/>
              </w:rPr>
              <w:fldChar w:fldCharType="begin"/>
            </w:r>
            <w:r w:rsidR="007347D5">
              <w:rPr>
                <w:noProof/>
                <w:webHidden/>
              </w:rPr>
              <w:instrText xml:space="preserve"> PAGEREF _Toc8638259 \h </w:instrText>
            </w:r>
            <w:r w:rsidR="007347D5">
              <w:rPr>
                <w:noProof/>
                <w:webHidden/>
              </w:rPr>
            </w:r>
            <w:r w:rsidR="007347D5">
              <w:rPr>
                <w:noProof/>
                <w:webHidden/>
              </w:rPr>
              <w:fldChar w:fldCharType="separate"/>
            </w:r>
            <w:r w:rsidR="002C77CC">
              <w:rPr>
                <w:noProof/>
                <w:webHidden/>
              </w:rPr>
              <w:t>4</w:t>
            </w:r>
            <w:r w:rsidR="007347D5">
              <w:rPr>
                <w:noProof/>
                <w:webHidden/>
              </w:rPr>
              <w:fldChar w:fldCharType="end"/>
            </w:r>
          </w:hyperlink>
        </w:p>
        <w:p w:rsidR="007347D5" w:rsidRDefault="002C77CC">
          <w:pPr>
            <w:pStyle w:val="TOC1"/>
            <w:rPr>
              <w:rFonts w:asciiTheme="minorHAnsi" w:hAnsiTheme="minorHAnsi"/>
              <w:noProof/>
              <w:sz w:val="22"/>
              <w:lang w:val="en-US" w:eastAsia="en-US"/>
            </w:rPr>
          </w:pPr>
          <w:hyperlink w:anchor="_Toc8638260" w:history="1">
            <w:r w:rsidR="007347D5" w:rsidRPr="003B29D2">
              <w:rPr>
                <w:rStyle w:val="Hyperlink"/>
                <w:rFonts w:eastAsia="Arial Unicode MS" w:cs="font331"/>
                <w:bCs/>
                <w:noProof/>
                <w:kern w:val="1"/>
                <w:lang w:val="en-IE" w:eastAsia="hi-IN" w:bidi="hi-IN"/>
              </w:rPr>
              <w:t>Consumer loss – the case for change</w:t>
            </w:r>
            <w:r w:rsidR="007347D5">
              <w:rPr>
                <w:noProof/>
                <w:webHidden/>
              </w:rPr>
              <w:tab/>
            </w:r>
            <w:r w:rsidR="007347D5">
              <w:rPr>
                <w:noProof/>
                <w:webHidden/>
              </w:rPr>
              <w:fldChar w:fldCharType="begin"/>
            </w:r>
            <w:r w:rsidR="007347D5">
              <w:rPr>
                <w:noProof/>
                <w:webHidden/>
              </w:rPr>
              <w:instrText xml:space="preserve"> PAGEREF _Toc8638260 \h </w:instrText>
            </w:r>
            <w:r w:rsidR="007347D5">
              <w:rPr>
                <w:noProof/>
                <w:webHidden/>
              </w:rPr>
            </w:r>
            <w:r w:rsidR="007347D5">
              <w:rPr>
                <w:noProof/>
                <w:webHidden/>
              </w:rPr>
              <w:fldChar w:fldCharType="separate"/>
            </w:r>
            <w:r>
              <w:rPr>
                <w:noProof/>
                <w:webHidden/>
              </w:rPr>
              <w:t>5</w:t>
            </w:r>
            <w:r w:rsidR="007347D5">
              <w:rPr>
                <w:noProof/>
                <w:webHidden/>
              </w:rPr>
              <w:fldChar w:fldCharType="end"/>
            </w:r>
          </w:hyperlink>
        </w:p>
        <w:p w:rsidR="007347D5" w:rsidRDefault="002C77CC">
          <w:pPr>
            <w:pStyle w:val="TOC1"/>
            <w:rPr>
              <w:rFonts w:asciiTheme="minorHAnsi" w:hAnsiTheme="minorHAnsi"/>
              <w:noProof/>
              <w:sz w:val="22"/>
              <w:lang w:val="en-US" w:eastAsia="en-US"/>
            </w:rPr>
          </w:pPr>
          <w:hyperlink w:anchor="_Toc8638261" w:history="1">
            <w:r w:rsidR="007347D5" w:rsidRPr="003B29D2">
              <w:rPr>
                <w:rStyle w:val="Hyperlink"/>
                <w:rFonts w:eastAsia="Arial Unicode MS" w:cs="font331"/>
                <w:bCs/>
                <w:noProof/>
                <w:kern w:val="1"/>
                <w:lang w:val="en-IE" w:eastAsia="hi-IN" w:bidi="hi-IN"/>
              </w:rPr>
              <w:t>Drafting issues</w:t>
            </w:r>
            <w:r w:rsidR="007347D5">
              <w:rPr>
                <w:noProof/>
                <w:webHidden/>
              </w:rPr>
              <w:tab/>
            </w:r>
            <w:r w:rsidR="007347D5">
              <w:rPr>
                <w:noProof/>
                <w:webHidden/>
              </w:rPr>
              <w:fldChar w:fldCharType="begin"/>
            </w:r>
            <w:r w:rsidR="007347D5">
              <w:rPr>
                <w:noProof/>
                <w:webHidden/>
              </w:rPr>
              <w:instrText xml:space="preserve"> PAGEREF _Toc8638261 \h </w:instrText>
            </w:r>
            <w:r w:rsidR="007347D5">
              <w:rPr>
                <w:noProof/>
                <w:webHidden/>
              </w:rPr>
            </w:r>
            <w:r w:rsidR="007347D5">
              <w:rPr>
                <w:noProof/>
                <w:webHidden/>
              </w:rPr>
              <w:fldChar w:fldCharType="separate"/>
            </w:r>
            <w:r>
              <w:rPr>
                <w:noProof/>
                <w:webHidden/>
              </w:rPr>
              <w:t>8</w:t>
            </w:r>
            <w:r w:rsidR="007347D5">
              <w:rPr>
                <w:noProof/>
                <w:webHidden/>
              </w:rPr>
              <w:fldChar w:fldCharType="end"/>
            </w:r>
          </w:hyperlink>
        </w:p>
        <w:p w:rsidR="007347D5" w:rsidRDefault="002C77CC">
          <w:pPr>
            <w:pStyle w:val="TOC1"/>
            <w:rPr>
              <w:rFonts w:asciiTheme="minorHAnsi" w:hAnsiTheme="minorHAnsi"/>
              <w:noProof/>
              <w:sz w:val="22"/>
              <w:lang w:val="en-US" w:eastAsia="en-US"/>
            </w:rPr>
          </w:pPr>
          <w:hyperlink w:anchor="_Toc8638262" w:history="1">
            <w:r w:rsidR="007347D5" w:rsidRPr="003B29D2">
              <w:rPr>
                <w:rStyle w:val="Hyperlink"/>
                <w:rFonts w:eastAsia="Arial Unicode MS" w:cs="font331"/>
                <w:bCs/>
                <w:noProof/>
                <w:kern w:val="1"/>
                <w:lang w:val="en-IE" w:eastAsia="hi-IN" w:bidi="hi-IN"/>
              </w:rPr>
              <w:t>Conclusion</w:t>
            </w:r>
            <w:r w:rsidR="007347D5">
              <w:rPr>
                <w:noProof/>
                <w:webHidden/>
              </w:rPr>
              <w:tab/>
            </w:r>
            <w:r w:rsidR="007347D5">
              <w:rPr>
                <w:noProof/>
                <w:webHidden/>
              </w:rPr>
              <w:fldChar w:fldCharType="begin"/>
            </w:r>
            <w:r w:rsidR="007347D5">
              <w:rPr>
                <w:noProof/>
                <w:webHidden/>
              </w:rPr>
              <w:instrText xml:space="preserve"> PAGEREF _Toc8638262 \h </w:instrText>
            </w:r>
            <w:r w:rsidR="007347D5">
              <w:rPr>
                <w:noProof/>
                <w:webHidden/>
              </w:rPr>
            </w:r>
            <w:r w:rsidR="007347D5">
              <w:rPr>
                <w:noProof/>
                <w:webHidden/>
              </w:rPr>
              <w:fldChar w:fldCharType="separate"/>
            </w:r>
            <w:r>
              <w:rPr>
                <w:noProof/>
                <w:webHidden/>
              </w:rPr>
              <w:t>14</w:t>
            </w:r>
            <w:r w:rsidR="007347D5">
              <w:rPr>
                <w:noProof/>
                <w:webHidden/>
              </w:rPr>
              <w:fldChar w:fldCharType="end"/>
            </w:r>
          </w:hyperlink>
        </w:p>
        <w:p w:rsidR="00DD0AEA" w:rsidRPr="00DD0AEA" w:rsidRDefault="00DD0AEA" w:rsidP="00DD0AEA">
          <w:pPr>
            <w:spacing w:before="100" w:beforeAutospacing="1" w:after="100" w:afterAutospacing="1" w:line="240" w:lineRule="auto"/>
            <w:jc w:val="both"/>
            <w:rPr>
              <w:rFonts w:ascii="Calibri" w:eastAsiaTheme="minorEastAsia" w:hAnsi="Calibri"/>
              <w:sz w:val="24"/>
              <w:lang w:val="en-AU" w:eastAsia="en-AU"/>
            </w:rPr>
          </w:pPr>
          <w:r w:rsidRPr="00DD0AEA">
            <w:rPr>
              <w:rFonts w:ascii="Calibri" w:eastAsiaTheme="minorEastAsia" w:hAnsi="Calibri"/>
              <w:b/>
              <w:bCs/>
              <w:noProof/>
              <w:sz w:val="24"/>
              <w:lang w:val="en-AU" w:eastAsia="en-AU"/>
            </w:rPr>
            <w:fldChar w:fldCharType="end"/>
          </w:r>
        </w:p>
      </w:sdtContent>
    </w:sdt>
    <w:p w:rsidR="00DD0AEA" w:rsidRPr="00DD0AEA" w:rsidRDefault="00DD0AEA" w:rsidP="00DD0AEA">
      <w:pPr>
        <w:spacing w:before="100" w:beforeAutospacing="1" w:after="100" w:afterAutospacing="1" w:line="240" w:lineRule="auto"/>
        <w:jc w:val="both"/>
        <w:rPr>
          <w:rFonts w:eastAsiaTheme="minorEastAsia" w:cstheme="minorHAnsi"/>
          <w:sz w:val="24"/>
          <w:szCs w:val="24"/>
          <w:lang w:val="en-AU" w:eastAsia="en-AU"/>
        </w:rPr>
      </w:pPr>
    </w:p>
    <w:p w:rsidR="00DD0AEA" w:rsidRPr="00DD0AEA" w:rsidRDefault="00DD0AEA" w:rsidP="00DD0AEA">
      <w:pPr>
        <w:keepNext/>
        <w:keepLines/>
        <w:pageBreakBefore/>
        <w:suppressAutoHyphens/>
        <w:spacing w:before="28" w:after="240" w:line="240" w:lineRule="auto"/>
        <w:ind w:left="851" w:hanging="851"/>
        <w:jc w:val="both"/>
        <w:outlineLvl w:val="0"/>
        <w:rPr>
          <w:rFonts w:ascii="Calibri" w:eastAsia="Arial Unicode MS" w:hAnsi="Calibri" w:cs="font331"/>
          <w:bCs/>
          <w:kern w:val="1"/>
          <w:sz w:val="44"/>
          <w:szCs w:val="28"/>
          <w:lang w:val="en-IE" w:eastAsia="hi-IN" w:bidi="hi-IN"/>
        </w:rPr>
      </w:pPr>
      <w:bookmarkStart w:id="0" w:name="_Toc8638259"/>
      <w:bookmarkStart w:id="1" w:name="_Toc424112265"/>
      <w:r w:rsidRPr="00DD0AEA">
        <w:rPr>
          <w:rFonts w:ascii="Calibri" w:eastAsia="Arial Unicode MS" w:hAnsi="Calibri" w:cs="font331"/>
          <w:bCs/>
          <w:kern w:val="1"/>
          <w:sz w:val="44"/>
          <w:szCs w:val="28"/>
          <w:lang w:val="en-IE" w:eastAsia="hi-IN" w:bidi="hi-IN"/>
        </w:rPr>
        <w:lastRenderedPageBreak/>
        <w:t>Executive Summary</w:t>
      </w:r>
      <w:bookmarkEnd w:id="0"/>
      <w:r w:rsidRPr="00DD0AEA">
        <w:rPr>
          <w:rFonts w:ascii="Calibri" w:eastAsia="Arial Unicode MS" w:hAnsi="Calibri" w:cs="font331"/>
          <w:bCs/>
          <w:kern w:val="1"/>
          <w:sz w:val="44"/>
          <w:szCs w:val="28"/>
          <w:lang w:val="en-IE" w:eastAsia="hi-IN" w:bidi="hi-IN"/>
        </w:rPr>
        <w:t xml:space="preserve"> </w:t>
      </w:r>
      <w:bookmarkEnd w:id="1"/>
      <w:r w:rsidR="008577E8">
        <w:rPr>
          <w:rFonts w:ascii="Calibri" w:eastAsia="Arial Unicode MS" w:hAnsi="Calibri" w:cs="font331"/>
          <w:bCs/>
          <w:kern w:val="1"/>
          <w:sz w:val="44"/>
          <w:szCs w:val="28"/>
          <w:lang w:val="en-IE" w:eastAsia="hi-IN" w:bidi="hi-IN"/>
        </w:rPr>
        <w:t xml:space="preserve"> </w:t>
      </w:r>
    </w:p>
    <w:p w:rsidR="008577E8" w:rsidRPr="00742B66" w:rsidRDefault="008577E8" w:rsidP="00742B66">
      <w:pPr>
        <w:pStyle w:val="BodyText1"/>
        <w:rPr>
          <w:rFonts w:asciiTheme="minorHAnsi" w:eastAsiaTheme="minorEastAsia" w:hAnsiTheme="minorHAnsi" w:cstheme="minorHAnsi"/>
          <w:color w:val="auto"/>
          <w:sz w:val="24"/>
          <w:lang w:eastAsia="en-AU"/>
        </w:rPr>
      </w:pPr>
      <w:r w:rsidRPr="00742B66">
        <w:rPr>
          <w:rFonts w:asciiTheme="minorHAnsi" w:eastAsiaTheme="minorEastAsia" w:hAnsiTheme="minorHAnsi" w:cstheme="minorHAnsi"/>
          <w:color w:val="auto"/>
          <w:sz w:val="24"/>
          <w:lang w:eastAsia="en-AU"/>
        </w:rPr>
        <w:t xml:space="preserve">The Australian Communications Consumer Action Network (ACCAN) welcomes the opportunity to comment on the Draft Mobile Premium Services Code (DR C637:2019) (‘the Code’). </w:t>
      </w:r>
      <w:r w:rsidRPr="00742B66">
        <w:rPr>
          <w:rFonts w:asciiTheme="minorHAnsi" w:eastAsiaTheme="minorEastAsia" w:hAnsiTheme="minorHAnsi" w:cstheme="minorHAnsi"/>
          <w:b/>
          <w:color w:val="auto"/>
          <w:sz w:val="24"/>
          <w:lang w:eastAsia="en-AU"/>
        </w:rPr>
        <w:t xml:space="preserve"> </w:t>
      </w:r>
    </w:p>
    <w:p w:rsidR="008577E8" w:rsidRPr="00742B66" w:rsidRDefault="008577E8" w:rsidP="00742B66">
      <w:pPr>
        <w:pStyle w:val="BodyText1"/>
        <w:rPr>
          <w:rFonts w:asciiTheme="minorHAnsi" w:eastAsiaTheme="minorEastAsia" w:hAnsiTheme="minorHAnsi" w:cstheme="minorHAnsi"/>
          <w:color w:val="auto"/>
          <w:sz w:val="24"/>
          <w:lang w:eastAsia="en-AU"/>
        </w:rPr>
      </w:pPr>
      <w:r w:rsidRPr="00742B66">
        <w:rPr>
          <w:rFonts w:asciiTheme="minorHAnsi" w:eastAsiaTheme="minorEastAsia" w:hAnsiTheme="minorHAnsi" w:cstheme="minorHAnsi"/>
          <w:color w:val="auto"/>
          <w:sz w:val="24"/>
          <w:lang w:eastAsia="en-AU"/>
        </w:rPr>
        <w:t>Since the previous review of the Code undertaken in 2017 evidence has been brought forward indicating material misconduct in the sale of mobile premium services and direct carrie</w:t>
      </w:r>
      <w:r w:rsidR="00D903C5" w:rsidRPr="00742B66">
        <w:rPr>
          <w:rFonts w:asciiTheme="minorHAnsi" w:eastAsiaTheme="minorEastAsia" w:hAnsiTheme="minorHAnsi" w:cstheme="minorHAnsi"/>
          <w:color w:val="auto"/>
          <w:sz w:val="24"/>
          <w:lang w:eastAsia="en-AU"/>
        </w:rPr>
        <w:t>r billing services. As a result</w:t>
      </w:r>
      <w:r w:rsidRPr="00742B66">
        <w:rPr>
          <w:rFonts w:asciiTheme="minorHAnsi" w:eastAsiaTheme="minorEastAsia" w:hAnsiTheme="minorHAnsi" w:cstheme="minorHAnsi"/>
          <w:color w:val="auto"/>
          <w:sz w:val="24"/>
          <w:lang w:eastAsia="en-AU"/>
        </w:rPr>
        <w:t xml:space="preserve"> ACCAN believes that there are strong grounds for the considerable strengthening of the Code. </w:t>
      </w:r>
    </w:p>
    <w:p w:rsidR="008577E8" w:rsidRPr="00742B66" w:rsidRDefault="008577E8" w:rsidP="00742B66">
      <w:pPr>
        <w:pStyle w:val="BodyText1"/>
        <w:rPr>
          <w:rFonts w:asciiTheme="minorHAnsi" w:eastAsiaTheme="minorEastAsia" w:hAnsiTheme="minorHAnsi" w:cstheme="minorHAnsi"/>
          <w:color w:val="auto"/>
          <w:sz w:val="24"/>
          <w:lang w:eastAsia="en-AU"/>
        </w:rPr>
      </w:pPr>
      <w:r w:rsidRPr="00742B66">
        <w:rPr>
          <w:rFonts w:asciiTheme="minorHAnsi" w:eastAsiaTheme="minorEastAsia" w:hAnsiTheme="minorHAnsi" w:cstheme="minorHAnsi"/>
          <w:color w:val="auto"/>
          <w:sz w:val="24"/>
          <w:lang w:eastAsia="en-AU"/>
        </w:rPr>
        <w:t>ACCAN welcomes the inclusion of Direct Carrier Billing services in the draft Code, but is concerned that many of the additional protections proposed will have little or no substantive effect on consumer outcomes. This concern is driven primarily by the limited scope of many of the provisions, and their limited applicability when examined against actual market trends.</w:t>
      </w:r>
    </w:p>
    <w:p w:rsidR="008577E8" w:rsidRPr="00742B66" w:rsidRDefault="008577E8" w:rsidP="00742B66">
      <w:pPr>
        <w:pStyle w:val="BodyText1"/>
        <w:rPr>
          <w:rFonts w:asciiTheme="minorHAnsi" w:eastAsiaTheme="minorEastAsia" w:hAnsiTheme="minorHAnsi" w:cstheme="minorHAnsi"/>
          <w:color w:val="auto"/>
          <w:sz w:val="24"/>
          <w:lang w:eastAsia="en-AU"/>
        </w:rPr>
      </w:pPr>
      <w:r w:rsidRPr="00742B66">
        <w:rPr>
          <w:rFonts w:asciiTheme="minorHAnsi" w:eastAsiaTheme="minorEastAsia" w:hAnsiTheme="minorHAnsi" w:cstheme="minorHAnsi"/>
          <w:color w:val="auto"/>
          <w:sz w:val="24"/>
          <w:lang w:eastAsia="en-AU"/>
        </w:rPr>
        <w:t>This submission set</w:t>
      </w:r>
      <w:r w:rsidR="008D74E2" w:rsidRPr="00742B66">
        <w:rPr>
          <w:rFonts w:asciiTheme="minorHAnsi" w:eastAsiaTheme="minorEastAsia" w:hAnsiTheme="minorHAnsi" w:cstheme="minorHAnsi"/>
          <w:color w:val="auto"/>
          <w:sz w:val="24"/>
          <w:lang w:eastAsia="en-AU"/>
        </w:rPr>
        <w:t>s</w:t>
      </w:r>
      <w:r w:rsidRPr="00742B66">
        <w:rPr>
          <w:rFonts w:asciiTheme="minorHAnsi" w:eastAsiaTheme="minorEastAsia" w:hAnsiTheme="minorHAnsi" w:cstheme="minorHAnsi"/>
          <w:color w:val="auto"/>
          <w:sz w:val="24"/>
          <w:lang w:eastAsia="en-AU"/>
        </w:rPr>
        <w:t xml:space="preserve"> out:</w:t>
      </w:r>
    </w:p>
    <w:p w:rsidR="008577E8" w:rsidRPr="00742B66" w:rsidRDefault="008577E8" w:rsidP="00742B66">
      <w:pPr>
        <w:pStyle w:val="BodyText1"/>
        <w:numPr>
          <w:ilvl w:val="0"/>
          <w:numId w:val="44"/>
        </w:numPr>
        <w:rPr>
          <w:rFonts w:asciiTheme="minorHAnsi" w:eastAsiaTheme="minorEastAsia" w:hAnsiTheme="minorHAnsi" w:cstheme="minorHAnsi"/>
          <w:color w:val="auto"/>
          <w:sz w:val="24"/>
          <w:lang w:eastAsia="en-AU"/>
        </w:rPr>
      </w:pPr>
      <w:r w:rsidRPr="00742B66">
        <w:rPr>
          <w:rFonts w:asciiTheme="minorHAnsi" w:eastAsiaTheme="minorEastAsia" w:hAnsiTheme="minorHAnsi" w:cstheme="minorHAnsi"/>
          <w:color w:val="auto"/>
          <w:sz w:val="24"/>
          <w:lang w:eastAsia="en-AU"/>
        </w:rPr>
        <w:t>the extent of the loss that consumers have faced;</w:t>
      </w:r>
    </w:p>
    <w:p w:rsidR="008577E8" w:rsidRPr="00742B66" w:rsidRDefault="008577E8" w:rsidP="00742B66">
      <w:pPr>
        <w:pStyle w:val="BodyText1"/>
        <w:numPr>
          <w:ilvl w:val="0"/>
          <w:numId w:val="44"/>
        </w:numPr>
        <w:rPr>
          <w:rFonts w:asciiTheme="minorHAnsi" w:eastAsiaTheme="minorEastAsia" w:hAnsiTheme="minorHAnsi" w:cstheme="minorHAnsi"/>
          <w:color w:val="auto"/>
          <w:sz w:val="24"/>
          <w:lang w:eastAsia="en-AU"/>
        </w:rPr>
      </w:pPr>
      <w:r w:rsidRPr="00742B66">
        <w:rPr>
          <w:rFonts w:asciiTheme="minorHAnsi" w:eastAsiaTheme="minorEastAsia" w:hAnsiTheme="minorHAnsi" w:cstheme="minorHAnsi"/>
          <w:color w:val="auto"/>
          <w:sz w:val="24"/>
          <w:lang w:eastAsia="en-AU"/>
        </w:rPr>
        <w:t xml:space="preserve">the reason for additional safeguards; </w:t>
      </w:r>
    </w:p>
    <w:p w:rsidR="008577E8" w:rsidRPr="00742B66" w:rsidRDefault="008577E8" w:rsidP="00742B66">
      <w:pPr>
        <w:pStyle w:val="BodyText1"/>
        <w:numPr>
          <w:ilvl w:val="0"/>
          <w:numId w:val="44"/>
        </w:numPr>
        <w:rPr>
          <w:rFonts w:asciiTheme="minorHAnsi" w:eastAsiaTheme="minorEastAsia" w:hAnsiTheme="minorHAnsi" w:cstheme="minorHAnsi"/>
          <w:color w:val="auto"/>
          <w:sz w:val="24"/>
          <w:lang w:eastAsia="en-AU"/>
        </w:rPr>
      </w:pPr>
      <w:r w:rsidRPr="00742B66">
        <w:rPr>
          <w:rFonts w:asciiTheme="minorHAnsi" w:eastAsiaTheme="minorEastAsia" w:hAnsiTheme="minorHAnsi" w:cstheme="minorHAnsi"/>
          <w:color w:val="auto"/>
          <w:sz w:val="24"/>
          <w:lang w:eastAsia="en-AU"/>
        </w:rPr>
        <w:t xml:space="preserve">the substantive problems associated with the draft provisions; and </w:t>
      </w:r>
    </w:p>
    <w:p w:rsidR="008577E8" w:rsidRPr="00742B66" w:rsidRDefault="008577E8" w:rsidP="00742B66">
      <w:pPr>
        <w:pStyle w:val="BodyText1"/>
        <w:numPr>
          <w:ilvl w:val="0"/>
          <w:numId w:val="44"/>
        </w:numPr>
        <w:rPr>
          <w:rFonts w:asciiTheme="minorHAnsi" w:eastAsiaTheme="minorEastAsia" w:hAnsiTheme="minorHAnsi" w:cstheme="minorHAnsi"/>
          <w:color w:val="auto"/>
          <w:sz w:val="24"/>
          <w:lang w:eastAsia="en-AU"/>
        </w:rPr>
      </w:pPr>
      <w:r w:rsidRPr="00742B66">
        <w:rPr>
          <w:rFonts w:asciiTheme="minorHAnsi" w:eastAsiaTheme="minorEastAsia" w:hAnsiTheme="minorHAnsi" w:cstheme="minorHAnsi"/>
          <w:color w:val="auto"/>
          <w:sz w:val="24"/>
          <w:lang w:eastAsia="en-AU"/>
        </w:rPr>
        <w:t xml:space="preserve">recommendations to address these drafting issues. </w:t>
      </w:r>
    </w:p>
    <w:p w:rsidR="008577E8" w:rsidRPr="00742B66" w:rsidRDefault="008577E8" w:rsidP="00742B66">
      <w:pPr>
        <w:pStyle w:val="BodyText1"/>
        <w:rPr>
          <w:rFonts w:asciiTheme="minorHAnsi" w:eastAsiaTheme="minorEastAsia" w:hAnsiTheme="minorHAnsi" w:cstheme="minorHAnsi"/>
          <w:color w:val="auto"/>
          <w:sz w:val="24"/>
          <w:lang w:eastAsia="en-AU"/>
        </w:rPr>
      </w:pPr>
      <w:r w:rsidRPr="00742B66">
        <w:rPr>
          <w:rFonts w:asciiTheme="minorHAnsi" w:eastAsiaTheme="minorEastAsia" w:hAnsiTheme="minorHAnsi" w:cstheme="minorHAnsi"/>
          <w:color w:val="auto"/>
          <w:sz w:val="24"/>
          <w:lang w:eastAsia="en-AU"/>
        </w:rPr>
        <w:t>Despite consumers having faced material loss, the proposed additions to the Code are unlikely to provide substantial protections to consumers. Accordingly ACCAN believes that there is scope for considerable revision to the draft Code in order to ensure that there are appropriate safeguards for consumers and small businesses.</w:t>
      </w:r>
    </w:p>
    <w:p w:rsidR="00DD0AEA" w:rsidRPr="008577E8" w:rsidRDefault="00DD0AEA" w:rsidP="00D903C5">
      <w:pPr>
        <w:spacing w:before="100" w:beforeAutospacing="1" w:after="100" w:afterAutospacing="1"/>
        <w:jc w:val="both"/>
        <w:rPr>
          <w:rFonts w:ascii="Times New Roman" w:hAnsi="Times New Roman" w:cs="Times New Roman"/>
          <w:color w:val="000000" w:themeColor="text1"/>
          <w:sz w:val="28"/>
          <w:szCs w:val="24"/>
          <w:lang w:val="en-AU"/>
        </w:rPr>
      </w:pPr>
    </w:p>
    <w:p w:rsidR="00DD0AEA" w:rsidRPr="008577E8" w:rsidRDefault="00DD0AEA" w:rsidP="008577E8">
      <w:pPr>
        <w:spacing w:before="100" w:beforeAutospacing="1" w:after="100" w:afterAutospacing="1"/>
        <w:ind w:left="360"/>
        <w:jc w:val="both"/>
        <w:rPr>
          <w:rFonts w:cstheme="minorHAnsi"/>
          <w:color w:val="000000" w:themeColor="text1"/>
          <w:sz w:val="28"/>
          <w:szCs w:val="24"/>
          <w:lang w:val="en-AU"/>
        </w:rPr>
      </w:pPr>
    </w:p>
    <w:p w:rsidR="00DD0AEA" w:rsidRPr="008577E8" w:rsidRDefault="00DD0AEA" w:rsidP="00DD0AEA">
      <w:pPr>
        <w:spacing w:before="100" w:beforeAutospacing="1" w:after="100" w:afterAutospacing="1"/>
        <w:ind w:left="360"/>
        <w:jc w:val="both"/>
        <w:rPr>
          <w:rFonts w:cstheme="minorHAnsi"/>
          <w:color w:val="000000" w:themeColor="text1"/>
          <w:sz w:val="24"/>
          <w:szCs w:val="24"/>
          <w:lang w:val="en-AU"/>
        </w:rPr>
      </w:pPr>
    </w:p>
    <w:p w:rsidR="00DD0AEA" w:rsidRDefault="00DD0AEA" w:rsidP="00DD0AEA">
      <w:pPr>
        <w:spacing w:before="100" w:beforeAutospacing="1" w:after="100" w:afterAutospacing="1"/>
        <w:ind w:left="360"/>
        <w:jc w:val="both"/>
        <w:rPr>
          <w:rFonts w:ascii="Times New Roman" w:hAnsi="Times New Roman" w:cs="Times New Roman"/>
          <w:color w:val="000000" w:themeColor="text1"/>
          <w:sz w:val="24"/>
          <w:szCs w:val="24"/>
          <w:lang w:val="en-AU"/>
        </w:rPr>
      </w:pPr>
    </w:p>
    <w:p w:rsidR="00DD0AEA" w:rsidRDefault="00DD0AEA" w:rsidP="00DD0AEA">
      <w:pPr>
        <w:spacing w:before="100" w:beforeAutospacing="1" w:after="100" w:afterAutospacing="1"/>
        <w:ind w:left="360"/>
        <w:jc w:val="both"/>
        <w:rPr>
          <w:rFonts w:ascii="Times New Roman" w:hAnsi="Times New Roman" w:cs="Times New Roman"/>
          <w:color w:val="000000" w:themeColor="text1"/>
          <w:sz w:val="24"/>
          <w:szCs w:val="24"/>
          <w:lang w:val="en-AU"/>
        </w:rPr>
      </w:pPr>
    </w:p>
    <w:p w:rsidR="00DD0AEA" w:rsidRDefault="00DD0AEA" w:rsidP="00DD0AEA">
      <w:pPr>
        <w:spacing w:before="100" w:beforeAutospacing="1" w:after="100" w:afterAutospacing="1"/>
        <w:ind w:left="360"/>
        <w:jc w:val="both"/>
        <w:rPr>
          <w:rFonts w:ascii="Times New Roman" w:hAnsi="Times New Roman" w:cs="Times New Roman"/>
          <w:color w:val="000000" w:themeColor="text1"/>
          <w:sz w:val="24"/>
          <w:szCs w:val="24"/>
          <w:lang w:val="en-AU"/>
        </w:rPr>
      </w:pPr>
    </w:p>
    <w:p w:rsidR="00DD0AEA" w:rsidRPr="00DD0AEA" w:rsidRDefault="00DD0AEA" w:rsidP="00DD0AEA">
      <w:pPr>
        <w:spacing w:before="100" w:beforeAutospacing="1" w:after="100" w:afterAutospacing="1" w:line="240" w:lineRule="auto"/>
        <w:jc w:val="both"/>
        <w:rPr>
          <w:rFonts w:ascii="Calibri" w:eastAsia="Arial Unicode MS" w:hAnsi="Calibri"/>
          <w:sz w:val="24"/>
          <w:lang w:val="en-IE" w:eastAsia="hi-IN" w:bidi="hi-IN"/>
        </w:rPr>
      </w:pPr>
    </w:p>
    <w:p w:rsidR="008577E8" w:rsidRPr="008577E8" w:rsidRDefault="008577E8" w:rsidP="008577E8">
      <w:pPr>
        <w:keepNext/>
        <w:keepLines/>
        <w:pageBreakBefore/>
        <w:suppressAutoHyphens/>
        <w:spacing w:before="28" w:after="0" w:line="240" w:lineRule="auto"/>
        <w:ind w:left="850" w:hanging="850"/>
        <w:jc w:val="both"/>
        <w:outlineLvl w:val="0"/>
        <w:rPr>
          <w:rFonts w:ascii="Calibri" w:eastAsia="Arial Unicode MS" w:hAnsi="Calibri" w:cs="font331"/>
          <w:bCs/>
          <w:kern w:val="1"/>
          <w:sz w:val="44"/>
          <w:szCs w:val="28"/>
          <w:lang w:val="en-IE" w:eastAsia="hi-IN" w:bidi="hi-IN"/>
        </w:rPr>
      </w:pPr>
      <w:bookmarkStart w:id="2" w:name="_Toc8638260"/>
      <w:r>
        <w:rPr>
          <w:rFonts w:ascii="Calibri" w:eastAsia="Arial Unicode MS" w:hAnsi="Calibri" w:cs="font331"/>
          <w:bCs/>
          <w:kern w:val="1"/>
          <w:sz w:val="44"/>
          <w:szCs w:val="28"/>
          <w:lang w:val="en-IE" w:eastAsia="hi-IN" w:bidi="hi-IN"/>
        </w:rPr>
        <w:lastRenderedPageBreak/>
        <w:t>Consumer loss – the case for change</w:t>
      </w:r>
      <w:bookmarkEnd w:id="2"/>
    </w:p>
    <w:p w:rsidR="00AE0305" w:rsidRDefault="00AE0305" w:rsidP="00742B66">
      <w:pPr>
        <w:pStyle w:val="BodyText1"/>
        <w:spacing w:after="0"/>
        <w:rPr>
          <w:rFonts w:ascii="Times New Roman" w:eastAsiaTheme="minorEastAsia" w:hAnsi="Times New Roman" w:cs="Times New Roman"/>
          <w:color w:val="auto"/>
          <w:sz w:val="24"/>
          <w:lang w:eastAsia="en-AU"/>
        </w:rPr>
      </w:pPr>
    </w:p>
    <w:p w:rsidR="00566EFC" w:rsidRPr="00742B66" w:rsidRDefault="008577E8" w:rsidP="00742B66">
      <w:pPr>
        <w:pStyle w:val="BodyText1"/>
        <w:rPr>
          <w:rFonts w:asciiTheme="minorHAnsi" w:eastAsiaTheme="minorEastAsia" w:hAnsiTheme="minorHAnsi" w:cstheme="minorHAnsi"/>
          <w:color w:val="auto"/>
          <w:sz w:val="24"/>
          <w:lang w:eastAsia="en-AU"/>
        </w:rPr>
      </w:pPr>
      <w:r w:rsidRPr="00742B66">
        <w:rPr>
          <w:rFonts w:asciiTheme="minorHAnsi" w:eastAsiaTheme="minorEastAsia" w:hAnsiTheme="minorHAnsi" w:cstheme="minorHAnsi"/>
          <w:color w:val="auto"/>
          <w:sz w:val="24"/>
          <w:lang w:eastAsia="en-AU"/>
        </w:rPr>
        <w:t xml:space="preserve">Consumer losses associated with </w:t>
      </w:r>
      <w:r w:rsidR="00D903C5" w:rsidRPr="00742B66">
        <w:rPr>
          <w:rFonts w:asciiTheme="minorHAnsi" w:eastAsiaTheme="minorEastAsia" w:hAnsiTheme="minorHAnsi" w:cstheme="minorHAnsi"/>
          <w:color w:val="auto"/>
          <w:sz w:val="24"/>
          <w:lang w:eastAsia="en-AU"/>
        </w:rPr>
        <w:t>unintended</w:t>
      </w:r>
      <w:r w:rsidRPr="00742B66">
        <w:rPr>
          <w:rFonts w:asciiTheme="minorHAnsi" w:eastAsiaTheme="minorEastAsia" w:hAnsiTheme="minorHAnsi" w:cstheme="minorHAnsi"/>
          <w:color w:val="auto"/>
          <w:sz w:val="24"/>
          <w:lang w:eastAsia="en-AU"/>
        </w:rPr>
        <w:t xml:space="preserve"> purchases of premium services have been material and widespread. For consumers who are facing financial stress and are seeking to constrain their telecommunications expenditure, the additional costs associated with non-consenting or accidental purchase of premium services are material. </w:t>
      </w:r>
    </w:p>
    <w:p w:rsidR="00DD0AEA" w:rsidRPr="00DD0AEA" w:rsidRDefault="008577E8" w:rsidP="00DD0AEA">
      <w:pPr>
        <w:spacing w:before="100" w:beforeAutospacing="1" w:after="100" w:afterAutospacing="1" w:line="240" w:lineRule="auto"/>
        <w:jc w:val="both"/>
        <w:rPr>
          <w:rFonts w:ascii="Arial" w:eastAsiaTheme="minorEastAsia" w:hAnsi="Arial" w:cs="Arial"/>
          <w:b/>
          <w:sz w:val="32"/>
          <w:szCs w:val="32"/>
          <w:lang w:val="en-AU" w:eastAsia="en-AU"/>
        </w:rPr>
      </w:pPr>
      <w:r>
        <w:rPr>
          <w:rFonts w:ascii="Arial" w:eastAsiaTheme="minorEastAsia" w:hAnsi="Arial" w:cs="Arial"/>
          <w:b/>
          <w:sz w:val="32"/>
          <w:szCs w:val="32"/>
          <w:lang w:val="en-AU" w:eastAsia="en-AU"/>
        </w:rPr>
        <w:t xml:space="preserve">The impacted population </w:t>
      </w:r>
    </w:p>
    <w:p w:rsidR="008577E8" w:rsidRPr="00742B66" w:rsidRDefault="008577E8" w:rsidP="00742B66">
      <w:pPr>
        <w:pStyle w:val="BodyText1"/>
        <w:spacing w:after="0"/>
        <w:rPr>
          <w:rFonts w:asciiTheme="minorHAnsi" w:eastAsiaTheme="minorEastAsia" w:hAnsiTheme="minorHAnsi" w:cstheme="minorHAnsi"/>
          <w:color w:val="auto"/>
          <w:sz w:val="24"/>
          <w:lang w:eastAsia="en-AU"/>
        </w:rPr>
      </w:pPr>
      <w:r w:rsidRPr="00742B66">
        <w:rPr>
          <w:rFonts w:asciiTheme="minorHAnsi" w:eastAsiaTheme="minorEastAsia" w:hAnsiTheme="minorHAnsi" w:cstheme="minorHAnsi"/>
          <w:color w:val="auto"/>
          <w:sz w:val="24"/>
          <w:lang w:eastAsia="en-AU"/>
        </w:rPr>
        <w:t>ACCAN is aware that a significant number of consumers have been impacted by the unintended purchase of premium services, and that as a consequence the harm faced has been widespread. At a minimum the number of individuals that have been harmed by the non-consensual sale of these services have been outlined in recent court action.</w:t>
      </w:r>
    </w:p>
    <w:p w:rsidR="00E31139" w:rsidRPr="00742B66" w:rsidRDefault="00E31139" w:rsidP="00742B66">
      <w:pPr>
        <w:pStyle w:val="BodyText1"/>
        <w:spacing w:after="0"/>
        <w:rPr>
          <w:rFonts w:asciiTheme="minorHAnsi" w:eastAsiaTheme="minorEastAsia" w:hAnsiTheme="minorHAnsi" w:cstheme="minorHAnsi"/>
          <w:color w:val="auto"/>
          <w:sz w:val="24"/>
          <w:lang w:eastAsia="en-AU"/>
        </w:rPr>
      </w:pPr>
    </w:p>
    <w:p w:rsidR="008577E8" w:rsidRPr="00742B66" w:rsidRDefault="008577E8" w:rsidP="00742B66">
      <w:pPr>
        <w:pStyle w:val="BodyText1"/>
        <w:rPr>
          <w:rFonts w:asciiTheme="minorHAnsi" w:eastAsiaTheme="minorEastAsia" w:hAnsiTheme="minorHAnsi" w:cstheme="minorHAnsi"/>
          <w:color w:val="auto"/>
          <w:sz w:val="24"/>
          <w:lang w:eastAsia="en-AU"/>
        </w:rPr>
      </w:pPr>
      <w:r w:rsidRPr="00742B66">
        <w:rPr>
          <w:rFonts w:asciiTheme="minorHAnsi" w:eastAsiaTheme="minorEastAsia" w:hAnsiTheme="minorHAnsi" w:cstheme="minorHAnsi"/>
          <w:color w:val="auto"/>
          <w:sz w:val="24"/>
          <w:lang w:eastAsia="en-AU"/>
        </w:rPr>
        <w:t xml:space="preserve">In the course of these two court cases:  </w:t>
      </w:r>
    </w:p>
    <w:p w:rsidR="008577E8" w:rsidRPr="00742B66" w:rsidRDefault="008577E8" w:rsidP="00742B66">
      <w:pPr>
        <w:pStyle w:val="BodyText1"/>
        <w:numPr>
          <w:ilvl w:val="0"/>
          <w:numId w:val="45"/>
        </w:numPr>
        <w:rPr>
          <w:rFonts w:asciiTheme="minorHAnsi" w:eastAsiaTheme="minorEastAsia" w:hAnsiTheme="minorHAnsi" w:cstheme="minorHAnsi"/>
          <w:color w:val="auto"/>
          <w:sz w:val="24"/>
          <w:lang w:eastAsia="en-AU"/>
        </w:rPr>
      </w:pPr>
      <w:r w:rsidRPr="00742B66">
        <w:rPr>
          <w:rFonts w:asciiTheme="minorHAnsi" w:eastAsiaTheme="minorEastAsia" w:hAnsiTheme="minorHAnsi" w:cstheme="minorHAnsi"/>
          <w:color w:val="auto"/>
          <w:sz w:val="24"/>
          <w:lang w:eastAsia="en-AU"/>
        </w:rPr>
        <w:t>Optus admitted that the number of customers impacted by unintended Direct Carrier Billing purchases is at a minimum 100,000 and possibly in excess of 240,000;</w:t>
      </w:r>
      <w:r w:rsidRPr="00742B66">
        <w:rPr>
          <w:rStyle w:val="FootnoteReference"/>
          <w:rFonts w:asciiTheme="minorHAnsi" w:eastAsiaTheme="minorEastAsia" w:hAnsiTheme="minorHAnsi" w:cstheme="minorHAnsi"/>
          <w:color w:val="auto"/>
          <w:sz w:val="24"/>
          <w:lang w:eastAsia="en-AU"/>
        </w:rPr>
        <w:footnoteReference w:id="1"/>
      </w:r>
    </w:p>
    <w:p w:rsidR="00566EFC" w:rsidRPr="00742B66" w:rsidRDefault="008577E8" w:rsidP="00742B66">
      <w:pPr>
        <w:pStyle w:val="BodyText1"/>
        <w:numPr>
          <w:ilvl w:val="0"/>
          <w:numId w:val="45"/>
        </w:numPr>
        <w:rPr>
          <w:rFonts w:asciiTheme="minorHAnsi" w:eastAsiaTheme="minorEastAsia" w:hAnsiTheme="minorHAnsi" w:cstheme="minorHAnsi"/>
          <w:color w:val="auto"/>
          <w:sz w:val="24"/>
          <w:lang w:eastAsia="en-AU"/>
        </w:rPr>
      </w:pPr>
      <w:r w:rsidRPr="00742B66">
        <w:rPr>
          <w:rFonts w:asciiTheme="minorHAnsi" w:eastAsiaTheme="minorEastAsia" w:hAnsiTheme="minorHAnsi" w:cstheme="minorHAnsi"/>
          <w:color w:val="auto"/>
          <w:sz w:val="24"/>
          <w:lang w:eastAsia="en-AU"/>
        </w:rPr>
        <w:t>Telstra admitted that the number customers impacted by unintended Direct Carrier Billing purchases numbered in the tens of thousands and possibly on Telstra’s estimate as many as 100,000 customers.</w:t>
      </w:r>
      <w:r w:rsidRPr="00742B66">
        <w:rPr>
          <w:rStyle w:val="FootnoteReference"/>
          <w:rFonts w:asciiTheme="minorHAnsi" w:eastAsiaTheme="minorEastAsia" w:hAnsiTheme="minorHAnsi" w:cstheme="minorHAnsi"/>
          <w:color w:val="auto"/>
          <w:sz w:val="24"/>
          <w:lang w:eastAsia="en-AU"/>
        </w:rPr>
        <w:footnoteReference w:id="2"/>
      </w:r>
      <w:r w:rsidRPr="00742B66">
        <w:rPr>
          <w:rFonts w:asciiTheme="minorHAnsi" w:eastAsiaTheme="minorEastAsia" w:hAnsiTheme="minorHAnsi" w:cstheme="minorHAnsi"/>
          <w:color w:val="auto"/>
          <w:sz w:val="24"/>
          <w:lang w:eastAsia="en-AU"/>
        </w:rPr>
        <w:t xml:space="preserve"> </w:t>
      </w:r>
    </w:p>
    <w:p w:rsidR="00DD0AEA" w:rsidRPr="00566EFC" w:rsidRDefault="008577E8" w:rsidP="00DD0AEA">
      <w:pPr>
        <w:spacing w:before="100" w:beforeAutospacing="1" w:after="100" w:afterAutospacing="1" w:line="240" w:lineRule="auto"/>
        <w:jc w:val="both"/>
        <w:rPr>
          <w:rFonts w:ascii="Times New Roman" w:eastAsiaTheme="minorEastAsia" w:hAnsi="Times New Roman" w:cs="Times New Roman"/>
          <w:sz w:val="24"/>
          <w:lang w:val="en-AU"/>
        </w:rPr>
      </w:pPr>
      <w:r>
        <w:rPr>
          <w:rFonts w:ascii="Arial" w:eastAsiaTheme="minorEastAsia" w:hAnsi="Arial" w:cs="Arial"/>
          <w:b/>
          <w:sz w:val="32"/>
          <w:szCs w:val="32"/>
          <w:lang w:val="en-AU" w:eastAsia="en-AU"/>
        </w:rPr>
        <w:t>The estimated loss</w:t>
      </w:r>
    </w:p>
    <w:p w:rsidR="008577E8" w:rsidRPr="00742B66" w:rsidRDefault="008577E8" w:rsidP="00742B66">
      <w:pPr>
        <w:pStyle w:val="BodyText1"/>
        <w:rPr>
          <w:rFonts w:asciiTheme="minorHAnsi" w:eastAsiaTheme="minorEastAsia" w:hAnsiTheme="minorHAnsi" w:cstheme="minorHAnsi"/>
          <w:color w:val="auto"/>
          <w:sz w:val="24"/>
          <w:szCs w:val="24"/>
          <w:lang w:eastAsia="en-AU"/>
        </w:rPr>
      </w:pPr>
      <w:r w:rsidRPr="00742B66">
        <w:rPr>
          <w:rFonts w:asciiTheme="minorHAnsi" w:eastAsiaTheme="minorEastAsia" w:hAnsiTheme="minorHAnsi" w:cstheme="minorHAnsi"/>
          <w:color w:val="auto"/>
          <w:sz w:val="24"/>
          <w:szCs w:val="24"/>
          <w:lang w:eastAsia="en-AU"/>
        </w:rPr>
        <w:t xml:space="preserve">The losses attributable to consumers who have been charged for services that they did not purchase have been significant.  On the basis of the information provided in the course of these cases and extensive </w:t>
      </w:r>
      <w:proofErr w:type="spellStart"/>
      <w:r w:rsidRPr="00742B66">
        <w:rPr>
          <w:rFonts w:asciiTheme="minorHAnsi" w:eastAsiaTheme="minorEastAsia" w:hAnsiTheme="minorHAnsi" w:cstheme="minorHAnsi"/>
          <w:color w:val="auto"/>
          <w:sz w:val="24"/>
          <w:szCs w:val="24"/>
          <w:lang w:eastAsia="en-AU"/>
        </w:rPr>
        <w:t>Ipsos</w:t>
      </w:r>
      <w:proofErr w:type="spellEnd"/>
      <w:r w:rsidRPr="00742B66">
        <w:rPr>
          <w:rFonts w:asciiTheme="minorHAnsi" w:eastAsiaTheme="minorEastAsia" w:hAnsiTheme="minorHAnsi" w:cstheme="minorHAnsi"/>
          <w:color w:val="auto"/>
          <w:sz w:val="24"/>
          <w:szCs w:val="24"/>
          <w:lang w:eastAsia="en-AU"/>
        </w:rPr>
        <w:t xml:space="preserve"> surveying, ACCAN has estimated that the loss to consumers from unexpected charges for premium direct billing service is at a minimum: </w:t>
      </w:r>
    </w:p>
    <w:p w:rsidR="008577E8" w:rsidRPr="00742B66" w:rsidRDefault="008577E8" w:rsidP="008577E8">
      <w:pPr>
        <w:pStyle w:val="BodyText1"/>
        <w:numPr>
          <w:ilvl w:val="0"/>
          <w:numId w:val="46"/>
        </w:numPr>
        <w:jc w:val="both"/>
        <w:rPr>
          <w:rFonts w:asciiTheme="minorHAnsi" w:eastAsiaTheme="minorEastAsia" w:hAnsiTheme="minorHAnsi" w:cstheme="minorHAnsi"/>
          <w:color w:val="auto"/>
          <w:sz w:val="24"/>
          <w:szCs w:val="24"/>
          <w:lang w:eastAsia="en-AU"/>
        </w:rPr>
      </w:pPr>
      <w:r w:rsidRPr="00742B66">
        <w:rPr>
          <w:rFonts w:asciiTheme="minorHAnsi" w:eastAsiaTheme="minorEastAsia" w:hAnsiTheme="minorHAnsi" w:cstheme="minorHAnsi"/>
          <w:color w:val="auto"/>
          <w:sz w:val="24"/>
          <w:szCs w:val="24"/>
          <w:lang w:eastAsia="en-AU"/>
        </w:rPr>
        <w:t>$24.24 million as a consequence of Telstra’s conduct;</w:t>
      </w:r>
      <w:r w:rsidRPr="00742B66">
        <w:rPr>
          <w:rStyle w:val="FootnoteReference"/>
          <w:rFonts w:asciiTheme="minorHAnsi" w:eastAsiaTheme="minorEastAsia" w:hAnsiTheme="minorHAnsi" w:cstheme="minorHAnsi"/>
          <w:color w:val="auto"/>
          <w:sz w:val="24"/>
          <w:szCs w:val="24"/>
          <w:lang w:eastAsia="en-AU"/>
        </w:rPr>
        <w:footnoteReference w:id="3"/>
      </w:r>
      <w:r w:rsidRPr="00742B66">
        <w:rPr>
          <w:rFonts w:asciiTheme="minorHAnsi" w:eastAsiaTheme="minorEastAsia" w:hAnsiTheme="minorHAnsi" w:cstheme="minorHAnsi"/>
          <w:color w:val="auto"/>
          <w:sz w:val="24"/>
          <w:szCs w:val="24"/>
          <w:lang w:eastAsia="en-AU"/>
        </w:rPr>
        <w:t xml:space="preserve"> and </w:t>
      </w:r>
    </w:p>
    <w:p w:rsidR="008577E8" w:rsidRPr="00742B66" w:rsidRDefault="008577E8" w:rsidP="008577E8">
      <w:pPr>
        <w:pStyle w:val="BodyText1"/>
        <w:numPr>
          <w:ilvl w:val="0"/>
          <w:numId w:val="46"/>
        </w:numPr>
        <w:jc w:val="both"/>
        <w:rPr>
          <w:rFonts w:asciiTheme="minorHAnsi" w:eastAsiaTheme="minorEastAsia" w:hAnsiTheme="minorHAnsi" w:cstheme="minorHAnsi"/>
          <w:color w:val="auto"/>
          <w:sz w:val="24"/>
          <w:szCs w:val="24"/>
          <w:lang w:eastAsia="en-AU"/>
        </w:rPr>
      </w:pPr>
      <w:r w:rsidRPr="00742B66">
        <w:rPr>
          <w:rFonts w:asciiTheme="minorHAnsi" w:eastAsiaTheme="minorEastAsia" w:hAnsiTheme="minorHAnsi" w:cstheme="minorHAnsi"/>
          <w:color w:val="auto"/>
          <w:sz w:val="24"/>
          <w:szCs w:val="24"/>
          <w:lang w:eastAsia="en-AU"/>
        </w:rPr>
        <w:t>$23.4 million as a consequence of Optus’s conduct;</w:t>
      </w:r>
      <w:r w:rsidRPr="00742B66">
        <w:rPr>
          <w:rStyle w:val="FootnoteReference"/>
          <w:rFonts w:asciiTheme="minorHAnsi" w:eastAsiaTheme="minorEastAsia" w:hAnsiTheme="minorHAnsi" w:cstheme="minorHAnsi"/>
          <w:color w:val="auto"/>
          <w:sz w:val="24"/>
          <w:szCs w:val="24"/>
          <w:lang w:eastAsia="en-AU"/>
        </w:rPr>
        <w:footnoteReference w:id="4"/>
      </w:r>
      <w:r w:rsidRPr="00742B66">
        <w:rPr>
          <w:rFonts w:asciiTheme="minorHAnsi" w:eastAsiaTheme="minorEastAsia" w:hAnsiTheme="minorHAnsi" w:cstheme="minorHAnsi"/>
          <w:color w:val="auto"/>
          <w:sz w:val="24"/>
          <w:szCs w:val="24"/>
          <w:lang w:eastAsia="en-AU"/>
        </w:rPr>
        <w:t xml:space="preserve"> </w:t>
      </w:r>
    </w:p>
    <w:p w:rsidR="008577E8" w:rsidRPr="00742B66" w:rsidRDefault="008577E8" w:rsidP="008577E8">
      <w:pPr>
        <w:pStyle w:val="BodyText1"/>
        <w:numPr>
          <w:ilvl w:val="0"/>
          <w:numId w:val="46"/>
        </w:numPr>
        <w:jc w:val="both"/>
        <w:rPr>
          <w:rFonts w:asciiTheme="minorHAnsi" w:eastAsiaTheme="minorEastAsia" w:hAnsiTheme="minorHAnsi" w:cstheme="minorHAnsi"/>
          <w:color w:val="auto"/>
          <w:sz w:val="24"/>
          <w:szCs w:val="24"/>
          <w:lang w:eastAsia="en-AU"/>
        </w:rPr>
      </w:pPr>
      <w:r w:rsidRPr="00742B66">
        <w:rPr>
          <w:rFonts w:asciiTheme="minorHAnsi" w:eastAsiaTheme="minorEastAsia" w:hAnsiTheme="minorHAnsi" w:cstheme="minorHAnsi"/>
          <w:color w:val="auto"/>
          <w:sz w:val="24"/>
          <w:szCs w:val="24"/>
          <w:lang w:eastAsia="en-AU"/>
        </w:rPr>
        <w:t>Cumulative losses to consumers in the order of $47.64 million.</w:t>
      </w:r>
    </w:p>
    <w:p w:rsidR="008577E8" w:rsidRPr="00742B66" w:rsidRDefault="008577E8" w:rsidP="00742B66">
      <w:pPr>
        <w:pStyle w:val="BodyText1"/>
        <w:spacing w:after="0"/>
        <w:rPr>
          <w:rFonts w:asciiTheme="minorHAnsi" w:eastAsiaTheme="minorEastAsia" w:hAnsiTheme="minorHAnsi" w:cstheme="minorHAnsi"/>
          <w:color w:val="auto"/>
          <w:sz w:val="24"/>
          <w:szCs w:val="24"/>
          <w:lang w:eastAsia="en-AU"/>
        </w:rPr>
      </w:pPr>
      <w:r w:rsidRPr="00742B66">
        <w:rPr>
          <w:rFonts w:asciiTheme="minorHAnsi" w:eastAsiaTheme="minorEastAsia" w:hAnsiTheme="minorHAnsi" w:cstheme="minorHAnsi"/>
          <w:color w:val="auto"/>
          <w:sz w:val="24"/>
          <w:szCs w:val="24"/>
          <w:lang w:eastAsia="en-AU"/>
        </w:rPr>
        <w:lastRenderedPageBreak/>
        <w:t xml:space="preserve">This misconduct has resulted in the imposition of fines in the order of $10 million </w:t>
      </w:r>
      <w:r w:rsidR="008D74E2" w:rsidRPr="00742B66">
        <w:rPr>
          <w:rFonts w:asciiTheme="minorHAnsi" w:eastAsiaTheme="minorEastAsia" w:hAnsiTheme="minorHAnsi" w:cstheme="minorHAnsi"/>
          <w:color w:val="auto"/>
          <w:sz w:val="24"/>
          <w:szCs w:val="24"/>
          <w:lang w:eastAsia="en-AU"/>
        </w:rPr>
        <w:t xml:space="preserve">each </w:t>
      </w:r>
      <w:r w:rsidRPr="00742B66">
        <w:rPr>
          <w:rFonts w:asciiTheme="minorHAnsi" w:eastAsiaTheme="minorEastAsia" w:hAnsiTheme="minorHAnsi" w:cstheme="minorHAnsi"/>
          <w:color w:val="auto"/>
          <w:sz w:val="24"/>
          <w:szCs w:val="24"/>
          <w:lang w:eastAsia="en-AU"/>
        </w:rPr>
        <w:t xml:space="preserve">on Telstra and Optus, with both entities admitting to misleading </w:t>
      </w:r>
      <w:r w:rsidR="00D903C5" w:rsidRPr="00742B66">
        <w:rPr>
          <w:rFonts w:asciiTheme="minorHAnsi" w:eastAsiaTheme="minorEastAsia" w:hAnsiTheme="minorHAnsi" w:cstheme="minorHAnsi"/>
          <w:color w:val="auto"/>
          <w:sz w:val="24"/>
          <w:szCs w:val="24"/>
          <w:lang w:eastAsia="en-AU"/>
        </w:rPr>
        <w:t xml:space="preserve">consumers </w:t>
      </w:r>
      <w:r w:rsidRPr="00742B66">
        <w:rPr>
          <w:rFonts w:asciiTheme="minorHAnsi" w:eastAsiaTheme="minorEastAsia" w:hAnsiTheme="minorHAnsi" w:cstheme="minorHAnsi"/>
          <w:color w:val="auto"/>
          <w:sz w:val="24"/>
          <w:szCs w:val="24"/>
          <w:lang w:eastAsia="en-AU"/>
        </w:rPr>
        <w:t xml:space="preserve">under the terms of the </w:t>
      </w:r>
      <w:r w:rsidRPr="00742B66">
        <w:rPr>
          <w:rFonts w:asciiTheme="minorHAnsi" w:eastAsiaTheme="minorEastAsia" w:hAnsiTheme="minorHAnsi" w:cstheme="minorHAnsi"/>
          <w:i/>
          <w:color w:val="auto"/>
          <w:sz w:val="24"/>
          <w:szCs w:val="24"/>
          <w:lang w:eastAsia="en-AU"/>
        </w:rPr>
        <w:t xml:space="preserve">Australian Securities and Investments Act 2001 </w:t>
      </w:r>
      <w:r w:rsidRPr="00742B66">
        <w:rPr>
          <w:rFonts w:asciiTheme="minorHAnsi" w:eastAsiaTheme="minorEastAsia" w:hAnsiTheme="minorHAnsi" w:cstheme="minorHAnsi"/>
          <w:color w:val="auto"/>
          <w:sz w:val="24"/>
          <w:szCs w:val="24"/>
          <w:lang w:eastAsia="en-AU"/>
        </w:rPr>
        <w:t>(</w:t>
      </w:r>
      <w:proofErr w:type="spellStart"/>
      <w:r w:rsidRPr="00742B66">
        <w:rPr>
          <w:rFonts w:asciiTheme="minorHAnsi" w:eastAsiaTheme="minorEastAsia" w:hAnsiTheme="minorHAnsi" w:cstheme="minorHAnsi"/>
          <w:color w:val="auto"/>
          <w:sz w:val="24"/>
          <w:szCs w:val="24"/>
          <w:lang w:eastAsia="en-AU"/>
        </w:rPr>
        <w:t>Cth</w:t>
      </w:r>
      <w:proofErr w:type="spellEnd"/>
      <w:r w:rsidRPr="00742B66">
        <w:rPr>
          <w:rFonts w:asciiTheme="minorHAnsi" w:eastAsiaTheme="minorEastAsia" w:hAnsiTheme="minorHAnsi" w:cstheme="minorHAnsi"/>
          <w:color w:val="auto"/>
          <w:sz w:val="24"/>
          <w:szCs w:val="24"/>
          <w:lang w:eastAsia="en-AU"/>
        </w:rPr>
        <w:t>).</w:t>
      </w:r>
      <w:r w:rsidRPr="00742B66">
        <w:rPr>
          <w:rStyle w:val="FootnoteReference"/>
          <w:rFonts w:asciiTheme="minorHAnsi" w:eastAsiaTheme="minorEastAsia" w:hAnsiTheme="minorHAnsi" w:cstheme="minorHAnsi"/>
          <w:color w:val="auto"/>
          <w:sz w:val="24"/>
          <w:szCs w:val="24"/>
          <w:lang w:eastAsia="en-AU"/>
        </w:rPr>
        <w:footnoteReference w:id="5"/>
      </w:r>
      <w:r w:rsidRPr="00742B66">
        <w:rPr>
          <w:rFonts w:asciiTheme="minorHAnsi" w:eastAsiaTheme="minorEastAsia" w:hAnsiTheme="minorHAnsi" w:cstheme="minorHAnsi"/>
          <w:color w:val="auto"/>
          <w:sz w:val="24"/>
          <w:szCs w:val="24"/>
          <w:lang w:eastAsia="en-AU"/>
        </w:rPr>
        <w:t xml:space="preserve"> However, despite industry offering refunds for some non-consenting charges and the imposition of fines, the loss attributable to consumers has exceeded the costs of rectification and penalties imposed on industry.</w:t>
      </w:r>
    </w:p>
    <w:p w:rsidR="00DD0AEA" w:rsidRPr="00DD0AEA" w:rsidRDefault="008577E8" w:rsidP="00DD0AEA">
      <w:pPr>
        <w:spacing w:before="100" w:beforeAutospacing="1" w:after="100" w:afterAutospacing="1" w:line="240" w:lineRule="auto"/>
        <w:jc w:val="both"/>
        <w:rPr>
          <w:rFonts w:ascii="Arial" w:eastAsia="Arial Unicode MS" w:hAnsi="Arial" w:cs="Arial"/>
          <w:sz w:val="28"/>
          <w:lang w:val="en-IE" w:eastAsia="en-AU" w:bidi="hi-IN"/>
        </w:rPr>
      </w:pPr>
      <w:r>
        <w:rPr>
          <w:rFonts w:ascii="Arial" w:eastAsia="Arial Unicode MS" w:hAnsi="Arial" w:cs="Arial"/>
          <w:sz w:val="28"/>
          <w:lang w:val="en-IE" w:eastAsia="en-AU" w:bidi="hi-IN"/>
        </w:rPr>
        <w:t>TIO statistics are useful, but do not reflect the extent of the harm</w:t>
      </w:r>
    </w:p>
    <w:p w:rsidR="00E31139" w:rsidRPr="00742B66" w:rsidRDefault="008577E8" w:rsidP="00742B66">
      <w:pPr>
        <w:pStyle w:val="BodyText1"/>
        <w:spacing w:after="0"/>
        <w:rPr>
          <w:rFonts w:asciiTheme="minorHAnsi" w:eastAsiaTheme="minorEastAsia" w:hAnsiTheme="minorHAnsi" w:cstheme="minorHAnsi"/>
          <w:color w:val="auto"/>
          <w:sz w:val="24"/>
          <w:lang w:eastAsia="en-AU"/>
        </w:rPr>
      </w:pPr>
      <w:r w:rsidRPr="00742B66">
        <w:rPr>
          <w:rFonts w:asciiTheme="minorHAnsi" w:eastAsiaTheme="minorEastAsia" w:hAnsiTheme="minorHAnsi" w:cstheme="minorHAnsi"/>
          <w:color w:val="auto"/>
          <w:sz w:val="24"/>
          <w:lang w:eastAsia="en-AU"/>
        </w:rPr>
        <w:t>Consumers face material costs when seeking to complain about telecommunications services and this has been identified as a material barrier to consumers attaining effective redress. Research undertaken with respect to third party billing services indicated that 48% of consumers will not make a formal complaint due to the charge being worth a small amount and due being time poor.</w:t>
      </w:r>
      <w:r w:rsidRPr="00742B66">
        <w:rPr>
          <w:rStyle w:val="FootnoteReference"/>
          <w:rFonts w:asciiTheme="minorHAnsi" w:eastAsiaTheme="minorEastAsia" w:hAnsiTheme="minorHAnsi" w:cstheme="minorHAnsi"/>
          <w:color w:val="auto"/>
          <w:sz w:val="24"/>
        </w:rPr>
        <w:footnoteReference w:id="6"/>
      </w:r>
    </w:p>
    <w:p w:rsidR="008577E8" w:rsidRPr="00742B66" w:rsidRDefault="008577E8" w:rsidP="00742B66">
      <w:pPr>
        <w:pStyle w:val="BodyText1"/>
        <w:spacing w:after="0"/>
        <w:rPr>
          <w:rFonts w:asciiTheme="minorHAnsi" w:eastAsiaTheme="minorEastAsia" w:hAnsiTheme="minorHAnsi" w:cstheme="minorHAnsi"/>
          <w:color w:val="auto"/>
          <w:sz w:val="24"/>
          <w:lang w:eastAsia="en-AU"/>
        </w:rPr>
      </w:pPr>
      <w:r w:rsidRPr="00742B66">
        <w:rPr>
          <w:rStyle w:val="FootnoteReference"/>
          <w:rFonts w:asciiTheme="minorHAnsi" w:eastAsiaTheme="minorEastAsia" w:hAnsiTheme="minorHAnsi" w:cstheme="minorHAnsi"/>
          <w:color w:val="auto"/>
          <w:sz w:val="24"/>
        </w:rPr>
        <w:t xml:space="preserve"> </w:t>
      </w:r>
    </w:p>
    <w:p w:rsidR="008577E8" w:rsidRPr="00742B66" w:rsidRDefault="008577E8" w:rsidP="00742B66">
      <w:pPr>
        <w:pStyle w:val="BodyText1"/>
        <w:spacing w:after="0"/>
        <w:rPr>
          <w:rFonts w:asciiTheme="minorHAnsi" w:eastAsiaTheme="minorEastAsia" w:hAnsiTheme="minorHAnsi" w:cstheme="minorHAnsi"/>
          <w:color w:val="auto"/>
          <w:sz w:val="24"/>
          <w:lang w:eastAsia="en-AU"/>
        </w:rPr>
      </w:pPr>
      <w:r w:rsidRPr="00742B66">
        <w:rPr>
          <w:rFonts w:asciiTheme="minorHAnsi" w:eastAsiaTheme="minorEastAsia" w:hAnsiTheme="minorHAnsi" w:cstheme="minorHAnsi"/>
          <w:color w:val="auto"/>
          <w:sz w:val="24"/>
          <w:lang w:eastAsia="en-AU"/>
        </w:rPr>
        <w:t xml:space="preserve">Moreover of those consumers surveyed by </w:t>
      </w:r>
      <w:proofErr w:type="spellStart"/>
      <w:r w:rsidRPr="00742B66">
        <w:rPr>
          <w:rFonts w:asciiTheme="minorHAnsi" w:eastAsiaTheme="minorEastAsia" w:hAnsiTheme="minorHAnsi" w:cstheme="minorHAnsi"/>
          <w:color w:val="auto"/>
          <w:sz w:val="24"/>
          <w:lang w:eastAsia="en-AU"/>
        </w:rPr>
        <w:t>Ipsos</w:t>
      </w:r>
      <w:proofErr w:type="spellEnd"/>
      <w:r w:rsidRPr="00742B66">
        <w:rPr>
          <w:rFonts w:asciiTheme="minorHAnsi" w:eastAsiaTheme="minorEastAsia" w:hAnsiTheme="minorHAnsi" w:cstheme="minorHAnsi"/>
          <w:color w:val="auto"/>
          <w:sz w:val="24"/>
          <w:lang w:eastAsia="en-AU"/>
        </w:rPr>
        <w:t xml:space="preserve"> only 6% contacted the Telecommunications Industry Ombudsman in order to seek redress.</w:t>
      </w:r>
      <w:r w:rsidRPr="00742B66">
        <w:rPr>
          <w:rStyle w:val="FootnoteReference"/>
          <w:rFonts w:asciiTheme="minorHAnsi" w:eastAsiaTheme="minorEastAsia" w:hAnsiTheme="minorHAnsi" w:cstheme="minorHAnsi"/>
          <w:color w:val="auto"/>
          <w:sz w:val="24"/>
        </w:rPr>
        <w:footnoteReference w:id="7"/>
      </w:r>
      <w:r w:rsidRPr="00742B66">
        <w:rPr>
          <w:rFonts w:asciiTheme="minorHAnsi" w:eastAsiaTheme="minorEastAsia" w:hAnsiTheme="minorHAnsi" w:cstheme="minorHAnsi"/>
          <w:color w:val="auto"/>
          <w:sz w:val="24"/>
          <w:lang w:eastAsia="en-AU"/>
        </w:rPr>
        <w:t xml:space="preserve"> As a consequence, the use of TIO statistics to assess the ongoing scale of this issue is fraught – noting that contacting the TIO does not necessarily entail the lodgement of a formal complaint. </w:t>
      </w:r>
    </w:p>
    <w:p w:rsidR="00E31139" w:rsidRPr="00742B66" w:rsidRDefault="00E31139" w:rsidP="00742B66">
      <w:pPr>
        <w:pStyle w:val="BodyText1"/>
        <w:spacing w:after="0"/>
        <w:rPr>
          <w:rFonts w:asciiTheme="minorHAnsi" w:eastAsiaTheme="minorEastAsia" w:hAnsiTheme="minorHAnsi" w:cstheme="minorHAnsi"/>
          <w:color w:val="auto"/>
          <w:sz w:val="24"/>
          <w:lang w:eastAsia="en-AU"/>
        </w:rPr>
      </w:pPr>
    </w:p>
    <w:p w:rsidR="008577E8" w:rsidRPr="00742B66" w:rsidRDefault="008577E8" w:rsidP="00742B66">
      <w:pPr>
        <w:pStyle w:val="BodyText1"/>
        <w:spacing w:after="0"/>
        <w:rPr>
          <w:rFonts w:asciiTheme="minorHAnsi" w:eastAsiaTheme="minorEastAsia" w:hAnsiTheme="minorHAnsi" w:cstheme="minorHAnsi"/>
          <w:color w:val="auto"/>
          <w:sz w:val="24"/>
          <w:lang w:eastAsia="en-AU"/>
        </w:rPr>
      </w:pPr>
      <w:r w:rsidRPr="00742B66">
        <w:rPr>
          <w:rFonts w:asciiTheme="minorHAnsi" w:eastAsiaTheme="minorEastAsia" w:hAnsiTheme="minorHAnsi" w:cstheme="minorHAnsi"/>
          <w:color w:val="auto"/>
          <w:sz w:val="24"/>
          <w:lang w:eastAsia="en-AU"/>
        </w:rPr>
        <w:t xml:space="preserve">Accordingly ACCAN considers that in the circumstances where consumers have strong disincentives to make formal complaints and seek redress, that it cannot be genuinely put forward that low rate of formal complaints is evidence that this issue has been resolved. Rather, it merely demonstrates that the costs that consumers face in attempting to resolve these charges exceeds what they could feasibly expect to attain in compensation. </w:t>
      </w:r>
    </w:p>
    <w:p w:rsidR="00DD0AEA" w:rsidRPr="00742B66" w:rsidRDefault="00DD0AEA" w:rsidP="00E31139">
      <w:pPr>
        <w:spacing w:after="0"/>
        <w:jc w:val="both"/>
        <w:rPr>
          <w:rFonts w:eastAsia="Arial Unicode MS" w:cstheme="minorHAnsi"/>
          <w:sz w:val="28"/>
          <w:lang w:val="en-IE" w:eastAsia="en-AU" w:bidi="hi-IN"/>
        </w:rPr>
      </w:pPr>
    </w:p>
    <w:p w:rsidR="00DD0AEA" w:rsidRPr="00742B66" w:rsidRDefault="00DD0AEA" w:rsidP="00E31139">
      <w:pPr>
        <w:spacing w:after="0"/>
        <w:jc w:val="both"/>
        <w:rPr>
          <w:rFonts w:eastAsia="Arial Unicode MS" w:cstheme="minorHAnsi"/>
          <w:sz w:val="24"/>
          <w:lang w:val="en-IE" w:eastAsia="en-AU" w:bidi="hi-IN"/>
        </w:rPr>
      </w:pPr>
    </w:p>
    <w:p w:rsidR="008577E8" w:rsidRDefault="008577E8" w:rsidP="00DD0AEA">
      <w:pPr>
        <w:spacing w:before="100" w:beforeAutospacing="1" w:after="100" w:afterAutospacing="1"/>
        <w:jc w:val="both"/>
        <w:rPr>
          <w:rFonts w:ascii="Times New Roman" w:eastAsia="Arial Unicode MS" w:hAnsi="Times New Roman" w:cs="Times New Roman"/>
          <w:sz w:val="24"/>
          <w:lang w:val="en-IE" w:eastAsia="en-AU" w:bidi="hi-IN"/>
        </w:rPr>
      </w:pPr>
    </w:p>
    <w:p w:rsidR="00E31139" w:rsidRPr="00DD0AEA" w:rsidRDefault="00E31139" w:rsidP="00DD0AEA">
      <w:pPr>
        <w:spacing w:before="100" w:beforeAutospacing="1" w:after="100" w:afterAutospacing="1"/>
        <w:jc w:val="both"/>
        <w:rPr>
          <w:rFonts w:ascii="Times New Roman" w:eastAsia="Arial Unicode MS" w:hAnsi="Times New Roman" w:cs="Times New Roman"/>
          <w:sz w:val="24"/>
          <w:lang w:val="en-IE" w:eastAsia="en-AU" w:bidi="hi-IN"/>
        </w:rPr>
      </w:pPr>
    </w:p>
    <w:p w:rsidR="00DD0AEA" w:rsidRDefault="008577E8" w:rsidP="00DD0AEA">
      <w:pPr>
        <w:spacing w:before="100" w:beforeAutospacing="1" w:after="100" w:afterAutospacing="1" w:line="240" w:lineRule="auto"/>
        <w:jc w:val="both"/>
        <w:rPr>
          <w:rFonts w:ascii="Arial" w:eastAsiaTheme="minorEastAsia" w:hAnsi="Arial" w:cs="Arial"/>
          <w:sz w:val="28"/>
          <w:szCs w:val="32"/>
          <w:lang w:val="en-AU" w:eastAsia="en-AU"/>
        </w:rPr>
      </w:pPr>
      <w:r>
        <w:rPr>
          <w:rFonts w:ascii="Arial" w:eastAsiaTheme="minorEastAsia" w:hAnsi="Arial" w:cs="Arial"/>
          <w:sz w:val="28"/>
          <w:szCs w:val="32"/>
          <w:lang w:val="en-AU" w:eastAsia="en-AU"/>
        </w:rPr>
        <w:t xml:space="preserve"> </w:t>
      </w:r>
    </w:p>
    <w:p w:rsidR="00742B66" w:rsidRPr="00DD0AEA" w:rsidRDefault="00742B66" w:rsidP="00DD0AEA">
      <w:pPr>
        <w:spacing w:before="100" w:beforeAutospacing="1" w:after="100" w:afterAutospacing="1" w:line="240" w:lineRule="auto"/>
        <w:jc w:val="both"/>
        <w:rPr>
          <w:rFonts w:ascii="Times New Roman" w:eastAsia="Arial Unicode MS" w:hAnsi="Times New Roman" w:cs="Times New Roman"/>
          <w:color w:val="FF0000"/>
          <w:lang w:val="en-IE" w:eastAsia="en-AU" w:bidi="hi-IN"/>
        </w:rPr>
      </w:pPr>
    </w:p>
    <w:p w:rsidR="008577E8" w:rsidRPr="00DD0AEA" w:rsidRDefault="008577E8" w:rsidP="00DD0AEA">
      <w:pPr>
        <w:spacing w:before="100" w:beforeAutospacing="1" w:after="100" w:afterAutospacing="1"/>
        <w:jc w:val="both"/>
        <w:rPr>
          <w:rFonts w:ascii="Times New Roman" w:eastAsiaTheme="minorEastAsia" w:hAnsi="Times New Roman" w:cs="Times New Roman"/>
          <w:sz w:val="24"/>
          <w:lang w:val="en-AU" w:eastAsia="en-AU"/>
        </w:rPr>
      </w:pPr>
    </w:p>
    <w:p w:rsidR="00DD0AEA" w:rsidRDefault="005B272D" w:rsidP="00DD0AEA">
      <w:pPr>
        <w:spacing w:before="100" w:beforeAutospacing="1" w:after="100" w:afterAutospacing="1" w:line="240" w:lineRule="auto"/>
        <w:jc w:val="both"/>
        <w:rPr>
          <w:rFonts w:ascii="Arial" w:eastAsiaTheme="minorEastAsia" w:hAnsi="Arial" w:cs="Arial"/>
          <w:b/>
          <w:sz w:val="32"/>
          <w:szCs w:val="32"/>
          <w:lang w:val="en-AU" w:eastAsia="en-AU"/>
        </w:rPr>
      </w:pPr>
      <w:r>
        <w:rPr>
          <w:rFonts w:ascii="Arial" w:eastAsiaTheme="minorEastAsia" w:hAnsi="Arial" w:cs="Arial"/>
          <w:b/>
          <w:sz w:val="32"/>
          <w:szCs w:val="32"/>
          <w:lang w:val="en-AU" w:eastAsia="en-AU"/>
        </w:rPr>
        <w:lastRenderedPageBreak/>
        <w:t>The case for additional safeguards</w:t>
      </w:r>
    </w:p>
    <w:p w:rsidR="005B272D" w:rsidRPr="00742B66" w:rsidRDefault="005B272D" w:rsidP="00742B66">
      <w:pPr>
        <w:pStyle w:val="BodyText1"/>
        <w:rPr>
          <w:rFonts w:asciiTheme="minorHAnsi" w:eastAsiaTheme="minorEastAsia" w:hAnsiTheme="minorHAnsi" w:cstheme="minorHAnsi"/>
          <w:color w:val="auto"/>
          <w:sz w:val="24"/>
          <w:szCs w:val="24"/>
          <w:lang w:eastAsia="en-AU"/>
        </w:rPr>
      </w:pPr>
      <w:r w:rsidRPr="00742B66">
        <w:rPr>
          <w:rFonts w:asciiTheme="minorHAnsi" w:eastAsiaTheme="minorEastAsia" w:hAnsiTheme="minorHAnsi" w:cstheme="minorHAnsi"/>
          <w:color w:val="auto"/>
          <w:sz w:val="24"/>
          <w:szCs w:val="24"/>
          <w:lang w:eastAsia="en-AU"/>
        </w:rPr>
        <w:t xml:space="preserve">Telecommunications service providers have been able to generate considerable revenue and profit from the sale of mobile premium services. As a sector the mobile premium services sector has generated revenues in the order of $397 million in the period since 2012, and profits of at least $127.5 million based on the figures provided to the court by Telstra and Optus. </w:t>
      </w:r>
    </w:p>
    <w:p w:rsidR="00272011" w:rsidRPr="00742B66" w:rsidRDefault="00F3787D" w:rsidP="00742B66">
      <w:pPr>
        <w:pStyle w:val="BodyText1"/>
        <w:rPr>
          <w:rFonts w:asciiTheme="minorHAnsi" w:eastAsiaTheme="minorEastAsia" w:hAnsiTheme="minorHAnsi" w:cstheme="minorHAnsi"/>
          <w:color w:val="auto"/>
          <w:sz w:val="24"/>
          <w:szCs w:val="24"/>
          <w:lang w:eastAsia="en-AU"/>
        </w:rPr>
      </w:pPr>
      <w:r w:rsidRPr="00742B66">
        <w:rPr>
          <w:rFonts w:asciiTheme="minorHAnsi" w:eastAsiaTheme="minorEastAsia" w:hAnsiTheme="minorHAnsi" w:cstheme="minorHAnsi"/>
          <w:color w:val="auto"/>
          <w:sz w:val="24"/>
          <w:szCs w:val="24"/>
          <w:lang w:eastAsia="en-AU"/>
        </w:rPr>
        <w:t xml:space="preserve">Since 2012 there have been numerous instances where industry participants have demonstrated that the financial incentives to </w:t>
      </w:r>
      <w:proofErr w:type="spellStart"/>
      <w:r w:rsidRPr="00742B66">
        <w:rPr>
          <w:rFonts w:asciiTheme="minorHAnsi" w:eastAsiaTheme="minorEastAsia" w:hAnsiTheme="minorHAnsi" w:cstheme="minorHAnsi"/>
          <w:color w:val="auto"/>
          <w:sz w:val="24"/>
          <w:szCs w:val="24"/>
          <w:lang w:eastAsia="en-AU"/>
        </w:rPr>
        <w:t>mis</w:t>
      </w:r>
      <w:proofErr w:type="spellEnd"/>
      <w:r w:rsidRPr="00742B66">
        <w:rPr>
          <w:rFonts w:asciiTheme="minorHAnsi" w:eastAsiaTheme="minorEastAsia" w:hAnsiTheme="minorHAnsi" w:cstheme="minorHAnsi"/>
          <w:color w:val="auto"/>
          <w:sz w:val="24"/>
          <w:szCs w:val="24"/>
          <w:lang w:eastAsia="en-AU"/>
        </w:rPr>
        <w:t xml:space="preserve">-sell mobile premium services have </w:t>
      </w:r>
      <w:r w:rsidR="00577600" w:rsidRPr="00742B66">
        <w:rPr>
          <w:rFonts w:asciiTheme="minorHAnsi" w:eastAsiaTheme="minorEastAsia" w:hAnsiTheme="minorHAnsi" w:cstheme="minorHAnsi"/>
          <w:color w:val="auto"/>
          <w:sz w:val="24"/>
          <w:szCs w:val="24"/>
          <w:lang w:eastAsia="en-AU"/>
        </w:rPr>
        <w:t>outweighed consideration of customer interests.</w:t>
      </w:r>
      <w:r w:rsidR="00272011" w:rsidRPr="00742B66">
        <w:rPr>
          <w:rFonts w:asciiTheme="minorHAnsi" w:eastAsiaTheme="minorEastAsia" w:hAnsiTheme="minorHAnsi" w:cstheme="minorHAnsi"/>
          <w:color w:val="auto"/>
          <w:sz w:val="24"/>
          <w:szCs w:val="24"/>
          <w:lang w:eastAsia="en-AU"/>
        </w:rPr>
        <w:t xml:space="preserve"> As a significant source of revenue and profitability for these service providers it is reasonable to believe that there are ongoing incentives for firms to continue to seek to sell these services to maximise their profitability. </w:t>
      </w:r>
    </w:p>
    <w:p w:rsidR="00272011" w:rsidRPr="00742B66" w:rsidRDefault="00272011" w:rsidP="00742B66">
      <w:pPr>
        <w:pStyle w:val="BodyText1"/>
        <w:rPr>
          <w:rFonts w:asciiTheme="minorHAnsi" w:eastAsiaTheme="minorEastAsia" w:hAnsiTheme="minorHAnsi" w:cstheme="minorHAnsi"/>
          <w:color w:val="auto"/>
          <w:sz w:val="24"/>
          <w:szCs w:val="24"/>
          <w:lang w:eastAsia="en-AU"/>
        </w:rPr>
      </w:pPr>
      <w:r w:rsidRPr="00742B66">
        <w:rPr>
          <w:rFonts w:asciiTheme="minorHAnsi" w:eastAsiaTheme="minorEastAsia" w:hAnsiTheme="minorHAnsi" w:cstheme="minorHAnsi"/>
          <w:color w:val="auto"/>
          <w:sz w:val="24"/>
          <w:szCs w:val="24"/>
          <w:lang w:eastAsia="en-AU"/>
        </w:rPr>
        <w:t>During this period the case for deregulation of these services had been made, on the basis of good conduct on the part of industry. In 2014, the ACMA noted that improvements in the conduct with respect to the sale of mobile premium services were grounds for a less restrictive regulatory approach.</w:t>
      </w:r>
      <w:r w:rsidRPr="00742B66">
        <w:rPr>
          <w:rStyle w:val="FootnoteReference"/>
          <w:rFonts w:asciiTheme="minorHAnsi" w:eastAsiaTheme="minorEastAsia" w:hAnsiTheme="minorHAnsi" w:cstheme="minorHAnsi"/>
          <w:color w:val="auto"/>
          <w:sz w:val="24"/>
          <w:szCs w:val="24"/>
          <w:lang w:eastAsia="en-AU"/>
        </w:rPr>
        <w:footnoteReference w:id="8"/>
      </w:r>
      <w:r w:rsidRPr="00742B66">
        <w:rPr>
          <w:rFonts w:asciiTheme="minorHAnsi" w:eastAsiaTheme="minorEastAsia" w:hAnsiTheme="minorHAnsi" w:cstheme="minorHAnsi"/>
          <w:color w:val="auto"/>
          <w:sz w:val="24"/>
          <w:szCs w:val="24"/>
          <w:lang w:eastAsia="en-AU"/>
        </w:rPr>
        <w:t xml:space="preserve"> </w:t>
      </w:r>
    </w:p>
    <w:p w:rsidR="00272011" w:rsidRPr="00742B66" w:rsidRDefault="00272011" w:rsidP="00742B66">
      <w:pPr>
        <w:pStyle w:val="BodyText1"/>
        <w:rPr>
          <w:rFonts w:asciiTheme="minorHAnsi" w:eastAsiaTheme="minorEastAsia" w:hAnsiTheme="minorHAnsi" w:cstheme="minorHAnsi"/>
          <w:color w:val="auto"/>
          <w:sz w:val="24"/>
          <w:szCs w:val="24"/>
          <w:lang w:eastAsia="en-AU"/>
        </w:rPr>
      </w:pPr>
      <w:r w:rsidRPr="00742B66">
        <w:rPr>
          <w:rFonts w:asciiTheme="minorHAnsi" w:eastAsiaTheme="minorEastAsia" w:hAnsiTheme="minorHAnsi" w:cstheme="minorHAnsi"/>
          <w:color w:val="auto"/>
          <w:sz w:val="24"/>
          <w:szCs w:val="24"/>
          <w:lang w:eastAsia="en-AU"/>
        </w:rPr>
        <w:t xml:space="preserve">However at the </w:t>
      </w:r>
      <w:r w:rsidR="00B954AC" w:rsidRPr="00742B66">
        <w:rPr>
          <w:rFonts w:asciiTheme="minorHAnsi" w:eastAsiaTheme="minorEastAsia" w:hAnsiTheme="minorHAnsi" w:cstheme="minorHAnsi"/>
          <w:color w:val="auto"/>
          <w:sz w:val="24"/>
          <w:szCs w:val="24"/>
          <w:lang w:eastAsia="en-AU"/>
        </w:rPr>
        <w:t>same time certain</w:t>
      </w:r>
      <w:r w:rsidRPr="00742B66">
        <w:rPr>
          <w:rFonts w:asciiTheme="minorHAnsi" w:eastAsiaTheme="minorEastAsia" w:hAnsiTheme="minorHAnsi" w:cstheme="minorHAnsi"/>
          <w:color w:val="auto"/>
          <w:sz w:val="24"/>
          <w:szCs w:val="24"/>
          <w:lang w:eastAsia="en-AU"/>
        </w:rPr>
        <w:t xml:space="preserve"> industry participants were engaging in conduct in contravention of the </w:t>
      </w:r>
      <w:r w:rsidRPr="00742B66">
        <w:rPr>
          <w:rFonts w:asciiTheme="minorHAnsi" w:eastAsiaTheme="minorEastAsia" w:hAnsiTheme="minorHAnsi" w:cstheme="minorHAnsi"/>
          <w:i/>
          <w:color w:val="auto"/>
          <w:sz w:val="24"/>
          <w:szCs w:val="24"/>
          <w:lang w:eastAsia="en-AU"/>
        </w:rPr>
        <w:t xml:space="preserve">ASIC Act 2001 </w:t>
      </w:r>
      <w:r w:rsidRPr="00742B66">
        <w:rPr>
          <w:rFonts w:asciiTheme="minorHAnsi" w:eastAsiaTheme="minorEastAsia" w:hAnsiTheme="minorHAnsi" w:cstheme="minorHAnsi"/>
          <w:color w:val="auto"/>
          <w:sz w:val="24"/>
          <w:szCs w:val="24"/>
          <w:lang w:eastAsia="en-AU"/>
        </w:rPr>
        <w:t>(</w:t>
      </w:r>
      <w:proofErr w:type="spellStart"/>
      <w:r w:rsidRPr="00742B66">
        <w:rPr>
          <w:rFonts w:asciiTheme="minorHAnsi" w:eastAsiaTheme="minorEastAsia" w:hAnsiTheme="minorHAnsi" w:cstheme="minorHAnsi"/>
          <w:color w:val="auto"/>
          <w:sz w:val="24"/>
          <w:szCs w:val="24"/>
          <w:lang w:eastAsia="en-AU"/>
        </w:rPr>
        <w:t>Cth</w:t>
      </w:r>
      <w:proofErr w:type="spellEnd"/>
      <w:r w:rsidRPr="00742B66">
        <w:rPr>
          <w:rFonts w:asciiTheme="minorHAnsi" w:eastAsiaTheme="minorEastAsia" w:hAnsiTheme="minorHAnsi" w:cstheme="minorHAnsi"/>
          <w:color w:val="auto"/>
          <w:sz w:val="24"/>
          <w:szCs w:val="24"/>
          <w:lang w:eastAsia="en-AU"/>
        </w:rPr>
        <w:t xml:space="preserve">) with respect to Direct Carrier Billing services. </w:t>
      </w:r>
      <w:r w:rsidR="00B954AC" w:rsidRPr="00742B66">
        <w:rPr>
          <w:rFonts w:asciiTheme="minorHAnsi" w:eastAsiaTheme="minorEastAsia" w:hAnsiTheme="minorHAnsi" w:cstheme="minorHAnsi"/>
          <w:color w:val="auto"/>
          <w:sz w:val="24"/>
          <w:szCs w:val="24"/>
          <w:lang w:eastAsia="en-AU"/>
        </w:rPr>
        <w:t>T</w:t>
      </w:r>
      <w:r w:rsidR="0013390F" w:rsidRPr="00742B66">
        <w:rPr>
          <w:rFonts w:asciiTheme="minorHAnsi" w:eastAsiaTheme="minorEastAsia" w:hAnsiTheme="minorHAnsi" w:cstheme="minorHAnsi"/>
          <w:color w:val="auto"/>
          <w:sz w:val="24"/>
          <w:szCs w:val="24"/>
          <w:lang w:eastAsia="en-AU"/>
        </w:rPr>
        <w:t xml:space="preserve">his situation was made worse by the failure of the then Code to capture new forms of third-party billing arrangements. </w:t>
      </w:r>
    </w:p>
    <w:p w:rsidR="00272011" w:rsidRPr="00742B66" w:rsidRDefault="00272011" w:rsidP="00742B66">
      <w:pPr>
        <w:pStyle w:val="BodyText1"/>
        <w:rPr>
          <w:rFonts w:asciiTheme="minorHAnsi" w:eastAsiaTheme="minorEastAsia" w:hAnsiTheme="minorHAnsi" w:cstheme="minorHAnsi"/>
          <w:color w:val="auto"/>
          <w:sz w:val="24"/>
          <w:szCs w:val="24"/>
          <w:lang w:eastAsia="en-AU"/>
        </w:rPr>
      </w:pPr>
      <w:r w:rsidRPr="00742B66">
        <w:rPr>
          <w:rFonts w:asciiTheme="minorHAnsi" w:eastAsiaTheme="minorEastAsia" w:hAnsiTheme="minorHAnsi" w:cstheme="minorHAnsi"/>
          <w:color w:val="auto"/>
          <w:sz w:val="24"/>
          <w:szCs w:val="24"/>
          <w:lang w:eastAsia="en-AU"/>
        </w:rPr>
        <w:t>In the absence of comprehensive and enduring safeguards that reflect the incentives for industry to re-name or redefine third-party channels to obviate the intent of the Code</w:t>
      </w:r>
      <w:r w:rsidR="008D74E2" w:rsidRPr="00742B66">
        <w:rPr>
          <w:rFonts w:asciiTheme="minorHAnsi" w:eastAsiaTheme="minorEastAsia" w:hAnsiTheme="minorHAnsi" w:cstheme="minorHAnsi"/>
          <w:color w:val="auto"/>
          <w:sz w:val="24"/>
          <w:szCs w:val="24"/>
          <w:lang w:eastAsia="en-AU"/>
        </w:rPr>
        <w:t>,</w:t>
      </w:r>
      <w:r w:rsidRPr="00742B66">
        <w:rPr>
          <w:rFonts w:asciiTheme="minorHAnsi" w:eastAsiaTheme="minorEastAsia" w:hAnsiTheme="minorHAnsi" w:cstheme="minorHAnsi"/>
          <w:color w:val="auto"/>
          <w:sz w:val="24"/>
          <w:szCs w:val="24"/>
          <w:lang w:eastAsia="en-AU"/>
        </w:rPr>
        <w:t xml:space="preserve"> it is foreseeable that consumers will continue to face harm. Moreover, it is evident that some industry participants have the risk appetite to engage in conduct of questionable legality </w:t>
      </w:r>
      <w:r w:rsidR="008D74E2" w:rsidRPr="00742B66">
        <w:rPr>
          <w:rFonts w:asciiTheme="minorHAnsi" w:eastAsiaTheme="minorEastAsia" w:hAnsiTheme="minorHAnsi" w:cstheme="minorHAnsi"/>
          <w:color w:val="auto"/>
          <w:sz w:val="24"/>
          <w:szCs w:val="24"/>
          <w:lang w:eastAsia="en-AU"/>
        </w:rPr>
        <w:t>with</w:t>
      </w:r>
      <w:r w:rsidRPr="00742B66">
        <w:rPr>
          <w:rFonts w:asciiTheme="minorHAnsi" w:eastAsiaTheme="minorEastAsia" w:hAnsiTheme="minorHAnsi" w:cstheme="minorHAnsi"/>
          <w:color w:val="auto"/>
          <w:sz w:val="24"/>
          <w:szCs w:val="24"/>
          <w:lang w:eastAsia="en-AU"/>
        </w:rPr>
        <w:t xml:space="preserve"> the view that such conduct is unlikely to elicit penalties in excess of the profit to be made.</w:t>
      </w:r>
    </w:p>
    <w:p w:rsidR="0013390F" w:rsidRPr="00742B66" w:rsidRDefault="0013390F" w:rsidP="00742B66">
      <w:pPr>
        <w:pStyle w:val="BodyText1"/>
        <w:rPr>
          <w:rFonts w:asciiTheme="minorHAnsi" w:eastAsiaTheme="minorEastAsia" w:hAnsiTheme="minorHAnsi" w:cstheme="minorHAnsi"/>
          <w:color w:val="auto"/>
          <w:sz w:val="24"/>
          <w:szCs w:val="24"/>
          <w:lang w:eastAsia="en-AU"/>
        </w:rPr>
      </w:pPr>
      <w:r w:rsidRPr="00742B66">
        <w:rPr>
          <w:rFonts w:asciiTheme="minorHAnsi" w:eastAsiaTheme="minorEastAsia" w:hAnsiTheme="minorHAnsi" w:cstheme="minorHAnsi"/>
          <w:color w:val="auto"/>
          <w:sz w:val="24"/>
          <w:szCs w:val="24"/>
          <w:lang w:eastAsia="en-AU"/>
        </w:rPr>
        <w:t xml:space="preserve">It should not be the case that regulatory frameworks, whether co-regulatory, self-regulatory or command-and-control </w:t>
      </w:r>
      <w:r w:rsidR="006C234A" w:rsidRPr="00742B66">
        <w:rPr>
          <w:rFonts w:asciiTheme="minorHAnsi" w:eastAsiaTheme="minorEastAsia" w:hAnsiTheme="minorHAnsi" w:cstheme="minorHAnsi"/>
          <w:color w:val="auto"/>
          <w:sz w:val="24"/>
          <w:szCs w:val="24"/>
          <w:lang w:eastAsia="en-AU"/>
        </w:rPr>
        <w:t>create a circumstance where the imposition of penalties is considered the cost of doing business. Industry</w:t>
      </w:r>
      <w:r w:rsidR="00C462BA" w:rsidRPr="00742B66">
        <w:rPr>
          <w:rFonts w:asciiTheme="minorHAnsi" w:eastAsiaTheme="minorEastAsia" w:hAnsiTheme="minorHAnsi" w:cstheme="minorHAnsi"/>
          <w:color w:val="auto"/>
          <w:sz w:val="24"/>
          <w:szCs w:val="24"/>
          <w:lang w:eastAsia="en-AU"/>
        </w:rPr>
        <w:t>,</w:t>
      </w:r>
      <w:r w:rsidR="006C234A" w:rsidRPr="00742B66">
        <w:rPr>
          <w:rFonts w:asciiTheme="minorHAnsi" w:eastAsiaTheme="minorEastAsia" w:hAnsiTheme="minorHAnsi" w:cstheme="minorHAnsi"/>
          <w:color w:val="auto"/>
          <w:sz w:val="24"/>
          <w:szCs w:val="24"/>
          <w:lang w:eastAsia="en-AU"/>
        </w:rPr>
        <w:t xml:space="preserve"> through the Code process</w:t>
      </w:r>
      <w:r w:rsidR="00C462BA" w:rsidRPr="00742B66">
        <w:rPr>
          <w:rFonts w:asciiTheme="minorHAnsi" w:eastAsiaTheme="minorEastAsia" w:hAnsiTheme="minorHAnsi" w:cstheme="minorHAnsi"/>
          <w:color w:val="auto"/>
          <w:sz w:val="24"/>
          <w:szCs w:val="24"/>
          <w:lang w:eastAsia="en-AU"/>
        </w:rPr>
        <w:t>,</w:t>
      </w:r>
      <w:r w:rsidR="006C234A" w:rsidRPr="00742B66">
        <w:rPr>
          <w:rFonts w:asciiTheme="minorHAnsi" w:eastAsiaTheme="minorEastAsia" w:hAnsiTheme="minorHAnsi" w:cstheme="minorHAnsi"/>
          <w:color w:val="auto"/>
          <w:sz w:val="24"/>
          <w:szCs w:val="24"/>
          <w:lang w:eastAsia="en-AU"/>
        </w:rPr>
        <w:t xml:space="preserve"> has the ability to demonstrate its rejection of this attitude and commit itself to comprehensive safeguards for consumers to preclude the repetition of the outcomes that have been </w:t>
      </w:r>
      <w:r w:rsidR="00C462BA" w:rsidRPr="00742B66">
        <w:rPr>
          <w:rFonts w:asciiTheme="minorHAnsi" w:eastAsiaTheme="minorEastAsia" w:hAnsiTheme="minorHAnsi" w:cstheme="minorHAnsi"/>
          <w:color w:val="auto"/>
          <w:sz w:val="24"/>
          <w:szCs w:val="24"/>
          <w:lang w:eastAsia="en-AU"/>
        </w:rPr>
        <w:t>experienced</w:t>
      </w:r>
      <w:r w:rsidR="006C234A" w:rsidRPr="00742B66">
        <w:rPr>
          <w:rFonts w:asciiTheme="minorHAnsi" w:eastAsiaTheme="minorEastAsia" w:hAnsiTheme="minorHAnsi" w:cstheme="minorHAnsi"/>
          <w:color w:val="auto"/>
          <w:sz w:val="24"/>
          <w:szCs w:val="24"/>
          <w:lang w:eastAsia="en-AU"/>
        </w:rPr>
        <w:t xml:space="preserve"> with respect to mobile premium services. </w:t>
      </w:r>
    </w:p>
    <w:p w:rsidR="005B272D" w:rsidRPr="00742B66" w:rsidRDefault="0013390F" w:rsidP="00742B66">
      <w:pPr>
        <w:pStyle w:val="BodyText1"/>
        <w:rPr>
          <w:color w:val="auto"/>
          <w:lang w:eastAsia="en-AU" w:bidi="hi-IN"/>
        </w:rPr>
      </w:pPr>
      <w:r w:rsidRPr="00742B66">
        <w:rPr>
          <w:rFonts w:asciiTheme="minorHAnsi" w:eastAsiaTheme="minorEastAsia" w:hAnsiTheme="minorHAnsi" w:cstheme="minorHAnsi"/>
          <w:color w:val="auto"/>
          <w:sz w:val="24"/>
          <w:szCs w:val="24"/>
          <w:lang w:eastAsia="en-AU"/>
        </w:rPr>
        <w:t xml:space="preserve">Without the creation of additional safeguards, the risk to consumers associated with existing services and new services will remain material. </w:t>
      </w:r>
      <w:r w:rsidR="006C234A" w:rsidRPr="00742B66">
        <w:rPr>
          <w:rFonts w:asciiTheme="minorHAnsi" w:eastAsiaTheme="minorEastAsia" w:hAnsiTheme="minorHAnsi" w:cstheme="minorHAnsi"/>
          <w:color w:val="auto"/>
          <w:sz w:val="24"/>
          <w:szCs w:val="24"/>
          <w:lang w:eastAsia="en-AU"/>
        </w:rPr>
        <w:t xml:space="preserve">Moreover, the legitimacy of the </w:t>
      </w:r>
      <w:r w:rsidR="006B45A1" w:rsidRPr="00742B66">
        <w:rPr>
          <w:rFonts w:asciiTheme="minorHAnsi" w:eastAsiaTheme="minorEastAsia" w:hAnsiTheme="minorHAnsi" w:cstheme="minorHAnsi"/>
          <w:color w:val="auto"/>
          <w:sz w:val="24"/>
          <w:szCs w:val="24"/>
          <w:lang w:eastAsia="en-AU"/>
        </w:rPr>
        <w:t>co-regulatory Code making process may itself be questioned should ongoing harm continue to occur.</w:t>
      </w:r>
    </w:p>
    <w:p w:rsidR="00DD0AEA" w:rsidRPr="00DD0AEA" w:rsidRDefault="008577E8" w:rsidP="00DD0AEA">
      <w:pPr>
        <w:keepNext/>
        <w:keepLines/>
        <w:pageBreakBefore/>
        <w:suppressAutoHyphens/>
        <w:spacing w:after="0" w:line="240" w:lineRule="auto"/>
        <w:jc w:val="both"/>
        <w:outlineLvl w:val="0"/>
        <w:rPr>
          <w:rFonts w:ascii="Calibri" w:eastAsia="Arial Unicode MS" w:hAnsi="Calibri" w:cs="font331"/>
          <w:bCs/>
          <w:kern w:val="1"/>
          <w:sz w:val="44"/>
          <w:szCs w:val="28"/>
          <w:lang w:val="en-IE" w:eastAsia="hi-IN" w:bidi="hi-IN"/>
        </w:rPr>
      </w:pPr>
      <w:bookmarkStart w:id="3" w:name="_Toc8638261"/>
      <w:r>
        <w:rPr>
          <w:rFonts w:ascii="Calibri" w:eastAsia="Arial Unicode MS" w:hAnsi="Calibri" w:cs="font331"/>
          <w:bCs/>
          <w:kern w:val="1"/>
          <w:sz w:val="44"/>
          <w:szCs w:val="28"/>
          <w:lang w:val="en-IE" w:eastAsia="hi-IN" w:bidi="hi-IN"/>
        </w:rPr>
        <w:lastRenderedPageBreak/>
        <w:t>Drafting issues</w:t>
      </w:r>
      <w:bookmarkEnd w:id="3"/>
    </w:p>
    <w:p w:rsidR="00AE0305" w:rsidRDefault="00AE0305" w:rsidP="00AE0305">
      <w:pPr>
        <w:pStyle w:val="BodyText1"/>
        <w:spacing w:after="0"/>
        <w:rPr>
          <w:rFonts w:asciiTheme="minorHAnsi" w:eastAsiaTheme="minorEastAsia" w:hAnsiTheme="minorHAnsi" w:cstheme="minorHAnsi"/>
          <w:color w:val="auto"/>
          <w:lang w:eastAsia="en-AU"/>
        </w:rPr>
      </w:pPr>
    </w:p>
    <w:p w:rsidR="00AE0305" w:rsidRPr="00742B66" w:rsidRDefault="00AE0305" w:rsidP="00742B66">
      <w:pPr>
        <w:pStyle w:val="BodyText1"/>
        <w:rPr>
          <w:rFonts w:asciiTheme="minorHAnsi" w:eastAsiaTheme="minorEastAsia" w:hAnsiTheme="minorHAnsi" w:cstheme="minorHAnsi"/>
          <w:color w:val="auto"/>
          <w:sz w:val="24"/>
          <w:lang w:eastAsia="en-AU"/>
        </w:rPr>
      </w:pPr>
      <w:r w:rsidRPr="00742B66">
        <w:rPr>
          <w:rFonts w:asciiTheme="minorHAnsi" w:eastAsiaTheme="minorEastAsia" w:hAnsiTheme="minorHAnsi" w:cstheme="minorHAnsi"/>
          <w:color w:val="auto"/>
          <w:sz w:val="24"/>
          <w:lang w:eastAsia="en-AU"/>
        </w:rPr>
        <w:t xml:space="preserve">The drafting of the Code should seek to address the status quo, and put in place sound incentives for future conduct. ACCAN is concerned that the proposed scope of key protections within the Code will fail to capture the vast majority of customers, and therefore fail to have their intended effect. </w:t>
      </w:r>
    </w:p>
    <w:p w:rsidR="006D1C3B" w:rsidRPr="00DD0AEA" w:rsidRDefault="006D1C3B" w:rsidP="006D1C3B">
      <w:pPr>
        <w:spacing w:before="100" w:beforeAutospacing="1" w:after="100" w:afterAutospacing="1" w:line="240" w:lineRule="auto"/>
        <w:jc w:val="both"/>
        <w:rPr>
          <w:rFonts w:ascii="Times New Roman" w:eastAsia="Arial Unicode MS" w:hAnsi="Times New Roman" w:cs="Times New Roman"/>
          <w:b/>
          <w:color w:val="FF0000"/>
          <w:sz w:val="24"/>
          <w:lang w:val="en-IE" w:eastAsia="en-AU" w:bidi="hi-IN"/>
        </w:rPr>
      </w:pPr>
      <w:r>
        <w:rPr>
          <w:rFonts w:ascii="Arial" w:eastAsiaTheme="minorEastAsia" w:hAnsi="Arial" w:cs="Arial"/>
          <w:b/>
          <w:sz w:val="32"/>
          <w:szCs w:val="32"/>
          <w:lang w:val="en-AU" w:eastAsia="en-AU"/>
        </w:rPr>
        <w:t>Mobile Premium Services not just Premium Services 4.1</w:t>
      </w:r>
    </w:p>
    <w:p w:rsidR="006D1C3B" w:rsidRPr="00742B66" w:rsidRDefault="006D1C3B" w:rsidP="00742B66">
      <w:pPr>
        <w:pStyle w:val="BodyText1"/>
        <w:rPr>
          <w:rFonts w:asciiTheme="minorHAnsi" w:eastAsiaTheme="minorEastAsia" w:hAnsiTheme="minorHAnsi" w:cstheme="minorHAnsi"/>
          <w:color w:val="auto"/>
          <w:sz w:val="24"/>
          <w:lang w:eastAsia="en-AU"/>
        </w:rPr>
      </w:pPr>
      <w:r w:rsidRPr="00742B66">
        <w:rPr>
          <w:rFonts w:asciiTheme="minorHAnsi" w:eastAsiaTheme="minorEastAsia" w:hAnsiTheme="minorHAnsi" w:cstheme="minorHAnsi"/>
          <w:color w:val="auto"/>
          <w:sz w:val="24"/>
          <w:lang w:eastAsia="en-AU"/>
        </w:rPr>
        <w:t xml:space="preserve">The Code appears to have a drafting error or inconsistency between its intended scope set out at 4.1 and the table set out at p. 27 of the draft Code which indicates that the rules are to apply to Mobile Premium Services which are defined to include: </w:t>
      </w:r>
    </w:p>
    <w:p w:rsidR="006D1C3B" w:rsidRPr="00742B66" w:rsidRDefault="006D1C3B" w:rsidP="006D1C3B">
      <w:pPr>
        <w:pStyle w:val="BodyText1"/>
        <w:jc w:val="both"/>
        <w:rPr>
          <w:rFonts w:asciiTheme="minorHAnsi" w:eastAsiaTheme="minorEastAsia" w:hAnsiTheme="minorHAnsi" w:cstheme="minorHAnsi"/>
          <w:color w:val="auto"/>
          <w:sz w:val="24"/>
          <w:lang w:eastAsia="en-AU"/>
        </w:rPr>
      </w:pPr>
      <w:r w:rsidRPr="00742B66">
        <w:rPr>
          <w:rFonts w:asciiTheme="minorHAnsi" w:eastAsiaTheme="minorEastAsia" w:hAnsiTheme="minorHAnsi" w:cstheme="minorHAnsi"/>
          <w:color w:val="auto"/>
          <w:sz w:val="24"/>
          <w:lang w:eastAsia="en-AU"/>
        </w:rPr>
        <w:tab/>
      </w:r>
      <w:r w:rsidRPr="00742B66">
        <w:rPr>
          <w:rFonts w:asciiTheme="minorHAnsi" w:eastAsiaTheme="minorEastAsia" w:hAnsiTheme="minorHAnsi" w:cstheme="minorHAnsi"/>
          <w:b/>
          <w:color w:val="auto"/>
          <w:sz w:val="24"/>
          <w:lang w:eastAsia="en-AU"/>
        </w:rPr>
        <w:t xml:space="preserve">Mobile Premium Service </w:t>
      </w:r>
      <w:r w:rsidRPr="00742B66">
        <w:rPr>
          <w:rFonts w:asciiTheme="minorHAnsi" w:eastAsiaTheme="minorEastAsia" w:hAnsiTheme="minorHAnsi" w:cstheme="minorHAnsi"/>
          <w:color w:val="auto"/>
          <w:sz w:val="24"/>
          <w:lang w:eastAsia="en-AU"/>
        </w:rPr>
        <w:t xml:space="preserve">means: </w:t>
      </w:r>
    </w:p>
    <w:p w:rsidR="006D1C3B" w:rsidRPr="00742B66" w:rsidRDefault="006D1C3B" w:rsidP="006D1C3B">
      <w:pPr>
        <w:pStyle w:val="BodyText1"/>
        <w:numPr>
          <w:ilvl w:val="0"/>
          <w:numId w:val="47"/>
        </w:numPr>
        <w:jc w:val="both"/>
        <w:rPr>
          <w:rFonts w:asciiTheme="minorHAnsi" w:eastAsiaTheme="minorEastAsia" w:hAnsiTheme="minorHAnsi" w:cstheme="minorHAnsi"/>
          <w:color w:val="auto"/>
          <w:sz w:val="24"/>
          <w:lang w:eastAsia="en-AU"/>
        </w:rPr>
      </w:pPr>
      <w:r w:rsidRPr="00742B66">
        <w:rPr>
          <w:rFonts w:asciiTheme="minorHAnsi" w:eastAsiaTheme="minorEastAsia" w:hAnsiTheme="minorHAnsi" w:cstheme="minorHAnsi"/>
          <w:color w:val="auto"/>
          <w:sz w:val="24"/>
          <w:lang w:eastAsia="en-AU"/>
        </w:rPr>
        <w:t>a Premium Messaging Service</w:t>
      </w:r>
    </w:p>
    <w:p w:rsidR="006D1C3B" w:rsidRPr="00742B66" w:rsidRDefault="006D1C3B" w:rsidP="006D1C3B">
      <w:pPr>
        <w:pStyle w:val="BodyText1"/>
        <w:numPr>
          <w:ilvl w:val="0"/>
          <w:numId w:val="47"/>
        </w:numPr>
        <w:jc w:val="both"/>
        <w:rPr>
          <w:rFonts w:asciiTheme="minorHAnsi" w:eastAsiaTheme="minorEastAsia" w:hAnsiTheme="minorHAnsi" w:cstheme="minorHAnsi"/>
          <w:color w:val="auto"/>
          <w:sz w:val="24"/>
          <w:lang w:eastAsia="en-AU"/>
        </w:rPr>
      </w:pPr>
      <w:r w:rsidRPr="00742B66">
        <w:rPr>
          <w:rFonts w:asciiTheme="minorHAnsi" w:eastAsiaTheme="minorEastAsia" w:hAnsiTheme="minorHAnsi" w:cstheme="minorHAnsi"/>
          <w:color w:val="auto"/>
          <w:sz w:val="24"/>
          <w:lang w:eastAsia="en-AU"/>
        </w:rPr>
        <w:t xml:space="preserve">a Premium Direct Billing Service; and </w:t>
      </w:r>
    </w:p>
    <w:p w:rsidR="006D1C3B" w:rsidRPr="00742B66" w:rsidRDefault="006D1C3B" w:rsidP="006D1C3B">
      <w:pPr>
        <w:pStyle w:val="BodyText1"/>
        <w:numPr>
          <w:ilvl w:val="0"/>
          <w:numId w:val="47"/>
        </w:numPr>
        <w:jc w:val="both"/>
        <w:rPr>
          <w:rFonts w:asciiTheme="minorHAnsi" w:eastAsiaTheme="minorEastAsia" w:hAnsiTheme="minorHAnsi" w:cstheme="minorHAnsi"/>
          <w:color w:val="auto"/>
          <w:sz w:val="24"/>
          <w:lang w:eastAsia="en-AU"/>
        </w:rPr>
      </w:pPr>
      <w:proofErr w:type="gramStart"/>
      <w:r w:rsidRPr="00742B66">
        <w:rPr>
          <w:rFonts w:asciiTheme="minorHAnsi" w:eastAsiaTheme="minorEastAsia" w:hAnsiTheme="minorHAnsi" w:cstheme="minorHAnsi"/>
          <w:color w:val="auto"/>
          <w:sz w:val="24"/>
          <w:lang w:eastAsia="en-AU"/>
        </w:rPr>
        <w:t>a</w:t>
      </w:r>
      <w:proofErr w:type="gramEnd"/>
      <w:r w:rsidRPr="00742B66">
        <w:rPr>
          <w:rFonts w:asciiTheme="minorHAnsi" w:eastAsiaTheme="minorEastAsia" w:hAnsiTheme="minorHAnsi" w:cstheme="minorHAnsi"/>
          <w:color w:val="auto"/>
          <w:sz w:val="24"/>
          <w:lang w:eastAsia="en-AU"/>
        </w:rPr>
        <w:t xml:space="preserve"> Proprietary Network Service.</w:t>
      </w:r>
    </w:p>
    <w:p w:rsidR="006D1C3B" w:rsidRPr="00742B66" w:rsidRDefault="006D1C3B" w:rsidP="00742B66">
      <w:pPr>
        <w:pStyle w:val="BodyText1"/>
        <w:rPr>
          <w:rFonts w:asciiTheme="minorHAnsi" w:eastAsiaTheme="minorEastAsia" w:hAnsiTheme="minorHAnsi" w:cstheme="minorHAnsi"/>
          <w:color w:val="auto"/>
          <w:sz w:val="24"/>
          <w:lang w:eastAsia="en-AU"/>
        </w:rPr>
      </w:pPr>
      <w:r w:rsidRPr="00742B66">
        <w:rPr>
          <w:rFonts w:asciiTheme="minorHAnsi" w:eastAsiaTheme="minorEastAsia" w:hAnsiTheme="minorHAnsi" w:cstheme="minorHAnsi"/>
          <w:color w:val="auto"/>
          <w:sz w:val="24"/>
          <w:lang w:eastAsia="en-AU"/>
        </w:rPr>
        <w:t xml:space="preserve">However, ACCAN notes that the drafting of the new rules including 4.1.12 and 4.1.13 refer to Premium Services which is defined as: </w:t>
      </w:r>
    </w:p>
    <w:p w:rsidR="006D1C3B" w:rsidRPr="00742B66" w:rsidRDefault="006D1C3B" w:rsidP="00742B66">
      <w:pPr>
        <w:pStyle w:val="BodyText1"/>
        <w:ind w:left="720"/>
        <w:rPr>
          <w:rFonts w:asciiTheme="minorHAnsi" w:eastAsiaTheme="minorEastAsia" w:hAnsiTheme="minorHAnsi" w:cstheme="minorHAnsi"/>
          <w:color w:val="auto"/>
          <w:sz w:val="24"/>
          <w:lang w:eastAsia="en-AU"/>
        </w:rPr>
      </w:pPr>
      <w:r w:rsidRPr="00742B66">
        <w:rPr>
          <w:rFonts w:asciiTheme="minorHAnsi" w:eastAsiaTheme="minorEastAsia" w:hAnsiTheme="minorHAnsi" w:cstheme="minorHAnsi"/>
          <w:b/>
          <w:color w:val="auto"/>
          <w:sz w:val="24"/>
          <w:lang w:eastAsia="en-AU"/>
        </w:rPr>
        <w:t xml:space="preserve">Premium Service </w:t>
      </w:r>
      <w:r w:rsidRPr="00742B66">
        <w:rPr>
          <w:rFonts w:asciiTheme="minorHAnsi" w:eastAsiaTheme="minorEastAsia" w:hAnsiTheme="minorHAnsi" w:cstheme="minorHAnsi"/>
          <w:color w:val="auto"/>
          <w:sz w:val="24"/>
          <w:lang w:eastAsia="en-AU"/>
        </w:rPr>
        <w:t xml:space="preserve">means a Premium Messaging Service or a Premium Direct Billing Service and includes either or both a Subscription or a Single Purchase Service. </w:t>
      </w:r>
    </w:p>
    <w:p w:rsidR="006D1C3B" w:rsidRPr="00742B66" w:rsidRDefault="006D1C3B" w:rsidP="00742B66">
      <w:pPr>
        <w:pStyle w:val="BodyText1"/>
        <w:rPr>
          <w:rFonts w:asciiTheme="minorHAnsi" w:eastAsiaTheme="minorEastAsia" w:hAnsiTheme="minorHAnsi" w:cstheme="minorHAnsi"/>
          <w:color w:val="auto"/>
          <w:sz w:val="24"/>
          <w:lang w:eastAsia="en-AU"/>
        </w:rPr>
      </w:pPr>
      <w:r w:rsidRPr="00742B66">
        <w:rPr>
          <w:rFonts w:asciiTheme="minorHAnsi" w:eastAsiaTheme="minorEastAsia" w:hAnsiTheme="minorHAnsi" w:cstheme="minorHAnsi"/>
          <w:color w:val="auto"/>
          <w:sz w:val="24"/>
          <w:lang w:eastAsia="en-AU"/>
        </w:rPr>
        <w:t xml:space="preserve">The result of the use of this definition is that the Code excludes the application of the protections set out at </w:t>
      </w:r>
      <w:r w:rsidRPr="00742B66">
        <w:rPr>
          <w:rFonts w:asciiTheme="minorHAnsi" w:eastAsiaTheme="minorEastAsia" w:hAnsiTheme="minorHAnsi" w:cstheme="minorHAnsi"/>
          <w:b/>
          <w:color w:val="auto"/>
          <w:sz w:val="24"/>
          <w:lang w:eastAsia="en-AU"/>
        </w:rPr>
        <w:t xml:space="preserve">4.1.12 </w:t>
      </w:r>
      <w:r w:rsidRPr="00742B66">
        <w:rPr>
          <w:rFonts w:asciiTheme="minorHAnsi" w:eastAsiaTheme="minorEastAsia" w:hAnsiTheme="minorHAnsi" w:cstheme="minorHAnsi"/>
          <w:color w:val="auto"/>
          <w:sz w:val="24"/>
          <w:lang w:eastAsia="en-AU"/>
        </w:rPr>
        <w:t xml:space="preserve">and </w:t>
      </w:r>
      <w:r w:rsidRPr="00742B66">
        <w:rPr>
          <w:rFonts w:asciiTheme="minorHAnsi" w:eastAsiaTheme="minorEastAsia" w:hAnsiTheme="minorHAnsi" w:cstheme="minorHAnsi"/>
          <w:b/>
          <w:color w:val="auto"/>
          <w:sz w:val="24"/>
          <w:lang w:eastAsia="en-AU"/>
        </w:rPr>
        <w:t>4.1.13</w:t>
      </w:r>
      <w:r w:rsidRPr="00742B66">
        <w:rPr>
          <w:rFonts w:asciiTheme="minorHAnsi" w:eastAsiaTheme="minorEastAsia" w:hAnsiTheme="minorHAnsi" w:cstheme="minorHAnsi"/>
          <w:color w:val="auto"/>
          <w:sz w:val="24"/>
          <w:lang w:eastAsia="en-AU"/>
        </w:rPr>
        <w:t xml:space="preserve"> to Proprietary Network Services. This drafting appears to be in error given the inconsistency with the summary table provided at page 27 of the Code. This table indicates that rules </w:t>
      </w:r>
      <w:r w:rsidRPr="00742B66">
        <w:rPr>
          <w:rFonts w:asciiTheme="minorHAnsi" w:eastAsiaTheme="minorEastAsia" w:hAnsiTheme="minorHAnsi" w:cstheme="minorHAnsi"/>
          <w:b/>
          <w:color w:val="auto"/>
          <w:sz w:val="24"/>
          <w:lang w:eastAsia="en-AU"/>
        </w:rPr>
        <w:t>4.1.12</w:t>
      </w:r>
      <w:r w:rsidRPr="00742B66">
        <w:rPr>
          <w:rFonts w:asciiTheme="minorHAnsi" w:eastAsiaTheme="minorEastAsia" w:hAnsiTheme="minorHAnsi" w:cstheme="minorHAnsi"/>
          <w:color w:val="auto"/>
          <w:sz w:val="24"/>
          <w:lang w:eastAsia="en-AU"/>
        </w:rPr>
        <w:t xml:space="preserve"> and </w:t>
      </w:r>
      <w:r w:rsidRPr="00742B66">
        <w:rPr>
          <w:rFonts w:asciiTheme="minorHAnsi" w:eastAsiaTheme="minorEastAsia" w:hAnsiTheme="minorHAnsi" w:cstheme="minorHAnsi"/>
          <w:b/>
          <w:color w:val="auto"/>
          <w:sz w:val="24"/>
          <w:lang w:eastAsia="en-AU"/>
        </w:rPr>
        <w:t>4.1.13</w:t>
      </w:r>
      <w:r w:rsidRPr="00742B66">
        <w:rPr>
          <w:rFonts w:asciiTheme="minorHAnsi" w:eastAsiaTheme="minorEastAsia" w:hAnsiTheme="minorHAnsi" w:cstheme="minorHAnsi"/>
          <w:color w:val="auto"/>
          <w:sz w:val="24"/>
          <w:lang w:eastAsia="en-AU"/>
        </w:rPr>
        <w:t xml:space="preserve"> are to apply to Proprietary Network Services in addition to the other services identified in the table.</w:t>
      </w:r>
    </w:p>
    <w:p w:rsidR="006D1C3B" w:rsidRPr="00742B66" w:rsidRDefault="006D1C3B" w:rsidP="00742B66">
      <w:pPr>
        <w:pStyle w:val="BodyText1"/>
        <w:rPr>
          <w:rFonts w:asciiTheme="minorHAnsi" w:eastAsiaTheme="minorEastAsia" w:hAnsiTheme="minorHAnsi" w:cstheme="minorHAnsi"/>
          <w:color w:val="auto"/>
          <w:sz w:val="24"/>
          <w:lang w:eastAsia="en-AU"/>
        </w:rPr>
      </w:pPr>
      <w:r w:rsidRPr="00742B66">
        <w:rPr>
          <w:rFonts w:asciiTheme="minorHAnsi" w:eastAsiaTheme="minorEastAsia" w:hAnsiTheme="minorHAnsi" w:cstheme="minorHAnsi"/>
          <w:color w:val="auto"/>
          <w:sz w:val="24"/>
          <w:lang w:eastAsia="en-AU"/>
        </w:rPr>
        <w:t xml:space="preserve">In rectifying this drafting there is also opportunity for more explicit inclusion of Proprietary Network Services in provisions </w:t>
      </w:r>
      <w:r w:rsidRPr="00742B66">
        <w:rPr>
          <w:rFonts w:asciiTheme="minorHAnsi" w:eastAsiaTheme="minorEastAsia" w:hAnsiTheme="minorHAnsi" w:cstheme="minorHAnsi"/>
          <w:b/>
          <w:color w:val="auto"/>
          <w:sz w:val="24"/>
          <w:lang w:eastAsia="en-AU"/>
        </w:rPr>
        <w:t xml:space="preserve">4.1.12, 4.1.13 </w:t>
      </w:r>
      <w:r w:rsidRPr="00742B66">
        <w:rPr>
          <w:rFonts w:asciiTheme="minorHAnsi" w:eastAsiaTheme="minorEastAsia" w:hAnsiTheme="minorHAnsi" w:cstheme="minorHAnsi"/>
          <w:color w:val="auto"/>
          <w:sz w:val="24"/>
          <w:lang w:eastAsia="en-AU"/>
        </w:rPr>
        <w:t xml:space="preserve">and </w:t>
      </w:r>
      <w:r w:rsidRPr="00742B66">
        <w:rPr>
          <w:rFonts w:asciiTheme="minorHAnsi" w:eastAsiaTheme="minorEastAsia" w:hAnsiTheme="minorHAnsi" w:cstheme="minorHAnsi"/>
          <w:b/>
          <w:color w:val="auto"/>
          <w:sz w:val="24"/>
          <w:lang w:eastAsia="en-AU"/>
        </w:rPr>
        <w:t>4.3.4</w:t>
      </w:r>
      <w:r w:rsidRPr="00742B66">
        <w:rPr>
          <w:rFonts w:asciiTheme="minorHAnsi" w:eastAsiaTheme="minorEastAsia" w:hAnsiTheme="minorHAnsi" w:cstheme="minorHAnsi"/>
          <w:color w:val="auto"/>
          <w:sz w:val="24"/>
          <w:lang w:eastAsia="en-AU"/>
        </w:rPr>
        <w:t>. As the issues that apply to Proprietary Network Services are consistent with the issues that apply more broadly to Mobile Premium Services, ACCAN believes that there is ground for uniform treatment of these services.</w:t>
      </w:r>
    </w:p>
    <w:p w:rsidR="006D1C3B" w:rsidRPr="00742B66" w:rsidRDefault="006D1C3B" w:rsidP="00742B66">
      <w:pPr>
        <w:pStyle w:val="BodyText1"/>
        <w:rPr>
          <w:rFonts w:asciiTheme="minorHAnsi" w:eastAsiaTheme="minorEastAsia" w:hAnsiTheme="minorHAnsi" w:cstheme="minorHAnsi"/>
          <w:color w:val="auto"/>
          <w:sz w:val="24"/>
          <w:lang w:eastAsia="en-AU"/>
        </w:rPr>
      </w:pPr>
      <w:r w:rsidRPr="00742B66">
        <w:rPr>
          <w:rFonts w:asciiTheme="minorHAnsi" w:eastAsiaTheme="minorEastAsia" w:hAnsiTheme="minorHAnsi" w:cstheme="minorHAnsi"/>
          <w:color w:val="auto"/>
          <w:sz w:val="24"/>
          <w:lang w:eastAsia="en-AU"/>
        </w:rPr>
        <w:t xml:space="preserve">ACCAN has received a series of reports that the use of Proprietary Network Services in remote communities has been a considerable source of loss for consumers. Problems of inadequate information concerning how these services operate and the charges that these services entail have consistently been referred to ACCAN. </w:t>
      </w:r>
    </w:p>
    <w:p w:rsidR="006D1C3B" w:rsidRPr="00742B66" w:rsidRDefault="006D1C3B" w:rsidP="00742B66">
      <w:pPr>
        <w:pStyle w:val="BodyText1"/>
        <w:rPr>
          <w:rFonts w:asciiTheme="minorHAnsi" w:eastAsiaTheme="minorEastAsia" w:hAnsiTheme="minorHAnsi" w:cstheme="minorHAnsi"/>
          <w:color w:val="auto"/>
          <w:sz w:val="24"/>
          <w:lang w:eastAsia="en-AU"/>
        </w:rPr>
      </w:pPr>
      <w:r w:rsidRPr="00742B66">
        <w:rPr>
          <w:rFonts w:asciiTheme="minorHAnsi" w:eastAsiaTheme="minorEastAsia" w:hAnsiTheme="minorHAnsi" w:cstheme="minorHAnsi"/>
          <w:color w:val="auto"/>
          <w:sz w:val="24"/>
          <w:lang w:eastAsia="en-AU"/>
        </w:rPr>
        <w:lastRenderedPageBreak/>
        <w:t xml:space="preserve">For individuals residing in remote and regional Australia, continued access to their mobile service is their connection and lifeline to the rest of their community. The potential for individuals on low incomes to lose access to essential communications services as a result of inadvertent purchase of expensive mobile premium services is of material concern to ACCAN. </w:t>
      </w:r>
    </w:p>
    <w:p w:rsidR="006D1C3B" w:rsidRPr="00DD0AEA" w:rsidRDefault="006D1C3B" w:rsidP="006D1C3B">
      <w:pPr>
        <w:spacing w:before="100" w:beforeAutospacing="1" w:after="100" w:afterAutospacing="1" w:line="240" w:lineRule="auto"/>
        <w:jc w:val="both"/>
        <w:rPr>
          <w:rFonts w:ascii="Times New Roman" w:eastAsia="Arial Unicode MS" w:hAnsi="Times New Roman" w:cs="Times New Roman"/>
          <w:b/>
          <w:color w:val="FF0000"/>
          <w:sz w:val="24"/>
          <w:lang w:val="en-IE" w:eastAsia="en-AU" w:bidi="hi-IN"/>
        </w:rPr>
      </w:pPr>
      <w:r>
        <w:rPr>
          <w:rFonts w:ascii="Arial" w:eastAsiaTheme="minorEastAsia" w:hAnsi="Arial" w:cs="Arial"/>
          <w:b/>
          <w:sz w:val="32"/>
          <w:szCs w:val="32"/>
          <w:lang w:val="en-AU" w:eastAsia="en-AU"/>
        </w:rPr>
        <w:t>Barring of Services: 4.1.12</w:t>
      </w:r>
    </w:p>
    <w:p w:rsidR="006D1C3B" w:rsidRPr="00742B66" w:rsidRDefault="006D1C3B" w:rsidP="00742B66">
      <w:pPr>
        <w:pStyle w:val="BodyText1"/>
        <w:rPr>
          <w:rFonts w:asciiTheme="minorHAnsi" w:eastAsiaTheme="minorEastAsia" w:hAnsiTheme="minorHAnsi" w:cstheme="minorHAnsi"/>
          <w:color w:val="auto"/>
          <w:sz w:val="24"/>
          <w:lang w:eastAsia="en-AU"/>
        </w:rPr>
      </w:pPr>
      <w:r w:rsidRPr="00742B66">
        <w:rPr>
          <w:rFonts w:asciiTheme="minorHAnsi" w:eastAsiaTheme="minorEastAsia" w:hAnsiTheme="minorHAnsi" w:cstheme="minorHAnsi"/>
          <w:color w:val="auto"/>
          <w:sz w:val="24"/>
          <w:lang w:eastAsia="en-AU"/>
        </w:rPr>
        <w:t xml:space="preserve">Rule </w:t>
      </w:r>
      <w:r w:rsidRPr="00742B66">
        <w:rPr>
          <w:rFonts w:asciiTheme="minorHAnsi" w:eastAsiaTheme="minorEastAsia" w:hAnsiTheme="minorHAnsi" w:cstheme="minorHAnsi"/>
          <w:b/>
          <w:color w:val="auto"/>
          <w:sz w:val="24"/>
          <w:lang w:eastAsia="en-AU"/>
        </w:rPr>
        <w:t xml:space="preserve">4.1.12 </w:t>
      </w:r>
      <w:r w:rsidRPr="00742B66">
        <w:rPr>
          <w:rFonts w:asciiTheme="minorHAnsi" w:eastAsiaTheme="minorEastAsia" w:hAnsiTheme="minorHAnsi" w:cstheme="minorHAnsi"/>
          <w:color w:val="auto"/>
          <w:sz w:val="24"/>
          <w:lang w:eastAsia="en-AU"/>
        </w:rPr>
        <w:t xml:space="preserve">of the draft Code provides that End Carriage Suppliers, Aggregators and Content Suppliers must provide information on the availability of barring when a customer makes an </w:t>
      </w:r>
      <w:r w:rsidRPr="00742B66">
        <w:rPr>
          <w:rFonts w:asciiTheme="minorHAnsi" w:eastAsiaTheme="minorEastAsia" w:hAnsiTheme="minorHAnsi" w:cstheme="minorHAnsi"/>
          <w:i/>
          <w:color w:val="auto"/>
          <w:sz w:val="24"/>
          <w:lang w:eastAsia="en-AU"/>
        </w:rPr>
        <w:t>inquiry</w:t>
      </w:r>
      <w:r w:rsidRPr="00742B66">
        <w:rPr>
          <w:rFonts w:asciiTheme="minorHAnsi" w:eastAsiaTheme="minorEastAsia" w:hAnsiTheme="minorHAnsi" w:cstheme="minorHAnsi"/>
          <w:color w:val="auto"/>
          <w:sz w:val="24"/>
          <w:lang w:eastAsia="en-AU"/>
        </w:rPr>
        <w:t xml:space="preserve"> about premium services. </w:t>
      </w:r>
    </w:p>
    <w:p w:rsidR="006D1C3B" w:rsidRPr="00742B66" w:rsidRDefault="006D1C3B" w:rsidP="00742B66">
      <w:pPr>
        <w:pStyle w:val="BodyText1"/>
        <w:rPr>
          <w:rFonts w:asciiTheme="minorHAnsi" w:eastAsiaTheme="minorEastAsia" w:hAnsiTheme="minorHAnsi" w:cstheme="minorHAnsi"/>
          <w:color w:val="auto"/>
          <w:sz w:val="24"/>
          <w:lang w:eastAsia="en-AU"/>
        </w:rPr>
      </w:pPr>
      <w:r w:rsidRPr="00742B66">
        <w:rPr>
          <w:rFonts w:asciiTheme="minorHAnsi" w:eastAsiaTheme="minorEastAsia" w:hAnsiTheme="minorHAnsi" w:cstheme="minorHAnsi"/>
          <w:color w:val="auto"/>
          <w:sz w:val="24"/>
          <w:lang w:eastAsia="en-AU"/>
        </w:rPr>
        <w:t xml:space="preserve">ACCAN considers that the customers should not be required to make an </w:t>
      </w:r>
      <w:r w:rsidRPr="00742B66">
        <w:rPr>
          <w:rFonts w:asciiTheme="minorHAnsi" w:eastAsiaTheme="minorEastAsia" w:hAnsiTheme="minorHAnsi" w:cstheme="minorHAnsi"/>
          <w:i/>
          <w:color w:val="auto"/>
          <w:sz w:val="24"/>
          <w:lang w:eastAsia="en-AU"/>
        </w:rPr>
        <w:t>inquiry</w:t>
      </w:r>
      <w:r w:rsidRPr="00742B66">
        <w:rPr>
          <w:rFonts w:asciiTheme="minorHAnsi" w:eastAsiaTheme="minorEastAsia" w:hAnsiTheme="minorHAnsi" w:cstheme="minorHAnsi"/>
          <w:color w:val="auto"/>
          <w:sz w:val="24"/>
          <w:lang w:eastAsia="en-AU"/>
        </w:rPr>
        <w:t xml:space="preserve"> in order to be provided with information concerning the barring of premium services. Approximately half of all consumers are not aware that they can make third party purchases via their mobile phone accounts.</w:t>
      </w:r>
      <w:r w:rsidRPr="00742B66">
        <w:rPr>
          <w:rStyle w:val="FootnoteReference"/>
          <w:rFonts w:asciiTheme="minorHAnsi" w:eastAsiaTheme="minorEastAsia" w:hAnsiTheme="minorHAnsi" w:cstheme="minorHAnsi"/>
          <w:color w:val="auto"/>
          <w:sz w:val="24"/>
          <w:lang w:eastAsia="en-AU"/>
        </w:rPr>
        <w:footnoteReference w:id="9"/>
      </w:r>
      <w:r w:rsidRPr="00742B66">
        <w:rPr>
          <w:rFonts w:asciiTheme="minorHAnsi" w:eastAsiaTheme="minorEastAsia" w:hAnsiTheme="minorHAnsi" w:cstheme="minorHAnsi"/>
          <w:color w:val="auto"/>
          <w:sz w:val="24"/>
          <w:lang w:eastAsia="en-AU"/>
        </w:rPr>
        <w:t xml:space="preserve"> Accordingly it is unlikely that consumers will be inclined to make an inquiry and therefore trigger the operation of the rule.</w:t>
      </w:r>
    </w:p>
    <w:p w:rsidR="006D1C3B" w:rsidRPr="00DD0AEA" w:rsidRDefault="006D1C3B" w:rsidP="006D1C3B">
      <w:pPr>
        <w:spacing w:before="100" w:beforeAutospacing="1" w:after="100" w:afterAutospacing="1" w:line="240" w:lineRule="auto"/>
        <w:jc w:val="both"/>
        <w:rPr>
          <w:rFonts w:ascii="Times New Roman" w:eastAsia="Arial Unicode MS" w:hAnsi="Times New Roman" w:cs="Times New Roman"/>
          <w:b/>
          <w:color w:val="FF0000"/>
          <w:sz w:val="24"/>
          <w:lang w:val="en-IE" w:eastAsia="en-AU" w:bidi="hi-IN"/>
        </w:rPr>
      </w:pPr>
      <w:r>
        <w:rPr>
          <w:rFonts w:ascii="Arial" w:eastAsiaTheme="minorEastAsia" w:hAnsi="Arial" w:cs="Arial"/>
          <w:b/>
          <w:sz w:val="32"/>
          <w:szCs w:val="32"/>
          <w:lang w:val="en-AU" w:eastAsia="en-AU"/>
        </w:rPr>
        <w:t>Recommended Drafting</w:t>
      </w:r>
    </w:p>
    <w:p w:rsidR="006D1C3B" w:rsidRPr="00742B66" w:rsidRDefault="006D1C3B" w:rsidP="006D1C3B">
      <w:pPr>
        <w:pStyle w:val="BodyText1"/>
        <w:jc w:val="both"/>
        <w:rPr>
          <w:rFonts w:asciiTheme="minorHAnsi" w:eastAsiaTheme="minorEastAsia" w:hAnsiTheme="minorHAnsi" w:cstheme="minorHAnsi"/>
          <w:color w:val="auto"/>
          <w:sz w:val="24"/>
          <w:szCs w:val="24"/>
          <w:lang w:eastAsia="en-AU"/>
        </w:rPr>
      </w:pPr>
      <w:r w:rsidRPr="00742B66">
        <w:rPr>
          <w:rFonts w:asciiTheme="minorHAnsi" w:eastAsiaTheme="minorEastAsia" w:hAnsiTheme="minorHAnsi" w:cstheme="minorHAnsi"/>
          <w:color w:val="auto"/>
          <w:sz w:val="24"/>
          <w:szCs w:val="24"/>
          <w:lang w:eastAsia="en-AU"/>
        </w:rPr>
        <w:t xml:space="preserve">ACCAN considers that the operation of rule </w:t>
      </w:r>
      <w:r w:rsidRPr="00742B66">
        <w:rPr>
          <w:rFonts w:asciiTheme="minorHAnsi" w:eastAsiaTheme="minorEastAsia" w:hAnsiTheme="minorHAnsi" w:cstheme="minorHAnsi"/>
          <w:b/>
          <w:color w:val="auto"/>
          <w:sz w:val="24"/>
          <w:szCs w:val="24"/>
          <w:lang w:eastAsia="en-AU"/>
        </w:rPr>
        <w:t xml:space="preserve">4.1.12 </w:t>
      </w:r>
      <w:r w:rsidRPr="00742B66">
        <w:rPr>
          <w:rFonts w:asciiTheme="minorHAnsi" w:eastAsiaTheme="minorEastAsia" w:hAnsiTheme="minorHAnsi" w:cstheme="minorHAnsi"/>
          <w:color w:val="auto"/>
          <w:sz w:val="24"/>
          <w:szCs w:val="24"/>
          <w:lang w:eastAsia="en-AU"/>
        </w:rPr>
        <w:t xml:space="preserve">may be enhanced by redrafting it as follows: </w:t>
      </w:r>
    </w:p>
    <w:p w:rsidR="006D1C3B" w:rsidRPr="00742B66" w:rsidRDefault="006D1C3B" w:rsidP="00131724">
      <w:pPr>
        <w:pStyle w:val="BodyText1"/>
        <w:ind w:left="360"/>
        <w:rPr>
          <w:rFonts w:asciiTheme="minorHAnsi" w:eastAsiaTheme="minorEastAsia" w:hAnsiTheme="minorHAnsi" w:cstheme="minorHAnsi"/>
          <w:i/>
          <w:color w:val="auto"/>
          <w:sz w:val="24"/>
          <w:szCs w:val="24"/>
          <w:lang w:eastAsia="en-AU"/>
        </w:rPr>
      </w:pPr>
      <w:r w:rsidRPr="00742B66">
        <w:rPr>
          <w:rFonts w:asciiTheme="minorHAnsi" w:eastAsiaTheme="minorEastAsia" w:hAnsiTheme="minorHAnsi" w:cstheme="minorHAnsi"/>
          <w:i/>
          <w:color w:val="auto"/>
          <w:sz w:val="24"/>
          <w:szCs w:val="24"/>
          <w:lang w:eastAsia="en-AU"/>
        </w:rPr>
        <w:t xml:space="preserve">Barring: End Carriage Suppliers, Aggregators and Content Suppliers must provide information on the availability of barring </w:t>
      </w:r>
      <w:r w:rsidRPr="00742B66">
        <w:rPr>
          <w:rFonts w:asciiTheme="minorHAnsi" w:eastAsiaTheme="minorEastAsia" w:hAnsiTheme="minorHAnsi" w:cstheme="minorHAnsi"/>
          <w:i/>
          <w:color w:val="00B0F0"/>
          <w:sz w:val="24"/>
          <w:szCs w:val="24"/>
          <w:lang w:eastAsia="en-AU"/>
        </w:rPr>
        <w:t xml:space="preserve">prior to the sale of a service, at the point of sale of a service and </w:t>
      </w:r>
      <w:r w:rsidRPr="00742B66">
        <w:rPr>
          <w:rFonts w:asciiTheme="minorHAnsi" w:eastAsiaTheme="minorEastAsia" w:hAnsiTheme="minorHAnsi" w:cstheme="minorHAnsi"/>
          <w:i/>
          <w:color w:val="auto"/>
          <w:sz w:val="24"/>
          <w:szCs w:val="24"/>
          <w:lang w:eastAsia="en-AU"/>
        </w:rPr>
        <w:t xml:space="preserve">when a Customer makes an inquiry about </w:t>
      </w:r>
      <w:r w:rsidRPr="00742B66">
        <w:rPr>
          <w:rFonts w:asciiTheme="minorHAnsi" w:eastAsiaTheme="minorEastAsia" w:hAnsiTheme="minorHAnsi" w:cstheme="minorHAnsi"/>
          <w:i/>
          <w:color w:val="00B0F0"/>
          <w:sz w:val="24"/>
          <w:szCs w:val="24"/>
          <w:lang w:eastAsia="en-AU"/>
        </w:rPr>
        <w:t xml:space="preserve">Mobile </w:t>
      </w:r>
      <w:r w:rsidRPr="00742B66">
        <w:rPr>
          <w:rFonts w:asciiTheme="minorHAnsi" w:eastAsiaTheme="minorEastAsia" w:hAnsiTheme="minorHAnsi" w:cstheme="minorHAnsi"/>
          <w:i/>
          <w:color w:val="auto"/>
          <w:sz w:val="24"/>
          <w:szCs w:val="24"/>
          <w:lang w:eastAsia="en-AU"/>
        </w:rPr>
        <w:t>Premium Services. This information must include:</w:t>
      </w:r>
    </w:p>
    <w:p w:rsidR="006D1C3B" w:rsidRPr="00742B66" w:rsidRDefault="006D1C3B" w:rsidP="00131724">
      <w:pPr>
        <w:pStyle w:val="BodyText1"/>
        <w:numPr>
          <w:ilvl w:val="0"/>
          <w:numId w:val="48"/>
        </w:numPr>
        <w:ind w:left="1080"/>
        <w:rPr>
          <w:rFonts w:asciiTheme="minorHAnsi" w:eastAsiaTheme="minorEastAsia" w:hAnsiTheme="minorHAnsi" w:cstheme="minorHAnsi"/>
          <w:i/>
          <w:color w:val="auto"/>
          <w:sz w:val="24"/>
          <w:szCs w:val="24"/>
          <w:lang w:eastAsia="en-AU"/>
        </w:rPr>
      </w:pPr>
      <w:r w:rsidRPr="00742B66">
        <w:rPr>
          <w:rFonts w:asciiTheme="minorHAnsi" w:eastAsiaTheme="minorEastAsia" w:hAnsiTheme="minorHAnsi" w:cstheme="minorHAnsi"/>
          <w:i/>
          <w:color w:val="auto"/>
          <w:sz w:val="24"/>
          <w:szCs w:val="24"/>
          <w:lang w:eastAsia="en-AU"/>
        </w:rPr>
        <w:t>A description of what</w:t>
      </w:r>
      <w:r w:rsidRPr="00742B66">
        <w:rPr>
          <w:rFonts w:asciiTheme="minorHAnsi" w:eastAsiaTheme="minorEastAsia" w:hAnsiTheme="minorHAnsi" w:cstheme="minorHAnsi"/>
          <w:i/>
          <w:color w:val="00B0F0"/>
          <w:sz w:val="24"/>
          <w:szCs w:val="24"/>
          <w:lang w:eastAsia="en-AU"/>
        </w:rPr>
        <w:t xml:space="preserve"> Mobile</w:t>
      </w:r>
      <w:r w:rsidRPr="00742B66">
        <w:rPr>
          <w:rFonts w:asciiTheme="minorHAnsi" w:eastAsiaTheme="minorEastAsia" w:hAnsiTheme="minorHAnsi" w:cstheme="minorHAnsi"/>
          <w:i/>
          <w:color w:val="auto"/>
          <w:sz w:val="24"/>
          <w:szCs w:val="24"/>
          <w:lang w:eastAsia="en-AU"/>
        </w:rPr>
        <w:t xml:space="preserve"> Premium Services are and how charges for them are incurred;</w:t>
      </w:r>
    </w:p>
    <w:p w:rsidR="006D1C3B" w:rsidRPr="00742B66" w:rsidRDefault="006D1C3B" w:rsidP="00131724">
      <w:pPr>
        <w:pStyle w:val="BodyText1"/>
        <w:numPr>
          <w:ilvl w:val="0"/>
          <w:numId w:val="48"/>
        </w:numPr>
        <w:ind w:left="1080"/>
        <w:rPr>
          <w:rFonts w:asciiTheme="minorHAnsi" w:eastAsiaTheme="minorEastAsia" w:hAnsiTheme="minorHAnsi" w:cstheme="minorHAnsi"/>
          <w:i/>
          <w:color w:val="auto"/>
          <w:sz w:val="24"/>
          <w:szCs w:val="24"/>
          <w:lang w:eastAsia="en-AU"/>
        </w:rPr>
      </w:pPr>
      <w:r w:rsidRPr="00742B66">
        <w:rPr>
          <w:rFonts w:asciiTheme="minorHAnsi" w:eastAsiaTheme="minorEastAsia" w:hAnsiTheme="minorHAnsi" w:cstheme="minorHAnsi"/>
          <w:i/>
          <w:color w:val="auto"/>
          <w:sz w:val="24"/>
          <w:szCs w:val="24"/>
          <w:lang w:eastAsia="en-AU"/>
        </w:rPr>
        <w:t>Confirmation that there is no charge for activating barring of</w:t>
      </w:r>
      <w:r w:rsidRPr="00742B66">
        <w:rPr>
          <w:rFonts w:asciiTheme="minorHAnsi" w:eastAsiaTheme="minorEastAsia" w:hAnsiTheme="minorHAnsi" w:cstheme="minorHAnsi"/>
          <w:i/>
          <w:color w:val="00B0F0"/>
          <w:sz w:val="24"/>
          <w:szCs w:val="24"/>
          <w:lang w:eastAsia="en-AU"/>
        </w:rPr>
        <w:t xml:space="preserve"> Mobile</w:t>
      </w:r>
      <w:r w:rsidRPr="00742B66">
        <w:rPr>
          <w:rFonts w:asciiTheme="minorHAnsi" w:eastAsiaTheme="minorEastAsia" w:hAnsiTheme="minorHAnsi" w:cstheme="minorHAnsi"/>
          <w:i/>
          <w:color w:val="auto"/>
          <w:sz w:val="24"/>
          <w:szCs w:val="24"/>
          <w:lang w:eastAsia="en-AU"/>
        </w:rPr>
        <w:t xml:space="preserve"> Premium Services: and</w:t>
      </w:r>
    </w:p>
    <w:p w:rsidR="006D1C3B" w:rsidRPr="00742B66" w:rsidRDefault="006D1C3B" w:rsidP="00131724">
      <w:pPr>
        <w:pStyle w:val="BodyText1"/>
        <w:numPr>
          <w:ilvl w:val="0"/>
          <w:numId w:val="48"/>
        </w:numPr>
        <w:ind w:left="1080"/>
        <w:rPr>
          <w:rFonts w:asciiTheme="minorHAnsi" w:eastAsiaTheme="minorEastAsia" w:hAnsiTheme="minorHAnsi" w:cstheme="minorHAnsi"/>
          <w:i/>
          <w:color w:val="auto"/>
          <w:sz w:val="24"/>
          <w:szCs w:val="24"/>
          <w:lang w:eastAsia="en-AU"/>
        </w:rPr>
      </w:pPr>
      <w:r w:rsidRPr="00742B66">
        <w:rPr>
          <w:rFonts w:asciiTheme="minorHAnsi" w:eastAsiaTheme="minorEastAsia" w:hAnsiTheme="minorHAnsi" w:cstheme="minorHAnsi"/>
          <w:i/>
          <w:color w:val="auto"/>
          <w:sz w:val="24"/>
          <w:szCs w:val="24"/>
          <w:lang w:eastAsia="en-AU"/>
        </w:rPr>
        <w:t xml:space="preserve">A description of how, and to whom, a Customer can make a Complaint about </w:t>
      </w:r>
      <w:r w:rsidRPr="00742B66">
        <w:rPr>
          <w:rFonts w:asciiTheme="minorHAnsi" w:eastAsiaTheme="minorEastAsia" w:hAnsiTheme="minorHAnsi" w:cstheme="minorHAnsi"/>
          <w:i/>
          <w:color w:val="00B0F0"/>
          <w:sz w:val="24"/>
          <w:szCs w:val="24"/>
          <w:lang w:eastAsia="en-AU"/>
        </w:rPr>
        <w:t>Mobile</w:t>
      </w:r>
      <w:r w:rsidRPr="00742B66">
        <w:rPr>
          <w:rFonts w:asciiTheme="minorHAnsi" w:eastAsiaTheme="minorEastAsia" w:hAnsiTheme="minorHAnsi" w:cstheme="minorHAnsi"/>
          <w:i/>
          <w:color w:val="auto"/>
          <w:sz w:val="24"/>
          <w:szCs w:val="24"/>
          <w:lang w:eastAsia="en-AU"/>
        </w:rPr>
        <w:t xml:space="preserve"> Premium Services.</w:t>
      </w:r>
      <w:r w:rsidRPr="00742B66">
        <w:rPr>
          <w:rStyle w:val="FootnoteReference"/>
          <w:rFonts w:asciiTheme="minorHAnsi" w:eastAsiaTheme="minorEastAsia" w:hAnsiTheme="minorHAnsi" w:cstheme="minorHAnsi"/>
          <w:color w:val="auto"/>
          <w:sz w:val="24"/>
          <w:szCs w:val="24"/>
          <w:lang w:eastAsia="en-AU"/>
        </w:rPr>
        <w:footnoteReference w:id="10"/>
      </w:r>
    </w:p>
    <w:p w:rsidR="006D1C3B" w:rsidRPr="00742B66" w:rsidRDefault="006D1C3B" w:rsidP="00742B66">
      <w:pPr>
        <w:pStyle w:val="BodyText1"/>
        <w:rPr>
          <w:rFonts w:asciiTheme="minorHAnsi" w:eastAsiaTheme="minorEastAsia" w:hAnsiTheme="minorHAnsi" w:cstheme="minorHAnsi"/>
          <w:color w:val="auto"/>
          <w:sz w:val="24"/>
          <w:szCs w:val="24"/>
          <w:lang w:eastAsia="en-AU"/>
        </w:rPr>
      </w:pPr>
      <w:r w:rsidRPr="00742B66">
        <w:rPr>
          <w:rFonts w:asciiTheme="minorHAnsi" w:eastAsiaTheme="minorEastAsia" w:hAnsiTheme="minorHAnsi" w:cstheme="minorHAnsi"/>
          <w:color w:val="auto"/>
          <w:sz w:val="24"/>
          <w:szCs w:val="24"/>
          <w:lang w:eastAsia="en-AU"/>
        </w:rPr>
        <w:t xml:space="preserve">ACCAN considers that in the absence of these changes, a significant proportion of consumers will remain uninformed about the existence of mobile premium services and continue to face unintended charges as a consequence. The provision of upfront information at the point of sale concerning the availability of barring should allow </w:t>
      </w:r>
      <w:r w:rsidRPr="00742B66">
        <w:rPr>
          <w:rFonts w:asciiTheme="minorHAnsi" w:eastAsiaTheme="minorEastAsia" w:hAnsiTheme="minorHAnsi" w:cstheme="minorHAnsi"/>
          <w:color w:val="auto"/>
          <w:sz w:val="24"/>
          <w:szCs w:val="24"/>
          <w:lang w:eastAsia="en-AU"/>
        </w:rPr>
        <w:lastRenderedPageBreak/>
        <w:t>consumers to more readily exercise control over the purchase of mobile premium services and constrain future harm as a consequence of unintended purchases.</w:t>
      </w:r>
    </w:p>
    <w:p w:rsidR="006D1C3B" w:rsidRPr="00742B66" w:rsidRDefault="006D1C3B" w:rsidP="00742B66">
      <w:pPr>
        <w:pStyle w:val="BodyText1"/>
        <w:rPr>
          <w:rFonts w:asciiTheme="minorHAnsi" w:eastAsiaTheme="minorEastAsia" w:hAnsiTheme="minorHAnsi" w:cstheme="minorHAnsi"/>
          <w:color w:val="auto"/>
          <w:sz w:val="24"/>
          <w:lang w:eastAsia="en-AU"/>
        </w:rPr>
      </w:pPr>
      <w:r w:rsidRPr="00742B66">
        <w:rPr>
          <w:rFonts w:asciiTheme="minorHAnsi" w:eastAsiaTheme="minorEastAsia" w:hAnsiTheme="minorHAnsi" w:cstheme="minorHAnsi"/>
          <w:color w:val="auto"/>
          <w:sz w:val="24"/>
          <w:lang w:eastAsia="en-AU"/>
        </w:rPr>
        <w:t xml:space="preserve">ACCAN believes that this information should be made available at the point of purchase for consumers as part of the </w:t>
      </w:r>
      <w:r w:rsidR="00E31139" w:rsidRPr="00742B66">
        <w:rPr>
          <w:rFonts w:asciiTheme="minorHAnsi" w:eastAsiaTheme="minorEastAsia" w:hAnsiTheme="minorHAnsi" w:cstheme="minorHAnsi"/>
          <w:color w:val="auto"/>
          <w:sz w:val="24"/>
          <w:lang w:eastAsia="en-AU"/>
        </w:rPr>
        <w:t>Critical Information Summary provided to consume</w:t>
      </w:r>
      <w:r w:rsidR="005B272D" w:rsidRPr="00742B66">
        <w:rPr>
          <w:rFonts w:asciiTheme="minorHAnsi" w:eastAsiaTheme="minorEastAsia" w:hAnsiTheme="minorHAnsi" w:cstheme="minorHAnsi"/>
          <w:color w:val="auto"/>
          <w:sz w:val="24"/>
          <w:lang w:eastAsia="en-AU"/>
        </w:rPr>
        <w:t xml:space="preserve">rs and via additional notifications and information at the point of purchase of a service. </w:t>
      </w:r>
    </w:p>
    <w:p w:rsidR="006D1C3B" w:rsidRPr="00DD0AEA" w:rsidRDefault="006D1C3B" w:rsidP="006D1C3B">
      <w:pPr>
        <w:spacing w:before="100" w:beforeAutospacing="1" w:after="100" w:afterAutospacing="1" w:line="240" w:lineRule="auto"/>
        <w:jc w:val="both"/>
        <w:rPr>
          <w:rFonts w:ascii="Times New Roman" w:eastAsia="Arial Unicode MS" w:hAnsi="Times New Roman" w:cs="Times New Roman"/>
          <w:b/>
          <w:color w:val="FF0000"/>
          <w:sz w:val="24"/>
          <w:lang w:val="en-IE" w:eastAsia="en-AU" w:bidi="hi-IN"/>
        </w:rPr>
      </w:pPr>
      <w:r>
        <w:rPr>
          <w:rFonts w:ascii="Arial" w:eastAsiaTheme="minorEastAsia" w:hAnsi="Arial" w:cs="Arial"/>
          <w:b/>
          <w:sz w:val="32"/>
          <w:szCs w:val="32"/>
          <w:lang w:val="en-AU" w:eastAsia="en-AU"/>
        </w:rPr>
        <w:t>Default Spend Limit: 4.1.13</w:t>
      </w:r>
    </w:p>
    <w:p w:rsidR="00131724" w:rsidRPr="00742B66" w:rsidRDefault="00131724" w:rsidP="00742B66">
      <w:pPr>
        <w:pStyle w:val="BodyText1"/>
        <w:rPr>
          <w:rFonts w:asciiTheme="minorHAnsi" w:eastAsiaTheme="minorEastAsia" w:hAnsiTheme="minorHAnsi" w:cstheme="minorHAnsi"/>
          <w:color w:val="auto"/>
          <w:sz w:val="24"/>
          <w:lang w:eastAsia="en-AU"/>
        </w:rPr>
      </w:pPr>
      <w:r w:rsidRPr="00742B66">
        <w:rPr>
          <w:rFonts w:asciiTheme="minorHAnsi" w:eastAsiaTheme="minorEastAsia" w:hAnsiTheme="minorHAnsi" w:cstheme="minorHAnsi"/>
          <w:color w:val="auto"/>
          <w:sz w:val="24"/>
          <w:lang w:eastAsia="en-AU"/>
        </w:rPr>
        <w:t xml:space="preserve">Rule </w:t>
      </w:r>
      <w:r w:rsidRPr="00742B66">
        <w:rPr>
          <w:rFonts w:asciiTheme="minorHAnsi" w:eastAsiaTheme="minorEastAsia" w:hAnsiTheme="minorHAnsi" w:cstheme="minorHAnsi"/>
          <w:b/>
          <w:color w:val="auto"/>
          <w:sz w:val="24"/>
          <w:lang w:eastAsia="en-AU"/>
        </w:rPr>
        <w:t xml:space="preserve">4.1.13 </w:t>
      </w:r>
      <w:r w:rsidRPr="00742B66">
        <w:rPr>
          <w:rFonts w:asciiTheme="minorHAnsi" w:eastAsiaTheme="minorEastAsia" w:hAnsiTheme="minorHAnsi" w:cstheme="minorHAnsi"/>
          <w:color w:val="auto"/>
          <w:sz w:val="24"/>
          <w:lang w:eastAsia="en-AU"/>
        </w:rPr>
        <w:t xml:space="preserve">of the draft Code establishes that there will be a default spend limit of $50 per month for premium services for all new residential customers using pre-paid and post-paid services. Although ACCAN welcomes the creation of </w:t>
      </w:r>
      <w:r w:rsidR="00D903C5" w:rsidRPr="00742B66">
        <w:rPr>
          <w:rFonts w:asciiTheme="minorHAnsi" w:eastAsiaTheme="minorEastAsia" w:hAnsiTheme="minorHAnsi" w:cstheme="minorHAnsi"/>
          <w:color w:val="auto"/>
          <w:sz w:val="24"/>
          <w:lang w:eastAsia="en-AU"/>
        </w:rPr>
        <w:t xml:space="preserve">a </w:t>
      </w:r>
      <w:r w:rsidRPr="00742B66">
        <w:rPr>
          <w:rFonts w:asciiTheme="minorHAnsi" w:eastAsiaTheme="minorEastAsia" w:hAnsiTheme="minorHAnsi" w:cstheme="minorHAnsi"/>
          <w:color w:val="auto"/>
          <w:sz w:val="24"/>
          <w:lang w:eastAsia="en-AU"/>
        </w:rPr>
        <w:t xml:space="preserve">lower default limit for premium services than currently exists, the current drafting of the provision is unlikely to protect consumers. </w:t>
      </w:r>
    </w:p>
    <w:p w:rsidR="00131724" w:rsidRPr="00131724" w:rsidRDefault="00131724" w:rsidP="00131724">
      <w:pPr>
        <w:pStyle w:val="BodyText1"/>
        <w:rPr>
          <w:rFonts w:eastAsiaTheme="minorEastAsia"/>
          <w:color w:val="auto"/>
          <w:sz w:val="28"/>
          <w:lang w:eastAsia="en-AU"/>
        </w:rPr>
      </w:pPr>
      <w:r w:rsidRPr="00131724">
        <w:rPr>
          <w:rFonts w:eastAsiaTheme="minorEastAsia"/>
          <w:color w:val="auto"/>
          <w:sz w:val="28"/>
          <w:lang w:eastAsia="en-AU"/>
        </w:rPr>
        <w:t>New residential customers</w:t>
      </w:r>
    </w:p>
    <w:p w:rsidR="00131724" w:rsidRPr="00742B66" w:rsidRDefault="00131724" w:rsidP="00742B66">
      <w:pPr>
        <w:pStyle w:val="BodyText1"/>
        <w:rPr>
          <w:rFonts w:asciiTheme="minorHAnsi" w:eastAsiaTheme="minorEastAsia" w:hAnsiTheme="minorHAnsi" w:cstheme="minorHAnsi"/>
          <w:color w:val="auto"/>
          <w:sz w:val="24"/>
          <w:szCs w:val="24"/>
          <w:lang w:eastAsia="en-AU"/>
        </w:rPr>
      </w:pPr>
      <w:r w:rsidRPr="00742B66">
        <w:rPr>
          <w:rFonts w:asciiTheme="minorHAnsi" w:eastAsiaTheme="minorEastAsia" w:hAnsiTheme="minorHAnsi" w:cstheme="minorHAnsi"/>
          <w:color w:val="auto"/>
          <w:sz w:val="24"/>
          <w:szCs w:val="24"/>
          <w:lang w:eastAsia="en-AU"/>
        </w:rPr>
        <w:t xml:space="preserve">As rule </w:t>
      </w:r>
      <w:r w:rsidRPr="00742B66">
        <w:rPr>
          <w:rFonts w:asciiTheme="minorHAnsi" w:eastAsiaTheme="minorEastAsia" w:hAnsiTheme="minorHAnsi" w:cstheme="minorHAnsi"/>
          <w:b/>
          <w:color w:val="auto"/>
          <w:sz w:val="24"/>
          <w:szCs w:val="24"/>
          <w:lang w:eastAsia="en-AU"/>
        </w:rPr>
        <w:t>4.1.13</w:t>
      </w:r>
      <w:r w:rsidRPr="00742B66">
        <w:rPr>
          <w:rFonts w:asciiTheme="minorHAnsi" w:eastAsiaTheme="minorEastAsia" w:hAnsiTheme="minorHAnsi" w:cstheme="minorHAnsi"/>
          <w:color w:val="auto"/>
          <w:sz w:val="24"/>
          <w:szCs w:val="24"/>
          <w:lang w:eastAsia="en-AU"/>
        </w:rPr>
        <w:t xml:space="preserve"> will only apply to </w:t>
      </w:r>
      <w:r w:rsidRPr="00742B66">
        <w:rPr>
          <w:rFonts w:asciiTheme="minorHAnsi" w:eastAsiaTheme="minorEastAsia" w:hAnsiTheme="minorHAnsi" w:cstheme="minorHAnsi"/>
          <w:i/>
          <w:color w:val="auto"/>
          <w:sz w:val="24"/>
          <w:szCs w:val="24"/>
          <w:lang w:eastAsia="en-AU"/>
        </w:rPr>
        <w:t xml:space="preserve">new </w:t>
      </w:r>
      <w:r w:rsidRPr="00742B66">
        <w:rPr>
          <w:rFonts w:asciiTheme="minorHAnsi" w:eastAsiaTheme="minorEastAsia" w:hAnsiTheme="minorHAnsi" w:cstheme="minorHAnsi"/>
          <w:color w:val="auto"/>
          <w:sz w:val="24"/>
          <w:szCs w:val="24"/>
          <w:lang w:eastAsia="en-AU"/>
        </w:rPr>
        <w:t>residential customers</w:t>
      </w:r>
      <w:r w:rsidRPr="00742B66">
        <w:rPr>
          <w:rFonts w:asciiTheme="minorHAnsi" w:eastAsiaTheme="minorEastAsia" w:hAnsiTheme="minorHAnsi" w:cstheme="minorHAnsi"/>
          <w:i/>
          <w:color w:val="auto"/>
          <w:sz w:val="24"/>
          <w:szCs w:val="24"/>
          <w:lang w:eastAsia="en-AU"/>
        </w:rPr>
        <w:t xml:space="preserve"> </w:t>
      </w:r>
      <w:r w:rsidRPr="00742B66">
        <w:rPr>
          <w:rFonts w:asciiTheme="minorHAnsi" w:eastAsiaTheme="minorEastAsia" w:hAnsiTheme="minorHAnsi" w:cstheme="minorHAnsi"/>
          <w:color w:val="auto"/>
          <w:sz w:val="24"/>
          <w:szCs w:val="24"/>
          <w:lang w:eastAsia="en-AU"/>
        </w:rPr>
        <w:t>ACCAN has sought to determine what proportion of the total consumer base this would be. On the basis of publicly available data, the most recent research indicates that approximately 6.51% of all mobile numbers were ported in the 2017-18 financial year.</w:t>
      </w:r>
      <w:r w:rsidRPr="00742B66">
        <w:rPr>
          <w:rStyle w:val="FootnoteReference"/>
          <w:rFonts w:asciiTheme="minorHAnsi" w:eastAsiaTheme="minorEastAsia" w:hAnsiTheme="minorHAnsi" w:cstheme="minorHAnsi"/>
          <w:color w:val="auto"/>
          <w:sz w:val="24"/>
          <w:szCs w:val="24"/>
          <w:lang w:eastAsia="en-AU"/>
        </w:rPr>
        <w:footnoteReference w:id="11"/>
      </w:r>
      <w:r w:rsidRPr="00742B66">
        <w:rPr>
          <w:rFonts w:asciiTheme="minorHAnsi" w:eastAsiaTheme="minorEastAsia" w:hAnsiTheme="minorHAnsi" w:cstheme="minorHAnsi"/>
          <w:color w:val="auto"/>
          <w:sz w:val="24"/>
          <w:szCs w:val="24"/>
          <w:lang w:eastAsia="en-AU"/>
        </w:rPr>
        <w:t xml:space="preserve"> </w:t>
      </w:r>
    </w:p>
    <w:p w:rsidR="00131724" w:rsidRPr="00742B66" w:rsidRDefault="00131724" w:rsidP="00742B66">
      <w:pPr>
        <w:pStyle w:val="BodyText1"/>
        <w:rPr>
          <w:rFonts w:asciiTheme="minorHAnsi" w:eastAsiaTheme="minorEastAsia" w:hAnsiTheme="minorHAnsi" w:cstheme="minorHAnsi"/>
          <w:color w:val="auto"/>
          <w:sz w:val="24"/>
          <w:szCs w:val="24"/>
          <w:lang w:eastAsia="en-AU"/>
        </w:rPr>
      </w:pPr>
      <w:r w:rsidRPr="00742B66">
        <w:rPr>
          <w:rFonts w:asciiTheme="minorHAnsi" w:eastAsiaTheme="minorEastAsia" w:hAnsiTheme="minorHAnsi" w:cstheme="minorHAnsi"/>
          <w:color w:val="auto"/>
          <w:sz w:val="24"/>
          <w:szCs w:val="24"/>
          <w:lang w:eastAsia="en-AU"/>
        </w:rPr>
        <w:t xml:space="preserve">The porting of numbers is typically associated with the formation of a new contract with a provider and in the absence of alternative population level statistics ACCAN considers that the porting figures give a fair indication of the proportion of new contracts formed in a year. This implies that approximately 6.51% of contracts would be </w:t>
      </w:r>
      <w:r w:rsidRPr="00742B66">
        <w:rPr>
          <w:rFonts w:asciiTheme="minorHAnsi" w:eastAsiaTheme="minorEastAsia" w:hAnsiTheme="minorHAnsi" w:cstheme="minorHAnsi"/>
          <w:i/>
          <w:color w:val="auto"/>
          <w:sz w:val="24"/>
          <w:szCs w:val="24"/>
          <w:lang w:eastAsia="en-AU"/>
        </w:rPr>
        <w:t>new</w:t>
      </w:r>
      <w:r w:rsidRPr="00742B66">
        <w:rPr>
          <w:rFonts w:asciiTheme="minorHAnsi" w:eastAsiaTheme="minorEastAsia" w:hAnsiTheme="minorHAnsi" w:cstheme="minorHAnsi"/>
          <w:color w:val="auto"/>
          <w:sz w:val="24"/>
          <w:szCs w:val="24"/>
          <w:lang w:eastAsia="en-AU"/>
        </w:rPr>
        <w:t xml:space="preserve"> and consequently captured within the scope of rule 4.1.13. ACCAN notes however that the proportion of </w:t>
      </w:r>
      <w:r w:rsidRPr="00742B66">
        <w:rPr>
          <w:rFonts w:asciiTheme="minorHAnsi" w:eastAsiaTheme="minorEastAsia" w:hAnsiTheme="minorHAnsi" w:cstheme="minorHAnsi"/>
          <w:i/>
          <w:color w:val="auto"/>
          <w:sz w:val="24"/>
          <w:szCs w:val="24"/>
          <w:lang w:eastAsia="en-AU"/>
        </w:rPr>
        <w:t xml:space="preserve">residential </w:t>
      </w:r>
      <w:r w:rsidRPr="00742B66">
        <w:rPr>
          <w:rFonts w:asciiTheme="minorHAnsi" w:eastAsiaTheme="minorEastAsia" w:hAnsiTheme="minorHAnsi" w:cstheme="minorHAnsi"/>
          <w:color w:val="auto"/>
          <w:sz w:val="24"/>
          <w:szCs w:val="24"/>
          <w:lang w:eastAsia="en-AU"/>
        </w:rPr>
        <w:t xml:space="preserve">customers may be lower than the overall population and therefore the coverage of this provision may be lower. </w:t>
      </w:r>
    </w:p>
    <w:p w:rsidR="00131724" w:rsidRPr="00131724" w:rsidRDefault="00131724" w:rsidP="00131724">
      <w:pPr>
        <w:pStyle w:val="BodyText1"/>
        <w:rPr>
          <w:rFonts w:eastAsiaTheme="minorEastAsia"/>
          <w:color w:val="auto"/>
          <w:sz w:val="28"/>
          <w:szCs w:val="28"/>
          <w:lang w:eastAsia="en-AU"/>
        </w:rPr>
      </w:pPr>
      <w:r w:rsidRPr="00131724">
        <w:rPr>
          <w:rFonts w:eastAsiaTheme="minorEastAsia"/>
          <w:color w:val="auto"/>
          <w:sz w:val="28"/>
          <w:szCs w:val="28"/>
          <w:lang w:eastAsia="en-AU"/>
        </w:rPr>
        <w:t xml:space="preserve">Small businesses </w:t>
      </w:r>
    </w:p>
    <w:p w:rsidR="00131724" w:rsidRDefault="00131724" w:rsidP="00480270">
      <w:pPr>
        <w:pStyle w:val="BodyText1"/>
        <w:spacing w:after="0"/>
        <w:rPr>
          <w:rFonts w:asciiTheme="minorHAnsi" w:eastAsiaTheme="minorEastAsia" w:hAnsiTheme="minorHAnsi" w:cstheme="minorHAnsi"/>
          <w:color w:val="auto"/>
          <w:sz w:val="24"/>
          <w:lang w:eastAsia="en-AU"/>
        </w:rPr>
      </w:pPr>
      <w:r w:rsidRPr="00480270">
        <w:rPr>
          <w:rFonts w:asciiTheme="minorHAnsi" w:eastAsiaTheme="minorEastAsia" w:hAnsiTheme="minorHAnsi" w:cstheme="minorHAnsi"/>
          <w:color w:val="auto"/>
          <w:sz w:val="24"/>
          <w:lang w:eastAsia="en-AU"/>
        </w:rPr>
        <w:t>The scope of the provision also excludes small businesses from its operation, and ACCAN remains concerned that businesses may continue to face significant unwanted charges as a consequence. ACCAN considers that there is no clear basis for discriminatory treatment for small business customers, and that in absence of such a basis that the protections set out in rule</w:t>
      </w:r>
      <w:r w:rsidRPr="00480270">
        <w:rPr>
          <w:rFonts w:asciiTheme="minorHAnsi" w:eastAsiaTheme="minorEastAsia" w:hAnsiTheme="minorHAnsi" w:cstheme="minorHAnsi"/>
          <w:b/>
          <w:color w:val="auto"/>
          <w:sz w:val="24"/>
          <w:lang w:eastAsia="en-AU"/>
        </w:rPr>
        <w:t xml:space="preserve"> 4.1.13 </w:t>
      </w:r>
      <w:r w:rsidRPr="00480270">
        <w:rPr>
          <w:rFonts w:asciiTheme="minorHAnsi" w:eastAsiaTheme="minorEastAsia" w:hAnsiTheme="minorHAnsi" w:cstheme="minorHAnsi"/>
          <w:color w:val="auto"/>
          <w:sz w:val="24"/>
          <w:lang w:eastAsia="en-AU"/>
        </w:rPr>
        <w:t>should apply to small businesses.</w:t>
      </w:r>
    </w:p>
    <w:p w:rsidR="00480270" w:rsidRPr="00480270" w:rsidRDefault="00480270" w:rsidP="00480270">
      <w:pPr>
        <w:pStyle w:val="BodyText1"/>
        <w:spacing w:after="0"/>
        <w:rPr>
          <w:rFonts w:asciiTheme="minorHAnsi" w:eastAsiaTheme="minorEastAsia" w:hAnsiTheme="minorHAnsi" w:cstheme="minorHAnsi"/>
          <w:color w:val="auto"/>
          <w:sz w:val="24"/>
          <w:lang w:eastAsia="en-AU"/>
        </w:rPr>
      </w:pPr>
    </w:p>
    <w:p w:rsidR="00131724" w:rsidRPr="00131724" w:rsidRDefault="00131724" w:rsidP="00742B66">
      <w:pPr>
        <w:pStyle w:val="BodyText1"/>
        <w:jc w:val="both"/>
        <w:rPr>
          <w:rFonts w:eastAsiaTheme="minorEastAsia"/>
          <w:color w:val="auto"/>
          <w:sz w:val="28"/>
          <w:szCs w:val="28"/>
          <w:lang w:eastAsia="en-AU"/>
        </w:rPr>
      </w:pPr>
      <w:r w:rsidRPr="00480270">
        <w:rPr>
          <w:rFonts w:asciiTheme="minorHAnsi" w:eastAsiaTheme="minorEastAsia" w:hAnsiTheme="minorHAnsi" w:cstheme="minorHAnsi"/>
          <w:color w:val="auto"/>
          <w:sz w:val="24"/>
          <w:lang w:eastAsia="en-AU"/>
        </w:rPr>
        <w:t xml:space="preserve">ACCAN regularly receives information from small businesses that have faced unwanted and unexpected charges for mobile premium services as a consequence of inadvertence on the part of their employees. The establishment of strong default limits would eliminate this problem for the vast majority of small businesses and reduce the burden associated with </w:t>
      </w:r>
      <w:r w:rsidRPr="00480270">
        <w:rPr>
          <w:rFonts w:asciiTheme="minorHAnsi" w:eastAsiaTheme="minorEastAsia" w:hAnsiTheme="minorHAnsi" w:cstheme="minorHAnsi"/>
          <w:color w:val="auto"/>
          <w:sz w:val="24"/>
          <w:lang w:eastAsia="en-AU"/>
        </w:rPr>
        <w:lastRenderedPageBreak/>
        <w:t>disputing these charges and seeking redress from service providers.</w:t>
      </w:r>
      <w:r>
        <w:rPr>
          <w:rFonts w:ascii="Times New Roman" w:eastAsiaTheme="minorEastAsia" w:hAnsi="Times New Roman" w:cs="Times New Roman"/>
          <w:color w:val="auto"/>
          <w:sz w:val="24"/>
          <w:lang w:eastAsia="en-AU"/>
        </w:rPr>
        <w:t xml:space="preserve"> </w:t>
      </w:r>
      <w:r>
        <w:rPr>
          <w:rFonts w:ascii="Times New Roman" w:eastAsiaTheme="minorEastAsia" w:hAnsi="Times New Roman" w:cs="Times New Roman"/>
          <w:color w:val="auto"/>
          <w:sz w:val="24"/>
          <w:lang w:eastAsia="en-AU"/>
        </w:rPr>
        <w:br/>
      </w:r>
      <w:r>
        <w:rPr>
          <w:rFonts w:ascii="Times New Roman" w:eastAsiaTheme="minorEastAsia" w:hAnsi="Times New Roman" w:cs="Times New Roman"/>
          <w:color w:val="auto"/>
          <w:sz w:val="24"/>
          <w:lang w:eastAsia="en-AU"/>
        </w:rPr>
        <w:br/>
      </w:r>
      <w:r w:rsidRPr="00131724">
        <w:rPr>
          <w:rFonts w:eastAsiaTheme="minorEastAsia"/>
          <w:color w:val="auto"/>
          <w:sz w:val="28"/>
          <w:szCs w:val="28"/>
          <w:lang w:eastAsia="en-AU"/>
        </w:rPr>
        <w:t>Substance of the protections</w:t>
      </w:r>
    </w:p>
    <w:p w:rsidR="00131724" w:rsidRPr="00742B66" w:rsidRDefault="00131724" w:rsidP="00742B66">
      <w:pPr>
        <w:pStyle w:val="BodyText1"/>
        <w:rPr>
          <w:rFonts w:asciiTheme="minorHAnsi" w:eastAsiaTheme="minorEastAsia" w:hAnsiTheme="minorHAnsi" w:cstheme="minorHAnsi"/>
          <w:color w:val="auto"/>
          <w:sz w:val="24"/>
          <w:lang w:eastAsia="en-AU"/>
        </w:rPr>
      </w:pPr>
      <w:r w:rsidRPr="00742B66">
        <w:rPr>
          <w:rFonts w:asciiTheme="minorHAnsi" w:eastAsiaTheme="minorEastAsia" w:hAnsiTheme="minorHAnsi" w:cstheme="minorHAnsi"/>
          <w:color w:val="auto"/>
          <w:sz w:val="24"/>
          <w:lang w:eastAsia="en-AU"/>
        </w:rPr>
        <w:t xml:space="preserve">Having determined that the provision would in principle cover 6.51% of the consumer market, ACCAN has then sought to examine the actual proportion of transactions to which the provision is likely to apply to.  Research undertaken by </w:t>
      </w:r>
      <w:proofErr w:type="spellStart"/>
      <w:r w:rsidRPr="00742B66">
        <w:rPr>
          <w:rFonts w:asciiTheme="minorHAnsi" w:eastAsiaTheme="minorEastAsia" w:hAnsiTheme="minorHAnsi" w:cstheme="minorHAnsi"/>
          <w:color w:val="auto"/>
          <w:sz w:val="24"/>
          <w:lang w:eastAsia="en-AU"/>
        </w:rPr>
        <w:t>Ipsos</w:t>
      </w:r>
      <w:proofErr w:type="spellEnd"/>
      <w:r w:rsidRPr="00742B66">
        <w:rPr>
          <w:rFonts w:asciiTheme="minorHAnsi" w:eastAsiaTheme="minorEastAsia" w:hAnsiTheme="minorHAnsi" w:cstheme="minorHAnsi"/>
          <w:color w:val="auto"/>
          <w:sz w:val="24"/>
          <w:lang w:eastAsia="en-AU"/>
        </w:rPr>
        <w:t xml:space="preserve"> on behalf of ACCAN in 2017 indicates that of those consumers who have faced unexpected charges</w:t>
      </w:r>
      <w:r w:rsidR="00F76FA3" w:rsidRPr="00742B66">
        <w:rPr>
          <w:rFonts w:asciiTheme="minorHAnsi" w:eastAsiaTheme="minorEastAsia" w:hAnsiTheme="minorHAnsi" w:cstheme="minorHAnsi"/>
          <w:color w:val="auto"/>
          <w:sz w:val="24"/>
          <w:lang w:eastAsia="en-AU"/>
        </w:rPr>
        <w:t xml:space="preserve">, </w:t>
      </w:r>
      <w:r w:rsidRPr="00742B66">
        <w:rPr>
          <w:rFonts w:asciiTheme="minorHAnsi" w:eastAsiaTheme="minorEastAsia" w:hAnsiTheme="minorHAnsi" w:cstheme="minorHAnsi"/>
          <w:color w:val="auto"/>
          <w:sz w:val="24"/>
          <w:lang w:eastAsia="en-AU"/>
        </w:rPr>
        <w:t>83% are for amounts in the order of less than $30.</w:t>
      </w:r>
      <w:r w:rsidRPr="00742B66">
        <w:rPr>
          <w:rStyle w:val="FootnoteReference"/>
          <w:rFonts w:asciiTheme="minorHAnsi" w:eastAsiaTheme="minorEastAsia" w:hAnsiTheme="minorHAnsi" w:cstheme="minorHAnsi"/>
          <w:color w:val="auto"/>
          <w:sz w:val="24"/>
          <w:lang w:eastAsia="en-AU"/>
        </w:rPr>
        <w:footnoteReference w:id="12"/>
      </w:r>
      <w:r w:rsidRPr="00742B66">
        <w:rPr>
          <w:rFonts w:asciiTheme="minorHAnsi" w:eastAsiaTheme="minorEastAsia" w:hAnsiTheme="minorHAnsi" w:cstheme="minorHAnsi"/>
          <w:color w:val="auto"/>
          <w:sz w:val="24"/>
          <w:lang w:eastAsia="en-AU"/>
        </w:rPr>
        <w:t xml:space="preserve"> </w:t>
      </w:r>
    </w:p>
    <w:p w:rsidR="00131724" w:rsidRPr="00742B66" w:rsidRDefault="00131724" w:rsidP="00742B66">
      <w:pPr>
        <w:pStyle w:val="BodyText1"/>
        <w:rPr>
          <w:rFonts w:asciiTheme="minorHAnsi" w:eastAsiaTheme="minorEastAsia" w:hAnsiTheme="minorHAnsi" w:cstheme="minorHAnsi"/>
          <w:color w:val="auto"/>
          <w:sz w:val="24"/>
          <w:lang w:eastAsia="en-AU"/>
        </w:rPr>
      </w:pPr>
      <w:r w:rsidRPr="00742B66">
        <w:rPr>
          <w:rFonts w:asciiTheme="minorHAnsi" w:eastAsiaTheme="minorEastAsia" w:hAnsiTheme="minorHAnsi" w:cstheme="minorHAnsi"/>
          <w:color w:val="auto"/>
          <w:sz w:val="24"/>
          <w:lang w:eastAsia="en-AU"/>
        </w:rPr>
        <w:t xml:space="preserve">Although </w:t>
      </w:r>
      <w:proofErr w:type="spellStart"/>
      <w:r w:rsidRPr="00742B66">
        <w:rPr>
          <w:rFonts w:asciiTheme="minorHAnsi" w:eastAsiaTheme="minorEastAsia" w:hAnsiTheme="minorHAnsi" w:cstheme="minorHAnsi"/>
          <w:color w:val="auto"/>
          <w:sz w:val="24"/>
          <w:lang w:eastAsia="en-AU"/>
        </w:rPr>
        <w:t>Ipsos’s</w:t>
      </w:r>
      <w:proofErr w:type="spellEnd"/>
      <w:r w:rsidRPr="00742B66">
        <w:rPr>
          <w:rFonts w:asciiTheme="minorHAnsi" w:eastAsiaTheme="minorEastAsia" w:hAnsiTheme="minorHAnsi" w:cstheme="minorHAnsi"/>
          <w:color w:val="auto"/>
          <w:sz w:val="24"/>
          <w:lang w:eastAsia="en-AU"/>
        </w:rPr>
        <w:t xml:space="preserve"> research used a $30 threshold figure, ACCAN considers that it is reasonable to expect that the current drafting of the provision would, at a maximum provide protection to 17% of the potential mobile premium service transactions.  However</w:t>
      </w:r>
      <w:r w:rsidR="00F76FA3" w:rsidRPr="00742B66">
        <w:rPr>
          <w:rFonts w:asciiTheme="minorHAnsi" w:eastAsiaTheme="minorEastAsia" w:hAnsiTheme="minorHAnsi" w:cstheme="minorHAnsi"/>
          <w:color w:val="auto"/>
          <w:sz w:val="24"/>
          <w:lang w:eastAsia="en-AU"/>
        </w:rPr>
        <w:t>,</w:t>
      </w:r>
      <w:r w:rsidRPr="00742B66">
        <w:rPr>
          <w:rFonts w:asciiTheme="minorHAnsi" w:eastAsiaTheme="minorEastAsia" w:hAnsiTheme="minorHAnsi" w:cstheme="minorHAnsi"/>
          <w:color w:val="auto"/>
          <w:sz w:val="24"/>
          <w:lang w:eastAsia="en-AU"/>
        </w:rPr>
        <w:t xml:space="preserve"> this would imply that the current drafting of the Code would provide protections with respect to 1.1% of all mobile consumers.</w:t>
      </w:r>
      <w:r w:rsidR="00742B66">
        <w:rPr>
          <w:rStyle w:val="FootnoteReference"/>
          <w:rFonts w:asciiTheme="minorHAnsi" w:eastAsiaTheme="minorEastAsia" w:hAnsiTheme="minorHAnsi" w:cstheme="minorHAnsi"/>
          <w:color w:val="auto"/>
          <w:sz w:val="24"/>
          <w:lang w:eastAsia="en-AU"/>
        </w:rPr>
        <w:footnoteReference w:id="13"/>
      </w:r>
      <w:r w:rsidRPr="00742B66">
        <w:rPr>
          <w:rFonts w:asciiTheme="minorHAnsi" w:eastAsiaTheme="minorEastAsia" w:hAnsiTheme="minorHAnsi" w:cstheme="minorHAnsi"/>
          <w:color w:val="auto"/>
          <w:sz w:val="24"/>
          <w:lang w:eastAsia="en-AU"/>
        </w:rPr>
        <w:t xml:space="preserve">  </w:t>
      </w:r>
    </w:p>
    <w:p w:rsidR="00131724" w:rsidRPr="00742B66" w:rsidRDefault="00131724" w:rsidP="00742B66">
      <w:pPr>
        <w:pStyle w:val="BodyText1"/>
        <w:rPr>
          <w:rFonts w:asciiTheme="minorHAnsi" w:eastAsiaTheme="minorEastAsia" w:hAnsiTheme="minorHAnsi" w:cstheme="minorHAnsi"/>
          <w:color w:val="auto"/>
          <w:sz w:val="24"/>
          <w:lang w:eastAsia="en-AU"/>
        </w:rPr>
      </w:pPr>
      <w:r w:rsidRPr="00742B66">
        <w:rPr>
          <w:rFonts w:asciiTheme="minorHAnsi" w:eastAsiaTheme="minorEastAsia" w:hAnsiTheme="minorHAnsi" w:cstheme="minorHAnsi"/>
          <w:color w:val="auto"/>
          <w:sz w:val="24"/>
          <w:lang w:eastAsia="en-AU"/>
        </w:rPr>
        <w:t>ACCAN considers that a rule that provides protection to effectively 1% of all mobile services is unlikely to have any material effect on the problem of non-consensual charges. Accordingly we consider that there is an opportunity for significant revision of the proposed rule to provide all customers with appropriate protections.</w:t>
      </w:r>
    </w:p>
    <w:p w:rsidR="00623F4D" w:rsidRDefault="00623F4D" w:rsidP="00623F4D">
      <w:pPr>
        <w:spacing w:before="100" w:beforeAutospacing="1" w:after="100" w:afterAutospacing="1" w:line="240" w:lineRule="auto"/>
        <w:jc w:val="both"/>
        <w:rPr>
          <w:rFonts w:ascii="Arial" w:eastAsiaTheme="minorEastAsia" w:hAnsi="Arial" w:cs="Arial"/>
          <w:b/>
          <w:sz w:val="32"/>
          <w:szCs w:val="32"/>
          <w:lang w:val="en-AU" w:eastAsia="en-AU"/>
        </w:rPr>
      </w:pPr>
      <w:r>
        <w:rPr>
          <w:rFonts w:ascii="Arial" w:eastAsiaTheme="minorEastAsia" w:hAnsi="Arial" w:cs="Arial"/>
          <w:b/>
          <w:sz w:val="32"/>
          <w:szCs w:val="32"/>
          <w:lang w:val="en-AU" w:eastAsia="en-AU"/>
        </w:rPr>
        <w:t xml:space="preserve">Recommended Drafting </w:t>
      </w:r>
    </w:p>
    <w:p w:rsidR="00623F4D" w:rsidRPr="00742B66" w:rsidRDefault="00623F4D" w:rsidP="00742B66">
      <w:pPr>
        <w:pStyle w:val="BodyText1"/>
        <w:rPr>
          <w:rFonts w:asciiTheme="minorHAnsi" w:eastAsiaTheme="minorEastAsia" w:hAnsiTheme="minorHAnsi" w:cstheme="minorHAnsi"/>
          <w:color w:val="auto"/>
          <w:sz w:val="24"/>
          <w:lang w:eastAsia="en-AU"/>
        </w:rPr>
      </w:pPr>
      <w:r w:rsidRPr="00742B66">
        <w:rPr>
          <w:rFonts w:asciiTheme="minorHAnsi" w:eastAsiaTheme="minorEastAsia" w:hAnsiTheme="minorHAnsi" w:cstheme="minorHAnsi"/>
          <w:color w:val="auto"/>
          <w:sz w:val="24"/>
          <w:lang w:eastAsia="en-AU"/>
        </w:rPr>
        <w:t xml:space="preserve">In light of the material losses attributable to consumers as a consequence of non-consenting purchases, and the weak incentives for consumers to challenge low value charges ACCAN considers that a default limit for premium services of $0 is warranted.  The adoption of a $0 default limit would bring the protections for mobile premium services into alignment with those offered to consumers using direct carrier billing services to buy apps and content over registration-only digital content services such as </w:t>
      </w:r>
      <w:proofErr w:type="spellStart"/>
      <w:r w:rsidRPr="00742B66">
        <w:rPr>
          <w:rFonts w:asciiTheme="minorHAnsi" w:eastAsiaTheme="minorEastAsia" w:hAnsiTheme="minorHAnsi" w:cstheme="minorHAnsi"/>
          <w:color w:val="auto"/>
          <w:sz w:val="24"/>
          <w:lang w:eastAsia="en-AU"/>
        </w:rPr>
        <w:t>Googleplay</w:t>
      </w:r>
      <w:proofErr w:type="spellEnd"/>
      <w:r w:rsidRPr="00742B66">
        <w:rPr>
          <w:rFonts w:asciiTheme="minorHAnsi" w:eastAsiaTheme="minorEastAsia" w:hAnsiTheme="minorHAnsi" w:cstheme="minorHAnsi"/>
          <w:color w:val="auto"/>
          <w:sz w:val="24"/>
          <w:lang w:eastAsia="en-AU"/>
        </w:rPr>
        <w:t xml:space="preserve"> and the Apple </w:t>
      </w:r>
      <w:proofErr w:type="spellStart"/>
      <w:r w:rsidRPr="00742B66">
        <w:rPr>
          <w:rFonts w:asciiTheme="minorHAnsi" w:eastAsiaTheme="minorEastAsia" w:hAnsiTheme="minorHAnsi" w:cstheme="minorHAnsi"/>
          <w:color w:val="auto"/>
          <w:sz w:val="24"/>
          <w:lang w:eastAsia="en-AU"/>
        </w:rPr>
        <w:t>Appstore</w:t>
      </w:r>
      <w:proofErr w:type="spellEnd"/>
      <w:r w:rsidRPr="00742B66">
        <w:rPr>
          <w:rFonts w:asciiTheme="minorHAnsi" w:eastAsiaTheme="minorEastAsia" w:hAnsiTheme="minorHAnsi" w:cstheme="minorHAnsi"/>
          <w:color w:val="auto"/>
          <w:sz w:val="24"/>
          <w:lang w:eastAsia="en-AU"/>
        </w:rPr>
        <w:t>.</w:t>
      </w:r>
    </w:p>
    <w:p w:rsidR="00623F4D" w:rsidRPr="00742B66" w:rsidRDefault="00623F4D" w:rsidP="00623F4D">
      <w:pPr>
        <w:pStyle w:val="BodyText1"/>
        <w:rPr>
          <w:rFonts w:asciiTheme="minorHAnsi" w:eastAsiaTheme="minorEastAsia" w:hAnsiTheme="minorHAnsi" w:cstheme="minorHAnsi"/>
          <w:color w:val="auto"/>
          <w:sz w:val="24"/>
          <w:lang w:eastAsia="en-AU"/>
        </w:rPr>
      </w:pPr>
      <w:r w:rsidRPr="00742B66">
        <w:rPr>
          <w:rFonts w:asciiTheme="minorHAnsi" w:eastAsiaTheme="minorEastAsia" w:hAnsiTheme="minorHAnsi" w:cstheme="minorHAnsi"/>
          <w:color w:val="auto"/>
          <w:sz w:val="24"/>
          <w:lang w:eastAsia="en-AU"/>
        </w:rPr>
        <w:t xml:space="preserve">Accordingly ACCAN considers that the operation of rule </w:t>
      </w:r>
      <w:r w:rsidRPr="00742B66">
        <w:rPr>
          <w:rFonts w:asciiTheme="minorHAnsi" w:eastAsiaTheme="minorEastAsia" w:hAnsiTheme="minorHAnsi" w:cstheme="minorHAnsi"/>
          <w:b/>
          <w:color w:val="auto"/>
          <w:sz w:val="24"/>
          <w:lang w:eastAsia="en-AU"/>
        </w:rPr>
        <w:t xml:space="preserve">4.1.13 </w:t>
      </w:r>
      <w:r w:rsidRPr="00742B66">
        <w:rPr>
          <w:rFonts w:asciiTheme="minorHAnsi" w:eastAsiaTheme="minorEastAsia" w:hAnsiTheme="minorHAnsi" w:cstheme="minorHAnsi"/>
          <w:color w:val="auto"/>
          <w:sz w:val="24"/>
          <w:lang w:eastAsia="en-AU"/>
        </w:rPr>
        <w:t xml:space="preserve">may be enhanced by redrafting it as follows: </w:t>
      </w:r>
    </w:p>
    <w:p w:rsidR="001326D8" w:rsidRPr="001628C8" w:rsidRDefault="00623F4D" w:rsidP="001628C8">
      <w:pPr>
        <w:pStyle w:val="BodyText1"/>
        <w:ind w:left="720"/>
        <w:rPr>
          <w:rFonts w:asciiTheme="minorHAnsi" w:eastAsiaTheme="minorEastAsia" w:hAnsiTheme="minorHAnsi" w:cstheme="minorHAnsi"/>
          <w:color w:val="auto"/>
          <w:sz w:val="24"/>
          <w:lang w:eastAsia="en-AU"/>
        </w:rPr>
      </w:pPr>
      <w:r w:rsidRPr="00742B66">
        <w:rPr>
          <w:rFonts w:asciiTheme="minorHAnsi" w:eastAsiaTheme="minorEastAsia" w:hAnsiTheme="minorHAnsi" w:cstheme="minorHAnsi"/>
          <w:i/>
          <w:color w:val="auto"/>
          <w:sz w:val="24"/>
          <w:lang w:eastAsia="en-AU"/>
        </w:rPr>
        <w:t xml:space="preserve">For a </w:t>
      </w:r>
      <w:r w:rsidRPr="00742B66">
        <w:rPr>
          <w:rFonts w:asciiTheme="minorHAnsi" w:eastAsiaTheme="minorEastAsia" w:hAnsiTheme="minorHAnsi" w:cstheme="minorHAnsi"/>
          <w:i/>
          <w:strike/>
          <w:color w:val="00B0F0"/>
          <w:sz w:val="24"/>
          <w:lang w:eastAsia="en-AU"/>
        </w:rPr>
        <w:t>new residential</w:t>
      </w:r>
      <w:r w:rsidRPr="00742B66">
        <w:rPr>
          <w:rFonts w:asciiTheme="minorHAnsi" w:eastAsiaTheme="minorEastAsia" w:hAnsiTheme="minorHAnsi" w:cstheme="minorHAnsi"/>
          <w:i/>
          <w:color w:val="00B0F0"/>
          <w:sz w:val="24"/>
          <w:lang w:eastAsia="en-AU"/>
        </w:rPr>
        <w:t xml:space="preserve"> </w:t>
      </w:r>
      <w:r w:rsidRPr="001205F0">
        <w:rPr>
          <w:rFonts w:asciiTheme="minorHAnsi" w:eastAsiaTheme="minorEastAsia" w:hAnsiTheme="minorHAnsi" w:cstheme="minorHAnsi"/>
          <w:i/>
          <w:strike/>
          <w:color w:val="auto"/>
          <w:sz w:val="24"/>
          <w:lang w:eastAsia="en-AU"/>
        </w:rPr>
        <w:t>customer</w:t>
      </w:r>
      <w:r w:rsidRPr="00742B66">
        <w:rPr>
          <w:rFonts w:asciiTheme="minorHAnsi" w:eastAsiaTheme="minorEastAsia" w:hAnsiTheme="minorHAnsi" w:cstheme="minorHAnsi"/>
          <w:i/>
          <w:color w:val="auto"/>
          <w:sz w:val="24"/>
          <w:lang w:eastAsia="en-AU"/>
        </w:rPr>
        <w:t xml:space="preserve"> Pre-Paid or Post-Paid </w:t>
      </w:r>
      <w:r w:rsidR="001205F0">
        <w:rPr>
          <w:rFonts w:asciiTheme="minorHAnsi" w:eastAsiaTheme="minorEastAsia" w:hAnsiTheme="minorHAnsi" w:cstheme="minorHAnsi"/>
          <w:i/>
          <w:color w:val="00B0F0"/>
          <w:sz w:val="24"/>
          <w:lang w:eastAsia="en-AU"/>
        </w:rPr>
        <w:t>C</w:t>
      </w:r>
      <w:r w:rsidR="001205F0" w:rsidRPr="001205F0">
        <w:rPr>
          <w:rFonts w:asciiTheme="minorHAnsi" w:eastAsiaTheme="minorEastAsia" w:hAnsiTheme="minorHAnsi" w:cstheme="minorHAnsi"/>
          <w:i/>
          <w:color w:val="00B0F0"/>
          <w:sz w:val="24"/>
          <w:lang w:eastAsia="en-AU"/>
        </w:rPr>
        <w:t>ustomer</w:t>
      </w:r>
      <w:r w:rsidRPr="001205F0">
        <w:rPr>
          <w:rFonts w:asciiTheme="minorHAnsi" w:eastAsiaTheme="minorEastAsia" w:hAnsiTheme="minorHAnsi" w:cstheme="minorHAnsi"/>
          <w:i/>
          <w:color w:val="00B0F0"/>
          <w:sz w:val="24"/>
          <w:lang w:eastAsia="en-AU"/>
        </w:rPr>
        <w:t xml:space="preserve"> </w:t>
      </w:r>
      <w:r w:rsidRPr="00742B66">
        <w:rPr>
          <w:rFonts w:asciiTheme="minorHAnsi" w:eastAsiaTheme="minorEastAsia" w:hAnsiTheme="minorHAnsi" w:cstheme="minorHAnsi"/>
          <w:i/>
          <w:color w:val="auto"/>
          <w:sz w:val="24"/>
          <w:lang w:eastAsia="en-AU"/>
        </w:rPr>
        <w:t xml:space="preserve">with </w:t>
      </w:r>
      <w:r w:rsidR="001205F0" w:rsidRPr="001205F0">
        <w:rPr>
          <w:rFonts w:asciiTheme="minorHAnsi" w:eastAsiaTheme="minorEastAsia" w:hAnsiTheme="minorHAnsi" w:cstheme="minorHAnsi"/>
          <w:i/>
          <w:color w:val="00B0F0"/>
          <w:sz w:val="24"/>
          <w:lang w:eastAsia="en-AU"/>
        </w:rPr>
        <w:t>an</w:t>
      </w:r>
      <w:r w:rsidRPr="001205F0">
        <w:rPr>
          <w:rFonts w:asciiTheme="minorHAnsi" w:eastAsiaTheme="minorEastAsia" w:hAnsiTheme="minorHAnsi" w:cstheme="minorHAnsi"/>
          <w:i/>
          <w:color w:val="00B0F0"/>
          <w:sz w:val="24"/>
          <w:lang w:eastAsia="en-AU"/>
        </w:rPr>
        <w:t xml:space="preserve"> </w:t>
      </w:r>
      <w:r w:rsidRPr="00742B66">
        <w:rPr>
          <w:rFonts w:asciiTheme="minorHAnsi" w:eastAsiaTheme="minorEastAsia" w:hAnsiTheme="minorHAnsi" w:cstheme="minorHAnsi"/>
          <w:i/>
          <w:color w:val="auto"/>
          <w:sz w:val="24"/>
          <w:lang w:eastAsia="en-AU"/>
        </w:rPr>
        <w:t>End C</w:t>
      </w:r>
      <w:r w:rsidR="001205F0">
        <w:rPr>
          <w:rFonts w:asciiTheme="minorHAnsi" w:eastAsiaTheme="minorEastAsia" w:hAnsiTheme="minorHAnsi" w:cstheme="minorHAnsi"/>
          <w:i/>
          <w:color w:val="auto"/>
          <w:sz w:val="24"/>
          <w:lang w:eastAsia="en-AU"/>
        </w:rPr>
        <w:t>arriage Supplier, an End Carriage</w:t>
      </w:r>
      <w:r w:rsidRPr="00742B66">
        <w:rPr>
          <w:rFonts w:asciiTheme="minorHAnsi" w:eastAsiaTheme="minorEastAsia" w:hAnsiTheme="minorHAnsi" w:cstheme="minorHAnsi"/>
          <w:i/>
          <w:color w:val="auto"/>
          <w:sz w:val="24"/>
          <w:lang w:eastAsia="en-AU"/>
        </w:rPr>
        <w:t xml:space="preserve"> Supplier must limit a Customer’s monthly expenditure on </w:t>
      </w:r>
      <w:r w:rsidRPr="00742B66">
        <w:rPr>
          <w:rFonts w:asciiTheme="minorHAnsi" w:eastAsiaTheme="minorEastAsia" w:hAnsiTheme="minorHAnsi" w:cstheme="minorHAnsi"/>
          <w:i/>
          <w:color w:val="00B0F0"/>
          <w:sz w:val="24"/>
          <w:lang w:eastAsia="en-AU"/>
        </w:rPr>
        <w:t xml:space="preserve">Mobile </w:t>
      </w:r>
      <w:r w:rsidRPr="00742B66">
        <w:rPr>
          <w:rFonts w:asciiTheme="minorHAnsi" w:eastAsiaTheme="minorEastAsia" w:hAnsiTheme="minorHAnsi" w:cstheme="minorHAnsi"/>
          <w:i/>
          <w:color w:val="auto"/>
          <w:sz w:val="24"/>
          <w:lang w:eastAsia="en-AU"/>
        </w:rPr>
        <w:t xml:space="preserve">Premium Services to </w:t>
      </w:r>
      <w:r w:rsidR="001205F0">
        <w:rPr>
          <w:rFonts w:asciiTheme="minorHAnsi" w:eastAsiaTheme="minorEastAsia" w:hAnsiTheme="minorHAnsi" w:cstheme="minorHAnsi"/>
          <w:i/>
          <w:color w:val="auto"/>
          <w:sz w:val="24"/>
          <w:lang w:eastAsia="en-AU"/>
        </w:rPr>
        <w:t xml:space="preserve">no more than </w:t>
      </w:r>
      <w:r w:rsidR="001205F0">
        <w:rPr>
          <w:rFonts w:asciiTheme="minorHAnsi" w:eastAsiaTheme="minorEastAsia" w:hAnsiTheme="minorHAnsi" w:cstheme="minorHAnsi"/>
          <w:i/>
          <w:color w:val="00B0F0"/>
          <w:sz w:val="24"/>
          <w:lang w:eastAsia="en-AU"/>
        </w:rPr>
        <w:t>$0,</w:t>
      </w:r>
      <w:r w:rsidRPr="00742B66">
        <w:rPr>
          <w:rFonts w:asciiTheme="minorHAnsi" w:eastAsiaTheme="minorEastAsia" w:hAnsiTheme="minorHAnsi" w:cstheme="minorHAnsi"/>
          <w:i/>
          <w:color w:val="00B0F0"/>
          <w:sz w:val="24"/>
          <w:lang w:eastAsia="en-AU"/>
        </w:rPr>
        <w:t xml:space="preserve"> </w:t>
      </w:r>
      <w:r w:rsidRPr="001205F0">
        <w:rPr>
          <w:rFonts w:asciiTheme="minorHAnsi" w:eastAsiaTheme="minorEastAsia" w:hAnsiTheme="minorHAnsi" w:cstheme="minorHAnsi"/>
          <w:i/>
          <w:strike/>
          <w:color w:val="auto"/>
          <w:sz w:val="24"/>
          <w:lang w:eastAsia="en-AU"/>
        </w:rPr>
        <w:t>When the limit is reached an End Carriage Supplier must restrict the Customer’s access</w:t>
      </w:r>
      <w:r w:rsidR="001205F0" w:rsidRPr="001205F0">
        <w:rPr>
          <w:rFonts w:asciiTheme="minorHAnsi" w:eastAsiaTheme="minorEastAsia" w:hAnsiTheme="minorHAnsi" w:cstheme="minorHAnsi"/>
          <w:i/>
          <w:strike/>
          <w:color w:val="auto"/>
          <w:sz w:val="24"/>
          <w:lang w:eastAsia="en-AU"/>
        </w:rPr>
        <w:t xml:space="preserve"> to</w:t>
      </w:r>
      <w:r w:rsidRPr="001205F0">
        <w:rPr>
          <w:rFonts w:asciiTheme="minorHAnsi" w:eastAsiaTheme="minorEastAsia" w:hAnsiTheme="minorHAnsi" w:cstheme="minorHAnsi"/>
          <w:i/>
          <w:strike/>
          <w:color w:val="00B0F0"/>
          <w:sz w:val="24"/>
          <w:lang w:eastAsia="en-AU"/>
        </w:rPr>
        <w:t xml:space="preserve"> </w:t>
      </w:r>
      <w:r w:rsidRPr="001205F0">
        <w:rPr>
          <w:rFonts w:asciiTheme="minorHAnsi" w:eastAsiaTheme="minorEastAsia" w:hAnsiTheme="minorHAnsi" w:cstheme="minorHAnsi"/>
          <w:i/>
          <w:strike/>
          <w:color w:val="auto"/>
          <w:sz w:val="24"/>
          <w:lang w:eastAsia="en-AU"/>
        </w:rPr>
        <w:t>Premium Services,</w:t>
      </w:r>
      <w:r w:rsidR="001205F0" w:rsidRPr="001205F0">
        <w:rPr>
          <w:rFonts w:asciiTheme="minorHAnsi" w:eastAsiaTheme="minorEastAsia" w:hAnsiTheme="minorHAnsi" w:cstheme="minorHAnsi"/>
          <w:i/>
          <w:color w:val="auto"/>
          <w:sz w:val="24"/>
          <w:lang w:eastAsia="en-AU"/>
        </w:rPr>
        <w:t xml:space="preserve"> </w:t>
      </w:r>
      <w:r w:rsidR="001205F0">
        <w:rPr>
          <w:rFonts w:asciiTheme="minorHAnsi" w:eastAsiaTheme="minorEastAsia" w:hAnsiTheme="minorHAnsi" w:cstheme="minorHAnsi"/>
          <w:i/>
          <w:color w:val="auto"/>
          <w:sz w:val="24"/>
          <w:lang w:eastAsia="en-AU"/>
        </w:rPr>
        <w:t>s</w:t>
      </w:r>
      <w:r w:rsidRPr="00742B66">
        <w:rPr>
          <w:rFonts w:asciiTheme="minorHAnsi" w:eastAsiaTheme="minorEastAsia" w:hAnsiTheme="minorHAnsi" w:cstheme="minorHAnsi"/>
          <w:i/>
          <w:color w:val="auto"/>
          <w:sz w:val="24"/>
          <w:lang w:eastAsia="en-AU"/>
        </w:rPr>
        <w:t xml:space="preserve">o that no </w:t>
      </w:r>
      <w:r w:rsidRPr="001205F0">
        <w:rPr>
          <w:rFonts w:asciiTheme="minorHAnsi" w:eastAsiaTheme="minorEastAsia" w:hAnsiTheme="minorHAnsi" w:cstheme="minorHAnsi"/>
          <w:i/>
          <w:strike/>
          <w:color w:val="auto"/>
          <w:sz w:val="24"/>
          <w:lang w:eastAsia="en-AU"/>
        </w:rPr>
        <w:t>additional</w:t>
      </w:r>
      <w:r w:rsidRPr="00742B66">
        <w:rPr>
          <w:rFonts w:asciiTheme="minorHAnsi" w:eastAsiaTheme="minorEastAsia" w:hAnsiTheme="minorHAnsi" w:cstheme="minorHAnsi"/>
          <w:i/>
          <w:color w:val="auto"/>
          <w:sz w:val="24"/>
          <w:lang w:eastAsia="en-AU"/>
        </w:rPr>
        <w:t xml:space="preserve"> expenditure can be incurred by the Customer unless the Customer requests the End Carriage Supplier to increase the limit.</w:t>
      </w:r>
      <w:r w:rsidRPr="00742B66">
        <w:rPr>
          <w:rStyle w:val="FootnoteReference"/>
          <w:rFonts w:asciiTheme="minorHAnsi" w:eastAsiaTheme="minorEastAsia" w:hAnsiTheme="minorHAnsi" w:cstheme="minorHAnsi"/>
          <w:color w:val="auto"/>
          <w:sz w:val="24"/>
          <w:lang w:eastAsia="en-AU"/>
        </w:rPr>
        <w:t xml:space="preserve"> </w:t>
      </w:r>
      <w:r w:rsidRPr="00742B66">
        <w:rPr>
          <w:rStyle w:val="FootnoteReference"/>
          <w:rFonts w:asciiTheme="minorHAnsi" w:eastAsiaTheme="minorEastAsia" w:hAnsiTheme="minorHAnsi" w:cstheme="minorHAnsi"/>
          <w:color w:val="auto"/>
          <w:sz w:val="24"/>
          <w:lang w:eastAsia="en-AU"/>
        </w:rPr>
        <w:footnoteReference w:id="14"/>
      </w:r>
      <w:bookmarkStart w:id="4" w:name="_GoBack"/>
      <w:bookmarkEnd w:id="4"/>
    </w:p>
    <w:p w:rsidR="00395779" w:rsidRPr="001A0A54" w:rsidRDefault="00395779" w:rsidP="00395779">
      <w:pPr>
        <w:pStyle w:val="BodyText1"/>
        <w:rPr>
          <w:rFonts w:asciiTheme="minorHAnsi" w:eastAsiaTheme="minorEastAsia" w:hAnsiTheme="minorHAnsi" w:cstheme="minorHAnsi"/>
          <w:b/>
          <w:color w:val="auto"/>
          <w:sz w:val="32"/>
          <w:lang w:eastAsia="en-AU"/>
        </w:rPr>
      </w:pPr>
      <w:r w:rsidRPr="001A0A54">
        <w:rPr>
          <w:rFonts w:asciiTheme="minorHAnsi" w:eastAsiaTheme="minorEastAsia" w:hAnsiTheme="minorHAnsi" w:cstheme="minorHAnsi"/>
          <w:b/>
          <w:color w:val="auto"/>
          <w:sz w:val="32"/>
          <w:lang w:eastAsia="en-AU"/>
        </w:rPr>
        <w:lastRenderedPageBreak/>
        <w:t xml:space="preserve">Content of $30 expenditure update: 4.3.4  </w:t>
      </w:r>
    </w:p>
    <w:p w:rsidR="00395779" w:rsidRPr="00742B66" w:rsidRDefault="00395779" w:rsidP="00742B66">
      <w:pPr>
        <w:pStyle w:val="BodyText1"/>
        <w:rPr>
          <w:rFonts w:asciiTheme="minorHAnsi" w:eastAsiaTheme="minorEastAsia" w:hAnsiTheme="minorHAnsi" w:cstheme="minorHAnsi"/>
          <w:color w:val="auto"/>
          <w:sz w:val="24"/>
          <w:szCs w:val="24"/>
          <w:lang w:eastAsia="en-AU"/>
        </w:rPr>
      </w:pPr>
      <w:r w:rsidRPr="00742B66">
        <w:rPr>
          <w:rFonts w:asciiTheme="minorHAnsi" w:eastAsiaTheme="minorEastAsia" w:hAnsiTheme="minorHAnsi" w:cstheme="minorHAnsi"/>
          <w:color w:val="auto"/>
          <w:sz w:val="24"/>
          <w:szCs w:val="24"/>
          <w:lang w:eastAsia="en-AU"/>
        </w:rPr>
        <w:t>Rule</w:t>
      </w:r>
      <w:r w:rsidRPr="00742B66">
        <w:rPr>
          <w:rFonts w:asciiTheme="minorHAnsi" w:eastAsiaTheme="minorEastAsia" w:hAnsiTheme="minorHAnsi" w:cstheme="minorHAnsi"/>
          <w:b/>
          <w:color w:val="auto"/>
          <w:sz w:val="24"/>
          <w:szCs w:val="24"/>
          <w:lang w:eastAsia="en-AU"/>
        </w:rPr>
        <w:t xml:space="preserve"> 4.3.4 </w:t>
      </w:r>
      <w:r w:rsidRPr="00742B66">
        <w:rPr>
          <w:rFonts w:asciiTheme="minorHAnsi" w:eastAsiaTheme="minorEastAsia" w:hAnsiTheme="minorHAnsi" w:cstheme="minorHAnsi"/>
          <w:color w:val="auto"/>
          <w:sz w:val="24"/>
          <w:szCs w:val="24"/>
          <w:lang w:eastAsia="en-AU"/>
        </w:rPr>
        <w:t xml:space="preserve">of the draft </w:t>
      </w:r>
      <w:r w:rsidR="00687271" w:rsidRPr="00742B66">
        <w:rPr>
          <w:rFonts w:asciiTheme="minorHAnsi" w:eastAsiaTheme="minorEastAsia" w:hAnsiTheme="minorHAnsi" w:cstheme="minorHAnsi"/>
          <w:color w:val="auto"/>
          <w:sz w:val="24"/>
          <w:szCs w:val="24"/>
          <w:lang w:eastAsia="en-AU"/>
        </w:rPr>
        <w:t>C</w:t>
      </w:r>
      <w:r w:rsidRPr="00742B66">
        <w:rPr>
          <w:rFonts w:asciiTheme="minorHAnsi" w:eastAsiaTheme="minorEastAsia" w:hAnsiTheme="minorHAnsi" w:cstheme="minorHAnsi"/>
          <w:color w:val="auto"/>
          <w:sz w:val="24"/>
          <w:szCs w:val="24"/>
          <w:lang w:eastAsia="en-AU"/>
        </w:rPr>
        <w:t xml:space="preserve">ode requires that an update be sent to consumers when they have spent $30 on non-subscription premium services within that month, or following the expenditure of a further $30 per month. Rule </w:t>
      </w:r>
      <w:r w:rsidRPr="00742B66">
        <w:rPr>
          <w:rFonts w:asciiTheme="minorHAnsi" w:eastAsiaTheme="minorEastAsia" w:hAnsiTheme="minorHAnsi" w:cstheme="minorHAnsi"/>
          <w:b/>
          <w:color w:val="auto"/>
          <w:sz w:val="24"/>
          <w:szCs w:val="24"/>
          <w:lang w:eastAsia="en-AU"/>
        </w:rPr>
        <w:t>4.4.11</w:t>
      </w:r>
      <w:r w:rsidRPr="00742B66">
        <w:rPr>
          <w:rFonts w:asciiTheme="minorHAnsi" w:eastAsiaTheme="minorEastAsia" w:hAnsiTheme="minorHAnsi" w:cstheme="minorHAnsi"/>
          <w:color w:val="auto"/>
          <w:sz w:val="24"/>
          <w:szCs w:val="24"/>
          <w:lang w:eastAsia="en-AU"/>
        </w:rPr>
        <w:t xml:space="preserve"> similarly applies the $30 expenditure warning notification to a subscription premium service. </w:t>
      </w:r>
    </w:p>
    <w:p w:rsidR="00395779" w:rsidRPr="00742B66" w:rsidRDefault="00395779" w:rsidP="00742B66">
      <w:pPr>
        <w:pStyle w:val="BodyText1"/>
        <w:rPr>
          <w:rFonts w:asciiTheme="minorHAnsi" w:eastAsiaTheme="minorEastAsia" w:hAnsiTheme="minorHAnsi" w:cstheme="minorHAnsi"/>
          <w:color w:val="auto"/>
          <w:sz w:val="24"/>
          <w:szCs w:val="24"/>
          <w:lang w:eastAsia="en-AU"/>
        </w:rPr>
      </w:pPr>
      <w:r w:rsidRPr="00742B66">
        <w:rPr>
          <w:rFonts w:asciiTheme="minorHAnsi" w:eastAsiaTheme="minorEastAsia" w:hAnsiTheme="minorHAnsi" w:cstheme="minorHAnsi"/>
          <w:color w:val="auto"/>
          <w:sz w:val="24"/>
          <w:szCs w:val="24"/>
          <w:lang w:eastAsia="en-AU"/>
        </w:rPr>
        <w:t xml:space="preserve">As outlined above however, the failure of the provision to explicitly refer to Mobile Premium Services in its drafting excludes Proprietary Network Services from the scope of the update requirements. In light of the material harm faced by users of these services ACCAN considers that it is appropriate to extend the expenditure update requirements to these services.  </w:t>
      </w:r>
    </w:p>
    <w:p w:rsidR="00395779" w:rsidRPr="00742B66" w:rsidRDefault="00395779" w:rsidP="00742B66">
      <w:pPr>
        <w:pStyle w:val="BodyText1"/>
        <w:rPr>
          <w:rFonts w:asciiTheme="minorHAnsi" w:eastAsiaTheme="minorEastAsia" w:hAnsiTheme="minorHAnsi" w:cstheme="minorHAnsi"/>
          <w:color w:val="auto"/>
          <w:sz w:val="24"/>
          <w:szCs w:val="24"/>
          <w:lang w:eastAsia="en-AU"/>
        </w:rPr>
      </w:pPr>
      <w:r w:rsidRPr="00742B66">
        <w:rPr>
          <w:rFonts w:asciiTheme="minorHAnsi" w:eastAsiaTheme="minorEastAsia" w:hAnsiTheme="minorHAnsi" w:cstheme="minorHAnsi"/>
          <w:color w:val="auto"/>
          <w:sz w:val="24"/>
          <w:szCs w:val="24"/>
          <w:lang w:eastAsia="en-AU"/>
        </w:rPr>
        <w:t>As noted elsewhere in this submission less than 17% of consumers face charges in excess of $30 in value per month.</w:t>
      </w:r>
      <w:r w:rsidRPr="00742B66">
        <w:rPr>
          <w:rStyle w:val="FootnoteReference"/>
          <w:rFonts w:asciiTheme="minorHAnsi" w:eastAsiaTheme="minorEastAsia" w:hAnsiTheme="minorHAnsi" w:cstheme="minorHAnsi"/>
          <w:color w:val="auto"/>
          <w:sz w:val="24"/>
          <w:szCs w:val="24"/>
          <w:lang w:eastAsia="en-AU"/>
        </w:rPr>
        <w:footnoteReference w:id="15"/>
      </w:r>
      <w:r w:rsidRPr="00742B66">
        <w:rPr>
          <w:rFonts w:asciiTheme="minorHAnsi" w:eastAsiaTheme="minorEastAsia" w:hAnsiTheme="minorHAnsi" w:cstheme="minorHAnsi"/>
          <w:color w:val="auto"/>
          <w:sz w:val="24"/>
          <w:szCs w:val="24"/>
          <w:lang w:eastAsia="en-AU"/>
        </w:rPr>
        <w:t xml:space="preserve">Accordingly advising consumers when they have exceeded a $30 threshold of expenditure is unlikely to provide assistance except to those consumers that typically see bills well in excess of the average. This is concerning to ACCAN as a significant number of consumers who face unexpected charges are on low incomes, and have purchased low cost mobile services in an attempt to constrain their telecommunications expenditure. </w:t>
      </w:r>
    </w:p>
    <w:p w:rsidR="00395779" w:rsidRPr="00742B66" w:rsidRDefault="00395779" w:rsidP="00742B66">
      <w:pPr>
        <w:pStyle w:val="BodyText1"/>
        <w:rPr>
          <w:rFonts w:asciiTheme="minorHAnsi" w:eastAsiaTheme="minorEastAsia" w:hAnsiTheme="minorHAnsi" w:cstheme="minorHAnsi"/>
          <w:color w:val="auto"/>
          <w:sz w:val="24"/>
          <w:szCs w:val="24"/>
          <w:lang w:eastAsia="en-AU"/>
        </w:rPr>
      </w:pPr>
      <w:r w:rsidRPr="00742B66">
        <w:rPr>
          <w:rFonts w:asciiTheme="minorHAnsi" w:eastAsiaTheme="minorEastAsia" w:hAnsiTheme="minorHAnsi" w:cstheme="minorHAnsi"/>
          <w:color w:val="auto"/>
          <w:sz w:val="24"/>
          <w:szCs w:val="24"/>
          <w:lang w:eastAsia="en-AU"/>
        </w:rPr>
        <w:t>In a market context where consumers can purchase pre-paid mobile services at the price of $10 ACCAN considers setting the threshold for notification at $30 or three times the entry level price is inappropriate and likely to be ineffective in protecting vulnerable consumers. Accordingly ACCAN support</w:t>
      </w:r>
      <w:r w:rsidR="00687271" w:rsidRPr="00742B66">
        <w:rPr>
          <w:rFonts w:asciiTheme="minorHAnsi" w:eastAsiaTheme="minorEastAsia" w:hAnsiTheme="minorHAnsi" w:cstheme="minorHAnsi"/>
          <w:color w:val="auto"/>
          <w:sz w:val="24"/>
          <w:szCs w:val="24"/>
          <w:lang w:eastAsia="en-AU"/>
        </w:rPr>
        <w:t>s</w:t>
      </w:r>
      <w:r w:rsidRPr="00742B66">
        <w:rPr>
          <w:rFonts w:asciiTheme="minorHAnsi" w:eastAsiaTheme="minorEastAsia" w:hAnsiTheme="minorHAnsi" w:cstheme="minorHAnsi"/>
          <w:color w:val="auto"/>
          <w:sz w:val="24"/>
          <w:szCs w:val="24"/>
          <w:lang w:eastAsia="en-AU"/>
        </w:rPr>
        <w:t xml:space="preserve"> the reduction in the threshold for notification to $5 to ensure that all consumers using services are notified in a timely fashion. </w:t>
      </w:r>
    </w:p>
    <w:p w:rsidR="00395779" w:rsidRPr="00C06FF2" w:rsidRDefault="00395779" w:rsidP="001A0A54">
      <w:pPr>
        <w:pStyle w:val="BodyText1"/>
        <w:jc w:val="both"/>
        <w:rPr>
          <w:rFonts w:eastAsiaTheme="minorEastAsia"/>
          <w:b/>
          <w:color w:val="auto"/>
          <w:sz w:val="32"/>
          <w:szCs w:val="24"/>
          <w:lang w:eastAsia="en-AU"/>
        </w:rPr>
      </w:pPr>
      <w:r w:rsidRPr="00C06FF2">
        <w:rPr>
          <w:rFonts w:eastAsiaTheme="minorEastAsia"/>
          <w:b/>
          <w:color w:val="auto"/>
          <w:sz w:val="32"/>
          <w:szCs w:val="24"/>
          <w:lang w:eastAsia="en-AU"/>
        </w:rPr>
        <w:t xml:space="preserve">Recommended drafting </w:t>
      </w:r>
    </w:p>
    <w:p w:rsidR="00395779" w:rsidRPr="00742B66" w:rsidRDefault="00395779" w:rsidP="001A0A54">
      <w:pPr>
        <w:pStyle w:val="BodyText1"/>
        <w:jc w:val="both"/>
        <w:rPr>
          <w:rFonts w:asciiTheme="minorHAnsi" w:eastAsiaTheme="minorEastAsia" w:hAnsiTheme="minorHAnsi" w:cstheme="minorHAnsi"/>
          <w:color w:val="auto"/>
          <w:sz w:val="24"/>
          <w:szCs w:val="24"/>
          <w:lang w:eastAsia="en-AU"/>
        </w:rPr>
      </w:pPr>
      <w:r w:rsidRPr="00742B66">
        <w:rPr>
          <w:rFonts w:asciiTheme="minorHAnsi" w:eastAsiaTheme="minorEastAsia" w:hAnsiTheme="minorHAnsi" w:cstheme="minorHAnsi"/>
          <w:color w:val="auto"/>
          <w:sz w:val="24"/>
          <w:szCs w:val="24"/>
          <w:lang w:eastAsia="en-AU"/>
        </w:rPr>
        <w:t xml:space="preserve">ACCAN considers that the operation of rule </w:t>
      </w:r>
      <w:r w:rsidRPr="00742B66">
        <w:rPr>
          <w:rFonts w:asciiTheme="minorHAnsi" w:eastAsiaTheme="minorEastAsia" w:hAnsiTheme="minorHAnsi" w:cstheme="minorHAnsi"/>
          <w:b/>
          <w:color w:val="auto"/>
          <w:sz w:val="24"/>
          <w:szCs w:val="24"/>
          <w:lang w:eastAsia="en-AU"/>
        </w:rPr>
        <w:t>4.3.4</w:t>
      </w:r>
      <w:r w:rsidRPr="00742B66">
        <w:rPr>
          <w:rFonts w:asciiTheme="minorHAnsi" w:eastAsiaTheme="minorEastAsia" w:hAnsiTheme="minorHAnsi" w:cstheme="minorHAnsi"/>
          <w:color w:val="auto"/>
          <w:sz w:val="24"/>
          <w:szCs w:val="24"/>
          <w:lang w:eastAsia="en-AU"/>
        </w:rPr>
        <w:t xml:space="preserve"> may be enhanced by redrafting it as follows: </w:t>
      </w:r>
    </w:p>
    <w:p w:rsidR="00395779" w:rsidRPr="00742B66" w:rsidRDefault="00395779" w:rsidP="001A0A54">
      <w:pPr>
        <w:pStyle w:val="BodyText1"/>
        <w:ind w:left="360"/>
        <w:jc w:val="both"/>
        <w:rPr>
          <w:rFonts w:asciiTheme="minorHAnsi" w:eastAsiaTheme="minorEastAsia" w:hAnsiTheme="minorHAnsi" w:cstheme="minorHAnsi"/>
          <w:i/>
          <w:color w:val="auto"/>
          <w:sz w:val="24"/>
          <w:szCs w:val="24"/>
          <w:lang w:eastAsia="en-AU"/>
        </w:rPr>
      </w:pPr>
      <w:r w:rsidRPr="00742B66">
        <w:rPr>
          <w:rFonts w:asciiTheme="minorHAnsi" w:eastAsiaTheme="minorEastAsia" w:hAnsiTheme="minorHAnsi" w:cstheme="minorHAnsi"/>
          <w:i/>
          <w:color w:val="00B0F0"/>
          <w:sz w:val="24"/>
          <w:szCs w:val="24"/>
          <w:lang w:eastAsia="en-AU"/>
        </w:rPr>
        <w:t xml:space="preserve">$5 </w:t>
      </w:r>
      <w:r w:rsidRPr="00742B66">
        <w:rPr>
          <w:rFonts w:asciiTheme="minorHAnsi" w:eastAsiaTheme="minorEastAsia" w:hAnsiTheme="minorHAnsi" w:cstheme="minorHAnsi"/>
          <w:i/>
          <w:color w:val="auto"/>
          <w:sz w:val="24"/>
          <w:szCs w:val="24"/>
          <w:lang w:eastAsia="en-AU"/>
        </w:rPr>
        <w:t>expenditure updates: A Content Supplier must send an expenditure update to a Customer of a Single Purchase Service</w:t>
      </w:r>
      <w:r w:rsidRPr="00742B66">
        <w:rPr>
          <w:rFonts w:asciiTheme="minorHAnsi" w:eastAsiaTheme="minorEastAsia" w:hAnsiTheme="minorHAnsi" w:cstheme="minorHAnsi"/>
          <w:i/>
          <w:strike/>
          <w:color w:val="auto"/>
          <w:sz w:val="24"/>
          <w:szCs w:val="24"/>
          <w:lang w:eastAsia="en-AU"/>
        </w:rPr>
        <w:t>,</w:t>
      </w:r>
      <w:r w:rsidRPr="00742B66">
        <w:rPr>
          <w:rFonts w:asciiTheme="minorHAnsi" w:eastAsiaTheme="minorEastAsia" w:hAnsiTheme="minorHAnsi" w:cstheme="minorHAnsi"/>
          <w:i/>
          <w:color w:val="00B0F0"/>
          <w:sz w:val="24"/>
          <w:szCs w:val="24"/>
          <w:lang w:eastAsia="en-AU"/>
        </w:rPr>
        <w:t xml:space="preserve"> </w:t>
      </w:r>
      <w:r w:rsidRPr="00742B66">
        <w:rPr>
          <w:rFonts w:asciiTheme="minorHAnsi" w:eastAsiaTheme="minorEastAsia" w:hAnsiTheme="minorHAnsi" w:cstheme="minorHAnsi"/>
          <w:i/>
          <w:color w:val="auto"/>
          <w:sz w:val="24"/>
          <w:szCs w:val="24"/>
          <w:lang w:eastAsia="en-AU"/>
        </w:rPr>
        <w:t xml:space="preserve">as a standard, dedicated SMS message (with no Premium Fees charged to the Customer for the message): </w:t>
      </w:r>
    </w:p>
    <w:p w:rsidR="00395779" w:rsidRPr="00742B66" w:rsidRDefault="00395779" w:rsidP="001A0A54">
      <w:pPr>
        <w:pStyle w:val="BodyText1"/>
        <w:numPr>
          <w:ilvl w:val="0"/>
          <w:numId w:val="49"/>
        </w:numPr>
        <w:ind w:left="1080"/>
        <w:jc w:val="both"/>
        <w:rPr>
          <w:rFonts w:asciiTheme="minorHAnsi" w:eastAsiaTheme="minorEastAsia" w:hAnsiTheme="minorHAnsi" w:cstheme="minorHAnsi"/>
          <w:i/>
          <w:color w:val="auto"/>
          <w:sz w:val="24"/>
          <w:szCs w:val="24"/>
          <w:lang w:eastAsia="en-AU"/>
        </w:rPr>
      </w:pPr>
      <w:r w:rsidRPr="00742B66">
        <w:rPr>
          <w:rFonts w:asciiTheme="minorHAnsi" w:eastAsiaTheme="minorEastAsia" w:hAnsiTheme="minorHAnsi" w:cstheme="minorHAnsi"/>
          <w:i/>
          <w:color w:val="auto"/>
          <w:sz w:val="24"/>
          <w:szCs w:val="24"/>
          <w:lang w:eastAsia="en-AU"/>
        </w:rPr>
        <w:t xml:space="preserve">Once the Customer has incurred </w:t>
      </w:r>
      <w:r w:rsidRPr="00742B66">
        <w:rPr>
          <w:rFonts w:asciiTheme="minorHAnsi" w:eastAsiaTheme="minorEastAsia" w:hAnsiTheme="minorHAnsi" w:cstheme="minorHAnsi"/>
          <w:i/>
          <w:color w:val="00B0F0"/>
          <w:sz w:val="24"/>
          <w:szCs w:val="24"/>
          <w:lang w:eastAsia="en-AU"/>
        </w:rPr>
        <w:t xml:space="preserve">$5 </w:t>
      </w:r>
      <w:r w:rsidRPr="00742B66">
        <w:rPr>
          <w:rFonts w:asciiTheme="minorHAnsi" w:eastAsiaTheme="minorEastAsia" w:hAnsiTheme="minorHAnsi" w:cstheme="minorHAnsi"/>
          <w:i/>
          <w:color w:val="auto"/>
          <w:sz w:val="24"/>
          <w:szCs w:val="24"/>
          <w:lang w:eastAsia="en-AU"/>
        </w:rPr>
        <w:t xml:space="preserve">of </w:t>
      </w:r>
      <w:r w:rsidRPr="00742B66">
        <w:rPr>
          <w:rFonts w:asciiTheme="minorHAnsi" w:eastAsiaTheme="minorEastAsia" w:hAnsiTheme="minorHAnsi" w:cstheme="minorHAnsi"/>
          <w:i/>
          <w:color w:val="00B0F0"/>
          <w:sz w:val="24"/>
          <w:szCs w:val="24"/>
          <w:lang w:eastAsia="en-AU"/>
        </w:rPr>
        <w:t xml:space="preserve">Mobile </w:t>
      </w:r>
      <w:r w:rsidRPr="00742B66">
        <w:rPr>
          <w:rFonts w:asciiTheme="minorHAnsi" w:eastAsiaTheme="minorEastAsia" w:hAnsiTheme="minorHAnsi" w:cstheme="minorHAnsi"/>
          <w:i/>
          <w:color w:val="auto"/>
          <w:sz w:val="24"/>
          <w:szCs w:val="24"/>
          <w:lang w:eastAsia="en-AU"/>
        </w:rPr>
        <w:t xml:space="preserve">Premium Fees in a single calendar month; and </w:t>
      </w:r>
    </w:p>
    <w:p w:rsidR="001A0A54" w:rsidRPr="00742B66" w:rsidRDefault="00395779" w:rsidP="001A0A54">
      <w:pPr>
        <w:pStyle w:val="BodyText1"/>
        <w:numPr>
          <w:ilvl w:val="0"/>
          <w:numId w:val="49"/>
        </w:numPr>
        <w:ind w:left="1080"/>
        <w:jc w:val="both"/>
        <w:rPr>
          <w:rFonts w:asciiTheme="minorHAnsi" w:eastAsiaTheme="minorEastAsia" w:hAnsiTheme="minorHAnsi" w:cstheme="minorHAnsi"/>
          <w:i/>
          <w:color w:val="auto"/>
          <w:sz w:val="24"/>
          <w:szCs w:val="24"/>
          <w:lang w:eastAsia="en-AU"/>
        </w:rPr>
      </w:pPr>
      <w:r w:rsidRPr="00742B66">
        <w:rPr>
          <w:rFonts w:asciiTheme="minorHAnsi" w:eastAsiaTheme="minorEastAsia" w:hAnsiTheme="minorHAnsi" w:cstheme="minorHAnsi"/>
          <w:i/>
          <w:color w:val="auto"/>
          <w:sz w:val="24"/>
          <w:szCs w:val="24"/>
          <w:lang w:eastAsia="en-AU"/>
        </w:rPr>
        <w:t xml:space="preserve">Each time the Customer incurs an additional incremental </w:t>
      </w:r>
      <w:r w:rsidRPr="00742B66">
        <w:rPr>
          <w:rFonts w:asciiTheme="minorHAnsi" w:eastAsiaTheme="minorEastAsia" w:hAnsiTheme="minorHAnsi" w:cstheme="minorHAnsi"/>
          <w:i/>
          <w:color w:val="00B0F0"/>
          <w:sz w:val="24"/>
          <w:szCs w:val="24"/>
          <w:lang w:eastAsia="en-AU"/>
        </w:rPr>
        <w:t xml:space="preserve">$5 </w:t>
      </w:r>
      <w:r w:rsidRPr="00742B66">
        <w:rPr>
          <w:rFonts w:asciiTheme="minorHAnsi" w:eastAsiaTheme="minorEastAsia" w:hAnsiTheme="minorHAnsi" w:cstheme="minorHAnsi"/>
          <w:i/>
          <w:color w:val="auto"/>
          <w:sz w:val="24"/>
          <w:szCs w:val="24"/>
          <w:lang w:eastAsia="en-AU"/>
        </w:rPr>
        <w:t xml:space="preserve">of </w:t>
      </w:r>
      <w:r w:rsidRPr="00742B66">
        <w:rPr>
          <w:rFonts w:asciiTheme="minorHAnsi" w:eastAsiaTheme="minorEastAsia" w:hAnsiTheme="minorHAnsi" w:cstheme="minorHAnsi"/>
          <w:i/>
          <w:color w:val="00B0F0"/>
          <w:sz w:val="24"/>
          <w:szCs w:val="24"/>
          <w:lang w:eastAsia="en-AU"/>
        </w:rPr>
        <w:t xml:space="preserve">Mobile </w:t>
      </w:r>
      <w:r w:rsidRPr="00742B66">
        <w:rPr>
          <w:rFonts w:asciiTheme="minorHAnsi" w:eastAsiaTheme="minorEastAsia" w:hAnsiTheme="minorHAnsi" w:cstheme="minorHAnsi"/>
          <w:i/>
          <w:color w:val="auto"/>
          <w:sz w:val="24"/>
          <w:szCs w:val="24"/>
          <w:lang w:eastAsia="en-AU"/>
        </w:rPr>
        <w:t xml:space="preserve">Premium Fees in that calendar month. </w:t>
      </w:r>
    </w:p>
    <w:p w:rsidR="005B272D" w:rsidRPr="00742B66" w:rsidRDefault="005B272D" w:rsidP="005B272D">
      <w:pPr>
        <w:pStyle w:val="BodyText1"/>
        <w:jc w:val="both"/>
        <w:rPr>
          <w:rFonts w:asciiTheme="minorHAnsi" w:eastAsiaTheme="minorEastAsia" w:hAnsiTheme="minorHAnsi" w:cstheme="minorHAnsi"/>
          <w:i/>
          <w:color w:val="auto"/>
          <w:sz w:val="24"/>
          <w:szCs w:val="24"/>
          <w:lang w:eastAsia="en-AU"/>
        </w:rPr>
      </w:pPr>
    </w:p>
    <w:p w:rsidR="00E31139" w:rsidRPr="00742B66" w:rsidRDefault="00395779" w:rsidP="00742B66">
      <w:pPr>
        <w:pStyle w:val="BodyText1"/>
        <w:rPr>
          <w:rFonts w:asciiTheme="minorHAnsi" w:eastAsiaTheme="minorEastAsia" w:hAnsiTheme="minorHAnsi" w:cstheme="minorHAnsi"/>
          <w:color w:val="auto"/>
          <w:sz w:val="24"/>
          <w:szCs w:val="24"/>
          <w:lang w:eastAsia="en-AU"/>
        </w:rPr>
      </w:pPr>
      <w:r w:rsidRPr="00742B66">
        <w:rPr>
          <w:rFonts w:asciiTheme="minorHAnsi" w:eastAsiaTheme="minorEastAsia" w:hAnsiTheme="minorHAnsi" w:cstheme="minorHAnsi"/>
          <w:color w:val="auto"/>
          <w:sz w:val="24"/>
          <w:szCs w:val="24"/>
          <w:lang w:eastAsia="en-AU"/>
        </w:rPr>
        <w:lastRenderedPageBreak/>
        <w:t>ACCAN believes that the modification of this drafting will support the rapid identification of unexpected and non-consensual charges by consumers. Accordingly when faced with the prospect of loss consumers will be in a positive position to take immediate steps to mitigate and minimise any potential financial impact associated with mobile premium services.</w:t>
      </w:r>
    </w:p>
    <w:p w:rsidR="00E31139" w:rsidRPr="00E31139" w:rsidRDefault="00E31139" w:rsidP="00E31139">
      <w:pPr>
        <w:pStyle w:val="BodyText1"/>
        <w:rPr>
          <w:rFonts w:eastAsiaTheme="minorEastAsia"/>
          <w:color w:val="auto"/>
          <w:sz w:val="32"/>
          <w:lang w:eastAsia="en-AU"/>
        </w:rPr>
      </w:pPr>
      <w:r w:rsidRPr="00E31139">
        <w:rPr>
          <w:rFonts w:eastAsiaTheme="minorEastAsia"/>
          <w:b/>
          <w:color w:val="auto"/>
          <w:sz w:val="32"/>
          <w:lang w:eastAsia="en-AU"/>
        </w:rPr>
        <w:t xml:space="preserve">Content of $30 expenditure update: 4.4.11 </w:t>
      </w:r>
    </w:p>
    <w:p w:rsidR="00E31139" w:rsidRPr="00742B66" w:rsidRDefault="00E31139" w:rsidP="00742B66">
      <w:pPr>
        <w:pStyle w:val="BodyText1"/>
        <w:rPr>
          <w:rFonts w:asciiTheme="minorHAnsi" w:eastAsiaTheme="minorEastAsia" w:hAnsiTheme="minorHAnsi" w:cstheme="minorHAnsi"/>
          <w:color w:val="auto"/>
          <w:sz w:val="24"/>
          <w:lang w:eastAsia="en-AU"/>
        </w:rPr>
      </w:pPr>
      <w:r w:rsidRPr="00742B66">
        <w:rPr>
          <w:rFonts w:asciiTheme="minorHAnsi" w:eastAsiaTheme="minorEastAsia" w:hAnsiTheme="minorHAnsi" w:cstheme="minorHAnsi"/>
          <w:color w:val="auto"/>
          <w:sz w:val="24"/>
          <w:lang w:eastAsia="en-AU"/>
        </w:rPr>
        <w:t xml:space="preserve">ACCAN considers that the issue associated with the mechanism to provide updates to consumers for individual purchases applies equally to the subscription services. As a consequence ACCAN believes that there should be consistent treatment under rule </w:t>
      </w:r>
      <w:r w:rsidRPr="00742B66">
        <w:rPr>
          <w:rFonts w:asciiTheme="minorHAnsi" w:eastAsiaTheme="minorEastAsia" w:hAnsiTheme="minorHAnsi" w:cstheme="minorHAnsi"/>
          <w:b/>
          <w:color w:val="auto"/>
          <w:sz w:val="24"/>
          <w:lang w:eastAsia="en-AU"/>
        </w:rPr>
        <w:t xml:space="preserve">4.4.11 </w:t>
      </w:r>
      <w:r w:rsidRPr="00742B66">
        <w:rPr>
          <w:rFonts w:asciiTheme="minorHAnsi" w:eastAsiaTheme="minorEastAsia" w:hAnsiTheme="minorHAnsi" w:cstheme="minorHAnsi"/>
          <w:color w:val="auto"/>
          <w:sz w:val="24"/>
          <w:lang w:eastAsia="en-AU"/>
        </w:rPr>
        <w:t>with notifications being sent to customers when they incur charges of $5 in a single calendar month, and additional notifications being sent as they incur incremental charges of $5 within that calendar month.</w:t>
      </w:r>
    </w:p>
    <w:p w:rsidR="00E31139" w:rsidRPr="00E31139" w:rsidRDefault="00E31139" w:rsidP="00E31139">
      <w:pPr>
        <w:pStyle w:val="BodyText1"/>
        <w:rPr>
          <w:rFonts w:eastAsiaTheme="minorEastAsia"/>
          <w:b/>
          <w:color w:val="auto"/>
          <w:sz w:val="32"/>
          <w:lang w:eastAsia="en-AU"/>
        </w:rPr>
      </w:pPr>
      <w:r w:rsidRPr="00E31139">
        <w:rPr>
          <w:rFonts w:eastAsiaTheme="minorEastAsia"/>
          <w:b/>
          <w:color w:val="auto"/>
          <w:sz w:val="32"/>
          <w:lang w:eastAsia="en-AU"/>
        </w:rPr>
        <w:t xml:space="preserve">Recommended drafting </w:t>
      </w:r>
    </w:p>
    <w:p w:rsidR="00E31139" w:rsidRPr="00742B66" w:rsidRDefault="00E31139" w:rsidP="00E31139">
      <w:pPr>
        <w:pStyle w:val="BodyText1"/>
        <w:rPr>
          <w:rFonts w:asciiTheme="minorHAnsi" w:eastAsiaTheme="minorEastAsia" w:hAnsiTheme="minorHAnsi" w:cstheme="minorHAnsi"/>
          <w:color w:val="auto"/>
          <w:sz w:val="24"/>
          <w:lang w:eastAsia="en-AU"/>
        </w:rPr>
      </w:pPr>
      <w:r w:rsidRPr="00742B66">
        <w:rPr>
          <w:rFonts w:asciiTheme="minorHAnsi" w:eastAsiaTheme="minorEastAsia" w:hAnsiTheme="minorHAnsi" w:cstheme="minorHAnsi"/>
          <w:color w:val="auto"/>
          <w:sz w:val="24"/>
          <w:lang w:eastAsia="en-AU"/>
        </w:rPr>
        <w:t xml:space="preserve">ACCAN considers that the operation of rule </w:t>
      </w:r>
      <w:r w:rsidRPr="00742B66">
        <w:rPr>
          <w:rFonts w:asciiTheme="minorHAnsi" w:eastAsiaTheme="minorEastAsia" w:hAnsiTheme="minorHAnsi" w:cstheme="minorHAnsi"/>
          <w:b/>
          <w:color w:val="auto"/>
          <w:sz w:val="24"/>
          <w:lang w:eastAsia="en-AU"/>
        </w:rPr>
        <w:t>4.4.11</w:t>
      </w:r>
      <w:r w:rsidRPr="00742B66">
        <w:rPr>
          <w:rFonts w:asciiTheme="minorHAnsi" w:eastAsiaTheme="minorEastAsia" w:hAnsiTheme="minorHAnsi" w:cstheme="minorHAnsi"/>
          <w:color w:val="auto"/>
          <w:sz w:val="24"/>
          <w:lang w:eastAsia="en-AU"/>
        </w:rPr>
        <w:t xml:space="preserve"> may be enhanced by redrafting it as follows:</w:t>
      </w:r>
    </w:p>
    <w:p w:rsidR="00E31139" w:rsidRPr="00742B66" w:rsidRDefault="00E31139" w:rsidP="00E31139">
      <w:pPr>
        <w:pStyle w:val="BodyText1"/>
        <w:ind w:left="720"/>
        <w:rPr>
          <w:rFonts w:asciiTheme="minorHAnsi" w:eastAsiaTheme="minorEastAsia" w:hAnsiTheme="minorHAnsi" w:cstheme="minorHAnsi"/>
          <w:i/>
          <w:color w:val="auto"/>
          <w:sz w:val="24"/>
          <w:lang w:eastAsia="en-AU"/>
        </w:rPr>
      </w:pPr>
      <w:r w:rsidRPr="00742B66">
        <w:rPr>
          <w:rFonts w:asciiTheme="minorHAnsi" w:eastAsiaTheme="minorEastAsia" w:hAnsiTheme="minorHAnsi" w:cstheme="minorHAnsi"/>
          <w:i/>
          <w:color w:val="00B0F0"/>
          <w:sz w:val="24"/>
          <w:lang w:eastAsia="en-AU"/>
        </w:rPr>
        <w:t xml:space="preserve">$5 </w:t>
      </w:r>
      <w:r w:rsidRPr="00742B66">
        <w:rPr>
          <w:rFonts w:asciiTheme="minorHAnsi" w:eastAsiaTheme="minorEastAsia" w:hAnsiTheme="minorHAnsi" w:cstheme="minorHAnsi"/>
          <w:i/>
          <w:color w:val="auto"/>
          <w:sz w:val="24"/>
          <w:lang w:eastAsia="en-AU"/>
        </w:rPr>
        <w:t xml:space="preserve">expenditure updates: A Content Supplier must send a Subscription Premium Service Customer a standard, dedicated SMS message containing an expenditure update, with no Premium Fees charges to the Customer:  </w:t>
      </w:r>
    </w:p>
    <w:p w:rsidR="00E31139" w:rsidRPr="00742B66" w:rsidRDefault="00E31139" w:rsidP="00E31139">
      <w:pPr>
        <w:pStyle w:val="BodyText1"/>
        <w:numPr>
          <w:ilvl w:val="0"/>
          <w:numId w:val="50"/>
        </w:numPr>
        <w:rPr>
          <w:rFonts w:asciiTheme="minorHAnsi" w:eastAsiaTheme="minorEastAsia" w:hAnsiTheme="minorHAnsi" w:cstheme="minorHAnsi"/>
          <w:i/>
          <w:color w:val="auto"/>
          <w:sz w:val="24"/>
          <w:lang w:eastAsia="en-AU"/>
        </w:rPr>
      </w:pPr>
      <w:r w:rsidRPr="00742B66">
        <w:rPr>
          <w:rFonts w:asciiTheme="minorHAnsi" w:eastAsiaTheme="minorEastAsia" w:hAnsiTheme="minorHAnsi" w:cstheme="minorHAnsi"/>
          <w:i/>
          <w:color w:val="auto"/>
          <w:sz w:val="24"/>
          <w:lang w:eastAsia="en-AU"/>
        </w:rPr>
        <w:t xml:space="preserve">Once the Customer has incurred </w:t>
      </w:r>
      <w:r w:rsidRPr="00742B66">
        <w:rPr>
          <w:rFonts w:asciiTheme="minorHAnsi" w:eastAsiaTheme="minorEastAsia" w:hAnsiTheme="minorHAnsi" w:cstheme="minorHAnsi"/>
          <w:i/>
          <w:color w:val="00B0F0"/>
          <w:sz w:val="24"/>
          <w:lang w:eastAsia="en-AU"/>
        </w:rPr>
        <w:t>$5</w:t>
      </w:r>
      <w:r w:rsidRPr="00742B66">
        <w:rPr>
          <w:rFonts w:asciiTheme="minorHAnsi" w:eastAsiaTheme="minorEastAsia" w:hAnsiTheme="minorHAnsi" w:cstheme="minorHAnsi"/>
          <w:i/>
          <w:color w:val="auto"/>
          <w:sz w:val="24"/>
          <w:lang w:eastAsia="en-AU"/>
        </w:rPr>
        <w:t xml:space="preserve"> of Premium Fees as a result of using </w:t>
      </w:r>
      <w:r w:rsidRPr="00742B66">
        <w:rPr>
          <w:rFonts w:asciiTheme="minorHAnsi" w:eastAsiaTheme="minorEastAsia" w:hAnsiTheme="minorHAnsi" w:cstheme="minorHAnsi"/>
          <w:i/>
          <w:color w:val="00B0F0"/>
          <w:sz w:val="24"/>
          <w:lang w:eastAsia="en-AU"/>
        </w:rPr>
        <w:t xml:space="preserve">a </w:t>
      </w:r>
      <w:r w:rsidRPr="00742B66">
        <w:rPr>
          <w:rFonts w:asciiTheme="minorHAnsi" w:eastAsiaTheme="minorEastAsia" w:hAnsiTheme="minorHAnsi" w:cstheme="minorHAnsi"/>
          <w:i/>
          <w:color w:val="auto"/>
          <w:sz w:val="24"/>
          <w:lang w:eastAsia="en-AU"/>
        </w:rPr>
        <w:t>Subscription Premium Service in a single calendar month; and</w:t>
      </w:r>
    </w:p>
    <w:p w:rsidR="006D1C3B" w:rsidRPr="00742B66" w:rsidRDefault="00E31139" w:rsidP="00E31139">
      <w:pPr>
        <w:pStyle w:val="BodyText1"/>
        <w:numPr>
          <w:ilvl w:val="0"/>
          <w:numId w:val="50"/>
        </w:numPr>
        <w:rPr>
          <w:rFonts w:asciiTheme="minorHAnsi" w:eastAsiaTheme="minorEastAsia" w:hAnsiTheme="minorHAnsi" w:cstheme="minorHAnsi"/>
          <w:i/>
          <w:color w:val="auto"/>
          <w:sz w:val="24"/>
          <w:lang w:eastAsia="en-AU"/>
        </w:rPr>
      </w:pPr>
      <w:r w:rsidRPr="00742B66">
        <w:rPr>
          <w:rFonts w:asciiTheme="minorHAnsi" w:eastAsiaTheme="minorEastAsia" w:hAnsiTheme="minorHAnsi" w:cstheme="minorHAnsi"/>
          <w:i/>
          <w:color w:val="auto"/>
          <w:sz w:val="24"/>
          <w:lang w:eastAsia="en-AU"/>
        </w:rPr>
        <w:t xml:space="preserve">Each time the Customer incurs an additional incremental </w:t>
      </w:r>
      <w:r w:rsidRPr="00742B66">
        <w:rPr>
          <w:rFonts w:asciiTheme="minorHAnsi" w:eastAsiaTheme="minorEastAsia" w:hAnsiTheme="minorHAnsi" w:cstheme="minorHAnsi"/>
          <w:i/>
          <w:color w:val="00B0F0"/>
          <w:sz w:val="24"/>
          <w:lang w:eastAsia="en-AU"/>
        </w:rPr>
        <w:t xml:space="preserve">$5 </w:t>
      </w:r>
      <w:r w:rsidRPr="00742B66">
        <w:rPr>
          <w:rFonts w:asciiTheme="minorHAnsi" w:eastAsiaTheme="minorEastAsia" w:hAnsiTheme="minorHAnsi" w:cstheme="minorHAnsi"/>
          <w:i/>
          <w:color w:val="auto"/>
          <w:sz w:val="24"/>
          <w:lang w:eastAsia="en-AU"/>
        </w:rPr>
        <w:t xml:space="preserve">of Premium Fees as a result of using </w:t>
      </w:r>
      <w:r w:rsidRPr="00742B66">
        <w:rPr>
          <w:rFonts w:asciiTheme="minorHAnsi" w:eastAsiaTheme="minorEastAsia" w:hAnsiTheme="minorHAnsi" w:cstheme="minorHAnsi"/>
          <w:i/>
          <w:color w:val="00B0F0"/>
          <w:sz w:val="24"/>
          <w:lang w:eastAsia="en-AU"/>
        </w:rPr>
        <w:t xml:space="preserve">a </w:t>
      </w:r>
      <w:r w:rsidRPr="00742B66">
        <w:rPr>
          <w:rFonts w:asciiTheme="minorHAnsi" w:eastAsiaTheme="minorEastAsia" w:hAnsiTheme="minorHAnsi" w:cstheme="minorHAnsi"/>
          <w:i/>
          <w:color w:val="auto"/>
          <w:sz w:val="24"/>
          <w:lang w:eastAsia="en-AU"/>
        </w:rPr>
        <w:t>Subscription Premium Service in that calendar month.</w:t>
      </w:r>
    </w:p>
    <w:p w:rsidR="00E31139" w:rsidRDefault="00E31139" w:rsidP="00E31139">
      <w:pPr>
        <w:pStyle w:val="BodyText1"/>
        <w:rPr>
          <w:rFonts w:asciiTheme="minorHAnsi" w:hAnsiTheme="minorHAnsi" w:cstheme="minorHAnsi"/>
          <w:b/>
          <w:color w:val="auto"/>
          <w:sz w:val="32"/>
        </w:rPr>
      </w:pPr>
    </w:p>
    <w:p w:rsidR="00E31139" w:rsidRDefault="00E31139" w:rsidP="00E31139">
      <w:pPr>
        <w:pStyle w:val="BodyText1"/>
        <w:rPr>
          <w:rFonts w:asciiTheme="minorHAnsi" w:hAnsiTheme="minorHAnsi" w:cstheme="minorHAnsi"/>
          <w:b/>
          <w:color w:val="auto"/>
          <w:sz w:val="32"/>
        </w:rPr>
      </w:pPr>
    </w:p>
    <w:p w:rsidR="00E31139" w:rsidRDefault="00E31139" w:rsidP="00E31139">
      <w:pPr>
        <w:pStyle w:val="BodyText1"/>
        <w:rPr>
          <w:rFonts w:asciiTheme="minorHAnsi" w:hAnsiTheme="minorHAnsi" w:cstheme="minorHAnsi"/>
          <w:b/>
          <w:color w:val="auto"/>
          <w:sz w:val="32"/>
        </w:rPr>
      </w:pPr>
    </w:p>
    <w:p w:rsidR="00E31139" w:rsidRDefault="00E31139" w:rsidP="00E31139">
      <w:pPr>
        <w:pStyle w:val="BodyText1"/>
        <w:rPr>
          <w:rFonts w:asciiTheme="minorHAnsi" w:hAnsiTheme="minorHAnsi" w:cstheme="minorHAnsi"/>
          <w:b/>
          <w:color w:val="auto"/>
          <w:sz w:val="32"/>
        </w:rPr>
      </w:pPr>
    </w:p>
    <w:p w:rsidR="00E31139" w:rsidRDefault="00E31139" w:rsidP="00E31139">
      <w:pPr>
        <w:pStyle w:val="BodyText1"/>
        <w:rPr>
          <w:rFonts w:asciiTheme="minorHAnsi" w:hAnsiTheme="minorHAnsi" w:cstheme="minorHAnsi"/>
          <w:b/>
          <w:color w:val="auto"/>
          <w:sz w:val="32"/>
        </w:rPr>
      </w:pPr>
    </w:p>
    <w:p w:rsidR="00E31139" w:rsidRDefault="00E31139" w:rsidP="00E31139">
      <w:pPr>
        <w:pStyle w:val="BodyText1"/>
        <w:rPr>
          <w:rFonts w:asciiTheme="minorHAnsi" w:hAnsiTheme="minorHAnsi" w:cstheme="minorHAnsi"/>
          <w:b/>
          <w:color w:val="auto"/>
          <w:sz w:val="32"/>
        </w:rPr>
      </w:pPr>
    </w:p>
    <w:p w:rsidR="00E31139" w:rsidRDefault="00E31139" w:rsidP="00E31139">
      <w:pPr>
        <w:keepNext/>
        <w:keepLines/>
        <w:pageBreakBefore/>
        <w:suppressAutoHyphens/>
        <w:spacing w:after="0" w:line="240" w:lineRule="auto"/>
        <w:jc w:val="both"/>
        <w:outlineLvl w:val="0"/>
        <w:rPr>
          <w:rFonts w:ascii="Calibri" w:eastAsia="Arial Unicode MS" w:hAnsi="Calibri" w:cs="font331"/>
          <w:bCs/>
          <w:kern w:val="1"/>
          <w:sz w:val="44"/>
          <w:szCs w:val="28"/>
          <w:lang w:val="en-IE" w:eastAsia="hi-IN" w:bidi="hi-IN"/>
        </w:rPr>
      </w:pPr>
      <w:bookmarkStart w:id="5" w:name="_Toc8638262"/>
      <w:r>
        <w:rPr>
          <w:rFonts w:ascii="Calibri" w:eastAsia="Arial Unicode MS" w:hAnsi="Calibri" w:cs="font331"/>
          <w:bCs/>
          <w:kern w:val="1"/>
          <w:sz w:val="44"/>
          <w:szCs w:val="28"/>
          <w:lang w:val="en-IE" w:eastAsia="hi-IN" w:bidi="hi-IN"/>
        </w:rPr>
        <w:lastRenderedPageBreak/>
        <w:t>Conclusion</w:t>
      </w:r>
      <w:bookmarkEnd w:id="5"/>
    </w:p>
    <w:p w:rsidR="00E31139" w:rsidRPr="00E31139" w:rsidRDefault="00E31139" w:rsidP="001205F0">
      <w:pPr>
        <w:pStyle w:val="BodyText1"/>
        <w:spacing w:after="0"/>
      </w:pPr>
    </w:p>
    <w:p w:rsidR="00E31139" w:rsidRPr="00742B66" w:rsidRDefault="00E31139" w:rsidP="00742B66">
      <w:pPr>
        <w:pStyle w:val="BodyText1"/>
        <w:rPr>
          <w:rFonts w:asciiTheme="minorHAnsi" w:hAnsiTheme="minorHAnsi" w:cstheme="minorHAnsi"/>
          <w:color w:val="auto"/>
          <w:sz w:val="24"/>
        </w:rPr>
      </w:pPr>
      <w:r w:rsidRPr="00742B66">
        <w:rPr>
          <w:rFonts w:asciiTheme="minorHAnsi" w:hAnsiTheme="minorHAnsi" w:cstheme="minorHAnsi"/>
          <w:color w:val="auto"/>
          <w:sz w:val="24"/>
        </w:rPr>
        <w:t xml:space="preserve">ACCAN thanks Communications Alliance for the opportunity to comment on the draft code. With suitable revisions ACCAN considers that the code can be an effective instrument for protecting consumers and small businesses that use mobile premium services and constrain the potential for customer harm. </w:t>
      </w:r>
    </w:p>
    <w:p w:rsidR="00566EFC" w:rsidRPr="00742B66" w:rsidRDefault="00566EFC" w:rsidP="00742B66">
      <w:pPr>
        <w:spacing w:before="100" w:beforeAutospacing="1" w:after="100" w:afterAutospacing="1"/>
        <w:rPr>
          <w:rFonts w:eastAsia="Arial Unicode MS" w:cstheme="minorHAnsi"/>
          <w:sz w:val="24"/>
          <w:lang w:val="en-IE" w:eastAsia="en-AU" w:bidi="hi-IN"/>
        </w:rPr>
      </w:pPr>
    </w:p>
    <w:p w:rsidR="00566EFC" w:rsidRDefault="00566EFC" w:rsidP="00DD0AEA">
      <w:pPr>
        <w:spacing w:before="100" w:beforeAutospacing="1" w:after="100" w:afterAutospacing="1"/>
        <w:jc w:val="both"/>
        <w:rPr>
          <w:rFonts w:ascii="Times New Roman" w:eastAsia="Arial Unicode MS" w:hAnsi="Times New Roman" w:cs="Times New Roman"/>
          <w:sz w:val="24"/>
          <w:lang w:val="en-IE" w:eastAsia="en-AU" w:bidi="hi-IN"/>
        </w:rPr>
      </w:pPr>
    </w:p>
    <w:p w:rsidR="00566EFC" w:rsidRPr="00DD0AEA" w:rsidRDefault="00566EFC" w:rsidP="00DD0AEA">
      <w:pPr>
        <w:spacing w:before="100" w:beforeAutospacing="1" w:after="100" w:afterAutospacing="1"/>
        <w:jc w:val="both"/>
        <w:rPr>
          <w:rFonts w:ascii="Times New Roman" w:eastAsia="Arial Unicode MS" w:hAnsi="Times New Roman" w:cs="Times New Roman"/>
          <w:sz w:val="24"/>
          <w:lang w:val="en-IE" w:eastAsia="en-AU" w:bidi="hi-IN"/>
        </w:rPr>
      </w:pPr>
    </w:p>
    <w:p w:rsidR="00DD0AEA" w:rsidRPr="00DD0AEA" w:rsidRDefault="00DD0AEA" w:rsidP="00DD0AEA">
      <w:pPr>
        <w:spacing w:before="100" w:beforeAutospacing="1" w:after="100" w:afterAutospacing="1"/>
        <w:jc w:val="both"/>
        <w:rPr>
          <w:rFonts w:ascii="Times New Roman" w:eastAsia="Arial Unicode MS" w:hAnsi="Times New Roman" w:cs="Times New Roman"/>
          <w:sz w:val="24"/>
          <w:lang w:val="en-IE" w:eastAsia="en-AU" w:bidi="hi-IN"/>
        </w:rPr>
      </w:pPr>
    </w:p>
    <w:p w:rsidR="00DD0AEA" w:rsidRPr="00DD0AEA" w:rsidRDefault="00DD0AEA" w:rsidP="00DD0AEA">
      <w:pPr>
        <w:spacing w:before="100" w:beforeAutospacing="1" w:after="100" w:afterAutospacing="1"/>
        <w:jc w:val="both"/>
        <w:rPr>
          <w:rFonts w:ascii="Times New Roman" w:eastAsia="Arial Unicode MS" w:hAnsi="Times New Roman" w:cs="Times New Roman"/>
          <w:sz w:val="24"/>
          <w:lang w:val="en-IE" w:eastAsia="en-AU" w:bidi="hi-IN"/>
        </w:rPr>
      </w:pPr>
    </w:p>
    <w:p w:rsidR="00DD0AEA" w:rsidRPr="00DD0AEA" w:rsidRDefault="00DD0AEA" w:rsidP="00DD0AEA">
      <w:pPr>
        <w:spacing w:before="100" w:beforeAutospacing="1" w:after="100" w:afterAutospacing="1"/>
        <w:jc w:val="both"/>
        <w:rPr>
          <w:rFonts w:ascii="Times New Roman" w:eastAsia="Arial Unicode MS" w:hAnsi="Times New Roman" w:cs="Times New Roman"/>
          <w:sz w:val="24"/>
          <w:lang w:val="en-IE" w:eastAsia="en-AU" w:bidi="hi-IN"/>
        </w:rPr>
      </w:pPr>
    </w:p>
    <w:p w:rsidR="00DD0AEA" w:rsidRPr="00DD0AEA" w:rsidRDefault="00DD0AEA" w:rsidP="00DD0AEA">
      <w:pPr>
        <w:spacing w:before="100" w:beforeAutospacing="1" w:after="100" w:afterAutospacing="1"/>
        <w:jc w:val="both"/>
        <w:rPr>
          <w:rFonts w:ascii="Times New Roman" w:eastAsia="Arial Unicode MS" w:hAnsi="Times New Roman" w:cs="Times New Roman"/>
          <w:sz w:val="24"/>
          <w:lang w:val="en-IE" w:eastAsia="en-AU" w:bidi="hi-IN"/>
        </w:rPr>
      </w:pPr>
    </w:p>
    <w:p w:rsidR="00DD0AEA" w:rsidRPr="00DD0AEA" w:rsidRDefault="00DD0AEA" w:rsidP="00DD0AEA">
      <w:pPr>
        <w:spacing w:before="100" w:beforeAutospacing="1" w:after="100" w:afterAutospacing="1"/>
        <w:jc w:val="both"/>
        <w:rPr>
          <w:rFonts w:ascii="Times New Roman" w:eastAsia="Arial Unicode MS" w:hAnsi="Times New Roman" w:cs="Times New Roman"/>
          <w:sz w:val="24"/>
          <w:lang w:val="en-IE" w:eastAsia="en-AU" w:bidi="hi-IN"/>
        </w:rPr>
      </w:pPr>
    </w:p>
    <w:p w:rsidR="00DD0AEA" w:rsidRPr="00DD0AEA" w:rsidRDefault="00DD0AEA" w:rsidP="00DD0AEA">
      <w:pPr>
        <w:spacing w:before="100" w:beforeAutospacing="1" w:after="100" w:afterAutospacing="1"/>
        <w:jc w:val="both"/>
        <w:rPr>
          <w:rFonts w:ascii="Times New Roman" w:eastAsia="Arial Unicode MS" w:hAnsi="Times New Roman" w:cs="Times New Roman"/>
          <w:sz w:val="24"/>
          <w:lang w:val="en-IE" w:eastAsia="en-AU" w:bidi="hi-IN"/>
        </w:rPr>
      </w:pPr>
    </w:p>
    <w:p w:rsidR="00DD0AEA" w:rsidRPr="00DD0AEA" w:rsidRDefault="00DD0AEA" w:rsidP="00DD0AEA">
      <w:pPr>
        <w:spacing w:before="100" w:beforeAutospacing="1" w:after="100" w:afterAutospacing="1"/>
        <w:jc w:val="both"/>
        <w:rPr>
          <w:rFonts w:ascii="Times New Roman" w:eastAsia="Arial Unicode MS" w:hAnsi="Times New Roman" w:cs="Times New Roman"/>
          <w:sz w:val="24"/>
          <w:lang w:val="en-IE" w:eastAsia="en-AU" w:bidi="hi-IN"/>
        </w:rPr>
      </w:pPr>
    </w:p>
    <w:p w:rsidR="00DD0AEA" w:rsidRPr="00DD0AEA" w:rsidRDefault="00DD0AEA" w:rsidP="00DD0AEA">
      <w:pPr>
        <w:spacing w:before="100" w:beforeAutospacing="1" w:after="100" w:afterAutospacing="1" w:line="240" w:lineRule="auto"/>
        <w:jc w:val="both"/>
        <w:rPr>
          <w:rFonts w:ascii="Arial" w:eastAsiaTheme="minorEastAsia" w:hAnsi="Arial" w:cs="Arial"/>
          <w:sz w:val="28"/>
          <w:szCs w:val="32"/>
          <w:lang w:val="en-AU" w:eastAsia="en-AU"/>
        </w:rPr>
      </w:pPr>
    </w:p>
    <w:p w:rsidR="003A17FE" w:rsidRDefault="003A17FE"/>
    <w:sectPr w:rsidR="003A17FE" w:rsidSect="00DD0AEA">
      <w:headerReference w:type="default" r:id="rId10"/>
      <w:footerReference w:type="default" r:id="rId11"/>
      <w:headerReference w:type="first" r:id="rId12"/>
      <w:footerReference w:type="first" r:id="rId13"/>
      <w:pgSz w:w="11906" w:h="16838" w:code="9"/>
      <w:pgMar w:top="1440" w:right="1440" w:bottom="1440" w:left="1440"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182" w:rsidRDefault="00880182" w:rsidP="00DD0AEA">
      <w:pPr>
        <w:spacing w:after="0" w:line="240" w:lineRule="auto"/>
      </w:pPr>
      <w:r>
        <w:separator/>
      </w:r>
    </w:p>
  </w:endnote>
  <w:endnote w:type="continuationSeparator" w:id="0">
    <w:p w:rsidR="00880182" w:rsidRDefault="00880182" w:rsidP="00DD0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ont331">
    <w:altName w:val="MS Mincho"/>
    <w:charset w:val="8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AEA" w:rsidRDefault="00DD0AEA" w:rsidP="00DD0AEA">
    <w:pPr>
      <w:spacing w:after="0"/>
      <w:rPr>
        <w:noProof/>
      </w:rPr>
    </w:pPr>
    <w:r w:rsidRPr="00E05115">
      <w:rPr>
        <w:color w:val="23B0E6"/>
      </w:rPr>
      <w:t>www.accan.org.au | info@accan.org.au | twitter: @ACCAN_AU</w:t>
    </w:r>
    <w:r>
      <w:rPr>
        <w:color w:val="23B0E6"/>
      </w:rPr>
      <w:ptab w:relativeTo="margin" w:alignment="right" w:leader="none"/>
    </w:r>
    <w:r w:rsidRPr="00C4251E">
      <w:fldChar w:fldCharType="begin"/>
    </w:r>
    <w:r w:rsidRPr="00C4251E">
      <w:instrText xml:space="preserve"> PAGE   \* MERGEFORMAT </w:instrText>
    </w:r>
    <w:r w:rsidRPr="00C4251E">
      <w:fldChar w:fldCharType="separate"/>
    </w:r>
    <w:r w:rsidR="002C77CC">
      <w:rPr>
        <w:noProof/>
      </w:rPr>
      <w:t>2</w:t>
    </w:r>
    <w:r w:rsidRPr="00C4251E">
      <w:rPr>
        <w:noProof/>
      </w:rPr>
      <w:fldChar w:fldCharType="end"/>
    </w:r>
    <w:r w:rsidR="00D903C5">
      <w:rPr>
        <w:noProof/>
      </w:rPr>
      <w:t>.</w:t>
    </w:r>
  </w:p>
  <w:p w:rsidR="00DD0AEA" w:rsidRPr="000F58CC" w:rsidRDefault="00DD0AEA" w:rsidP="00DD0AE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AEA" w:rsidRDefault="00DD0AEA" w:rsidP="00DD0AEA">
    <w:pPr>
      <w:pStyle w:val="Footerpage1"/>
    </w:pPr>
    <w:r w:rsidRPr="004A0B0A">
      <w:rPr>
        <w:color w:val="44C8F5"/>
      </w:rPr>
      <w:t>Australian Communications Consumer Action Network (ACCAN)</w:t>
    </w:r>
  </w:p>
  <w:p w:rsidR="00DD0AEA" w:rsidRDefault="00DD0AEA" w:rsidP="00DD0AEA">
    <w:pPr>
      <w:pStyle w:val="Footerpage1"/>
      <w:rPr>
        <w:i/>
      </w:rPr>
    </w:pPr>
    <w:r w:rsidRPr="004A0B0A">
      <w:rPr>
        <w:i/>
        <w:color w:val="44C8F5"/>
      </w:rPr>
      <w:t>Australia’s peak telecommunications consumer organisation</w:t>
    </w:r>
  </w:p>
  <w:p w:rsidR="00DD0AEA" w:rsidRDefault="00DD0AEA" w:rsidP="00DD0AEA">
    <w:pPr>
      <w:pStyle w:val="Footerpage1"/>
    </w:pPr>
    <w:r w:rsidRPr="008E763A">
      <w:rPr>
        <w:noProof/>
        <w:lang w:val="en-US"/>
      </w:rPr>
      <mc:AlternateContent>
        <mc:Choice Requires="wps">
          <w:drawing>
            <wp:inline distT="0" distB="0" distL="0" distR="0" wp14:anchorId="4230D091" wp14:editId="65BE23FD">
              <wp:extent cx="6699600" cy="0"/>
              <wp:effectExtent l="0" t="19050" r="6350" b="19050"/>
              <wp:docPr id="5" name="Straight Connector 5"/>
              <wp:cNvGraphicFramePr/>
              <a:graphic xmlns:a="http://schemas.openxmlformats.org/drawingml/2006/main">
                <a:graphicData uri="http://schemas.microsoft.com/office/word/2010/wordprocessingShape">
                  <wps:wsp>
                    <wps:cNvCnPr/>
                    <wps:spPr>
                      <a:xfrm>
                        <a:off x="0" y="0"/>
                        <a:ext cx="6699600" cy="0"/>
                      </a:xfrm>
                      <a:prstGeom prst="line">
                        <a:avLst/>
                      </a:prstGeom>
                      <a:noFill/>
                      <a:ln w="38100" cap="flat" cmpd="sng" algn="ctr">
                        <a:solidFill>
                          <a:srgbClr val="23B0E6"/>
                        </a:solidFill>
                        <a:prstDash val="solid"/>
                      </a:ln>
                      <a:effectLst/>
                    </wps:spPr>
                    <wps:bodyPr/>
                  </wps:wsp>
                </a:graphicData>
              </a:graphic>
            </wp:inline>
          </w:drawing>
        </mc:Choice>
        <mc:Fallback>
          <w:pict>
            <v:line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527.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" strokecolor="#23b0e6" strokeweight="3pt">
              <w10:anchorlock/>
            </v:line>
          </w:pict>
        </mc:Fallback>
      </mc:AlternateContent>
    </w:r>
    <w:r w:rsidRPr="008E763A">
      <w:t>Suite 4.02, 55 Mountain St, Ultimo NSW 2007</w:t>
    </w:r>
  </w:p>
  <w:p w:rsidR="00DD0AEA" w:rsidRDefault="00DD0AEA" w:rsidP="00DD0AEA">
    <w:pPr>
      <w:pStyle w:val="Footerpage1"/>
    </w:pPr>
    <w:r w:rsidRPr="008E763A">
      <w:t>Tel: (02) 9288 4000 | TTY: (02) 9281 5322 | Fax: (02) 9288 4019</w:t>
    </w:r>
  </w:p>
  <w:p w:rsidR="00DD0AEA" w:rsidRDefault="00DD0AEA" w:rsidP="00DD0AEA">
    <w:pPr>
      <w:pStyle w:val="Footerpage1"/>
    </w:pPr>
    <w:r w:rsidRPr="004A0B0A">
      <w:rPr>
        <w:color w:val="44C8F5"/>
      </w:rPr>
      <w:t>www.accan.org.au | info@accan.org.au | twitter: @ACCAN_AU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182" w:rsidRDefault="00880182" w:rsidP="00DD0AEA">
      <w:pPr>
        <w:spacing w:after="0" w:line="240" w:lineRule="auto"/>
      </w:pPr>
      <w:r>
        <w:separator/>
      </w:r>
    </w:p>
  </w:footnote>
  <w:footnote w:type="continuationSeparator" w:id="0">
    <w:p w:rsidR="00880182" w:rsidRDefault="00880182" w:rsidP="00DD0AEA">
      <w:pPr>
        <w:spacing w:after="0" w:line="240" w:lineRule="auto"/>
      </w:pPr>
      <w:r>
        <w:continuationSeparator/>
      </w:r>
    </w:p>
  </w:footnote>
  <w:footnote w:id="1">
    <w:p w:rsidR="008577E8" w:rsidRPr="00742B66" w:rsidRDefault="008577E8" w:rsidP="00742B66">
      <w:pPr>
        <w:pStyle w:val="FootnoteText"/>
        <w:spacing w:after="0"/>
        <w:rPr>
          <w:rFonts w:asciiTheme="minorHAnsi" w:hAnsiTheme="minorHAnsi" w:cstheme="minorHAnsi"/>
          <w:sz w:val="16"/>
          <w:szCs w:val="16"/>
          <w:lang w:val="en-US"/>
        </w:rPr>
      </w:pPr>
      <w:r w:rsidRPr="00742B66">
        <w:rPr>
          <w:rStyle w:val="FootnoteReference"/>
          <w:rFonts w:asciiTheme="minorHAnsi" w:hAnsiTheme="minorHAnsi" w:cstheme="minorHAnsi"/>
          <w:sz w:val="16"/>
          <w:szCs w:val="16"/>
        </w:rPr>
        <w:footnoteRef/>
      </w:r>
      <w:r w:rsidRPr="00742B66">
        <w:rPr>
          <w:rFonts w:asciiTheme="minorHAnsi" w:hAnsiTheme="minorHAnsi" w:cstheme="minorHAnsi"/>
          <w:sz w:val="16"/>
          <w:szCs w:val="16"/>
        </w:rPr>
        <w:t xml:space="preserve">. </w:t>
      </w:r>
      <w:proofErr w:type="gramStart"/>
      <w:r w:rsidRPr="00742B66">
        <w:rPr>
          <w:rFonts w:asciiTheme="minorHAnsi" w:eastAsiaTheme="minorEastAsia" w:hAnsiTheme="minorHAnsi" w:cstheme="minorHAnsi"/>
          <w:bCs/>
          <w:sz w:val="16"/>
          <w:szCs w:val="16"/>
          <w:shd w:val="clear" w:color="auto" w:fill="FFFFFF"/>
          <w:lang w:eastAsia="en-AU"/>
        </w:rPr>
        <w:t>Australian Competition and Consumer Commission v Optus Mobile Pty Limited [2019] FCA 106, at 58, &lt;</w:t>
      </w:r>
      <w:hyperlink r:id="rId1" w:history="1">
        <w:r w:rsidRPr="00742B66">
          <w:rPr>
            <w:rStyle w:val="Hyperlink"/>
            <w:rFonts w:asciiTheme="minorHAnsi" w:eastAsiaTheme="minorEastAsia" w:hAnsiTheme="minorHAnsi" w:cstheme="minorHAnsi"/>
            <w:sz w:val="16"/>
            <w:szCs w:val="16"/>
            <w:lang w:eastAsia="en-AU"/>
          </w:rPr>
          <w:t>http://www6.austlii.edu.au/cgi-bin/viewdoc/au/cases/cth/FCA/2019/106.html</w:t>
        </w:r>
      </w:hyperlink>
      <w:r w:rsidRPr="00742B66">
        <w:rPr>
          <w:rFonts w:asciiTheme="minorHAnsi" w:eastAsiaTheme="minorEastAsia" w:hAnsiTheme="minorHAnsi" w:cstheme="minorHAnsi"/>
          <w:bCs/>
          <w:sz w:val="16"/>
          <w:szCs w:val="16"/>
          <w:u w:val="single"/>
          <w:lang w:eastAsia="en-AU"/>
        </w:rPr>
        <w:t>&gt;.</w:t>
      </w:r>
      <w:proofErr w:type="gramEnd"/>
    </w:p>
  </w:footnote>
  <w:footnote w:id="2">
    <w:p w:rsidR="008577E8" w:rsidRPr="00742B66" w:rsidRDefault="008577E8" w:rsidP="00742B66">
      <w:pPr>
        <w:pStyle w:val="BodyText1"/>
        <w:spacing w:after="0" w:line="240" w:lineRule="auto"/>
        <w:rPr>
          <w:rFonts w:asciiTheme="minorHAnsi" w:eastAsiaTheme="minorEastAsia" w:hAnsiTheme="minorHAnsi" w:cstheme="minorHAnsi"/>
          <w:b/>
          <w:bCs/>
          <w:color w:val="333333"/>
          <w:sz w:val="16"/>
          <w:szCs w:val="16"/>
          <w:shd w:val="clear" w:color="auto" w:fill="FFFFFF"/>
          <w:lang w:eastAsia="en-AU"/>
        </w:rPr>
      </w:pPr>
      <w:r w:rsidRPr="00742B66">
        <w:rPr>
          <w:rStyle w:val="FootnoteReference"/>
          <w:rFonts w:asciiTheme="minorHAnsi" w:hAnsiTheme="minorHAnsi" w:cstheme="minorHAnsi"/>
          <w:sz w:val="16"/>
          <w:szCs w:val="16"/>
        </w:rPr>
        <w:footnoteRef/>
      </w:r>
      <w:r w:rsidRPr="00742B66">
        <w:rPr>
          <w:rFonts w:asciiTheme="minorHAnsi" w:hAnsiTheme="minorHAnsi" w:cstheme="minorHAnsi"/>
          <w:sz w:val="16"/>
          <w:szCs w:val="16"/>
        </w:rPr>
        <w:t xml:space="preserve">. </w:t>
      </w:r>
      <w:proofErr w:type="gramStart"/>
      <w:r w:rsidRPr="00742B66">
        <w:rPr>
          <w:rFonts w:asciiTheme="minorHAnsi" w:hAnsiTheme="minorHAnsi" w:cstheme="minorHAnsi"/>
          <w:sz w:val="16"/>
          <w:szCs w:val="16"/>
        </w:rPr>
        <w:t>Australian Competition and Consumer Commission v Telstra Corporation Limited [2018] FCA 571, at 73, &lt;</w:t>
      </w:r>
      <w:hyperlink r:id="rId2" w:history="1">
        <w:r w:rsidRPr="00742B66">
          <w:rPr>
            <w:rStyle w:val="Hyperlink"/>
            <w:rFonts w:asciiTheme="minorHAnsi" w:eastAsiaTheme="minorEastAsia" w:hAnsiTheme="minorHAnsi" w:cstheme="minorHAnsi"/>
            <w:sz w:val="16"/>
            <w:szCs w:val="16"/>
            <w:lang w:eastAsia="en-AU"/>
          </w:rPr>
          <w:t>http://www.austlii.edu.au/cgi-bin/viewdoc/au/cases/cth/FCA/2018/571.html</w:t>
        </w:r>
      </w:hyperlink>
      <w:r w:rsidRPr="00742B66">
        <w:rPr>
          <w:rFonts w:asciiTheme="minorHAnsi" w:eastAsiaTheme="minorEastAsia" w:hAnsiTheme="minorHAnsi" w:cstheme="minorHAnsi"/>
          <w:color w:val="0000FF"/>
          <w:sz w:val="16"/>
          <w:szCs w:val="16"/>
          <w:u w:val="single"/>
          <w:lang w:eastAsia="en-AU"/>
        </w:rPr>
        <w:t>&gt;.</w:t>
      </w:r>
      <w:proofErr w:type="gramEnd"/>
    </w:p>
  </w:footnote>
  <w:footnote w:id="3">
    <w:p w:rsidR="008577E8" w:rsidRPr="00742B66" w:rsidRDefault="008577E8" w:rsidP="00742B66">
      <w:pPr>
        <w:pStyle w:val="FootnoteText"/>
        <w:spacing w:after="0"/>
        <w:rPr>
          <w:rFonts w:asciiTheme="minorHAnsi" w:hAnsiTheme="minorHAnsi" w:cstheme="minorHAnsi"/>
          <w:sz w:val="16"/>
          <w:szCs w:val="16"/>
          <w:lang w:val="en-US"/>
        </w:rPr>
      </w:pPr>
      <w:r w:rsidRPr="00742B66">
        <w:rPr>
          <w:rStyle w:val="FootnoteReference"/>
          <w:rFonts w:asciiTheme="minorHAnsi" w:hAnsiTheme="minorHAnsi" w:cstheme="minorHAnsi"/>
          <w:sz w:val="16"/>
          <w:szCs w:val="16"/>
        </w:rPr>
        <w:footnoteRef/>
      </w:r>
      <w:r w:rsidRPr="00742B66">
        <w:rPr>
          <w:rFonts w:asciiTheme="minorHAnsi" w:hAnsiTheme="minorHAnsi" w:cstheme="minorHAnsi"/>
          <w:sz w:val="16"/>
          <w:szCs w:val="16"/>
        </w:rPr>
        <w:t xml:space="preserve">. ACCAN, 2017, </w:t>
      </w:r>
      <w:r w:rsidRPr="00742B66">
        <w:rPr>
          <w:rFonts w:asciiTheme="minorHAnsi" w:hAnsiTheme="minorHAnsi" w:cstheme="minorHAnsi"/>
          <w:i/>
          <w:sz w:val="16"/>
          <w:szCs w:val="16"/>
        </w:rPr>
        <w:t>Mobile third party billing: Consumer experiences and expectations</w:t>
      </w:r>
      <w:r w:rsidRPr="00742B66">
        <w:rPr>
          <w:rFonts w:asciiTheme="minorHAnsi" w:hAnsiTheme="minorHAnsi" w:cstheme="minorHAnsi"/>
          <w:sz w:val="16"/>
          <w:szCs w:val="16"/>
        </w:rPr>
        <w:t>, Sydney; Australian Competition and Consumer Commission v Telstra Corporation Limited [2018] FCA 571, at 52. This</w:t>
      </w:r>
      <w:r w:rsidR="00D903C5" w:rsidRPr="00742B66">
        <w:rPr>
          <w:rFonts w:asciiTheme="minorHAnsi" w:hAnsiTheme="minorHAnsi" w:cstheme="minorHAnsi"/>
          <w:sz w:val="16"/>
          <w:szCs w:val="16"/>
        </w:rPr>
        <w:t xml:space="preserve"> figure</w:t>
      </w:r>
      <w:r w:rsidRPr="00742B66">
        <w:rPr>
          <w:rFonts w:asciiTheme="minorHAnsi" w:hAnsiTheme="minorHAnsi" w:cstheme="minorHAnsi"/>
          <w:sz w:val="16"/>
          <w:szCs w:val="16"/>
        </w:rPr>
        <w:t xml:space="preserve"> has</w:t>
      </w:r>
      <w:r w:rsidR="00D903C5" w:rsidRPr="00742B66">
        <w:rPr>
          <w:rFonts w:asciiTheme="minorHAnsi" w:hAnsiTheme="minorHAnsi" w:cstheme="minorHAnsi"/>
          <w:sz w:val="16"/>
          <w:szCs w:val="16"/>
        </w:rPr>
        <w:t xml:space="preserve"> been</w:t>
      </w:r>
      <w:r w:rsidRPr="00742B66">
        <w:rPr>
          <w:rFonts w:asciiTheme="minorHAnsi" w:hAnsiTheme="minorHAnsi" w:cstheme="minorHAnsi"/>
          <w:sz w:val="16"/>
          <w:szCs w:val="16"/>
        </w:rPr>
        <w:t xml:space="preserve"> estimated by applying the rate of non-consent to revenue figures using ACCAN survey results (12%)</w:t>
      </w:r>
      <w:proofErr w:type="gramStart"/>
      <w:r w:rsidRPr="00742B66">
        <w:rPr>
          <w:rFonts w:asciiTheme="minorHAnsi" w:hAnsiTheme="minorHAnsi" w:cstheme="minorHAnsi"/>
          <w:sz w:val="16"/>
          <w:szCs w:val="16"/>
        </w:rPr>
        <w:t>,</w:t>
      </w:r>
      <w:proofErr w:type="gramEnd"/>
      <w:r w:rsidRPr="00742B66">
        <w:rPr>
          <w:rFonts w:asciiTheme="minorHAnsi" w:hAnsiTheme="minorHAnsi" w:cstheme="minorHAnsi"/>
          <w:sz w:val="16"/>
          <w:szCs w:val="16"/>
        </w:rPr>
        <w:t xml:space="preserve"> if the limited survey results set out at 37 were accurate the estimated loss would be $155.4 million. As the sample size was exceptionally limited ACCAN considers that this upper bound figure is likely to be inaccurate, but notes that consumer losses may be in excess of the baseline estimate.</w:t>
      </w:r>
    </w:p>
  </w:footnote>
  <w:footnote w:id="4">
    <w:p w:rsidR="008577E8" w:rsidRPr="00742B66" w:rsidRDefault="008577E8" w:rsidP="00742B66">
      <w:pPr>
        <w:pStyle w:val="FootnoteText"/>
        <w:spacing w:after="0"/>
        <w:rPr>
          <w:rFonts w:asciiTheme="minorHAnsi" w:hAnsiTheme="minorHAnsi" w:cstheme="minorHAnsi"/>
          <w:sz w:val="16"/>
          <w:szCs w:val="16"/>
          <w:lang w:val="en-US"/>
        </w:rPr>
      </w:pPr>
      <w:r w:rsidRPr="00742B66">
        <w:rPr>
          <w:rStyle w:val="FootnoteReference"/>
          <w:rFonts w:asciiTheme="minorHAnsi" w:hAnsiTheme="minorHAnsi" w:cstheme="minorHAnsi"/>
          <w:sz w:val="16"/>
          <w:szCs w:val="16"/>
        </w:rPr>
        <w:footnoteRef/>
      </w:r>
      <w:r w:rsidRPr="00742B66">
        <w:rPr>
          <w:rFonts w:asciiTheme="minorHAnsi" w:hAnsiTheme="minorHAnsi" w:cstheme="minorHAnsi"/>
          <w:sz w:val="16"/>
          <w:szCs w:val="16"/>
        </w:rPr>
        <w:t xml:space="preserve">. This </w:t>
      </w:r>
      <w:r w:rsidR="00D903C5" w:rsidRPr="00742B66">
        <w:rPr>
          <w:rFonts w:asciiTheme="minorHAnsi" w:hAnsiTheme="minorHAnsi" w:cstheme="minorHAnsi"/>
          <w:sz w:val="16"/>
          <w:szCs w:val="16"/>
        </w:rPr>
        <w:t xml:space="preserve">figure has been </w:t>
      </w:r>
      <w:r w:rsidRPr="00742B66">
        <w:rPr>
          <w:rFonts w:asciiTheme="minorHAnsi" w:hAnsiTheme="minorHAnsi" w:cstheme="minorHAnsi"/>
          <w:sz w:val="16"/>
          <w:szCs w:val="16"/>
        </w:rPr>
        <w:t xml:space="preserve">estimated by applying the rate of non-consent to revenue figures using ACCAN survey results (12%), against Optus revenues of $195 million, set out in detail at [57] in </w:t>
      </w:r>
      <w:r w:rsidRPr="00742B66">
        <w:rPr>
          <w:rFonts w:asciiTheme="minorHAnsi" w:eastAsiaTheme="minorEastAsia" w:hAnsiTheme="minorHAnsi" w:cstheme="minorHAnsi"/>
          <w:bCs/>
          <w:sz w:val="16"/>
          <w:szCs w:val="16"/>
          <w:shd w:val="clear" w:color="auto" w:fill="FFFFFF"/>
          <w:lang w:eastAsia="en-AU"/>
        </w:rPr>
        <w:t>Australian Competition and Consumer Commission v Optus Mobile Pty Limited [2019] FCA 106.</w:t>
      </w:r>
    </w:p>
  </w:footnote>
  <w:footnote w:id="5">
    <w:p w:rsidR="008577E8" w:rsidRPr="00742B66" w:rsidRDefault="008577E8" w:rsidP="00742B66">
      <w:pPr>
        <w:pStyle w:val="BodyText1"/>
        <w:spacing w:after="0" w:line="240" w:lineRule="auto"/>
        <w:rPr>
          <w:rFonts w:asciiTheme="minorHAnsi" w:eastAsiaTheme="minorEastAsia" w:hAnsiTheme="minorHAnsi" w:cstheme="minorHAnsi"/>
          <w:b/>
          <w:bCs/>
          <w:color w:val="333333"/>
          <w:sz w:val="16"/>
          <w:szCs w:val="16"/>
          <w:shd w:val="clear" w:color="auto" w:fill="FFFFFF"/>
          <w:lang w:eastAsia="en-AU"/>
        </w:rPr>
      </w:pPr>
      <w:r w:rsidRPr="00742B66">
        <w:rPr>
          <w:rStyle w:val="FootnoteReference"/>
          <w:rFonts w:asciiTheme="minorHAnsi" w:hAnsiTheme="minorHAnsi" w:cstheme="minorHAnsi"/>
          <w:sz w:val="16"/>
          <w:szCs w:val="16"/>
        </w:rPr>
        <w:footnoteRef/>
      </w:r>
      <w:r w:rsidRPr="00742B66">
        <w:rPr>
          <w:rFonts w:asciiTheme="minorHAnsi" w:hAnsiTheme="minorHAnsi" w:cstheme="minorHAnsi"/>
          <w:sz w:val="16"/>
          <w:szCs w:val="16"/>
        </w:rPr>
        <w:t>.</w:t>
      </w:r>
      <w:r w:rsidRPr="00742B66">
        <w:rPr>
          <w:rFonts w:asciiTheme="minorHAnsi" w:hAnsiTheme="minorHAnsi" w:cstheme="minorHAnsi"/>
          <w:color w:val="auto"/>
          <w:sz w:val="16"/>
          <w:szCs w:val="16"/>
        </w:rPr>
        <w:t xml:space="preserve"> </w:t>
      </w:r>
      <w:proofErr w:type="gramStart"/>
      <w:r w:rsidRPr="00742B66">
        <w:rPr>
          <w:rFonts w:asciiTheme="minorHAnsi" w:eastAsiaTheme="minorEastAsia" w:hAnsiTheme="minorHAnsi" w:cstheme="minorHAnsi"/>
          <w:bCs/>
          <w:color w:val="auto"/>
          <w:sz w:val="16"/>
          <w:szCs w:val="16"/>
          <w:shd w:val="clear" w:color="auto" w:fill="FFFFFF"/>
          <w:lang w:eastAsia="en-AU"/>
        </w:rPr>
        <w:t>Australian Competition and Consumer Commission v Optus Mobile Pty Limited [2019] FCA 106</w:t>
      </w:r>
      <w:r w:rsidRPr="00742B66">
        <w:rPr>
          <w:rFonts w:asciiTheme="minorHAnsi" w:eastAsiaTheme="minorEastAsia" w:hAnsiTheme="minorHAnsi" w:cstheme="minorHAnsi"/>
          <w:bCs/>
          <w:color w:val="auto"/>
          <w:sz w:val="16"/>
          <w:szCs w:val="16"/>
          <w:lang w:eastAsia="en-AU"/>
        </w:rPr>
        <w:t xml:space="preserve">; </w:t>
      </w:r>
      <w:r w:rsidRPr="00742B66">
        <w:rPr>
          <w:rFonts w:asciiTheme="minorHAnsi" w:hAnsiTheme="minorHAnsi" w:cstheme="minorHAnsi"/>
          <w:sz w:val="16"/>
          <w:szCs w:val="16"/>
        </w:rPr>
        <w:t>Australian Competition and Consumer Commission v Telstra Corporation Limited [2018] FCA 571.</w:t>
      </w:r>
      <w:proofErr w:type="gramEnd"/>
    </w:p>
  </w:footnote>
  <w:footnote w:id="6">
    <w:p w:rsidR="008577E8" w:rsidRPr="00742B66" w:rsidRDefault="008577E8" w:rsidP="00742B66">
      <w:pPr>
        <w:pStyle w:val="Bibliography"/>
        <w:spacing w:before="0" w:beforeAutospacing="0" w:after="0" w:afterAutospacing="0"/>
        <w:ind w:left="0" w:firstLine="0"/>
        <w:rPr>
          <w:rFonts w:asciiTheme="minorHAnsi" w:hAnsiTheme="minorHAnsi" w:cstheme="minorHAnsi"/>
          <w:sz w:val="16"/>
          <w:szCs w:val="16"/>
        </w:rPr>
      </w:pPr>
      <w:r w:rsidRPr="00742B66">
        <w:rPr>
          <w:rStyle w:val="FootnoteReference"/>
          <w:rFonts w:asciiTheme="minorHAnsi" w:hAnsiTheme="minorHAnsi" w:cstheme="minorHAnsi"/>
          <w:sz w:val="16"/>
          <w:szCs w:val="16"/>
        </w:rPr>
        <w:footnoteRef/>
      </w:r>
      <w:r w:rsidRPr="00742B66">
        <w:rPr>
          <w:rFonts w:asciiTheme="minorHAnsi" w:hAnsiTheme="minorHAnsi" w:cstheme="minorHAnsi"/>
          <w:sz w:val="16"/>
          <w:szCs w:val="16"/>
        </w:rPr>
        <w:t xml:space="preserve">. ACCAN, 2017, </w:t>
      </w:r>
      <w:r w:rsidRPr="00742B66">
        <w:rPr>
          <w:rFonts w:asciiTheme="minorHAnsi" w:hAnsiTheme="minorHAnsi" w:cstheme="minorHAnsi"/>
          <w:i/>
          <w:sz w:val="16"/>
          <w:szCs w:val="16"/>
        </w:rPr>
        <w:t>Mobile third party billing: Consumer experiences and expectations</w:t>
      </w:r>
      <w:r w:rsidRPr="00742B66">
        <w:rPr>
          <w:rFonts w:asciiTheme="minorHAnsi" w:hAnsiTheme="minorHAnsi" w:cstheme="minorHAnsi"/>
          <w:sz w:val="16"/>
          <w:szCs w:val="16"/>
        </w:rPr>
        <w:t xml:space="preserve">, Sydney, p. 55; this results in sub-optimal enforcement, </w:t>
      </w:r>
      <w:proofErr w:type="spellStart"/>
      <w:r w:rsidRPr="00742B66">
        <w:rPr>
          <w:rFonts w:asciiTheme="minorHAnsi" w:hAnsiTheme="minorHAnsi" w:cstheme="minorHAnsi"/>
          <w:sz w:val="16"/>
          <w:szCs w:val="16"/>
        </w:rPr>
        <w:t>Shavell</w:t>
      </w:r>
      <w:proofErr w:type="spellEnd"/>
      <w:r w:rsidRPr="00742B66">
        <w:rPr>
          <w:rFonts w:asciiTheme="minorHAnsi" w:hAnsiTheme="minorHAnsi" w:cstheme="minorHAnsi"/>
          <w:sz w:val="16"/>
          <w:szCs w:val="16"/>
        </w:rPr>
        <w:t xml:space="preserve">, S. 1982, ‘The social versus the private incentive to bring suit in a costly legal system’, </w:t>
      </w:r>
      <w:r w:rsidRPr="00742B66">
        <w:rPr>
          <w:rFonts w:asciiTheme="minorHAnsi" w:hAnsiTheme="minorHAnsi" w:cstheme="minorHAnsi"/>
          <w:i/>
          <w:iCs/>
          <w:sz w:val="16"/>
          <w:szCs w:val="16"/>
        </w:rPr>
        <w:t>Journal of Legal Studies</w:t>
      </w:r>
      <w:r w:rsidRPr="00742B66">
        <w:rPr>
          <w:rFonts w:asciiTheme="minorHAnsi" w:hAnsiTheme="minorHAnsi" w:cstheme="minorHAnsi"/>
          <w:sz w:val="16"/>
          <w:szCs w:val="16"/>
        </w:rPr>
        <w:t>, vol. 11, no. 2, pp. 333–9.</w:t>
      </w:r>
    </w:p>
  </w:footnote>
  <w:footnote w:id="7">
    <w:p w:rsidR="008577E8" w:rsidRPr="00742B66" w:rsidRDefault="008577E8" w:rsidP="00742B66">
      <w:pPr>
        <w:pStyle w:val="FootnoteText"/>
        <w:spacing w:after="0"/>
        <w:rPr>
          <w:rFonts w:asciiTheme="minorHAnsi" w:hAnsiTheme="minorHAnsi" w:cstheme="minorHAnsi"/>
          <w:sz w:val="16"/>
          <w:szCs w:val="16"/>
          <w:lang w:val="en-US"/>
        </w:rPr>
      </w:pPr>
      <w:r w:rsidRPr="00742B66">
        <w:rPr>
          <w:rStyle w:val="FootnoteReference"/>
          <w:rFonts w:asciiTheme="minorHAnsi" w:hAnsiTheme="minorHAnsi" w:cstheme="minorHAnsi"/>
          <w:sz w:val="16"/>
          <w:szCs w:val="16"/>
        </w:rPr>
        <w:footnoteRef/>
      </w:r>
      <w:r w:rsidRPr="00742B66">
        <w:rPr>
          <w:rFonts w:asciiTheme="minorHAnsi" w:hAnsiTheme="minorHAnsi" w:cstheme="minorHAnsi"/>
          <w:sz w:val="16"/>
          <w:szCs w:val="16"/>
        </w:rPr>
        <w:t xml:space="preserve">. ACCAN, 2017, </w:t>
      </w:r>
      <w:r w:rsidRPr="00742B66">
        <w:rPr>
          <w:rFonts w:asciiTheme="minorHAnsi" w:hAnsiTheme="minorHAnsi" w:cstheme="minorHAnsi"/>
          <w:i/>
          <w:sz w:val="16"/>
          <w:szCs w:val="16"/>
        </w:rPr>
        <w:t>Mobile third party billing: Consumer experiences and expectations</w:t>
      </w:r>
      <w:r w:rsidRPr="00742B66">
        <w:rPr>
          <w:rFonts w:asciiTheme="minorHAnsi" w:hAnsiTheme="minorHAnsi" w:cstheme="minorHAnsi"/>
          <w:sz w:val="16"/>
          <w:szCs w:val="16"/>
        </w:rPr>
        <w:t>, Sydney, p. 11.</w:t>
      </w:r>
    </w:p>
  </w:footnote>
  <w:footnote w:id="8">
    <w:p w:rsidR="00272011" w:rsidRPr="00742B66" w:rsidRDefault="00272011" w:rsidP="00742B66">
      <w:pPr>
        <w:pStyle w:val="FootnoteText"/>
        <w:spacing w:after="0"/>
        <w:rPr>
          <w:rFonts w:asciiTheme="minorHAnsi" w:hAnsiTheme="minorHAnsi" w:cstheme="minorHAnsi"/>
          <w:i/>
          <w:sz w:val="16"/>
          <w:szCs w:val="16"/>
          <w:lang w:val="en-US"/>
        </w:rPr>
      </w:pPr>
      <w:r w:rsidRPr="00742B66">
        <w:rPr>
          <w:rStyle w:val="FootnoteReference"/>
          <w:rFonts w:asciiTheme="minorHAnsi" w:hAnsiTheme="minorHAnsi" w:cstheme="minorHAnsi"/>
          <w:sz w:val="16"/>
          <w:szCs w:val="16"/>
        </w:rPr>
        <w:footnoteRef/>
      </w:r>
      <w:r w:rsidRPr="00742B66">
        <w:rPr>
          <w:rFonts w:asciiTheme="minorHAnsi" w:hAnsiTheme="minorHAnsi" w:cstheme="minorHAnsi"/>
          <w:sz w:val="16"/>
          <w:szCs w:val="16"/>
        </w:rPr>
        <w:t xml:space="preserve">. </w:t>
      </w:r>
      <w:proofErr w:type="gramStart"/>
      <w:r w:rsidRPr="00742B66">
        <w:rPr>
          <w:rFonts w:asciiTheme="minorHAnsi" w:hAnsiTheme="minorHAnsi" w:cstheme="minorHAnsi"/>
          <w:sz w:val="16"/>
          <w:szCs w:val="16"/>
        </w:rPr>
        <w:t xml:space="preserve">ACMA, 2015, </w:t>
      </w:r>
      <w:r w:rsidRPr="00742B66">
        <w:rPr>
          <w:rFonts w:asciiTheme="minorHAnsi" w:hAnsiTheme="minorHAnsi" w:cstheme="minorHAnsi"/>
          <w:i/>
          <w:sz w:val="16"/>
          <w:szCs w:val="16"/>
        </w:rPr>
        <w:t xml:space="preserve">Optimal conditions for effective self- and co-regulatory arrangements, </w:t>
      </w:r>
      <w:r w:rsidRPr="00742B66">
        <w:rPr>
          <w:rFonts w:asciiTheme="minorHAnsi" w:hAnsiTheme="minorHAnsi" w:cstheme="minorHAnsi"/>
          <w:sz w:val="16"/>
          <w:szCs w:val="16"/>
        </w:rPr>
        <w:t>Occasional Paper, pp. 19-20.</w:t>
      </w:r>
      <w:proofErr w:type="gramEnd"/>
    </w:p>
  </w:footnote>
  <w:footnote w:id="9">
    <w:p w:rsidR="006D1C3B" w:rsidRPr="00742B66" w:rsidRDefault="006D1C3B" w:rsidP="00742B66">
      <w:pPr>
        <w:pStyle w:val="FootnoteText"/>
        <w:spacing w:after="0"/>
        <w:rPr>
          <w:rFonts w:asciiTheme="minorHAnsi" w:hAnsiTheme="minorHAnsi" w:cstheme="minorHAnsi"/>
          <w:sz w:val="16"/>
          <w:szCs w:val="16"/>
          <w:lang w:val="en-US"/>
        </w:rPr>
      </w:pPr>
      <w:r w:rsidRPr="00742B66">
        <w:rPr>
          <w:rStyle w:val="FootnoteReference"/>
          <w:rFonts w:asciiTheme="minorHAnsi" w:hAnsiTheme="minorHAnsi" w:cstheme="minorHAnsi"/>
          <w:sz w:val="16"/>
          <w:szCs w:val="16"/>
        </w:rPr>
        <w:footnoteRef/>
      </w:r>
      <w:r w:rsidRPr="00742B66">
        <w:rPr>
          <w:rFonts w:asciiTheme="minorHAnsi" w:hAnsiTheme="minorHAnsi" w:cstheme="minorHAnsi"/>
          <w:sz w:val="16"/>
          <w:szCs w:val="16"/>
        </w:rPr>
        <w:t xml:space="preserve">. ACCAN, 2017, </w:t>
      </w:r>
      <w:r w:rsidRPr="00742B66">
        <w:rPr>
          <w:rFonts w:asciiTheme="minorHAnsi" w:hAnsiTheme="minorHAnsi" w:cstheme="minorHAnsi"/>
          <w:i/>
          <w:sz w:val="16"/>
          <w:szCs w:val="16"/>
        </w:rPr>
        <w:t>Mobile third party billing: Consumer experiences and expectations</w:t>
      </w:r>
      <w:r w:rsidRPr="00742B66">
        <w:rPr>
          <w:rFonts w:asciiTheme="minorHAnsi" w:hAnsiTheme="minorHAnsi" w:cstheme="minorHAnsi"/>
          <w:sz w:val="16"/>
          <w:szCs w:val="16"/>
        </w:rPr>
        <w:t>, Sydney, p. 5.</w:t>
      </w:r>
    </w:p>
  </w:footnote>
  <w:footnote w:id="10">
    <w:p w:rsidR="006D1C3B" w:rsidRPr="00742B66" w:rsidRDefault="006D1C3B" w:rsidP="00742B66">
      <w:pPr>
        <w:pStyle w:val="FootnoteText"/>
        <w:spacing w:after="0"/>
        <w:rPr>
          <w:rFonts w:asciiTheme="minorHAnsi" w:hAnsiTheme="minorHAnsi" w:cstheme="minorHAnsi"/>
          <w:sz w:val="16"/>
          <w:szCs w:val="16"/>
          <w:lang w:val="en-US"/>
        </w:rPr>
      </w:pPr>
      <w:r w:rsidRPr="00742B66">
        <w:rPr>
          <w:rStyle w:val="FootnoteReference"/>
          <w:rFonts w:asciiTheme="minorHAnsi" w:hAnsiTheme="minorHAnsi" w:cstheme="minorHAnsi"/>
          <w:sz w:val="16"/>
          <w:szCs w:val="16"/>
        </w:rPr>
        <w:footnoteRef/>
      </w:r>
      <w:r w:rsidRPr="00742B66">
        <w:rPr>
          <w:rFonts w:asciiTheme="minorHAnsi" w:hAnsiTheme="minorHAnsi" w:cstheme="minorHAnsi"/>
          <w:sz w:val="16"/>
          <w:szCs w:val="16"/>
        </w:rPr>
        <w:t>. ACCAN proposed drafting changes highlighted in blue.</w:t>
      </w:r>
    </w:p>
  </w:footnote>
  <w:footnote w:id="11">
    <w:p w:rsidR="00131724" w:rsidRPr="00742B66" w:rsidRDefault="00131724" w:rsidP="00742B66">
      <w:pPr>
        <w:pStyle w:val="FootnoteText"/>
        <w:spacing w:after="0"/>
        <w:rPr>
          <w:rFonts w:asciiTheme="minorHAnsi" w:hAnsiTheme="minorHAnsi" w:cstheme="minorHAnsi"/>
          <w:sz w:val="16"/>
          <w:szCs w:val="16"/>
          <w:lang w:val="en-US"/>
        </w:rPr>
      </w:pPr>
      <w:r w:rsidRPr="00742B66">
        <w:rPr>
          <w:rStyle w:val="FootnoteReference"/>
          <w:rFonts w:asciiTheme="minorHAnsi" w:hAnsiTheme="minorHAnsi" w:cstheme="minorHAnsi"/>
          <w:sz w:val="16"/>
          <w:szCs w:val="16"/>
        </w:rPr>
        <w:footnoteRef/>
      </w:r>
      <w:r w:rsidRPr="00742B66">
        <w:rPr>
          <w:rFonts w:asciiTheme="minorHAnsi" w:hAnsiTheme="minorHAnsi" w:cstheme="minorHAnsi"/>
          <w:sz w:val="16"/>
          <w:szCs w:val="16"/>
        </w:rPr>
        <w:t xml:space="preserve">. </w:t>
      </w:r>
      <w:proofErr w:type="gramStart"/>
      <w:r w:rsidRPr="00742B66">
        <w:rPr>
          <w:rFonts w:asciiTheme="minorHAnsi" w:hAnsiTheme="minorHAnsi" w:cstheme="minorHAnsi"/>
          <w:sz w:val="16"/>
          <w:szCs w:val="16"/>
        </w:rPr>
        <w:t xml:space="preserve">ACMA, 2018, </w:t>
      </w:r>
      <w:r w:rsidRPr="00742B66">
        <w:rPr>
          <w:rFonts w:asciiTheme="minorHAnsi" w:hAnsiTheme="minorHAnsi" w:cstheme="minorHAnsi"/>
          <w:i/>
          <w:sz w:val="16"/>
          <w:szCs w:val="16"/>
        </w:rPr>
        <w:t>Communications Report 2017-18</w:t>
      </w:r>
      <w:r w:rsidRPr="00742B66">
        <w:rPr>
          <w:rFonts w:asciiTheme="minorHAnsi" w:hAnsiTheme="minorHAnsi" w:cstheme="minorHAnsi"/>
          <w:sz w:val="16"/>
          <w:szCs w:val="16"/>
        </w:rPr>
        <w:t>, p. 119, p.5.</w:t>
      </w:r>
      <w:proofErr w:type="gramEnd"/>
      <w:r w:rsidRPr="00742B66">
        <w:rPr>
          <w:rFonts w:asciiTheme="minorHAnsi" w:hAnsiTheme="minorHAnsi" w:cstheme="minorHAnsi"/>
          <w:sz w:val="16"/>
          <w:szCs w:val="16"/>
        </w:rPr>
        <w:t xml:space="preserve"> The report notes that 2.271 million services were ported and 34.84 million mobile services in operation as at 30 June 2018. 2.271m/34.84m = 6.51%. </w:t>
      </w:r>
    </w:p>
  </w:footnote>
  <w:footnote w:id="12">
    <w:p w:rsidR="00131724" w:rsidRPr="00742B66" w:rsidRDefault="00131724" w:rsidP="00742B66">
      <w:pPr>
        <w:pStyle w:val="FootnoteText"/>
        <w:spacing w:after="0"/>
        <w:rPr>
          <w:rFonts w:asciiTheme="minorHAnsi" w:hAnsiTheme="minorHAnsi" w:cstheme="minorHAnsi"/>
          <w:sz w:val="16"/>
          <w:szCs w:val="16"/>
          <w:lang w:val="en-US"/>
        </w:rPr>
      </w:pPr>
      <w:r w:rsidRPr="00742B66">
        <w:rPr>
          <w:rStyle w:val="FootnoteReference"/>
          <w:rFonts w:asciiTheme="minorHAnsi" w:hAnsiTheme="minorHAnsi" w:cstheme="minorHAnsi"/>
          <w:sz w:val="16"/>
          <w:szCs w:val="16"/>
        </w:rPr>
        <w:footnoteRef/>
      </w:r>
      <w:r w:rsidRPr="00742B66">
        <w:rPr>
          <w:rFonts w:asciiTheme="minorHAnsi" w:hAnsiTheme="minorHAnsi" w:cstheme="minorHAnsi"/>
          <w:sz w:val="16"/>
          <w:szCs w:val="16"/>
        </w:rPr>
        <w:t xml:space="preserve">. ACCAN, 2017, </w:t>
      </w:r>
      <w:r w:rsidRPr="00742B66">
        <w:rPr>
          <w:rFonts w:asciiTheme="minorHAnsi" w:hAnsiTheme="minorHAnsi" w:cstheme="minorHAnsi"/>
          <w:i/>
          <w:sz w:val="16"/>
          <w:szCs w:val="16"/>
        </w:rPr>
        <w:t>Mobile third party billing: Consumer experiences and expectations</w:t>
      </w:r>
      <w:r w:rsidRPr="00742B66">
        <w:rPr>
          <w:rFonts w:asciiTheme="minorHAnsi" w:hAnsiTheme="minorHAnsi" w:cstheme="minorHAnsi"/>
          <w:sz w:val="16"/>
          <w:szCs w:val="16"/>
        </w:rPr>
        <w:t>, Sydney, p. 8.</w:t>
      </w:r>
    </w:p>
  </w:footnote>
  <w:footnote w:id="13">
    <w:p w:rsidR="00742B66" w:rsidRPr="00742B66" w:rsidRDefault="00742B66" w:rsidP="00742B66">
      <w:pPr>
        <w:pStyle w:val="FootnoteText"/>
        <w:spacing w:after="0"/>
        <w:rPr>
          <w:sz w:val="16"/>
          <w:szCs w:val="16"/>
          <w:lang w:val="en-US"/>
        </w:rPr>
      </w:pPr>
      <w:r w:rsidRPr="00742B66">
        <w:rPr>
          <w:rStyle w:val="FootnoteReference"/>
          <w:sz w:val="16"/>
          <w:szCs w:val="16"/>
        </w:rPr>
        <w:footnoteRef/>
      </w:r>
      <w:r w:rsidRPr="00742B66">
        <w:rPr>
          <w:sz w:val="16"/>
          <w:szCs w:val="16"/>
        </w:rPr>
        <w:t>. The 1.1% figure represents 17% of all of the 6.51% of mobile numbers ported. This estimate may be lower as 4% of the aforementioned 17% of consumers could not recall the value of their purchases.</w:t>
      </w:r>
    </w:p>
  </w:footnote>
  <w:footnote w:id="14">
    <w:p w:rsidR="00623F4D" w:rsidRPr="00742B66" w:rsidRDefault="00623F4D" w:rsidP="00742B66">
      <w:pPr>
        <w:pStyle w:val="FootnoteText"/>
        <w:spacing w:after="0"/>
        <w:rPr>
          <w:rFonts w:asciiTheme="minorHAnsi" w:hAnsiTheme="minorHAnsi" w:cstheme="minorHAnsi"/>
          <w:sz w:val="16"/>
          <w:szCs w:val="16"/>
          <w:lang w:val="en-US"/>
        </w:rPr>
      </w:pPr>
      <w:r w:rsidRPr="00742B66">
        <w:rPr>
          <w:rStyle w:val="FootnoteReference"/>
          <w:rFonts w:asciiTheme="minorHAnsi" w:hAnsiTheme="minorHAnsi" w:cstheme="minorHAnsi"/>
          <w:sz w:val="16"/>
          <w:szCs w:val="16"/>
        </w:rPr>
        <w:footnoteRef/>
      </w:r>
      <w:r w:rsidRPr="00742B66">
        <w:rPr>
          <w:rFonts w:asciiTheme="minorHAnsi" w:hAnsiTheme="minorHAnsi" w:cstheme="minorHAnsi"/>
          <w:sz w:val="16"/>
          <w:szCs w:val="16"/>
        </w:rPr>
        <w:t>. ACCAN proposed drafting changes highlighted in blue.</w:t>
      </w:r>
    </w:p>
  </w:footnote>
  <w:footnote w:id="15">
    <w:p w:rsidR="00395779" w:rsidRPr="00742B66" w:rsidRDefault="00395779" w:rsidP="00742B66">
      <w:pPr>
        <w:pStyle w:val="FootnoteText"/>
        <w:spacing w:after="0"/>
        <w:rPr>
          <w:rFonts w:asciiTheme="minorHAnsi" w:hAnsiTheme="minorHAnsi" w:cstheme="minorHAnsi"/>
          <w:sz w:val="16"/>
          <w:szCs w:val="16"/>
          <w:lang w:val="en-US"/>
        </w:rPr>
      </w:pPr>
      <w:r w:rsidRPr="00742B66">
        <w:rPr>
          <w:rStyle w:val="FootnoteReference"/>
          <w:rFonts w:asciiTheme="minorHAnsi" w:hAnsiTheme="minorHAnsi" w:cstheme="minorHAnsi"/>
          <w:sz w:val="16"/>
          <w:szCs w:val="16"/>
        </w:rPr>
        <w:footnoteRef/>
      </w:r>
      <w:r w:rsidRPr="00742B66">
        <w:rPr>
          <w:rFonts w:asciiTheme="minorHAnsi" w:hAnsiTheme="minorHAnsi" w:cstheme="minorHAnsi"/>
          <w:sz w:val="16"/>
          <w:szCs w:val="16"/>
        </w:rPr>
        <w:t xml:space="preserve">. ACCAN, 2017, </w:t>
      </w:r>
      <w:r w:rsidRPr="00742B66">
        <w:rPr>
          <w:rFonts w:asciiTheme="minorHAnsi" w:hAnsiTheme="minorHAnsi" w:cstheme="minorHAnsi"/>
          <w:i/>
          <w:sz w:val="16"/>
          <w:szCs w:val="16"/>
        </w:rPr>
        <w:t>Mobile third party billing: Consumer experiences and expectations</w:t>
      </w:r>
      <w:r w:rsidRPr="00742B66">
        <w:rPr>
          <w:rFonts w:asciiTheme="minorHAnsi" w:hAnsiTheme="minorHAnsi" w:cstheme="minorHAnsi"/>
          <w:sz w:val="16"/>
          <w:szCs w:val="16"/>
        </w:rPr>
        <w:t>, Sydney, p.41.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AEA" w:rsidRDefault="00DD0AEA" w:rsidP="00DD0AEA">
    <w:pPr>
      <w:pStyle w:val="Header"/>
      <w:jc w:val="right"/>
    </w:pPr>
    <w:r>
      <w:rPr>
        <w:noProof/>
        <w:lang w:val="en-US"/>
      </w:rPr>
      <w:drawing>
        <wp:inline distT="0" distB="0" distL="0" distR="0" wp14:anchorId="72164FC8" wp14:editId="5CFFA5DD">
          <wp:extent cx="678787" cy="296066"/>
          <wp:effectExtent l="0" t="0" r="7620" b="8890"/>
          <wp:docPr id="1" name="Picture 1" descr="ACCAN_logo_BLACK_viewing_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AN_logo_BLACK_viewing_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108" cy="295334"/>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AEA" w:rsidRDefault="00DD0AEA" w:rsidP="00DD0AEA">
    <w:pPr>
      <w:pStyle w:val="Header"/>
      <w:jc w:val="center"/>
    </w:pPr>
    <w:r>
      <w:rPr>
        <w:noProof/>
        <w:lang w:val="en-US"/>
      </w:rPr>
      <w:drawing>
        <wp:inline distT="0" distB="0" distL="0" distR="0" wp14:anchorId="568AF303" wp14:editId="2B99B13A">
          <wp:extent cx="3057525" cy="1581150"/>
          <wp:effectExtent l="0" t="0" r="0" b="0"/>
          <wp:docPr id="6" name="Picture 13" descr="ACCAN_logo_BLUE_viewing_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CAN_logo_BLUE_viewing_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1581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86E215D6"/>
    <w:lvl w:ilvl="0" w:tplc="00000001">
      <w:start w:val="1"/>
      <w:numFmt w:val="bullet"/>
      <w:lvlText w:val="•"/>
      <w:lvlJc w:val="left"/>
      <w:pPr>
        <w:ind w:left="940" w:hanging="360"/>
      </w:pPr>
    </w:lvl>
    <w:lvl w:ilvl="1" w:tplc="FFFFFFFF">
      <w:numFmt w:val="decimal"/>
      <w:lvlText w:val=""/>
      <w:lvlJc w:val="left"/>
    </w:lvl>
    <w:lvl w:ilvl="2" w:tplc="0C090001">
      <w:start w:val="1"/>
      <w:numFmt w:val="bullet"/>
      <w:lvlText w:val=""/>
      <w:lvlJc w:val="left"/>
      <w:pPr>
        <w:ind w:left="720" w:hanging="360"/>
      </w:pPr>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FE358B"/>
    <w:multiLevelType w:val="hybridMultilevel"/>
    <w:tmpl w:val="8E7EF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194578"/>
    <w:multiLevelType w:val="hybridMultilevel"/>
    <w:tmpl w:val="F5B26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E14AAA"/>
    <w:multiLevelType w:val="hybridMultilevel"/>
    <w:tmpl w:val="34E219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FF84406"/>
    <w:multiLevelType w:val="hybridMultilevel"/>
    <w:tmpl w:val="9CC236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41476EE"/>
    <w:multiLevelType w:val="hybridMultilevel"/>
    <w:tmpl w:val="941689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41802AC"/>
    <w:multiLevelType w:val="hybridMultilevel"/>
    <w:tmpl w:val="7318D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BF5D11"/>
    <w:multiLevelType w:val="hybridMultilevel"/>
    <w:tmpl w:val="30C2F3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6C25646"/>
    <w:multiLevelType w:val="hybridMultilevel"/>
    <w:tmpl w:val="01CE7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7D31FA4"/>
    <w:multiLevelType w:val="hybridMultilevel"/>
    <w:tmpl w:val="2E247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946CC8"/>
    <w:multiLevelType w:val="hybridMultilevel"/>
    <w:tmpl w:val="11A8D3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0BE4247"/>
    <w:multiLevelType w:val="multilevel"/>
    <w:tmpl w:val="D8A86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0733DF"/>
    <w:multiLevelType w:val="multilevel"/>
    <w:tmpl w:val="7EC86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AB25AC"/>
    <w:multiLevelType w:val="hybridMultilevel"/>
    <w:tmpl w:val="3A842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9A560C"/>
    <w:multiLevelType w:val="hybridMultilevel"/>
    <w:tmpl w:val="D3724390"/>
    <w:lvl w:ilvl="0" w:tplc="0456BFF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25CD6056"/>
    <w:multiLevelType w:val="hybridMultilevel"/>
    <w:tmpl w:val="9D601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153DF0"/>
    <w:multiLevelType w:val="hybridMultilevel"/>
    <w:tmpl w:val="C64CF112"/>
    <w:lvl w:ilvl="0" w:tplc="E63C4C88">
      <w:start w:val="1"/>
      <w:numFmt w:val="decimal"/>
      <w:lvlText w:val="%1)"/>
      <w:lvlJc w:val="left"/>
      <w:pPr>
        <w:ind w:left="720" w:hanging="360"/>
      </w:pPr>
      <w:rPr>
        <w:rFonts w:ascii="Times New Roman" w:eastAsia="Arial" w:hAnsi="Times New Roman" w:cs="Times New Roman" w:hint="default"/>
        <w:b w:val="0"/>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7036C6"/>
    <w:multiLevelType w:val="hybridMultilevel"/>
    <w:tmpl w:val="34DE8D4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nsid w:val="2C4F0862"/>
    <w:multiLevelType w:val="multilevel"/>
    <w:tmpl w:val="6AFEEB4C"/>
    <w:styleLink w:val="Bullets"/>
    <w:lvl w:ilvl="0">
      <w:start w:val="1"/>
      <w:numFmt w:val="bullet"/>
      <w:pStyle w:val="Bulletlist1"/>
      <w:lvlText w:val=""/>
      <w:lvlJc w:val="left"/>
      <w:pPr>
        <w:ind w:left="851" w:hanging="284"/>
      </w:pPr>
      <w:rPr>
        <w:rFonts w:ascii="Symbol" w:hAnsi="Symbol" w:hint="default"/>
      </w:rPr>
    </w:lvl>
    <w:lvl w:ilvl="1">
      <w:start w:val="1"/>
      <w:numFmt w:val="bullet"/>
      <w:pStyle w:val="Bulletlist2"/>
      <w:lvlText w:val=""/>
      <w:lvlJc w:val="left"/>
      <w:pPr>
        <w:ind w:left="1418" w:hanging="284"/>
      </w:pPr>
      <w:rPr>
        <w:rFonts w:ascii="Symbol" w:hAnsi="Symbol" w:hint="default"/>
      </w:rPr>
    </w:lvl>
    <w:lvl w:ilvl="2">
      <w:start w:val="1"/>
      <w:numFmt w:val="bullet"/>
      <w:pStyle w:val="Bulletlist3"/>
      <w:lvlText w:val=""/>
      <w:lvlJc w:val="left"/>
      <w:pPr>
        <w:ind w:left="1985" w:hanging="284"/>
      </w:pPr>
      <w:rPr>
        <w:rFonts w:ascii="Symbol" w:hAnsi="Symbol" w:hint="default"/>
        <w:color w:val="auto"/>
      </w:rPr>
    </w:lvl>
    <w:lvl w:ilvl="3">
      <w:start w:val="1"/>
      <w:numFmt w:val="bullet"/>
      <w:lvlText w:val=""/>
      <w:lvlJc w:val="left"/>
      <w:pPr>
        <w:ind w:left="2552" w:hanging="284"/>
      </w:pPr>
      <w:rPr>
        <w:rFonts w:ascii="Symbol" w:hAnsi="Symbol" w:hint="default"/>
      </w:rPr>
    </w:lvl>
    <w:lvl w:ilvl="4">
      <w:start w:val="1"/>
      <w:numFmt w:val="bullet"/>
      <w:lvlText w:val=""/>
      <w:lvlJc w:val="left"/>
      <w:pPr>
        <w:ind w:left="3119" w:hanging="284"/>
      </w:pPr>
      <w:rPr>
        <w:rFonts w:ascii="Symbol" w:hAnsi="Symbol" w:hint="default"/>
      </w:rPr>
    </w:lvl>
    <w:lvl w:ilvl="5">
      <w:start w:val="1"/>
      <w:numFmt w:val="bullet"/>
      <w:lvlText w:val=""/>
      <w:lvlJc w:val="left"/>
      <w:pPr>
        <w:ind w:left="3686" w:hanging="284"/>
      </w:pPr>
      <w:rPr>
        <w:rFonts w:ascii="Symbol" w:hAnsi="Symbol" w:hint="default"/>
      </w:rPr>
    </w:lvl>
    <w:lvl w:ilvl="6">
      <w:start w:val="1"/>
      <w:numFmt w:val="bullet"/>
      <w:lvlText w:val=""/>
      <w:lvlJc w:val="left"/>
      <w:pPr>
        <w:ind w:left="4253" w:hanging="284"/>
      </w:pPr>
      <w:rPr>
        <w:rFonts w:ascii="Symbol" w:hAnsi="Symbol" w:hint="default"/>
      </w:rPr>
    </w:lvl>
    <w:lvl w:ilvl="7">
      <w:start w:val="1"/>
      <w:numFmt w:val="bullet"/>
      <w:lvlText w:val=""/>
      <w:lvlJc w:val="left"/>
      <w:pPr>
        <w:ind w:left="4820" w:hanging="284"/>
      </w:pPr>
      <w:rPr>
        <w:rFonts w:ascii="Symbol" w:hAnsi="Symbol" w:hint="default"/>
      </w:rPr>
    </w:lvl>
    <w:lvl w:ilvl="8">
      <w:start w:val="1"/>
      <w:numFmt w:val="bullet"/>
      <w:lvlText w:val=""/>
      <w:lvlJc w:val="left"/>
      <w:pPr>
        <w:ind w:left="5387" w:hanging="284"/>
      </w:pPr>
      <w:rPr>
        <w:rFonts w:ascii="Symbol" w:hAnsi="Symbol" w:hint="default"/>
      </w:rPr>
    </w:lvl>
  </w:abstractNum>
  <w:abstractNum w:abstractNumId="19">
    <w:nsid w:val="2D345394"/>
    <w:multiLevelType w:val="hybridMultilevel"/>
    <w:tmpl w:val="19EE0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E6B723A"/>
    <w:multiLevelType w:val="hybridMultilevel"/>
    <w:tmpl w:val="635AD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EF41087"/>
    <w:multiLevelType w:val="hybridMultilevel"/>
    <w:tmpl w:val="6C38F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1FE1D99"/>
    <w:multiLevelType w:val="hybridMultilevel"/>
    <w:tmpl w:val="A6FA6B6A"/>
    <w:lvl w:ilvl="0" w:tplc="4E187674">
      <w:numFmt w:val="bullet"/>
      <w:lvlText w:val="-"/>
      <w:lvlJc w:val="left"/>
      <w:pPr>
        <w:ind w:left="720" w:hanging="360"/>
      </w:pPr>
      <w:rPr>
        <w:rFonts w:ascii="Times New Roman" w:eastAsia="Arial Unicode MS"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4BF37D8"/>
    <w:multiLevelType w:val="multilevel"/>
    <w:tmpl w:val="288AB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5F41370"/>
    <w:multiLevelType w:val="multilevel"/>
    <w:tmpl w:val="F2FC669E"/>
    <w:styleLink w:val="Recommendations"/>
    <w:lvl w:ilvl="0">
      <w:start w:val="1"/>
      <w:numFmt w:val="decimal"/>
      <w:pStyle w:val="Recommendation"/>
      <w:lvlText w:val="Recommendation %1:"/>
      <w:lvlJc w:val="left"/>
      <w:pPr>
        <w:ind w:left="851" w:firstLine="0"/>
      </w:pPr>
      <w:rPr>
        <w:rFonts w:hint="default"/>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25">
    <w:nsid w:val="36D43418"/>
    <w:multiLevelType w:val="hybridMultilevel"/>
    <w:tmpl w:val="119A83DC"/>
    <w:lvl w:ilvl="0" w:tplc="BB08A3DE">
      <w:start w:val="2"/>
      <w:numFmt w:val="bullet"/>
      <w:lvlText w:val="-"/>
      <w:lvlJc w:val="left"/>
      <w:pPr>
        <w:ind w:left="720" w:hanging="360"/>
      </w:pPr>
      <w:rPr>
        <w:rFonts w:ascii="Times New Roman" w:eastAsiaTheme="minorEastAsia"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A311C56"/>
    <w:multiLevelType w:val="hybridMultilevel"/>
    <w:tmpl w:val="93A0D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3B87749B"/>
    <w:multiLevelType w:val="hybridMultilevel"/>
    <w:tmpl w:val="55DA0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5341EF7"/>
    <w:multiLevelType w:val="hybridMultilevel"/>
    <w:tmpl w:val="583C6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46160AAE"/>
    <w:multiLevelType w:val="hybridMultilevel"/>
    <w:tmpl w:val="DD328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6A320E0"/>
    <w:multiLevelType w:val="hybridMultilevel"/>
    <w:tmpl w:val="CFA44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4A3C1ADA"/>
    <w:multiLevelType w:val="hybridMultilevel"/>
    <w:tmpl w:val="CD3AE25C"/>
    <w:lvl w:ilvl="0" w:tplc="54A0E324">
      <w:start w:val="15"/>
      <w:numFmt w:val="bullet"/>
      <w:lvlText w:val="-"/>
      <w:lvlJc w:val="left"/>
      <w:pPr>
        <w:ind w:left="720" w:hanging="360"/>
      </w:pPr>
      <w:rPr>
        <w:rFonts w:ascii="Times New Roman" w:eastAsia="Arial Unicode MS"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E857923"/>
    <w:multiLevelType w:val="multilevel"/>
    <w:tmpl w:val="989E8E90"/>
    <w:styleLink w:val="Appendices"/>
    <w:lvl w:ilvl="0">
      <w:start w:val="1"/>
      <w:numFmt w:val="upperLetter"/>
      <w:pStyle w:val="Appendixheading1"/>
      <w:lvlText w:val="Appendix %1."/>
      <w:lvlJc w:val="left"/>
      <w:pPr>
        <w:ind w:left="0" w:firstLine="0"/>
      </w:pPr>
      <w:rPr>
        <w:rFonts w:hint="default"/>
      </w:rPr>
    </w:lvl>
    <w:lvl w:ilvl="1">
      <w:start w:val="1"/>
      <w:numFmt w:val="lowerRoman"/>
      <w:pStyle w:val="Appendixheading2"/>
      <w:lvlText w:val="%1.%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3">
    <w:nsid w:val="50AC16E7"/>
    <w:multiLevelType w:val="hybridMultilevel"/>
    <w:tmpl w:val="8BF844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9F970BD"/>
    <w:multiLevelType w:val="hybridMultilevel"/>
    <w:tmpl w:val="EDD8F872"/>
    <w:lvl w:ilvl="0" w:tplc="9E3AA98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nsid w:val="5A467144"/>
    <w:multiLevelType w:val="multilevel"/>
    <w:tmpl w:val="989E8E90"/>
    <w:numStyleLink w:val="Appendices"/>
  </w:abstractNum>
  <w:abstractNum w:abstractNumId="36">
    <w:nsid w:val="652333BE"/>
    <w:multiLevelType w:val="hybridMultilevel"/>
    <w:tmpl w:val="7C4CF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5B6417A"/>
    <w:multiLevelType w:val="multilevel"/>
    <w:tmpl w:val="63E22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6785E33"/>
    <w:multiLevelType w:val="hybridMultilevel"/>
    <w:tmpl w:val="8BF25D1A"/>
    <w:lvl w:ilvl="0" w:tplc="C5D05A6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67CD6231"/>
    <w:multiLevelType w:val="multilevel"/>
    <w:tmpl w:val="F2FC669E"/>
    <w:numStyleLink w:val="Recommendations"/>
  </w:abstractNum>
  <w:abstractNum w:abstractNumId="40">
    <w:nsid w:val="699C4ADA"/>
    <w:multiLevelType w:val="hybridMultilevel"/>
    <w:tmpl w:val="B3D47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A8820CD"/>
    <w:multiLevelType w:val="multilevel"/>
    <w:tmpl w:val="3B72E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A9366F4"/>
    <w:multiLevelType w:val="hybridMultilevel"/>
    <w:tmpl w:val="F116A3EC"/>
    <w:lvl w:ilvl="0" w:tplc="54A0E324">
      <w:numFmt w:val="bullet"/>
      <w:lvlText w:val="-"/>
      <w:lvlJc w:val="left"/>
      <w:pPr>
        <w:ind w:left="720" w:hanging="360"/>
      </w:pPr>
      <w:rPr>
        <w:rFonts w:ascii="Times New Roman" w:eastAsia="Arial Unicode MS"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6AE81A98"/>
    <w:multiLevelType w:val="multilevel"/>
    <w:tmpl w:val="EE980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B8E67FA"/>
    <w:multiLevelType w:val="hybridMultilevel"/>
    <w:tmpl w:val="A434059A"/>
    <w:lvl w:ilvl="0" w:tplc="B126761C">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nsid w:val="6CAA0FE4"/>
    <w:multiLevelType w:val="multilevel"/>
    <w:tmpl w:val="E2F45A98"/>
    <w:styleLink w:val="Blockquotebullets"/>
    <w:lvl w:ilvl="0">
      <w:start w:val="1"/>
      <w:numFmt w:val="bullet"/>
      <w:pStyle w:val="Blockquotebulletlist1"/>
      <w:lvlText w:val=""/>
      <w:lvlJc w:val="left"/>
      <w:pPr>
        <w:ind w:left="1701" w:hanging="283"/>
      </w:pPr>
      <w:rPr>
        <w:rFonts w:ascii="Symbol" w:hAnsi="Symbol"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6">
    <w:nsid w:val="6F222B64"/>
    <w:multiLevelType w:val="multilevel"/>
    <w:tmpl w:val="D0863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7FF45ED"/>
    <w:multiLevelType w:val="multilevel"/>
    <w:tmpl w:val="A7920A6E"/>
    <w:styleLink w:val="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48">
    <w:nsid w:val="79CE3444"/>
    <w:multiLevelType w:val="multilevel"/>
    <w:tmpl w:val="A04A9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E39147A"/>
    <w:multiLevelType w:val="hybridMultilevel"/>
    <w:tmpl w:val="036A4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7"/>
  </w:num>
  <w:num w:numId="2">
    <w:abstractNumId w:val="18"/>
  </w:num>
  <w:num w:numId="3">
    <w:abstractNumId w:val="32"/>
  </w:num>
  <w:num w:numId="4">
    <w:abstractNumId w:val="35"/>
  </w:num>
  <w:num w:numId="5">
    <w:abstractNumId w:val="45"/>
  </w:num>
  <w:num w:numId="6">
    <w:abstractNumId w:val="24"/>
  </w:num>
  <w:num w:numId="7">
    <w:abstractNumId w:val="39"/>
  </w:num>
  <w:num w:numId="8">
    <w:abstractNumId w:val="36"/>
  </w:num>
  <w:num w:numId="9">
    <w:abstractNumId w:val="15"/>
  </w:num>
  <w:num w:numId="10">
    <w:abstractNumId w:val="20"/>
  </w:num>
  <w:num w:numId="11">
    <w:abstractNumId w:val="27"/>
  </w:num>
  <w:num w:numId="12">
    <w:abstractNumId w:val="42"/>
  </w:num>
  <w:num w:numId="13">
    <w:abstractNumId w:val="31"/>
  </w:num>
  <w:num w:numId="14">
    <w:abstractNumId w:val="10"/>
  </w:num>
  <w:num w:numId="15">
    <w:abstractNumId w:val="22"/>
  </w:num>
  <w:num w:numId="16">
    <w:abstractNumId w:val="2"/>
  </w:num>
  <w:num w:numId="17">
    <w:abstractNumId w:val="40"/>
  </w:num>
  <w:num w:numId="18">
    <w:abstractNumId w:val="9"/>
  </w:num>
  <w:num w:numId="19">
    <w:abstractNumId w:val="6"/>
  </w:num>
  <w:num w:numId="20">
    <w:abstractNumId w:val="46"/>
  </w:num>
  <w:num w:numId="21">
    <w:abstractNumId w:val="48"/>
  </w:num>
  <w:num w:numId="22">
    <w:abstractNumId w:val="12"/>
  </w:num>
  <w:num w:numId="23">
    <w:abstractNumId w:val="11"/>
  </w:num>
  <w:num w:numId="24">
    <w:abstractNumId w:val="41"/>
  </w:num>
  <w:num w:numId="25">
    <w:abstractNumId w:val="43"/>
  </w:num>
  <w:num w:numId="26">
    <w:abstractNumId w:val="23"/>
  </w:num>
  <w:num w:numId="27">
    <w:abstractNumId w:val="4"/>
  </w:num>
  <w:num w:numId="28">
    <w:abstractNumId w:val="21"/>
  </w:num>
  <w:num w:numId="29">
    <w:abstractNumId w:val="25"/>
  </w:num>
  <w:num w:numId="30">
    <w:abstractNumId w:val="0"/>
  </w:num>
  <w:num w:numId="31">
    <w:abstractNumId w:val="5"/>
  </w:num>
  <w:num w:numId="32">
    <w:abstractNumId w:val="3"/>
  </w:num>
  <w:num w:numId="33">
    <w:abstractNumId w:val="17"/>
  </w:num>
  <w:num w:numId="34">
    <w:abstractNumId w:val="37"/>
  </w:num>
  <w:num w:numId="35">
    <w:abstractNumId w:val="26"/>
  </w:num>
  <w:num w:numId="36">
    <w:abstractNumId w:val="33"/>
  </w:num>
  <w:num w:numId="37">
    <w:abstractNumId w:val="29"/>
  </w:num>
  <w:num w:numId="38">
    <w:abstractNumId w:val="16"/>
  </w:num>
  <w:num w:numId="39">
    <w:abstractNumId w:val="13"/>
  </w:num>
  <w:num w:numId="40">
    <w:abstractNumId w:val="8"/>
  </w:num>
  <w:num w:numId="41">
    <w:abstractNumId w:val="19"/>
  </w:num>
  <w:num w:numId="42">
    <w:abstractNumId w:val="7"/>
  </w:num>
  <w:num w:numId="43">
    <w:abstractNumId w:val="1"/>
  </w:num>
  <w:num w:numId="44">
    <w:abstractNumId w:val="30"/>
  </w:num>
  <w:num w:numId="45">
    <w:abstractNumId w:val="28"/>
  </w:num>
  <w:num w:numId="46">
    <w:abstractNumId w:val="49"/>
  </w:num>
  <w:num w:numId="4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AEA"/>
    <w:rsid w:val="000324B9"/>
    <w:rsid w:val="00076F98"/>
    <w:rsid w:val="001205F0"/>
    <w:rsid w:val="00131724"/>
    <w:rsid w:val="001326D8"/>
    <w:rsid w:val="0013390F"/>
    <w:rsid w:val="001628C8"/>
    <w:rsid w:val="001A0A54"/>
    <w:rsid w:val="001E5BDB"/>
    <w:rsid w:val="00272011"/>
    <w:rsid w:val="002C77CC"/>
    <w:rsid w:val="003438FC"/>
    <w:rsid w:val="00373F24"/>
    <w:rsid w:val="00395779"/>
    <w:rsid w:val="003A17FE"/>
    <w:rsid w:val="00480270"/>
    <w:rsid w:val="00566EFC"/>
    <w:rsid w:val="00577600"/>
    <w:rsid w:val="005B272D"/>
    <w:rsid w:val="00623F4D"/>
    <w:rsid w:val="00687271"/>
    <w:rsid w:val="006B45A1"/>
    <w:rsid w:val="006C234A"/>
    <w:rsid w:val="006D1C3B"/>
    <w:rsid w:val="007347D5"/>
    <w:rsid w:val="00742B66"/>
    <w:rsid w:val="008314DA"/>
    <w:rsid w:val="008577E8"/>
    <w:rsid w:val="00880182"/>
    <w:rsid w:val="008C707B"/>
    <w:rsid w:val="008D74E2"/>
    <w:rsid w:val="008E1716"/>
    <w:rsid w:val="009A0E40"/>
    <w:rsid w:val="00A57BE2"/>
    <w:rsid w:val="00AC2D03"/>
    <w:rsid w:val="00AE0305"/>
    <w:rsid w:val="00B954AC"/>
    <w:rsid w:val="00BB669C"/>
    <w:rsid w:val="00C06FF2"/>
    <w:rsid w:val="00C42202"/>
    <w:rsid w:val="00C462BA"/>
    <w:rsid w:val="00D903C5"/>
    <w:rsid w:val="00DD0AEA"/>
    <w:rsid w:val="00DF3796"/>
    <w:rsid w:val="00E31139"/>
    <w:rsid w:val="00E34AAF"/>
    <w:rsid w:val="00F3787D"/>
    <w:rsid w:val="00F76FA3"/>
    <w:rsid w:val="00F90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qFormat/>
    <w:rsid w:val="00DD0AEA"/>
    <w:pPr>
      <w:keepNext/>
      <w:keepLines/>
      <w:pageBreakBefore/>
      <w:numPr>
        <w:numId w:val="1"/>
      </w:numPr>
      <w:spacing w:before="100" w:beforeAutospacing="1" w:after="240" w:line="240" w:lineRule="auto"/>
      <w:outlineLvl w:val="0"/>
    </w:pPr>
    <w:rPr>
      <w:rFonts w:ascii="Calibri" w:eastAsiaTheme="majorEastAsia" w:hAnsi="Calibri" w:cstheme="majorBidi"/>
      <w:bCs/>
      <w:sz w:val="48"/>
      <w:szCs w:val="28"/>
      <w:lang w:val="en-AU"/>
    </w:rPr>
  </w:style>
  <w:style w:type="paragraph" w:styleId="Heading2">
    <w:name w:val="heading 2"/>
    <w:next w:val="Normal"/>
    <w:link w:val="Heading2Char"/>
    <w:qFormat/>
    <w:rsid w:val="00DD0AEA"/>
    <w:pPr>
      <w:keepNext/>
      <w:numPr>
        <w:ilvl w:val="1"/>
        <w:numId w:val="1"/>
      </w:numPr>
      <w:spacing w:before="100" w:beforeAutospacing="1" w:after="240" w:line="240" w:lineRule="auto"/>
      <w:outlineLvl w:val="1"/>
    </w:pPr>
    <w:rPr>
      <w:rFonts w:ascii="Calibri" w:eastAsia="Times New Roman" w:hAnsi="Calibri" w:cs="Times New Roman"/>
      <w:bCs/>
      <w:iCs/>
      <w:sz w:val="32"/>
      <w:szCs w:val="24"/>
      <w:lang w:val="en-AU"/>
    </w:rPr>
  </w:style>
  <w:style w:type="paragraph" w:styleId="Heading3">
    <w:name w:val="heading 3"/>
    <w:next w:val="Normal"/>
    <w:link w:val="Heading3Char"/>
    <w:qFormat/>
    <w:rsid w:val="00DD0AEA"/>
    <w:pPr>
      <w:keepNext/>
      <w:numPr>
        <w:ilvl w:val="2"/>
        <w:numId w:val="1"/>
      </w:numPr>
      <w:spacing w:before="100" w:beforeAutospacing="1" w:after="240" w:line="240" w:lineRule="auto"/>
      <w:outlineLvl w:val="2"/>
    </w:pPr>
    <w:rPr>
      <w:rFonts w:ascii="Calibri" w:eastAsia="Times New Roman" w:hAnsi="Calibri" w:cs="Times New Roman"/>
      <w:bCs/>
      <w:iCs/>
      <w:sz w:val="28"/>
      <w:szCs w:val="24"/>
      <w:lang w:val="en-AU"/>
    </w:rPr>
  </w:style>
  <w:style w:type="paragraph" w:styleId="Heading4">
    <w:name w:val="heading 4"/>
    <w:next w:val="Normal"/>
    <w:link w:val="Heading4Char"/>
    <w:uiPriority w:val="9"/>
    <w:unhideWhenUsed/>
    <w:qFormat/>
    <w:rsid w:val="00DD0AEA"/>
    <w:pPr>
      <w:keepNext/>
      <w:keepLines/>
      <w:spacing w:before="100" w:beforeAutospacing="1" w:after="240" w:line="240" w:lineRule="auto"/>
      <w:outlineLvl w:val="3"/>
    </w:pPr>
    <w:rPr>
      <w:rFonts w:ascii="Calibri" w:eastAsiaTheme="majorEastAsia" w:hAnsi="Calibri" w:cstheme="majorBidi"/>
      <w:b/>
      <w:bCs/>
      <w:i/>
      <w:iCs/>
      <w:sz w:val="24"/>
      <w:lang w:val="en-AU"/>
    </w:rPr>
  </w:style>
  <w:style w:type="paragraph" w:styleId="Heading5">
    <w:name w:val="heading 5"/>
    <w:next w:val="Normal"/>
    <w:link w:val="Heading5Char"/>
    <w:uiPriority w:val="9"/>
    <w:unhideWhenUsed/>
    <w:qFormat/>
    <w:rsid w:val="00DD0AEA"/>
    <w:pPr>
      <w:keepNext/>
      <w:keepLines/>
      <w:spacing w:after="0" w:line="240" w:lineRule="auto"/>
      <w:outlineLvl w:val="4"/>
    </w:pPr>
    <w:rPr>
      <w:rFonts w:ascii="Calibri" w:eastAsiaTheme="majorEastAsia" w:hAnsi="Calibri" w:cstheme="majorBidi"/>
      <w:sz w:val="23"/>
      <w:u w:val="single"/>
      <w:lang w:val="en-AU"/>
    </w:rPr>
  </w:style>
  <w:style w:type="paragraph" w:styleId="Heading6">
    <w:name w:val="heading 6"/>
    <w:next w:val="Normal"/>
    <w:link w:val="Heading6Char"/>
    <w:uiPriority w:val="9"/>
    <w:unhideWhenUsed/>
    <w:qFormat/>
    <w:rsid w:val="00DD0AEA"/>
    <w:pPr>
      <w:keepNext/>
      <w:keepLines/>
      <w:spacing w:before="200" w:after="0" w:line="240" w:lineRule="auto"/>
      <w:outlineLvl w:val="5"/>
    </w:pPr>
    <w:rPr>
      <w:rFonts w:ascii="Calibri" w:eastAsiaTheme="majorEastAsia" w:hAnsi="Calibri" w:cstheme="majorBidi"/>
      <w:i/>
      <w:iCs/>
      <w:sz w:val="23"/>
      <w:lang w:val="en-AU"/>
    </w:rPr>
  </w:style>
  <w:style w:type="paragraph" w:styleId="Heading7">
    <w:name w:val="heading 7"/>
    <w:next w:val="Normal"/>
    <w:link w:val="Heading7Char"/>
    <w:uiPriority w:val="9"/>
    <w:semiHidden/>
    <w:unhideWhenUsed/>
    <w:rsid w:val="00DD0AEA"/>
    <w:pPr>
      <w:keepNext/>
      <w:keepLines/>
      <w:spacing w:before="200" w:after="0" w:line="240" w:lineRule="auto"/>
      <w:outlineLvl w:val="6"/>
    </w:pPr>
    <w:rPr>
      <w:rFonts w:asciiTheme="majorHAnsi" w:eastAsiaTheme="majorEastAsia" w:hAnsiTheme="majorHAnsi" w:cstheme="majorBidi"/>
      <w:i/>
      <w:iCs/>
      <w:color w:val="404040" w:themeColor="text1" w:themeTint="BF"/>
      <w:sz w:val="23"/>
      <w:lang w:val="en-AU" w:eastAsia="en-AU"/>
    </w:rPr>
  </w:style>
  <w:style w:type="paragraph" w:styleId="Heading8">
    <w:name w:val="heading 8"/>
    <w:basedOn w:val="Normal"/>
    <w:next w:val="Normal"/>
    <w:link w:val="Heading8Char"/>
    <w:uiPriority w:val="9"/>
    <w:semiHidden/>
    <w:unhideWhenUsed/>
    <w:qFormat/>
    <w:rsid w:val="00DD0AEA"/>
    <w:pPr>
      <w:keepNext/>
      <w:keepLines/>
      <w:spacing w:before="200" w:beforeAutospacing="1" w:after="0" w:afterAutospacing="1" w:line="240" w:lineRule="auto"/>
      <w:jc w:val="both"/>
      <w:outlineLvl w:val="7"/>
    </w:pPr>
    <w:rPr>
      <w:rFonts w:asciiTheme="majorHAnsi" w:eastAsiaTheme="majorEastAsia" w:hAnsiTheme="majorHAnsi" w:cstheme="majorBidi"/>
      <w:color w:val="404040" w:themeColor="text1" w:themeTint="BF"/>
      <w:sz w:val="20"/>
      <w:szCs w:val="20"/>
      <w:lang w:val="en-AU" w:eastAsia="en-AU"/>
    </w:rPr>
  </w:style>
  <w:style w:type="paragraph" w:styleId="Heading9">
    <w:name w:val="heading 9"/>
    <w:basedOn w:val="Normal"/>
    <w:next w:val="Normal"/>
    <w:link w:val="Heading9Char"/>
    <w:uiPriority w:val="9"/>
    <w:semiHidden/>
    <w:unhideWhenUsed/>
    <w:qFormat/>
    <w:rsid w:val="00DD0AEA"/>
    <w:pPr>
      <w:keepNext/>
      <w:keepLines/>
      <w:spacing w:before="200" w:beforeAutospacing="1" w:after="0" w:afterAutospacing="1" w:line="240" w:lineRule="auto"/>
      <w:jc w:val="both"/>
      <w:outlineLvl w:val="8"/>
    </w:pPr>
    <w:rPr>
      <w:rFonts w:asciiTheme="majorHAnsi" w:eastAsiaTheme="majorEastAsia" w:hAnsiTheme="majorHAnsi" w:cstheme="majorBidi"/>
      <w:i/>
      <w:iCs/>
      <w:color w:val="404040" w:themeColor="text1" w:themeTint="BF"/>
      <w:sz w:val="20"/>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0AEA"/>
    <w:rPr>
      <w:rFonts w:ascii="Calibri" w:eastAsiaTheme="majorEastAsia" w:hAnsi="Calibri" w:cstheme="majorBidi"/>
      <w:bCs/>
      <w:sz w:val="48"/>
      <w:szCs w:val="28"/>
      <w:lang w:val="en-AU"/>
    </w:rPr>
  </w:style>
  <w:style w:type="character" w:customStyle="1" w:styleId="Heading2Char">
    <w:name w:val="Heading 2 Char"/>
    <w:basedOn w:val="DefaultParagraphFont"/>
    <w:link w:val="Heading2"/>
    <w:rsid w:val="00DD0AEA"/>
    <w:rPr>
      <w:rFonts w:ascii="Calibri" w:eastAsia="Times New Roman" w:hAnsi="Calibri" w:cs="Times New Roman"/>
      <w:bCs/>
      <w:iCs/>
      <w:sz w:val="32"/>
      <w:szCs w:val="24"/>
      <w:lang w:val="en-AU"/>
    </w:rPr>
  </w:style>
  <w:style w:type="character" w:customStyle="1" w:styleId="Heading3Char">
    <w:name w:val="Heading 3 Char"/>
    <w:basedOn w:val="DefaultParagraphFont"/>
    <w:link w:val="Heading3"/>
    <w:rsid w:val="00DD0AEA"/>
    <w:rPr>
      <w:rFonts w:ascii="Calibri" w:eastAsia="Times New Roman" w:hAnsi="Calibri" w:cs="Times New Roman"/>
      <w:bCs/>
      <w:iCs/>
      <w:sz w:val="28"/>
      <w:szCs w:val="24"/>
      <w:lang w:val="en-AU"/>
    </w:rPr>
  </w:style>
  <w:style w:type="character" w:customStyle="1" w:styleId="Heading4Char">
    <w:name w:val="Heading 4 Char"/>
    <w:basedOn w:val="DefaultParagraphFont"/>
    <w:link w:val="Heading4"/>
    <w:uiPriority w:val="9"/>
    <w:rsid w:val="00DD0AEA"/>
    <w:rPr>
      <w:rFonts w:ascii="Calibri" w:eastAsiaTheme="majorEastAsia" w:hAnsi="Calibri" w:cstheme="majorBidi"/>
      <w:b/>
      <w:bCs/>
      <w:i/>
      <w:iCs/>
      <w:sz w:val="24"/>
      <w:lang w:val="en-AU"/>
    </w:rPr>
  </w:style>
  <w:style w:type="character" w:customStyle="1" w:styleId="Heading5Char">
    <w:name w:val="Heading 5 Char"/>
    <w:basedOn w:val="DefaultParagraphFont"/>
    <w:link w:val="Heading5"/>
    <w:uiPriority w:val="9"/>
    <w:rsid w:val="00DD0AEA"/>
    <w:rPr>
      <w:rFonts w:ascii="Calibri" w:eastAsiaTheme="majorEastAsia" w:hAnsi="Calibri" w:cstheme="majorBidi"/>
      <w:sz w:val="23"/>
      <w:u w:val="single"/>
      <w:lang w:val="en-AU"/>
    </w:rPr>
  </w:style>
  <w:style w:type="character" w:customStyle="1" w:styleId="Heading6Char">
    <w:name w:val="Heading 6 Char"/>
    <w:basedOn w:val="DefaultParagraphFont"/>
    <w:link w:val="Heading6"/>
    <w:uiPriority w:val="9"/>
    <w:rsid w:val="00DD0AEA"/>
    <w:rPr>
      <w:rFonts w:ascii="Calibri" w:eastAsiaTheme="majorEastAsia" w:hAnsi="Calibri" w:cstheme="majorBidi"/>
      <w:i/>
      <w:iCs/>
      <w:sz w:val="23"/>
      <w:lang w:val="en-AU"/>
    </w:rPr>
  </w:style>
  <w:style w:type="character" w:customStyle="1" w:styleId="Heading7Char">
    <w:name w:val="Heading 7 Char"/>
    <w:basedOn w:val="DefaultParagraphFont"/>
    <w:link w:val="Heading7"/>
    <w:uiPriority w:val="9"/>
    <w:semiHidden/>
    <w:rsid w:val="00DD0AEA"/>
    <w:rPr>
      <w:rFonts w:asciiTheme="majorHAnsi" w:eastAsiaTheme="majorEastAsia" w:hAnsiTheme="majorHAnsi" w:cstheme="majorBidi"/>
      <w:i/>
      <w:iCs/>
      <w:color w:val="404040" w:themeColor="text1" w:themeTint="BF"/>
      <w:sz w:val="23"/>
      <w:lang w:val="en-AU" w:eastAsia="en-AU"/>
    </w:rPr>
  </w:style>
  <w:style w:type="character" w:customStyle="1" w:styleId="Heading8Char">
    <w:name w:val="Heading 8 Char"/>
    <w:basedOn w:val="DefaultParagraphFont"/>
    <w:link w:val="Heading8"/>
    <w:uiPriority w:val="9"/>
    <w:semiHidden/>
    <w:rsid w:val="00DD0AEA"/>
    <w:rPr>
      <w:rFonts w:asciiTheme="majorHAnsi" w:eastAsiaTheme="majorEastAsia" w:hAnsiTheme="majorHAnsi" w:cstheme="majorBidi"/>
      <w:color w:val="404040" w:themeColor="text1" w:themeTint="BF"/>
      <w:sz w:val="20"/>
      <w:szCs w:val="20"/>
      <w:lang w:val="en-AU" w:eastAsia="en-AU"/>
    </w:rPr>
  </w:style>
  <w:style w:type="character" w:customStyle="1" w:styleId="Heading9Char">
    <w:name w:val="Heading 9 Char"/>
    <w:basedOn w:val="DefaultParagraphFont"/>
    <w:link w:val="Heading9"/>
    <w:uiPriority w:val="9"/>
    <w:semiHidden/>
    <w:rsid w:val="00DD0AEA"/>
    <w:rPr>
      <w:rFonts w:asciiTheme="majorHAnsi" w:eastAsiaTheme="majorEastAsia" w:hAnsiTheme="majorHAnsi" w:cstheme="majorBidi"/>
      <w:i/>
      <w:iCs/>
      <w:color w:val="404040" w:themeColor="text1" w:themeTint="BF"/>
      <w:sz w:val="20"/>
      <w:szCs w:val="20"/>
      <w:lang w:val="en-AU" w:eastAsia="en-AU"/>
    </w:rPr>
  </w:style>
  <w:style w:type="numbering" w:customStyle="1" w:styleId="NoList1">
    <w:name w:val="No List1"/>
    <w:next w:val="NoList"/>
    <w:uiPriority w:val="99"/>
    <w:semiHidden/>
    <w:unhideWhenUsed/>
    <w:rsid w:val="00DD0AEA"/>
  </w:style>
  <w:style w:type="paragraph" w:customStyle="1" w:styleId="Normal0">
    <w:name w:val="[Normal]"/>
    <w:uiPriority w:val="99"/>
    <w:rsid w:val="00DD0AEA"/>
    <w:pPr>
      <w:widowControl w:val="0"/>
      <w:autoSpaceDE w:val="0"/>
      <w:autoSpaceDN w:val="0"/>
      <w:adjustRightInd w:val="0"/>
      <w:spacing w:after="0" w:line="240" w:lineRule="auto"/>
    </w:pPr>
    <w:rPr>
      <w:rFonts w:ascii="Arial" w:hAnsi="Arial" w:cs="Arial"/>
      <w:sz w:val="24"/>
      <w:szCs w:val="24"/>
      <w:lang w:val="en-AU"/>
    </w:rPr>
  </w:style>
  <w:style w:type="character" w:customStyle="1" w:styleId="DHSText10ptChar">
    <w:name w:val="DHS Text 10pt Char"/>
    <w:uiPriority w:val="99"/>
    <w:rsid w:val="00DD0AEA"/>
    <w:rPr>
      <w:rFonts w:ascii="Verdana" w:hAnsi="Verdana"/>
      <w:lang w:val="en-AU" w:eastAsia="en-US"/>
    </w:rPr>
  </w:style>
  <w:style w:type="character" w:customStyle="1" w:styleId="notranslate">
    <w:name w:val="notranslate"/>
    <w:basedOn w:val="DefaultParagraphFont"/>
    <w:rsid w:val="00DD0AEA"/>
  </w:style>
  <w:style w:type="paragraph" w:customStyle="1" w:styleId="LineLast">
    <w:name w:val="Line Last"/>
    <w:basedOn w:val="Normal"/>
    <w:rsid w:val="00DD0AEA"/>
    <w:pPr>
      <w:tabs>
        <w:tab w:val="left" w:leader="underscore" w:pos="8640"/>
      </w:tabs>
      <w:spacing w:before="60" w:beforeAutospacing="1" w:after="360" w:afterAutospacing="1" w:line="240" w:lineRule="auto"/>
      <w:jc w:val="both"/>
    </w:pPr>
    <w:rPr>
      <w:rFonts w:ascii="Tahoma" w:eastAsia="Times New Roman" w:hAnsi="Tahoma" w:cs="Times New Roman"/>
      <w:sz w:val="20"/>
      <w:szCs w:val="24"/>
      <w:lang w:val="en-AU"/>
    </w:rPr>
  </w:style>
  <w:style w:type="paragraph" w:customStyle="1" w:styleId="Line">
    <w:name w:val="Line"/>
    <w:basedOn w:val="Normal"/>
    <w:rsid w:val="00DD0AEA"/>
    <w:pPr>
      <w:tabs>
        <w:tab w:val="left" w:leader="underscore" w:pos="8640"/>
      </w:tabs>
      <w:spacing w:before="60" w:beforeAutospacing="1" w:after="100" w:afterAutospacing="1" w:line="240" w:lineRule="auto"/>
      <w:jc w:val="both"/>
    </w:pPr>
    <w:rPr>
      <w:rFonts w:ascii="Tahoma" w:eastAsia="Times New Roman" w:hAnsi="Tahoma" w:cs="Times New Roman"/>
      <w:sz w:val="20"/>
      <w:szCs w:val="24"/>
      <w:lang w:val="en-AU"/>
    </w:rPr>
  </w:style>
  <w:style w:type="paragraph" w:customStyle="1" w:styleId="Thankyou">
    <w:name w:val="Thankyou"/>
    <w:basedOn w:val="Normal"/>
    <w:rsid w:val="00DD0AEA"/>
    <w:pPr>
      <w:keepNext/>
      <w:spacing w:before="100" w:beforeAutospacing="1" w:after="100" w:afterAutospacing="1" w:line="240" w:lineRule="auto"/>
      <w:jc w:val="center"/>
    </w:pPr>
    <w:rPr>
      <w:rFonts w:ascii="Tahoma" w:eastAsia="Times New Roman" w:hAnsi="Tahoma" w:cs="Times New Roman"/>
      <w:sz w:val="20"/>
      <w:szCs w:val="24"/>
      <w:lang w:val="en-AU"/>
    </w:rPr>
  </w:style>
  <w:style w:type="character" w:customStyle="1" w:styleId="maintitle">
    <w:name w:val="maintitle"/>
    <w:basedOn w:val="DefaultParagraphFont"/>
    <w:rsid w:val="00DD0AEA"/>
  </w:style>
  <w:style w:type="paragraph" w:customStyle="1" w:styleId="Tablecell">
    <w:name w:val="Table cell"/>
    <w:rsid w:val="00DD0AEA"/>
    <w:pPr>
      <w:keepLines/>
      <w:suppressAutoHyphens/>
      <w:spacing w:before="40" w:after="40" w:line="240" w:lineRule="auto"/>
    </w:pPr>
    <w:rPr>
      <w:rFonts w:ascii="Arial" w:eastAsia="Times New Roman" w:hAnsi="Arial" w:cs="Arial"/>
      <w:sz w:val="16"/>
      <w:szCs w:val="20"/>
      <w:lang w:val="en-AU"/>
    </w:rPr>
  </w:style>
  <w:style w:type="paragraph" w:styleId="Header">
    <w:name w:val="header"/>
    <w:link w:val="HeaderChar"/>
    <w:uiPriority w:val="99"/>
    <w:unhideWhenUsed/>
    <w:rsid w:val="00DD0AEA"/>
    <w:pPr>
      <w:tabs>
        <w:tab w:val="center" w:pos="4513"/>
        <w:tab w:val="right" w:pos="9026"/>
      </w:tabs>
      <w:spacing w:after="240" w:line="240" w:lineRule="auto"/>
    </w:pPr>
    <w:rPr>
      <w:rFonts w:ascii="Calibri" w:hAnsi="Calibri"/>
      <w:sz w:val="23"/>
      <w:lang w:val="en-AU"/>
    </w:rPr>
  </w:style>
  <w:style w:type="character" w:customStyle="1" w:styleId="HeaderChar">
    <w:name w:val="Header Char"/>
    <w:basedOn w:val="DefaultParagraphFont"/>
    <w:link w:val="Header"/>
    <w:uiPriority w:val="99"/>
    <w:rsid w:val="00DD0AEA"/>
    <w:rPr>
      <w:rFonts w:ascii="Calibri" w:hAnsi="Calibri"/>
      <w:sz w:val="23"/>
      <w:lang w:val="en-AU"/>
    </w:rPr>
  </w:style>
  <w:style w:type="paragraph" w:styleId="TOC1">
    <w:name w:val="toc 1"/>
    <w:basedOn w:val="Normal"/>
    <w:next w:val="Normal"/>
    <w:autoRedefine/>
    <w:uiPriority w:val="39"/>
    <w:unhideWhenUsed/>
    <w:qFormat/>
    <w:rsid w:val="00DD0AEA"/>
    <w:pPr>
      <w:tabs>
        <w:tab w:val="left" w:pos="440"/>
        <w:tab w:val="right" w:leader="dot" w:pos="9016"/>
      </w:tabs>
      <w:spacing w:before="120" w:after="120" w:line="240" w:lineRule="auto"/>
      <w:jc w:val="both"/>
    </w:pPr>
    <w:rPr>
      <w:rFonts w:ascii="Calibri" w:eastAsiaTheme="minorEastAsia" w:hAnsi="Calibri"/>
      <w:sz w:val="24"/>
      <w:lang w:val="en-AU" w:eastAsia="en-AU"/>
    </w:rPr>
  </w:style>
  <w:style w:type="paragraph" w:styleId="TOC2">
    <w:name w:val="toc 2"/>
    <w:basedOn w:val="Normal"/>
    <w:next w:val="Normal"/>
    <w:autoRedefine/>
    <w:uiPriority w:val="39"/>
    <w:unhideWhenUsed/>
    <w:qFormat/>
    <w:rsid w:val="00DD0AEA"/>
    <w:pPr>
      <w:tabs>
        <w:tab w:val="left" w:pos="880"/>
        <w:tab w:val="right" w:leader="dot" w:pos="9016"/>
      </w:tabs>
      <w:spacing w:before="120" w:after="120" w:line="240" w:lineRule="auto"/>
      <w:ind w:left="232"/>
      <w:jc w:val="both"/>
    </w:pPr>
    <w:rPr>
      <w:rFonts w:ascii="Calibri" w:eastAsiaTheme="minorEastAsia" w:hAnsi="Calibri"/>
      <w:noProof/>
      <w:sz w:val="24"/>
      <w:lang w:val="en-AU" w:eastAsia="en-AU"/>
    </w:rPr>
  </w:style>
  <w:style w:type="paragraph" w:styleId="TOC3">
    <w:name w:val="toc 3"/>
    <w:basedOn w:val="Normal"/>
    <w:next w:val="Normal"/>
    <w:autoRedefine/>
    <w:uiPriority w:val="39"/>
    <w:unhideWhenUsed/>
    <w:qFormat/>
    <w:rsid w:val="00DD0AEA"/>
    <w:pPr>
      <w:tabs>
        <w:tab w:val="left" w:pos="1320"/>
        <w:tab w:val="right" w:leader="dot" w:pos="9016"/>
      </w:tabs>
      <w:spacing w:before="120" w:after="120" w:line="240" w:lineRule="auto"/>
      <w:ind w:left="459"/>
      <w:jc w:val="both"/>
    </w:pPr>
    <w:rPr>
      <w:rFonts w:ascii="Calibri" w:eastAsiaTheme="minorEastAsia" w:hAnsi="Calibri"/>
      <w:noProof/>
      <w:sz w:val="24"/>
      <w:lang w:val="en-AU" w:eastAsia="en-AU"/>
    </w:rPr>
  </w:style>
  <w:style w:type="numbering" w:customStyle="1" w:styleId="Appendices">
    <w:name w:val="Appendices"/>
    <w:uiPriority w:val="99"/>
    <w:rsid w:val="00DD0AEA"/>
    <w:pPr>
      <w:numPr>
        <w:numId w:val="3"/>
      </w:numPr>
    </w:pPr>
  </w:style>
  <w:style w:type="paragraph" w:styleId="FootnoteText">
    <w:name w:val="footnote text"/>
    <w:link w:val="FootnoteTextChar"/>
    <w:uiPriority w:val="99"/>
    <w:unhideWhenUsed/>
    <w:rsid w:val="00DD0AEA"/>
    <w:pPr>
      <w:spacing w:after="120" w:line="240" w:lineRule="auto"/>
    </w:pPr>
    <w:rPr>
      <w:rFonts w:ascii="Calibri" w:hAnsi="Calibri"/>
      <w:sz w:val="18"/>
      <w:szCs w:val="20"/>
      <w:lang w:val="en-AU"/>
    </w:rPr>
  </w:style>
  <w:style w:type="character" w:customStyle="1" w:styleId="FootnoteTextChar">
    <w:name w:val="Footnote Text Char"/>
    <w:basedOn w:val="DefaultParagraphFont"/>
    <w:link w:val="FootnoteText"/>
    <w:uiPriority w:val="99"/>
    <w:rsid w:val="00DD0AEA"/>
    <w:rPr>
      <w:rFonts w:ascii="Calibri" w:hAnsi="Calibri"/>
      <w:sz w:val="18"/>
      <w:szCs w:val="20"/>
      <w:lang w:val="en-AU"/>
    </w:rPr>
  </w:style>
  <w:style w:type="paragraph" w:styleId="CommentText">
    <w:name w:val="annotation text"/>
    <w:basedOn w:val="Normal"/>
    <w:link w:val="CommentTextChar"/>
    <w:uiPriority w:val="99"/>
    <w:unhideWhenUsed/>
    <w:rsid w:val="00DD0AEA"/>
    <w:pPr>
      <w:spacing w:before="100" w:beforeAutospacing="1" w:after="100" w:afterAutospacing="1" w:line="240" w:lineRule="auto"/>
      <w:jc w:val="both"/>
    </w:pPr>
    <w:rPr>
      <w:rFonts w:ascii="Calibri" w:hAnsi="Calibri"/>
      <w:sz w:val="20"/>
      <w:szCs w:val="20"/>
      <w:lang w:val="en-AU"/>
    </w:rPr>
  </w:style>
  <w:style w:type="character" w:customStyle="1" w:styleId="CommentTextChar">
    <w:name w:val="Comment Text Char"/>
    <w:basedOn w:val="DefaultParagraphFont"/>
    <w:link w:val="CommentText"/>
    <w:uiPriority w:val="99"/>
    <w:rsid w:val="00DD0AEA"/>
    <w:rPr>
      <w:rFonts w:ascii="Calibri" w:hAnsi="Calibri"/>
      <w:sz w:val="20"/>
      <w:szCs w:val="20"/>
      <w:lang w:val="en-AU"/>
    </w:rPr>
  </w:style>
  <w:style w:type="paragraph" w:styleId="Footer">
    <w:name w:val="footer"/>
    <w:basedOn w:val="Normal"/>
    <w:link w:val="FooterChar"/>
    <w:uiPriority w:val="99"/>
    <w:unhideWhenUsed/>
    <w:rsid w:val="00DD0AEA"/>
    <w:pPr>
      <w:tabs>
        <w:tab w:val="center" w:pos="4513"/>
        <w:tab w:val="right" w:pos="9026"/>
      </w:tabs>
      <w:spacing w:before="100" w:beforeAutospacing="1" w:after="100" w:afterAutospacing="1" w:line="240" w:lineRule="auto"/>
      <w:ind w:left="8505"/>
      <w:jc w:val="both"/>
    </w:pPr>
    <w:rPr>
      <w:rFonts w:ascii="Calibri" w:hAnsi="Calibri"/>
      <w:sz w:val="24"/>
      <w:lang w:val="en-AU"/>
    </w:rPr>
  </w:style>
  <w:style w:type="character" w:customStyle="1" w:styleId="FooterChar">
    <w:name w:val="Footer Char"/>
    <w:basedOn w:val="DefaultParagraphFont"/>
    <w:link w:val="Footer"/>
    <w:uiPriority w:val="99"/>
    <w:rsid w:val="00DD0AEA"/>
    <w:rPr>
      <w:rFonts w:ascii="Calibri" w:hAnsi="Calibri"/>
      <w:sz w:val="24"/>
      <w:lang w:val="en-AU"/>
    </w:rPr>
  </w:style>
  <w:style w:type="paragraph" w:styleId="Caption">
    <w:name w:val="caption"/>
    <w:basedOn w:val="Normal"/>
    <w:next w:val="Normal"/>
    <w:uiPriority w:val="35"/>
    <w:unhideWhenUsed/>
    <w:rsid w:val="00DD0AEA"/>
    <w:pPr>
      <w:spacing w:before="100" w:beforeAutospacing="1" w:after="100" w:afterAutospacing="1" w:line="240" w:lineRule="auto"/>
      <w:jc w:val="both"/>
    </w:pPr>
    <w:rPr>
      <w:rFonts w:ascii="Calibri" w:hAnsi="Calibri"/>
      <w:b/>
      <w:bCs/>
      <w:color w:val="4F81BD" w:themeColor="accent1"/>
      <w:sz w:val="18"/>
      <w:szCs w:val="18"/>
      <w:lang w:val="en-AU"/>
    </w:rPr>
  </w:style>
  <w:style w:type="character" w:styleId="FootnoteReference">
    <w:name w:val="footnote reference"/>
    <w:basedOn w:val="DefaultParagraphFont"/>
    <w:uiPriority w:val="99"/>
    <w:unhideWhenUsed/>
    <w:rsid w:val="00DD0AEA"/>
    <w:rPr>
      <w:vertAlign w:val="superscript"/>
    </w:rPr>
  </w:style>
  <w:style w:type="character" w:styleId="CommentReference">
    <w:name w:val="annotation reference"/>
    <w:basedOn w:val="DefaultParagraphFont"/>
    <w:uiPriority w:val="99"/>
    <w:semiHidden/>
    <w:unhideWhenUsed/>
    <w:rsid w:val="00DD0AEA"/>
    <w:rPr>
      <w:sz w:val="16"/>
      <w:szCs w:val="16"/>
    </w:rPr>
  </w:style>
  <w:style w:type="character" w:styleId="EndnoteReference">
    <w:name w:val="endnote reference"/>
    <w:basedOn w:val="DefaultParagraphFont"/>
    <w:uiPriority w:val="99"/>
    <w:semiHidden/>
    <w:unhideWhenUsed/>
    <w:rsid w:val="00DD0AEA"/>
    <w:rPr>
      <w:vertAlign w:val="superscript"/>
    </w:rPr>
  </w:style>
  <w:style w:type="paragraph" w:styleId="EndnoteText">
    <w:name w:val="endnote text"/>
    <w:basedOn w:val="Normal"/>
    <w:link w:val="EndnoteTextChar"/>
    <w:uiPriority w:val="99"/>
    <w:semiHidden/>
    <w:unhideWhenUsed/>
    <w:rsid w:val="00DD0AEA"/>
    <w:pPr>
      <w:spacing w:before="100" w:beforeAutospacing="1" w:after="100" w:afterAutospacing="1" w:line="240" w:lineRule="auto"/>
      <w:jc w:val="both"/>
    </w:pPr>
    <w:rPr>
      <w:rFonts w:ascii="Calibri" w:hAnsi="Calibri"/>
      <w:sz w:val="20"/>
      <w:szCs w:val="20"/>
      <w:lang w:val="en-GB"/>
    </w:rPr>
  </w:style>
  <w:style w:type="character" w:customStyle="1" w:styleId="EndnoteTextChar">
    <w:name w:val="Endnote Text Char"/>
    <w:basedOn w:val="DefaultParagraphFont"/>
    <w:link w:val="EndnoteText"/>
    <w:uiPriority w:val="99"/>
    <w:semiHidden/>
    <w:rsid w:val="00DD0AEA"/>
    <w:rPr>
      <w:rFonts w:ascii="Calibri" w:hAnsi="Calibri"/>
      <w:sz w:val="20"/>
      <w:szCs w:val="20"/>
      <w:lang w:val="en-GB"/>
    </w:rPr>
  </w:style>
  <w:style w:type="paragraph" w:styleId="Title">
    <w:name w:val="Title"/>
    <w:aliases w:val="Submission"/>
    <w:next w:val="Normal"/>
    <w:link w:val="TitleChar"/>
    <w:uiPriority w:val="10"/>
    <w:qFormat/>
    <w:rsid w:val="00DD0AEA"/>
    <w:pPr>
      <w:spacing w:before="2040" w:after="120" w:line="240" w:lineRule="auto"/>
      <w:contextualSpacing/>
      <w:jc w:val="center"/>
    </w:pPr>
    <w:rPr>
      <w:rFonts w:ascii="Calibri" w:eastAsiaTheme="majorEastAsia" w:hAnsi="Calibri" w:cstheme="majorBidi"/>
      <w:b/>
      <w:spacing w:val="5"/>
      <w:kern w:val="28"/>
      <w:sz w:val="52"/>
      <w:szCs w:val="52"/>
      <w:lang w:val="en-AU"/>
    </w:rPr>
  </w:style>
  <w:style w:type="character" w:customStyle="1" w:styleId="TitleChar">
    <w:name w:val="Title Char"/>
    <w:aliases w:val="Submission Char"/>
    <w:basedOn w:val="DefaultParagraphFont"/>
    <w:link w:val="Title"/>
    <w:uiPriority w:val="10"/>
    <w:rsid w:val="00DD0AEA"/>
    <w:rPr>
      <w:rFonts w:ascii="Calibri" w:eastAsiaTheme="majorEastAsia" w:hAnsi="Calibri" w:cstheme="majorBidi"/>
      <w:b/>
      <w:spacing w:val="5"/>
      <w:kern w:val="28"/>
      <w:sz w:val="52"/>
      <w:szCs w:val="52"/>
      <w:lang w:val="en-AU"/>
    </w:rPr>
  </w:style>
  <w:style w:type="paragraph" w:styleId="BodyText">
    <w:name w:val="Body Text"/>
    <w:basedOn w:val="Normal"/>
    <w:link w:val="BodyTextChar"/>
    <w:rsid w:val="00DD0AEA"/>
    <w:pPr>
      <w:spacing w:before="100" w:beforeAutospacing="1" w:after="100" w:afterAutospacing="1" w:line="240" w:lineRule="auto"/>
      <w:jc w:val="both"/>
    </w:pPr>
    <w:rPr>
      <w:rFonts w:ascii="Times New Roman" w:eastAsia="Times New Roman" w:hAnsi="Times New Roman" w:cs="Times New Roman"/>
      <w:sz w:val="24"/>
      <w:szCs w:val="24"/>
      <w:lang w:val="en-AU"/>
    </w:rPr>
  </w:style>
  <w:style w:type="character" w:customStyle="1" w:styleId="BodyTextChar">
    <w:name w:val="Body Text Char"/>
    <w:basedOn w:val="DefaultParagraphFont"/>
    <w:link w:val="BodyText"/>
    <w:rsid w:val="00DD0AEA"/>
    <w:rPr>
      <w:rFonts w:ascii="Times New Roman" w:eastAsia="Times New Roman" w:hAnsi="Times New Roman" w:cs="Times New Roman"/>
      <w:sz w:val="24"/>
      <w:szCs w:val="24"/>
      <w:lang w:val="en-AU"/>
    </w:rPr>
  </w:style>
  <w:style w:type="character" w:styleId="Hyperlink">
    <w:name w:val="Hyperlink"/>
    <w:basedOn w:val="DefaultParagraphFont"/>
    <w:uiPriority w:val="99"/>
    <w:unhideWhenUsed/>
    <w:rsid w:val="00DD0AEA"/>
    <w:rPr>
      <w:color w:val="0000FF" w:themeColor="hyperlink"/>
      <w:u w:val="single"/>
    </w:rPr>
  </w:style>
  <w:style w:type="character" w:styleId="Strong">
    <w:name w:val="Strong"/>
    <w:basedOn w:val="DefaultParagraphFont"/>
    <w:uiPriority w:val="22"/>
    <w:rsid w:val="00DD0AEA"/>
    <w:rPr>
      <w:b/>
      <w:bCs/>
    </w:rPr>
  </w:style>
  <w:style w:type="paragraph" w:styleId="NormalWeb">
    <w:name w:val="Normal (Web)"/>
    <w:basedOn w:val="Normal"/>
    <w:uiPriority w:val="99"/>
    <w:semiHidden/>
    <w:unhideWhenUsed/>
    <w:rsid w:val="00DD0AEA"/>
    <w:pPr>
      <w:spacing w:before="140" w:beforeAutospacing="1" w:after="140" w:afterAutospacing="1" w:line="240" w:lineRule="auto"/>
      <w:jc w:val="both"/>
    </w:pPr>
    <w:rPr>
      <w:rFonts w:ascii="Trebuchet MS" w:eastAsia="Times New Roman" w:hAnsi="Trebuchet MS" w:cs="Times New Roman"/>
      <w:sz w:val="24"/>
      <w:szCs w:val="24"/>
      <w:lang w:val="en-AU" w:eastAsia="en-AU"/>
    </w:rPr>
  </w:style>
  <w:style w:type="paragraph" w:styleId="CommentSubject">
    <w:name w:val="annotation subject"/>
    <w:basedOn w:val="CommentText"/>
    <w:next w:val="CommentText"/>
    <w:link w:val="CommentSubjectChar"/>
    <w:uiPriority w:val="99"/>
    <w:semiHidden/>
    <w:unhideWhenUsed/>
    <w:rsid w:val="00DD0AEA"/>
    <w:rPr>
      <w:b/>
      <w:bCs/>
    </w:rPr>
  </w:style>
  <w:style w:type="character" w:customStyle="1" w:styleId="CommentSubjectChar">
    <w:name w:val="Comment Subject Char"/>
    <w:basedOn w:val="CommentTextChar"/>
    <w:link w:val="CommentSubject"/>
    <w:uiPriority w:val="99"/>
    <w:semiHidden/>
    <w:rsid w:val="00DD0AEA"/>
    <w:rPr>
      <w:rFonts w:ascii="Calibri" w:hAnsi="Calibri"/>
      <w:b/>
      <w:bCs/>
      <w:sz w:val="20"/>
      <w:szCs w:val="20"/>
      <w:lang w:val="en-AU"/>
    </w:rPr>
  </w:style>
  <w:style w:type="paragraph" w:styleId="BalloonText">
    <w:name w:val="Balloon Text"/>
    <w:basedOn w:val="Normal"/>
    <w:link w:val="BalloonTextChar"/>
    <w:uiPriority w:val="99"/>
    <w:semiHidden/>
    <w:unhideWhenUsed/>
    <w:rsid w:val="00DD0AEA"/>
    <w:pPr>
      <w:spacing w:before="100" w:beforeAutospacing="1" w:after="100" w:afterAutospacing="1" w:line="240" w:lineRule="auto"/>
      <w:jc w:val="both"/>
    </w:pPr>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DD0AEA"/>
    <w:rPr>
      <w:rFonts w:ascii="Tahoma" w:hAnsi="Tahoma" w:cs="Tahoma"/>
      <w:sz w:val="16"/>
      <w:szCs w:val="16"/>
      <w:lang w:val="en-GB"/>
    </w:rPr>
  </w:style>
  <w:style w:type="table" w:styleId="TableGrid">
    <w:name w:val="Table Grid"/>
    <w:basedOn w:val="TableNormal"/>
    <w:uiPriority w:val="59"/>
    <w:rsid w:val="00DD0AEA"/>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0AEA"/>
    <w:pPr>
      <w:spacing w:before="100" w:beforeAutospacing="1" w:after="100" w:afterAutospacing="1" w:line="240" w:lineRule="auto"/>
      <w:ind w:left="720"/>
      <w:contextualSpacing/>
      <w:jc w:val="both"/>
    </w:pPr>
    <w:rPr>
      <w:rFonts w:ascii="Calibri" w:hAnsi="Calibri"/>
      <w:sz w:val="24"/>
      <w:lang w:val="en-AU"/>
    </w:rPr>
  </w:style>
  <w:style w:type="paragraph" w:styleId="TOCHeading">
    <w:name w:val="TOC Heading"/>
    <w:basedOn w:val="Heading1"/>
    <w:next w:val="Normal"/>
    <w:uiPriority w:val="39"/>
    <w:unhideWhenUsed/>
    <w:qFormat/>
    <w:rsid w:val="00DD0AEA"/>
    <w:pPr>
      <w:numPr>
        <w:numId w:val="0"/>
      </w:numPr>
      <w:spacing w:line="276" w:lineRule="auto"/>
      <w:outlineLvl w:val="9"/>
    </w:pPr>
  </w:style>
  <w:style w:type="character" w:styleId="FollowedHyperlink">
    <w:name w:val="FollowedHyperlink"/>
    <w:basedOn w:val="DefaultParagraphFont"/>
    <w:uiPriority w:val="99"/>
    <w:semiHidden/>
    <w:unhideWhenUsed/>
    <w:rsid w:val="00DD0AEA"/>
    <w:rPr>
      <w:color w:val="800080" w:themeColor="followedHyperlink"/>
      <w:u w:val="single"/>
    </w:rPr>
  </w:style>
  <w:style w:type="paragraph" w:styleId="NoSpacing">
    <w:name w:val="No Spacing"/>
    <w:uiPriority w:val="1"/>
    <w:rsid w:val="00DD0AEA"/>
    <w:pPr>
      <w:spacing w:after="0" w:line="240" w:lineRule="auto"/>
    </w:pPr>
    <w:rPr>
      <w:rFonts w:ascii="Calibri" w:eastAsiaTheme="minorEastAsia" w:hAnsi="Calibri"/>
      <w:sz w:val="23"/>
      <w:lang w:val="en-AU" w:eastAsia="en-AU"/>
    </w:rPr>
  </w:style>
  <w:style w:type="paragraph" w:customStyle="1" w:styleId="About">
    <w:name w:val="About"/>
    <w:basedOn w:val="Normal"/>
    <w:link w:val="AboutChar"/>
    <w:qFormat/>
    <w:rsid w:val="00DD0AEA"/>
    <w:pPr>
      <w:spacing w:before="100" w:beforeAutospacing="1" w:after="100" w:afterAutospacing="1" w:line="240" w:lineRule="auto"/>
      <w:jc w:val="both"/>
    </w:pPr>
    <w:rPr>
      <w:rFonts w:ascii="Calibri" w:eastAsiaTheme="minorEastAsia" w:hAnsi="Calibri"/>
      <w:b/>
      <w:sz w:val="24"/>
      <w:lang w:val="en-AU" w:eastAsia="en-AU"/>
    </w:rPr>
  </w:style>
  <w:style w:type="table" w:customStyle="1" w:styleId="ACCANtable">
    <w:name w:val="ACCAN table"/>
    <w:basedOn w:val="TableNormal"/>
    <w:uiPriority w:val="99"/>
    <w:rsid w:val="00DD0AEA"/>
    <w:pPr>
      <w:spacing w:after="0" w:line="240" w:lineRule="auto"/>
    </w:pPr>
    <w:rPr>
      <w:lang w:val="en-AU"/>
    </w:rPr>
    <w:tblPr>
      <w:jc w:val="center"/>
      <w:tblBorders>
        <w:top w:val="single" w:sz="4" w:space="0" w:color="44C8F5"/>
        <w:bottom w:val="single" w:sz="4" w:space="0" w:color="44C8F5"/>
        <w:insideH w:val="single" w:sz="4" w:space="0" w:color="44C8F5"/>
      </w:tblBorders>
      <w:tblCellMar>
        <w:top w:w="108" w:type="dxa"/>
        <w:bottom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DD0AEA"/>
    <w:rPr>
      <w:rFonts w:ascii="Calibri" w:eastAsiaTheme="minorEastAsia" w:hAnsi="Calibri"/>
      <w:b/>
      <w:sz w:val="24"/>
      <w:lang w:val="en-AU" w:eastAsia="en-AU"/>
    </w:rPr>
  </w:style>
  <w:style w:type="paragraph" w:styleId="Subtitle">
    <w:name w:val="Subtitle"/>
    <w:next w:val="Normal"/>
    <w:link w:val="SubtitleChar"/>
    <w:uiPriority w:val="11"/>
    <w:rsid w:val="00DD0AEA"/>
    <w:pPr>
      <w:spacing w:before="360" w:after="360" w:line="240" w:lineRule="auto"/>
      <w:jc w:val="center"/>
    </w:pPr>
    <w:rPr>
      <w:rFonts w:ascii="Calibri" w:eastAsiaTheme="minorEastAsia" w:hAnsi="Calibri"/>
      <w:sz w:val="32"/>
      <w:szCs w:val="32"/>
      <w:lang w:val="en-AU"/>
    </w:rPr>
  </w:style>
  <w:style w:type="character" w:customStyle="1" w:styleId="SubtitleChar">
    <w:name w:val="Subtitle Char"/>
    <w:basedOn w:val="DefaultParagraphFont"/>
    <w:link w:val="Subtitle"/>
    <w:uiPriority w:val="11"/>
    <w:rsid w:val="00DD0AEA"/>
    <w:rPr>
      <w:rFonts w:ascii="Calibri" w:eastAsiaTheme="minorEastAsia" w:hAnsi="Calibri"/>
      <w:sz w:val="32"/>
      <w:szCs w:val="32"/>
      <w:lang w:val="en-AU"/>
    </w:rPr>
  </w:style>
  <w:style w:type="paragraph" w:customStyle="1" w:styleId="Recommendation">
    <w:name w:val="Recommendation"/>
    <w:basedOn w:val="Normal"/>
    <w:link w:val="RecommendationChar"/>
    <w:qFormat/>
    <w:rsid w:val="00DD0AEA"/>
    <w:pPr>
      <w:numPr>
        <w:numId w:val="7"/>
      </w:numPr>
      <w:pBdr>
        <w:top w:val="single" w:sz="8" w:space="6" w:color="44C8F5"/>
        <w:left w:val="single" w:sz="8" w:space="5" w:color="44C8F5"/>
        <w:bottom w:val="single" w:sz="8" w:space="6" w:color="44C8F5"/>
        <w:right w:val="single" w:sz="8" w:space="5" w:color="44C8F5"/>
      </w:pBdr>
      <w:spacing w:before="100" w:beforeAutospacing="1" w:after="100" w:afterAutospacing="1" w:line="240" w:lineRule="auto"/>
      <w:ind w:right="851"/>
      <w:jc w:val="both"/>
    </w:pPr>
    <w:rPr>
      <w:rFonts w:ascii="Calibri" w:eastAsiaTheme="minorEastAsia" w:hAnsi="Calibri"/>
      <w:sz w:val="24"/>
      <w:lang w:val="en-AU"/>
    </w:rPr>
  </w:style>
  <w:style w:type="table" w:styleId="LightShading-Accent1">
    <w:name w:val="Light Shading Accent 1"/>
    <w:basedOn w:val="TableNormal"/>
    <w:uiPriority w:val="60"/>
    <w:rsid w:val="00DD0AEA"/>
    <w:pPr>
      <w:spacing w:after="0" w:line="240" w:lineRule="auto"/>
    </w:pPr>
    <w:rPr>
      <w:color w:val="365F91" w:themeColor="accent1" w:themeShade="BF"/>
      <w:lang w:val="en-AU"/>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DD0AEA"/>
    <w:rPr>
      <w:rFonts w:ascii="Calibri" w:eastAsiaTheme="minorEastAsia" w:hAnsi="Calibri"/>
      <w:sz w:val="24"/>
      <w:lang w:val="en-AU"/>
    </w:rPr>
  </w:style>
  <w:style w:type="paragraph" w:customStyle="1" w:styleId="Blockquote">
    <w:name w:val="Blockquote"/>
    <w:basedOn w:val="Normal"/>
    <w:link w:val="BlockquoteChar"/>
    <w:qFormat/>
    <w:rsid w:val="00DD0AEA"/>
    <w:pPr>
      <w:spacing w:before="100" w:beforeAutospacing="1" w:after="100" w:afterAutospacing="1" w:line="240" w:lineRule="auto"/>
      <w:ind w:left="851" w:right="851"/>
      <w:jc w:val="both"/>
    </w:pPr>
    <w:rPr>
      <w:rFonts w:ascii="Calibri" w:eastAsiaTheme="minorEastAsia" w:hAnsi="Calibri"/>
      <w:sz w:val="24"/>
      <w:lang w:val="en-AU"/>
    </w:rPr>
  </w:style>
  <w:style w:type="character" w:customStyle="1" w:styleId="BlockquoteChar">
    <w:name w:val="Blockquote Char"/>
    <w:basedOn w:val="DefaultParagraphFont"/>
    <w:link w:val="Blockquote"/>
    <w:rsid w:val="00DD0AEA"/>
    <w:rPr>
      <w:rFonts w:ascii="Calibri" w:eastAsiaTheme="minorEastAsia" w:hAnsi="Calibri"/>
      <w:sz w:val="24"/>
      <w:lang w:val="en-AU"/>
    </w:rPr>
  </w:style>
  <w:style w:type="numbering" w:customStyle="1" w:styleId="Headings">
    <w:name w:val="Headings"/>
    <w:uiPriority w:val="99"/>
    <w:rsid w:val="00DD0AEA"/>
    <w:pPr>
      <w:numPr>
        <w:numId w:val="1"/>
      </w:numPr>
    </w:pPr>
  </w:style>
  <w:style w:type="numbering" w:customStyle="1" w:styleId="Bullets">
    <w:name w:val="Bullets"/>
    <w:uiPriority w:val="99"/>
    <w:rsid w:val="00DD0AEA"/>
    <w:pPr>
      <w:numPr>
        <w:numId w:val="2"/>
      </w:numPr>
    </w:pPr>
  </w:style>
  <w:style w:type="paragraph" w:customStyle="1" w:styleId="Bulletlist1">
    <w:name w:val="Bullet list 1"/>
    <w:basedOn w:val="Normal"/>
    <w:link w:val="Bulletlist1Char"/>
    <w:qFormat/>
    <w:rsid w:val="00DD0AEA"/>
    <w:pPr>
      <w:numPr>
        <w:numId w:val="2"/>
      </w:numPr>
      <w:spacing w:before="100" w:beforeAutospacing="1" w:after="100" w:afterAutospacing="1" w:line="240" w:lineRule="auto"/>
      <w:jc w:val="both"/>
    </w:pPr>
    <w:rPr>
      <w:rFonts w:ascii="Calibri" w:eastAsiaTheme="minorEastAsia" w:hAnsi="Calibri"/>
      <w:sz w:val="24"/>
      <w:lang w:val="en-AU" w:eastAsia="en-AU"/>
    </w:rPr>
  </w:style>
  <w:style w:type="paragraph" w:customStyle="1" w:styleId="Bulletlist2">
    <w:name w:val="Bullet list 2"/>
    <w:basedOn w:val="Bulletlist1"/>
    <w:link w:val="Bulletlist2Char"/>
    <w:qFormat/>
    <w:rsid w:val="00DD0AEA"/>
    <w:pPr>
      <w:numPr>
        <w:ilvl w:val="1"/>
      </w:numPr>
    </w:pPr>
  </w:style>
  <w:style w:type="character" w:customStyle="1" w:styleId="Bulletlist1Char">
    <w:name w:val="Bullet list 1 Char"/>
    <w:basedOn w:val="DefaultParagraphFont"/>
    <w:link w:val="Bulletlist1"/>
    <w:rsid w:val="00DD0AEA"/>
    <w:rPr>
      <w:rFonts w:ascii="Calibri" w:eastAsiaTheme="minorEastAsia" w:hAnsi="Calibri"/>
      <w:sz w:val="24"/>
      <w:lang w:val="en-AU" w:eastAsia="en-AU"/>
    </w:rPr>
  </w:style>
  <w:style w:type="paragraph" w:customStyle="1" w:styleId="Bulletlist3">
    <w:name w:val="Bullet list 3"/>
    <w:basedOn w:val="Bulletlist2"/>
    <w:link w:val="Bulletlist3Char"/>
    <w:qFormat/>
    <w:rsid w:val="00DD0AEA"/>
    <w:pPr>
      <w:numPr>
        <w:ilvl w:val="2"/>
      </w:numPr>
    </w:pPr>
  </w:style>
  <w:style w:type="character" w:customStyle="1" w:styleId="Bulletlist2Char">
    <w:name w:val="Bullet list 2 Char"/>
    <w:basedOn w:val="Bulletlist1Char"/>
    <w:link w:val="Bulletlist2"/>
    <w:rsid w:val="00DD0AEA"/>
    <w:rPr>
      <w:rFonts w:ascii="Calibri" w:eastAsiaTheme="minorEastAsia" w:hAnsi="Calibri"/>
      <w:sz w:val="24"/>
      <w:lang w:val="en-AU" w:eastAsia="en-AU"/>
    </w:rPr>
  </w:style>
  <w:style w:type="character" w:customStyle="1" w:styleId="Bulletlist3Char">
    <w:name w:val="Bullet list 3 Char"/>
    <w:basedOn w:val="Bulletlist2Char"/>
    <w:link w:val="Bulletlist3"/>
    <w:rsid w:val="00DD0AEA"/>
    <w:rPr>
      <w:rFonts w:ascii="Calibri" w:eastAsiaTheme="minorEastAsia" w:hAnsi="Calibri"/>
      <w:sz w:val="24"/>
      <w:lang w:val="en-AU" w:eastAsia="en-AU"/>
    </w:rPr>
  </w:style>
  <w:style w:type="paragraph" w:customStyle="1" w:styleId="Footerpage1">
    <w:name w:val="Footer page 1"/>
    <w:rsid w:val="00DD0AEA"/>
    <w:pPr>
      <w:spacing w:line="240" w:lineRule="auto"/>
      <w:ind w:left="-754"/>
      <w:contextualSpacing/>
    </w:pPr>
    <w:rPr>
      <w:sz w:val="20"/>
      <w:szCs w:val="20"/>
      <w:lang w:val="en-AU"/>
    </w:rPr>
  </w:style>
  <w:style w:type="paragraph" w:customStyle="1" w:styleId="Celltext">
    <w:name w:val="Cell text"/>
    <w:basedOn w:val="Normal"/>
    <w:qFormat/>
    <w:rsid w:val="00DD0AEA"/>
    <w:pPr>
      <w:spacing w:before="100" w:beforeAutospacing="1" w:after="100" w:afterAutospacing="1" w:line="240" w:lineRule="auto"/>
      <w:contextualSpacing/>
      <w:jc w:val="both"/>
    </w:pPr>
    <w:rPr>
      <w:rFonts w:ascii="Calibri" w:eastAsiaTheme="minorEastAsia" w:hAnsi="Calibri"/>
      <w:sz w:val="20"/>
      <w:lang w:val="en-AU" w:eastAsia="en-AU"/>
    </w:rPr>
  </w:style>
  <w:style w:type="paragraph" w:customStyle="1" w:styleId="Appendixheading1">
    <w:name w:val="Appendix heading 1"/>
    <w:basedOn w:val="Heading1"/>
    <w:next w:val="Normal"/>
    <w:link w:val="Appendixheading1Char"/>
    <w:qFormat/>
    <w:rsid w:val="00DD0AEA"/>
    <w:pPr>
      <w:numPr>
        <w:numId w:val="4"/>
      </w:numPr>
    </w:pPr>
  </w:style>
  <w:style w:type="character" w:customStyle="1" w:styleId="Appendixheading1Char">
    <w:name w:val="Appendix heading 1 Char"/>
    <w:basedOn w:val="Heading1Char"/>
    <w:link w:val="Appendixheading1"/>
    <w:rsid w:val="00DD0AEA"/>
    <w:rPr>
      <w:rFonts w:ascii="Calibri" w:eastAsiaTheme="majorEastAsia" w:hAnsi="Calibri" w:cstheme="majorBidi"/>
      <w:bCs/>
      <w:sz w:val="48"/>
      <w:szCs w:val="28"/>
      <w:lang w:val="en-AU"/>
    </w:rPr>
  </w:style>
  <w:style w:type="paragraph" w:customStyle="1" w:styleId="Appendixheading2">
    <w:name w:val="Appendix heading 2"/>
    <w:basedOn w:val="Heading2"/>
    <w:next w:val="Normal"/>
    <w:link w:val="Appendixheading2Char"/>
    <w:qFormat/>
    <w:rsid w:val="00DD0AEA"/>
    <w:pPr>
      <w:numPr>
        <w:numId w:val="4"/>
      </w:numPr>
    </w:pPr>
    <w:rPr>
      <w:b/>
    </w:rPr>
  </w:style>
  <w:style w:type="character" w:customStyle="1" w:styleId="Appendixheading2Char">
    <w:name w:val="Appendix heading 2 Char"/>
    <w:basedOn w:val="Heading2Char"/>
    <w:link w:val="Appendixheading2"/>
    <w:rsid w:val="00DD0AEA"/>
    <w:rPr>
      <w:rFonts w:ascii="Calibri" w:eastAsia="Times New Roman" w:hAnsi="Calibri" w:cs="Times New Roman"/>
      <w:b/>
      <w:bCs/>
      <w:iCs/>
      <w:sz w:val="32"/>
      <w:szCs w:val="24"/>
      <w:lang w:val="en-AU"/>
    </w:rPr>
  </w:style>
  <w:style w:type="paragraph" w:customStyle="1" w:styleId="Appendixheading3">
    <w:name w:val="Appendix heading 3"/>
    <w:basedOn w:val="Heading3"/>
    <w:next w:val="Normal"/>
    <w:link w:val="Appendixheading3Char"/>
    <w:qFormat/>
    <w:rsid w:val="00DD0AEA"/>
    <w:pPr>
      <w:numPr>
        <w:ilvl w:val="0"/>
        <w:numId w:val="0"/>
      </w:numPr>
    </w:pPr>
    <w:rPr>
      <w:b/>
      <w:sz w:val="24"/>
    </w:rPr>
  </w:style>
  <w:style w:type="character" w:customStyle="1" w:styleId="Appendixheading3Char">
    <w:name w:val="Appendix heading 3 Char"/>
    <w:basedOn w:val="Heading3Char"/>
    <w:link w:val="Appendixheading3"/>
    <w:rsid w:val="00DD0AEA"/>
    <w:rPr>
      <w:rFonts w:ascii="Calibri" w:eastAsia="Times New Roman" w:hAnsi="Calibri" w:cs="Times New Roman"/>
      <w:b/>
      <w:bCs/>
      <w:iCs/>
      <w:sz w:val="24"/>
      <w:szCs w:val="24"/>
      <w:lang w:val="en-AU"/>
    </w:rPr>
  </w:style>
  <w:style w:type="paragraph" w:customStyle="1" w:styleId="Blockquote2">
    <w:name w:val="Blockquote 2"/>
    <w:basedOn w:val="Blockquote"/>
    <w:link w:val="Blockquote2Char"/>
    <w:qFormat/>
    <w:rsid w:val="00DD0AEA"/>
    <w:pPr>
      <w:ind w:left="1418"/>
      <w:contextualSpacing/>
    </w:pPr>
  </w:style>
  <w:style w:type="character" w:customStyle="1" w:styleId="Blockquote2Char">
    <w:name w:val="Blockquote 2 Char"/>
    <w:basedOn w:val="BlockquoteChar"/>
    <w:link w:val="Blockquote2"/>
    <w:rsid w:val="00DD0AEA"/>
    <w:rPr>
      <w:rFonts w:ascii="Calibri" w:eastAsiaTheme="minorEastAsia" w:hAnsi="Calibri"/>
      <w:sz w:val="24"/>
      <w:lang w:val="en-AU"/>
    </w:rPr>
  </w:style>
  <w:style w:type="paragraph" w:customStyle="1" w:styleId="Blockquote3">
    <w:name w:val="Blockquote 3"/>
    <w:basedOn w:val="Blockquote"/>
    <w:link w:val="Blockquote3Char"/>
    <w:qFormat/>
    <w:rsid w:val="00DD0AEA"/>
    <w:pPr>
      <w:ind w:left="1985"/>
      <w:contextualSpacing/>
    </w:pPr>
  </w:style>
  <w:style w:type="character" w:customStyle="1" w:styleId="Blockquote3Char">
    <w:name w:val="Blockquote 3 Char"/>
    <w:basedOn w:val="BlockquoteChar"/>
    <w:link w:val="Blockquote3"/>
    <w:rsid w:val="00DD0AEA"/>
    <w:rPr>
      <w:rFonts w:ascii="Calibri" w:eastAsiaTheme="minorEastAsia" w:hAnsi="Calibri"/>
      <w:sz w:val="24"/>
      <w:lang w:val="en-AU"/>
    </w:rPr>
  </w:style>
  <w:style w:type="paragraph" w:customStyle="1" w:styleId="Blockquotebulletlist1">
    <w:name w:val="Blockquote bullet list 1"/>
    <w:basedOn w:val="Blockquote"/>
    <w:link w:val="Blockquotebulletlist1Char"/>
    <w:qFormat/>
    <w:rsid w:val="00DD0AEA"/>
    <w:pPr>
      <w:numPr>
        <w:numId w:val="5"/>
      </w:numPr>
    </w:pPr>
  </w:style>
  <w:style w:type="character" w:customStyle="1" w:styleId="Blockquotebulletlist1Char">
    <w:name w:val="Blockquote bullet list 1 Char"/>
    <w:basedOn w:val="BlockquoteChar"/>
    <w:link w:val="Blockquotebulletlist1"/>
    <w:rsid w:val="00DD0AEA"/>
    <w:rPr>
      <w:rFonts w:ascii="Calibri" w:eastAsiaTheme="minorEastAsia" w:hAnsi="Calibri"/>
      <w:sz w:val="24"/>
      <w:lang w:val="en-AU"/>
    </w:rPr>
  </w:style>
  <w:style w:type="numbering" w:customStyle="1" w:styleId="Blockquotebullets">
    <w:name w:val="Blockquote bullets"/>
    <w:uiPriority w:val="99"/>
    <w:rsid w:val="00DD0AEA"/>
    <w:pPr>
      <w:numPr>
        <w:numId w:val="5"/>
      </w:numPr>
    </w:pPr>
  </w:style>
  <w:style w:type="paragraph" w:customStyle="1" w:styleId="Casestudyheading">
    <w:name w:val="Case study heading"/>
    <w:basedOn w:val="Normal"/>
    <w:next w:val="Normal"/>
    <w:link w:val="CasestudyheadingChar"/>
    <w:qFormat/>
    <w:rsid w:val="00DD0AEA"/>
    <w:pPr>
      <w:keepNext/>
      <w:spacing w:before="100" w:beforeAutospacing="1" w:after="100" w:afterAutospacing="1" w:line="240" w:lineRule="auto"/>
      <w:ind w:left="851" w:right="851"/>
      <w:jc w:val="both"/>
    </w:pPr>
    <w:rPr>
      <w:rFonts w:ascii="Calibri" w:eastAsiaTheme="minorEastAsia" w:hAnsi="Calibri"/>
      <w:b/>
      <w:sz w:val="24"/>
      <w:lang w:val="en-AU"/>
    </w:rPr>
  </w:style>
  <w:style w:type="character" w:customStyle="1" w:styleId="CasestudyheadingChar">
    <w:name w:val="Case study heading Char"/>
    <w:basedOn w:val="DefaultParagraphFont"/>
    <w:link w:val="Casestudyheading"/>
    <w:rsid w:val="00DD0AEA"/>
    <w:rPr>
      <w:rFonts w:ascii="Calibri" w:eastAsiaTheme="minorEastAsia" w:hAnsi="Calibri"/>
      <w:b/>
      <w:sz w:val="24"/>
      <w:lang w:val="en-AU"/>
    </w:rPr>
  </w:style>
  <w:style w:type="paragraph" w:customStyle="1" w:styleId="Casestudy">
    <w:name w:val="Case study"/>
    <w:basedOn w:val="Casestudyheading"/>
    <w:link w:val="CasestudyChar"/>
    <w:qFormat/>
    <w:rsid w:val="00DD0AEA"/>
    <w:pPr>
      <w:keepNext w:val="0"/>
    </w:pPr>
    <w:rPr>
      <w:b w:val="0"/>
    </w:rPr>
  </w:style>
  <w:style w:type="character" w:customStyle="1" w:styleId="CasestudyChar">
    <w:name w:val="Case study Char"/>
    <w:basedOn w:val="CasestudyheadingChar"/>
    <w:link w:val="Casestudy"/>
    <w:rsid w:val="00DD0AEA"/>
    <w:rPr>
      <w:rFonts w:ascii="Calibri" w:eastAsiaTheme="minorEastAsia" w:hAnsi="Calibri"/>
      <w:b w:val="0"/>
      <w:sz w:val="24"/>
      <w:lang w:val="en-AU"/>
    </w:rPr>
  </w:style>
  <w:style w:type="paragraph" w:customStyle="1" w:styleId="Casestudyquote">
    <w:name w:val="Case study quote"/>
    <w:basedOn w:val="Casestudy"/>
    <w:link w:val="CasestudyquoteChar"/>
    <w:qFormat/>
    <w:rsid w:val="00DD0AEA"/>
    <w:pPr>
      <w:ind w:left="1418" w:right="1418"/>
    </w:pPr>
  </w:style>
  <w:style w:type="character" w:customStyle="1" w:styleId="CasestudyquoteChar">
    <w:name w:val="Case study quote Char"/>
    <w:basedOn w:val="CasestudyChar"/>
    <w:link w:val="Casestudyquote"/>
    <w:rsid w:val="00DD0AEA"/>
    <w:rPr>
      <w:rFonts w:ascii="Calibri" w:eastAsiaTheme="minorEastAsia" w:hAnsi="Calibri"/>
      <w:b w:val="0"/>
      <w:sz w:val="24"/>
      <w:lang w:val="en-AU"/>
    </w:rPr>
  </w:style>
  <w:style w:type="numbering" w:customStyle="1" w:styleId="Recommendations">
    <w:name w:val="Recommendations"/>
    <w:uiPriority w:val="99"/>
    <w:rsid w:val="00DD0AEA"/>
    <w:pPr>
      <w:numPr>
        <w:numId w:val="6"/>
      </w:numPr>
    </w:pPr>
  </w:style>
  <w:style w:type="character" w:customStyle="1" w:styleId="FootnoteReference1">
    <w:name w:val="Footnote Reference1"/>
    <w:basedOn w:val="DefaultParagraphFont"/>
    <w:rsid w:val="00DD0AEA"/>
    <w:rPr>
      <w:vertAlign w:val="superscript"/>
    </w:rPr>
  </w:style>
  <w:style w:type="character" w:customStyle="1" w:styleId="FootnoteCharacters">
    <w:name w:val="Footnote Characters"/>
    <w:rsid w:val="00DD0AEA"/>
  </w:style>
  <w:style w:type="paragraph" w:customStyle="1" w:styleId="FootnoteText1">
    <w:name w:val="Footnote Text1"/>
    <w:rsid w:val="00DD0AEA"/>
    <w:pPr>
      <w:suppressAutoHyphens/>
      <w:spacing w:after="120" w:line="240" w:lineRule="auto"/>
    </w:pPr>
    <w:rPr>
      <w:rFonts w:ascii="Calibri" w:eastAsia="Arial Unicode MS" w:hAnsi="Calibri" w:cs="Arial Unicode MS"/>
      <w:kern w:val="1"/>
      <w:sz w:val="18"/>
      <w:szCs w:val="20"/>
      <w:lang w:val="en-IE" w:eastAsia="hi-IN" w:bidi="hi-IN"/>
    </w:rPr>
  </w:style>
  <w:style w:type="paragraph" w:customStyle="1" w:styleId="Caption1">
    <w:name w:val="Caption1"/>
    <w:basedOn w:val="Normal"/>
    <w:rsid w:val="00DD0AEA"/>
    <w:pPr>
      <w:suppressAutoHyphens/>
      <w:spacing w:before="28" w:after="28" w:line="240" w:lineRule="auto"/>
      <w:jc w:val="both"/>
    </w:pPr>
    <w:rPr>
      <w:rFonts w:ascii="Calibri" w:eastAsia="Arial Unicode MS" w:hAnsi="Calibri" w:cs="Calibri"/>
      <w:b/>
      <w:bCs/>
      <w:color w:val="4F81BD"/>
      <w:kern w:val="1"/>
      <w:sz w:val="18"/>
      <w:szCs w:val="18"/>
      <w:lang w:val="en-IE" w:eastAsia="hi-IN" w:bidi="hi-IN"/>
    </w:rPr>
  </w:style>
  <w:style w:type="paragraph" w:styleId="TOC4">
    <w:name w:val="toc 4"/>
    <w:basedOn w:val="Normal"/>
    <w:next w:val="Normal"/>
    <w:autoRedefine/>
    <w:uiPriority w:val="39"/>
    <w:unhideWhenUsed/>
    <w:rsid w:val="00DD0AEA"/>
    <w:pPr>
      <w:spacing w:after="100"/>
      <w:ind w:left="660"/>
    </w:pPr>
    <w:rPr>
      <w:rFonts w:eastAsiaTheme="minorEastAsia"/>
      <w:lang w:val="en-AU" w:eastAsia="en-AU"/>
    </w:rPr>
  </w:style>
  <w:style w:type="paragraph" w:styleId="TOC5">
    <w:name w:val="toc 5"/>
    <w:basedOn w:val="Normal"/>
    <w:next w:val="Normal"/>
    <w:autoRedefine/>
    <w:uiPriority w:val="39"/>
    <w:unhideWhenUsed/>
    <w:rsid w:val="00DD0AEA"/>
    <w:pPr>
      <w:spacing w:after="100"/>
      <w:ind w:left="880"/>
    </w:pPr>
    <w:rPr>
      <w:rFonts w:eastAsiaTheme="minorEastAsia"/>
      <w:lang w:val="en-AU" w:eastAsia="en-AU"/>
    </w:rPr>
  </w:style>
  <w:style w:type="paragraph" w:styleId="TOC6">
    <w:name w:val="toc 6"/>
    <w:basedOn w:val="Normal"/>
    <w:next w:val="Normal"/>
    <w:autoRedefine/>
    <w:uiPriority w:val="39"/>
    <w:unhideWhenUsed/>
    <w:rsid w:val="00DD0AEA"/>
    <w:pPr>
      <w:spacing w:after="100"/>
      <w:ind w:left="1100"/>
    </w:pPr>
    <w:rPr>
      <w:rFonts w:eastAsiaTheme="minorEastAsia"/>
      <w:lang w:val="en-AU" w:eastAsia="en-AU"/>
    </w:rPr>
  </w:style>
  <w:style w:type="paragraph" w:styleId="TOC7">
    <w:name w:val="toc 7"/>
    <w:basedOn w:val="Normal"/>
    <w:next w:val="Normal"/>
    <w:autoRedefine/>
    <w:uiPriority w:val="39"/>
    <w:unhideWhenUsed/>
    <w:rsid w:val="00DD0AEA"/>
    <w:pPr>
      <w:spacing w:after="100"/>
      <w:ind w:left="1320"/>
    </w:pPr>
    <w:rPr>
      <w:rFonts w:eastAsiaTheme="minorEastAsia"/>
      <w:lang w:val="en-AU" w:eastAsia="en-AU"/>
    </w:rPr>
  </w:style>
  <w:style w:type="paragraph" w:styleId="TOC8">
    <w:name w:val="toc 8"/>
    <w:basedOn w:val="Normal"/>
    <w:next w:val="Normal"/>
    <w:autoRedefine/>
    <w:uiPriority w:val="39"/>
    <w:unhideWhenUsed/>
    <w:rsid w:val="00DD0AEA"/>
    <w:pPr>
      <w:spacing w:after="100"/>
      <w:ind w:left="1540"/>
    </w:pPr>
    <w:rPr>
      <w:rFonts w:eastAsiaTheme="minorEastAsia"/>
      <w:lang w:val="en-AU" w:eastAsia="en-AU"/>
    </w:rPr>
  </w:style>
  <w:style w:type="paragraph" w:styleId="TOC9">
    <w:name w:val="toc 9"/>
    <w:basedOn w:val="Normal"/>
    <w:next w:val="Normal"/>
    <w:autoRedefine/>
    <w:uiPriority w:val="39"/>
    <w:unhideWhenUsed/>
    <w:rsid w:val="00DD0AEA"/>
    <w:pPr>
      <w:spacing w:after="100"/>
      <w:ind w:left="1760"/>
    </w:pPr>
    <w:rPr>
      <w:rFonts w:eastAsiaTheme="minorEastAsia"/>
      <w:lang w:val="en-AU" w:eastAsia="en-AU"/>
    </w:rPr>
  </w:style>
  <w:style w:type="paragraph" w:styleId="Bibliography">
    <w:name w:val="Bibliography"/>
    <w:basedOn w:val="Normal"/>
    <w:next w:val="Normal"/>
    <w:uiPriority w:val="37"/>
    <w:unhideWhenUsed/>
    <w:rsid w:val="00DD0AEA"/>
    <w:pPr>
      <w:spacing w:before="100" w:beforeAutospacing="1" w:after="240" w:afterAutospacing="1" w:line="240" w:lineRule="auto"/>
      <w:ind w:left="720" w:hanging="720"/>
      <w:jc w:val="both"/>
    </w:pPr>
    <w:rPr>
      <w:rFonts w:ascii="Calibri" w:eastAsiaTheme="minorEastAsia" w:hAnsi="Calibri"/>
      <w:sz w:val="24"/>
      <w:lang w:val="en-AU" w:eastAsia="en-AU"/>
    </w:rPr>
  </w:style>
  <w:style w:type="paragraph" w:styleId="Revision">
    <w:name w:val="Revision"/>
    <w:hidden/>
    <w:uiPriority w:val="99"/>
    <w:semiHidden/>
    <w:rsid w:val="00DD0AEA"/>
    <w:pPr>
      <w:spacing w:after="0" w:line="240" w:lineRule="auto"/>
    </w:pPr>
    <w:rPr>
      <w:rFonts w:ascii="Calibri" w:eastAsiaTheme="minorEastAsia" w:hAnsi="Calibri"/>
      <w:sz w:val="24"/>
      <w:lang w:val="en-AU" w:eastAsia="en-AU"/>
    </w:rPr>
  </w:style>
  <w:style w:type="table" w:styleId="LightShading-Accent3">
    <w:name w:val="Light Shading Accent 3"/>
    <w:basedOn w:val="TableNormal"/>
    <w:uiPriority w:val="60"/>
    <w:rsid w:val="00DD0AEA"/>
    <w:pPr>
      <w:spacing w:after="0" w:line="240" w:lineRule="auto"/>
    </w:pPr>
    <w:rPr>
      <w:color w:val="76923C" w:themeColor="accent3" w:themeShade="BF"/>
      <w:lang w:val="en-AU"/>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3">
    <w:name w:val="Light List Accent 3"/>
    <w:basedOn w:val="TableNormal"/>
    <w:uiPriority w:val="61"/>
    <w:rsid w:val="00DD0AEA"/>
    <w:pPr>
      <w:spacing w:after="0" w:line="240" w:lineRule="auto"/>
    </w:pPr>
    <w:rPr>
      <w:lang w:val="en-AU"/>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1-Accent3">
    <w:name w:val="Medium Shading 1 Accent 3"/>
    <w:basedOn w:val="TableNormal"/>
    <w:uiPriority w:val="63"/>
    <w:rsid w:val="00DD0AEA"/>
    <w:pPr>
      <w:spacing w:after="0" w:line="240" w:lineRule="auto"/>
    </w:pPr>
    <w:rPr>
      <w:lang w:val="en-AU"/>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BodyText1">
    <w:name w:val="Body Text1"/>
    <w:basedOn w:val="Normal"/>
    <w:qFormat/>
    <w:rsid w:val="008577E8"/>
    <w:rPr>
      <w:rFonts w:ascii="Arial" w:eastAsia="Calibri" w:hAnsi="Arial" w:cs="Arial"/>
      <w:color w:val="00000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qFormat/>
    <w:rsid w:val="00DD0AEA"/>
    <w:pPr>
      <w:keepNext/>
      <w:keepLines/>
      <w:pageBreakBefore/>
      <w:numPr>
        <w:numId w:val="1"/>
      </w:numPr>
      <w:spacing w:before="100" w:beforeAutospacing="1" w:after="240" w:line="240" w:lineRule="auto"/>
      <w:outlineLvl w:val="0"/>
    </w:pPr>
    <w:rPr>
      <w:rFonts w:ascii="Calibri" w:eastAsiaTheme="majorEastAsia" w:hAnsi="Calibri" w:cstheme="majorBidi"/>
      <w:bCs/>
      <w:sz w:val="48"/>
      <w:szCs w:val="28"/>
      <w:lang w:val="en-AU"/>
    </w:rPr>
  </w:style>
  <w:style w:type="paragraph" w:styleId="Heading2">
    <w:name w:val="heading 2"/>
    <w:next w:val="Normal"/>
    <w:link w:val="Heading2Char"/>
    <w:qFormat/>
    <w:rsid w:val="00DD0AEA"/>
    <w:pPr>
      <w:keepNext/>
      <w:numPr>
        <w:ilvl w:val="1"/>
        <w:numId w:val="1"/>
      </w:numPr>
      <w:spacing w:before="100" w:beforeAutospacing="1" w:after="240" w:line="240" w:lineRule="auto"/>
      <w:outlineLvl w:val="1"/>
    </w:pPr>
    <w:rPr>
      <w:rFonts w:ascii="Calibri" w:eastAsia="Times New Roman" w:hAnsi="Calibri" w:cs="Times New Roman"/>
      <w:bCs/>
      <w:iCs/>
      <w:sz w:val="32"/>
      <w:szCs w:val="24"/>
      <w:lang w:val="en-AU"/>
    </w:rPr>
  </w:style>
  <w:style w:type="paragraph" w:styleId="Heading3">
    <w:name w:val="heading 3"/>
    <w:next w:val="Normal"/>
    <w:link w:val="Heading3Char"/>
    <w:qFormat/>
    <w:rsid w:val="00DD0AEA"/>
    <w:pPr>
      <w:keepNext/>
      <w:numPr>
        <w:ilvl w:val="2"/>
        <w:numId w:val="1"/>
      </w:numPr>
      <w:spacing w:before="100" w:beforeAutospacing="1" w:after="240" w:line="240" w:lineRule="auto"/>
      <w:outlineLvl w:val="2"/>
    </w:pPr>
    <w:rPr>
      <w:rFonts w:ascii="Calibri" w:eastAsia="Times New Roman" w:hAnsi="Calibri" w:cs="Times New Roman"/>
      <w:bCs/>
      <w:iCs/>
      <w:sz w:val="28"/>
      <w:szCs w:val="24"/>
      <w:lang w:val="en-AU"/>
    </w:rPr>
  </w:style>
  <w:style w:type="paragraph" w:styleId="Heading4">
    <w:name w:val="heading 4"/>
    <w:next w:val="Normal"/>
    <w:link w:val="Heading4Char"/>
    <w:uiPriority w:val="9"/>
    <w:unhideWhenUsed/>
    <w:qFormat/>
    <w:rsid w:val="00DD0AEA"/>
    <w:pPr>
      <w:keepNext/>
      <w:keepLines/>
      <w:spacing w:before="100" w:beforeAutospacing="1" w:after="240" w:line="240" w:lineRule="auto"/>
      <w:outlineLvl w:val="3"/>
    </w:pPr>
    <w:rPr>
      <w:rFonts w:ascii="Calibri" w:eastAsiaTheme="majorEastAsia" w:hAnsi="Calibri" w:cstheme="majorBidi"/>
      <w:b/>
      <w:bCs/>
      <w:i/>
      <w:iCs/>
      <w:sz w:val="24"/>
      <w:lang w:val="en-AU"/>
    </w:rPr>
  </w:style>
  <w:style w:type="paragraph" w:styleId="Heading5">
    <w:name w:val="heading 5"/>
    <w:next w:val="Normal"/>
    <w:link w:val="Heading5Char"/>
    <w:uiPriority w:val="9"/>
    <w:unhideWhenUsed/>
    <w:qFormat/>
    <w:rsid w:val="00DD0AEA"/>
    <w:pPr>
      <w:keepNext/>
      <w:keepLines/>
      <w:spacing w:after="0" w:line="240" w:lineRule="auto"/>
      <w:outlineLvl w:val="4"/>
    </w:pPr>
    <w:rPr>
      <w:rFonts w:ascii="Calibri" w:eastAsiaTheme="majorEastAsia" w:hAnsi="Calibri" w:cstheme="majorBidi"/>
      <w:sz w:val="23"/>
      <w:u w:val="single"/>
      <w:lang w:val="en-AU"/>
    </w:rPr>
  </w:style>
  <w:style w:type="paragraph" w:styleId="Heading6">
    <w:name w:val="heading 6"/>
    <w:next w:val="Normal"/>
    <w:link w:val="Heading6Char"/>
    <w:uiPriority w:val="9"/>
    <w:unhideWhenUsed/>
    <w:qFormat/>
    <w:rsid w:val="00DD0AEA"/>
    <w:pPr>
      <w:keepNext/>
      <w:keepLines/>
      <w:spacing w:before="200" w:after="0" w:line="240" w:lineRule="auto"/>
      <w:outlineLvl w:val="5"/>
    </w:pPr>
    <w:rPr>
      <w:rFonts w:ascii="Calibri" w:eastAsiaTheme="majorEastAsia" w:hAnsi="Calibri" w:cstheme="majorBidi"/>
      <w:i/>
      <w:iCs/>
      <w:sz w:val="23"/>
      <w:lang w:val="en-AU"/>
    </w:rPr>
  </w:style>
  <w:style w:type="paragraph" w:styleId="Heading7">
    <w:name w:val="heading 7"/>
    <w:next w:val="Normal"/>
    <w:link w:val="Heading7Char"/>
    <w:uiPriority w:val="9"/>
    <w:semiHidden/>
    <w:unhideWhenUsed/>
    <w:rsid w:val="00DD0AEA"/>
    <w:pPr>
      <w:keepNext/>
      <w:keepLines/>
      <w:spacing w:before="200" w:after="0" w:line="240" w:lineRule="auto"/>
      <w:outlineLvl w:val="6"/>
    </w:pPr>
    <w:rPr>
      <w:rFonts w:asciiTheme="majorHAnsi" w:eastAsiaTheme="majorEastAsia" w:hAnsiTheme="majorHAnsi" w:cstheme="majorBidi"/>
      <w:i/>
      <w:iCs/>
      <w:color w:val="404040" w:themeColor="text1" w:themeTint="BF"/>
      <w:sz w:val="23"/>
      <w:lang w:val="en-AU" w:eastAsia="en-AU"/>
    </w:rPr>
  </w:style>
  <w:style w:type="paragraph" w:styleId="Heading8">
    <w:name w:val="heading 8"/>
    <w:basedOn w:val="Normal"/>
    <w:next w:val="Normal"/>
    <w:link w:val="Heading8Char"/>
    <w:uiPriority w:val="9"/>
    <w:semiHidden/>
    <w:unhideWhenUsed/>
    <w:qFormat/>
    <w:rsid w:val="00DD0AEA"/>
    <w:pPr>
      <w:keepNext/>
      <w:keepLines/>
      <w:spacing w:before="200" w:beforeAutospacing="1" w:after="0" w:afterAutospacing="1" w:line="240" w:lineRule="auto"/>
      <w:jc w:val="both"/>
      <w:outlineLvl w:val="7"/>
    </w:pPr>
    <w:rPr>
      <w:rFonts w:asciiTheme="majorHAnsi" w:eastAsiaTheme="majorEastAsia" w:hAnsiTheme="majorHAnsi" w:cstheme="majorBidi"/>
      <w:color w:val="404040" w:themeColor="text1" w:themeTint="BF"/>
      <w:sz w:val="20"/>
      <w:szCs w:val="20"/>
      <w:lang w:val="en-AU" w:eastAsia="en-AU"/>
    </w:rPr>
  </w:style>
  <w:style w:type="paragraph" w:styleId="Heading9">
    <w:name w:val="heading 9"/>
    <w:basedOn w:val="Normal"/>
    <w:next w:val="Normal"/>
    <w:link w:val="Heading9Char"/>
    <w:uiPriority w:val="9"/>
    <w:semiHidden/>
    <w:unhideWhenUsed/>
    <w:qFormat/>
    <w:rsid w:val="00DD0AEA"/>
    <w:pPr>
      <w:keepNext/>
      <w:keepLines/>
      <w:spacing w:before="200" w:beforeAutospacing="1" w:after="0" w:afterAutospacing="1" w:line="240" w:lineRule="auto"/>
      <w:jc w:val="both"/>
      <w:outlineLvl w:val="8"/>
    </w:pPr>
    <w:rPr>
      <w:rFonts w:asciiTheme="majorHAnsi" w:eastAsiaTheme="majorEastAsia" w:hAnsiTheme="majorHAnsi" w:cstheme="majorBidi"/>
      <w:i/>
      <w:iCs/>
      <w:color w:val="404040" w:themeColor="text1" w:themeTint="BF"/>
      <w:sz w:val="20"/>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0AEA"/>
    <w:rPr>
      <w:rFonts w:ascii="Calibri" w:eastAsiaTheme="majorEastAsia" w:hAnsi="Calibri" w:cstheme="majorBidi"/>
      <w:bCs/>
      <w:sz w:val="48"/>
      <w:szCs w:val="28"/>
      <w:lang w:val="en-AU"/>
    </w:rPr>
  </w:style>
  <w:style w:type="character" w:customStyle="1" w:styleId="Heading2Char">
    <w:name w:val="Heading 2 Char"/>
    <w:basedOn w:val="DefaultParagraphFont"/>
    <w:link w:val="Heading2"/>
    <w:rsid w:val="00DD0AEA"/>
    <w:rPr>
      <w:rFonts w:ascii="Calibri" w:eastAsia="Times New Roman" w:hAnsi="Calibri" w:cs="Times New Roman"/>
      <w:bCs/>
      <w:iCs/>
      <w:sz w:val="32"/>
      <w:szCs w:val="24"/>
      <w:lang w:val="en-AU"/>
    </w:rPr>
  </w:style>
  <w:style w:type="character" w:customStyle="1" w:styleId="Heading3Char">
    <w:name w:val="Heading 3 Char"/>
    <w:basedOn w:val="DefaultParagraphFont"/>
    <w:link w:val="Heading3"/>
    <w:rsid w:val="00DD0AEA"/>
    <w:rPr>
      <w:rFonts w:ascii="Calibri" w:eastAsia="Times New Roman" w:hAnsi="Calibri" w:cs="Times New Roman"/>
      <w:bCs/>
      <w:iCs/>
      <w:sz w:val="28"/>
      <w:szCs w:val="24"/>
      <w:lang w:val="en-AU"/>
    </w:rPr>
  </w:style>
  <w:style w:type="character" w:customStyle="1" w:styleId="Heading4Char">
    <w:name w:val="Heading 4 Char"/>
    <w:basedOn w:val="DefaultParagraphFont"/>
    <w:link w:val="Heading4"/>
    <w:uiPriority w:val="9"/>
    <w:rsid w:val="00DD0AEA"/>
    <w:rPr>
      <w:rFonts w:ascii="Calibri" w:eastAsiaTheme="majorEastAsia" w:hAnsi="Calibri" w:cstheme="majorBidi"/>
      <w:b/>
      <w:bCs/>
      <w:i/>
      <w:iCs/>
      <w:sz w:val="24"/>
      <w:lang w:val="en-AU"/>
    </w:rPr>
  </w:style>
  <w:style w:type="character" w:customStyle="1" w:styleId="Heading5Char">
    <w:name w:val="Heading 5 Char"/>
    <w:basedOn w:val="DefaultParagraphFont"/>
    <w:link w:val="Heading5"/>
    <w:uiPriority w:val="9"/>
    <w:rsid w:val="00DD0AEA"/>
    <w:rPr>
      <w:rFonts w:ascii="Calibri" w:eastAsiaTheme="majorEastAsia" w:hAnsi="Calibri" w:cstheme="majorBidi"/>
      <w:sz w:val="23"/>
      <w:u w:val="single"/>
      <w:lang w:val="en-AU"/>
    </w:rPr>
  </w:style>
  <w:style w:type="character" w:customStyle="1" w:styleId="Heading6Char">
    <w:name w:val="Heading 6 Char"/>
    <w:basedOn w:val="DefaultParagraphFont"/>
    <w:link w:val="Heading6"/>
    <w:uiPriority w:val="9"/>
    <w:rsid w:val="00DD0AEA"/>
    <w:rPr>
      <w:rFonts w:ascii="Calibri" w:eastAsiaTheme="majorEastAsia" w:hAnsi="Calibri" w:cstheme="majorBidi"/>
      <w:i/>
      <w:iCs/>
      <w:sz w:val="23"/>
      <w:lang w:val="en-AU"/>
    </w:rPr>
  </w:style>
  <w:style w:type="character" w:customStyle="1" w:styleId="Heading7Char">
    <w:name w:val="Heading 7 Char"/>
    <w:basedOn w:val="DefaultParagraphFont"/>
    <w:link w:val="Heading7"/>
    <w:uiPriority w:val="9"/>
    <w:semiHidden/>
    <w:rsid w:val="00DD0AEA"/>
    <w:rPr>
      <w:rFonts w:asciiTheme="majorHAnsi" w:eastAsiaTheme="majorEastAsia" w:hAnsiTheme="majorHAnsi" w:cstheme="majorBidi"/>
      <w:i/>
      <w:iCs/>
      <w:color w:val="404040" w:themeColor="text1" w:themeTint="BF"/>
      <w:sz w:val="23"/>
      <w:lang w:val="en-AU" w:eastAsia="en-AU"/>
    </w:rPr>
  </w:style>
  <w:style w:type="character" w:customStyle="1" w:styleId="Heading8Char">
    <w:name w:val="Heading 8 Char"/>
    <w:basedOn w:val="DefaultParagraphFont"/>
    <w:link w:val="Heading8"/>
    <w:uiPriority w:val="9"/>
    <w:semiHidden/>
    <w:rsid w:val="00DD0AEA"/>
    <w:rPr>
      <w:rFonts w:asciiTheme="majorHAnsi" w:eastAsiaTheme="majorEastAsia" w:hAnsiTheme="majorHAnsi" w:cstheme="majorBidi"/>
      <w:color w:val="404040" w:themeColor="text1" w:themeTint="BF"/>
      <w:sz w:val="20"/>
      <w:szCs w:val="20"/>
      <w:lang w:val="en-AU" w:eastAsia="en-AU"/>
    </w:rPr>
  </w:style>
  <w:style w:type="character" w:customStyle="1" w:styleId="Heading9Char">
    <w:name w:val="Heading 9 Char"/>
    <w:basedOn w:val="DefaultParagraphFont"/>
    <w:link w:val="Heading9"/>
    <w:uiPriority w:val="9"/>
    <w:semiHidden/>
    <w:rsid w:val="00DD0AEA"/>
    <w:rPr>
      <w:rFonts w:asciiTheme="majorHAnsi" w:eastAsiaTheme="majorEastAsia" w:hAnsiTheme="majorHAnsi" w:cstheme="majorBidi"/>
      <w:i/>
      <w:iCs/>
      <w:color w:val="404040" w:themeColor="text1" w:themeTint="BF"/>
      <w:sz w:val="20"/>
      <w:szCs w:val="20"/>
      <w:lang w:val="en-AU" w:eastAsia="en-AU"/>
    </w:rPr>
  </w:style>
  <w:style w:type="numbering" w:customStyle="1" w:styleId="NoList1">
    <w:name w:val="No List1"/>
    <w:next w:val="NoList"/>
    <w:uiPriority w:val="99"/>
    <w:semiHidden/>
    <w:unhideWhenUsed/>
    <w:rsid w:val="00DD0AEA"/>
  </w:style>
  <w:style w:type="paragraph" w:customStyle="1" w:styleId="Normal0">
    <w:name w:val="[Normal]"/>
    <w:uiPriority w:val="99"/>
    <w:rsid w:val="00DD0AEA"/>
    <w:pPr>
      <w:widowControl w:val="0"/>
      <w:autoSpaceDE w:val="0"/>
      <w:autoSpaceDN w:val="0"/>
      <w:adjustRightInd w:val="0"/>
      <w:spacing w:after="0" w:line="240" w:lineRule="auto"/>
    </w:pPr>
    <w:rPr>
      <w:rFonts w:ascii="Arial" w:hAnsi="Arial" w:cs="Arial"/>
      <w:sz w:val="24"/>
      <w:szCs w:val="24"/>
      <w:lang w:val="en-AU"/>
    </w:rPr>
  </w:style>
  <w:style w:type="character" w:customStyle="1" w:styleId="DHSText10ptChar">
    <w:name w:val="DHS Text 10pt Char"/>
    <w:uiPriority w:val="99"/>
    <w:rsid w:val="00DD0AEA"/>
    <w:rPr>
      <w:rFonts w:ascii="Verdana" w:hAnsi="Verdana"/>
      <w:lang w:val="en-AU" w:eastAsia="en-US"/>
    </w:rPr>
  </w:style>
  <w:style w:type="character" w:customStyle="1" w:styleId="notranslate">
    <w:name w:val="notranslate"/>
    <w:basedOn w:val="DefaultParagraphFont"/>
    <w:rsid w:val="00DD0AEA"/>
  </w:style>
  <w:style w:type="paragraph" w:customStyle="1" w:styleId="LineLast">
    <w:name w:val="Line Last"/>
    <w:basedOn w:val="Normal"/>
    <w:rsid w:val="00DD0AEA"/>
    <w:pPr>
      <w:tabs>
        <w:tab w:val="left" w:leader="underscore" w:pos="8640"/>
      </w:tabs>
      <w:spacing w:before="60" w:beforeAutospacing="1" w:after="360" w:afterAutospacing="1" w:line="240" w:lineRule="auto"/>
      <w:jc w:val="both"/>
    </w:pPr>
    <w:rPr>
      <w:rFonts w:ascii="Tahoma" w:eastAsia="Times New Roman" w:hAnsi="Tahoma" w:cs="Times New Roman"/>
      <w:sz w:val="20"/>
      <w:szCs w:val="24"/>
      <w:lang w:val="en-AU"/>
    </w:rPr>
  </w:style>
  <w:style w:type="paragraph" w:customStyle="1" w:styleId="Line">
    <w:name w:val="Line"/>
    <w:basedOn w:val="Normal"/>
    <w:rsid w:val="00DD0AEA"/>
    <w:pPr>
      <w:tabs>
        <w:tab w:val="left" w:leader="underscore" w:pos="8640"/>
      </w:tabs>
      <w:spacing w:before="60" w:beforeAutospacing="1" w:after="100" w:afterAutospacing="1" w:line="240" w:lineRule="auto"/>
      <w:jc w:val="both"/>
    </w:pPr>
    <w:rPr>
      <w:rFonts w:ascii="Tahoma" w:eastAsia="Times New Roman" w:hAnsi="Tahoma" w:cs="Times New Roman"/>
      <w:sz w:val="20"/>
      <w:szCs w:val="24"/>
      <w:lang w:val="en-AU"/>
    </w:rPr>
  </w:style>
  <w:style w:type="paragraph" w:customStyle="1" w:styleId="Thankyou">
    <w:name w:val="Thankyou"/>
    <w:basedOn w:val="Normal"/>
    <w:rsid w:val="00DD0AEA"/>
    <w:pPr>
      <w:keepNext/>
      <w:spacing w:before="100" w:beforeAutospacing="1" w:after="100" w:afterAutospacing="1" w:line="240" w:lineRule="auto"/>
      <w:jc w:val="center"/>
    </w:pPr>
    <w:rPr>
      <w:rFonts w:ascii="Tahoma" w:eastAsia="Times New Roman" w:hAnsi="Tahoma" w:cs="Times New Roman"/>
      <w:sz w:val="20"/>
      <w:szCs w:val="24"/>
      <w:lang w:val="en-AU"/>
    </w:rPr>
  </w:style>
  <w:style w:type="character" w:customStyle="1" w:styleId="maintitle">
    <w:name w:val="maintitle"/>
    <w:basedOn w:val="DefaultParagraphFont"/>
    <w:rsid w:val="00DD0AEA"/>
  </w:style>
  <w:style w:type="paragraph" w:customStyle="1" w:styleId="Tablecell">
    <w:name w:val="Table cell"/>
    <w:rsid w:val="00DD0AEA"/>
    <w:pPr>
      <w:keepLines/>
      <w:suppressAutoHyphens/>
      <w:spacing w:before="40" w:after="40" w:line="240" w:lineRule="auto"/>
    </w:pPr>
    <w:rPr>
      <w:rFonts w:ascii="Arial" w:eastAsia="Times New Roman" w:hAnsi="Arial" w:cs="Arial"/>
      <w:sz w:val="16"/>
      <w:szCs w:val="20"/>
      <w:lang w:val="en-AU"/>
    </w:rPr>
  </w:style>
  <w:style w:type="paragraph" w:styleId="Header">
    <w:name w:val="header"/>
    <w:link w:val="HeaderChar"/>
    <w:uiPriority w:val="99"/>
    <w:unhideWhenUsed/>
    <w:rsid w:val="00DD0AEA"/>
    <w:pPr>
      <w:tabs>
        <w:tab w:val="center" w:pos="4513"/>
        <w:tab w:val="right" w:pos="9026"/>
      </w:tabs>
      <w:spacing w:after="240" w:line="240" w:lineRule="auto"/>
    </w:pPr>
    <w:rPr>
      <w:rFonts w:ascii="Calibri" w:hAnsi="Calibri"/>
      <w:sz w:val="23"/>
      <w:lang w:val="en-AU"/>
    </w:rPr>
  </w:style>
  <w:style w:type="character" w:customStyle="1" w:styleId="HeaderChar">
    <w:name w:val="Header Char"/>
    <w:basedOn w:val="DefaultParagraphFont"/>
    <w:link w:val="Header"/>
    <w:uiPriority w:val="99"/>
    <w:rsid w:val="00DD0AEA"/>
    <w:rPr>
      <w:rFonts w:ascii="Calibri" w:hAnsi="Calibri"/>
      <w:sz w:val="23"/>
      <w:lang w:val="en-AU"/>
    </w:rPr>
  </w:style>
  <w:style w:type="paragraph" w:styleId="TOC1">
    <w:name w:val="toc 1"/>
    <w:basedOn w:val="Normal"/>
    <w:next w:val="Normal"/>
    <w:autoRedefine/>
    <w:uiPriority w:val="39"/>
    <w:unhideWhenUsed/>
    <w:qFormat/>
    <w:rsid w:val="00DD0AEA"/>
    <w:pPr>
      <w:tabs>
        <w:tab w:val="left" w:pos="440"/>
        <w:tab w:val="right" w:leader="dot" w:pos="9016"/>
      </w:tabs>
      <w:spacing w:before="120" w:after="120" w:line="240" w:lineRule="auto"/>
      <w:jc w:val="both"/>
    </w:pPr>
    <w:rPr>
      <w:rFonts w:ascii="Calibri" w:eastAsiaTheme="minorEastAsia" w:hAnsi="Calibri"/>
      <w:sz w:val="24"/>
      <w:lang w:val="en-AU" w:eastAsia="en-AU"/>
    </w:rPr>
  </w:style>
  <w:style w:type="paragraph" w:styleId="TOC2">
    <w:name w:val="toc 2"/>
    <w:basedOn w:val="Normal"/>
    <w:next w:val="Normal"/>
    <w:autoRedefine/>
    <w:uiPriority w:val="39"/>
    <w:unhideWhenUsed/>
    <w:qFormat/>
    <w:rsid w:val="00DD0AEA"/>
    <w:pPr>
      <w:tabs>
        <w:tab w:val="left" w:pos="880"/>
        <w:tab w:val="right" w:leader="dot" w:pos="9016"/>
      </w:tabs>
      <w:spacing w:before="120" w:after="120" w:line="240" w:lineRule="auto"/>
      <w:ind w:left="232"/>
      <w:jc w:val="both"/>
    </w:pPr>
    <w:rPr>
      <w:rFonts w:ascii="Calibri" w:eastAsiaTheme="minorEastAsia" w:hAnsi="Calibri"/>
      <w:noProof/>
      <w:sz w:val="24"/>
      <w:lang w:val="en-AU" w:eastAsia="en-AU"/>
    </w:rPr>
  </w:style>
  <w:style w:type="paragraph" w:styleId="TOC3">
    <w:name w:val="toc 3"/>
    <w:basedOn w:val="Normal"/>
    <w:next w:val="Normal"/>
    <w:autoRedefine/>
    <w:uiPriority w:val="39"/>
    <w:unhideWhenUsed/>
    <w:qFormat/>
    <w:rsid w:val="00DD0AEA"/>
    <w:pPr>
      <w:tabs>
        <w:tab w:val="left" w:pos="1320"/>
        <w:tab w:val="right" w:leader="dot" w:pos="9016"/>
      </w:tabs>
      <w:spacing w:before="120" w:after="120" w:line="240" w:lineRule="auto"/>
      <w:ind w:left="459"/>
      <w:jc w:val="both"/>
    </w:pPr>
    <w:rPr>
      <w:rFonts w:ascii="Calibri" w:eastAsiaTheme="minorEastAsia" w:hAnsi="Calibri"/>
      <w:noProof/>
      <w:sz w:val="24"/>
      <w:lang w:val="en-AU" w:eastAsia="en-AU"/>
    </w:rPr>
  </w:style>
  <w:style w:type="numbering" w:customStyle="1" w:styleId="Appendices">
    <w:name w:val="Appendices"/>
    <w:uiPriority w:val="99"/>
    <w:rsid w:val="00DD0AEA"/>
    <w:pPr>
      <w:numPr>
        <w:numId w:val="3"/>
      </w:numPr>
    </w:pPr>
  </w:style>
  <w:style w:type="paragraph" w:styleId="FootnoteText">
    <w:name w:val="footnote text"/>
    <w:link w:val="FootnoteTextChar"/>
    <w:uiPriority w:val="99"/>
    <w:unhideWhenUsed/>
    <w:rsid w:val="00DD0AEA"/>
    <w:pPr>
      <w:spacing w:after="120" w:line="240" w:lineRule="auto"/>
    </w:pPr>
    <w:rPr>
      <w:rFonts w:ascii="Calibri" w:hAnsi="Calibri"/>
      <w:sz w:val="18"/>
      <w:szCs w:val="20"/>
      <w:lang w:val="en-AU"/>
    </w:rPr>
  </w:style>
  <w:style w:type="character" w:customStyle="1" w:styleId="FootnoteTextChar">
    <w:name w:val="Footnote Text Char"/>
    <w:basedOn w:val="DefaultParagraphFont"/>
    <w:link w:val="FootnoteText"/>
    <w:uiPriority w:val="99"/>
    <w:rsid w:val="00DD0AEA"/>
    <w:rPr>
      <w:rFonts w:ascii="Calibri" w:hAnsi="Calibri"/>
      <w:sz w:val="18"/>
      <w:szCs w:val="20"/>
      <w:lang w:val="en-AU"/>
    </w:rPr>
  </w:style>
  <w:style w:type="paragraph" w:styleId="CommentText">
    <w:name w:val="annotation text"/>
    <w:basedOn w:val="Normal"/>
    <w:link w:val="CommentTextChar"/>
    <w:uiPriority w:val="99"/>
    <w:unhideWhenUsed/>
    <w:rsid w:val="00DD0AEA"/>
    <w:pPr>
      <w:spacing w:before="100" w:beforeAutospacing="1" w:after="100" w:afterAutospacing="1" w:line="240" w:lineRule="auto"/>
      <w:jc w:val="both"/>
    </w:pPr>
    <w:rPr>
      <w:rFonts w:ascii="Calibri" w:hAnsi="Calibri"/>
      <w:sz w:val="20"/>
      <w:szCs w:val="20"/>
      <w:lang w:val="en-AU"/>
    </w:rPr>
  </w:style>
  <w:style w:type="character" w:customStyle="1" w:styleId="CommentTextChar">
    <w:name w:val="Comment Text Char"/>
    <w:basedOn w:val="DefaultParagraphFont"/>
    <w:link w:val="CommentText"/>
    <w:uiPriority w:val="99"/>
    <w:rsid w:val="00DD0AEA"/>
    <w:rPr>
      <w:rFonts w:ascii="Calibri" w:hAnsi="Calibri"/>
      <w:sz w:val="20"/>
      <w:szCs w:val="20"/>
      <w:lang w:val="en-AU"/>
    </w:rPr>
  </w:style>
  <w:style w:type="paragraph" w:styleId="Footer">
    <w:name w:val="footer"/>
    <w:basedOn w:val="Normal"/>
    <w:link w:val="FooterChar"/>
    <w:uiPriority w:val="99"/>
    <w:unhideWhenUsed/>
    <w:rsid w:val="00DD0AEA"/>
    <w:pPr>
      <w:tabs>
        <w:tab w:val="center" w:pos="4513"/>
        <w:tab w:val="right" w:pos="9026"/>
      </w:tabs>
      <w:spacing w:before="100" w:beforeAutospacing="1" w:after="100" w:afterAutospacing="1" w:line="240" w:lineRule="auto"/>
      <w:ind w:left="8505"/>
      <w:jc w:val="both"/>
    </w:pPr>
    <w:rPr>
      <w:rFonts w:ascii="Calibri" w:hAnsi="Calibri"/>
      <w:sz w:val="24"/>
      <w:lang w:val="en-AU"/>
    </w:rPr>
  </w:style>
  <w:style w:type="character" w:customStyle="1" w:styleId="FooterChar">
    <w:name w:val="Footer Char"/>
    <w:basedOn w:val="DefaultParagraphFont"/>
    <w:link w:val="Footer"/>
    <w:uiPriority w:val="99"/>
    <w:rsid w:val="00DD0AEA"/>
    <w:rPr>
      <w:rFonts w:ascii="Calibri" w:hAnsi="Calibri"/>
      <w:sz w:val="24"/>
      <w:lang w:val="en-AU"/>
    </w:rPr>
  </w:style>
  <w:style w:type="paragraph" w:styleId="Caption">
    <w:name w:val="caption"/>
    <w:basedOn w:val="Normal"/>
    <w:next w:val="Normal"/>
    <w:uiPriority w:val="35"/>
    <w:unhideWhenUsed/>
    <w:rsid w:val="00DD0AEA"/>
    <w:pPr>
      <w:spacing w:before="100" w:beforeAutospacing="1" w:after="100" w:afterAutospacing="1" w:line="240" w:lineRule="auto"/>
      <w:jc w:val="both"/>
    </w:pPr>
    <w:rPr>
      <w:rFonts w:ascii="Calibri" w:hAnsi="Calibri"/>
      <w:b/>
      <w:bCs/>
      <w:color w:val="4F81BD" w:themeColor="accent1"/>
      <w:sz w:val="18"/>
      <w:szCs w:val="18"/>
      <w:lang w:val="en-AU"/>
    </w:rPr>
  </w:style>
  <w:style w:type="character" w:styleId="FootnoteReference">
    <w:name w:val="footnote reference"/>
    <w:basedOn w:val="DefaultParagraphFont"/>
    <w:uiPriority w:val="99"/>
    <w:unhideWhenUsed/>
    <w:rsid w:val="00DD0AEA"/>
    <w:rPr>
      <w:vertAlign w:val="superscript"/>
    </w:rPr>
  </w:style>
  <w:style w:type="character" w:styleId="CommentReference">
    <w:name w:val="annotation reference"/>
    <w:basedOn w:val="DefaultParagraphFont"/>
    <w:uiPriority w:val="99"/>
    <w:semiHidden/>
    <w:unhideWhenUsed/>
    <w:rsid w:val="00DD0AEA"/>
    <w:rPr>
      <w:sz w:val="16"/>
      <w:szCs w:val="16"/>
    </w:rPr>
  </w:style>
  <w:style w:type="character" w:styleId="EndnoteReference">
    <w:name w:val="endnote reference"/>
    <w:basedOn w:val="DefaultParagraphFont"/>
    <w:uiPriority w:val="99"/>
    <w:semiHidden/>
    <w:unhideWhenUsed/>
    <w:rsid w:val="00DD0AEA"/>
    <w:rPr>
      <w:vertAlign w:val="superscript"/>
    </w:rPr>
  </w:style>
  <w:style w:type="paragraph" w:styleId="EndnoteText">
    <w:name w:val="endnote text"/>
    <w:basedOn w:val="Normal"/>
    <w:link w:val="EndnoteTextChar"/>
    <w:uiPriority w:val="99"/>
    <w:semiHidden/>
    <w:unhideWhenUsed/>
    <w:rsid w:val="00DD0AEA"/>
    <w:pPr>
      <w:spacing w:before="100" w:beforeAutospacing="1" w:after="100" w:afterAutospacing="1" w:line="240" w:lineRule="auto"/>
      <w:jc w:val="both"/>
    </w:pPr>
    <w:rPr>
      <w:rFonts w:ascii="Calibri" w:hAnsi="Calibri"/>
      <w:sz w:val="20"/>
      <w:szCs w:val="20"/>
      <w:lang w:val="en-GB"/>
    </w:rPr>
  </w:style>
  <w:style w:type="character" w:customStyle="1" w:styleId="EndnoteTextChar">
    <w:name w:val="Endnote Text Char"/>
    <w:basedOn w:val="DefaultParagraphFont"/>
    <w:link w:val="EndnoteText"/>
    <w:uiPriority w:val="99"/>
    <w:semiHidden/>
    <w:rsid w:val="00DD0AEA"/>
    <w:rPr>
      <w:rFonts w:ascii="Calibri" w:hAnsi="Calibri"/>
      <w:sz w:val="20"/>
      <w:szCs w:val="20"/>
      <w:lang w:val="en-GB"/>
    </w:rPr>
  </w:style>
  <w:style w:type="paragraph" w:styleId="Title">
    <w:name w:val="Title"/>
    <w:aliases w:val="Submission"/>
    <w:next w:val="Normal"/>
    <w:link w:val="TitleChar"/>
    <w:uiPriority w:val="10"/>
    <w:qFormat/>
    <w:rsid w:val="00DD0AEA"/>
    <w:pPr>
      <w:spacing w:before="2040" w:after="120" w:line="240" w:lineRule="auto"/>
      <w:contextualSpacing/>
      <w:jc w:val="center"/>
    </w:pPr>
    <w:rPr>
      <w:rFonts w:ascii="Calibri" w:eastAsiaTheme="majorEastAsia" w:hAnsi="Calibri" w:cstheme="majorBidi"/>
      <w:b/>
      <w:spacing w:val="5"/>
      <w:kern w:val="28"/>
      <w:sz w:val="52"/>
      <w:szCs w:val="52"/>
      <w:lang w:val="en-AU"/>
    </w:rPr>
  </w:style>
  <w:style w:type="character" w:customStyle="1" w:styleId="TitleChar">
    <w:name w:val="Title Char"/>
    <w:aliases w:val="Submission Char"/>
    <w:basedOn w:val="DefaultParagraphFont"/>
    <w:link w:val="Title"/>
    <w:uiPriority w:val="10"/>
    <w:rsid w:val="00DD0AEA"/>
    <w:rPr>
      <w:rFonts w:ascii="Calibri" w:eastAsiaTheme="majorEastAsia" w:hAnsi="Calibri" w:cstheme="majorBidi"/>
      <w:b/>
      <w:spacing w:val="5"/>
      <w:kern w:val="28"/>
      <w:sz w:val="52"/>
      <w:szCs w:val="52"/>
      <w:lang w:val="en-AU"/>
    </w:rPr>
  </w:style>
  <w:style w:type="paragraph" w:styleId="BodyText">
    <w:name w:val="Body Text"/>
    <w:basedOn w:val="Normal"/>
    <w:link w:val="BodyTextChar"/>
    <w:rsid w:val="00DD0AEA"/>
    <w:pPr>
      <w:spacing w:before="100" w:beforeAutospacing="1" w:after="100" w:afterAutospacing="1" w:line="240" w:lineRule="auto"/>
      <w:jc w:val="both"/>
    </w:pPr>
    <w:rPr>
      <w:rFonts w:ascii="Times New Roman" w:eastAsia="Times New Roman" w:hAnsi="Times New Roman" w:cs="Times New Roman"/>
      <w:sz w:val="24"/>
      <w:szCs w:val="24"/>
      <w:lang w:val="en-AU"/>
    </w:rPr>
  </w:style>
  <w:style w:type="character" w:customStyle="1" w:styleId="BodyTextChar">
    <w:name w:val="Body Text Char"/>
    <w:basedOn w:val="DefaultParagraphFont"/>
    <w:link w:val="BodyText"/>
    <w:rsid w:val="00DD0AEA"/>
    <w:rPr>
      <w:rFonts w:ascii="Times New Roman" w:eastAsia="Times New Roman" w:hAnsi="Times New Roman" w:cs="Times New Roman"/>
      <w:sz w:val="24"/>
      <w:szCs w:val="24"/>
      <w:lang w:val="en-AU"/>
    </w:rPr>
  </w:style>
  <w:style w:type="character" w:styleId="Hyperlink">
    <w:name w:val="Hyperlink"/>
    <w:basedOn w:val="DefaultParagraphFont"/>
    <w:uiPriority w:val="99"/>
    <w:unhideWhenUsed/>
    <w:rsid w:val="00DD0AEA"/>
    <w:rPr>
      <w:color w:val="0000FF" w:themeColor="hyperlink"/>
      <w:u w:val="single"/>
    </w:rPr>
  </w:style>
  <w:style w:type="character" w:styleId="Strong">
    <w:name w:val="Strong"/>
    <w:basedOn w:val="DefaultParagraphFont"/>
    <w:uiPriority w:val="22"/>
    <w:rsid w:val="00DD0AEA"/>
    <w:rPr>
      <w:b/>
      <w:bCs/>
    </w:rPr>
  </w:style>
  <w:style w:type="paragraph" w:styleId="NormalWeb">
    <w:name w:val="Normal (Web)"/>
    <w:basedOn w:val="Normal"/>
    <w:uiPriority w:val="99"/>
    <w:semiHidden/>
    <w:unhideWhenUsed/>
    <w:rsid w:val="00DD0AEA"/>
    <w:pPr>
      <w:spacing w:before="140" w:beforeAutospacing="1" w:after="140" w:afterAutospacing="1" w:line="240" w:lineRule="auto"/>
      <w:jc w:val="both"/>
    </w:pPr>
    <w:rPr>
      <w:rFonts w:ascii="Trebuchet MS" w:eastAsia="Times New Roman" w:hAnsi="Trebuchet MS" w:cs="Times New Roman"/>
      <w:sz w:val="24"/>
      <w:szCs w:val="24"/>
      <w:lang w:val="en-AU" w:eastAsia="en-AU"/>
    </w:rPr>
  </w:style>
  <w:style w:type="paragraph" w:styleId="CommentSubject">
    <w:name w:val="annotation subject"/>
    <w:basedOn w:val="CommentText"/>
    <w:next w:val="CommentText"/>
    <w:link w:val="CommentSubjectChar"/>
    <w:uiPriority w:val="99"/>
    <w:semiHidden/>
    <w:unhideWhenUsed/>
    <w:rsid w:val="00DD0AEA"/>
    <w:rPr>
      <w:b/>
      <w:bCs/>
    </w:rPr>
  </w:style>
  <w:style w:type="character" w:customStyle="1" w:styleId="CommentSubjectChar">
    <w:name w:val="Comment Subject Char"/>
    <w:basedOn w:val="CommentTextChar"/>
    <w:link w:val="CommentSubject"/>
    <w:uiPriority w:val="99"/>
    <w:semiHidden/>
    <w:rsid w:val="00DD0AEA"/>
    <w:rPr>
      <w:rFonts w:ascii="Calibri" w:hAnsi="Calibri"/>
      <w:b/>
      <w:bCs/>
      <w:sz w:val="20"/>
      <w:szCs w:val="20"/>
      <w:lang w:val="en-AU"/>
    </w:rPr>
  </w:style>
  <w:style w:type="paragraph" w:styleId="BalloonText">
    <w:name w:val="Balloon Text"/>
    <w:basedOn w:val="Normal"/>
    <w:link w:val="BalloonTextChar"/>
    <w:uiPriority w:val="99"/>
    <w:semiHidden/>
    <w:unhideWhenUsed/>
    <w:rsid w:val="00DD0AEA"/>
    <w:pPr>
      <w:spacing w:before="100" w:beforeAutospacing="1" w:after="100" w:afterAutospacing="1" w:line="240" w:lineRule="auto"/>
      <w:jc w:val="both"/>
    </w:pPr>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DD0AEA"/>
    <w:rPr>
      <w:rFonts w:ascii="Tahoma" w:hAnsi="Tahoma" w:cs="Tahoma"/>
      <w:sz w:val="16"/>
      <w:szCs w:val="16"/>
      <w:lang w:val="en-GB"/>
    </w:rPr>
  </w:style>
  <w:style w:type="table" w:styleId="TableGrid">
    <w:name w:val="Table Grid"/>
    <w:basedOn w:val="TableNormal"/>
    <w:uiPriority w:val="59"/>
    <w:rsid w:val="00DD0AEA"/>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0AEA"/>
    <w:pPr>
      <w:spacing w:before="100" w:beforeAutospacing="1" w:after="100" w:afterAutospacing="1" w:line="240" w:lineRule="auto"/>
      <w:ind w:left="720"/>
      <w:contextualSpacing/>
      <w:jc w:val="both"/>
    </w:pPr>
    <w:rPr>
      <w:rFonts w:ascii="Calibri" w:hAnsi="Calibri"/>
      <w:sz w:val="24"/>
      <w:lang w:val="en-AU"/>
    </w:rPr>
  </w:style>
  <w:style w:type="paragraph" w:styleId="TOCHeading">
    <w:name w:val="TOC Heading"/>
    <w:basedOn w:val="Heading1"/>
    <w:next w:val="Normal"/>
    <w:uiPriority w:val="39"/>
    <w:unhideWhenUsed/>
    <w:qFormat/>
    <w:rsid w:val="00DD0AEA"/>
    <w:pPr>
      <w:numPr>
        <w:numId w:val="0"/>
      </w:numPr>
      <w:spacing w:line="276" w:lineRule="auto"/>
      <w:outlineLvl w:val="9"/>
    </w:pPr>
  </w:style>
  <w:style w:type="character" w:styleId="FollowedHyperlink">
    <w:name w:val="FollowedHyperlink"/>
    <w:basedOn w:val="DefaultParagraphFont"/>
    <w:uiPriority w:val="99"/>
    <w:semiHidden/>
    <w:unhideWhenUsed/>
    <w:rsid w:val="00DD0AEA"/>
    <w:rPr>
      <w:color w:val="800080" w:themeColor="followedHyperlink"/>
      <w:u w:val="single"/>
    </w:rPr>
  </w:style>
  <w:style w:type="paragraph" w:styleId="NoSpacing">
    <w:name w:val="No Spacing"/>
    <w:uiPriority w:val="1"/>
    <w:rsid w:val="00DD0AEA"/>
    <w:pPr>
      <w:spacing w:after="0" w:line="240" w:lineRule="auto"/>
    </w:pPr>
    <w:rPr>
      <w:rFonts w:ascii="Calibri" w:eastAsiaTheme="minorEastAsia" w:hAnsi="Calibri"/>
      <w:sz w:val="23"/>
      <w:lang w:val="en-AU" w:eastAsia="en-AU"/>
    </w:rPr>
  </w:style>
  <w:style w:type="paragraph" w:customStyle="1" w:styleId="About">
    <w:name w:val="About"/>
    <w:basedOn w:val="Normal"/>
    <w:link w:val="AboutChar"/>
    <w:qFormat/>
    <w:rsid w:val="00DD0AEA"/>
    <w:pPr>
      <w:spacing w:before="100" w:beforeAutospacing="1" w:after="100" w:afterAutospacing="1" w:line="240" w:lineRule="auto"/>
      <w:jc w:val="both"/>
    </w:pPr>
    <w:rPr>
      <w:rFonts w:ascii="Calibri" w:eastAsiaTheme="minorEastAsia" w:hAnsi="Calibri"/>
      <w:b/>
      <w:sz w:val="24"/>
      <w:lang w:val="en-AU" w:eastAsia="en-AU"/>
    </w:rPr>
  </w:style>
  <w:style w:type="table" w:customStyle="1" w:styleId="ACCANtable">
    <w:name w:val="ACCAN table"/>
    <w:basedOn w:val="TableNormal"/>
    <w:uiPriority w:val="99"/>
    <w:rsid w:val="00DD0AEA"/>
    <w:pPr>
      <w:spacing w:after="0" w:line="240" w:lineRule="auto"/>
    </w:pPr>
    <w:rPr>
      <w:lang w:val="en-AU"/>
    </w:rPr>
    <w:tblPr>
      <w:jc w:val="center"/>
      <w:tblBorders>
        <w:top w:val="single" w:sz="4" w:space="0" w:color="44C8F5"/>
        <w:bottom w:val="single" w:sz="4" w:space="0" w:color="44C8F5"/>
        <w:insideH w:val="single" w:sz="4" w:space="0" w:color="44C8F5"/>
      </w:tblBorders>
      <w:tblCellMar>
        <w:top w:w="108" w:type="dxa"/>
        <w:bottom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DD0AEA"/>
    <w:rPr>
      <w:rFonts w:ascii="Calibri" w:eastAsiaTheme="minorEastAsia" w:hAnsi="Calibri"/>
      <w:b/>
      <w:sz w:val="24"/>
      <w:lang w:val="en-AU" w:eastAsia="en-AU"/>
    </w:rPr>
  </w:style>
  <w:style w:type="paragraph" w:styleId="Subtitle">
    <w:name w:val="Subtitle"/>
    <w:next w:val="Normal"/>
    <w:link w:val="SubtitleChar"/>
    <w:uiPriority w:val="11"/>
    <w:rsid w:val="00DD0AEA"/>
    <w:pPr>
      <w:spacing w:before="360" w:after="360" w:line="240" w:lineRule="auto"/>
      <w:jc w:val="center"/>
    </w:pPr>
    <w:rPr>
      <w:rFonts w:ascii="Calibri" w:eastAsiaTheme="minorEastAsia" w:hAnsi="Calibri"/>
      <w:sz w:val="32"/>
      <w:szCs w:val="32"/>
      <w:lang w:val="en-AU"/>
    </w:rPr>
  </w:style>
  <w:style w:type="character" w:customStyle="1" w:styleId="SubtitleChar">
    <w:name w:val="Subtitle Char"/>
    <w:basedOn w:val="DefaultParagraphFont"/>
    <w:link w:val="Subtitle"/>
    <w:uiPriority w:val="11"/>
    <w:rsid w:val="00DD0AEA"/>
    <w:rPr>
      <w:rFonts w:ascii="Calibri" w:eastAsiaTheme="minorEastAsia" w:hAnsi="Calibri"/>
      <w:sz w:val="32"/>
      <w:szCs w:val="32"/>
      <w:lang w:val="en-AU"/>
    </w:rPr>
  </w:style>
  <w:style w:type="paragraph" w:customStyle="1" w:styleId="Recommendation">
    <w:name w:val="Recommendation"/>
    <w:basedOn w:val="Normal"/>
    <w:link w:val="RecommendationChar"/>
    <w:qFormat/>
    <w:rsid w:val="00DD0AEA"/>
    <w:pPr>
      <w:numPr>
        <w:numId w:val="7"/>
      </w:numPr>
      <w:pBdr>
        <w:top w:val="single" w:sz="8" w:space="6" w:color="44C8F5"/>
        <w:left w:val="single" w:sz="8" w:space="5" w:color="44C8F5"/>
        <w:bottom w:val="single" w:sz="8" w:space="6" w:color="44C8F5"/>
        <w:right w:val="single" w:sz="8" w:space="5" w:color="44C8F5"/>
      </w:pBdr>
      <w:spacing w:before="100" w:beforeAutospacing="1" w:after="100" w:afterAutospacing="1" w:line="240" w:lineRule="auto"/>
      <w:ind w:right="851"/>
      <w:jc w:val="both"/>
    </w:pPr>
    <w:rPr>
      <w:rFonts w:ascii="Calibri" w:eastAsiaTheme="minorEastAsia" w:hAnsi="Calibri"/>
      <w:sz w:val="24"/>
      <w:lang w:val="en-AU"/>
    </w:rPr>
  </w:style>
  <w:style w:type="table" w:styleId="LightShading-Accent1">
    <w:name w:val="Light Shading Accent 1"/>
    <w:basedOn w:val="TableNormal"/>
    <w:uiPriority w:val="60"/>
    <w:rsid w:val="00DD0AEA"/>
    <w:pPr>
      <w:spacing w:after="0" w:line="240" w:lineRule="auto"/>
    </w:pPr>
    <w:rPr>
      <w:color w:val="365F91" w:themeColor="accent1" w:themeShade="BF"/>
      <w:lang w:val="en-AU"/>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DD0AEA"/>
    <w:rPr>
      <w:rFonts w:ascii="Calibri" w:eastAsiaTheme="minorEastAsia" w:hAnsi="Calibri"/>
      <w:sz w:val="24"/>
      <w:lang w:val="en-AU"/>
    </w:rPr>
  </w:style>
  <w:style w:type="paragraph" w:customStyle="1" w:styleId="Blockquote">
    <w:name w:val="Blockquote"/>
    <w:basedOn w:val="Normal"/>
    <w:link w:val="BlockquoteChar"/>
    <w:qFormat/>
    <w:rsid w:val="00DD0AEA"/>
    <w:pPr>
      <w:spacing w:before="100" w:beforeAutospacing="1" w:after="100" w:afterAutospacing="1" w:line="240" w:lineRule="auto"/>
      <w:ind w:left="851" w:right="851"/>
      <w:jc w:val="both"/>
    </w:pPr>
    <w:rPr>
      <w:rFonts w:ascii="Calibri" w:eastAsiaTheme="minorEastAsia" w:hAnsi="Calibri"/>
      <w:sz w:val="24"/>
      <w:lang w:val="en-AU"/>
    </w:rPr>
  </w:style>
  <w:style w:type="character" w:customStyle="1" w:styleId="BlockquoteChar">
    <w:name w:val="Blockquote Char"/>
    <w:basedOn w:val="DefaultParagraphFont"/>
    <w:link w:val="Blockquote"/>
    <w:rsid w:val="00DD0AEA"/>
    <w:rPr>
      <w:rFonts w:ascii="Calibri" w:eastAsiaTheme="minorEastAsia" w:hAnsi="Calibri"/>
      <w:sz w:val="24"/>
      <w:lang w:val="en-AU"/>
    </w:rPr>
  </w:style>
  <w:style w:type="numbering" w:customStyle="1" w:styleId="Headings">
    <w:name w:val="Headings"/>
    <w:uiPriority w:val="99"/>
    <w:rsid w:val="00DD0AEA"/>
    <w:pPr>
      <w:numPr>
        <w:numId w:val="1"/>
      </w:numPr>
    </w:pPr>
  </w:style>
  <w:style w:type="numbering" w:customStyle="1" w:styleId="Bullets">
    <w:name w:val="Bullets"/>
    <w:uiPriority w:val="99"/>
    <w:rsid w:val="00DD0AEA"/>
    <w:pPr>
      <w:numPr>
        <w:numId w:val="2"/>
      </w:numPr>
    </w:pPr>
  </w:style>
  <w:style w:type="paragraph" w:customStyle="1" w:styleId="Bulletlist1">
    <w:name w:val="Bullet list 1"/>
    <w:basedOn w:val="Normal"/>
    <w:link w:val="Bulletlist1Char"/>
    <w:qFormat/>
    <w:rsid w:val="00DD0AEA"/>
    <w:pPr>
      <w:numPr>
        <w:numId w:val="2"/>
      </w:numPr>
      <w:spacing w:before="100" w:beforeAutospacing="1" w:after="100" w:afterAutospacing="1" w:line="240" w:lineRule="auto"/>
      <w:jc w:val="both"/>
    </w:pPr>
    <w:rPr>
      <w:rFonts w:ascii="Calibri" w:eastAsiaTheme="minorEastAsia" w:hAnsi="Calibri"/>
      <w:sz w:val="24"/>
      <w:lang w:val="en-AU" w:eastAsia="en-AU"/>
    </w:rPr>
  </w:style>
  <w:style w:type="paragraph" w:customStyle="1" w:styleId="Bulletlist2">
    <w:name w:val="Bullet list 2"/>
    <w:basedOn w:val="Bulletlist1"/>
    <w:link w:val="Bulletlist2Char"/>
    <w:qFormat/>
    <w:rsid w:val="00DD0AEA"/>
    <w:pPr>
      <w:numPr>
        <w:ilvl w:val="1"/>
      </w:numPr>
    </w:pPr>
  </w:style>
  <w:style w:type="character" w:customStyle="1" w:styleId="Bulletlist1Char">
    <w:name w:val="Bullet list 1 Char"/>
    <w:basedOn w:val="DefaultParagraphFont"/>
    <w:link w:val="Bulletlist1"/>
    <w:rsid w:val="00DD0AEA"/>
    <w:rPr>
      <w:rFonts w:ascii="Calibri" w:eastAsiaTheme="minorEastAsia" w:hAnsi="Calibri"/>
      <w:sz w:val="24"/>
      <w:lang w:val="en-AU" w:eastAsia="en-AU"/>
    </w:rPr>
  </w:style>
  <w:style w:type="paragraph" w:customStyle="1" w:styleId="Bulletlist3">
    <w:name w:val="Bullet list 3"/>
    <w:basedOn w:val="Bulletlist2"/>
    <w:link w:val="Bulletlist3Char"/>
    <w:qFormat/>
    <w:rsid w:val="00DD0AEA"/>
    <w:pPr>
      <w:numPr>
        <w:ilvl w:val="2"/>
      </w:numPr>
    </w:pPr>
  </w:style>
  <w:style w:type="character" w:customStyle="1" w:styleId="Bulletlist2Char">
    <w:name w:val="Bullet list 2 Char"/>
    <w:basedOn w:val="Bulletlist1Char"/>
    <w:link w:val="Bulletlist2"/>
    <w:rsid w:val="00DD0AEA"/>
    <w:rPr>
      <w:rFonts w:ascii="Calibri" w:eastAsiaTheme="minorEastAsia" w:hAnsi="Calibri"/>
      <w:sz w:val="24"/>
      <w:lang w:val="en-AU" w:eastAsia="en-AU"/>
    </w:rPr>
  </w:style>
  <w:style w:type="character" w:customStyle="1" w:styleId="Bulletlist3Char">
    <w:name w:val="Bullet list 3 Char"/>
    <w:basedOn w:val="Bulletlist2Char"/>
    <w:link w:val="Bulletlist3"/>
    <w:rsid w:val="00DD0AEA"/>
    <w:rPr>
      <w:rFonts w:ascii="Calibri" w:eastAsiaTheme="minorEastAsia" w:hAnsi="Calibri"/>
      <w:sz w:val="24"/>
      <w:lang w:val="en-AU" w:eastAsia="en-AU"/>
    </w:rPr>
  </w:style>
  <w:style w:type="paragraph" w:customStyle="1" w:styleId="Footerpage1">
    <w:name w:val="Footer page 1"/>
    <w:rsid w:val="00DD0AEA"/>
    <w:pPr>
      <w:spacing w:line="240" w:lineRule="auto"/>
      <w:ind w:left="-754"/>
      <w:contextualSpacing/>
    </w:pPr>
    <w:rPr>
      <w:sz w:val="20"/>
      <w:szCs w:val="20"/>
      <w:lang w:val="en-AU"/>
    </w:rPr>
  </w:style>
  <w:style w:type="paragraph" w:customStyle="1" w:styleId="Celltext">
    <w:name w:val="Cell text"/>
    <w:basedOn w:val="Normal"/>
    <w:qFormat/>
    <w:rsid w:val="00DD0AEA"/>
    <w:pPr>
      <w:spacing w:before="100" w:beforeAutospacing="1" w:after="100" w:afterAutospacing="1" w:line="240" w:lineRule="auto"/>
      <w:contextualSpacing/>
      <w:jc w:val="both"/>
    </w:pPr>
    <w:rPr>
      <w:rFonts w:ascii="Calibri" w:eastAsiaTheme="minorEastAsia" w:hAnsi="Calibri"/>
      <w:sz w:val="20"/>
      <w:lang w:val="en-AU" w:eastAsia="en-AU"/>
    </w:rPr>
  </w:style>
  <w:style w:type="paragraph" w:customStyle="1" w:styleId="Appendixheading1">
    <w:name w:val="Appendix heading 1"/>
    <w:basedOn w:val="Heading1"/>
    <w:next w:val="Normal"/>
    <w:link w:val="Appendixheading1Char"/>
    <w:qFormat/>
    <w:rsid w:val="00DD0AEA"/>
    <w:pPr>
      <w:numPr>
        <w:numId w:val="4"/>
      </w:numPr>
    </w:pPr>
  </w:style>
  <w:style w:type="character" w:customStyle="1" w:styleId="Appendixheading1Char">
    <w:name w:val="Appendix heading 1 Char"/>
    <w:basedOn w:val="Heading1Char"/>
    <w:link w:val="Appendixheading1"/>
    <w:rsid w:val="00DD0AEA"/>
    <w:rPr>
      <w:rFonts w:ascii="Calibri" w:eastAsiaTheme="majorEastAsia" w:hAnsi="Calibri" w:cstheme="majorBidi"/>
      <w:bCs/>
      <w:sz w:val="48"/>
      <w:szCs w:val="28"/>
      <w:lang w:val="en-AU"/>
    </w:rPr>
  </w:style>
  <w:style w:type="paragraph" w:customStyle="1" w:styleId="Appendixheading2">
    <w:name w:val="Appendix heading 2"/>
    <w:basedOn w:val="Heading2"/>
    <w:next w:val="Normal"/>
    <w:link w:val="Appendixheading2Char"/>
    <w:qFormat/>
    <w:rsid w:val="00DD0AEA"/>
    <w:pPr>
      <w:numPr>
        <w:numId w:val="4"/>
      </w:numPr>
    </w:pPr>
    <w:rPr>
      <w:b/>
    </w:rPr>
  </w:style>
  <w:style w:type="character" w:customStyle="1" w:styleId="Appendixheading2Char">
    <w:name w:val="Appendix heading 2 Char"/>
    <w:basedOn w:val="Heading2Char"/>
    <w:link w:val="Appendixheading2"/>
    <w:rsid w:val="00DD0AEA"/>
    <w:rPr>
      <w:rFonts w:ascii="Calibri" w:eastAsia="Times New Roman" w:hAnsi="Calibri" w:cs="Times New Roman"/>
      <w:b/>
      <w:bCs/>
      <w:iCs/>
      <w:sz w:val="32"/>
      <w:szCs w:val="24"/>
      <w:lang w:val="en-AU"/>
    </w:rPr>
  </w:style>
  <w:style w:type="paragraph" w:customStyle="1" w:styleId="Appendixheading3">
    <w:name w:val="Appendix heading 3"/>
    <w:basedOn w:val="Heading3"/>
    <w:next w:val="Normal"/>
    <w:link w:val="Appendixheading3Char"/>
    <w:qFormat/>
    <w:rsid w:val="00DD0AEA"/>
    <w:pPr>
      <w:numPr>
        <w:ilvl w:val="0"/>
        <w:numId w:val="0"/>
      </w:numPr>
    </w:pPr>
    <w:rPr>
      <w:b/>
      <w:sz w:val="24"/>
    </w:rPr>
  </w:style>
  <w:style w:type="character" w:customStyle="1" w:styleId="Appendixheading3Char">
    <w:name w:val="Appendix heading 3 Char"/>
    <w:basedOn w:val="Heading3Char"/>
    <w:link w:val="Appendixheading3"/>
    <w:rsid w:val="00DD0AEA"/>
    <w:rPr>
      <w:rFonts w:ascii="Calibri" w:eastAsia="Times New Roman" w:hAnsi="Calibri" w:cs="Times New Roman"/>
      <w:b/>
      <w:bCs/>
      <w:iCs/>
      <w:sz w:val="24"/>
      <w:szCs w:val="24"/>
      <w:lang w:val="en-AU"/>
    </w:rPr>
  </w:style>
  <w:style w:type="paragraph" w:customStyle="1" w:styleId="Blockquote2">
    <w:name w:val="Blockquote 2"/>
    <w:basedOn w:val="Blockquote"/>
    <w:link w:val="Blockquote2Char"/>
    <w:qFormat/>
    <w:rsid w:val="00DD0AEA"/>
    <w:pPr>
      <w:ind w:left="1418"/>
      <w:contextualSpacing/>
    </w:pPr>
  </w:style>
  <w:style w:type="character" w:customStyle="1" w:styleId="Blockquote2Char">
    <w:name w:val="Blockquote 2 Char"/>
    <w:basedOn w:val="BlockquoteChar"/>
    <w:link w:val="Blockquote2"/>
    <w:rsid w:val="00DD0AEA"/>
    <w:rPr>
      <w:rFonts w:ascii="Calibri" w:eastAsiaTheme="minorEastAsia" w:hAnsi="Calibri"/>
      <w:sz w:val="24"/>
      <w:lang w:val="en-AU"/>
    </w:rPr>
  </w:style>
  <w:style w:type="paragraph" w:customStyle="1" w:styleId="Blockquote3">
    <w:name w:val="Blockquote 3"/>
    <w:basedOn w:val="Blockquote"/>
    <w:link w:val="Blockquote3Char"/>
    <w:qFormat/>
    <w:rsid w:val="00DD0AEA"/>
    <w:pPr>
      <w:ind w:left="1985"/>
      <w:contextualSpacing/>
    </w:pPr>
  </w:style>
  <w:style w:type="character" w:customStyle="1" w:styleId="Blockquote3Char">
    <w:name w:val="Blockquote 3 Char"/>
    <w:basedOn w:val="BlockquoteChar"/>
    <w:link w:val="Blockquote3"/>
    <w:rsid w:val="00DD0AEA"/>
    <w:rPr>
      <w:rFonts w:ascii="Calibri" w:eastAsiaTheme="minorEastAsia" w:hAnsi="Calibri"/>
      <w:sz w:val="24"/>
      <w:lang w:val="en-AU"/>
    </w:rPr>
  </w:style>
  <w:style w:type="paragraph" w:customStyle="1" w:styleId="Blockquotebulletlist1">
    <w:name w:val="Blockquote bullet list 1"/>
    <w:basedOn w:val="Blockquote"/>
    <w:link w:val="Blockquotebulletlist1Char"/>
    <w:qFormat/>
    <w:rsid w:val="00DD0AEA"/>
    <w:pPr>
      <w:numPr>
        <w:numId w:val="5"/>
      </w:numPr>
    </w:pPr>
  </w:style>
  <w:style w:type="character" w:customStyle="1" w:styleId="Blockquotebulletlist1Char">
    <w:name w:val="Blockquote bullet list 1 Char"/>
    <w:basedOn w:val="BlockquoteChar"/>
    <w:link w:val="Blockquotebulletlist1"/>
    <w:rsid w:val="00DD0AEA"/>
    <w:rPr>
      <w:rFonts w:ascii="Calibri" w:eastAsiaTheme="minorEastAsia" w:hAnsi="Calibri"/>
      <w:sz w:val="24"/>
      <w:lang w:val="en-AU"/>
    </w:rPr>
  </w:style>
  <w:style w:type="numbering" w:customStyle="1" w:styleId="Blockquotebullets">
    <w:name w:val="Blockquote bullets"/>
    <w:uiPriority w:val="99"/>
    <w:rsid w:val="00DD0AEA"/>
    <w:pPr>
      <w:numPr>
        <w:numId w:val="5"/>
      </w:numPr>
    </w:pPr>
  </w:style>
  <w:style w:type="paragraph" w:customStyle="1" w:styleId="Casestudyheading">
    <w:name w:val="Case study heading"/>
    <w:basedOn w:val="Normal"/>
    <w:next w:val="Normal"/>
    <w:link w:val="CasestudyheadingChar"/>
    <w:qFormat/>
    <w:rsid w:val="00DD0AEA"/>
    <w:pPr>
      <w:keepNext/>
      <w:spacing w:before="100" w:beforeAutospacing="1" w:after="100" w:afterAutospacing="1" w:line="240" w:lineRule="auto"/>
      <w:ind w:left="851" w:right="851"/>
      <w:jc w:val="both"/>
    </w:pPr>
    <w:rPr>
      <w:rFonts w:ascii="Calibri" w:eastAsiaTheme="minorEastAsia" w:hAnsi="Calibri"/>
      <w:b/>
      <w:sz w:val="24"/>
      <w:lang w:val="en-AU"/>
    </w:rPr>
  </w:style>
  <w:style w:type="character" w:customStyle="1" w:styleId="CasestudyheadingChar">
    <w:name w:val="Case study heading Char"/>
    <w:basedOn w:val="DefaultParagraphFont"/>
    <w:link w:val="Casestudyheading"/>
    <w:rsid w:val="00DD0AEA"/>
    <w:rPr>
      <w:rFonts w:ascii="Calibri" w:eastAsiaTheme="minorEastAsia" w:hAnsi="Calibri"/>
      <w:b/>
      <w:sz w:val="24"/>
      <w:lang w:val="en-AU"/>
    </w:rPr>
  </w:style>
  <w:style w:type="paragraph" w:customStyle="1" w:styleId="Casestudy">
    <w:name w:val="Case study"/>
    <w:basedOn w:val="Casestudyheading"/>
    <w:link w:val="CasestudyChar"/>
    <w:qFormat/>
    <w:rsid w:val="00DD0AEA"/>
    <w:pPr>
      <w:keepNext w:val="0"/>
    </w:pPr>
    <w:rPr>
      <w:b w:val="0"/>
    </w:rPr>
  </w:style>
  <w:style w:type="character" w:customStyle="1" w:styleId="CasestudyChar">
    <w:name w:val="Case study Char"/>
    <w:basedOn w:val="CasestudyheadingChar"/>
    <w:link w:val="Casestudy"/>
    <w:rsid w:val="00DD0AEA"/>
    <w:rPr>
      <w:rFonts w:ascii="Calibri" w:eastAsiaTheme="minorEastAsia" w:hAnsi="Calibri"/>
      <w:b w:val="0"/>
      <w:sz w:val="24"/>
      <w:lang w:val="en-AU"/>
    </w:rPr>
  </w:style>
  <w:style w:type="paragraph" w:customStyle="1" w:styleId="Casestudyquote">
    <w:name w:val="Case study quote"/>
    <w:basedOn w:val="Casestudy"/>
    <w:link w:val="CasestudyquoteChar"/>
    <w:qFormat/>
    <w:rsid w:val="00DD0AEA"/>
    <w:pPr>
      <w:ind w:left="1418" w:right="1418"/>
    </w:pPr>
  </w:style>
  <w:style w:type="character" w:customStyle="1" w:styleId="CasestudyquoteChar">
    <w:name w:val="Case study quote Char"/>
    <w:basedOn w:val="CasestudyChar"/>
    <w:link w:val="Casestudyquote"/>
    <w:rsid w:val="00DD0AEA"/>
    <w:rPr>
      <w:rFonts w:ascii="Calibri" w:eastAsiaTheme="minorEastAsia" w:hAnsi="Calibri"/>
      <w:b w:val="0"/>
      <w:sz w:val="24"/>
      <w:lang w:val="en-AU"/>
    </w:rPr>
  </w:style>
  <w:style w:type="numbering" w:customStyle="1" w:styleId="Recommendations">
    <w:name w:val="Recommendations"/>
    <w:uiPriority w:val="99"/>
    <w:rsid w:val="00DD0AEA"/>
    <w:pPr>
      <w:numPr>
        <w:numId w:val="6"/>
      </w:numPr>
    </w:pPr>
  </w:style>
  <w:style w:type="character" w:customStyle="1" w:styleId="FootnoteReference1">
    <w:name w:val="Footnote Reference1"/>
    <w:basedOn w:val="DefaultParagraphFont"/>
    <w:rsid w:val="00DD0AEA"/>
    <w:rPr>
      <w:vertAlign w:val="superscript"/>
    </w:rPr>
  </w:style>
  <w:style w:type="character" w:customStyle="1" w:styleId="FootnoteCharacters">
    <w:name w:val="Footnote Characters"/>
    <w:rsid w:val="00DD0AEA"/>
  </w:style>
  <w:style w:type="paragraph" w:customStyle="1" w:styleId="FootnoteText1">
    <w:name w:val="Footnote Text1"/>
    <w:rsid w:val="00DD0AEA"/>
    <w:pPr>
      <w:suppressAutoHyphens/>
      <w:spacing w:after="120" w:line="240" w:lineRule="auto"/>
    </w:pPr>
    <w:rPr>
      <w:rFonts w:ascii="Calibri" w:eastAsia="Arial Unicode MS" w:hAnsi="Calibri" w:cs="Arial Unicode MS"/>
      <w:kern w:val="1"/>
      <w:sz w:val="18"/>
      <w:szCs w:val="20"/>
      <w:lang w:val="en-IE" w:eastAsia="hi-IN" w:bidi="hi-IN"/>
    </w:rPr>
  </w:style>
  <w:style w:type="paragraph" w:customStyle="1" w:styleId="Caption1">
    <w:name w:val="Caption1"/>
    <w:basedOn w:val="Normal"/>
    <w:rsid w:val="00DD0AEA"/>
    <w:pPr>
      <w:suppressAutoHyphens/>
      <w:spacing w:before="28" w:after="28" w:line="240" w:lineRule="auto"/>
      <w:jc w:val="both"/>
    </w:pPr>
    <w:rPr>
      <w:rFonts w:ascii="Calibri" w:eastAsia="Arial Unicode MS" w:hAnsi="Calibri" w:cs="Calibri"/>
      <w:b/>
      <w:bCs/>
      <w:color w:val="4F81BD"/>
      <w:kern w:val="1"/>
      <w:sz w:val="18"/>
      <w:szCs w:val="18"/>
      <w:lang w:val="en-IE" w:eastAsia="hi-IN" w:bidi="hi-IN"/>
    </w:rPr>
  </w:style>
  <w:style w:type="paragraph" w:styleId="TOC4">
    <w:name w:val="toc 4"/>
    <w:basedOn w:val="Normal"/>
    <w:next w:val="Normal"/>
    <w:autoRedefine/>
    <w:uiPriority w:val="39"/>
    <w:unhideWhenUsed/>
    <w:rsid w:val="00DD0AEA"/>
    <w:pPr>
      <w:spacing w:after="100"/>
      <w:ind w:left="660"/>
    </w:pPr>
    <w:rPr>
      <w:rFonts w:eastAsiaTheme="minorEastAsia"/>
      <w:lang w:val="en-AU" w:eastAsia="en-AU"/>
    </w:rPr>
  </w:style>
  <w:style w:type="paragraph" w:styleId="TOC5">
    <w:name w:val="toc 5"/>
    <w:basedOn w:val="Normal"/>
    <w:next w:val="Normal"/>
    <w:autoRedefine/>
    <w:uiPriority w:val="39"/>
    <w:unhideWhenUsed/>
    <w:rsid w:val="00DD0AEA"/>
    <w:pPr>
      <w:spacing w:after="100"/>
      <w:ind w:left="880"/>
    </w:pPr>
    <w:rPr>
      <w:rFonts w:eastAsiaTheme="minorEastAsia"/>
      <w:lang w:val="en-AU" w:eastAsia="en-AU"/>
    </w:rPr>
  </w:style>
  <w:style w:type="paragraph" w:styleId="TOC6">
    <w:name w:val="toc 6"/>
    <w:basedOn w:val="Normal"/>
    <w:next w:val="Normal"/>
    <w:autoRedefine/>
    <w:uiPriority w:val="39"/>
    <w:unhideWhenUsed/>
    <w:rsid w:val="00DD0AEA"/>
    <w:pPr>
      <w:spacing w:after="100"/>
      <w:ind w:left="1100"/>
    </w:pPr>
    <w:rPr>
      <w:rFonts w:eastAsiaTheme="minorEastAsia"/>
      <w:lang w:val="en-AU" w:eastAsia="en-AU"/>
    </w:rPr>
  </w:style>
  <w:style w:type="paragraph" w:styleId="TOC7">
    <w:name w:val="toc 7"/>
    <w:basedOn w:val="Normal"/>
    <w:next w:val="Normal"/>
    <w:autoRedefine/>
    <w:uiPriority w:val="39"/>
    <w:unhideWhenUsed/>
    <w:rsid w:val="00DD0AEA"/>
    <w:pPr>
      <w:spacing w:after="100"/>
      <w:ind w:left="1320"/>
    </w:pPr>
    <w:rPr>
      <w:rFonts w:eastAsiaTheme="minorEastAsia"/>
      <w:lang w:val="en-AU" w:eastAsia="en-AU"/>
    </w:rPr>
  </w:style>
  <w:style w:type="paragraph" w:styleId="TOC8">
    <w:name w:val="toc 8"/>
    <w:basedOn w:val="Normal"/>
    <w:next w:val="Normal"/>
    <w:autoRedefine/>
    <w:uiPriority w:val="39"/>
    <w:unhideWhenUsed/>
    <w:rsid w:val="00DD0AEA"/>
    <w:pPr>
      <w:spacing w:after="100"/>
      <w:ind w:left="1540"/>
    </w:pPr>
    <w:rPr>
      <w:rFonts w:eastAsiaTheme="minorEastAsia"/>
      <w:lang w:val="en-AU" w:eastAsia="en-AU"/>
    </w:rPr>
  </w:style>
  <w:style w:type="paragraph" w:styleId="TOC9">
    <w:name w:val="toc 9"/>
    <w:basedOn w:val="Normal"/>
    <w:next w:val="Normal"/>
    <w:autoRedefine/>
    <w:uiPriority w:val="39"/>
    <w:unhideWhenUsed/>
    <w:rsid w:val="00DD0AEA"/>
    <w:pPr>
      <w:spacing w:after="100"/>
      <w:ind w:left="1760"/>
    </w:pPr>
    <w:rPr>
      <w:rFonts w:eastAsiaTheme="minorEastAsia"/>
      <w:lang w:val="en-AU" w:eastAsia="en-AU"/>
    </w:rPr>
  </w:style>
  <w:style w:type="paragraph" w:styleId="Bibliography">
    <w:name w:val="Bibliography"/>
    <w:basedOn w:val="Normal"/>
    <w:next w:val="Normal"/>
    <w:uiPriority w:val="37"/>
    <w:unhideWhenUsed/>
    <w:rsid w:val="00DD0AEA"/>
    <w:pPr>
      <w:spacing w:before="100" w:beforeAutospacing="1" w:after="240" w:afterAutospacing="1" w:line="240" w:lineRule="auto"/>
      <w:ind w:left="720" w:hanging="720"/>
      <w:jc w:val="both"/>
    </w:pPr>
    <w:rPr>
      <w:rFonts w:ascii="Calibri" w:eastAsiaTheme="minorEastAsia" w:hAnsi="Calibri"/>
      <w:sz w:val="24"/>
      <w:lang w:val="en-AU" w:eastAsia="en-AU"/>
    </w:rPr>
  </w:style>
  <w:style w:type="paragraph" w:styleId="Revision">
    <w:name w:val="Revision"/>
    <w:hidden/>
    <w:uiPriority w:val="99"/>
    <w:semiHidden/>
    <w:rsid w:val="00DD0AEA"/>
    <w:pPr>
      <w:spacing w:after="0" w:line="240" w:lineRule="auto"/>
    </w:pPr>
    <w:rPr>
      <w:rFonts w:ascii="Calibri" w:eastAsiaTheme="minorEastAsia" w:hAnsi="Calibri"/>
      <w:sz w:val="24"/>
      <w:lang w:val="en-AU" w:eastAsia="en-AU"/>
    </w:rPr>
  </w:style>
  <w:style w:type="table" w:styleId="LightShading-Accent3">
    <w:name w:val="Light Shading Accent 3"/>
    <w:basedOn w:val="TableNormal"/>
    <w:uiPriority w:val="60"/>
    <w:rsid w:val="00DD0AEA"/>
    <w:pPr>
      <w:spacing w:after="0" w:line="240" w:lineRule="auto"/>
    </w:pPr>
    <w:rPr>
      <w:color w:val="76923C" w:themeColor="accent3" w:themeShade="BF"/>
      <w:lang w:val="en-AU"/>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3">
    <w:name w:val="Light List Accent 3"/>
    <w:basedOn w:val="TableNormal"/>
    <w:uiPriority w:val="61"/>
    <w:rsid w:val="00DD0AEA"/>
    <w:pPr>
      <w:spacing w:after="0" w:line="240" w:lineRule="auto"/>
    </w:pPr>
    <w:rPr>
      <w:lang w:val="en-AU"/>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1-Accent3">
    <w:name w:val="Medium Shading 1 Accent 3"/>
    <w:basedOn w:val="TableNormal"/>
    <w:uiPriority w:val="63"/>
    <w:rsid w:val="00DD0AEA"/>
    <w:pPr>
      <w:spacing w:after="0" w:line="240" w:lineRule="auto"/>
    </w:pPr>
    <w:rPr>
      <w:lang w:val="en-AU"/>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BodyText1">
    <w:name w:val="Body Text1"/>
    <w:basedOn w:val="Normal"/>
    <w:qFormat/>
    <w:rsid w:val="008577E8"/>
    <w:rPr>
      <w:rFonts w:ascii="Arial" w:eastAsia="Calibri" w:hAnsi="Arial" w:cs="Arial"/>
      <w:color w:val="00000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35031">
      <w:bodyDiv w:val="1"/>
      <w:marLeft w:val="0"/>
      <w:marRight w:val="0"/>
      <w:marTop w:val="0"/>
      <w:marBottom w:val="0"/>
      <w:divBdr>
        <w:top w:val="none" w:sz="0" w:space="0" w:color="auto"/>
        <w:left w:val="none" w:sz="0" w:space="0" w:color="auto"/>
        <w:bottom w:val="none" w:sz="0" w:space="0" w:color="auto"/>
        <w:right w:val="none" w:sz="0" w:space="0" w:color="auto"/>
      </w:divBdr>
    </w:div>
    <w:div w:id="102649513">
      <w:bodyDiv w:val="1"/>
      <w:marLeft w:val="0"/>
      <w:marRight w:val="0"/>
      <w:marTop w:val="0"/>
      <w:marBottom w:val="0"/>
      <w:divBdr>
        <w:top w:val="none" w:sz="0" w:space="0" w:color="auto"/>
        <w:left w:val="none" w:sz="0" w:space="0" w:color="auto"/>
        <w:bottom w:val="none" w:sz="0" w:space="0" w:color="auto"/>
        <w:right w:val="none" w:sz="0" w:space="0" w:color="auto"/>
      </w:divBdr>
    </w:div>
    <w:div w:id="352461821">
      <w:bodyDiv w:val="1"/>
      <w:marLeft w:val="0"/>
      <w:marRight w:val="0"/>
      <w:marTop w:val="0"/>
      <w:marBottom w:val="0"/>
      <w:divBdr>
        <w:top w:val="none" w:sz="0" w:space="0" w:color="auto"/>
        <w:left w:val="none" w:sz="0" w:space="0" w:color="auto"/>
        <w:bottom w:val="none" w:sz="0" w:space="0" w:color="auto"/>
        <w:right w:val="none" w:sz="0" w:space="0" w:color="auto"/>
      </w:divBdr>
    </w:div>
    <w:div w:id="565191503">
      <w:bodyDiv w:val="1"/>
      <w:marLeft w:val="0"/>
      <w:marRight w:val="0"/>
      <w:marTop w:val="0"/>
      <w:marBottom w:val="0"/>
      <w:divBdr>
        <w:top w:val="none" w:sz="0" w:space="0" w:color="auto"/>
        <w:left w:val="none" w:sz="0" w:space="0" w:color="auto"/>
        <w:bottom w:val="none" w:sz="0" w:space="0" w:color="auto"/>
        <w:right w:val="none" w:sz="0" w:space="0" w:color="auto"/>
      </w:divBdr>
    </w:div>
    <w:div w:id="566837834">
      <w:bodyDiv w:val="1"/>
      <w:marLeft w:val="0"/>
      <w:marRight w:val="0"/>
      <w:marTop w:val="0"/>
      <w:marBottom w:val="0"/>
      <w:divBdr>
        <w:top w:val="none" w:sz="0" w:space="0" w:color="auto"/>
        <w:left w:val="none" w:sz="0" w:space="0" w:color="auto"/>
        <w:bottom w:val="none" w:sz="0" w:space="0" w:color="auto"/>
        <w:right w:val="none" w:sz="0" w:space="0" w:color="auto"/>
      </w:divBdr>
    </w:div>
    <w:div w:id="772242793">
      <w:bodyDiv w:val="1"/>
      <w:marLeft w:val="0"/>
      <w:marRight w:val="0"/>
      <w:marTop w:val="0"/>
      <w:marBottom w:val="0"/>
      <w:divBdr>
        <w:top w:val="none" w:sz="0" w:space="0" w:color="auto"/>
        <w:left w:val="none" w:sz="0" w:space="0" w:color="auto"/>
        <w:bottom w:val="none" w:sz="0" w:space="0" w:color="auto"/>
        <w:right w:val="none" w:sz="0" w:space="0" w:color="auto"/>
      </w:divBdr>
    </w:div>
    <w:div w:id="861557628">
      <w:bodyDiv w:val="1"/>
      <w:marLeft w:val="0"/>
      <w:marRight w:val="0"/>
      <w:marTop w:val="0"/>
      <w:marBottom w:val="0"/>
      <w:divBdr>
        <w:top w:val="none" w:sz="0" w:space="0" w:color="auto"/>
        <w:left w:val="none" w:sz="0" w:space="0" w:color="auto"/>
        <w:bottom w:val="none" w:sz="0" w:space="0" w:color="auto"/>
        <w:right w:val="none" w:sz="0" w:space="0" w:color="auto"/>
      </w:divBdr>
    </w:div>
    <w:div w:id="1113399323">
      <w:bodyDiv w:val="1"/>
      <w:marLeft w:val="0"/>
      <w:marRight w:val="0"/>
      <w:marTop w:val="0"/>
      <w:marBottom w:val="0"/>
      <w:divBdr>
        <w:top w:val="none" w:sz="0" w:space="0" w:color="auto"/>
        <w:left w:val="none" w:sz="0" w:space="0" w:color="auto"/>
        <w:bottom w:val="none" w:sz="0" w:space="0" w:color="auto"/>
        <w:right w:val="none" w:sz="0" w:space="0" w:color="auto"/>
      </w:divBdr>
    </w:div>
    <w:div w:id="1227716095">
      <w:bodyDiv w:val="1"/>
      <w:marLeft w:val="0"/>
      <w:marRight w:val="0"/>
      <w:marTop w:val="0"/>
      <w:marBottom w:val="0"/>
      <w:divBdr>
        <w:top w:val="none" w:sz="0" w:space="0" w:color="auto"/>
        <w:left w:val="none" w:sz="0" w:space="0" w:color="auto"/>
        <w:bottom w:val="none" w:sz="0" w:space="0" w:color="auto"/>
        <w:right w:val="none" w:sz="0" w:space="0" w:color="auto"/>
      </w:divBdr>
    </w:div>
    <w:div w:id="1461995729">
      <w:bodyDiv w:val="1"/>
      <w:marLeft w:val="0"/>
      <w:marRight w:val="0"/>
      <w:marTop w:val="0"/>
      <w:marBottom w:val="0"/>
      <w:divBdr>
        <w:top w:val="none" w:sz="0" w:space="0" w:color="auto"/>
        <w:left w:val="none" w:sz="0" w:space="0" w:color="auto"/>
        <w:bottom w:val="none" w:sz="0" w:space="0" w:color="auto"/>
        <w:right w:val="none" w:sz="0" w:space="0" w:color="auto"/>
      </w:divBdr>
    </w:div>
    <w:div w:id="1736077418">
      <w:bodyDiv w:val="1"/>
      <w:marLeft w:val="0"/>
      <w:marRight w:val="0"/>
      <w:marTop w:val="0"/>
      <w:marBottom w:val="0"/>
      <w:divBdr>
        <w:top w:val="none" w:sz="0" w:space="0" w:color="auto"/>
        <w:left w:val="none" w:sz="0" w:space="0" w:color="auto"/>
        <w:bottom w:val="none" w:sz="0" w:space="0" w:color="auto"/>
        <w:right w:val="none" w:sz="0" w:space="0" w:color="auto"/>
      </w:divBdr>
    </w:div>
    <w:div w:id="1759866011">
      <w:bodyDiv w:val="1"/>
      <w:marLeft w:val="0"/>
      <w:marRight w:val="0"/>
      <w:marTop w:val="0"/>
      <w:marBottom w:val="0"/>
      <w:divBdr>
        <w:top w:val="none" w:sz="0" w:space="0" w:color="auto"/>
        <w:left w:val="none" w:sz="0" w:space="0" w:color="auto"/>
        <w:bottom w:val="none" w:sz="0" w:space="0" w:color="auto"/>
        <w:right w:val="none" w:sz="0" w:space="0" w:color="auto"/>
      </w:divBdr>
    </w:div>
    <w:div w:id="1899633802">
      <w:bodyDiv w:val="1"/>
      <w:marLeft w:val="0"/>
      <w:marRight w:val="0"/>
      <w:marTop w:val="0"/>
      <w:marBottom w:val="0"/>
      <w:divBdr>
        <w:top w:val="none" w:sz="0" w:space="0" w:color="auto"/>
        <w:left w:val="none" w:sz="0" w:space="0" w:color="auto"/>
        <w:bottom w:val="none" w:sz="0" w:space="0" w:color="auto"/>
        <w:right w:val="none" w:sz="0" w:space="0" w:color="auto"/>
      </w:divBdr>
    </w:div>
    <w:div w:id="1944266347">
      <w:bodyDiv w:val="1"/>
      <w:marLeft w:val="0"/>
      <w:marRight w:val="0"/>
      <w:marTop w:val="0"/>
      <w:marBottom w:val="0"/>
      <w:divBdr>
        <w:top w:val="none" w:sz="0" w:space="0" w:color="auto"/>
        <w:left w:val="none" w:sz="0" w:space="0" w:color="auto"/>
        <w:bottom w:val="none" w:sz="0" w:space="0" w:color="auto"/>
        <w:right w:val="none" w:sz="0" w:space="0" w:color="auto"/>
      </w:divBdr>
    </w:div>
    <w:div w:id="1998532795">
      <w:bodyDiv w:val="1"/>
      <w:marLeft w:val="0"/>
      <w:marRight w:val="0"/>
      <w:marTop w:val="0"/>
      <w:marBottom w:val="0"/>
      <w:divBdr>
        <w:top w:val="none" w:sz="0" w:space="0" w:color="auto"/>
        <w:left w:val="none" w:sz="0" w:space="0" w:color="auto"/>
        <w:bottom w:val="none" w:sz="0" w:space="0" w:color="auto"/>
        <w:right w:val="none" w:sz="0" w:space="0" w:color="auto"/>
      </w:divBdr>
    </w:div>
    <w:div w:id="206860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accan.org.a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austlii.edu.au/cgi-bin/viewdoc/au/cases/cth/FCA/2018/571.html" TargetMode="External"/><Relationship Id="rId1" Type="http://schemas.openxmlformats.org/officeDocument/2006/relationships/hyperlink" Target="http://www6.austlii.edu.au/cgi-bin/viewdoc/au/cases/cth/FCA/2019/106.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A1436-105D-448E-8D43-57B8D371A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3298</Words>
  <Characters>18804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Downing</dc:creator>
  <cp:lastModifiedBy>Gareth Downing</cp:lastModifiedBy>
  <cp:revision>6</cp:revision>
  <cp:lastPrinted>2019-05-27T23:15:00Z</cp:lastPrinted>
  <dcterms:created xsi:type="dcterms:W3CDTF">2019-05-15T06:03:00Z</dcterms:created>
  <dcterms:modified xsi:type="dcterms:W3CDTF">2019-05-27T23:15:00Z</dcterms:modified>
</cp:coreProperties>
</file>