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EFE60A" w14:textId="77777777" w:rsidR="005820C9" w:rsidRPr="0005266B" w:rsidRDefault="005820C9" w:rsidP="007D3F16">
      <w:pPr>
        <w:spacing w:after="0"/>
        <w:rPr>
          <w:rFonts w:ascii="Times New Roman" w:hAnsi="Times New Roman" w:cs="Times New Roman"/>
          <w:color w:val="FF0000"/>
        </w:rPr>
        <w:sectPr w:rsidR="005820C9" w:rsidRPr="0005266B" w:rsidSect="00002D94">
          <w:headerReference w:type="default" r:id="rId9"/>
          <w:footerReference w:type="default" r:id="rId10"/>
          <w:type w:val="continuous"/>
          <w:pgSz w:w="11906" w:h="16838" w:code="9"/>
          <w:pgMar w:top="1824" w:right="707" w:bottom="567" w:left="1134" w:header="567" w:footer="1474" w:gutter="0"/>
          <w:cols w:space="708"/>
          <w:docGrid w:linePitch="360"/>
        </w:sectPr>
      </w:pPr>
    </w:p>
    <w:p w14:paraId="0758ED3F" w14:textId="77777777" w:rsidR="00991926" w:rsidRPr="00D13993" w:rsidRDefault="00991926" w:rsidP="00991926">
      <w:pPr>
        <w:spacing w:after="0"/>
        <w:rPr>
          <w:rFonts w:ascii="Times New Roman" w:hAnsi="Times New Roman" w:cs="Times New Roman"/>
        </w:rPr>
        <w:sectPr w:rsidR="00991926" w:rsidRPr="00D13993" w:rsidSect="00002D94">
          <w:headerReference w:type="default" r:id="rId11"/>
          <w:footerReference w:type="default" r:id="rId12"/>
          <w:type w:val="continuous"/>
          <w:pgSz w:w="11906" w:h="16838" w:code="9"/>
          <w:pgMar w:top="1824" w:right="707" w:bottom="567" w:left="1134" w:header="567" w:footer="1474" w:gutter="0"/>
          <w:cols w:space="708"/>
          <w:docGrid w:linePitch="360"/>
        </w:sectPr>
      </w:pPr>
    </w:p>
    <w:p w14:paraId="79924BAC" w14:textId="77777777" w:rsidR="00991926" w:rsidRPr="00D13993" w:rsidRDefault="00991926" w:rsidP="00991926">
      <w:pPr>
        <w:spacing w:after="0"/>
        <w:rPr>
          <w:rFonts w:ascii="Times New Roman" w:hAnsi="Times New Roman" w:cs="Times New Roman"/>
        </w:rPr>
      </w:pPr>
      <w:r w:rsidRPr="00D13993">
        <w:rPr>
          <w:rFonts w:ascii="Times New Roman" w:hAnsi="Times New Roman" w:cs="Times New Roman"/>
        </w:rPr>
        <w:lastRenderedPageBreak/>
        <w:t>12 October 2018</w:t>
      </w:r>
    </w:p>
    <w:p w14:paraId="20E06516" w14:textId="030588EB" w:rsidR="00991926" w:rsidRPr="00D13993" w:rsidRDefault="00991926" w:rsidP="00991926">
      <w:pPr>
        <w:spacing w:after="0"/>
        <w:rPr>
          <w:rFonts w:ascii="Times New Roman" w:hAnsi="Times New Roman" w:cs="Times New Roman"/>
        </w:rPr>
      </w:pPr>
    </w:p>
    <w:p w14:paraId="5B92CD17" w14:textId="0834B7D6" w:rsidR="00991926" w:rsidRPr="00D13993" w:rsidRDefault="00422C8A" w:rsidP="00991926">
      <w:pPr>
        <w:spacing w:after="0"/>
        <w:rPr>
          <w:rFonts w:ascii="Times New Roman" w:hAnsi="Times New Roman" w:cs="Times New Roman"/>
        </w:rPr>
      </w:pPr>
      <w:r w:rsidRPr="00D13993">
        <w:rPr>
          <w:rFonts w:ascii="Times New Roman" w:hAnsi="Times New Roman" w:cs="Times New Roman"/>
        </w:rPr>
        <w:t>Consumer Data Right Rules Framework</w:t>
      </w:r>
    </w:p>
    <w:p w14:paraId="1DAEA99C" w14:textId="77777777" w:rsidR="00D13993" w:rsidRPr="00D13993" w:rsidRDefault="00D13993" w:rsidP="00D13993">
      <w:pPr>
        <w:spacing w:after="0"/>
        <w:rPr>
          <w:rFonts w:ascii="Times New Roman" w:hAnsi="Times New Roman" w:cs="Times New Roman"/>
        </w:rPr>
      </w:pPr>
      <w:r w:rsidRPr="00D13993">
        <w:rPr>
          <w:rFonts w:ascii="Times New Roman" w:hAnsi="Times New Roman" w:cs="Times New Roman"/>
        </w:rPr>
        <w:t>Australian Competition and Consumer Commission</w:t>
      </w:r>
    </w:p>
    <w:p w14:paraId="129AC363" w14:textId="248EE5A2" w:rsidR="00D13993" w:rsidRPr="00D13993" w:rsidRDefault="00D13993" w:rsidP="00450FC5">
      <w:pPr>
        <w:tabs>
          <w:tab w:val="left" w:pos="2576"/>
        </w:tabs>
        <w:spacing w:after="0"/>
        <w:rPr>
          <w:rFonts w:ascii="Times New Roman" w:hAnsi="Times New Roman" w:cs="Times New Roman"/>
        </w:rPr>
      </w:pPr>
      <w:hyperlink r:id="rId13" w:history="1">
        <w:r w:rsidRPr="00D13993">
          <w:rPr>
            <w:rStyle w:val="Hyperlink"/>
            <w:rFonts w:ascii="Times New Roman" w:hAnsi="Times New Roman" w:cs="Times New Roman"/>
            <w:color w:val="auto"/>
          </w:rPr>
          <w:t>ACCC-CDR@accc.gov.au</w:t>
        </w:r>
      </w:hyperlink>
      <w:r w:rsidRPr="00D13993">
        <w:rPr>
          <w:rFonts w:ascii="Times New Roman" w:hAnsi="Times New Roman" w:cs="Times New Roman"/>
        </w:rPr>
        <w:t xml:space="preserve"> </w:t>
      </w:r>
    </w:p>
    <w:p w14:paraId="50AD8715" w14:textId="77777777" w:rsidR="00D13993" w:rsidRPr="0005266B" w:rsidRDefault="00D13993" w:rsidP="00450FC5">
      <w:pPr>
        <w:tabs>
          <w:tab w:val="left" w:pos="2576"/>
        </w:tabs>
        <w:spacing w:after="0"/>
        <w:rPr>
          <w:rFonts w:ascii="Times New Roman" w:hAnsi="Times New Roman" w:cs="Times New Roman"/>
          <w:color w:val="FF0000"/>
        </w:rPr>
      </w:pPr>
    </w:p>
    <w:p w14:paraId="38B01B67" w14:textId="315A7862" w:rsidR="00991926" w:rsidRPr="0005266B" w:rsidRDefault="00450FC5" w:rsidP="00DD1B6E">
      <w:pPr>
        <w:spacing w:after="0"/>
        <w:rPr>
          <w:rFonts w:ascii="Times New Roman" w:hAnsi="Times New Roman" w:cs="Times New Roman"/>
          <w:color w:val="000000" w:themeColor="text1"/>
        </w:rPr>
      </w:pPr>
      <w:r w:rsidRPr="0005266B">
        <w:rPr>
          <w:rFonts w:ascii="Times New Roman" w:hAnsi="Times New Roman" w:cs="Times New Roman"/>
          <w:color w:val="000000" w:themeColor="text1"/>
        </w:rPr>
        <w:t xml:space="preserve">Dear </w:t>
      </w:r>
      <w:r w:rsidR="00D13993">
        <w:rPr>
          <w:rFonts w:ascii="Times New Roman" w:hAnsi="Times New Roman" w:cs="Times New Roman"/>
          <w:color w:val="000000" w:themeColor="text1"/>
        </w:rPr>
        <w:t>Ms Bunch,</w:t>
      </w:r>
    </w:p>
    <w:p w14:paraId="5718079F" w14:textId="77777777" w:rsidR="00991926" w:rsidRPr="0005266B" w:rsidRDefault="00991926" w:rsidP="00DD1B6E">
      <w:pPr>
        <w:spacing w:after="0"/>
        <w:rPr>
          <w:rFonts w:cstheme="minorHAnsi"/>
        </w:rPr>
      </w:pPr>
    </w:p>
    <w:p w14:paraId="4FE94A5C" w14:textId="63748E23" w:rsidR="0017543C" w:rsidRPr="0005266B" w:rsidRDefault="003E7FB0" w:rsidP="0017543C">
      <w:pPr>
        <w:pStyle w:val="BodyText1"/>
        <w:jc w:val="both"/>
        <w:rPr>
          <w:rFonts w:ascii="Times New Roman" w:hAnsi="Times New Roman" w:cs="Times New Roman"/>
          <w:color w:val="000000" w:themeColor="text1"/>
        </w:rPr>
      </w:pPr>
      <w:r w:rsidRPr="0005266B">
        <w:rPr>
          <w:rFonts w:ascii="Times New Roman" w:hAnsi="Times New Roman" w:cs="Times New Roman"/>
          <w:color w:val="000000" w:themeColor="text1"/>
        </w:rPr>
        <w:t>ACCAN thank</w:t>
      </w:r>
      <w:r w:rsidR="0098455F">
        <w:rPr>
          <w:rFonts w:ascii="Times New Roman" w:hAnsi="Times New Roman" w:cs="Times New Roman"/>
          <w:color w:val="000000" w:themeColor="text1"/>
        </w:rPr>
        <w:t>s</w:t>
      </w:r>
      <w:r w:rsidRPr="0005266B">
        <w:rPr>
          <w:rFonts w:ascii="Times New Roman" w:hAnsi="Times New Roman" w:cs="Times New Roman"/>
          <w:color w:val="000000" w:themeColor="text1"/>
        </w:rPr>
        <w:t xml:space="preserve"> the ACCC for the opportunity to submit to its consultation on the </w:t>
      </w:r>
      <w:r w:rsidR="00ED32CE" w:rsidRPr="0005266B">
        <w:rPr>
          <w:rFonts w:ascii="Times New Roman" w:hAnsi="Times New Roman" w:cs="Times New Roman"/>
          <w:i/>
          <w:color w:val="000000" w:themeColor="text1"/>
        </w:rPr>
        <w:t>Consumer Data Right Rules Framework</w:t>
      </w:r>
      <w:r w:rsidR="00450FC5" w:rsidRPr="0005266B">
        <w:rPr>
          <w:rFonts w:ascii="Times New Roman" w:hAnsi="Times New Roman" w:cs="Times New Roman"/>
          <w:i/>
          <w:color w:val="000000" w:themeColor="text1"/>
        </w:rPr>
        <w:t xml:space="preserve"> </w:t>
      </w:r>
      <w:r w:rsidR="00450FC5" w:rsidRPr="0005266B">
        <w:rPr>
          <w:rFonts w:ascii="Times New Roman" w:hAnsi="Times New Roman" w:cs="Times New Roman"/>
          <w:color w:val="000000" w:themeColor="text1"/>
        </w:rPr>
        <w:t>(the framework)</w:t>
      </w:r>
      <w:r w:rsidR="00ED32CE" w:rsidRPr="0005266B">
        <w:rPr>
          <w:rFonts w:ascii="Times New Roman" w:hAnsi="Times New Roman" w:cs="Times New Roman"/>
          <w:color w:val="000000" w:themeColor="text1"/>
        </w:rPr>
        <w:t xml:space="preserve">. </w:t>
      </w:r>
      <w:r w:rsidR="0017543C" w:rsidRPr="0005266B">
        <w:rPr>
          <w:rFonts w:ascii="Times New Roman" w:hAnsi="Times New Roman" w:cs="Times New Roman"/>
          <w:color w:val="000000" w:themeColor="text1"/>
        </w:rPr>
        <w:t xml:space="preserve">Although supportive of many elements of the draft </w:t>
      </w:r>
      <w:r w:rsidR="00B22145" w:rsidRPr="0005266B">
        <w:rPr>
          <w:rFonts w:ascii="Times New Roman" w:hAnsi="Times New Roman" w:cs="Times New Roman"/>
          <w:color w:val="000000" w:themeColor="text1"/>
        </w:rPr>
        <w:t>framework</w:t>
      </w:r>
      <w:r w:rsidR="007F1BB2" w:rsidRPr="0005266B">
        <w:rPr>
          <w:rFonts w:ascii="Times New Roman" w:hAnsi="Times New Roman" w:cs="Times New Roman"/>
          <w:color w:val="000000" w:themeColor="text1"/>
        </w:rPr>
        <w:t>,</w:t>
      </w:r>
      <w:r w:rsidR="0017543C" w:rsidRPr="0005266B">
        <w:rPr>
          <w:rFonts w:ascii="Times New Roman" w:hAnsi="Times New Roman" w:cs="Times New Roman"/>
          <w:color w:val="000000" w:themeColor="text1"/>
        </w:rPr>
        <w:t xml:space="preserve"> </w:t>
      </w:r>
      <w:r w:rsidR="00B9521F" w:rsidRPr="0005266B">
        <w:rPr>
          <w:rFonts w:ascii="Times New Roman" w:hAnsi="Times New Roman" w:cs="Times New Roman"/>
          <w:color w:val="000000" w:themeColor="text1"/>
        </w:rPr>
        <w:t>ACCAN has</w:t>
      </w:r>
      <w:r w:rsidR="0017543C" w:rsidRPr="0005266B">
        <w:rPr>
          <w:rFonts w:ascii="Times New Roman" w:hAnsi="Times New Roman" w:cs="Times New Roman"/>
          <w:color w:val="000000" w:themeColor="text1"/>
        </w:rPr>
        <w:t xml:space="preserve"> concerns with respect to:</w:t>
      </w:r>
    </w:p>
    <w:p w14:paraId="43D67EF8" w14:textId="24CBF2A9" w:rsidR="0017543C" w:rsidRPr="0005266B" w:rsidRDefault="0017543C" w:rsidP="0017543C">
      <w:pPr>
        <w:pStyle w:val="ListParagraph"/>
        <w:numPr>
          <w:ilvl w:val="0"/>
          <w:numId w:val="1"/>
        </w:numPr>
        <w:spacing w:before="100" w:beforeAutospacing="1" w:after="100" w:afterAutospacing="1" w:line="276" w:lineRule="auto"/>
        <w:jc w:val="both"/>
        <w:rPr>
          <w:rFonts w:ascii="Times New Roman" w:hAnsi="Times New Roman" w:cs="Times New Roman"/>
          <w:color w:val="000000" w:themeColor="text1"/>
        </w:rPr>
      </w:pPr>
      <w:r w:rsidRPr="0005266B">
        <w:rPr>
          <w:rFonts w:ascii="Times New Roman" w:hAnsi="Times New Roman" w:cs="Times New Roman"/>
          <w:color w:val="000000" w:themeColor="text1"/>
        </w:rPr>
        <w:t>the scope of consumer privacy protections;</w:t>
      </w:r>
    </w:p>
    <w:p w14:paraId="3F290B8C" w14:textId="1E772C60" w:rsidR="00801A05" w:rsidRPr="0005266B" w:rsidRDefault="00801A05" w:rsidP="00801A05">
      <w:pPr>
        <w:pStyle w:val="ListParagraph"/>
        <w:numPr>
          <w:ilvl w:val="0"/>
          <w:numId w:val="1"/>
        </w:numPr>
        <w:spacing w:before="100" w:beforeAutospacing="1" w:after="100" w:afterAutospacing="1" w:line="276" w:lineRule="auto"/>
        <w:jc w:val="both"/>
        <w:rPr>
          <w:rFonts w:ascii="Times New Roman" w:hAnsi="Times New Roman" w:cs="Times New Roman"/>
          <w:color w:val="000000" w:themeColor="text1"/>
        </w:rPr>
      </w:pPr>
      <w:r w:rsidRPr="0005266B">
        <w:rPr>
          <w:rFonts w:ascii="Times New Roman" w:hAnsi="Times New Roman" w:cs="Times New Roman"/>
          <w:color w:val="000000" w:themeColor="text1"/>
        </w:rPr>
        <w:t>the accreditation of data participants;</w:t>
      </w:r>
      <w:r w:rsidR="0098455F">
        <w:rPr>
          <w:rFonts w:ascii="Times New Roman" w:hAnsi="Times New Roman" w:cs="Times New Roman"/>
          <w:color w:val="000000" w:themeColor="text1"/>
        </w:rPr>
        <w:t xml:space="preserve"> and</w:t>
      </w:r>
    </w:p>
    <w:p w14:paraId="0687E6AB" w14:textId="097DD2F9" w:rsidR="0017543C" w:rsidRPr="0005266B" w:rsidRDefault="0017543C" w:rsidP="00C32DD1">
      <w:pPr>
        <w:pStyle w:val="ListParagraph"/>
        <w:numPr>
          <w:ilvl w:val="0"/>
          <w:numId w:val="1"/>
        </w:numPr>
        <w:spacing w:before="100" w:beforeAutospacing="1" w:after="100" w:afterAutospacing="1" w:line="276" w:lineRule="auto"/>
        <w:jc w:val="both"/>
        <w:rPr>
          <w:rFonts w:ascii="Times New Roman" w:hAnsi="Times New Roman" w:cs="Times New Roman"/>
          <w:color w:val="000000" w:themeColor="text1"/>
        </w:rPr>
      </w:pPr>
      <w:proofErr w:type="gramStart"/>
      <w:r w:rsidRPr="0005266B">
        <w:rPr>
          <w:rFonts w:ascii="Times New Roman" w:hAnsi="Times New Roman" w:cs="Times New Roman"/>
          <w:color w:val="000000" w:themeColor="text1"/>
        </w:rPr>
        <w:t>the</w:t>
      </w:r>
      <w:proofErr w:type="gramEnd"/>
      <w:r w:rsidRPr="0005266B">
        <w:rPr>
          <w:rFonts w:ascii="Times New Roman" w:hAnsi="Times New Roman" w:cs="Times New Roman"/>
          <w:color w:val="000000" w:themeColor="text1"/>
        </w:rPr>
        <w:t xml:space="preserve"> potential for consumer data to be us</w:t>
      </w:r>
      <w:r w:rsidR="00AB2BD6" w:rsidRPr="0005266B">
        <w:rPr>
          <w:rFonts w:ascii="Times New Roman" w:hAnsi="Times New Roman" w:cs="Times New Roman"/>
          <w:color w:val="000000" w:themeColor="text1"/>
        </w:rPr>
        <w:t>ed for anti-competitive conduct</w:t>
      </w:r>
      <w:r w:rsidR="0098455F">
        <w:rPr>
          <w:rFonts w:ascii="Times New Roman" w:hAnsi="Times New Roman" w:cs="Times New Roman"/>
          <w:color w:val="000000" w:themeColor="text1"/>
        </w:rPr>
        <w:t>.</w:t>
      </w:r>
    </w:p>
    <w:p w14:paraId="703D1564" w14:textId="5D28E371" w:rsidR="007970B6" w:rsidRPr="0005266B" w:rsidRDefault="00450FC5" w:rsidP="00666ACF">
      <w:pPr>
        <w:spacing w:before="100" w:beforeAutospacing="1" w:after="100" w:afterAutospacing="1"/>
        <w:jc w:val="both"/>
        <w:rPr>
          <w:rFonts w:ascii="Times New Roman" w:hAnsi="Times New Roman" w:cs="Times New Roman"/>
          <w:color w:val="000000" w:themeColor="text1"/>
        </w:rPr>
      </w:pPr>
      <w:r w:rsidRPr="0005266B">
        <w:rPr>
          <w:rFonts w:ascii="Times New Roman" w:hAnsi="Times New Roman" w:cs="Times New Roman"/>
          <w:color w:val="000000" w:themeColor="text1"/>
        </w:rPr>
        <w:t>The framework sets out high level principles for the development of rules f</w:t>
      </w:r>
      <w:r w:rsidR="00A277DF" w:rsidRPr="0005266B">
        <w:rPr>
          <w:rFonts w:ascii="Times New Roman" w:hAnsi="Times New Roman" w:cs="Times New Roman"/>
          <w:color w:val="000000" w:themeColor="text1"/>
        </w:rPr>
        <w:t>or the implementation of the Consumer Data Right (CDR)</w:t>
      </w:r>
      <w:r w:rsidRPr="0005266B">
        <w:rPr>
          <w:rFonts w:ascii="Times New Roman" w:hAnsi="Times New Roman" w:cs="Times New Roman"/>
          <w:color w:val="000000" w:themeColor="text1"/>
        </w:rPr>
        <w:t xml:space="preserve"> for the</w:t>
      </w:r>
      <w:r w:rsidR="00DC68D9" w:rsidRPr="0005266B">
        <w:rPr>
          <w:rFonts w:ascii="Times New Roman" w:hAnsi="Times New Roman" w:cs="Times New Roman"/>
          <w:color w:val="000000" w:themeColor="text1"/>
        </w:rPr>
        <w:t xml:space="preserve"> banking sector, starting with the four major banks</w:t>
      </w:r>
      <w:r w:rsidRPr="0005266B">
        <w:rPr>
          <w:rFonts w:ascii="Times New Roman" w:hAnsi="Times New Roman" w:cs="Times New Roman"/>
          <w:color w:val="000000" w:themeColor="text1"/>
        </w:rPr>
        <w:t>. The first version of the rules has focused on what has been referred to as the ‘minimum viable product’</w:t>
      </w:r>
      <w:r w:rsidR="004E755C">
        <w:rPr>
          <w:rFonts w:ascii="Times New Roman" w:hAnsi="Times New Roman" w:cs="Times New Roman"/>
          <w:color w:val="000000" w:themeColor="text1"/>
        </w:rPr>
        <w:t xml:space="preserve"> </w:t>
      </w:r>
      <w:r w:rsidR="0098455F">
        <w:rPr>
          <w:rFonts w:ascii="Times New Roman" w:hAnsi="Times New Roman" w:cs="Times New Roman"/>
          <w:color w:val="000000" w:themeColor="text1"/>
        </w:rPr>
        <w:t>t</w:t>
      </w:r>
      <w:r w:rsidR="00DC68D9" w:rsidRPr="0005266B">
        <w:rPr>
          <w:rFonts w:ascii="Times New Roman" w:hAnsi="Times New Roman" w:cs="Times New Roman"/>
          <w:color w:val="000000" w:themeColor="text1"/>
        </w:rPr>
        <w:t>hat is</w:t>
      </w:r>
      <w:r w:rsidR="0098455F">
        <w:rPr>
          <w:rFonts w:ascii="Times New Roman" w:hAnsi="Times New Roman" w:cs="Times New Roman"/>
          <w:color w:val="000000" w:themeColor="text1"/>
        </w:rPr>
        <w:t>,</w:t>
      </w:r>
      <w:r w:rsidR="00DC68D9" w:rsidRPr="0005266B">
        <w:rPr>
          <w:rFonts w:ascii="Times New Roman" w:hAnsi="Times New Roman" w:cs="Times New Roman"/>
          <w:color w:val="000000" w:themeColor="text1"/>
        </w:rPr>
        <w:t xml:space="preserve"> the minimal </w:t>
      </w:r>
      <w:r w:rsidR="00D30F56" w:rsidRPr="0005266B">
        <w:rPr>
          <w:rFonts w:ascii="Times New Roman" w:hAnsi="Times New Roman" w:cs="Times New Roman"/>
          <w:color w:val="000000" w:themeColor="text1"/>
        </w:rPr>
        <w:t>workable</w:t>
      </w:r>
      <w:r w:rsidR="00DC68D9" w:rsidRPr="0005266B">
        <w:rPr>
          <w:rFonts w:ascii="Times New Roman" w:hAnsi="Times New Roman" w:cs="Times New Roman"/>
          <w:color w:val="000000" w:themeColor="text1"/>
        </w:rPr>
        <w:t xml:space="preserve"> form that the CDR may take</w:t>
      </w:r>
      <w:r w:rsidR="0098455F">
        <w:rPr>
          <w:rFonts w:ascii="Times New Roman" w:hAnsi="Times New Roman" w:cs="Times New Roman"/>
          <w:color w:val="000000" w:themeColor="text1"/>
        </w:rPr>
        <w:t>. T</w:t>
      </w:r>
      <w:r w:rsidRPr="0005266B">
        <w:rPr>
          <w:rFonts w:ascii="Times New Roman" w:hAnsi="Times New Roman" w:cs="Times New Roman"/>
          <w:color w:val="000000" w:themeColor="text1"/>
        </w:rPr>
        <w:t xml:space="preserve">he ACCC has outlined an iterative process for further development of rules as the CDR is rolled out within and across industries. </w:t>
      </w:r>
    </w:p>
    <w:p w14:paraId="30BD99C3" w14:textId="31E04EC4" w:rsidR="00D866CB" w:rsidRPr="0005266B" w:rsidRDefault="006A5C69" w:rsidP="00D866CB">
      <w:pPr>
        <w:spacing w:before="100" w:beforeAutospacing="1" w:after="100" w:afterAutospacing="1"/>
        <w:jc w:val="both"/>
        <w:rPr>
          <w:rFonts w:ascii="Times New Roman" w:hAnsi="Times New Roman" w:cs="Times New Roman"/>
          <w:color w:val="000000" w:themeColor="text1"/>
        </w:rPr>
      </w:pPr>
      <w:r w:rsidRPr="0005266B">
        <w:rPr>
          <w:rFonts w:ascii="Times New Roman" w:hAnsi="Times New Roman" w:cs="Times New Roman"/>
          <w:color w:val="000000" w:themeColor="text1"/>
        </w:rPr>
        <w:t>The framework focuses primarily on the initial rollout of the CDR in the banking sector, star</w:t>
      </w:r>
      <w:r w:rsidR="006361A6" w:rsidRPr="0005266B">
        <w:rPr>
          <w:rFonts w:ascii="Times New Roman" w:hAnsi="Times New Roman" w:cs="Times New Roman"/>
          <w:color w:val="000000" w:themeColor="text1"/>
        </w:rPr>
        <w:t>ting wi</w:t>
      </w:r>
      <w:r w:rsidR="00EF6523" w:rsidRPr="0005266B">
        <w:rPr>
          <w:rFonts w:ascii="Times New Roman" w:hAnsi="Times New Roman" w:cs="Times New Roman"/>
          <w:color w:val="000000" w:themeColor="text1"/>
        </w:rPr>
        <w:t xml:space="preserve">th the four major banks. Accordingly, </w:t>
      </w:r>
      <w:r w:rsidR="002C3E39" w:rsidRPr="0005266B">
        <w:rPr>
          <w:rFonts w:ascii="Times New Roman" w:hAnsi="Times New Roman" w:cs="Times New Roman"/>
          <w:color w:val="000000" w:themeColor="text1"/>
        </w:rPr>
        <w:t xml:space="preserve">ACCAN has placed its emphasis on best practice principles where there </w:t>
      </w:r>
      <w:r w:rsidR="00EF6523" w:rsidRPr="0005266B">
        <w:rPr>
          <w:rFonts w:ascii="Times New Roman" w:hAnsi="Times New Roman" w:cs="Times New Roman"/>
          <w:color w:val="000000" w:themeColor="text1"/>
        </w:rPr>
        <w:t>are principles of</w:t>
      </w:r>
      <w:r w:rsidR="002C3E39" w:rsidRPr="0005266B">
        <w:rPr>
          <w:rFonts w:ascii="Times New Roman" w:hAnsi="Times New Roman" w:cs="Times New Roman"/>
          <w:color w:val="000000" w:themeColor="text1"/>
        </w:rPr>
        <w:t xml:space="preserve"> </w:t>
      </w:r>
      <w:r w:rsidR="00EF6523" w:rsidRPr="0005266B">
        <w:rPr>
          <w:rFonts w:ascii="Times New Roman" w:hAnsi="Times New Roman" w:cs="Times New Roman"/>
          <w:color w:val="000000" w:themeColor="text1"/>
        </w:rPr>
        <w:t>relevance to the future rollout of the CDR in the communications sector.</w:t>
      </w:r>
    </w:p>
    <w:p w14:paraId="38AD0739" w14:textId="77777777" w:rsidR="00725BD2" w:rsidRDefault="0005266B" w:rsidP="000E7036">
      <w:pPr>
        <w:pStyle w:val="BodyText1"/>
        <w:rPr>
          <w:rFonts w:ascii="Times New Roman" w:hAnsi="Times New Roman" w:cs="Times New Roman"/>
          <w:color w:val="auto"/>
        </w:rPr>
      </w:pPr>
      <w:r>
        <w:rPr>
          <w:rFonts w:ascii="Times New Roman" w:hAnsi="Times New Roman" w:cs="Times New Roman"/>
          <w:color w:val="auto"/>
        </w:rPr>
        <w:t xml:space="preserve">ACCAN believes that </w:t>
      </w:r>
      <w:r w:rsidR="00725BD2">
        <w:rPr>
          <w:rFonts w:ascii="Times New Roman" w:hAnsi="Times New Roman" w:cs="Times New Roman"/>
          <w:color w:val="auto"/>
        </w:rPr>
        <w:t>when the CDR rules are drafted that the rules should provide for:</w:t>
      </w:r>
    </w:p>
    <w:p w14:paraId="1C5B0048" w14:textId="77777777" w:rsidR="00725BD2" w:rsidRDefault="00725BD2" w:rsidP="000C3062">
      <w:pPr>
        <w:pStyle w:val="BodyText1"/>
        <w:numPr>
          <w:ilvl w:val="0"/>
          <w:numId w:val="5"/>
        </w:numPr>
        <w:spacing w:after="0"/>
        <w:ind w:hanging="357"/>
        <w:rPr>
          <w:rFonts w:ascii="Times New Roman" w:hAnsi="Times New Roman" w:cs="Times New Roman"/>
          <w:color w:val="auto"/>
        </w:rPr>
      </w:pPr>
      <w:r>
        <w:rPr>
          <w:rFonts w:ascii="Times New Roman" w:hAnsi="Times New Roman" w:cs="Times New Roman"/>
          <w:color w:val="auto"/>
        </w:rPr>
        <w:t>broader privacy protections for consumers through privacy obligations on third parties;</w:t>
      </w:r>
    </w:p>
    <w:p w14:paraId="3518A4B0" w14:textId="339E590F" w:rsidR="00725BD2" w:rsidRDefault="00725BD2" w:rsidP="000C3062">
      <w:pPr>
        <w:pStyle w:val="BodyText1"/>
        <w:numPr>
          <w:ilvl w:val="0"/>
          <w:numId w:val="5"/>
        </w:numPr>
        <w:spacing w:after="0"/>
        <w:ind w:hanging="357"/>
        <w:rPr>
          <w:rFonts w:ascii="Times New Roman" w:hAnsi="Times New Roman" w:cs="Times New Roman"/>
          <w:color w:val="auto"/>
        </w:rPr>
      </w:pPr>
      <w:r>
        <w:rPr>
          <w:rFonts w:ascii="Times New Roman" w:hAnsi="Times New Roman" w:cs="Times New Roman"/>
          <w:color w:val="auto"/>
        </w:rPr>
        <w:t>strict acc</w:t>
      </w:r>
      <w:r w:rsidR="000C3062">
        <w:rPr>
          <w:rFonts w:ascii="Times New Roman" w:hAnsi="Times New Roman" w:cs="Times New Roman"/>
          <w:color w:val="auto"/>
        </w:rPr>
        <w:t>reditation requirements;</w:t>
      </w:r>
      <w:r w:rsidR="0098455F">
        <w:rPr>
          <w:rFonts w:ascii="Times New Roman" w:hAnsi="Times New Roman" w:cs="Times New Roman"/>
          <w:color w:val="auto"/>
        </w:rPr>
        <w:t xml:space="preserve"> and</w:t>
      </w:r>
    </w:p>
    <w:p w14:paraId="54E2CB24" w14:textId="5BDFDA79" w:rsidR="00D705A6" w:rsidRDefault="00CB7E50" w:rsidP="000E7036">
      <w:pPr>
        <w:pStyle w:val="BodyText1"/>
        <w:numPr>
          <w:ilvl w:val="0"/>
          <w:numId w:val="5"/>
        </w:numPr>
        <w:spacing w:after="0"/>
        <w:ind w:hanging="357"/>
        <w:rPr>
          <w:rFonts w:ascii="Times New Roman" w:hAnsi="Times New Roman" w:cs="Times New Roman"/>
          <w:color w:val="auto"/>
        </w:rPr>
      </w:pPr>
      <w:proofErr w:type="gramStart"/>
      <w:r>
        <w:rPr>
          <w:rFonts w:ascii="Times New Roman" w:hAnsi="Times New Roman" w:cs="Times New Roman"/>
          <w:color w:val="auto"/>
        </w:rPr>
        <w:t>the</w:t>
      </w:r>
      <w:proofErr w:type="gramEnd"/>
      <w:r>
        <w:rPr>
          <w:rFonts w:ascii="Times New Roman" w:hAnsi="Times New Roman" w:cs="Times New Roman"/>
          <w:color w:val="auto"/>
        </w:rPr>
        <w:t xml:space="preserve"> removal of accreditation and exceptional penalties where CDR data is used for price discrimination or anti-competitive conduct.</w:t>
      </w:r>
    </w:p>
    <w:p w14:paraId="018C89FC" w14:textId="77777777" w:rsidR="00B61A01" w:rsidRPr="00C77F6B" w:rsidRDefault="00B61A01" w:rsidP="00B61A01">
      <w:pPr>
        <w:pStyle w:val="BodyText1"/>
        <w:spacing w:after="0"/>
        <w:ind w:left="777"/>
        <w:rPr>
          <w:rFonts w:ascii="Times New Roman" w:hAnsi="Times New Roman" w:cs="Times New Roman"/>
          <w:color w:val="auto"/>
        </w:rPr>
      </w:pPr>
    </w:p>
    <w:p w14:paraId="07963AD4" w14:textId="295B85EC" w:rsidR="00B61A01" w:rsidRPr="004E755C" w:rsidRDefault="00E14226" w:rsidP="000E7036">
      <w:pPr>
        <w:pStyle w:val="BodyText1"/>
        <w:rPr>
          <w:rFonts w:ascii="Times New Roman" w:hAnsi="Times New Roman" w:cs="Times New Roman"/>
          <w:color w:val="auto"/>
        </w:rPr>
      </w:pPr>
      <w:r>
        <w:rPr>
          <w:rFonts w:ascii="Times New Roman" w:hAnsi="Times New Roman" w:cs="Times New Roman"/>
          <w:color w:val="auto"/>
        </w:rPr>
        <w:t>Below ACCAN sets out its concerns and proposed remedies for the ACCC’s consideration.</w:t>
      </w:r>
    </w:p>
    <w:p w14:paraId="34FDE866" w14:textId="627C47FE" w:rsidR="000E7036" w:rsidRPr="0005266B" w:rsidRDefault="000E7036" w:rsidP="000E7036">
      <w:pPr>
        <w:pStyle w:val="BodyText1"/>
        <w:rPr>
          <w:rFonts w:ascii="Times New Roman" w:hAnsi="Times New Roman" w:cs="Times New Roman"/>
          <w:i/>
          <w:color w:val="auto"/>
        </w:rPr>
      </w:pPr>
      <w:r w:rsidRPr="0005266B">
        <w:rPr>
          <w:rFonts w:ascii="Times New Roman" w:hAnsi="Times New Roman" w:cs="Times New Roman"/>
          <w:i/>
          <w:color w:val="auto"/>
        </w:rPr>
        <w:t xml:space="preserve">Privacy </w:t>
      </w:r>
    </w:p>
    <w:p w14:paraId="60C1F231" w14:textId="43CD51A8" w:rsidR="00221F93" w:rsidRDefault="005874CE" w:rsidP="000E7036">
      <w:pPr>
        <w:pStyle w:val="BodyText1"/>
        <w:jc w:val="both"/>
        <w:rPr>
          <w:rFonts w:ascii="Times New Roman" w:hAnsi="Times New Roman" w:cs="Times New Roman"/>
          <w:color w:val="000000" w:themeColor="text1"/>
        </w:rPr>
      </w:pPr>
      <w:r w:rsidRPr="0005266B">
        <w:rPr>
          <w:rFonts w:ascii="Times New Roman" w:hAnsi="Times New Roman" w:cs="Times New Roman"/>
          <w:color w:val="000000" w:themeColor="text1"/>
        </w:rPr>
        <w:t>ACCAN supports the expansion of the</w:t>
      </w:r>
      <w:r w:rsidR="008A2BC9" w:rsidRPr="0005266B">
        <w:rPr>
          <w:rFonts w:ascii="Times New Roman" w:hAnsi="Times New Roman" w:cs="Times New Roman"/>
          <w:color w:val="000000" w:themeColor="text1"/>
        </w:rPr>
        <w:t xml:space="preserve"> scope of the</w:t>
      </w:r>
      <w:r w:rsidRPr="0005266B">
        <w:rPr>
          <w:rFonts w:ascii="Times New Roman" w:hAnsi="Times New Roman" w:cs="Times New Roman"/>
          <w:color w:val="000000" w:themeColor="text1"/>
        </w:rPr>
        <w:t xml:space="preserve"> privacy </w:t>
      </w:r>
      <w:r w:rsidR="008A2BC9" w:rsidRPr="0005266B">
        <w:rPr>
          <w:rFonts w:ascii="Times New Roman" w:hAnsi="Times New Roman" w:cs="Times New Roman"/>
          <w:color w:val="000000" w:themeColor="text1"/>
        </w:rPr>
        <w:t>safeguards</w:t>
      </w:r>
      <w:r w:rsidRPr="0005266B">
        <w:rPr>
          <w:rFonts w:ascii="Times New Roman" w:hAnsi="Times New Roman" w:cs="Times New Roman"/>
          <w:color w:val="000000" w:themeColor="text1"/>
        </w:rPr>
        <w:t xml:space="preserve"> provided to consumers through the rule making process</w:t>
      </w:r>
      <w:r w:rsidR="00CE13D7" w:rsidRPr="0005266B">
        <w:rPr>
          <w:rFonts w:ascii="Times New Roman" w:hAnsi="Times New Roman" w:cs="Times New Roman"/>
          <w:color w:val="000000" w:themeColor="text1"/>
        </w:rPr>
        <w:t xml:space="preserve"> in order to </w:t>
      </w:r>
      <w:r w:rsidR="008A2BC9" w:rsidRPr="0005266B">
        <w:rPr>
          <w:rFonts w:ascii="Times New Roman" w:hAnsi="Times New Roman" w:cs="Times New Roman"/>
          <w:color w:val="000000" w:themeColor="text1"/>
        </w:rPr>
        <w:t xml:space="preserve">ensure that the privacy of consumers is adequately protected. </w:t>
      </w:r>
      <w:r w:rsidR="004F6067" w:rsidRPr="0005266B">
        <w:rPr>
          <w:rFonts w:ascii="Times New Roman" w:hAnsi="Times New Roman" w:cs="Times New Roman"/>
          <w:color w:val="000000" w:themeColor="text1"/>
        </w:rPr>
        <w:t>Privacy is important to consumers,</w:t>
      </w:r>
      <w:r w:rsidR="00A16B8C" w:rsidRPr="0005266B">
        <w:rPr>
          <w:rFonts w:ascii="Times New Roman" w:hAnsi="Times New Roman" w:cs="Times New Roman"/>
          <w:color w:val="000000" w:themeColor="text1"/>
        </w:rPr>
        <w:t xml:space="preserve"> and a loss of privacy can cause material detriment to consumers through a loss of personal security, direct and indirect financial loss and a loss of confidence. </w:t>
      </w:r>
      <w:r w:rsidR="00221F93" w:rsidRPr="0005266B">
        <w:rPr>
          <w:rFonts w:ascii="Times New Roman" w:hAnsi="Times New Roman" w:cs="Times New Roman"/>
          <w:color w:val="000000" w:themeColor="text1"/>
        </w:rPr>
        <w:t xml:space="preserve">Consumers are entitled to have their privacy treated with respect and have the confidence that their personal information is only being used in accordance with their wishes. </w:t>
      </w:r>
    </w:p>
    <w:p w14:paraId="534DB867" w14:textId="77777777" w:rsidR="00B61A01" w:rsidRPr="0005266B" w:rsidRDefault="00B61A01" w:rsidP="000E7036">
      <w:pPr>
        <w:pStyle w:val="BodyText1"/>
        <w:jc w:val="both"/>
        <w:rPr>
          <w:rFonts w:ascii="Times New Roman" w:hAnsi="Times New Roman" w:cs="Times New Roman"/>
          <w:color w:val="000000" w:themeColor="text1"/>
        </w:rPr>
      </w:pPr>
    </w:p>
    <w:p w14:paraId="7317CADE" w14:textId="3D7C445D" w:rsidR="00B22145" w:rsidRPr="0005266B" w:rsidRDefault="000B6BA1" w:rsidP="000E7036">
      <w:pPr>
        <w:pStyle w:val="BodyText1"/>
        <w:jc w:val="both"/>
        <w:rPr>
          <w:rFonts w:ascii="Times New Roman" w:hAnsi="Times New Roman" w:cs="Times New Roman"/>
          <w:color w:val="auto"/>
        </w:rPr>
      </w:pPr>
      <w:r w:rsidRPr="0005266B">
        <w:rPr>
          <w:rFonts w:ascii="Times New Roman" w:hAnsi="Times New Roman" w:cs="Times New Roman"/>
          <w:color w:val="auto"/>
        </w:rPr>
        <w:t xml:space="preserve">The first version of the rules will only apply to the </w:t>
      </w:r>
      <w:r w:rsidR="000E7036" w:rsidRPr="0005266B">
        <w:rPr>
          <w:rFonts w:ascii="Times New Roman" w:hAnsi="Times New Roman" w:cs="Times New Roman"/>
          <w:color w:val="auto"/>
        </w:rPr>
        <w:t xml:space="preserve">four major banks and </w:t>
      </w:r>
      <w:r w:rsidR="00B22145" w:rsidRPr="0005266B">
        <w:rPr>
          <w:rFonts w:ascii="Times New Roman" w:hAnsi="Times New Roman" w:cs="Times New Roman"/>
          <w:color w:val="auto"/>
        </w:rPr>
        <w:t>does</w:t>
      </w:r>
      <w:r w:rsidRPr="0005266B">
        <w:rPr>
          <w:rFonts w:ascii="Times New Roman" w:hAnsi="Times New Roman" w:cs="Times New Roman"/>
          <w:color w:val="auto"/>
        </w:rPr>
        <w:t xml:space="preserve"> not </w:t>
      </w:r>
      <w:r w:rsidR="00B22145" w:rsidRPr="0005266B">
        <w:rPr>
          <w:rFonts w:ascii="Times New Roman" w:hAnsi="Times New Roman" w:cs="Times New Roman"/>
          <w:color w:val="auto"/>
        </w:rPr>
        <w:t>expressly allow</w:t>
      </w:r>
      <w:r w:rsidRPr="0005266B">
        <w:rPr>
          <w:rFonts w:ascii="Times New Roman" w:hAnsi="Times New Roman" w:cs="Times New Roman"/>
          <w:color w:val="auto"/>
        </w:rPr>
        <w:t xml:space="preserve"> for </w:t>
      </w:r>
      <w:r w:rsidR="000E7036" w:rsidRPr="0005266B">
        <w:rPr>
          <w:rFonts w:ascii="Times New Roman" w:hAnsi="Times New Roman" w:cs="Times New Roman"/>
          <w:color w:val="auto"/>
        </w:rPr>
        <w:t>the transf</w:t>
      </w:r>
      <w:r w:rsidR="0031720C" w:rsidRPr="0005266B">
        <w:rPr>
          <w:rFonts w:ascii="Times New Roman" w:hAnsi="Times New Roman" w:cs="Times New Roman"/>
          <w:color w:val="auto"/>
        </w:rPr>
        <w:t xml:space="preserve">er of CDR data to third parties. As all of the four major banks are expected to be accredited participants within the scope of the CDR scheme the additional privacy protections articulated within the draft bill </w:t>
      </w:r>
      <w:r w:rsidR="00321E86" w:rsidRPr="0005266B">
        <w:rPr>
          <w:rFonts w:ascii="Times New Roman" w:hAnsi="Times New Roman" w:cs="Times New Roman"/>
          <w:color w:val="auto"/>
        </w:rPr>
        <w:t xml:space="preserve">will apply to </w:t>
      </w:r>
      <w:r w:rsidR="00135A65" w:rsidRPr="0005266B">
        <w:rPr>
          <w:rFonts w:ascii="Times New Roman" w:hAnsi="Times New Roman" w:cs="Times New Roman"/>
          <w:color w:val="auto"/>
        </w:rPr>
        <w:t>all participants.</w:t>
      </w:r>
    </w:p>
    <w:p w14:paraId="5F759B77" w14:textId="72A3B4D2" w:rsidR="00B22145" w:rsidRPr="0005266B" w:rsidRDefault="00670426" w:rsidP="008D381B">
      <w:pPr>
        <w:pStyle w:val="BodyText1"/>
        <w:jc w:val="both"/>
        <w:rPr>
          <w:rFonts w:ascii="Times New Roman" w:hAnsi="Times New Roman" w:cs="Times New Roman"/>
          <w:color w:val="000000" w:themeColor="text1"/>
        </w:rPr>
      </w:pPr>
      <w:r w:rsidRPr="0005266B">
        <w:rPr>
          <w:rFonts w:ascii="Times New Roman" w:hAnsi="Times New Roman" w:cs="Times New Roman"/>
          <w:color w:val="000000" w:themeColor="text1"/>
        </w:rPr>
        <w:t>The first ver</w:t>
      </w:r>
      <w:r w:rsidR="00135A65" w:rsidRPr="0005266B">
        <w:rPr>
          <w:rFonts w:ascii="Times New Roman" w:hAnsi="Times New Roman" w:cs="Times New Roman"/>
          <w:color w:val="000000" w:themeColor="text1"/>
        </w:rPr>
        <w:t xml:space="preserve">sion of the </w:t>
      </w:r>
      <w:r w:rsidR="00B22145" w:rsidRPr="0005266B">
        <w:rPr>
          <w:rFonts w:ascii="Times New Roman" w:hAnsi="Times New Roman" w:cs="Times New Roman"/>
          <w:color w:val="000000" w:themeColor="text1"/>
        </w:rPr>
        <w:t>rules does not set out</w:t>
      </w:r>
      <w:r w:rsidR="0098658F" w:rsidRPr="0005266B">
        <w:rPr>
          <w:rFonts w:ascii="Times New Roman" w:hAnsi="Times New Roman" w:cs="Times New Roman"/>
          <w:color w:val="000000" w:themeColor="text1"/>
        </w:rPr>
        <w:t xml:space="preserve"> detailed</w:t>
      </w:r>
      <w:r w:rsidR="00135A65" w:rsidRPr="0005266B">
        <w:rPr>
          <w:rFonts w:ascii="Times New Roman" w:hAnsi="Times New Roman" w:cs="Times New Roman"/>
          <w:color w:val="000000" w:themeColor="text1"/>
        </w:rPr>
        <w:t xml:space="preserve"> principles for the extension of privacy safeguards and obligations to third parties. </w:t>
      </w:r>
      <w:r w:rsidR="00A2402F" w:rsidRPr="0005266B">
        <w:rPr>
          <w:rFonts w:ascii="Times New Roman" w:hAnsi="Times New Roman" w:cs="Times New Roman"/>
          <w:color w:val="000000" w:themeColor="text1"/>
        </w:rPr>
        <w:t xml:space="preserve">ACCAN cannot therefore provide </w:t>
      </w:r>
      <w:r w:rsidR="009A5373" w:rsidRPr="0005266B">
        <w:rPr>
          <w:rFonts w:ascii="Times New Roman" w:hAnsi="Times New Roman" w:cs="Times New Roman"/>
          <w:color w:val="000000" w:themeColor="text1"/>
        </w:rPr>
        <w:t xml:space="preserve">substantive </w:t>
      </w:r>
      <w:r w:rsidR="00A2402F" w:rsidRPr="0005266B">
        <w:rPr>
          <w:rFonts w:ascii="Times New Roman" w:hAnsi="Times New Roman" w:cs="Times New Roman"/>
          <w:color w:val="000000" w:themeColor="text1"/>
        </w:rPr>
        <w:t xml:space="preserve">comments on the suitability of the framework at principle level </w:t>
      </w:r>
      <w:r w:rsidR="009A5373" w:rsidRPr="0005266B">
        <w:rPr>
          <w:rFonts w:ascii="Times New Roman" w:hAnsi="Times New Roman" w:cs="Times New Roman"/>
          <w:color w:val="000000" w:themeColor="text1"/>
        </w:rPr>
        <w:t>for addressing the privacy risk that exists.</w:t>
      </w:r>
      <w:r w:rsidR="00B22145" w:rsidRPr="0005266B">
        <w:rPr>
          <w:rFonts w:ascii="Times New Roman" w:hAnsi="Times New Roman" w:cs="Times New Roman"/>
          <w:color w:val="000000" w:themeColor="text1"/>
        </w:rPr>
        <w:t xml:space="preserve"> </w:t>
      </w:r>
    </w:p>
    <w:p w14:paraId="325D1AC3" w14:textId="29B60A63" w:rsidR="00A2402F" w:rsidRPr="0005266B" w:rsidRDefault="00B22145" w:rsidP="008D381B">
      <w:pPr>
        <w:pStyle w:val="BodyText1"/>
        <w:jc w:val="both"/>
        <w:rPr>
          <w:rFonts w:ascii="Times New Roman" w:hAnsi="Times New Roman" w:cs="Times New Roman"/>
          <w:color w:val="000000" w:themeColor="text1"/>
        </w:rPr>
      </w:pPr>
      <w:r w:rsidRPr="0005266B">
        <w:rPr>
          <w:rFonts w:ascii="Times New Roman" w:hAnsi="Times New Roman" w:cs="Times New Roman"/>
          <w:color w:val="000000" w:themeColor="text1"/>
        </w:rPr>
        <w:t xml:space="preserve">However, </w:t>
      </w:r>
      <w:r w:rsidR="00A2402F" w:rsidRPr="0005266B">
        <w:rPr>
          <w:rFonts w:ascii="Times New Roman" w:hAnsi="Times New Roman" w:cs="Times New Roman"/>
          <w:color w:val="auto"/>
        </w:rPr>
        <w:t xml:space="preserve">ACCAN believes that the privacy safeguards should be extended to all scheme participants, </w:t>
      </w:r>
      <w:r w:rsidR="00AD6748" w:rsidRPr="0005266B">
        <w:rPr>
          <w:rFonts w:ascii="Times New Roman" w:hAnsi="Times New Roman" w:cs="Times New Roman"/>
          <w:color w:val="auto"/>
        </w:rPr>
        <w:t>including</w:t>
      </w:r>
      <w:r w:rsidR="00A2402F" w:rsidRPr="0005266B">
        <w:rPr>
          <w:rFonts w:ascii="Times New Roman" w:hAnsi="Times New Roman" w:cs="Times New Roman"/>
          <w:color w:val="auto"/>
        </w:rPr>
        <w:t xml:space="preserve"> third parties seeking to receive CDR data. </w:t>
      </w:r>
      <w:r w:rsidR="007E1CE6" w:rsidRPr="0005266B">
        <w:rPr>
          <w:rFonts w:ascii="Times New Roman" w:hAnsi="Times New Roman" w:cs="Times New Roman"/>
          <w:color w:val="auto"/>
        </w:rPr>
        <w:t xml:space="preserve">In the absence of comprehensive privacy protections there is a material risk that malicious parties will seek to obtain CDR data from that part of the system with the weakest protections – third </w:t>
      </w:r>
      <w:r w:rsidR="00480696" w:rsidRPr="0005266B">
        <w:rPr>
          <w:rFonts w:ascii="Times New Roman" w:hAnsi="Times New Roman" w:cs="Times New Roman"/>
          <w:color w:val="auto"/>
        </w:rPr>
        <w:t>party recipients</w:t>
      </w:r>
      <w:r w:rsidR="007E1CE6" w:rsidRPr="0005266B">
        <w:rPr>
          <w:rFonts w:ascii="Times New Roman" w:hAnsi="Times New Roman" w:cs="Times New Roman"/>
          <w:color w:val="auto"/>
        </w:rPr>
        <w:t xml:space="preserve">. </w:t>
      </w:r>
      <w:r w:rsidR="0037613E" w:rsidRPr="0005266B">
        <w:rPr>
          <w:rFonts w:ascii="Times New Roman" w:hAnsi="Times New Roman" w:cs="Times New Roman"/>
          <w:color w:val="auto"/>
        </w:rPr>
        <w:t xml:space="preserve">For consumers this has the potential to result in significant loss of privacy, theft, loss or misuse of their data. </w:t>
      </w:r>
    </w:p>
    <w:p w14:paraId="49CB7F2A" w14:textId="69A1F781" w:rsidR="00B47BD9" w:rsidRPr="0005266B" w:rsidRDefault="0037613E" w:rsidP="00B47BD9">
      <w:pPr>
        <w:spacing w:before="100" w:beforeAutospacing="1" w:after="100" w:afterAutospacing="1"/>
        <w:jc w:val="both"/>
        <w:rPr>
          <w:rFonts w:ascii="Times New Roman" w:hAnsi="Times New Roman" w:cs="Times New Roman"/>
        </w:rPr>
      </w:pPr>
      <w:r w:rsidRPr="0005266B">
        <w:rPr>
          <w:rFonts w:ascii="Times New Roman" w:hAnsi="Times New Roman" w:cs="Times New Roman"/>
        </w:rPr>
        <w:t xml:space="preserve">In the absence of comprehensive privacy obligations, third party data recipients will have limited incentives to invest in appropriate processes and technical measures to ensure that consumers’ data is adequately protected. </w:t>
      </w:r>
      <w:r w:rsidR="009A5373" w:rsidRPr="0005266B">
        <w:rPr>
          <w:rFonts w:ascii="Times New Roman" w:hAnsi="Times New Roman" w:cs="Times New Roman"/>
        </w:rPr>
        <w:t>Accordingly,</w:t>
      </w:r>
      <w:r w:rsidR="00986DD8" w:rsidRPr="0005266B">
        <w:rPr>
          <w:rFonts w:ascii="Times New Roman" w:hAnsi="Times New Roman" w:cs="Times New Roman"/>
        </w:rPr>
        <w:t xml:space="preserve"> ACCAN supports the introduction of comprehensive privacy protections when the CDR scheme is extended to the telecommunications sector, and </w:t>
      </w:r>
      <w:r w:rsidR="00B47BD9" w:rsidRPr="0005266B">
        <w:rPr>
          <w:rFonts w:ascii="Times New Roman" w:hAnsi="Times New Roman" w:cs="Times New Roman"/>
        </w:rPr>
        <w:t>third-party</w:t>
      </w:r>
      <w:r w:rsidR="00986DD8" w:rsidRPr="0005266B">
        <w:rPr>
          <w:rFonts w:ascii="Times New Roman" w:hAnsi="Times New Roman" w:cs="Times New Roman"/>
        </w:rPr>
        <w:t xml:space="preserve"> entities become able to receive or collect consumer data.</w:t>
      </w:r>
    </w:p>
    <w:p w14:paraId="585C9FF9" w14:textId="7F9936F2" w:rsidR="00B47BD9" w:rsidRPr="0005266B" w:rsidRDefault="00B47BD9" w:rsidP="00B47BD9">
      <w:pPr>
        <w:jc w:val="both"/>
        <w:rPr>
          <w:rFonts w:ascii="Times New Roman" w:hAnsi="Times New Roman" w:cs="Times New Roman"/>
          <w:i/>
          <w:color w:val="000000" w:themeColor="text1"/>
        </w:rPr>
      </w:pPr>
      <w:r w:rsidRPr="0005266B">
        <w:rPr>
          <w:rFonts w:ascii="Times New Roman" w:hAnsi="Times New Roman" w:cs="Times New Roman"/>
          <w:i/>
          <w:color w:val="000000" w:themeColor="text1"/>
        </w:rPr>
        <w:t xml:space="preserve">Accreditation standards </w:t>
      </w:r>
    </w:p>
    <w:p w14:paraId="47A0C763" w14:textId="5A899B20" w:rsidR="00A04198" w:rsidRPr="0005266B" w:rsidRDefault="00B47BD9" w:rsidP="00B47BD9">
      <w:pPr>
        <w:jc w:val="both"/>
        <w:rPr>
          <w:rFonts w:ascii="Times New Roman" w:hAnsi="Times New Roman" w:cs="Times New Roman"/>
          <w:color w:val="000000" w:themeColor="text1"/>
        </w:rPr>
      </w:pPr>
      <w:r w:rsidRPr="0005266B">
        <w:rPr>
          <w:rFonts w:ascii="Times New Roman" w:hAnsi="Times New Roman" w:cs="Times New Roman"/>
          <w:color w:val="000000" w:themeColor="text1"/>
        </w:rPr>
        <w:t>ACCAN is supportive of strong accreditation standards in order to protect consumers from misuse or abuse of their data for the purpose of commercial gain. Accordingly, we are supportive of the proposed introduction of</w:t>
      </w:r>
      <w:r w:rsidR="003A6A3A" w:rsidRPr="0005266B">
        <w:rPr>
          <w:rFonts w:ascii="Times New Roman" w:hAnsi="Times New Roman" w:cs="Times New Roman"/>
          <w:color w:val="000000" w:themeColor="text1"/>
        </w:rPr>
        <w:t xml:space="preserve"> requirements that </w:t>
      </w:r>
      <w:r w:rsidR="000F691C" w:rsidRPr="0005266B">
        <w:rPr>
          <w:rFonts w:ascii="Times New Roman" w:hAnsi="Times New Roman" w:cs="Times New Roman"/>
          <w:color w:val="000000" w:themeColor="text1"/>
        </w:rPr>
        <w:t xml:space="preserve">a party seeking accreditation is </w:t>
      </w:r>
      <w:r w:rsidR="003A6A3A" w:rsidRPr="0005266B">
        <w:rPr>
          <w:rFonts w:ascii="Times New Roman" w:hAnsi="Times New Roman" w:cs="Times New Roman"/>
          <w:color w:val="000000" w:themeColor="text1"/>
        </w:rPr>
        <w:t xml:space="preserve">a </w:t>
      </w:r>
      <w:r w:rsidR="000F691C" w:rsidRPr="0005266B">
        <w:rPr>
          <w:rFonts w:ascii="Times New Roman" w:hAnsi="Times New Roman" w:cs="Times New Roman"/>
          <w:color w:val="000000" w:themeColor="text1"/>
        </w:rPr>
        <w:t>‘</w:t>
      </w:r>
      <w:r w:rsidR="003A6A3A" w:rsidRPr="0005266B">
        <w:rPr>
          <w:rFonts w:ascii="Times New Roman" w:hAnsi="Times New Roman" w:cs="Times New Roman"/>
          <w:color w:val="000000" w:themeColor="text1"/>
        </w:rPr>
        <w:t>fit and proper</w:t>
      </w:r>
      <w:r w:rsidR="000F691C" w:rsidRPr="0005266B">
        <w:rPr>
          <w:rFonts w:ascii="Times New Roman" w:hAnsi="Times New Roman" w:cs="Times New Roman"/>
          <w:color w:val="000000" w:themeColor="text1"/>
        </w:rPr>
        <w:t>’</w:t>
      </w:r>
      <w:r w:rsidR="003A6A3A" w:rsidRPr="0005266B">
        <w:rPr>
          <w:rFonts w:ascii="Times New Roman" w:hAnsi="Times New Roman" w:cs="Times New Roman"/>
          <w:color w:val="000000" w:themeColor="text1"/>
        </w:rPr>
        <w:t xml:space="preserve"> person</w:t>
      </w:r>
      <w:r w:rsidR="000F691C" w:rsidRPr="0005266B">
        <w:rPr>
          <w:rFonts w:ascii="Times New Roman" w:hAnsi="Times New Roman" w:cs="Times New Roman"/>
          <w:color w:val="000000" w:themeColor="text1"/>
        </w:rPr>
        <w:t xml:space="preserve"> to receive CDR data. </w:t>
      </w:r>
    </w:p>
    <w:p w14:paraId="04205BB2" w14:textId="77777777" w:rsidR="007C349C" w:rsidRPr="0005266B" w:rsidRDefault="00914771" w:rsidP="00B47BD9">
      <w:pPr>
        <w:jc w:val="both"/>
        <w:rPr>
          <w:rFonts w:ascii="Times New Roman" w:hAnsi="Times New Roman" w:cs="Times New Roman"/>
          <w:color w:val="000000" w:themeColor="text1"/>
        </w:rPr>
      </w:pPr>
      <w:r w:rsidRPr="0005266B">
        <w:rPr>
          <w:rFonts w:ascii="Times New Roman" w:hAnsi="Times New Roman" w:cs="Times New Roman"/>
          <w:color w:val="000000" w:themeColor="text1"/>
        </w:rPr>
        <w:t>The requirement that a party be ‘fit and proper’ draws upon existing legal princi</w:t>
      </w:r>
      <w:r w:rsidR="009A5BA1" w:rsidRPr="0005266B">
        <w:rPr>
          <w:rFonts w:ascii="Times New Roman" w:hAnsi="Times New Roman" w:cs="Times New Roman"/>
          <w:color w:val="000000" w:themeColor="text1"/>
        </w:rPr>
        <w:t>ple that an individual is not ‘fit and proper’ if</w:t>
      </w:r>
      <w:r w:rsidR="007C349C" w:rsidRPr="0005266B">
        <w:rPr>
          <w:rFonts w:ascii="Times New Roman" w:hAnsi="Times New Roman" w:cs="Times New Roman"/>
          <w:color w:val="000000" w:themeColor="text1"/>
        </w:rPr>
        <w:t>:</w:t>
      </w:r>
    </w:p>
    <w:p w14:paraId="482355D1" w14:textId="5A893AFD" w:rsidR="00806AD3" w:rsidRPr="0005266B" w:rsidRDefault="00806AD3" w:rsidP="00057D84">
      <w:pPr>
        <w:pStyle w:val="ListParagraph"/>
        <w:numPr>
          <w:ilvl w:val="0"/>
          <w:numId w:val="4"/>
        </w:numPr>
        <w:spacing w:line="276" w:lineRule="auto"/>
        <w:jc w:val="both"/>
        <w:rPr>
          <w:rFonts w:ascii="Times New Roman" w:hAnsi="Times New Roman" w:cs="Times New Roman"/>
          <w:color w:val="000000" w:themeColor="text1"/>
        </w:rPr>
      </w:pPr>
      <w:r w:rsidRPr="0005266B">
        <w:rPr>
          <w:rFonts w:ascii="Times New Roman" w:hAnsi="Times New Roman" w:cs="Times New Roman"/>
          <w:color w:val="000000" w:themeColor="text1"/>
        </w:rPr>
        <w:t>they been engaged in</w:t>
      </w:r>
      <w:r w:rsidR="009B5180" w:rsidRPr="0005266B">
        <w:rPr>
          <w:rFonts w:ascii="Times New Roman" w:hAnsi="Times New Roman" w:cs="Times New Roman"/>
          <w:color w:val="000000" w:themeColor="text1"/>
        </w:rPr>
        <w:t xml:space="preserve"> dishonest, misleading or fraudulent conduct;</w:t>
      </w:r>
    </w:p>
    <w:p w14:paraId="397C7CB1" w14:textId="3A9E04D5" w:rsidR="00B47BD9" w:rsidRPr="0005266B" w:rsidRDefault="007C349C" w:rsidP="00057D84">
      <w:pPr>
        <w:pStyle w:val="ListParagraph"/>
        <w:numPr>
          <w:ilvl w:val="0"/>
          <w:numId w:val="4"/>
        </w:numPr>
        <w:spacing w:line="276" w:lineRule="auto"/>
        <w:jc w:val="both"/>
        <w:rPr>
          <w:rFonts w:ascii="Times New Roman" w:hAnsi="Times New Roman" w:cs="Times New Roman"/>
          <w:color w:val="000000" w:themeColor="text1"/>
        </w:rPr>
      </w:pPr>
      <w:r w:rsidRPr="0005266B">
        <w:rPr>
          <w:rFonts w:ascii="Times New Roman" w:hAnsi="Times New Roman" w:cs="Times New Roman"/>
          <w:color w:val="000000" w:themeColor="text1"/>
        </w:rPr>
        <w:t xml:space="preserve">the applicant (or </w:t>
      </w:r>
      <w:r w:rsidR="00806AD3" w:rsidRPr="0005266B">
        <w:rPr>
          <w:rFonts w:ascii="Times New Roman" w:hAnsi="Times New Roman" w:cs="Times New Roman"/>
          <w:color w:val="000000" w:themeColor="text1"/>
        </w:rPr>
        <w:t>its</w:t>
      </w:r>
      <w:r w:rsidRPr="0005266B">
        <w:rPr>
          <w:rFonts w:ascii="Times New Roman" w:hAnsi="Times New Roman" w:cs="Times New Roman"/>
          <w:color w:val="000000" w:themeColor="text1"/>
        </w:rPr>
        <w:t xml:space="preserve"> directors)</w:t>
      </w:r>
      <w:r w:rsidR="009A5BA1" w:rsidRPr="0005266B">
        <w:rPr>
          <w:rFonts w:ascii="Times New Roman" w:hAnsi="Times New Roman" w:cs="Times New Roman"/>
          <w:color w:val="000000" w:themeColor="text1"/>
        </w:rPr>
        <w:t xml:space="preserve"> have been charged with or convicted of a serious criminal offence, or an offence of dishonesty, against the law of the Commonwea</w:t>
      </w:r>
      <w:r w:rsidR="00806AD3" w:rsidRPr="0005266B">
        <w:rPr>
          <w:rFonts w:ascii="Times New Roman" w:hAnsi="Times New Roman" w:cs="Times New Roman"/>
          <w:color w:val="000000" w:themeColor="text1"/>
        </w:rPr>
        <w:t xml:space="preserve">lth or of a State or Territory; </w:t>
      </w:r>
      <w:r w:rsidR="00E14226">
        <w:rPr>
          <w:rFonts w:ascii="Times New Roman" w:hAnsi="Times New Roman" w:cs="Times New Roman"/>
          <w:color w:val="000000" w:themeColor="text1"/>
        </w:rPr>
        <w:t>and</w:t>
      </w:r>
    </w:p>
    <w:p w14:paraId="7EEEB53B" w14:textId="44C54A33" w:rsidR="00D3068D" w:rsidRPr="0005266B" w:rsidRDefault="007C349C" w:rsidP="00B47BD9">
      <w:pPr>
        <w:pStyle w:val="ListParagraph"/>
        <w:numPr>
          <w:ilvl w:val="0"/>
          <w:numId w:val="4"/>
        </w:numPr>
        <w:spacing w:line="276" w:lineRule="auto"/>
        <w:jc w:val="both"/>
        <w:rPr>
          <w:rFonts w:ascii="Times New Roman" w:hAnsi="Times New Roman" w:cs="Times New Roman"/>
          <w:color w:val="000000" w:themeColor="text1"/>
        </w:rPr>
      </w:pPr>
      <w:proofErr w:type="gramStart"/>
      <w:r w:rsidRPr="0005266B">
        <w:rPr>
          <w:rFonts w:ascii="Times New Roman" w:hAnsi="Times New Roman" w:cs="Times New Roman"/>
          <w:color w:val="000000" w:themeColor="text1"/>
        </w:rPr>
        <w:t>the</w:t>
      </w:r>
      <w:proofErr w:type="gramEnd"/>
      <w:r w:rsidRPr="0005266B">
        <w:rPr>
          <w:rFonts w:ascii="Times New Roman" w:hAnsi="Times New Roman" w:cs="Times New Roman"/>
          <w:color w:val="000000" w:themeColor="text1"/>
        </w:rPr>
        <w:t xml:space="preserve"> </w:t>
      </w:r>
      <w:r w:rsidR="00082838" w:rsidRPr="0005266B">
        <w:rPr>
          <w:rFonts w:ascii="Times New Roman" w:hAnsi="Times New Roman" w:cs="Times New Roman"/>
          <w:color w:val="000000" w:themeColor="text1"/>
        </w:rPr>
        <w:t>applicant (or its directors) has</w:t>
      </w:r>
      <w:r w:rsidR="00806AD3" w:rsidRPr="0005266B">
        <w:rPr>
          <w:rFonts w:ascii="Times New Roman" w:hAnsi="Times New Roman" w:cs="Times New Roman"/>
          <w:color w:val="000000" w:themeColor="text1"/>
        </w:rPr>
        <w:t xml:space="preserve"> been found to have </w:t>
      </w:r>
      <w:r w:rsidR="00D3068D" w:rsidRPr="0005266B">
        <w:rPr>
          <w:rFonts w:ascii="Times New Roman" w:hAnsi="Times New Roman" w:cs="Times New Roman"/>
          <w:color w:val="000000" w:themeColor="text1"/>
        </w:rPr>
        <w:t>contravened or</w:t>
      </w:r>
      <w:r w:rsidR="00806AD3" w:rsidRPr="0005266B">
        <w:rPr>
          <w:rFonts w:ascii="Times New Roman" w:hAnsi="Times New Roman" w:cs="Times New Roman"/>
          <w:color w:val="000000" w:themeColor="text1"/>
        </w:rPr>
        <w:t xml:space="preserve"> have had civil proceedings commenced against the applicant alleging contravention of, a law relevant to the management </w:t>
      </w:r>
      <w:r w:rsidR="00B550C0" w:rsidRPr="0005266B">
        <w:rPr>
          <w:rFonts w:ascii="Times New Roman" w:hAnsi="Times New Roman" w:cs="Times New Roman"/>
          <w:color w:val="000000" w:themeColor="text1"/>
        </w:rPr>
        <w:t>of CDR data</w:t>
      </w:r>
      <w:r w:rsidR="009E212E" w:rsidRPr="0005266B">
        <w:rPr>
          <w:rFonts w:ascii="Times New Roman" w:hAnsi="Times New Roman" w:cs="Times New Roman"/>
          <w:color w:val="000000" w:themeColor="text1"/>
        </w:rPr>
        <w:t>.</w:t>
      </w:r>
      <w:r w:rsidR="009E212E" w:rsidRPr="0005266B">
        <w:rPr>
          <w:rStyle w:val="FootnoteReference"/>
        </w:rPr>
        <w:footnoteReference w:id="1"/>
      </w:r>
      <w:r w:rsidR="00B550C0" w:rsidRPr="0005266B">
        <w:rPr>
          <w:rFonts w:ascii="Times New Roman" w:hAnsi="Times New Roman" w:cs="Times New Roman"/>
          <w:color w:val="000000" w:themeColor="text1"/>
        </w:rPr>
        <w:t xml:space="preserve"> </w:t>
      </w:r>
    </w:p>
    <w:p w14:paraId="70804C17" w14:textId="77777777" w:rsidR="008C50A4" w:rsidRPr="0005266B" w:rsidRDefault="008C50A4" w:rsidP="008C50A4">
      <w:pPr>
        <w:pStyle w:val="ListParagraph"/>
        <w:spacing w:line="276" w:lineRule="auto"/>
        <w:ind w:left="778"/>
        <w:jc w:val="both"/>
        <w:rPr>
          <w:rFonts w:ascii="Times New Roman" w:hAnsi="Times New Roman" w:cs="Times New Roman"/>
          <w:color w:val="000000" w:themeColor="text1"/>
        </w:rPr>
      </w:pPr>
    </w:p>
    <w:p w14:paraId="7151BCF0" w14:textId="77777777" w:rsidR="00D13993" w:rsidRDefault="00D13993" w:rsidP="00B47BD9">
      <w:pPr>
        <w:jc w:val="both"/>
        <w:rPr>
          <w:rFonts w:ascii="Times New Roman" w:hAnsi="Times New Roman" w:cs="Times New Roman"/>
          <w:color w:val="000000" w:themeColor="text1"/>
        </w:rPr>
      </w:pPr>
    </w:p>
    <w:p w14:paraId="67CA30BB" w14:textId="77777777" w:rsidR="00D13993" w:rsidRDefault="00D13993" w:rsidP="00B47BD9">
      <w:pPr>
        <w:jc w:val="both"/>
        <w:rPr>
          <w:rFonts w:ascii="Times New Roman" w:hAnsi="Times New Roman" w:cs="Times New Roman"/>
          <w:color w:val="000000" w:themeColor="text1"/>
        </w:rPr>
      </w:pPr>
    </w:p>
    <w:p w14:paraId="52BC6534" w14:textId="77777777" w:rsidR="00D13993" w:rsidRDefault="00D13993" w:rsidP="00B47BD9">
      <w:pPr>
        <w:jc w:val="both"/>
        <w:rPr>
          <w:rFonts w:ascii="Times New Roman" w:hAnsi="Times New Roman" w:cs="Times New Roman"/>
          <w:color w:val="000000" w:themeColor="text1"/>
        </w:rPr>
      </w:pPr>
    </w:p>
    <w:p w14:paraId="56F8333D" w14:textId="04AA5792" w:rsidR="000F691C" w:rsidRPr="0005266B" w:rsidRDefault="00B47BD9" w:rsidP="00B47BD9">
      <w:pPr>
        <w:jc w:val="both"/>
        <w:rPr>
          <w:rFonts w:ascii="Times New Roman" w:hAnsi="Times New Roman" w:cs="Times New Roman"/>
          <w:color w:val="000000" w:themeColor="text1"/>
        </w:rPr>
      </w:pPr>
      <w:r w:rsidRPr="0005266B">
        <w:rPr>
          <w:rFonts w:ascii="Times New Roman" w:hAnsi="Times New Roman" w:cs="Times New Roman"/>
          <w:color w:val="000000" w:themeColor="text1"/>
        </w:rPr>
        <w:lastRenderedPageBreak/>
        <w:t xml:space="preserve">A rigorous approach should be taken with respect to the assessment of accreditation against the stated criteria, and the market share and scale of an entity should not be a basis for entities </w:t>
      </w:r>
      <w:r w:rsidR="00AD58A8" w:rsidRPr="0005266B">
        <w:rPr>
          <w:rFonts w:ascii="Times New Roman" w:hAnsi="Times New Roman" w:cs="Times New Roman"/>
          <w:color w:val="000000" w:themeColor="text1"/>
        </w:rPr>
        <w:t xml:space="preserve">having their accreditation automatically approved. </w:t>
      </w:r>
      <w:r w:rsidR="009B5180" w:rsidRPr="0005266B">
        <w:rPr>
          <w:rFonts w:ascii="Times New Roman" w:hAnsi="Times New Roman" w:cs="Times New Roman"/>
          <w:color w:val="000000" w:themeColor="text1"/>
        </w:rPr>
        <w:t>The consumer data that is to be transferred under the CDR system is of immense economic value and has the potential to materially affect market outcomes for consumers</w:t>
      </w:r>
      <w:r w:rsidR="00E14226">
        <w:rPr>
          <w:rFonts w:ascii="Times New Roman" w:hAnsi="Times New Roman" w:cs="Times New Roman"/>
          <w:color w:val="000000" w:themeColor="text1"/>
        </w:rPr>
        <w:t>. I</w:t>
      </w:r>
      <w:r w:rsidR="009B5180" w:rsidRPr="0005266B">
        <w:rPr>
          <w:rFonts w:ascii="Times New Roman" w:hAnsi="Times New Roman" w:cs="Times New Roman"/>
          <w:color w:val="000000" w:themeColor="text1"/>
        </w:rPr>
        <w:t xml:space="preserve">t is therefore inappropriate that this data is accessed, transferred or otherwise handled by parties that are not ‘fit or proper’ persons. </w:t>
      </w:r>
    </w:p>
    <w:p w14:paraId="487804D4" w14:textId="738981EF" w:rsidR="0005266B" w:rsidRDefault="00A04198" w:rsidP="00B47BD9">
      <w:pPr>
        <w:jc w:val="both"/>
        <w:rPr>
          <w:rFonts w:ascii="Times New Roman" w:hAnsi="Times New Roman" w:cs="Times New Roman"/>
          <w:color w:val="000000" w:themeColor="text1"/>
        </w:rPr>
      </w:pPr>
      <w:r w:rsidRPr="0005266B">
        <w:rPr>
          <w:rFonts w:ascii="Times New Roman" w:hAnsi="Times New Roman" w:cs="Times New Roman"/>
          <w:color w:val="000000" w:themeColor="text1"/>
        </w:rPr>
        <w:t xml:space="preserve">As noted by Treasury in the </w:t>
      </w:r>
      <w:r w:rsidRPr="0005266B">
        <w:rPr>
          <w:rFonts w:ascii="Times New Roman" w:hAnsi="Times New Roman" w:cs="Times New Roman"/>
          <w:i/>
          <w:color w:val="000000" w:themeColor="text1"/>
        </w:rPr>
        <w:t xml:space="preserve">Review into Open Banking </w:t>
      </w:r>
      <w:r w:rsidRPr="0005266B">
        <w:rPr>
          <w:rFonts w:ascii="Times New Roman" w:hAnsi="Times New Roman" w:cs="Times New Roman"/>
          <w:noProof/>
          <w:color w:val="000000" w:themeColor="text1"/>
        </w:rPr>
        <w:t>(2017, p. 22)</w:t>
      </w:r>
      <w:r w:rsidRPr="0005266B">
        <w:rPr>
          <w:rFonts w:ascii="Times New Roman" w:hAnsi="Times New Roman" w:cs="Times New Roman"/>
          <w:color w:val="000000" w:themeColor="text1"/>
        </w:rPr>
        <w:t xml:space="preserve"> accreditation will allow consumers to determine whether a </w:t>
      </w:r>
      <w:r w:rsidR="00C77F6B" w:rsidRPr="0005266B">
        <w:rPr>
          <w:rFonts w:ascii="Times New Roman" w:hAnsi="Times New Roman" w:cs="Times New Roman"/>
          <w:color w:val="000000" w:themeColor="text1"/>
        </w:rPr>
        <w:t>data recipient</w:t>
      </w:r>
      <w:r w:rsidRPr="0005266B">
        <w:rPr>
          <w:rFonts w:ascii="Times New Roman" w:hAnsi="Times New Roman" w:cs="Times New Roman"/>
          <w:color w:val="000000" w:themeColor="text1"/>
        </w:rPr>
        <w:t xml:space="preserve"> is compliant with the standards, and consequently can be considered trustworthy. The accreditation process protects consumers from malicious third parties and inspires confidence among consumers to share their data with recipients that they can trust.</w:t>
      </w:r>
    </w:p>
    <w:p w14:paraId="3021D540" w14:textId="31BA05A9" w:rsidR="00A04198" w:rsidRPr="0005266B" w:rsidRDefault="002650A8" w:rsidP="00B47BD9">
      <w:pPr>
        <w:jc w:val="both"/>
        <w:rPr>
          <w:rFonts w:ascii="Times New Roman" w:hAnsi="Times New Roman" w:cs="Times New Roman"/>
          <w:color w:val="000000" w:themeColor="text1"/>
        </w:rPr>
      </w:pPr>
      <w:r w:rsidRPr="0005266B">
        <w:rPr>
          <w:rFonts w:ascii="Times New Roman" w:hAnsi="Times New Roman" w:cs="Times New Roman"/>
          <w:color w:val="000000" w:themeColor="text1"/>
        </w:rPr>
        <w:t>The protection of consumers from detriment as a result of the misuse or abuse of their data is of paramount importance to the proposed reform, and should consumers’ trust be taken advantage of, confidence in the system and the reform is likely to falter. In those circumstances, ACCAN is concerned that the material benefits</w:t>
      </w:r>
      <w:r w:rsidR="004E3829" w:rsidRPr="0005266B">
        <w:rPr>
          <w:rFonts w:ascii="Times New Roman" w:hAnsi="Times New Roman" w:cs="Times New Roman"/>
          <w:color w:val="000000" w:themeColor="text1"/>
        </w:rPr>
        <w:t xml:space="preserve"> associated with the reform proj</w:t>
      </w:r>
      <w:r w:rsidRPr="0005266B">
        <w:rPr>
          <w:rFonts w:ascii="Times New Roman" w:hAnsi="Times New Roman" w:cs="Times New Roman"/>
          <w:color w:val="000000" w:themeColor="text1"/>
        </w:rPr>
        <w:t>ect may be forgone.</w:t>
      </w:r>
    </w:p>
    <w:p w14:paraId="6D16531F" w14:textId="6EB2C056" w:rsidR="00DD5883" w:rsidRPr="0005266B" w:rsidRDefault="004E3829" w:rsidP="00AF04EC">
      <w:pPr>
        <w:tabs>
          <w:tab w:val="left" w:pos="3969"/>
        </w:tabs>
        <w:jc w:val="both"/>
        <w:rPr>
          <w:rFonts w:ascii="Times New Roman" w:hAnsi="Times New Roman" w:cs="Times New Roman"/>
          <w:color w:val="000000" w:themeColor="text1"/>
        </w:rPr>
      </w:pPr>
      <w:r w:rsidRPr="0005266B">
        <w:rPr>
          <w:rFonts w:ascii="Times New Roman" w:hAnsi="Times New Roman" w:cs="Times New Roman"/>
          <w:color w:val="000000" w:themeColor="text1"/>
        </w:rPr>
        <w:t xml:space="preserve">The criteria for the assessment of whether a party should be accredited, if </w:t>
      </w:r>
      <w:r w:rsidR="007E616F" w:rsidRPr="0005266B">
        <w:rPr>
          <w:rFonts w:ascii="Times New Roman" w:hAnsi="Times New Roman" w:cs="Times New Roman"/>
          <w:color w:val="000000" w:themeColor="text1"/>
        </w:rPr>
        <w:t>rigorously</w:t>
      </w:r>
      <w:r w:rsidRPr="0005266B">
        <w:rPr>
          <w:rFonts w:ascii="Times New Roman" w:hAnsi="Times New Roman" w:cs="Times New Roman"/>
          <w:color w:val="000000" w:themeColor="text1"/>
        </w:rPr>
        <w:t xml:space="preserve"> applied</w:t>
      </w:r>
      <w:r w:rsidR="00D02BCB">
        <w:rPr>
          <w:rFonts w:ascii="Times New Roman" w:hAnsi="Times New Roman" w:cs="Times New Roman"/>
          <w:color w:val="000000" w:themeColor="text1"/>
        </w:rPr>
        <w:t>,</w:t>
      </w:r>
      <w:r w:rsidRPr="0005266B">
        <w:rPr>
          <w:rFonts w:ascii="Times New Roman" w:hAnsi="Times New Roman" w:cs="Times New Roman"/>
          <w:color w:val="000000" w:themeColor="text1"/>
        </w:rPr>
        <w:t xml:space="preserve"> would preclude </w:t>
      </w:r>
      <w:r w:rsidR="007E616F" w:rsidRPr="0005266B">
        <w:rPr>
          <w:rFonts w:ascii="Times New Roman" w:hAnsi="Times New Roman" w:cs="Times New Roman"/>
          <w:color w:val="000000" w:themeColor="text1"/>
        </w:rPr>
        <w:t>the accreditation of several of the major banks in the first version of the CDR</w:t>
      </w:r>
      <w:r w:rsidR="00923AEE" w:rsidRPr="0005266B">
        <w:rPr>
          <w:rFonts w:ascii="Times New Roman" w:hAnsi="Times New Roman" w:cs="Times New Roman"/>
          <w:color w:val="000000" w:themeColor="text1"/>
        </w:rPr>
        <w:t xml:space="preserve"> on the basis that they have engaged in fraudulent or dishonest conduct, as outlined in the </w:t>
      </w:r>
      <w:r w:rsidR="00DD5883" w:rsidRPr="0005266B">
        <w:rPr>
          <w:rFonts w:ascii="Times New Roman" w:hAnsi="Times New Roman" w:cs="Times New Roman"/>
          <w:i/>
          <w:color w:val="000000" w:themeColor="text1"/>
        </w:rPr>
        <w:t xml:space="preserve">Interim Report </w:t>
      </w:r>
      <w:r w:rsidR="00DD5883" w:rsidRPr="0005266B">
        <w:rPr>
          <w:rFonts w:ascii="Times New Roman" w:hAnsi="Times New Roman" w:cs="Times New Roman"/>
          <w:color w:val="000000" w:themeColor="text1"/>
        </w:rPr>
        <w:t xml:space="preserve">of the Royal Commission into Misconduct in the Banking, Superannuation and Financial Services Industry </w:t>
      </w:r>
      <w:r w:rsidR="00DD5883" w:rsidRPr="0005266B">
        <w:rPr>
          <w:rFonts w:ascii="Times New Roman" w:hAnsi="Times New Roman" w:cs="Times New Roman"/>
          <w:noProof/>
          <w:color w:val="000000" w:themeColor="text1"/>
        </w:rPr>
        <w:t>(Hayne 2018)</w:t>
      </w:r>
      <w:r w:rsidR="00DD5883" w:rsidRPr="0005266B">
        <w:rPr>
          <w:rFonts w:ascii="Times New Roman" w:hAnsi="Times New Roman" w:cs="Times New Roman"/>
          <w:color w:val="000000" w:themeColor="text1"/>
        </w:rPr>
        <w:t xml:space="preserve">. The interim report details extensive misconduct on the part of the major </w:t>
      </w:r>
      <w:r w:rsidR="007849CF" w:rsidRPr="0005266B">
        <w:rPr>
          <w:rFonts w:ascii="Times New Roman" w:hAnsi="Times New Roman" w:cs="Times New Roman"/>
          <w:color w:val="000000" w:themeColor="text1"/>
        </w:rPr>
        <w:t>banks and</w:t>
      </w:r>
      <w:r w:rsidR="00DD5883" w:rsidRPr="0005266B">
        <w:rPr>
          <w:rFonts w:ascii="Times New Roman" w:hAnsi="Times New Roman" w:cs="Times New Roman"/>
          <w:color w:val="000000" w:themeColor="text1"/>
        </w:rPr>
        <w:t xml:space="preserve"> indicates that bank representatives on myriad occasions engaged in conduct that is evidence of dishonest or fraudulent conduct, including </w:t>
      </w:r>
      <w:r w:rsidR="00210033" w:rsidRPr="0005266B">
        <w:rPr>
          <w:rFonts w:ascii="Times New Roman" w:hAnsi="Times New Roman" w:cs="Times New Roman"/>
          <w:color w:val="000000" w:themeColor="text1"/>
        </w:rPr>
        <w:t xml:space="preserve">falsification </w:t>
      </w:r>
      <w:r w:rsidR="00327490" w:rsidRPr="0005266B">
        <w:rPr>
          <w:rFonts w:ascii="Times New Roman" w:hAnsi="Times New Roman" w:cs="Times New Roman"/>
          <w:color w:val="000000" w:themeColor="text1"/>
        </w:rPr>
        <w:t>of documentation, fraudulent uses of powers of attorney, forging of customer signatures, customer impersonation and falsely witnessing documents.</w:t>
      </w:r>
      <w:r w:rsidR="007849CF" w:rsidRPr="0005266B">
        <w:rPr>
          <w:rFonts w:ascii="Times New Roman" w:hAnsi="Times New Roman" w:cs="Times New Roman"/>
          <w:color w:val="000000" w:themeColor="text1"/>
        </w:rPr>
        <w:t xml:space="preserve"> In some instances, customer funds were found to have been transferred into the personal accounts of financial advisors working on behalf of financial institutions.</w:t>
      </w:r>
    </w:p>
    <w:p w14:paraId="77C85FC6" w14:textId="35C481B7" w:rsidR="00B47BD9" w:rsidRPr="0005266B" w:rsidRDefault="00B47BD9" w:rsidP="007849CF">
      <w:pPr>
        <w:tabs>
          <w:tab w:val="left" w:pos="3969"/>
        </w:tabs>
        <w:jc w:val="both"/>
        <w:rPr>
          <w:rFonts w:ascii="Times New Roman" w:hAnsi="Times New Roman" w:cs="Times New Roman"/>
          <w:color w:val="000000" w:themeColor="text1"/>
        </w:rPr>
      </w:pPr>
      <w:r w:rsidRPr="0005266B">
        <w:rPr>
          <w:rFonts w:ascii="Times New Roman" w:hAnsi="Times New Roman" w:cs="Times New Roman"/>
          <w:color w:val="000000" w:themeColor="text1"/>
        </w:rPr>
        <w:t xml:space="preserve">ACCAN would note given the extent of misconduct present in the banking sector and pending litigation that the four major banks </w:t>
      </w:r>
      <w:r w:rsidR="00AF2509" w:rsidRPr="0005266B">
        <w:rPr>
          <w:rFonts w:ascii="Times New Roman" w:hAnsi="Times New Roman" w:cs="Times New Roman"/>
          <w:color w:val="000000" w:themeColor="text1"/>
        </w:rPr>
        <w:t>may</w:t>
      </w:r>
      <w:r w:rsidRPr="0005266B">
        <w:rPr>
          <w:rFonts w:ascii="Times New Roman" w:hAnsi="Times New Roman" w:cs="Times New Roman"/>
          <w:color w:val="000000" w:themeColor="text1"/>
        </w:rPr>
        <w:t xml:space="preserve"> not meet the requirements of a fit and proper person. </w:t>
      </w:r>
      <w:r w:rsidR="00E324D1" w:rsidRPr="0005266B">
        <w:rPr>
          <w:rFonts w:ascii="Times New Roman" w:hAnsi="Times New Roman" w:cs="Times New Roman"/>
          <w:color w:val="000000" w:themeColor="text1"/>
        </w:rPr>
        <w:t xml:space="preserve">If the </w:t>
      </w:r>
      <w:r w:rsidR="002C2101" w:rsidRPr="0005266B">
        <w:rPr>
          <w:rFonts w:ascii="Times New Roman" w:hAnsi="Times New Roman" w:cs="Times New Roman"/>
          <w:color w:val="000000" w:themeColor="text1"/>
        </w:rPr>
        <w:t>requirement</w:t>
      </w:r>
      <w:r w:rsidR="00E324D1" w:rsidRPr="0005266B">
        <w:rPr>
          <w:rFonts w:ascii="Times New Roman" w:hAnsi="Times New Roman" w:cs="Times New Roman"/>
          <w:color w:val="000000" w:themeColor="text1"/>
        </w:rPr>
        <w:t xml:space="preserve"> that a person be ‘fit and proper’ </w:t>
      </w:r>
      <w:r w:rsidR="002C2101" w:rsidRPr="0005266B">
        <w:rPr>
          <w:rFonts w:ascii="Times New Roman" w:hAnsi="Times New Roman" w:cs="Times New Roman"/>
          <w:color w:val="000000" w:themeColor="text1"/>
        </w:rPr>
        <w:t>is</w:t>
      </w:r>
      <w:r w:rsidR="00E324D1" w:rsidRPr="0005266B">
        <w:rPr>
          <w:rFonts w:ascii="Times New Roman" w:hAnsi="Times New Roman" w:cs="Times New Roman"/>
          <w:color w:val="000000" w:themeColor="text1"/>
        </w:rPr>
        <w:t xml:space="preserve"> interpreted in the ordinary fashion,</w:t>
      </w:r>
      <w:r w:rsidR="00762D72" w:rsidRPr="0005266B">
        <w:rPr>
          <w:rStyle w:val="FootnoteReference"/>
          <w:rFonts w:ascii="Times New Roman" w:hAnsi="Times New Roman" w:cs="Times New Roman"/>
          <w:color w:val="000000" w:themeColor="text1"/>
        </w:rPr>
        <w:footnoteReference w:id="2"/>
      </w:r>
      <w:r w:rsidR="00E324D1" w:rsidRPr="0005266B">
        <w:rPr>
          <w:rFonts w:ascii="Times New Roman" w:hAnsi="Times New Roman" w:cs="Times New Roman"/>
          <w:color w:val="000000" w:themeColor="text1"/>
        </w:rPr>
        <w:t xml:space="preserve"> it is unlikely that many of the entities intended to be captured within the CDR framework would meet the </w:t>
      </w:r>
      <w:r w:rsidR="002C2101" w:rsidRPr="0005266B">
        <w:rPr>
          <w:rFonts w:ascii="Times New Roman" w:hAnsi="Times New Roman" w:cs="Times New Roman"/>
          <w:color w:val="000000" w:themeColor="text1"/>
        </w:rPr>
        <w:t>requirement</w:t>
      </w:r>
      <w:r w:rsidR="00E324D1" w:rsidRPr="0005266B">
        <w:rPr>
          <w:rFonts w:ascii="Times New Roman" w:hAnsi="Times New Roman" w:cs="Times New Roman"/>
          <w:color w:val="000000" w:themeColor="text1"/>
        </w:rPr>
        <w:t xml:space="preserve">. </w:t>
      </w:r>
      <w:r w:rsidR="00D9668A" w:rsidRPr="0005266B">
        <w:rPr>
          <w:rFonts w:ascii="Times New Roman" w:hAnsi="Times New Roman" w:cs="Times New Roman"/>
          <w:color w:val="000000" w:themeColor="text1"/>
        </w:rPr>
        <w:t xml:space="preserve">ACCAN believes this issue should be subject to serious </w:t>
      </w:r>
      <w:r w:rsidR="00510E7D" w:rsidRPr="0005266B">
        <w:rPr>
          <w:rFonts w:ascii="Times New Roman" w:hAnsi="Times New Roman" w:cs="Times New Roman"/>
          <w:color w:val="000000" w:themeColor="text1"/>
        </w:rPr>
        <w:t>consideration and</w:t>
      </w:r>
      <w:r w:rsidR="00D9668A" w:rsidRPr="0005266B">
        <w:rPr>
          <w:rFonts w:ascii="Times New Roman" w:hAnsi="Times New Roman" w:cs="Times New Roman"/>
          <w:color w:val="000000" w:themeColor="text1"/>
        </w:rPr>
        <w:t xml:space="preserve"> does not support a reading down of this principle and the standards that may be implied from existing legal precedent.</w:t>
      </w:r>
    </w:p>
    <w:p w14:paraId="0EDE2041" w14:textId="7A2C3A97" w:rsidR="00636DE9" w:rsidRPr="0005266B" w:rsidRDefault="001E3AAE" w:rsidP="00B47BD9">
      <w:pPr>
        <w:jc w:val="both"/>
        <w:rPr>
          <w:rFonts w:ascii="Times New Roman" w:hAnsi="Times New Roman" w:cs="Times New Roman"/>
          <w:color w:val="000000" w:themeColor="text1"/>
        </w:rPr>
      </w:pPr>
      <w:r w:rsidRPr="0005266B">
        <w:rPr>
          <w:rFonts w:ascii="Times New Roman" w:hAnsi="Times New Roman" w:cs="Times New Roman"/>
          <w:color w:val="000000" w:themeColor="text1"/>
        </w:rPr>
        <w:t xml:space="preserve">In the telecommunications context, similar issues arise with respect to </w:t>
      </w:r>
      <w:r w:rsidR="0052442B" w:rsidRPr="0005266B">
        <w:rPr>
          <w:rFonts w:ascii="Times New Roman" w:hAnsi="Times New Roman" w:cs="Times New Roman"/>
          <w:color w:val="000000" w:themeColor="text1"/>
        </w:rPr>
        <w:t>service providers that have engaged in mi</w:t>
      </w:r>
      <w:r w:rsidR="002A0A66" w:rsidRPr="0005266B">
        <w:rPr>
          <w:rFonts w:ascii="Times New Roman" w:hAnsi="Times New Roman" w:cs="Times New Roman"/>
          <w:color w:val="000000" w:themeColor="text1"/>
        </w:rPr>
        <w:t>sleading and</w:t>
      </w:r>
      <w:r w:rsidR="00510291" w:rsidRPr="0005266B">
        <w:rPr>
          <w:rFonts w:ascii="Times New Roman" w:hAnsi="Times New Roman" w:cs="Times New Roman"/>
          <w:color w:val="000000" w:themeColor="text1"/>
        </w:rPr>
        <w:t xml:space="preserve"> deceptive conduct, </w:t>
      </w:r>
      <w:r w:rsidR="007849CF" w:rsidRPr="0005266B">
        <w:rPr>
          <w:rFonts w:ascii="Times New Roman" w:hAnsi="Times New Roman" w:cs="Times New Roman"/>
          <w:color w:val="000000" w:themeColor="text1"/>
        </w:rPr>
        <w:t xml:space="preserve">have acted in breach of the Australian Consumer Law </w:t>
      </w:r>
      <w:r w:rsidR="00510291" w:rsidRPr="0005266B">
        <w:rPr>
          <w:rFonts w:ascii="Times New Roman" w:hAnsi="Times New Roman" w:cs="Times New Roman"/>
          <w:color w:val="000000" w:themeColor="text1"/>
        </w:rPr>
        <w:t xml:space="preserve">or who have provided undertakings to the ACCC with respect to conduct which may have had the effect of misleading consumers. </w:t>
      </w:r>
      <w:r w:rsidR="00022904" w:rsidRPr="0005266B">
        <w:rPr>
          <w:rFonts w:ascii="Times New Roman" w:hAnsi="Times New Roman" w:cs="Times New Roman"/>
          <w:color w:val="000000" w:themeColor="text1"/>
        </w:rPr>
        <w:t xml:space="preserve">As part of the rollout of the CDR to the telecommunications sector ACCAN supports </w:t>
      </w:r>
      <w:r w:rsidR="00C8772C" w:rsidRPr="0005266B">
        <w:rPr>
          <w:rFonts w:ascii="Times New Roman" w:hAnsi="Times New Roman" w:cs="Times New Roman"/>
          <w:color w:val="000000" w:themeColor="text1"/>
        </w:rPr>
        <w:t xml:space="preserve">the </w:t>
      </w:r>
      <w:r w:rsidR="00022904" w:rsidRPr="0005266B">
        <w:rPr>
          <w:rFonts w:ascii="Times New Roman" w:hAnsi="Times New Roman" w:cs="Times New Roman"/>
          <w:color w:val="000000" w:themeColor="text1"/>
        </w:rPr>
        <w:t>rigorous examination of whether service providers meet the proposed requirement to be ‘fit and proper’ in order to ensure that consumers are protected</w:t>
      </w:r>
      <w:r w:rsidR="00636DE9" w:rsidRPr="0005266B">
        <w:rPr>
          <w:rFonts w:ascii="Times New Roman" w:hAnsi="Times New Roman" w:cs="Times New Roman"/>
          <w:color w:val="000000" w:themeColor="text1"/>
        </w:rPr>
        <w:t xml:space="preserve"> from the misuse of their data, and that providers who have engaged in dishonest conduct are barred from accreditation.</w:t>
      </w:r>
    </w:p>
    <w:p w14:paraId="20834B9E" w14:textId="77777777" w:rsidR="00D13993" w:rsidRDefault="00D13993" w:rsidP="00B47BD9">
      <w:pPr>
        <w:jc w:val="both"/>
        <w:rPr>
          <w:rFonts w:ascii="Times New Roman" w:hAnsi="Times New Roman" w:cs="Times New Roman"/>
          <w:i/>
          <w:color w:val="000000" w:themeColor="text1"/>
        </w:rPr>
      </w:pPr>
    </w:p>
    <w:p w14:paraId="1BAB17AD" w14:textId="79F33316" w:rsidR="002203D2" w:rsidRPr="0005266B" w:rsidRDefault="002203D2" w:rsidP="00B47BD9">
      <w:pPr>
        <w:jc w:val="both"/>
        <w:rPr>
          <w:rFonts w:ascii="Times New Roman" w:hAnsi="Times New Roman" w:cs="Times New Roman"/>
          <w:i/>
          <w:color w:val="000000" w:themeColor="text1"/>
        </w:rPr>
      </w:pPr>
      <w:bookmarkStart w:id="0" w:name="_GoBack"/>
      <w:bookmarkEnd w:id="0"/>
      <w:r w:rsidRPr="0005266B">
        <w:rPr>
          <w:rFonts w:ascii="Times New Roman" w:hAnsi="Times New Roman" w:cs="Times New Roman"/>
          <w:i/>
          <w:color w:val="000000" w:themeColor="text1"/>
        </w:rPr>
        <w:lastRenderedPageBreak/>
        <w:t>Insurance as a requirement for accreditation</w:t>
      </w:r>
    </w:p>
    <w:p w14:paraId="32E7D99D" w14:textId="4B344622" w:rsidR="00312683" w:rsidRPr="0005266B" w:rsidRDefault="002203D2" w:rsidP="00510E7D">
      <w:pPr>
        <w:jc w:val="both"/>
        <w:rPr>
          <w:rFonts w:ascii="Times New Roman" w:hAnsi="Times New Roman" w:cs="Times New Roman"/>
          <w:color w:val="000000" w:themeColor="text1"/>
        </w:rPr>
      </w:pPr>
      <w:r w:rsidRPr="0005266B">
        <w:rPr>
          <w:rFonts w:ascii="Times New Roman" w:hAnsi="Times New Roman" w:cs="Times New Roman"/>
          <w:color w:val="000000" w:themeColor="text1"/>
        </w:rPr>
        <w:t xml:space="preserve">ACCAN is supportive of the rules framework providing a clear mechanism for the provision of compensation to consumers who suffer loss as a result of a breach of their privacy. However, care must be taken when examining the suitability of insurance to ensure that CDR participants do not rely upon insurance as a substitute for taking appropriate actions to preclude the </w:t>
      </w:r>
      <w:r w:rsidR="00F254DF" w:rsidRPr="0005266B">
        <w:rPr>
          <w:rFonts w:ascii="Times New Roman" w:hAnsi="Times New Roman" w:cs="Times New Roman"/>
          <w:color w:val="000000" w:themeColor="text1"/>
        </w:rPr>
        <w:t>loss, misuse or theft.</w:t>
      </w:r>
      <w:r w:rsidR="00040B8C" w:rsidRPr="0005266B">
        <w:rPr>
          <w:rStyle w:val="FootnoteReference"/>
        </w:rPr>
        <w:footnoteReference w:id="3"/>
      </w:r>
      <w:r w:rsidR="00F93C52" w:rsidRPr="0005266B">
        <w:rPr>
          <w:rFonts w:ascii="Times New Roman" w:hAnsi="Times New Roman" w:cs="Times New Roman"/>
          <w:color w:val="000000" w:themeColor="text1"/>
        </w:rPr>
        <w:t xml:space="preserve"> </w:t>
      </w:r>
      <w:r w:rsidR="008A68A5" w:rsidRPr="0005266B">
        <w:rPr>
          <w:rFonts w:ascii="Times New Roman" w:hAnsi="Times New Roman" w:cs="Times New Roman"/>
          <w:color w:val="000000" w:themeColor="text1"/>
        </w:rPr>
        <w:t xml:space="preserve">Accordingly, we support the taking of enforcement action by regulators for any breaches of the </w:t>
      </w:r>
      <w:r w:rsidR="00544EDB" w:rsidRPr="0005266B">
        <w:rPr>
          <w:rFonts w:ascii="Times New Roman" w:hAnsi="Times New Roman" w:cs="Times New Roman"/>
          <w:color w:val="000000" w:themeColor="text1"/>
        </w:rPr>
        <w:t>privacy s</w:t>
      </w:r>
      <w:r w:rsidR="00497F13" w:rsidRPr="0005266B">
        <w:rPr>
          <w:rFonts w:ascii="Times New Roman" w:hAnsi="Times New Roman" w:cs="Times New Roman"/>
          <w:color w:val="000000" w:themeColor="text1"/>
        </w:rPr>
        <w:t xml:space="preserve">afeguards by CDR participants where </w:t>
      </w:r>
      <w:r w:rsidR="00610419" w:rsidRPr="0005266B">
        <w:rPr>
          <w:rFonts w:ascii="Times New Roman" w:hAnsi="Times New Roman" w:cs="Times New Roman"/>
          <w:color w:val="000000" w:themeColor="text1"/>
        </w:rPr>
        <w:t xml:space="preserve">they arise in order to </w:t>
      </w:r>
      <w:r w:rsidR="001E02A7" w:rsidRPr="0005266B">
        <w:rPr>
          <w:rFonts w:ascii="Times New Roman" w:hAnsi="Times New Roman" w:cs="Times New Roman"/>
          <w:color w:val="000000" w:themeColor="text1"/>
        </w:rPr>
        <w:t xml:space="preserve">provide strong incentives for </w:t>
      </w:r>
      <w:r w:rsidR="009E212E" w:rsidRPr="0005266B">
        <w:rPr>
          <w:rFonts w:ascii="Times New Roman" w:hAnsi="Times New Roman" w:cs="Times New Roman"/>
          <w:color w:val="000000" w:themeColor="text1"/>
        </w:rPr>
        <w:t>participants</w:t>
      </w:r>
      <w:r w:rsidR="001E02A7" w:rsidRPr="0005266B">
        <w:rPr>
          <w:rFonts w:ascii="Times New Roman" w:hAnsi="Times New Roman" w:cs="Times New Roman"/>
          <w:color w:val="000000" w:themeColor="text1"/>
        </w:rPr>
        <w:t xml:space="preserve"> to take appropriate precautions to protect consumer protection.</w:t>
      </w:r>
      <w:r w:rsidR="00D3068D" w:rsidRPr="0005266B">
        <w:rPr>
          <w:rFonts w:ascii="Times New Roman" w:hAnsi="Times New Roman" w:cs="Times New Roman"/>
          <w:color w:val="000000" w:themeColor="text1"/>
        </w:rPr>
        <w:t xml:space="preserve"> </w:t>
      </w:r>
    </w:p>
    <w:p w14:paraId="1927E54E" w14:textId="40402F56" w:rsidR="009D75CB" w:rsidRPr="0005266B" w:rsidRDefault="00EA5268" w:rsidP="008A49F1">
      <w:pPr>
        <w:jc w:val="both"/>
        <w:rPr>
          <w:rFonts w:ascii="Times New Roman" w:hAnsi="Times New Roman" w:cs="Times New Roman"/>
          <w:color w:val="000000" w:themeColor="text1"/>
        </w:rPr>
      </w:pPr>
      <w:r w:rsidRPr="0005266B">
        <w:rPr>
          <w:rFonts w:ascii="Times New Roman" w:hAnsi="Times New Roman" w:cs="Times New Roman"/>
          <w:color w:val="000000" w:themeColor="text1"/>
        </w:rPr>
        <w:t xml:space="preserve">As part of the accreditation process ACCAN considers that it is appropriate to require insurance to provide consumers compensation should their </w:t>
      </w:r>
      <w:r w:rsidR="00F93C52" w:rsidRPr="0005266B">
        <w:rPr>
          <w:rFonts w:ascii="Times New Roman" w:hAnsi="Times New Roman" w:cs="Times New Roman"/>
          <w:color w:val="000000" w:themeColor="text1"/>
        </w:rPr>
        <w:t xml:space="preserve">privacy be breached. </w:t>
      </w:r>
      <w:r w:rsidR="00630F29" w:rsidRPr="0005266B">
        <w:rPr>
          <w:rFonts w:ascii="Times New Roman" w:hAnsi="Times New Roman" w:cs="Times New Roman"/>
          <w:color w:val="000000" w:themeColor="text1"/>
        </w:rPr>
        <w:t>However,</w:t>
      </w:r>
      <w:r w:rsidR="00F93C52" w:rsidRPr="0005266B">
        <w:rPr>
          <w:rFonts w:ascii="Times New Roman" w:hAnsi="Times New Roman" w:cs="Times New Roman"/>
          <w:color w:val="000000" w:themeColor="text1"/>
        </w:rPr>
        <w:t xml:space="preserve"> as part of this requirement it is preferable that the administration of the insurance </w:t>
      </w:r>
      <w:r w:rsidR="00630F29" w:rsidRPr="0005266B">
        <w:rPr>
          <w:rFonts w:ascii="Times New Roman" w:hAnsi="Times New Roman" w:cs="Times New Roman"/>
          <w:color w:val="000000" w:themeColor="text1"/>
        </w:rPr>
        <w:t>payments</w:t>
      </w:r>
      <w:r w:rsidR="00F93C52" w:rsidRPr="0005266B">
        <w:rPr>
          <w:rFonts w:ascii="Times New Roman" w:hAnsi="Times New Roman" w:cs="Times New Roman"/>
          <w:color w:val="000000" w:themeColor="text1"/>
        </w:rPr>
        <w:t xml:space="preserve"> and compensation be at </w:t>
      </w:r>
      <w:r w:rsidR="004D7F79" w:rsidRPr="0005266B">
        <w:rPr>
          <w:rFonts w:ascii="Times New Roman" w:hAnsi="Times New Roman" w:cs="Times New Roman"/>
          <w:color w:val="000000" w:themeColor="text1"/>
        </w:rPr>
        <w:t>arm’s length</w:t>
      </w:r>
      <w:r w:rsidR="00F93C52" w:rsidRPr="0005266B">
        <w:rPr>
          <w:rFonts w:ascii="Times New Roman" w:hAnsi="Times New Roman" w:cs="Times New Roman"/>
          <w:color w:val="000000" w:themeColor="text1"/>
        </w:rPr>
        <w:t xml:space="preserve"> from the CDR participants to prevent underpayment to affected consumers. </w:t>
      </w:r>
    </w:p>
    <w:p w14:paraId="1BDE0D86" w14:textId="6F1D0759" w:rsidR="002072C8" w:rsidRPr="0005266B" w:rsidRDefault="002072C8" w:rsidP="008A49F1">
      <w:pPr>
        <w:jc w:val="both"/>
        <w:rPr>
          <w:rFonts w:ascii="Times New Roman" w:hAnsi="Times New Roman" w:cs="Times New Roman"/>
          <w:color w:val="000000" w:themeColor="text1"/>
        </w:rPr>
      </w:pPr>
      <w:r w:rsidRPr="0005266B">
        <w:rPr>
          <w:rFonts w:ascii="Times New Roman" w:hAnsi="Times New Roman" w:cs="Times New Roman"/>
          <w:i/>
        </w:rPr>
        <w:t xml:space="preserve">Consent </w:t>
      </w:r>
    </w:p>
    <w:p w14:paraId="2C96232D" w14:textId="1B9BACA0" w:rsidR="00722FFD" w:rsidRPr="0005266B" w:rsidRDefault="0039435C" w:rsidP="00C163A7">
      <w:pPr>
        <w:pStyle w:val="BodyText1"/>
        <w:rPr>
          <w:rFonts w:ascii="Times New Roman" w:hAnsi="Times New Roman" w:cs="Times New Roman"/>
          <w:color w:val="000000" w:themeColor="text1"/>
        </w:rPr>
      </w:pPr>
      <w:r w:rsidRPr="0005266B">
        <w:rPr>
          <w:rFonts w:ascii="Times New Roman" w:hAnsi="Times New Roman" w:cs="Times New Roman"/>
          <w:color w:val="000000" w:themeColor="text1"/>
        </w:rPr>
        <w:t>ACCAN supports the principles for consent articulated by the ACCC in the discussion paper, and believes that consent should be:</w:t>
      </w:r>
    </w:p>
    <w:p w14:paraId="54593F10" w14:textId="77777777" w:rsidR="00722FFD" w:rsidRPr="0005266B" w:rsidRDefault="00722FFD" w:rsidP="00722FFD">
      <w:pPr>
        <w:pStyle w:val="ListParagraph"/>
        <w:numPr>
          <w:ilvl w:val="0"/>
          <w:numId w:val="2"/>
        </w:numPr>
        <w:spacing w:before="100" w:beforeAutospacing="1" w:after="100" w:afterAutospacing="1"/>
        <w:jc w:val="both"/>
        <w:rPr>
          <w:rFonts w:ascii="Times New Roman" w:hAnsi="Times New Roman" w:cs="Times New Roman"/>
          <w:lang w:val="en-IE" w:eastAsia="hi-IN" w:bidi="hi-IN"/>
        </w:rPr>
      </w:pPr>
      <w:r w:rsidRPr="0005266B">
        <w:rPr>
          <w:rFonts w:ascii="Times New Roman" w:hAnsi="Times New Roman" w:cs="Times New Roman"/>
          <w:lang w:val="en-IE" w:eastAsia="hi-IN" w:bidi="hi-IN"/>
        </w:rPr>
        <w:t>Explicit;</w:t>
      </w:r>
    </w:p>
    <w:p w14:paraId="7ED52CB0" w14:textId="77777777" w:rsidR="00722FFD" w:rsidRPr="0005266B" w:rsidRDefault="00722FFD" w:rsidP="00722FFD">
      <w:pPr>
        <w:pStyle w:val="ListParagraph"/>
        <w:numPr>
          <w:ilvl w:val="0"/>
          <w:numId w:val="2"/>
        </w:numPr>
        <w:spacing w:before="100" w:beforeAutospacing="1" w:after="100" w:afterAutospacing="1"/>
        <w:jc w:val="both"/>
        <w:rPr>
          <w:rFonts w:ascii="Times New Roman" w:hAnsi="Times New Roman" w:cs="Times New Roman"/>
          <w:lang w:val="en-IE" w:eastAsia="hi-IN" w:bidi="hi-IN"/>
        </w:rPr>
      </w:pPr>
      <w:r w:rsidRPr="0005266B">
        <w:rPr>
          <w:rFonts w:ascii="Times New Roman" w:hAnsi="Times New Roman" w:cs="Times New Roman"/>
          <w:lang w:val="en-IE" w:eastAsia="hi-IN" w:bidi="hi-IN"/>
        </w:rPr>
        <w:t>Specific to purpose;</w:t>
      </w:r>
    </w:p>
    <w:p w14:paraId="53206102" w14:textId="77777777" w:rsidR="00722FFD" w:rsidRPr="0005266B" w:rsidRDefault="00722FFD" w:rsidP="00722FFD">
      <w:pPr>
        <w:pStyle w:val="ListParagraph"/>
        <w:numPr>
          <w:ilvl w:val="0"/>
          <w:numId w:val="2"/>
        </w:numPr>
        <w:spacing w:before="100" w:beforeAutospacing="1" w:after="100" w:afterAutospacing="1"/>
        <w:jc w:val="both"/>
        <w:rPr>
          <w:rFonts w:ascii="Times New Roman" w:hAnsi="Times New Roman" w:cs="Times New Roman"/>
          <w:lang w:val="en-IE" w:eastAsia="hi-IN" w:bidi="hi-IN"/>
        </w:rPr>
      </w:pPr>
      <w:r w:rsidRPr="0005266B">
        <w:rPr>
          <w:rFonts w:ascii="Times New Roman" w:hAnsi="Times New Roman" w:cs="Times New Roman"/>
          <w:lang w:val="en-IE" w:eastAsia="hi-IN" w:bidi="hi-IN"/>
        </w:rPr>
        <w:t>Unbundled;</w:t>
      </w:r>
    </w:p>
    <w:p w14:paraId="1C367A59" w14:textId="77777777" w:rsidR="00722FFD" w:rsidRPr="0005266B" w:rsidRDefault="00722FFD" w:rsidP="00722FFD">
      <w:pPr>
        <w:pStyle w:val="ListParagraph"/>
        <w:numPr>
          <w:ilvl w:val="0"/>
          <w:numId w:val="2"/>
        </w:numPr>
        <w:spacing w:before="100" w:beforeAutospacing="1" w:after="100" w:afterAutospacing="1"/>
        <w:jc w:val="both"/>
        <w:rPr>
          <w:rFonts w:ascii="Times New Roman" w:hAnsi="Times New Roman" w:cs="Times New Roman"/>
          <w:lang w:val="en-IE" w:eastAsia="hi-IN" w:bidi="hi-IN"/>
        </w:rPr>
      </w:pPr>
      <w:r w:rsidRPr="0005266B">
        <w:rPr>
          <w:rFonts w:ascii="Times New Roman" w:hAnsi="Times New Roman" w:cs="Times New Roman"/>
          <w:lang w:val="en-IE" w:eastAsia="hi-IN" w:bidi="hi-IN"/>
        </w:rPr>
        <w:t xml:space="preserve">Easy to understand; </w:t>
      </w:r>
    </w:p>
    <w:p w14:paraId="71005C08" w14:textId="68023950" w:rsidR="00722FFD" w:rsidRPr="0005266B" w:rsidRDefault="00722FFD" w:rsidP="00722FFD">
      <w:pPr>
        <w:pStyle w:val="ListParagraph"/>
        <w:numPr>
          <w:ilvl w:val="0"/>
          <w:numId w:val="2"/>
        </w:numPr>
        <w:spacing w:before="100" w:beforeAutospacing="1" w:after="100" w:afterAutospacing="1"/>
        <w:jc w:val="both"/>
        <w:rPr>
          <w:rFonts w:ascii="Times New Roman" w:hAnsi="Times New Roman" w:cs="Times New Roman"/>
          <w:lang w:val="en-IE" w:eastAsia="hi-IN" w:bidi="hi-IN"/>
        </w:rPr>
      </w:pPr>
      <w:r w:rsidRPr="0005266B">
        <w:rPr>
          <w:rFonts w:ascii="Times New Roman" w:hAnsi="Times New Roman" w:cs="Times New Roman"/>
          <w:lang w:val="en-IE" w:eastAsia="hi-IN" w:bidi="hi-IN"/>
        </w:rPr>
        <w:t xml:space="preserve">Revocable; </w:t>
      </w:r>
      <w:r w:rsidR="00325206">
        <w:rPr>
          <w:rFonts w:ascii="Times New Roman" w:hAnsi="Times New Roman" w:cs="Times New Roman"/>
          <w:lang w:val="en-IE" w:eastAsia="hi-IN" w:bidi="hi-IN"/>
        </w:rPr>
        <w:t>and</w:t>
      </w:r>
    </w:p>
    <w:p w14:paraId="28AFA785" w14:textId="299DCFCC" w:rsidR="008943CA" w:rsidRPr="0005266B" w:rsidRDefault="00722FFD" w:rsidP="00D15C50">
      <w:pPr>
        <w:pStyle w:val="ListParagraph"/>
        <w:numPr>
          <w:ilvl w:val="0"/>
          <w:numId w:val="2"/>
        </w:numPr>
        <w:spacing w:before="100" w:beforeAutospacing="1" w:after="100" w:afterAutospacing="1"/>
        <w:jc w:val="both"/>
        <w:rPr>
          <w:rFonts w:ascii="Times New Roman" w:hAnsi="Times New Roman" w:cs="Times New Roman"/>
          <w:lang w:val="en-IE" w:eastAsia="hi-IN" w:bidi="hi-IN"/>
        </w:rPr>
      </w:pPr>
      <w:r w:rsidRPr="0005266B">
        <w:rPr>
          <w:rFonts w:ascii="Times New Roman" w:hAnsi="Times New Roman" w:cs="Times New Roman"/>
          <w:lang w:val="en-IE" w:eastAsia="hi-IN" w:bidi="hi-IN"/>
        </w:rPr>
        <w:t>Freely given</w:t>
      </w:r>
      <w:r w:rsidR="00591C26" w:rsidRPr="0005266B">
        <w:rPr>
          <w:rFonts w:ascii="Times New Roman" w:hAnsi="Times New Roman" w:cs="Times New Roman"/>
          <w:lang w:val="en-IE" w:eastAsia="hi-IN" w:bidi="hi-IN"/>
        </w:rPr>
        <w:t>.</w:t>
      </w:r>
      <w:r w:rsidRPr="0005266B">
        <w:rPr>
          <w:rFonts w:ascii="Times New Roman" w:hAnsi="Times New Roman" w:cs="Times New Roman"/>
          <w:lang w:val="en-IE" w:eastAsia="hi-IN" w:bidi="hi-IN"/>
        </w:rPr>
        <w:t xml:space="preserve"> </w:t>
      </w:r>
    </w:p>
    <w:p w14:paraId="58451BA8" w14:textId="7C8C2D38" w:rsidR="00183A85" w:rsidRPr="0005266B" w:rsidRDefault="00055E02" w:rsidP="00D15C50">
      <w:pPr>
        <w:spacing w:before="100" w:beforeAutospacing="1" w:after="100" w:afterAutospacing="1"/>
        <w:jc w:val="both"/>
        <w:rPr>
          <w:rFonts w:ascii="Times New Roman" w:hAnsi="Times New Roman" w:cs="Times New Roman"/>
          <w:lang w:val="en-IE" w:eastAsia="hi-IN" w:bidi="hi-IN"/>
        </w:rPr>
      </w:pPr>
      <w:r w:rsidRPr="0005266B">
        <w:rPr>
          <w:rFonts w:ascii="Times New Roman" w:hAnsi="Times New Roman" w:cs="Times New Roman"/>
          <w:lang w:val="en-IE" w:eastAsia="hi-IN" w:bidi="hi-IN"/>
        </w:rPr>
        <w:t>I</w:t>
      </w:r>
      <w:r w:rsidR="003B693F" w:rsidRPr="0005266B">
        <w:rPr>
          <w:rFonts w:ascii="Times New Roman" w:hAnsi="Times New Roman" w:cs="Times New Roman"/>
          <w:lang w:val="en-IE" w:eastAsia="hi-IN" w:bidi="hi-IN"/>
        </w:rPr>
        <w:t xml:space="preserve">nformation </w:t>
      </w:r>
      <w:r w:rsidRPr="0005266B">
        <w:rPr>
          <w:rFonts w:ascii="Times New Roman" w:hAnsi="Times New Roman" w:cs="Times New Roman"/>
          <w:lang w:val="en-IE" w:eastAsia="hi-IN" w:bidi="hi-IN"/>
        </w:rPr>
        <w:t xml:space="preserve">should </w:t>
      </w:r>
      <w:r w:rsidR="003B693F" w:rsidRPr="0005266B">
        <w:rPr>
          <w:rFonts w:ascii="Times New Roman" w:hAnsi="Times New Roman" w:cs="Times New Roman"/>
          <w:lang w:val="en-IE" w:eastAsia="hi-IN" w:bidi="hi-IN"/>
        </w:rPr>
        <w:t>be provided in accessible forma</w:t>
      </w:r>
      <w:r w:rsidR="00D76E24" w:rsidRPr="0005266B">
        <w:rPr>
          <w:rFonts w:ascii="Times New Roman" w:hAnsi="Times New Roman" w:cs="Times New Roman"/>
          <w:lang w:val="en-IE" w:eastAsia="hi-IN" w:bidi="hi-IN"/>
        </w:rPr>
        <w:t>ts to ensure that all consumers can benefi</w:t>
      </w:r>
      <w:r w:rsidR="00F14832" w:rsidRPr="0005266B">
        <w:rPr>
          <w:rFonts w:ascii="Times New Roman" w:hAnsi="Times New Roman" w:cs="Times New Roman"/>
          <w:lang w:val="en-IE" w:eastAsia="hi-IN" w:bidi="hi-IN"/>
        </w:rPr>
        <w:t xml:space="preserve">t from the </w:t>
      </w:r>
      <w:r w:rsidR="00803BCE" w:rsidRPr="0005266B">
        <w:rPr>
          <w:rFonts w:ascii="Times New Roman" w:hAnsi="Times New Roman" w:cs="Times New Roman"/>
          <w:lang w:val="en-IE" w:eastAsia="hi-IN" w:bidi="hi-IN"/>
        </w:rPr>
        <w:t>CDR</w:t>
      </w:r>
      <w:r w:rsidR="003F01EC" w:rsidRPr="0005266B">
        <w:rPr>
          <w:rFonts w:ascii="Times New Roman" w:hAnsi="Times New Roman" w:cs="Times New Roman"/>
          <w:lang w:val="en-IE" w:eastAsia="hi-IN" w:bidi="hi-IN"/>
        </w:rPr>
        <w:t xml:space="preserve">. </w:t>
      </w:r>
      <w:r w:rsidR="00580A47" w:rsidRPr="0005266B">
        <w:rPr>
          <w:rFonts w:ascii="Times New Roman" w:hAnsi="Times New Roman" w:cs="Times New Roman"/>
          <w:lang w:val="en-IE" w:eastAsia="hi-IN" w:bidi="hi-IN"/>
        </w:rPr>
        <w:t>Providing information in a clear and easy to understand manner is essential to ensu</w:t>
      </w:r>
      <w:r w:rsidR="00E03917" w:rsidRPr="0005266B">
        <w:rPr>
          <w:rFonts w:ascii="Times New Roman" w:hAnsi="Times New Roman" w:cs="Times New Roman"/>
          <w:lang w:val="en-IE" w:eastAsia="hi-IN" w:bidi="hi-IN"/>
        </w:rPr>
        <w:t xml:space="preserve">ring that consumers can maximise the benefits they receive from their data, without being </w:t>
      </w:r>
      <w:r w:rsidR="00AD70DF" w:rsidRPr="0005266B">
        <w:rPr>
          <w:rFonts w:ascii="Times New Roman" w:hAnsi="Times New Roman" w:cs="Times New Roman"/>
          <w:lang w:val="en-IE" w:eastAsia="hi-IN" w:bidi="hi-IN"/>
        </w:rPr>
        <w:t>presented</w:t>
      </w:r>
      <w:r w:rsidR="00E03917" w:rsidRPr="0005266B">
        <w:rPr>
          <w:rFonts w:ascii="Times New Roman" w:hAnsi="Times New Roman" w:cs="Times New Roman"/>
          <w:lang w:val="en-IE" w:eastAsia="hi-IN" w:bidi="hi-IN"/>
        </w:rPr>
        <w:t xml:space="preserve"> with </w:t>
      </w:r>
      <w:r w:rsidR="00AD70DF" w:rsidRPr="0005266B">
        <w:rPr>
          <w:rFonts w:ascii="Times New Roman" w:hAnsi="Times New Roman" w:cs="Times New Roman"/>
          <w:lang w:val="en-IE" w:eastAsia="hi-IN" w:bidi="hi-IN"/>
        </w:rPr>
        <w:t xml:space="preserve">information in difficult to engage with formats </w:t>
      </w:r>
      <w:r w:rsidR="00183A85" w:rsidRPr="0005266B">
        <w:rPr>
          <w:rFonts w:ascii="Times New Roman" w:hAnsi="Times New Roman" w:cs="Times New Roman"/>
          <w:lang w:val="en-IE" w:eastAsia="hi-IN" w:bidi="hi-IN"/>
        </w:rPr>
        <w:t>that are designed to discourage their engagement.</w:t>
      </w:r>
    </w:p>
    <w:p w14:paraId="55658265" w14:textId="198A993F" w:rsidR="00C9203E" w:rsidRPr="0005266B" w:rsidRDefault="00D40E41" w:rsidP="00F7273B">
      <w:pPr>
        <w:spacing w:before="100" w:beforeAutospacing="1" w:after="100" w:afterAutospacing="1"/>
        <w:jc w:val="both"/>
        <w:rPr>
          <w:color w:val="000000" w:themeColor="text1"/>
        </w:rPr>
      </w:pPr>
      <w:r w:rsidRPr="0005266B">
        <w:rPr>
          <w:rFonts w:ascii="Times New Roman" w:hAnsi="Times New Roman" w:cs="Times New Roman"/>
          <w:lang w:val="en-IE" w:eastAsia="hi-IN" w:bidi="hi-IN"/>
        </w:rPr>
        <w:t>As part of the development of draft rules concerning consent, ACCAN encourages the ACCC to draw upon existing Australian and international research about how consumers engage with information, behavioural biases</w:t>
      </w:r>
      <w:r w:rsidR="009F5C08" w:rsidRPr="0005266B">
        <w:rPr>
          <w:rFonts w:ascii="Times New Roman" w:hAnsi="Times New Roman" w:cs="Times New Roman"/>
          <w:lang w:val="en-IE" w:eastAsia="hi-IN" w:bidi="hi-IN"/>
        </w:rPr>
        <w:t xml:space="preserve"> </w:t>
      </w:r>
      <w:r w:rsidR="00EE6C2D" w:rsidRPr="0005266B">
        <w:rPr>
          <w:rFonts w:ascii="Times New Roman" w:hAnsi="Times New Roman" w:cs="Times New Roman"/>
          <w:noProof/>
          <w:lang w:val="en-IE" w:eastAsia="hi-IN" w:bidi="hi-IN"/>
        </w:rPr>
        <w:t>(OECD 2018; Harrison, Hill &amp; Gray 2016, pp. 10-21)</w:t>
      </w:r>
      <w:r w:rsidRPr="0005266B">
        <w:rPr>
          <w:rFonts w:ascii="Times New Roman" w:hAnsi="Times New Roman" w:cs="Times New Roman"/>
          <w:lang w:val="en-IE" w:eastAsia="hi-IN" w:bidi="hi-IN"/>
        </w:rPr>
        <w:t>, and the potential for complexity to dissuade consumers from reading important documents</w:t>
      </w:r>
      <w:r w:rsidR="00EE6C2D" w:rsidRPr="0005266B">
        <w:rPr>
          <w:rFonts w:ascii="Times New Roman" w:hAnsi="Times New Roman" w:cs="Times New Roman"/>
          <w:lang w:val="en-IE" w:eastAsia="hi-IN" w:bidi="hi-IN"/>
        </w:rPr>
        <w:t xml:space="preserve"> </w:t>
      </w:r>
      <w:r w:rsidR="00F7273B" w:rsidRPr="0005266B">
        <w:rPr>
          <w:rFonts w:ascii="Times New Roman" w:hAnsi="Times New Roman" w:cs="Times New Roman"/>
          <w:noProof/>
          <w:lang w:val="en-IE" w:eastAsia="hi-IN" w:bidi="hi-IN"/>
        </w:rPr>
        <w:t>(Ayres &amp; Schwartz 2014; Bakos, Marotta-Wurgler &amp; Trossen 2014; Ben-Shahar 2009)</w:t>
      </w:r>
      <w:r w:rsidR="00F7273B" w:rsidRPr="0005266B">
        <w:rPr>
          <w:rFonts w:ascii="Times New Roman" w:hAnsi="Times New Roman" w:cs="Times New Roman"/>
          <w:lang w:val="en-IE" w:eastAsia="hi-IN" w:bidi="hi-IN"/>
        </w:rPr>
        <w:t>.</w:t>
      </w:r>
      <w:r w:rsidR="000260DF" w:rsidRPr="0005266B">
        <w:rPr>
          <w:color w:val="000000" w:themeColor="text1"/>
        </w:rPr>
        <w:t xml:space="preserve"> </w:t>
      </w:r>
    </w:p>
    <w:p w14:paraId="5A0E83E3" w14:textId="0CF9E50A" w:rsidR="002A2B5A" w:rsidRDefault="00690945" w:rsidP="00CB7E50">
      <w:pPr>
        <w:spacing w:before="100" w:beforeAutospacing="1" w:after="100" w:afterAutospacing="1"/>
        <w:jc w:val="both"/>
        <w:rPr>
          <w:rFonts w:ascii="Times New Roman" w:hAnsi="Times New Roman" w:cs="Times New Roman"/>
          <w:color w:val="000000" w:themeColor="text1"/>
        </w:rPr>
      </w:pPr>
      <w:r w:rsidRPr="0005266B">
        <w:rPr>
          <w:rFonts w:ascii="Times New Roman" w:hAnsi="Times New Roman" w:cs="Times New Roman"/>
          <w:color w:val="000000" w:themeColor="text1"/>
        </w:rPr>
        <w:t>ACCAN’s concerns regarding the substance of consent requirements, have been broadly addressed in the framework which sets out the ACCC’s in principle approach to rules development.</w:t>
      </w:r>
      <w:r w:rsidRPr="0005266B">
        <w:rPr>
          <w:rStyle w:val="FootnoteReference"/>
        </w:rPr>
        <w:footnoteReference w:id="4"/>
      </w:r>
      <w:r w:rsidRPr="0005266B">
        <w:rPr>
          <w:rFonts w:ascii="Times New Roman" w:hAnsi="Times New Roman" w:cs="Times New Roman"/>
          <w:color w:val="000000" w:themeColor="text1"/>
        </w:rPr>
        <w:t xml:space="preserve"> A notable exception to this, is the proposed extension of </w:t>
      </w:r>
      <w:r w:rsidR="00A277DF" w:rsidRPr="0005266B">
        <w:rPr>
          <w:rFonts w:ascii="Times New Roman" w:hAnsi="Times New Roman" w:cs="Times New Roman"/>
          <w:color w:val="000000" w:themeColor="text1"/>
        </w:rPr>
        <w:t>the Consumer Data Right</w:t>
      </w:r>
      <w:r w:rsidRPr="0005266B">
        <w:rPr>
          <w:rFonts w:ascii="Times New Roman" w:hAnsi="Times New Roman" w:cs="Times New Roman"/>
          <w:color w:val="000000" w:themeColor="text1"/>
        </w:rPr>
        <w:t xml:space="preserve"> to minors, a particularly vulnerable consumer group. </w:t>
      </w:r>
    </w:p>
    <w:p w14:paraId="726C8991" w14:textId="69D45D4A" w:rsidR="0005266B" w:rsidRDefault="00690945" w:rsidP="00CB7E50">
      <w:pPr>
        <w:spacing w:before="100" w:beforeAutospacing="1" w:after="100" w:afterAutospacing="1"/>
        <w:jc w:val="both"/>
        <w:rPr>
          <w:rFonts w:ascii="Times New Roman" w:hAnsi="Times New Roman" w:cs="Times New Roman"/>
          <w:color w:val="000000" w:themeColor="text1"/>
        </w:rPr>
      </w:pPr>
      <w:r w:rsidRPr="0005266B">
        <w:rPr>
          <w:rFonts w:ascii="Times New Roman" w:hAnsi="Times New Roman" w:cs="Times New Roman"/>
          <w:color w:val="000000" w:themeColor="text1"/>
        </w:rPr>
        <w:lastRenderedPageBreak/>
        <w:t>ACCAN supports the exclusion of minors from the CDR due to their potential to be exploited and would note that the law has typically extended exceptional protections to minors to preclude exploitation.</w:t>
      </w:r>
      <w:r w:rsidRPr="0005266B">
        <w:rPr>
          <w:rStyle w:val="FootnoteReference"/>
          <w:rFonts w:ascii="Times New Roman" w:hAnsi="Times New Roman" w:cs="Times New Roman"/>
          <w:color w:val="000000" w:themeColor="text1"/>
        </w:rPr>
        <w:footnoteReference w:id="5"/>
      </w:r>
      <w:r w:rsidRPr="0005266B">
        <w:rPr>
          <w:rFonts w:ascii="Times New Roman" w:hAnsi="Times New Roman" w:cs="Times New Roman"/>
          <w:color w:val="000000" w:themeColor="text1"/>
        </w:rPr>
        <w:t xml:space="preserve"> The inclusion of minors at a future point in time may be appropriate in the event that comprehensive and exceptional safeguards are provided to ensure that minors can benefit from their data without facing undue risk of exploitation.</w:t>
      </w:r>
    </w:p>
    <w:p w14:paraId="0B34B48C" w14:textId="7F156264" w:rsidR="00C32DD1" w:rsidRPr="0005266B" w:rsidRDefault="00666ACF" w:rsidP="000C216F">
      <w:pPr>
        <w:jc w:val="both"/>
        <w:rPr>
          <w:rFonts w:ascii="Times New Roman" w:hAnsi="Times New Roman" w:cs="Times New Roman"/>
          <w:color w:val="A6A6A6" w:themeColor="background1" w:themeShade="A6"/>
        </w:rPr>
      </w:pPr>
      <w:r w:rsidRPr="0005266B">
        <w:rPr>
          <w:rFonts w:ascii="Times New Roman" w:hAnsi="Times New Roman" w:cs="Times New Roman"/>
          <w:i/>
          <w:color w:val="000000" w:themeColor="text1"/>
        </w:rPr>
        <w:t>The CDR has risks</w:t>
      </w:r>
    </w:p>
    <w:p w14:paraId="603B5AFB" w14:textId="1123A56D" w:rsidR="00F03706" w:rsidRPr="0005266B" w:rsidRDefault="00F03706" w:rsidP="00F03706">
      <w:pPr>
        <w:jc w:val="both"/>
        <w:rPr>
          <w:rFonts w:ascii="Times New Roman" w:hAnsi="Times New Roman" w:cs="Times New Roman"/>
        </w:rPr>
      </w:pPr>
      <w:r w:rsidRPr="0005266B">
        <w:rPr>
          <w:rFonts w:ascii="Times New Roman" w:hAnsi="Times New Roman" w:cs="Times New Roman"/>
        </w:rPr>
        <w:t>The current formulation of the framework seeks to promote the communication of product, service and presumably price information between entities in concentrated market places in order to allow consumers to elicit better offers. However, rather than offering consumers a better deal business may use this information for the purpose of profiling individuals and sub-markets of consumers in order to extract the maximum possible economic rent.</w:t>
      </w:r>
    </w:p>
    <w:p w14:paraId="7FFF1674" w14:textId="017AD49E" w:rsidR="006B4E26" w:rsidRPr="0005266B" w:rsidRDefault="006C7C13" w:rsidP="00AF6634">
      <w:pPr>
        <w:pStyle w:val="BodyText1"/>
        <w:jc w:val="both"/>
        <w:rPr>
          <w:rFonts w:ascii="Times New Roman" w:hAnsi="Times New Roman" w:cs="Times New Roman"/>
          <w:color w:val="auto"/>
        </w:rPr>
      </w:pPr>
      <w:r w:rsidRPr="0005266B">
        <w:rPr>
          <w:rFonts w:ascii="Times New Roman" w:hAnsi="Times New Roman" w:cs="Times New Roman"/>
          <w:color w:val="auto"/>
        </w:rPr>
        <w:t xml:space="preserve">The </w:t>
      </w:r>
      <w:r w:rsidR="006B4E26" w:rsidRPr="0005266B">
        <w:rPr>
          <w:rFonts w:ascii="Times New Roman" w:hAnsi="Times New Roman" w:cs="Times New Roman"/>
          <w:color w:val="auto"/>
        </w:rPr>
        <w:t xml:space="preserve">consumer data right creates a process for the frequent porting of detailed information concerning individuals, transactions, locations, products, services and prices potentially on a real-time basis. </w:t>
      </w:r>
      <w:r w:rsidR="00296F1B" w:rsidRPr="0005266B">
        <w:rPr>
          <w:rFonts w:ascii="Times New Roman" w:hAnsi="Times New Roman" w:cs="Times New Roman"/>
          <w:color w:val="auto"/>
        </w:rPr>
        <w:t xml:space="preserve">Although likely to provide material benefits to consumers, the porting and communication of this data </w:t>
      </w:r>
      <w:r w:rsidR="00194245" w:rsidRPr="0005266B">
        <w:rPr>
          <w:rFonts w:ascii="Times New Roman" w:hAnsi="Times New Roman" w:cs="Times New Roman"/>
          <w:color w:val="auto"/>
        </w:rPr>
        <w:t>possess</w:t>
      </w:r>
      <w:r w:rsidR="00296F1B" w:rsidRPr="0005266B">
        <w:rPr>
          <w:rFonts w:ascii="Times New Roman" w:hAnsi="Times New Roman" w:cs="Times New Roman"/>
          <w:color w:val="auto"/>
        </w:rPr>
        <w:t xml:space="preserve"> significant risks if</w:t>
      </w:r>
      <w:r w:rsidR="00194245" w:rsidRPr="0005266B">
        <w:rPr>
          <w:rFonts w:ascii="Times New Roman" w:hAnsi="Times New Roman" w:cs="Times New Roman"/>
          <w:color w:val="auto"/>
        </w:rPr>
        <w:t xml:space="preserve"> it is misused, lost or stolen. </w:t>
      </w:r>
    </w:p>
    <w:p w14:paraId="72164AB9" w14:textId="20626D58" w:rsidR="00F62F57" w:rsidRPr="0005266B" w:rsidRDefault="00F62F57" w:rsidP="00841CE3">
      <w:pPr>
        <w:jc w:val="both"/>
        <w:rPr>
          <w:rFonts w:ascii="Times New Roman" w:hAnsi="Times New Roman" w:cs="Times New Roman"/>
          <w:color w:val="000000" w:themeColor="text1"/>
        </w:rPr>
      </w:pPr>
      <w:r w:rsidRPr="0005266B">
        <w:rPr>
          <w:rFonts w:ascii="Times New Roman" w:hAnsi="Times New Roman" w:cs="Times New Roman"/>
          <w:color w:val="000000" w:themeColor="text1"/>
        </w:rPr>
        <w:t>ACCAN is</w:t>
      </w:r>
      <w:r w:rsidR="00841CE3" w:rsidRPr="0005266B">
        <w:rPr>
          <w:rFonts w:ascii="Times New Roman" w:hAnsi="Times New Roman" w:cs="Times New Roman"/>
          <w:color w:val="000000" w:themeColor="text1"/>
        </w:rPr>
        <w:t xml:space="preserve"> supportive of measures to provide consumers with information to add comparison and the selection of better services</w:t>
      </w:r>
      <w:r w:rsidR="00325206">
        <w:rPr>
          <w:rFonts w:ascii="Times New Roman" w:hAnsi="Times New Roman" w:cs="Times New Roman"/>
          <w:color w:val="000000" w:themeColor="text1"/>
        </w:rPr>
        <w:t>.</w:t>
      </w:r>
      <w:r w:rsidR="009B41C9" w:rsidRPr="0005266B">
        <w:rPr>
          <w:rStyle w:val="FootnoteReference"/>
          <w:rFonts w:ascii="Times New Roman" w:hAnsi="Times New Roman" w:cs="Times New Roman"/>
          <w:color w:val="000000" w:themeColor="text1"/>
        </w:rPr>
        <w:footnoteReference w:id="6"/>
      </w:r>
      <w:r w:rsidR="00841CE3" w:rsidRPr="0005266B">
        <w:rPr>
          <w:rFonts w:ascii="Times New Roman" w:hAnsi="Times New Roman" w:cs="Times New Roman"/>
          <w:color w:val="000000" w:themeColor="text1"/>
        </w:rPr>
        <w:t xml:space="preserve"> </w:t>
      </w:r>
      <w:r w:rsidR="00325206">
        <w:rPr>
          <w:rFonts w:ascii="Times New Roman" w:hAnsi="Times New Roman" w:cs="Times New Roman"/>
          <w:color w:val="000000" w:themeColor="text1"/>
        </w:rPr>
        <w:t>H</w:t>
      </w:r>
      <w:r w:rsidRPr="0005266B">
        <w:rPr>
          <w:rFonts w:ascii="Times New Roman" w:hAnsi="Times New Roman" w:cs="Times New Roman"/>
          <w:color w:val="000000" w:themeColor="text1"/>
        </w:rPr>
        <w:t xml:space="preserve">owever </w:t>
      </w:r>
      <w:r w:rsidR="00841CE3" w:rsidRPr="0005266B">
        <w:rPr>
          <w:rFonts w:ascii="Times New Roman" w:hAnsi="Times New Roman" w:cs="Times New Roman"/>
          <w:color w:val="000000" w:themeColor="text1"/>
        </w:rPr>
        <w:t>the current framework would entail the transfer of detailed price and service information on a potentially real time basis to service providers that are</w:t>
      </w:r>
      <w:r w:rsidRPr="0005266B">
        <w:rPr>
          <w:rFonts w:ascii="Times New Roman" w:hAnsi="Times New Roman" w:cs="Times New Roman"/>
          <w:color w:val="000000" w:themeColor="text1"/>
        </w:rPr>
        <w:t xml:space="preserve"> </w:t>
      </w:r>
      <w:r w:rsidR="00841CE3" w:rsidRPr="0005266B">
        <w:rPr>
          <w:rFonts w:ascii="Times New Roman" w:hAnsi="Times New Roman" w:cs="Times New Roman"/>
          <w:color w:val="000000" w:themeColor="text1"/>
        </w:rPr>
        <w:t xml:space="preserve">in direct competition with one another. </w:t>
      </w:r>
      <w:r w:rsidRPr="0005266B">
        <w:rPr>
          <w:rFonts w:ascii="Times New Roman" w:hAnsi="Times New Roman" w:cs="Times New Roman"/>
          <w:color w:val="000000" w:themeColor="text1"/>
        </w:rPr>
        <w:t xml:space="preserve">The use of this consumer data by firms to develop comprehensive </w:t>
      </w:r>
      <w:r w:rsidR="007E73B3" w:rsidRPr="0005266B">
        <w:rPr>
          <w:rFonts w:ascii="Times New Roman" w:hAnsi="Times New Roman" w:cs="Times New Roman"/>
          <w:color w:val="000000" w:themeColor="text1"/>
        </w:rPr>
        <w:t xml:space="preserve">models of consumer preferences, maximum </w:t>
      </w:r>
      <w:r w:rsidRPr="0005266B">
        <w:rPr>
          <w:rFonts w:ascii="Times New Roman" w:hAnsi="Times New Roman" w:cs="Times New Roman"/>
          <w:color w:val="000000" w:themeColor="text1"/>
        </w:rPr>
        <w:t xml:space="preserve">willingness to pay and </w:t>
      </w:r>
      <w:r w:rsidR="007E73B3" w:rsidRPr="0005266B">
        <w:rPr>
          <w:rFonts w:ascii="Times New Roman" w:hAnsi="Times New Roman" w:cs="Times New Roman"/>
          <w:color w:val="000000" w:themeColor="text1"/>
        </w:rPr>
        <w:t xml:space="preserve">competitor pricing strategy may allow firms to implicitly collude or price-match rather than engender real competition. </w:t>
      </w:r>
    </w:p>
    <w:p w14:paraId="223940EB" w14:textId="3BEF5037" w:rsidR="00A625B0" w:rsidRPr="0005266B" w:rsidRDefault="0027142F" w:rsidP="007E73B3">
      <w:pPr>
        <w:jc w:val="both"/>
        <w:rPr>
          <w:rFonts w:ascii="Times New Roman" w:hAnsi="Times New Roman" w:cs="Times New Roman"/>
          <w:color w:val="000000" w:themeColor="text1"/>
        </w:rPr>
      </w:pPr>
      <w:r w:rsidRPr="0005266B">
        <w:rPr>
          <w:rFonts w:ascii="Times New Roman" w:hAnsi="Times New Roman" w:cs="Times New Roman"/>
          <w:color w:val="000000" w:themeColor="text1"/>
        </w:rPr>
        <w:t>In concentrated markets such as telecommunications and financial services</w:t>
      </w:r>
      <w:r w:rsidR="00961064" w:rsidRPr="0005266B">
        <w:rPr>
          <w:rFonts w:ascii="Times New Roman" w:hAnsi="Times New Roman" w:cs="Times New Roman"/>
          <w:color w:val="000000" w:themeColor="text1"/>
        </w:rPr>
        <w:t xml:space="preserve"> </w:t>
      </w:r>
      <w:r w:rsidR="00A54E76" w:rsidRPr="0005266B">
        <w:rPr>
          <w:rFonts w:ascii="Times New Roman" w:hAnsi="Times New Roman" w:cs="Times New Roman"/>
          <w:noProof/>
          <w:color w:val="000000" w:themeColor="text1"/>
        </w:rPr>
        <w:t>(Grattan Institute 2017)</w:t>
      </w:r>
      <w:r w:rsidRPr="0005266B">
        <w:rPr>
          <w:rFonts w:ascii="Times New Roman" w:hAnsi="Times New Roman" w:cs="Times New Roman"/>
          <w:color w:val="000000" w:themeColor="text1"/>
        </w:rPr>
        <w:t>, the incentives to engage in vigorous pricing competition</w:t>
      </w:r>
      <w:r w:rsidR="006F7402" w:rsidRPr="0005266B">
        <w:rPr>
          <w:rFonts w:ascii="Times New Roman" w:hAnsi="Times New Roman" w:cs="Times New Roman"/>
          <w:color w:val="000000" w:themeColor="text1"/>
        </w:rPr>
        <w:t xml:space="preserve"> are more limited. </w:t>
      </w:r>
      <w:r w:rsidR="005B5B5E" w:rsidRPr="0005266B">
        <w:rPr>
          <w:rFonts w:ascii="Times New Roman" w:hAnsi="Times New Roman" w:cs="Times New Roman"/>
          <w:color w:val="000000" w:themeColor="text1"/>
        </w:rPr>
        <w:t xml:space="preserve">In the finance </w:t>
      </w:r>
      <w:r w:rsidR="00394416" w:rsidRPr="0005266B">
        <w:rPr>
          <w:rFonts w:ascii="Times New Roman" w:hAnsi="Times New Roman" w:cs="Times New Roman"/>
          <w:color w:val="000000" w:themeColor="text1"/>
        </w:rPr>
        <w:t xml:space="preserve">sector this has resulted in clustering </w:t>
      </w:r>
      <w:r w:rsidR="005B5B5E" w:rsidRPr="0005266B">
        <w:rPr>
          <w:rFonts w:ascii="Times New Roman" w:hAnsi="Times New Roman" w:cs="Times New Roman"/>
          <w:noProof/>
          <w:color w:val="000000" w:themeColor="text1"/>
        </w:rPr>
        <w:t>(PC 2018, p.12)</w:t>
      </w:r>
      <w:r w:rsidR="005B5B5E" w:rsidRPr="0005266B">
        <w:rPr>
          <w:rFonts w:ascii="Times New Roman" w:hAnsi="Times New Roman" w:cs="Times New Roman"/>
          <w:color w:val="000000" w:themeColor="text1"/>
        </w:rPr>
        <w:t xml:space="preserve"> of prices, with banks leveraging their market power </w:t>
      </w:r>
      <w:r w:rsidR="00CF7A84" w:rsidRPr="0005266B">
        <w:rPr>
          <w:rFonts w:ascii="Times New Roman" w:hAnsi="Times New Roman" w:cs="Times New Roman"/>
          <w:noProof/>
          <w:color w:val="000000" w:themeColor="text1"/>
        </w:rPr>
        <w:t>(PC 2018, p. 9)</w:t>
      </w:r>
      <w:r w:rsidR="00CF7A84" w:rsidRPr="0005266B">
        <w:rPr>
          <w:rFonts w:ascii="Times New Roman" w:hAnsi="Times New Roman" w:cs="Times New Roman"/>
          <w:color w:val="000000" w:themeColor="text1"/>
        </w:rPr>
        <w:t xml:space="preserve"> to set prices (thus maintaining their margins) rather than engage in price competition.</w:t>
      </w:r>
    </w:p>
    <w:p w14:paraId="69FF4805" w14:textId="236BD653" w:rsidR="00F03706" w:rsidRPr="0005266B" w:rsidRDefault="00C47D24" w:rsidP="00BC2AC1">
      <w:pPr>
        <w:jc w:val="both"/>
        <w:rPr>
          <w:rFonts w:ascii="Times New Roman" w:hAnsi="Times New Roman" w:cs="Times New Roman"/>
          <w:color w:val="000000" w:themeColor="text1"/>
        </w:rPr>
      </w:pPr>
      <w:r w:rsidRPr="0005266B">
        <w:rPr>
          <w:rFonts w:ascii="Times New Roman" w:hAnsi="Times New Roman" w:cs="Times New Roman"/>
          <w:color w:val="000000" w:themeColor="text1"/>
        </w:rPr>
        <w:t xml:space="preserve">For market participants engaging in price matching or ‘clustering’ </w:t>
      </w:r>
      <w:r w:rsidR="00325206">
        <w:rPr>
          <w:rFonts w:ascii="Times New Roman" w:hAnsi="Times New Roman" w:cs="Times New Roman"/>
          <w:color w:val="000000" w:themeColor="text1"/>
        </w:rPr>
        <w:t xml:space="preserve">it </w:t>
      </w:r>
      <w:r w:rsidRPr="0005266B">
        <w:rPr>
          <w:rFonts w:ascii="Times New Roman" w:hAnsi="Times New Roman" w:cs="Times New Roman"/>
          <w:color w:val="000000" w:themeColor="text1"/>
        </w:rPr>
        <w:t>falls short of tacit collusion but may still be feasible when service providers have access to detailed real-time data concerning their competitors</w:t>
      </w:r>
      <w:r w:rsidR="00325206">
        <w:rPr>
          <w:rFonts w:ascii="Times New Roman" w:hAnsi="Times New Roman" w:cs="Times New Roman"/>
          <w:color w:val="000000" w:themeColor="text1"/>
        </w:rPr>
        <w:t>’</w:t>
      </w:r>
      <w:r w:rsidRPr="0005266B">
        <w:rPr>
          <w:rFonts w:ascii="Times New Roman" w:hAnsi="Times New Roman" w:cs="Times New Roman"/>
          <w:color w:val="000000" w:themeColor="text1"/>
        </w:rPr>
        <w:t xml:space="preserve"> market offerings. This has the potential to result in significant loss to consumers through elevated average prices within markets, but still amount to conduct that is insufficient to result in regulatory intervention. </w:t>
      </w:r>
    </w:p>
    <w:p w14:paraId="112C84C3" w14:textId="251340ED" w:rsidR="002A2B5A" w:rsidRDefault="00666ACF" w:rsidP="0005266B">
      <w:pPr>
        <w:pStyle w:val="BodyText1"/>
        <w:jc w:val="both"/>
        <w:rPr>
          <w:rFonts w:ascii="Times New Roman" w:hAnsi="Times New Roman" w:cs="Times New Roman"/>
          <w:color w:val="auto"/>
        </w:rPr>
      </w:pPr>
      <w:r w:rsidRPr="0005266B">
        <w:rPr>
          <w:rFonts w:ascii="Times New Roman" w:hAnsi="Times New Roman" w:cs="Times New Roman"/>
          <w:color w:val="auto"/>
        </w:rPr>
        <w:t>The current drafting of the rules framework does not countenance the possibility that firms operating within the CDR system may have incentives to use greater access to consumer data to price discriminate or collude in the course of maximising their profits</w:t>
      </w:r>
      <w:r w:rsidR="00B1005E" w:rsidRPr="0005266B">
        <w:rPr>
          <w:rFonts w:ascii="Times New Roman" w:hAnsi="Times New Roman" w:cs="Times New Roman"/>
          <w:color w:val="auto"/>
        </w:rPr>
        <w:t xml:space="preserve"> </w:t>
      </w:r>
      <w:r w:rsidR="00B1005E" w:rsidRPr="0005266B">
        <w:rPr>
          <w:rFonts w:ascii="Times New Roman" w:hAnsi="Times New Roman" w:cs="Times New Roman"/>
          <w:color w:val="auto"/>
          <w:lang w:val="en-US"/>
        </w:rPr>
        <w:t>(Varian 1989, p. 1–2)</w:t>
      </w:r>
      <w:r w:rsidRPr="0005266B">
        <w:rPr>
          <w:rFonts w:ascii="Times New Roman" w:hAnsi="Times New Roman" w:cs="Times New Roman"/>
          <w:color w:val="auto"/>
        </w:rPr>
        <w:t>.</w:t>
      </w:r>
      <w:r w:rsidR="00FB1079" w:rsidRPr="0005266B">
        <w:rPr>
          <w:rFonts w:ascii="Times New Roman" w:hAnsi="Times New Roman" w:cs="Times New Roman"/>
          <w:color w:val="auto"/>
        </w:rPr>
        <w:t xml:space="preserve"> </w:t>
      </w:r>
      <w:r w:rsidR="00A53E8D" w:rsidRPr="0005266B">
        <w:rPr>
          <w:rFonts w:ascii="Times New Roman" w:hAnsi="Times New Roman" w:cs="Times New Roman"/>
          <w:color w:val="auto"/>
        </w:rPr>
        <w:t xml:space="preserve">This is concerning, given the </w:t>
      </w:r>
      <w:r w:rsidR="005C5508" w:rsidRPr="0005266B">
        <w:rPr>
          <w:rFonts w:ascii="Times New Roman" w:hAnsi="Times New Roman" w:cs="Times New Roman"/>
          <w:color w:val="auto"/>
        </w:rPr>
        <w:t>well-established</w:t>
      </w:r>
      <w:r w:rsidR="00A53E8D" w:rsidRPr="0005266B">
        <w:rPr>
          <w:rFonts w:ascii="Times New Roman" w:hAnsi="Times New Roman" w:cs="Times New Roman"/>
          <w:color w:val="auto"/>
        </w:rPr>
        <w:t xml:space="preserve"> incentives at play in the financial services sector where such data may allow for firms to set prices well above competitive market levels and engage in price discrimination.</w:t>
      </w:r>
    </w:p>
    <w:p w14:paraId="71F93C55" w14:textId="77777777" w:rsidR="00B61A01" w:rsidRDefault="00B61A01" w:rsidP="0005266B">
      <w:pPr>
        <w:pStyle w:val="BodyText1"/>
        <w:jc w:val="both"/>
        <w:rPr>
          <w:rFonts w:ascii="Times New Roman" w:hAnsi="Times New Roman" w:cs="Times New Roman"/>
          <w:color w:val="auto"/>
        </w:rPr>
      </w:pPr>
    </w:p>
    <w:p w14:paraId="2727C5CE" w14:textId="4ED65FF8" w:rsidR="0005266B" w:rsidRDefault="00B1005E" w:rsidP="0005266B">
      <w:pPr>
        <w:pStyle w:val="BodyText1"/>
        <w:jc w:val="both"/>
        <w:rPr>
          <w:rFonts w:ascii="Times New Roman" w:hAnsi="Times New Roman" w:cs="Times New Roman"/>
          <w:color w:val="auto"/>
        </w:rPr>
      </w:pPr>
      <w:r w:rsidRPr="0005266B">
        <w:rPr>
          <w:rFonts w:ascii="Times New Roman" w:hAnsi="Times New Roman" w:cs="Times New Roman"/>
          <w:color w:val="auto"/>
        </w:rPr>
        <w:lastRenderedPageBreak/>
        <w:t xml:space="preserve">In the telecommunications sector similar incentives may exist, and service providers may be in a position to use CDR data in order to develop comprehensive pricing models that increase prices for specific groups, to their detriment. </w:t>
      </w:r>
      <w:r w:rsidR="00DE0C67" w:rsidRPr="0005266B">
        <w:rPr>
          <w:rFonts w:ascii="Times New Roman" w:hAnsi="Times New Roman" w:cs="Times New Roman"/>
          <w:color w:val="auto"/>
        </w:rPr>
        <w:t>Although such conduct is not illegal, the potential for consumer data to be used for this purpose is concerning and will result in potentially material detriment to consumers.</w:t>
      </w:r>
      <w:r w:rsidR="00DE0C67" w:rsidRPr="0005266B">
        <w:rPr>
          <w:rStyle w:val="FootnoteReference"/>
          <w:rFonts w:ascii="Times New Roman" w:hAnsi="Times New Roman" w:cs="Times New Roman"/>
          <w:color w:val="auto"/>
        </w:rPr>
        <w:footnoteReference w:id="7"/>
      </w:r>
    </w:p>
    <w:p w14:paraId="65264AC3" w14:textId="7B098FC6" w:rsidR="00C77F6B" w:rsidRDefault="008E218B" w:rsidP="0005266B">
      <w:pPr>
        <w:pStyle w:val="BodyText1"/>
        <w:jc w:val="both"/>
        <w:rPr>
          <w:rFonts w:ascii="Times New Roman" w:hAnsi="Times New Roman" w:cs="Times New Roman"/>
          <w:color w:val="auto"/>
        </w:rPr>
      </w:pPr>
      <w:r>
        <w:rPr>
          <w:rFonts w:ascii="Times New Roman" w:hAnsi="Times New Roman" w:cs="Times New Roman"/>
          <w:color w:val="auto"/>
        </w:rPr>
        <w:t>In order to dissuade service providers and data participants from using consumer data for anti-competitive purposes ACCAN believes that it is appropriate to establish exceptional penalties for such conduct</w:t>
      </w:r>
      <w:r w:rsidR="00325206">
        <w:rPr>
          <w:rFonts w:ascii="Times New Roman" w:hAnsi="Times New Roman" w:cs="Times New Roman"/>
          <w:color w:val="auto"/>
        </w:rPr>
        <w:t xml:space="preserve"> and</w:t>
      </w:r>
      <w:r>
        <w:rPr>
          <w:rFonts w:ascii="Times New Roman" w:hAnsi="Times New Roman" w:cs="Times New Roman"/>
          <w:color w:val="auto"/>
        </w:rPr>
        <w:t xml:space="preserve"> for </w:t>
      </w:r>
      <w:r w:rsidR="00DD7627">
        <w:rPr>
          <w:rFonts w:ascii="Times New Roman" w:hAnsi="Times New Roman" w:cs="Times New Roman"/>
          <w:color w:val="auto"/>
        </w:rPr>
        <w:t>ac</w:t>
      </w:r>
      <w:r w:rsidR="00310834">
        <w:rPr>
          <w:rFonts w:ascii="Times New Roman" w:hAnsi="Times New Roman" w:cs="Times New Roman"/>
          <w:color w:val="auto"/>
        </w:rPr>
        <w:t xml:space="preserve">creditation to be revoked </w:t>
      </w:r>
      <w:r w:rsidR="00325206">
        <w:rPr>
          <w:rFonts w:ascii="Times New Roman" w:hAnsi="Times New Roman" w:cs="Times New Roman"/>
          <w:color w:val="auto"/>
        </w:rPr>
        <w:t>at</w:t>
      </w:r>
      <w:r w:rsidR="00310834">
        <w:rPr>
          <w:rFonts w:ascii="Times New Roman" w:hAnsi="Times New Roman" w:cs="Times New Roman"/>
          <w:color w:val="auto"/>
        </w:rPr>
        <w:t xml:space="preserve"> a minimum. </w:t>
      </w:r>
      <w:r w:rsidR="00F6383B">
        <w:rPr>
          <w:rFonts w:ascii="Times New Roman" w:hAnsi="Times New Roman" w:cs="Times New Roman"/>
          <w:color w:val="auto"/>
        </w:rPr>
        <w:t>In the absence of a credible threat of sanction</w:t>
      </w:r>
      <w:r w:rsidR="00325206">
        <w:rPr>
          <w:rFonts w:ascii="Times New Roman" w:hAnsi="Times New Roman" w:cs="Times New Roman"/>
          <w:color w:val="auto"/>
        </w:rPr>
        <w:t>,</w:t>
      </w:r>
      <w:r w:rsidR="00F6383B">
        <w:rPr>
          <w:rFonts w:ascii="Times New Roman" w:hAnsi="Times New Roman" w:cs="Times New Roman"/>
          <w:color w:val="auto"/>
        </w:rPr>
        <w:t xml:space="preserve"> service providers may have incentives to engage in behaviour to the material </w:t>
      </w:r>
      <w:r w:rsidR="00BA0687">
        <w:rPr>
          <w:rFonts w:ascii="Times New Roman" w:hAnsi="Times New Roman" w:cs="Times New Roman"/>
          <w:color w:val="auto"/>
        </w:rPr>
        <w:t xml:space="preserve">detriment of consumers, particularly those that are financially vulnerable. </w:t>
      </w:r>
    </w:p>
    <w:p w14:paraId="45408214" w14:textId="38DD91B8" w:rsidR="001E30BC" w:rsidRPr="001E30BC" w:rsidRDefault="001E30BC" w:rsidP="001E30BC">
      <w:pPr>
        <w:pStyle w:val="BodyText1"/>
        <w:jc w:val="both"/>
        <w:rPr>
          <w:rFonts w:ascii="Times New Roman" w:hAnsi="Times New Roman" w:cs="Times New Roman"/>
          <w:color w:val="auto"/>
        </w:rPr>
      </w:pPr>
      <w:r w:rsidRPr="001E30BC">
        <w:rPr>
          <w:rFonts w:ascii="Times New Roman" w:hAnsi="Times New Roman" w:cs="Times New Roman"/>
          <w:color w:val="auto"/>
        </w:rPr>
        <w:t xml:space="preserve">ACCAN thanks the </w:t>
      </w:r>
      <w:r>
        <w:rPr>
          <w:rFonts w:ascii="Times New Roman" w:hAnsi="Times New Roman" w:cs="Times New Roman"/>
          <w:color w:val="auto"/>
        </w:rPr>
        <w:t>ACCC</w:t>
      </w:r>
      <w:r w:rsidRPr="001E30BC">
        <w:rPr>
          <w:rFonts w:ascii="Times New Roman" w:hAnsi="Times New Roman" w:cs="Times New Roman"/>
          <w:color w:val="auto"/>
        </w:rPr>
        <w:t xml:space="preserve"> for the opportunity to comment on the </w:t>
      </w:r>
      <w:r w:rsidR="00E14226">
        <w:rPr>
          <w:rFonts w:ascii="Times New Roman" w:hAnsi="Times New Roman" w:cs="Times New Roman"/>
          <w:color w:val="auto"/>
        </w:rPr>
        <w:t>rules framework</w:t>
      </w:r>
      <w:r w:rsidRPr="001E30BC">
        <w:rPr>
          <w:rFonts w:ascii="Times New Roman" w:hAnsi="Times New Roman" w:cs="Times New Roman"/>
          <w:color w:val="auto"/>
        </w:rPr>
        <w:t xml:space="preserve">. Should you wish to discuss this submission further please do not hesitate to get in contact.  </w:t>
      </w:r>
    </w:p>
    <w:p w14:paraId="57A7A27E" w14:textId="38018E9E" w:rsidR="008E218B" w:rsidRPr="0005266B" w:rsidRDefault="008E218B" w:rsidP="0005266B">
      <w:pPr>
        <w:pStyle w:val="BodyText1"/>
        <w:jc w:val="both"/>
        <w:rPr>
          <w:rFonts w:ascii="Times New Roman" w:hAnsi="Times New Roman" w:cs="Times New Roman"/>
          <w:color w:val="auto"/>
        </w:rPr>
      </w:pPr>
    </w:p>
    <w:p w14:paraId="03EDD859" w14:textId="55C959E7" w:rsidR="00A24BED" w:rsidRPr="0005266B" w:rsidRDefault="00F3224E" w:rsidP="00F3224E">
      <w:pPr>
        <w:pStyle w:val="BodyText1"/>
        <w:rPr>
          <w:rFonts w:ascii="Times New Roman" w:hAnsi="Times New Roman" w:cs="Times New Roman"/>
          <w:color w:val="auto"/>
        </w:rPr>
      </w:pPr>
      <w:r w:rsidRPr="0005266B">
        <w:rPr>
          <w:rFonts w:ascii="Times New Roman" w:hAnsi="Times New Roman" w:cs="Times New Roman"/>
          <w:color w:val="auto"/>
        </w:rPr>
        <w:t xml:space="preserve">Yours Sincerely, </w:t>
      </w:r>
    </w:p>
    <w:p w14:paraId="0CAFE746" w14:textId="77777777" w:rsidR="0005266B" w:rsidRDefault="0005266B" w:rsidP="00F3224E">
      <w:pPr>
        <w:pStyle w:val="BodyText1"/>
        <w:rPr>
          <w:rFonts w:ascii="Times New Roman" w:hAnsi="Times New Roman" w:cs="Times New Roman"/>
          <w:color w:val="auto"/>
        </w:rPr>
      </w:pPr>
    </w:p>
    <w:p w14:paraId="1BB64CD2" w14:textId="3BDC4781" w:rsidR="00A24BED" w:rsidRPr="0005266B" w:rsidRDefault="00F3224E" w:rsidP="00F3224E">
      <w:pPr>
        <w:pStyle w:val="BodyText1"/>
        <w:rPr>
          <w:rFonts w:ascii="Times New Roman" w:hAnsi="Times New Roman" w:cs="Times New Roman"/>
          <w:color w:val="auto"/>
        </w:rPr>
      </w:pPr>
      <w:r w:rsidRPr="0005266B">
        <w:rPr>
          <w:rFonts w:ascii="Times New Roman" w:hAnsi="Times New Roman" w:cs="Times New Roman"/>
          <w:color w:val="auto"/>
        </w:rPr>
        <w:t xml:space="preserve">Gareth Downing </w:t>
      </w:r>
    </w:p>
    <w:p w14:paraId="78A4C607" w14:textId="10FBBE1A" w:rsidR="00516EC8" w:rsidRPr="0005266B" w:rsidRDefault="00F3224E" w:rsidP="00F3224E">
      <w:pPr>
        <w:pStyle w:val="BodyText1"/>
        <w:rPr>
          <w:rFonts w:ascii="Times New Roman" w:hAnsi="Times New Roman" w:cs="Times New Roman"/>
          <w:color w:val="auto"/>
        </w:rPr>
      </w:pPr>
      <w:r w:rsidRPr="0005266B">
        <w:rPr>
          <w:rFonts w:ascii="Times New Roman" w:hAnsi="Times New Roman" w:cs="Times New Roman"/>
          <w:color w:val="auto"/>
        </w:rPr>
        <w:t>Senior Policy Analyst</w:t>
      </w:r>
    </w:p>
    <w:p w14:paraId="7DB07D39" w14:textId="3539109C" w:rsidR="00F3224E" w:rsidRPr="00727D82" w:rsidRDefault="00F3224E" w:rsidP="004E755C">
      <w:pPr>
        <w:pStyle w:val="BodyText1"/>
        <w:pageBreakBefore/>
        <w:rPr>
          <w:rFonts w:ascii="Times New Roman" w:hAnsi="Times New Roman" w:cs="Times New Roman"/>
          <w:b/>
          <w:color w:val="auto"/>
        </w:rPr>
      </w:pPr>
      <w:r w:rsidRPr="00727D82">
        <w:rPr>
          <w:rFonts w:ascii="Times New Roman" w:hAnsi="Times New Roman" w:cs="Times New Roman"/>
          <w:b/>
          <w:color w:val="auto"/>
        </w:rPr>
        <w:lastRenderedPageBreak/>
        <w:t xml:space="preserve">Reference List </w:t>
      </w:r>
    </w:p>
    <w:p w14:paraId="4863BCA6" w14:textId="55EF2C15"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Arrow, K.J. 1968, ‘The economics of moral hazard: further comment’, </w:t>
      </w:r>
      <w:r w:rsidRPr="00727D82">
        <w:rPr>
          <w:rFonts w:ascii="Times New Roman" w:hAnsi="Times New Roman" w:cs="Times New Roman"/>
          <w:i/>
          <w:iCs/>
          <w:lang w:val="en-US"/>
        </w:rPr>
        <w:t>The American Economic Review</w:t>
      </w:r>
      <w:r w:rsidRPr="00727D82">
        <w:rPr>
          <w:rFonts w:ascii="Times New Roman" w:hAnsi="Times New Roman" w:cs="Times New Roman"/>
          <w:lang w:val="en-US"/>
        </w:rPr>
        <w:t>, vol. 58, no. 3, pp. 537–9.</w:t>
      </w:r>
    </w:p>
    <w:p w14:paraId="35490DF0"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Ayres, I. &amp; Schwartz, A. 2014, ‘The no-reading problem in consumer contract law’, </w:t>
      </w:r>
      <w:r w:rsidRPr="00727D82">
        <w:rPr>
          <w:rFonts w:ascii="Times New Roman" w:hAnsi="Times New Roman" w:cs="Times New Roman"/>
          <w:i/>
          <w:iCs/>
          <w:lang w:val="en-US"/>
        </w:rPr>
        <w:t>Stan. L. Rev.</w:t>
      </w:r>
      <w:r w:rsidRPr="00727D82">
        <w:rPr>
          <w:rFonts w:ascii="Times New Roman" w:hAnsi="Times New Roman" w:cs="Times New Roman"/>
          <w:lang w:val="en-US"/>
        </w:rPr>
        <w:t>, vol. 66, p. 545.</w:t>
      </w:r>
    </w:p>
    <w:p w14:paraId="4EA87DAA"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Bakos, Y., Marotta-Wurgler, F. &amp; Trossen, D.R. 2014, ‘Does Anyone Read the Fine Print? Consumer Attention to Standard-Form Contracts’, </w:t>
      </w:r>
      <w:r w:rsidRPr="00727D82">
        <w:rPr>
          <w:rFonts w:ascii="Times New Roman" w:hAnsi="Times New Roman" w:cs="Times New Roman"/>
          <w:i/>
          <w:iCs/>
          <w:lang w:val="en-US"/>
        </w:rPr>
        <w:t>The Journal of Legal Studies</w:t>
      </w:r>
      <w:r w:rsidRPr="00727D82">
        <w:rPr>
          <w:rFonts w:ascii="Times New Roman" w:hAnsi="Times New Roman" w:cs="Times New Roman"/>
          <w:lang w:val="en-US"/>
        </w:rPr>
        <w:t>, vol. 43, no. 1, pp. 1–35.</w:t>
      </w:r>
    </w:p>
    <w:p w14:paraId="30E9B58E" w14:textId="6BDEA62F"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Ben-Shahar, O. 2009, ‘The Myth of the ‘Opportunity to Read</w:t>
      </w:r>
      <w:r w:rsidR="00F75865">
        <w:rPr>
          <w:rFonts w:ascii="Times New Roman" w:hAnsi="Times New Roman" w:cs="Times New Roman"/>
          <w:lang w:val="en-US"/>
        </w:rPr>
        <w:t xml:space="preserve"> </w:t>
      </w:r>
      <w:r w:rsidRPr="00727D82">
        <w:rPr>
          <w:rFonts w:ascii="Times New Roman" w:hAnsi="Times New Roman" w:cs="Times New Roman"/>
          <w:lang w:val="en-US"/>
        </w:rPr>
        <w:t xml:space="preserve">’in Contract law’, </w:t>
      </w:r>
      <w:r w:rsidRPr="00727D82">
        <w:rPr>
          <w:rFonts w:ascii="Times New Roman" w:hAnsi="Times New Roman" w:cs="Times New Roman"/>
          <w:i/>
          <w:iCs/>
          <w:lang w:val="en-US"/>
        </w:rPr>
        <w:t>European Review of Contract Law</w:t>
      </w:r>
      <w:r w:rsidRPr="00727D82">
        <w:rPr>
          <w:rFonts w:ascii="Times New Roman" w:hAnsi="Times New Roman" w:cs="Times New Roman"/>
          <w:lang w:val="en-US"/>
        </w:rPr>
        <w:t>, vol. 5, no. 1, pp. 1–28.</w:t>
      </w:r>
    </w:p>
    <w:p w14:paraId="10E6D76A"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Harrison, P., Hill, L. &amp; Gray, C. 2016, </w:t>
      </w:r>
      <w:r w:rsidRPr="00727D82">
        <w:rPr>
          <w:rFonts w:ascii="Times New Roman" w:hAnsi="Times New Roman" w:cs="Times New Roman"/>
          <w:i/>
          <w:iCs/>
          <w:lang w:val="en-US"/>
        </w:rPr>
        <w:t>Confident, but Confounded: Consumer Comprehension of Telecommunications Agreements</w:t>
      </w:r>
      <w:r w:rsidRPr="00727D82">
        <w:rPr>
          <w:rFonts w:ascii="Times New Roman" w:hAnsi="Times New Roman" w:cs="Times New Roman"/>
          <w:lang w:val="en-US"/>
        </w:rPr>
        <w:t>, Australian Communications Consumer Action Network.</w:t>
      </w:r>
    </w:p>
    <w:p w14:paraId="02E2B449" w14:textId="7E88E172"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Hayne 2018, </w:t>
      </w:r>
      <w:r w:rsidRPr="00727D82">
        <w:rPr>
          <w:rFonts w:ascii="Times New Roman" w:hAnsi="Times New Roman" w:cs="Times New Roman"/>
          <w:i/>
          <w:iCs/>
          <w:lang w:val="en-US"/>
        </w:rPr>
        <w:t xml:space="preserve">Interim Report - Royal Commission into Misconduct in the Banking, Superannuation and </w:t>
      </w:r>
      <w:r w:rsidR="001208CD" w:rsidRPr="00727D82">
        <w:rPr>
          <w:rFonts w:ascii="Times New Roman" w:hAnsi="Times New Roman" w:cs="Times New Roman"/>
          <w:i/>
          <w:iCs/>
          <w:lang w:val="en-US"/>
        </w:rPr>
        <w:t>Financial</w:t>
      </w:r>
      <w:r w:rsidRPr="00727D82">
        <w:rPr>
          <w:rFonts w:ascii="Times New Roman" w:hAnsi="Times New Roman" w:cs="Times New Roman"/>
          <w:i/>
          <w:iCs/>
          <w:lang w:val="en-US"/>
        </w:rPr>
        <w:t xml:space="preserve"> Services Industry</w:t>
      </w:r>
      <w:r w:rsidRPr="00727D82">
        <w:rPr>
          <w:rFonts w:ascii="Times New Roman" w:hAnsi="Times New Roman" w:cs="Times New Roman"/>
          <w:lang w:val="en-US"/>
        </w:rPr>
        <w:t>.</w:t>
      </w:r>
    </w:p>
    <w:p w14:paraId="4E2AFF87" w14:textId="643DD78F"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Grattan Institute 2017, </w:t>
      </w:r>
      <w:r w:rsidRPr="00727D82">
        <w:rPr>
          <w:rFonts w:ascii="Times New Roman" w:hAnsi="Times New Roman" w:cs="Times New Roman"/>
          <w:i/>
          <w:iCs/>
          <w:lang w:val="en-US"/>
        </w:rPr>
        <w:t>Competition in Australia: too little of a good thing?</w:t>
      </w:r>
    </w:p>
    <w:p w14:paraId="6299C1EC"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Mirrlees, J.A. 1999, ‘The theory of moral hazard and unobservable behaviour: Part I’, </w:t>
      </w:r>
      <w:r w:rsidRPr="00727D82">
        <w:rPr>
          <w:rFonts w:ascii="Times New Roman" w:hAnsi="Times New Roman" w:cs="Times New Roman"/>
          <w:i/>
          <w:iCs/>
          <w:lang w:val="en-US"/>
        </w:rPr>
        <w:t>The Review of Economic Studies</w:t>
      </w:r>
      <w:r w:rsidRPr="00727D82">
        <w:rPr>
          <w:rFonts w:ascii="Times New Roman" w:hAnsi="Times New Roman" w:cs="Times New Roman"/>
          <w:lang w:val="en-US"/>
        </w:rPr>
        <w:t>, vol. 66, no. 1, pp. 3–21.</w:t>
      </w:r>
    </w:p>
    <w:p w14:paraId="3FB17072" w14:textId="6D3B6361" w:rsidR="005B5B5E" w:rsidRPr="00727D82" w:rsidRDefault="00D628E7" w:rsidP="005B5B5E">
      <w:pPr>
        <w:pStyle w:val="Bibliography"/>
        <w:rPr>
          <w:rFonts w:ascii="Times New Roman" w:hAnsi="Times New Roman" w:cs="Times New Roman"/>
          <w:lang w:val="en-US"/>
        </w:rPr>
      </w:pPr>
      <w:r>
        <w:rPr>
          <w:rFonts w:ascii="Times New Roman" w:hAnsi="Times New Roman" w:cs="Times New Roman"/>
          <w:lang w:val="en-US"/>
        </w:rPr>
        <w:t>OECD (</w:t>
      </w:r>
      <w:r w:rsidR="005B5B5E" w:rsidRPr="00727D82">
        <w:rPr>
          <w:rFonts w:ascii="Times New Roman" w:hAnsi="Times New Roman" w:cs="Times New Roman"/>
          <w:lang w:val="en-US"/>
        </w:rPr>
        <w:t>Organisation for Economic Co-operation and Development</w:t>
      </w:r>
      <w:r>
        <w:rPr>
          <w:rFonts w:ascii="Times New Roman" w:hAnsi="Times New Roman" w:cs="Times New Roman"/>
          <w:lang w:val="en-US"/>
        </w:rPr>
        <w:t>)</w:t>
      </w:r>
      <w:r w:rsidR="005B5B5E" w:rsidRPr="00727D82">
        <w:rPr>
          <w:rFonts w:ascii="Times New Roman" w:hAnsi="Times New Roman" w:cs="Times New Roman"/>
          <w:lang w:val="en-US"/>
        </w:rPr>
        <w:t xml:space="preserve"> 2018, </w:t>
      </w:r>
      <w:r w:rsidR="005B5B5E" w:rsidRPr="00727D82">
        <w:rPr>
          <w:rFonts w:ascii="Times New Roman" w:hAnsi="Times New Roman" w:cs="Times New Roman"/>
          <w:i/>
          <w:iCs/>
          <w:lang w:val="en-US"/>
        </w:rPr>
        <w:t>Improving Online Disclosures with Behavioural Insights</w:t>
      </w:r>
      <w:r w:rsidR="005B5B5E" w:rsidRPr="00727D82">
        <w:rPr>
          <w:rFonts w:ascii="Times New Roman" w:hAnsi="Times New Roman" w:cs="Times New Roman"/>
          <w:lang w:val="en-US"/>
        </w:rPr>
        <w:t>, OECD Digital Economy Papers, Paris.</w:t>
      </w:r>
    </w:p>
    <w:p w14:paraId="1533ACF8"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Pauly, M.V. 1968, ‘The economics of moral hazard: comment’, </w:t>
      </w:r>
      <w:r w:rsidRPr="00727D82">
        <w:rPr>
          <w:rFonts w:ascii="Times New Roman" w:hAnsi="Times New Roman" w:cs="Times New Roman"/>
          <w:i/>
          <w:iCs/>
          <w:lang w:val="en-US"/>
        </w:rPr>
        <w:t>The American Economic Review</w:t>
      </w:r>
      <w:r w:rsidRPr="00727D82">
        <w:rPr>
          <w:rFonts w:ascii="Times New Roman" w:hAnsi="Times New Roman" w:cs="Times New Roman"/>
          <w:lang w:val="en-US"/>
        </w:rPr>
        <w:t>, pp. 531–7.</w:t>
      </w:r>
    </w:p>
    <w:p w14:paraId="7A7F5A9E" w14:textId="553A95FC" w:rsidR="005B5B5E" w:rsidRPr="00727D82" w:rsidRDefault="00D628E7" w:rsidP="005B5B5E">
      <w:pPr>
        <w:pStyle w:val="Bibliography"/>
        <w:rPr>
          <w:rFonts w:ascii="Times New Roman" w:hAnsi="Times New Roman" w:cs="Times New Roman"/>
          <w:lang w:val="en-US"/>
        </w:rPr>
      </w:pPr>
      <w:r>
        <w:rPr>
          <w:rFonts w:ascii="Times New Roman" w:hAnsi="Times New Roman" w:cs="Times New Roman"/>
          <w:lang w:val="en-US"/>
        </w:rPr>
        <w:t>PC (</w:t>
      </w:r>
      <w:r w:rsidR="005B5B5E" w:rsidRPr="00727D82">
        <w:rPr>
          <w:rFonts w:ascii="Times New Roman" w:hAnsi="Times New Roman" w:cs="Times New Roman"/>
          <w:lang w:val="en-US"/>
        </w:rPr>
        <w:t>Productivity Commission</w:t>
      </w:r>
      <w:r>
        <w:rPr>
          <w:rFonts w:ascii="Times New Roman" w:hAnsi="Times New Roman" w:cs="Times New Roman"/>
          <w:lang w:val="en-US"/>
        </w:rPr>
        <w:t>)</w:t>
      </w:r>
      <w:r w:rsidR="005B5B5E" w:rsidRPr="00727D82">
        <w:rPr>
          <w:rFonts w:ascii="Times New Roman" w:hAnsi="Times New Roman" w:cs="Times New Roman"/>
          <w:lang w:val="en-US"/>
        </w:rPr>
        <w:t xml:space="preserve"> 2018, </w:t>
      </w:r>
      <w:r w:rsidR="005B5B5E" w:rsidRPr="00727D82">
        <w:rPr>
          <w:rFonts w:ascii="Times New Roman" w:hAnsi="Times New Roman" w:cs="Times New Roman"/>
          <w:i/>
          <w:iCs/>
          <w:lang w:val="en-US"/>
        </w:rPr>
        <w:t>Competition in the Australian Financial System</w:t>
      </w:r>
      <w:r w:rsidR="005B5B5E" w:rsidRPr="00727D82">
        <w:rPr>
          <w:rFonts w:ascii="Times New Roman" w:hAnsi="Times New Roman" w:cs="Times New Roman"/>
          <w:lang w:val="en-US"/>
        </w:rPr>
        <w:t>, Canberra.</w:t>
      </w:r>
    </w:p>
    <w:p w14:paraId="02C445E8"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Schmalensee, R. 1981, ‘Output and welfare implications of monopolistic third-degree price discrimination’, </w:t>
      </w:r>
      <w:r w:rsidRPr="00727D82">
        <w:rPr>
          <w:rFonts w:ascii="Times New Roman" w:hAnsi="Times New Roman" w:cs="Times New Roman"/>
          <w:i/>
          <w:iCs/>
          <w:lang w:val="en-US"/>
        </w:rPr>
        <w:t>The American Economic Review</w:t>
      </w:r>
      <w:r w:rsidRPr="00727D82">
        <w:rPr>
          <w:rFonts w:ascii="Times New Roman" w:hAnsi="Times New Roman" w:cs="Times New Roman"/>
          <w:lang w:val="en-US"/>
        </w:rPr>
        <w:t>, vol. 71, no. 1, pp. 242–7.</w:t>
      </w:r>
    </w:p>
    <w:p w14:paraId="3EBA74FA"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Shavell, S. 1982, ‘The social versus the private incentive to bring suit in a costly legal system’, </w:t>
      </w:r>
      <w:r w:rsidRPr="00727D82">
        <w:rPr>
          <w:rFonts w:ascii="Times New Roman" w:hAnsi="Times New Roman" w:cs="Times New Roman"/>
          <w:i/>
          <w:iCs/>
          <w:lang w:val="en-US"/>
        </w:rPr>
        <w:t>Journal of Legal Studies</w:t>
      </w:r>
      <w:r w:rsidRPr="00727D82">
        <w:rPr>
          <w:rFonts w:ascii="Times New Roman" w:hAnsi="Times New Roman" w:cs="Times New Roman"/>
          <w:lang w:val="en-US"/>
        </w:rPr>
        <w:t>, vol. 11, no. 2, pp. 333–9.</w:t>
      </w:r>
    </w:p>
    <w:p w14:paraId="12266E4C"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Stigler, G. 1961, ‘The Economics of Information’, </w:t>
      </w:r>
      <w:r w:rsidRPr="00727D82">
        <w:rPr>
          <w:rFonts w:ascii="Times New Roman" w:hAnsi="Times New Roman" w:cs="Times New Roman"/>
          <w:i/>
          <w:iCs/>
          <w:lang w:val="en-US"/>
        </w:rPr>
        <w:t>The Journal of Political Economy</w:t>
      </w:r>
      <w:r w:rsidRPr="00727D82">
        <w:rPr>
          <w:rFonts w:ascii="Times New Roman" w:hAnsi="Times New Roman" w:cs="Times New Roman"/>
          <w:lang w:val="en-US"/>
        </w:rPr>
        <w:t>, vol. 69, no. 3, pp. 213–25.</w:t>
      </w:r>
    </w:p>
    <w:p w14:paraId="67620B0F"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Treasury 2017, </w:t>
      </w:r>
      <w:r w:rsidRPr="00727D82">
        <w:rPr>
          <w:rFonts w:ascii="Times New Roman" w:hAnsi="Times New Roman" w:cs="Times New Roman"/>
          <w:i/>
          <w:iCs/>
          <w:lang w:val="en-US"/>
        </w:rPr>
        <w:t>Review into open banking: giving customers choice, convenience and confidence</w:t>
      </w:r>
      <w:r w:rsidRPr="00727D82">
        <w:rPr>
          <w:rFonts w:ascii="Times New Roman" w:hAnsi="Times New Roman" w:cs="Times New Roman"/>
          <w:lang w:val="en-US"/>
        </w:rPr>
        <w:t>, Canberra.</w:t>
      </w:r>
    </w:p>
    <w:p w14:paraId="374F3A28"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Varian, H.R. 1989, ‘Price discrimination’, </w:t>
      </w:r>
      <w:r w:rsidRPr="00727D82">
        <w:rPr>
          <w:rFonts w:ascii="Times New Roman" w:hAnsi="Times New Roman" w:cs="Times New Roman"/>
          <w:i/>
          <w:iCs/>
          <w:lang w:val="en-US"/>
        </w:rPr>
        <w:t>Handbook of industrial organization</w:t>
      </w:r>
      <w:r w:rsidRPr="00727D82">
        <w:rPr>
          <w:rFonts w:ascii="Times New Roman" w:hAnsi="Times New Roman" w:cs="Times New Roman"/>
          <w:lang w:val="en-US"/>
        </w:rPr>
        <w:t>, vol. 1, pp. 597–654.</w:t>
      </w:r>
    </w:p>
    <w:p w14:paraId="7576E619" w14:textId="77777777" w:rsidR="005B5B5E" w:rsidRPr="00727D82" w:rsidRDefault="005B5B5E" w:rsidP="005B5B5E">
      <w:pPr>
        <w:pStyle w:val="Bibliography"/>
        <w:rPr>
          <w:rFonts w:ascii="Times New Roman" w:hAnsi="Times New Roman" w:cs="Times New Roman"/>
          <w:lang w:val="en-US"/>
        </w:rPr>
      </w:pPr>
      <w:r w:rsidRPr="00727D82">
        <w:rPr>
          <w:rFonts w:ascii="Times New Roman" w:hAnsi="Times New Roman" w:cs="Times New Roman"/>
          <w:lang w:val="en-US"/>
        </w:rPr>
        <w:t xml:space="preserve">Varian, H.R. 1985, ‘Price discrimination and social welfare’, </w:t>
      </w:r>
      <w:r w:rsidRPr="00727D82">
        <w:rPr>
          <w:rFonts w:ascii="Times New Roman" w:hAnsi="Times New Roman" w:cs="Times New Roman"/>
          <w:i/>
          <w:iCs/>
          <w:lang w:val="en-US"/>
        </w:rPr>
        <w:t>The American Economic Review</w:t>
      </w:r>
      <w:r w:rsidRPr="00727D82">
        <w:rPr>
          <w:rFonts w:ascii="Times New Roman" w:hAnsi="Times New Roman" w:cs="Times New Roman"/>
          <w:lang w:val="en-US"/>
        </w:rPr>
        <w:t>, vol. 75, no. 4, pp. 870–5.</w:t>
      </w:r>
    </w:p>
    <w:p w14:paraId="76C0E512" w14:textId="54C7506C" w:rsidR="00F3224E" w:rsidRPr="00DE7486" w:rsidRDefault="00F3224E" w:rsidP="00F3224E">
      <w:pPr>
        <w:pStyle w:val="BodyText1"/>
        <w:rPr>
          <w:rFonts w:asciiTheme="minorHAnsi" w:hAnsiTheme="minorHAnsi" w:cstheme="minorHAnsi"/>
          <w:color w:val="auto"/>
          <w:sz w:val="24"/>
          <w:szCs w:val="24"/>
        </w:rPr>
      </w:pPr>
    </w:p>
    <w:sectPr w:rsidR="00F3224E" w:rsidRPr="00DE7486" w:rsidSect="00084A5B">
      <w:headerReference w:type="default" r:id="rId14"/>
      <w:footerReference w:type="default" r:id="rId15"/>
      <w:type w:val="continuous"/>
      <w:pgSz w:w="11906" w:h="16838" w:code="9"/>
      <w:pgMar w:top="1440" w:right="1440" w:bottom="1440" w:left="1440" w:header="85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A5C68C" w14:textId="77777777" w:rsidR="00133483" w:rsidRDefault="00133483" w:rsidP="005820C9">
      <w:pPr>
        <w:spacing w:after="0" w:line="240" w:lineRule="auto"/>
      </w:pPr>
      <w:r>
        <w:separator/>
      </w:r>
    </w:p>
  </w:endnote>
  <w:endnote w:type="continuationSeparator" w:id="0">
    <w:p w14:paraId="4420801F" w14:textId="77777777" w:rsidR="00133483" w:rsidRDefault="00133483" w:rsidP="00582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D670F" w14:textId="77777777" w:rsidR="00002D94" w:rsidRDefault="00084A5B" w:rsidP="00002D94">
    <w:pPr>
      <w:pStyle w:val="Footer"/>
    </w:pPr>
    <w:r>
      <w:rPr>
        <w:noProof/>
        <w:lang w:val="en-US"/>
      </w:rPr>
      <mc:AlternateContent>
        <mc:Choice Requires="wpg">
          <w:drawing>
            <wp:anchor distT="0" distB="0" distL="114300" distR="114300" simplePos="0" relativeHeight="251659264" behindDoc="1" locked="0" layoutInCell="1" allowOverlap="1" wp14:anchorId="1D15B0A8" wp14:editId="6426EFD3">
              <wp:simplePos x="0" y="0"/>
              <wp:positionH relativeFrom="column">
                <wp:posOffset>-363830</wp:posOffset>
              </wp:positionH>
              <wp:positionV relativeFrom="paragraph">
                <wp:posOffset>-73190</wp:posOffset>
              </wp:positionV>
              <wp:extent cx="6971664" cy="1324082"/>
              <wp:effectExtent l="0" t="0" r="0" b="0"/>
              <wp:wrapNone/>
              <wp:docPr id="3" name="Group 3"/>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2" name="Text Box 2"/>
                      <wps:cNvSpPr txBox="1">
                        <a:spLocks noChangeArrowheads="1"/>
                      </wps:cNvSpPr>
                      <wps:spPr bwMode="auto">
                        <a:xfrm>
                          <a:off x="-49543" y="-26356"/>
                          <a:ext cx="6971664" cy="1242669"/>
                        </a:xfrm>
                        <a:prstGeom prst="rect">
                          <a:avLst/>
                        </a:prstGeom>
                        <a:noFill/>
                        <a:ln w="9525">
                          <a:noFill/>
                          <a:miter lim="800000"/>
                          <a:headEnd/>
                          <a:tailEnd/>
                        </a:ln>
                      </wps:spPr>
                      <wps:txbx>
                        <w:txbxContent>
                          <w:p w14:paraId="308F1DE1" w14:textId="77777777" w:rsidR="00002D94" w:rsidRDefault="00002D94" w:rsidP="001C28E7">
                            <w:pPr>
                              <w:spacing w:after="0" w:line="240" w:lineRule="auto"/>
                              <w:rPr>
                                <w:color w:val="23B0E6"/>
                                <w:sz w:val="20"/>
                                <w:szCs w:val="20"/>
                              </w:rPr>
                            </w:pPr>
                          </w:p>
                          <w:p w14:paraId="7D7A0A3D" w14:textId="77777777"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14:paraId="4DE7CDA1" w14:textId="77777777"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14:paraId="50C882E9" w14:textId="77777777" w:rsidR="00084A5B" w:rsidRPr="00002D94" w:rsidRDefault="00084A5B" w:rsidP="007D3F16">
                            <w:pPr>
                              <w:spacing w:after="0" w:line="240" w:lineRule="auto"/>
                              <w:rPr>
                                <w:sz w:val="20"/>
                                <w:szCs w:val="20"/>
                              </w:rPr>
                            </w:pPr>
                            <w:r w:rsidRPr="00002D94">
                              <w:rPr>
                                <w:sz w:val="20"/>
                                <w:szCs w:val="20"/>
                              </w:rPr>
                              <w:t>Suite 4.02, 55 Mountain St, Ultimo NSW 2007</w:t>
                            </w:r>
                          </w:p>
                          <w:p w14:paraId="3753144A" w14:textId="77777777" w:rsidR="00084A5B" w:rsidRPr="00002D94" w:rsidRDefault="00084A5B" w:rsidP="007D3F16">
                            <w:pPr>
                              <w:spacing w:after="0" w:line="240" w:lineRule="auto"/>
                              <w:rPr>
                                <w:sz w:val="20"/>
                                <w:szCs w:val="20"/>
                              </w:rPr>
                            </w:pPr>
                            <w:r w:rsidRPr="00002D94">
                              <w:rPr>
                                <w:sz w:val="20"/>
                                <w:szCs w:val="20"/>
                              </w:rPr>
                              <w:t>Tel: (02) 9288 4000 | TTY: (02) 9281 5322 | Fax: (02) 9288 4019</w:t>
                            </w:r>
                          </w:p>
                          <w:p w14:paraId="093E2717" w14:textId="77777777"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1" name="Straight Connector 1"/>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D15B0A8" id="Group 3" o:spid="_x0000_s1026" style="position:absolute;margin-left:-28.65pt;margin-top:-5.75pt;width:548.95pt;height:104.25pt;z-index:-251657216;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">
              <v:shapetype id="_x0000_t202" coordsize="21600,21600" o:spt="202" path="m,l,21600r21600,l21600,xe">
                <v:stroke joinstyle="miter"/>
                <v:path gradientshapeok="t" o:connecttype="rect"/>
              </v:shapetype>
              <v:shape id="Text Box 2" o:spid="_x0000_s1027" type="#_x0000_t202" style="position:absolute;left:-495;top:-263;width:69716;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" filled="f" stroked="f">
                <v:textbox>
                  <w:txbxContent>
                    <w:p w14:paraId="308F1DE1" w14:textId="77777777" w:rsidR="00002D94" w:rsidRDefault="00002D94" w:rsidP="001C28E7">
                      <w:pPr>
                        <w:spacing w:after="0" w:line="240" w:lineRule="auto"/>
                        <w:rPr>
                          <w:color w:val="23B0E6"/>
                          <w:sz w:val="20"/>
                          <w:szCs w:val="20"/>
                        </w:rPr>
                      </w:pPr>
                    </w:p>
                    <w:p w14:paraId="7D7A0A3D" w14:textId="77777777" w:rsidR="00084A5B" w:rsidRPr="00002D94" w:rsidRDefault="00084A5B" w:rsidP="001C28E7">
                      <w:pPr>
                        <w:spacing w:after="0" w:line="240" w:lineRule="auto"/>
                        <w:rPr>
                          <w:color w:val="23B0E6"/>
                          <w:sz w:val="20"/>
                          <w:szCs w:val="20"/>
                        </w:rPr>
                      </w:pPr>
                      <w:r w:rsidRPr="00002D94">
                        <w:rPr>
                          <w:color w:val="23B0E6"/>
                          <w:sz w:val="20"/>
                          <w:szCs w:val="20"/>
                        </w:rPr>
                        <w:t>Australian Communications Consumer Action Network (ACCAN)</w:t>
                      </w:r>
                    </w:p>
                    <w:p w14:paraId="4DE7CDA1" w14:textId="77777777" w:rsidR="00084A5B" w:rsidRPr="00002D94" w:rsidRDefault="00084A5B" w:rsidP="007D3F16">
                      <w:pPr>
                        <w:spacing w:after="0" w:line="240" w:lineRule="auto"/>
                        <w:rPr>
                          <w:i/>
                          <w:color w:val="23B0E6"/>
                          <w:sz w:val="20"/>
                          <w:szCs w:val="20"/>
                        </w:rPr>
                      </w:pPr>
                      <w:r w:rsidRPr="00002D94">
                        <w:rPr>
                          <w:i/>
                          <w:color w:val="23B0E6"/>
                          <w:sz w:val="20"/>
                          <w:szCs w:val="20"/>
                        </w:rPr>
                        <w:t>Australia’s peak telecommunications consumer organisation</w:t>
                      </w:r>
                    </w:p>
                    <w:p w14:paraId="50C882E9" w14:textId="77777777" w:rsidR="00084A5B" w:rsidRPr="00002D94" w:rsidRDefault="00084A5B" w:rsidP="007D3F16">
                      <w:pPr>
                        <w:spacing w:after="0" w:line="240" w:lineRule="auto"/>
                        <w:rPr>
                          <w:sz w:val="20"/>
                          <w:szCs w:val="20"/>
                        </w:rPr>
                      </w:pPr>
                      <w:r w:rsidRPr="00002D94">
                        <w:rPr>
                          <w:sz w:val="20"/>
                          <w:szCs w:val="20"/>
                        </w:rPr>
                        <w:t>Suite 4.02, 55 Mountain St, Ultimo NSW 2007</w:t>
                      </w:r>
                    </w:p>
                    <w:p w14:paraId="3753144A" w14:textId="77777777" w:rsidR="00084A5B" w:rsidRPr="00002D94" w:rsidRDefault="00084A5B" w:rsidP="007D3F16">
                      <w:pPr>
                        <w:spacing w:after="0" w:line="240" w:lineRule="auto"/>
                        <w:rPr>
                          <w:sz w:val="20"/>
                          <w:szCs w:val="20"/>
                        </w:rPr>
                      </w:pPr>
                      <w:r w:rsidRPr="00002D94">
                        <w:rPr>
                          <w:sz w:val="20"/>
                          <w:szCs w:val="20"/>
                        </w:rPr>
                        <w:t>Tel: (02) 9288 4000 | TTY: (02) 9281 5322 | Fax: (02) 9288 4019</w:t>
                      </w:r>
                    </w:p>
                    <w:p w14:paraId="093E2717" w14:textId="77777777" w:rsidR="00084A5B" w:rsidRPr="00002D94" w:rsidRDefault="00084A5B"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1" o:spid="_x0000_s1028"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" strokecolor="#23b0e6" strokeweight="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8DDEF" w14:textId="77777777" w:rsidR="00991926" w:rsidRDefault="00991926" w:rsidP="00002D94">
    <w:pPr>
      <w:pStyle w:val="Footer"/>
    </w:pPr>
    <w:r>
      <w:rPr>
        <w:noProof/>
        <w:lang w:val="en-US"/>
      </w:rPr>
      <mc:AlternateContent>
        <mc:Choice Requires="wpg">
          <w:drawing>
            <wp:anchor distT="0" distB="0" distL="114300" distR="114300" simplePos="0" relativeHeight="251662336" behindDoc="1" locked="0" layoutInCell="1" allowOverlap="1" wp14:anchorId="7395D2E5" wp14:editId="55C87F12">
              <wp:simplePos x="0" y="0"/>
              <wp:positionH relativeFrom="column">
                <wp:posOffset>-363830</wp:posOffset>
              </wp:positionH>
              <wp:positionV relativeFrom="paragraph">
                <wp:posOffset>-73190</wp:posOffset>
              </wp:positionV>
              <wp:extent cx="6971664" cy="1324082"/>
              <wp:effectExtent l="0" t="0" r="0" b="0"/>
              <wp:wrapNone/>
              <wp:docPr id="4" name="Group 4"/>
              <wp:cNvGraphicFramePr/>
              <a:graphic xmlns:a="http://schemas.openxmlformats.org/drawingml/2006/main">
                <a:graphicData uri="http://schemas.microsoft.com/office/word/2010/wordprocessingGroup">
                  <wpg:wgp>
                    <wpg:cNvGrpSpPr/>
                    <wpg:grpSpPr>
                      <a:xfrm>
                        <a:off x="0" y="0"/>
                        <a:ext cx="6971664" cy="1324082"/>
                        <a:chOff x="-49543" y="-26356"/>
                        <a:chExt cx="6971664" cy="1242669"/>
                      </a:xfrm>
                    </wpg:grpSpPr>
                    <wps:wsp>
                      <wps:cNvPr id="5" name="Text Box 5"/>
                      <wps:cNvSpPr txBox="1">
                        <a:spLocks noChangeArrowheads="1"/>
                      </wps:cNvSpPr>
                      <wps:spPr bwMode="auto">
                        <a:xfrm>
                          <a:off x="-49543" y="-26356"/>
                          <a:ext cx="6971664" cy="1242669"/>
                        </a:xfrm>
                        <a:prstGeom prst="rect">
                          <a:avLst/>
                        </a:prstGeom>
                        <a:noFill/>
                        <a:ln w="9525">
                          <a:noFill/>
                          <a:miter lim="800000"/>
                          <a:headEnd/>
                          <a:tailEnd/>
                        </a:ln>
                      </wps:spPr>
                      <wps:txbx>
                        <w:txbxContent>
                          <w:p w14:paraId="11903F08" w14:textId="77777777" w:rsidR="00991926" w:rsidRDefault="00991926" w:rsidP="001C28E7">
                            <w:pPr>
                              <w:spacing w:after="0" w:line="240" w:lineRule="auto"/>
                              <w:rPr>
                                <w:color w:val="23B0E6"/>
                                <w:sz w:val="20"/>
                                <w:szCs w:val="20"/>
                              </w:rPr>
                            </w:pPr>
                          </w:p>
                          <w:p w14:paraId="65CEC64F" w14:textId="77777777" w:rsidR="00991926" w:rsidRPr="00002D94" w:rsidRDefault="00991926" w:rsidP="001C28E7">
                            <w:pPr>
                              <w:spacing w:after="0" w:line="240" w:lineRule="auto"/>
                              <w:rPr>
                                <w:color w:val="23B0E6"/>
                                <w:sz w:val="20"/>
                                <w:szCs w:val="20"/>
                              </w:rPr>
                            </w:pPr>
                            <w:r w:rsidRPr="00002D94">
                              <w:rPr>
                                <w:color w:val="23B0E6"/>
                                <w:sz w:val="20"/>
                                <w:szCs w:val="20"/>
                              </w:rPr>
                              <w:t>Australian Communications Consumer Action Network (ACCAN)</w:t>
                            </w:r>
                          </w:p>
                          <w:p w14:paraId="489AAB93" w14:textId="77777777" w:rsidR="00991926" w:rsidRPr="00002D94" w:rsidRDefault="00991926" w:rsidP="007D3F16">
                            <w:pPr>
                              <w:spacing w:after="0" w:line="240" w:lineRule="auto"/>
                              <w:rPr>
                                <w:i/>
                                <w:color w:val="23B0E6"/>
                                <w:sz w:val="20"/>
                                <w:szCs w:val="20"/>
                              </w:rPr>
                            </w:pPr>
                            <w:r w:rsidRPr="00002D94">
                              <w:rPr>
                                <w:i/>
                                <w:color w:val="23B0E6"/>
                                <w:sz w:val="20"/>
                                <w:szCs w:val="20"/>
                              </w:rPr>
                              <w:t>Australia’s peak telecommunications consumer organisation</w:t>
                            </w:r>
                          </w:p>
                          <w:p w14:paraId="70B50F4D" w14:textId="77777777" w:rsidR="00991926" w:rsidRPr="00002D94" w:rsidRDefault="00991926" w:rsidP="007D3F16">
                            <w:pPr>
                              <w:spacing w:after="0" w:line="240" w:lineRule="auto"/>
                              <w:rPr>
                                <w:sz w:val="20"/>
                                <w:szCs w:val="20"/>
                              </w:rPr>
                            </w:pPr>
                            <w:r w:rsidRPr="00002D94">
                              <w:rPr>
                                <w:sz w:val="20"/>
                                <w:szCs w:val="20"/>
                              </w:rPr>
                              <w:t>Suite 4.02, 55 Mountain St, Ultimo NSW 2007</w:t>
                            </w:r>
                          </w:p>
                          <w:p w14:paraId="6D18E233" w14:textId="77777777" w:rsidR="00991926" w:rsidRPr="00002D94" w:rsidRDefault="00991926" w:rsidP="007D3F16">
                            <w:pPr>
                              <w:spacing w:after="0" w:line="240" w:lineRule="auto"/>
                              <w:rPr>
                                <w:sz w:val="20"/>
                                <w:szCs w:val="20"/>
                              </w:rPr>
                            </w:pPr>
                            <w:r w:rsidRPr="00002D94">
                              <w:rPr>
                                <w:sz w:val="20"/>
                                <w:szCs w:val="20"/>
                              </w:rPr>
                              <w:t>Tel: (02) 9288 4000 | TTY: (02) 9281 5322 | Fax: (02) 9288 4019</w:t>
                            </w:r>
                          </w:p>
                          <w:p w14:paraId="6EAAA7A6" w14:textId="77777777" w:rsidR="00991926" w:rsidRPr="00002D94" w:rsidRDefault="00991926" w:rsidP="007D3F16">
                            <w:pPr>
                              <w:spacing w:after="0" w:line="240" w:lineRule="auto"/>
                              <w:rPr>
                                <w:color w:val="23B0E6"/>
                                <w:sz w:val="20"/>
                                <w:szCs w:val="20"/>
                              </w:rPr>
                            </w:pPr>
                            <w:r w:rsidRPr="00002D94">
                              <w:rPr>
                                <w:color w:val="23B0E6"/>
                                <w:sz w:val="20"/>
                                <w:szCs w:val="20"/>
                              </w:rPr>
                              <w:t>www.accan.org.au | info@accan.org.au | twitter: @ACCAN_AU</w:t>
                            </w:r>
                          </w:p>
                        </w:txbxContent>
                      </wps:txbx>
                      <wps:bodyPr rot="0" vert="horz" wrap="square" lIns="91440" tIns="45720" rIns="91440" bIns="45720" anchor="t" anchorCtr="0">
                        <a:noAutofit/>
                      </wps:bodyPr>
                    </wps:wsp>
                    <wps:wsp>
                      <wps:cNvPr id="6" name="Straight Connector 6"/>
                      <wps:cNvCnPr/>
                      <wps:spPr>
                        <a:xfrm>
                          <a:off x="30738" y="316628"/>
                          <a:ext cx="6701051" cy="0"/>
                        </a:xfrm>
                        <a:prstGeom prst="line">
                          <a:avLst/>
                        </a:prstGeom>
                        <a:ln w="38100">
                          <a:solidFill>
                            <a:srgbClr val="23B0E6"/>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395D2E5" id="Group 4" o:spid="_x0000_s1029" style="position:absolute;margin-left:-28.65pt;margin-top:-5.75pt;width:548.95pt;height:104.25pt;z-index:-251654144;mso-width-relative:margin;mso-height-relative:margin" coordorigin="-495,-263" coordsize="69716,12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">
              <v:shapetype id="_x0000_t202" coordsize="21600,21600" o:spt="202" path="m,l,21600r21600,l21600,xe">
                <v:stroke joinstyle="miter"/>
                <v:path gradientshapeok="t" o:connecttype="rect"/>
              </v:shapetype>
              <v:shape id="Text Box 5" o:spid="_x0000_s1030" type="#_x0000_t202" style="position:absolute;left:-495;top:-263;width:69716;height:124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" filled="f" stroked="f">
                <v:textbox>
                  <w:txbxContent>
                    <w:p w14:paraId="11903F08" w14:textId="77777777" w:rsidR="00991926" w:rsidRDefault="00991926" w:rsidP="001C28E7">
                      <w:pPr>
                        <w:spacing w:after="0" w:line="240" w:lineRule="auto"/>
                        <w:rPr>
                          <w:color w:val="23B0E6"/>
                          <w:sz w:val="20"/>
                          <w:szCs w:val="20"/>
                        </w:rPr>
                      </w:pPr>
                    </w:p>
                    <w:p w14:paraId="65CEC64F" w14:textId="77777777" w:rsidR="00991926" w:rsidRPr="00002D94" w:rsidRDefault="00991926" w:rsidP="001C28E7">
                      <w:pPr>
                        <w:spacing w:after="0" w:line="240" w:lineRule="auto"/>
                        <w:rPr>
                          <w:color w:val="23B0E6"/>
                          <w:sz w:val="20"/>
                          <w:szCs w:val="20"/>
                        </w:rPr>
                      </w:pPr>
                      <w:r w:rsidRPr="00002D94">
                        <w:rPr>
                          <w:color w:val="23B0E6"/>
                          <w:sz w:val="20"/>
                          <w:szCs w:val="20"/>
                        </w:rPr>
                        <w:t>Australian Communications Consumer Action Network (ACCAN)</w:t>
                      </w:r>
                    </w:p>
                    <w:p w14:paraId="489AAB93" w14:textId="77777777" w:rsidR="00991926" w:rsidRPr="00002D94" w:rsidRDefault="00991926" w:rsidP="007D3F16">
                      <w:pPr>
                        <w:spacing w:after="0" w:line="240" w:lineRule="auto"/>
                        <w:rPr>
                          <w:i/>
                          <w:color w:val="23B0E6"/>
                          <w:sz w:val="20"/>
                          <w:szCs w:val="20"/>
                        </w:rPr>
                      </w:pPr>
                      <w:r w:rsidRPr="00002D94">
                        <w:rPr>
                          <w:i/>
                          <w:color w:val="23B0E6"/>
                          <w:sz w:val="20"/>
                          <w:szCs w:val="20"/>
                        </w:rPr>
                        <w:t>Australia’s peak telecommunications consumer organisation</w:t>
                      </w:r>
                    </w:p>
                    <w:p w14:paraId="70B50F4D" w14:textId="77777777" w:rsidR="00991926" w:rsidRPr="00002D94" w:rsidRDefault="00991926" w:rsidP="007D3F16">
                      <w:pPr>
                        <w:spacing w:after="0" w:line="240" w:lineRule="auto"/>
                        <w:rPr>
                          <w:sz w:val="20"/>
                          <w:szCs w:val="20"/>
                        </w:rPr>
                      </w:pPr>
                      <w:r w:rsidRPr="00002D94">
                        <w:rPr>
                          <w:sz w:val="20"/>
                          <w:szCs w:val="20"/>
                        </w:rPr>
                        <w:t>Suite 4.02, 55 Mountain St, Ultimo NSW 2007</w:t>
                      </w:r>
                    </w:p>
                    <w:p w14:paraId="6D18E233" w14:textId="77777777" w:rsidR="00991926" w:rsidRPr="00002D94" w:rsidRDefault="00991926" w:rsidP="007D3F16">
                      <w:pPr>
                        <w:spacing w:after="0" w:line="240" w:lineRule="auto"/>
                        <w:rPr>
                          <w:sz w:val="20"/>
                          <w:szCs w:val="20"/>
                        </w:rPr>
                      </w:pPr>
                      <w:r w:rsidRPr="00002D94">
                        <w:rPr>
                          <w:sz w:val="20"/>
                          <w:szCs w:val="20"/>
                        </w:rPr>
                        <w:t>Tel: (02) 9288 4000 | TTY: (02) 9281 5322 | Fax: (02) 9288 4019</w:t>
                      </w:r>
                    </w:p>
                    <w:p w14:paraId="6EAAA7A6" w14:textId="77777777" w:rsidR="00991926" w:rsidRPr="00002D94" w:rsidRDefault="00991926" w:rsidP="007D3F16">
                      <w:pPr>
                        <w:spacing w:after="0" w:line="240" w:lineRule="auto"/>
                        <w:rPr>
                          <w:color w:val="23B0E6"/>
                          <w:sz w:val="20"/>
                          <w:szCs w:val="20"/>
                        </w:rPr>
                      </w:pPr>
                      <w:r w:rsidRPr="00002D94">
                        <w:rPr>
                          <w:color w:val="23B0E6"/>
                          <w:sz w:val="20"/>
                          <w:szCs w:val="20"/>
                        </w:rPr>
                        <w:t>www.accan.org.au | info@accan.org.au | twitter: @ACCAN_AU</w:t>
                      </w:r>
                    </w:p>
                  </w:txbxContent>
                </v:textbox>
              </v:shape>
              <v:line id="Straight Connector 6" o:spid="_x0000_s1031" style="position:absolute;visibility:visible;mso-wrap-style:square" from="307,3166" to="67317,3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" strokecolor="#23b0e6" strokeweight="3pt"/>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16085" w14:textId="77777777" w:rsidR="00084A5B" w:rsidRPr="00E05115" w:rsidRDefault="00084A5B" w:rsidP="00C4251E">
    <w:pPr>
      <w:spacing w:after="0" w:line="240" w:lineRule="auto"/>
      <w:rPr>
        <w:color w:val="23B0E6"/>
      </w:rPr>
    </w:pPr>
    <w:r w:rsidRPr="00E05115">
      <w:rPr>
        <w:color w:val="23B0E6"/>
      </w:rPr>
      <w:t>www.accan.org.au | info@accan.org.au | twitter: @ACCAN_AU</w:t>
    </w:r>
    <w:r>
      <w:rPr>
        <w:color w:val="23B0E6"/>
      </w:rPr>
      <w:tab/>
    </w:r>
    <w:r>
      <w:rPr>
        <w:color w:val="23B0E6"/>
      </w:rPr>
      <w:tab/>
    </w:r>
    <w:r>
      <w:rPr>
        <w:color w:val="23B0E6"/>
      </w:rPr>
      <w:tab/>
    </w:r>
    <w:r>
      <w:rPr>
        <w:color w:val="23B0E6"/>
      </w:rPr>
      <w:tab/>
    </w:r>
    <w:r>
      <w:rPr>
        <w:color w:val="23B0E6"/>
      </w:rPr>
      <w:tab/>
    </w:r>
    <w:r w:rsidRPr="00C4251E">
      <w:fldChar w:fldCharType="begin"/>
    </w:r>
    <w:r w:rsidRPr="00C4251E">
      <w:instrText xml:space="preserve"> PAGE   \* MERGEFORMAT </w:instrText>
    </w:r>
    <w:r w:rsidRPr="00C4251E">
      <w:fldChar w:fldCharType="separate"/>
    </w:r>
    <w:r w:rsidR="00D13993">
      <w:rPr>
        <w:noProof/>
      </w:rPr>
      <w:t>2</w:t>
    </w:r>
    <w:r w:rsidRPr="00C4251E">
      <w:rPr>
        <w:noProof/>
      </w:rPr>
      <w:fldChar w:fldCharType="end"/>
    </w:r>
  </w:p>
  <w:p w14:paraId="5620A60E" w14:textId="77777777" w:rsidR="00084A5B" w:rsidRDefault="00084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66BA20" w14:textId="77777777" w:rsidR="00133483" w:rsidRDefault="00133483" w:rsidP="005820C9">
      <w:pPr>
        <w:spacing w:after="0" w:line="240" w:lineRule="auto"/>
      </w:pPr>
      <w:r>
        <w:separator/>
      </w:r>
    </w:p>
  </w:footnote>
  <w:footnote w:type="continuationSeparator" w:id="0">
    <w:p w14:paraId="3E8664CE" w14:textId="77777777" w:rsidR="00133483" w:rsidRDefault="00133483" w:rsidP="005820C9">
      <w:pPr>
        <w:spacing w:after="0" w:line="240" w:lineRule="auto"/>
      </w:pPr>
      <w:r>
        <w:continuationSeparator/>
      </w:r>
    </w:p>
  </w:footnote>
  <w:footnote w:id="1">
    <w:p w14:paraId="22C4D138" w14:textId="272C242D" w:rsidR="009E212E" w:rsidRPr="008F4D4F" w:rsidRDefault="009E212E" w:rsidP="000E48A1">
      <w:pPr>
        <w:spacing w:after="0" w:line="240" w:lineRule="auto"/>
        <w:jc w:val="both"/>
        <w:rPr>
          <w:rFonts w:ascii="Times New Roman" w:hAnsi="Times New Roman" w:cs="Times New Roman"/>
          <w:color w:val="000000" w:themeColor="text1"/>
          <w:sz w:val="20"/>
          <w:szCs w:val="20"/>
        </w:rPr>
      </w:pPr>
      <w:r w:rsidRPr="008F4D4F">
        <w:rPr>
          <w:rStyle w:val="FootnoteReference"/>
          <w:rFonts w:ascii="Times New Roman" w:hAnsi="Times New Roman" w:cs="Times New Roman"/>
          <w:sz w:val="20"/>
          <w:szCs w:val="20"/>
        </w:rPr>
        <w:footnoteRef/>
      </w:r>
      <w:r w:rsidRPr="008F4D4F">
        <w:rPr>
          <w:rFonts w:ascii="Times New Roman" w:hAnsi="Times New Roman" w:cs="Times New Roman"/>
          <w:color w:val="000000" w:themeColor="text1"/>
          <w:sz w:val="20"/>
          <w:szCs w:val="20"/>
        </w:rPr>
        <w:t xml:space="preserve">. </w:t>
      </w:r>
      <w:r w:rsidR="00E14226">
        <w:rPr>
          <w:rFonts w:ascii="Times New Roman" w:hAnsi="Times New Roman" w:cs="Times New Roman"/>
          <w:color w:val="000000" w:themeColor="text1"/>
          <w:sz w:val="20"/>
          <w:szCs w:val="20"/>
        </w:rPr>
        <w:t>I</w:t>
      </w:r>
      <w:r w:rsidRPr="008F4D4F">
        <w:rPr>
          <w:rFonts w:ascii="Times New Roman" w:hAnsi="Times New Roman" w:cs="Times New Roman"/>
          <w:color w:val="000000" w:themeColor="text1"/>
          <w:sz w:val="20"/>
          <w:szCs w:val="20"/>
        </w:rPr>
        <w:t xml:space="preserve">ncluding the </w:t>
      </w:r>
      <w:r w:rsidRPr="008F4D4F">
        <w:rPr>
          <w:rFonts w:ascii="Times New Roman" w:hAnsi="Times New Roman" w:cs="Times New Roman"/>
          <w:i/>
          <w:color w:val="000000" w:themeColor="text1"/>
          <w:sz w:val="20"/>
          <w:szCs w:val="20"/>
        </w:rPr>
        <w:t xml:space="preserve">Competition and Consumer Act 2010 </w:t>
      </w:r>
      <w:r w:rsidRPr="008F4D4F">
        <w:rPr>
          <w:rFonts w:ascii="Times New Roman" w:hAnsi="Times New Roman" w:cs="Times New Roman"/>
          <w:color w:val="000000" w:themeColor="text1"/>
          <w:sz w:val="20"/>
          <w:szCs w:val="20"/>
        </w:rPr>
        <w:t>(</w:t>
      </w:r>
      <w:proofErr w:type="spellStart"/>
      <w:r w:rsidRPr="008F4D4F">
        <w:rPr>
          <w:rFonts w:ascii="Times New Roman" w:hAnsi="Times New Roman" w:cs="Times New Roman"/>
          <w:color w:val="000000" w:themeColor="text1"/>
          <w:sz w:val="20"/>
          <w:szCs w:val="20"/>
        </w:rPr>
        <w:t>Cth</w:t>
      </w:r>
      <w:proofErr w:type="spellEnd"/>
      <w:r w:rsidRPr="008F4D4F">
        <w:rPr>
          <w:rFonts w:ascii="Times New Roman" w:hAnsi="Times New Roman" w:cs="Times New Roman"/>
          <w:color w:val="000000" w:themeColor="text1"/>
          <w:sz w:val="20"/>
          <w:szCs w:val="20"/>
        </w:rPr>
        <w:t xml:space="preserve">) </w:t>
      </w:r>
      <w:r w:rsidR="004E1763" w:rsidRPr="008F4D4F">
        <w:rPr>
          <w:rFonts w:ascii="Times New Roman" w:hAnsi="Times New Roman" w:cs="Times New Roman"/>
          <w:color w:val="000000" w:themeColor="text1"/>
          <w:sz w:val="20"/>
          <w:szCs w:val="20"/>
        </w:rPr>
        <w:t xml:space="preserve">(inclusive of the Australian Consumer Law), </w:t>
      </w:r>
      <w:r w:rsidRPr="008F4D4F">
        <w:rPr>
          <w:rFonts w:ascii="Times New Roman" w:hAnsi="Times New Roman" w:cs="Times New Roman"/>
          <w:color w:val="000000" w:themeColor="text1"/>
          <w:sz w:val="20"/>
          <w:szCs w:val="20"/>
        </w:rPr>
        <w:t xml:space="preserve">the </w:t>
      </w:r>
      <w:r w:rsidR="004E1763" w:rsidRPr="008F4D4F">
        <w:rPr>
          <w:rFonts w:ascii="Times New Roman" w:hAnsi="Times New Roman" w:cs="Times New Roman"/>
          <w:i/>
          <w:color w:val="000000" w:themeColor="text1"/>
          <w:sz w:val="20"/>
          <w:szCs w:val="20"/>
        </w:rPr>
        <w:t xml:space="preserve">Australian Securities and Investment Commission Act </w:t>
      </w:r>
      <w:r w:rsidR="004E1763" w:rsidRPr="008F4D4F">
        <w:rPr>
          <w:rFonts w:ascii="Times New Roman" w:hAnsi="Times New Roman" w:cs="Times New Roman"/>
          <w:color w:val="000000" w:themeColor="text1"/>
          <w:sz w:val="20"/>
          <w:szCs w:val="20"/>
        </w:rPr>
        <w:t>(</w:t>
      </w:r>
      <w:proofErr w:type="spellStart"/>
      <w:r w:rsidR="004E1763" w:rsidRPr="008F4D4F">
        <w:rPr>
          <w:rFonts w:ascii="Times New Roman" w:hAnsi="Times New Roman" w:cs="Times New Roman"/>
          <w:color w:val="000000" w:themeColor="text1"/>
          <w:sz w:val="20"/>
          <w:szCs w:val="20"/>
        </w:rPr>
        <w:t>Cth</w:t>
      </w:r>
      <w:proofErr w:type="spellEnd"/>
      <w:r w:rsidR="004E1763" w:rsidRPr="008F4D4F">
        <w:rPr>
          <w:rFonts w:ascii="Times New Roman" w:hAnsi="Times New Roman" w:cs="Times New Roman"/>
          <w:color w:val="000000" w:themeColor="text1"/>
          <w:sz w:val="20"/>
          <w:szCs w:val="20"/>
        </w:rPr>
        <w:t xml:space="preserve">) and the </w:t>
      </w:r>
      <w:r w:rsidR="004E1763" w:rsidRPr="008F4D4F">
        <w:rPr>
          <w:rFonts w:ascii="Times New Roman" w:hAnsi="Times New Roman" w:cs="Times New Roman"/>
          <w:i/>
          <w:color w:val="000000" w:themeColor="text1"/>
          <w:sz w:val="20"/>
          <w:szCs w:val="20"/>
        </w:rPr>
        <w:t xml:space="preserve">Privacy Act 1988 </w:t>
      </w:r>
      <w:r w:rsidR="004E1763" w:rsidRPr="008F4D4F">
        <w:rPr>
          <w:rFonts w:ascii="Times New Roman" w:hAnsi="Times New Roman" w:cs="Times New Roman"/>
          <w:color w:val="000000" w:themeColor="text1"/>
          <w:sz w:val="20"/>
          <w:szCs w:val="20"/>
        </w:rPr>
        <w:t>(</w:t>
      </w:r>
      <w:proofErr w:type="spellStart"/>
      <w:r w:rsidR="004E1763" w:rsidRPr="008F4D4F">
        <w:rPr>
          <w:rFonts w:ascii="Times New Roman" w:hAnsi="Times New Roman" w:cs="Times New Roman"/>
          <w:color w:val="000000" w:themeColor="text1"/>
          <w:sz w:val="20"/>
          <w:szCs w:val="20"/>
        </w:rPr>
        <w:t>Cth</w:t>
      </w:r>
      <w:proofErr w:type="spellEnd"/>
      <w:r w:rsidR="004E1763" w:rsidRPr="008F4D4F">
        <w:rPr>
          <w:rFonts w:ascii="Times New Roman" w:hAnsi="Times New Roman" w:cs="Times New Roman"/>
          <w:color w:val="000000" w:themeColor="text1"/>
          <w:sz w:val="20"/>
          <w:szCs w:val="20"/>
        </w:rPr>
        <w:t>).</w:t>
      </w:r>
    </w:p>
    <w:p w14:paraId="79524941" w14:textId="135F052A" w:rsidR="009E212E" w:rsidRPr="008F4D4F" w:rsidRDefault="009E212E" w:rsidP="000E48A1">
      <w:pPr>
        <w:pStyle w:val="FootnoteText"/>
        <w:rPr>
          <w:rFonts w:ascii="Times New Roman" w:hAnsi="Times New Roman" w:cs="Times New Roman"/>
          <w:lang w:val="en-AU"/>
        </w:rPr>
      </w:pPr>
    </w:p>
  </w:footnote>
  <w:footnote w:id="2">
    <w:p w14:paraId="4EB119BA" w14:textId="5F9DB476" w:rsidR="00762D72" w:rsidRPr="008F4D4F" w:rsidRDefault="00762D72" w:rsidP="000E48A1">
      <w:pPr>
        <w:pStyle w:val="FootnoteText"/>
        <w:jc w:val="both"/>
        <w:rPr>
          <w:rFonts w:ascii="Times New Roman" w:hAnsi="Times New Roman" w:cs="Times New Roman"/>
        </w:rPr>
      </w:pPr>
      <w:r w:rsidRPr="008F4D4F">
        <w:rPr>
          <w:rStyle w:val="FootnoteReference"/>
          <w:rFonts w:ascii="Times New Roman" w:hAnsi="Times New Roman" w:cs="Times New Roman"/>
          <w:color w:val="000000" w:themeColor="text1"/>
        </w:rPr>
        <w:footnoteRef/>
      </w:r>
      <w:r w:rsidRPr="008F4D4F">
        <w:rPr>
          <w:rFonts w:ascii="Times New Roman" w:hAnsi="Times New Roman" w:cs="Times New Roman"/>
          <w:color w:val="000000" w:themeColor="text1"/>
        </w:rPr>
        <w:t xml:space="preserve">. </w:t>
      </w:r>
      <w:r w:rsidR="00897370" w:rsidRPr="008F4D4F">
        <w:rPr>
          <w:rFonts w:ascii="Times New Roman" w:hAnsi="Times New Roman" w:cs="Times New Roman"/>
          <w:i/>
          <w:color w:val="000000" w:themeColor="text1"/>
        </w:rPr>
        <w:t>Amalgamated So</w:t>
      </w:r>
      <w:r w:rsidR="00BC0D42" w:rsidRPr="008F4D4F">
        <w:rPr>
          <w:rFonts w:ascii="Times New Roman" w:hAnsi="Times New Roman" w:cs="Times New Roman"/>
          <w:i/>
          <w:color w:val="000000" w:themeColor="text1"/>
        </w:rPr>
        <w:t>c</w:t>
      </w:r>
      <w:r w:rsidR="00897370" w:rsidRPr="008F4D4F">
        <w:rPr>
          <w:rFonts w:ascii="Times New Roman" w:hAnsi="Times New Roman" w:cs="Times New Roman"/>
          <w:i/>
          <w:color w:val="000000" w:themeColor="text1"/>
        </w:rPr>
        <w:t xml:space="preserve">iety of Engineers v Adelaide Steamship Co Ltd </w:t>
      </w:r>
      <w:r w:rsidR="00897370" w:rsidRPr="008F4D4F">
        <w:rPr>
          <w:rFonts w:ascii="Times New Roman" w:hAnsi="Times New Roman" w:cs="Times New Roman"/>
          <w:color w:val="000000" w:themeColor="text1"/>
        </w:rPr>
        <w:t>(1920) 28 CLR 129, at 161-2</w:t>
      </w:r>
      <w:r w:rsidR="00BC0D42" w:rsidRPr="008F4D4F">
        <w:rPr>
          <w:rFonts w:ascii="Times New Roman" w:hAnsi="Times New Roman" w:cs="Times New Roman"/>
          <w:color w:val="000000" w:themeColor="text1"/>
        </w:rPr>
        <w:t>;</w:t>
      </w:r>
      <w:r w:rsidR="003141CB" w:rsidRPr="008F4D4F">
        <w:rPr>
          <w:rFonts w:ascii="Times New Roman" w:hAnsi="Times New Roman" w:cs="Times New Roman"/>
          <w:color w:val="000000" w:themeColor="text1"/>
        </w:rPr>
        <w:t xml:space="preserve"> words of wide significance are only to be read down where a limitation is demonstrated or reflected in the text </w:t>
      </w:r>
      <w:r w:rsidR="003141CB" w:rsidRPr="008F4D4F">
        <w:rPr>
          <w:rFonts w:ascii="Times New Roman" w:hAnsi="Times New Roman" w:cs="Times New Roman"/>
          <w:i/>
          <w:color w:val="000000" w:themeColor="text1"/>
        </w:rPr>
        <w:t xml:space="preserve">Cody v J H Nelson Pty Ltd </w:t>
      </w:r>
      <w:r w:rsidR="003141CB" w:rsidRPr="008F4D4F">
        <w:rPr>
          <w:rFonts w:ascii="Times New Roman" w:hAnsi="Times New Roman" w:cs="Times New Roman"/>
          <w:color w:val="000000" w:themeColor="text1"/>
        </w:rPr>
        <w:t xml:space="preserve">(1947) 74 CLR 629 at 647; </w:t>
      </w:r>
      <w:proofErr w:type="spellStart"/>
      <w:r w:rsidR="003141CB" w:rsidRPr="008F4D4F">
        <w:rPr>
          <w:rFonts w:ascii="Times New Roman" w:hAnsi="Times New Roman" w:cs="Times New Roman"/>
          <w:i/>
          <w:color w:val="000000" w:themeColor="text1"/>
        </w:rPr>
        <w:t>Maunsell</w:t>
      </w:r>
      <w:proofErr w:type="spellEnd"/>
      <w:r w:rsidR="003141CB" w:rsidRPr="008F4D4F">
        <w:rPr>
          <w:rFonts w:ascii="Times New Roman" w:hAnsi="Times New Roman" w:cs="Times New Roman"/>
          <w:i/>
          <w:color w:val="000000" w:themeColor="text1"/>
        </w:rPr>
        <w:t xml:space="preserve"> v </w:t>
      </w:r>
      <w:proofErr w:type="spellStart"/>
      <w:r w:rsidR="003141CB" w:rsidRPr="008F4D4F">
        <w:rPr>
          <w:rFonts w:ascii="Times New Roman" w:hAnsi="Times New Roman" w:cs="Times New Roman"/>
          <w:i/>
          <w:color w:val="000000" w:themeColor="text1"/>
        </w:rPr>
        <w:t>Olins</w:t>
      </w:r>
      <w:proofErr w:type="spellEnd"/>
      <w:r w:rsidR="003141CB" w:rsidRPr="008F4D4F">
        <w:rPr>
          <w:rFonts w:ascii="Times New Roman" w:hAnsi="Times New Roman" w:cs="Times New Roman"/>
          <w:i/>
          <w:color w:val="000000" w:themeColor="text1"/>
        </w:rPr>
        <w:t xml:space="preserve"> </w:t>
      </w:r>
      <w:r w:rsidR="003141CB" w:rsidRPr="008F4D4F">
        <w:rPr>
          <w:rFonts w:ascii="Times New Roman" w:hAnsi="Times New Roman" w:cs="Times New Roman"/>
          <w:color w:val="000000" w:themeColor="text1"/>
        </w:rPr>
        <w:t xml:space="preserve">[1975] AC 373, at 382; </w:t>
      </w:r>
      <w:r w:rsidR="00BC0D42" w:rsidRPr="008F4D4F">
        <w:rPr>
          <w:rFonts w:ascii="Times New Roman" w:hAnsi="Times New Roman" w:cs="Times New Roman"/>
          <w:color w:val="000000" w:themeColor="text1"/>
        </w:rPr>
        <w:t xml:space="preserve"> </w:t>
      </w:r>
      <w:r w:rsidR="00B464C0" w:rsidRPr="008F4D4F">
        <w:rPr>
          <w:rFonts w:ascii="Times New Roman" w:hAnsi="Times New Roman" w:cs="Times New Roman"/>
          <w:color w:val="000000" w:themeColor="text1"/>
        </w:rPr>
        <w:t xml:space="preserve">general words given legal meaning are to be interpreted in accordance with their accepted meaning </w:t>
      </w:r>
      <w:r w:rsidR="00B464C0" w:rsidRPr="008F4D4F">
        <w:rPr>
          <w:rFonts w:ascii="Times New Roman" w:hAnsi="Times New Roman" w:cs="Times New Roman"/>
          <w:i/>
          <w:color w:val="000000" w:themeColor="text1"/>
        </w:rPr>
        <w:t xml:space="preserve">Sterling Nicholas Duty Free Pty Ltd v Commonwealth </w:t>
      </w:r>
      <w:r w:rsidR="003141CB" w:rsidRPr="008F4D4F">
        <w:rPr>
          <w:rFonts w:ascii="Times New Roman" w:hAnsi="Times New Roman" w:cs="Times New Roman"/>
          <w:color w:val="000000" w:themeColor="text1"/>
        </w:rPr>
        <w:t>[1971] 1 NSWLR 353.</w:t>
      </w:r>
    </w:p>
  </w:footnote>
  <w:footnote w:id="3">
    <w:p w14:paraId="0DAAA675" w14:textId="34061FAC" w:rsidR="00040B8C" w:rsidRPr="008F4D4F" w:rsidRDefault="00040B8C" w:rsidP="000E48A1">
      <w:pPr>
        <w:spacing w:after="0" w:line="240" w:lineRule="auto"/>
        <w:jc w:val="both"/>
        <w:rPr>
          <w:rFonts w:ascii="Times New Roman" w:hAnsi="Times New Roman" w:cs="Times New Roman"/>
          <w:color w:val="000000" w:themeColor="text1"/>
          <w:sz w:val="20"/>
          <w:szCs w:val="20"/>
        </w:rPr>
      </w:pPr>
      <w:r w:rsidRPr="008F4D4F">
        <w:rPr>
          <w:rStyle w:val="FootnoteReference"/>
          <w:rFonts w:ascii="Times New Roman" w:hAnsi="Times New Roman" w:cs="Times New Roman"/>
          <w:sz w:val="20"/>
          <w:szCs w:val="20"/>
        </w:rPr>
        <w:footnoteRef/>
      </w:r>
      <w:r w:rsidRPr="008F4D4F">
        <w:rPr>
          <w:rFonts w:ascii="Times New Roman" w:hAnsi="Times New Roman" w:cs="Times New Roman"/>
          <w:sz w:val="20"/>
          <w:szCs w:val="20"/>
        </w:rPr>
        <w:t xml:space="preserve">. </w:t>
      </w:r>
      <w:r w:rsidR="007F014D" w:rsidRPr="008F4D4F">
        <w:rPr>
          <w:rFonts w:ascii="Times New Roman" w:hAnsi="Times New Roman" w:cs="Times New Roman"/>
          <w:sz w:val="20"/>
          <w:szCs w:val="20"/>
        </w:rPr>
        <w:t xml:space="preserve">This is known as the moral hazard </w:t>
      </w:r>
      <w:r w:rsidR="00C77F6B" w:rsidRPr="008F4D4F">
        <w:rPr>
          <w:rFonts w:ascii="Times New Roman" w:hAnsi="Times New Roman" w:cs="Times New Roman"/>
          <w:sz w:val="20"/>
          <w:szCs w:val="20"/>
        </w:rPr>
        <w:t>problem and</w:t>
      </w:r>
      <w:r w:rsidR="007F014D" w:rsidRPr="008F4D4F">
        <w:rPr>
          <w:rFonts w:ascii="Times New Roman" w:hAnsi="Times New Roman" w:cs="Times New Roman"/>
          <w:sz w:val="20"/>
          <w:szCs w:val="20"/>
        </w:rPr>
        <w:t xml:space="preserve"> emerges when a party has insurance and having shifted the risk to the insurer no longer has an incentive to take adequate precautions, if they cannot be observed </w:t>
      </w:r>
      <w:r w:rsidR="007F014D" w:rsidRPr="008F4D4F">
        <w:rPr>
          <w:rFonts w:ascii="Times New Roman" w:hAnsi="Times New Roman" w:cs="Times New Roman"/>
          <w:noProof/>
          <w:color w:val="000000" w:themeColor="text1"/>
          <w:sz w:val="20"/>
          <w:szCs w:val="20"/>
        </w:rPr>
        <w:t>(Pauly 1968; Arrow 1968; Shavell 1982; Mirrlees 1999)</w:t>
      </w:r>
      <w:r w:rsidR="007F014D" w:rsidRPr="008F4D4F">
        <w:rPr>
          <w:rFonts w:ascii="Times New Roman" w:hAnsi="Times New Roman" w:cs="Times New Roman"/>
          <w:color w:val="000000" w:themeColor="text1"/>
          <w:sz w:val="20"/>
          <w:szCs w:val="20"/>
        </w:rPr>
        <w:t>.</w:t>
      </w:r>
    </w:p>
  </w:footnote>
  <w:footnote w:id="4">
    <w:p w14:paraId="5409CEE0" w14:textId="77777777" w:rsidR="00690945" w:rsidRPr="008F4D4F" w:rsidRDefault="00690945" w:rsidP="000E48A1">
      <w:pPr>
        <w:pStyle w:val="Bibliography"/>
        <w:spacing w:after="0"/>
        <w:ind w:left="0" w:firstLine="0"/>
        <w:jc w:val="both"/>
        <w:rPr>
          <w:rFonts w:ascii="Times New Roman" w:hAnsi="Times New Roman" w:cs="Times New Roman"/>
          <w:sz w:val="20"/>
          <w:szCs w:val="20"/>
          <w:lang w:val="en-US"/>
        </w:rPr>
      </w:pPr>
      <w:r w:rsidRPr="008F4D4F">
        <w:rPr>
          <w:rStyle w:val="FootnoteReference"/>
          <w:rFonts w:ascii="Times New Roman" w:hAnsi="Times New Roman" w:cs="Times New Roman"/>
          <w:sz w:val="20"/>
          <w:szCs w:val="20"/>
        </w:rPr>
        <w:footnoteRef/>
      </w:r>
      <w:r w:rsidRPr="008F4D4F">
        <w:rPr>
          <w:rFonts w:ascii="Times New Roman" w:hAnsi="Times New Roman" w:cs="Times New Roman"/>
          <w:sz w:val="20"/>
          <w:szCs w:val="20"/>
        </w:rPr>
        <w:t xml:space="preserve">. These concerns were set out in detail in </w:t>
      </w:r>
      <w:r w:rsidRPr="008F4D4F">
        <w:rPr>
          <w:rFonts w:ascii="Times New Roman" w:hAnsi="Times New Roman" w:cs="Times New Roman"/>
          <w:sz w:val="20"/>
          <w:szCs w:val="20"/>
          <w:lang w:val="en-US"/>
        </w:rPr>
        <w:t xml:space="preserve">ACCAN’s submission to Treasury concerning the Treasury Laws Amendment (Consumer Data Right) Bill 2018, pp. 24-25, and available at &lt;http://accan.org.au/our-work/submissions/1536-consumer-data-right-submission&gt;. </w:t>
      </w:r>
    </w:p>
  </w:footnote>
  <w:footnote w:id="5">
    <w:p w14:paraId="175252FA" w14:textId="77777777" w:rsidR="00690945" w:rsidRPr="008F4D4F" w:rsidRDefault="00690945" w:rsidP="000E48A1">
      <w:pPr>
        <w:spacing w:after="0" w:line="240" w:lineRule="auto"/>
        <w:jc w:val="both"/>
        <w:rPr>
          <w:rFonts w:ascii="Times New Roman" w:hAnsi="Times New Roman" w:cs="Times New Roman"/>
          <w:color w:val="000000" w:themeColor="text1"/>
          <w:sz w:val="20"/>
          <w:szCs w:val="20"/>
        </w:rPr>
      </w:pPr>
      <w:r w:rsidRPr="008F4D4F">
        <w:rPr>
          <w:rStyle w:val="FootnoteReference"/>
          <w:rFonts w:ascii="Times New Roman" w:hAnsi="Times New Roman" w:cs="Times New Roman"/>
          <w:sz w:val="20"/>
          <w:szCs w:val="20"/>
        </w:rPr>
        <w:footnoteRef/>
      </w:r>
      <w:r w:rsidRPr="008F4D4F">
        <w:rPr>
          <w:rFonts w:ascii="Times New Roman" w:hAnsi="Times New Roman" w:cs="Times New Roman"/>
          <w:sz w:val="20"/>
          <w:szCs w:val="20"/>
        </w:rPr>
        <w:t xml:space="preserve">. </w:t>
      </w:r>
      <w:r w:rsidRPr="008F4D4F">
        <w:rPr>
          <w:rFonts w:ascii="Times New Roman" w:hAnsi="Times New Roman" w:cs="Times New Roman"/>
          <w:color w:val="000000" w:themeColor="text1"/>
          <w:sz w:val="20"/>
          <w:szCs w:val="20"/>
        </w:rPr>
        <w:t xml:space="preserve">The law has typically provided additional protections to minors, by allowing them to void non-beneficial contracts e.g. </w:t>
      </w:r>
      <w:r w:rsidRPr="008F4D4F">
        <w:rPr>
          <w:rFonts w:ascii="Times New Roman" w:eastAsia="Times New Roman" w:hAnsi="Times New Roman" w:cs="Times New Roman"/>
          <w:i/>
          <w:color w:val="000000" w:themeColor="text1"/>
          <w:sz w:val="20"/>
          <w:szCs w:val="20"/>
        </w:rPr>
        <w:t xml:space="preserve">Minors (Property and Contracts) Act 1970 </w:t>
      </w:r>
      <w:r w:rsidRPr="008F4D4F">
        <w:rPr>
          <w:rFonts w:ascii="Times New Roman" w:eastAsia="Times New Roman" w:hAnsi="Times New Roman" w:cs="Times New Roman"/>
          <w:color w:val="000000" w:themeColor="text1"/>
          <w:sz w:val="20"/>
          <w:szCs w:val="20"/>
        </w:rPr>
        <w:t>(NSW) s 31.</w:t>
      </w:r>
    </w:p>
  </w:footnote>
  <w:footnote w:id="6">
    <w:p w14:paraId="685E7A2A" w14:textId="7F07A289" w:rsidR="009B41C9" w:rsidRPr="008F4D4F" w:rsidRDefault="009B41C9" w:rsidP="00C15A91">
      <w:pPr>
        <w:spacing w:after="0"/>
        <w:jc w:val="both"/>
        <w:rPr>
          <w:rFonts w:ascii="Times New Roman" w:hAnsi="Times New Roman" w:cs="Times New Roman"/>
          <w:color w:val="000000" w:themeColor="text1"/>
          <w:sz w:val="20"/>
          <w:szCs w:val="20"/>
        </w:rPr>
      </w:pPr>
      <w:r w:rsidRPr="008F4D4F">
        <w:rPr>
          <w:rStyle w:val="FootnoteReference"/>
          <w:rFonts w:ascii="Times New Roman" w:hAnsi="Times New Roman" w:cs="Times New Roman"/>
          <w:sz w:val="20"/>
          <w:szCs w:val="20"/>
        </w:rPr>
        <w:footnoteRef/>
      </w:r>
      <w:r w:rsidRPr="008F4D4F">
        <w:rPr>
          <w:rFonts w:ascii="Times New Roman" w:hAnsi="Times New Roman" w:cs="Times New Roman"/>
          <w:sz w:val="20"/>
          <w:szCs w:val="20"/>
        </w:rPr>
        <w:t xml:space="preserve">. </w:t>
      </w:r>
      <w:r w:rsidR="00C15A91" w:rsidRPr="008F4D4F">
        <w:rPr>
          <w:rFonts w:ascii="Times New Roman" w:hAnsi="Times New Roman" w:cs="Times New Roman"/>
          <w:sz w:val="20"/>
          <w:szCs w:val="20"/>
        </w:rPr>
        <w:t xml:space="preserve">That is to reduce search costs </w:t>
      </w:r>
      <w:r w:rsidR="00C15A91" w:rsidRPr="008F4D4F">
        <w:rPr>
          <w:rFonts w:ascii="Times New Roman" w:hAnsi="Times New Roman" w:cs="Times New Roman"/>
          <w:noProof/>
          <w:color w:val="000000" w:themeColor="text1"/>
          <w:sz w:val="20"/>
          <w:szCs w:val="20"/>
        </w:rPr>
        <w:t>(Stigler 1961)</w:t>
      </w:r>
      <w:r w:rsidR="00C15A91" w:rsidRPr="008F4D4F">
        <w:rPr>
          <w:rFonts w:ascii="Times New Roman" w:hAnsi="Times New Roman" w:cs="Times New Roman"/>
          <w:color w:val="000000" w:themeColor="text1"/>
          <w:sz w:val="20"/>
          <w:szCs w:val="20"/>
        </w:rPr>
        <w:t>.</w:t>
      </w:r>
    </w:p>
  </w:footnote>
  <w:footnote w:id="7">
    <w:p w14:paraId="1C51437A" w14:textId="601DA20D" w:rsidR="000E48A1" w:rsidRPr="008F4D4F" w:rsidRDefault="00DE0C67" w:rsidP="000E48A1">
      <w:pPr>
        <w:spacing w:after="0" w:line="240" w:lineRule="auto"/>
        <w:jc w:val="both"/>
        <w:rPr>
          <w:rFonts w:ascii="Times New Roman" w:hAnsi="Times New Roman" w:cs="Times New Roman"/>
          <w:color w:val="000000" w:themeColor="text1"/>
          <w:sz w:val="20"/>
          <w:szCs w:val="20"/>
        </w:rPr>
      </w:pPr>
      <w:r w:rsidRPr="008F4D4F">
        <w:rPr>
          <w:rStyle w:val="FootnoteReference"/>
          <w:rFonts w:ascii="Times New Roman" w:hAnsi="Times New Roman" w:cs="Times New Roman"/>
          <w:sz w:val="20"/>
          <w:szCs w:val="20"/>
        </w:rPr>
        <w:footnoteRef/>
      </w:r>
      <w:r w:rsidRPr="008F4D4F">
        <w:rPr>
          <w:rFonts w:ascii="Times New Roman" w:hAnsi="Times New Roman" w:cs="Times New Roman"/>
          <w:sz w:val="20"/>
          <w:szCs w:val="20"/>
        </w:rPr>
        <w:t>.</w:t>
      </w:r>
      <w:r w:rsidR="00047E7C" w:rsidRPr="008F4D4F">
        <w:rPr>
          <w:rFonts w:ascii="Times New Roman" w:hAnsi="Times New Roman" w:cs="Times New Roman"/>
          <w:sz w:val="20"/>
          <w:szCs w:val="20"/>
        </w:rPr>
        <w:t xml:space="preserve"> </w:t>
      </w:r>
      <w:r w:rsidR="000E48A1" w:rsidRPr="008F4D4F">
        <w:rPr>
          <w:rFonts w:ascii="Times New Roman" w:hAnsi="Times New Roman" w:cs="Times New Roman"/>
          <w:color w:val="000000" w:themeColor="text1"/>
          <w:sz w:val="20"/>
          <w:szCs w:val="20"/>
        </w:rPr>
        <w:t xml:space="preserve">In principle price discrimination may benefit consumers if, and only if it increases total output – that is, services are offered that match the needs of underserved groups </w:t>
      </w:r>
      <w:r w:rsidR="000E48A1" w:rsidRPr="008F4D4F">
        <w:rPr>
          <w:rFonts w:ascii="Times New Roman" w:hAnsi="Times New Roman" w:cs="Times New Roman"/>
          <w:noProof/>
          <w:color w:val="000000" w:themeColor="text1"/>
          <w:sz w:val="20"/>
          <w:szCs w:val="20"/>
        </w:rPr>
        <w:t>(Schmalensee 1981; Varian 1985, p.</w:t>
      </w:r>
      <w:r w:rsidR="00F75865">
        <w:rPr>
          <w:rFonts w:ascii="Times New Roman" w:hAnsi="Times New Roman" w:cs="Times New Roman"/>
          <w:noProof/>
          <w:color w:val="000000" w:themeColor="text1"/>
          <w:sz w:val="20"/>
          <w:szCs w:val="20"/>
        </w:rPr>
        <w:t xml:space="preserve"> </w:t>
      </w:r>
      <w:r w:rsidR="000E48A1" w:rsidRPr="008F4D4F">
        <w:rPr>
          <w:rFonts w:ascii="Times New Roman" w:hAnsi="Times New Roman" w:cs="Times New Roman"/>
          <w:noProof/>
          <w:color w:val="000000" w:themeColor="text1"/>
          <w:sz w:val="20"/>
          <w:szCs w:val="20"/>
        </w:rPr>
        <w:t>2)</w:t>
      </w:r>
      <w:r w:rsidR="000E48A1" w:rsidRPr="008F4D4F">
        <w:rPr>
          <w:rFonts w:ascii="Times New Roman" w:hAnsi="Times New Roman" w:cs="Times New Roman"/>
          <w:color w:val="000000" w:themeColor="text1"/>
          <w:sz w:val="20"/>
          <w:szCs w:val="20"/>
        </w:rPr>
        <w:t>. ACCAN has concerns, however, that models of price discrimination may be developed, not with a view to providing services to underserved consumers (that is the marginal consumer) but rather to extract maximum rents from all consumers.</w:t>
      </w:r>
    </w:p>
    <w:p w14:paraId="0EC3BD5D" w14:textId="3930B309" w:rsidR="00DE0C67" w:rsidRPr="008F4D4F" w:rsidRDefault="00DE0C67" w:rsidP="000E48A1">
      <w:pPr>
        <w:pStyle w:val="FootnoteText"/>
        <w:rPr>
          <w:rFonts w:ascii="Times New Roman" w:hAnsi="Times New Roman" w:cs="Times New Roman"/>
          <w:lang w:val="en-A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D9BEE" w14:textId="77777777" w:rsidR="00084A5B" w:rsidRDefault="00084A5B" w:rsidP="00DD7C1C">
    <w:pPr>
      <w:pStyle w:val="Header"/>
      <w:tabs>
        <w:tab w:val="clear" w:pos="4513"/>
        <w:tab w:val="clear" w:pos="9026"/>
      </w:tabs>
      <w:ind w:right="-1"/>
      <w:jc w:val="right"/>
    </w:pPr>
    <w:r>
      <w:rPr>
        <w:noProof/>
        <w:lang w:val="en-US"/>
      </w:rPr>
      <w:drawing>
        <wp:anchor distT="0" distB="0" distL="114300" distR="114300" simplePos="0" relativeHeight="251660288" behindDoc="1" locked="0" layoutInCell="1" allowOverlap="1" wp14:anchorId="24CEFEB5" wp14:editId="340E2106">
          <wp:simplePos x="0" y="0"/>
          <wp:positionH relativeFrom="column">
            <wp:posOffset>4785812</wp:posOffset>
          </wp:positionH>
          <wp:positionV relativeFrom="paragraph">
            <wp:posOffset>117807</wp:posOffset>
          </wp:positionV>
          <wp:extent cx="1630800" cy="756000"/>
          <wp:effectExtent l="0" t="0" r="7620" b="635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9C8D7" w14:textId="77777777" w:rsidR="00991926" w:rsidRDefault="00991926" w:rsidP="00DD7C1C">
    <w:pPr>
      <w:pStyle w:val="Header"/>
      <w:tabs>
        <w:tab w:val="clear" w:pos="4513"/>
        <w:tab w:val="clear" w:pos="9026"/>
      </w:tabs>
      <w:ind w:right="-1"/>
      <w:jc w:val="right"/>
    </w:pPr>
    <w:r>
      <w:rPr>
        <w:noProof/>
        <w:lang w:val="en-US"/>
      </w:rPr>
      <w:drawing>
        <wp:anchor distT="0" distB="0" distL="114300" distR="114300" simplePos="0" relativeHeight="251663360" behindDoc="1" locked="0" layoutInCell="1" allowOverlap="1" wp14:anchorId="44CB66D7" wp14:editId="4A35233E">
          <wp:simplePos x="0" y="0"/>
          <wp:positionH relativeFrom="column">
            <wp:posOffset>4785812</wp:posOffset>
          </wp:positionH>
          <wp:positionV relativeFrom="paragraph">
            <wp:posOffset>117807</wp:posOffset>
          </wp:positionV>
          <wp:extent cx="1630800" cy="756000"/>
          <wp:effectExtent l="0" t="0" r="762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AN_logo_BLUE_RGB Standalone 11x5.jpg"/>
                  <pic:cNvPicPr/>
                </pic:nvPicPr>
                <pic:blipFill>
                  <a:blip r:embed="rId1">
                    <a:extLst>
                      <a:ext uri="{28A0092B-C50C-407E-A947-70E740481C1C}">
                        <a14:useLocalDpi xmlns:a14="http://schemas.microsoft.com/office/drawing/2010/main" val="0"/>
                      </a:ext>
                    </a:extLst>
                  </a:blip>
                  <a:stretch>
                    <a:fillRect/>
                  </a:stretch>
                </pic:blipFill>
                <pic:spPr>
                  <a:xfrm>
                    <a:off x="0" y="0"/>
                    <a:ext cx="1630800" cy="756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DC530" w14:textId="77777777" w:rsidR="00084A5B" w:rsidRDefault="00084A5B" w:rsidP="005820C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F5100"/>
    <w:multiLevelType w:val="hybridMultilevel"/>
    <w:tmpl w:val="5150D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B246720"/>
    <w:multiLevelType w:val="hybridMultilevel"/>
    <w:tmpl w:val="F7E82C0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
    <w:nsid w:val="60FA159C"/>
    <w:multiLevelType w:val="hybridMultilevel"/>
    <w:tmpl w:val="569C30E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
    <w:nsid w:val="62B76520"/>
    <w:multiLevelType w:val="hybridMultilevel"/>
    <w:tmpl w:val="9FE21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2C347E"/>
    <w:multiLevelType w:val="hybridMultilevel"/>
    <w:tmpl w:val="1F2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98F"/>
    <w:rsid w:val="00002D94"/>
    <w:rsid w:val="00022904"/>
    <w:rsid w:val="00025D8E"/>
    <w:rsid w:val="000260DF"/>
    <w:rsid w:val="00027253"/>
    <w:rsid w:val="000308C8"/>
    <w:rsid w:val="000330FE"/>
    <w:rsid w:val="00040B8C"/>
    <w:rsid w:val="000456AD"/>
    <w:rsid w:val="00045C70"/>
    <w:rsid w:val="00046D3A"/>
    <w:rsid w:val="00047E7C"/>
    <w:rsid w:val="00050014"/>
    <w:rsid w:val="0005266B"/>
    <w:rsid w:val="0005507E"/>
    <w:rsid w:val="00055E02"/>
    <w:rsid w:val="00057D84"/>
    <w:rsid w:val="00061D39"/>
    <w:rsid w:val="00062DB6"/>
    <w:rsid w:val="00064BA0"/>
    <w:rsid w:val="00076FE1"/>
    <w:rsid w:val="00082838"/>
    <w:rsid w:val="00084A5B"/>
    <w:rsid w:val="00087F0A"/>
    <w:rsid w:val="00091945"/>
    <w:rsid w:val="000928A2"/>
    <w:rsid w:val="000A1F52"/>
    <w:rsid w:val="000A4066"/>
    <w:rsid w:val="000B6BA1"/>
    <w:rsid w:val="000C216F"/>
    <w:rsid w:val="000C3062"/>
    <w:rsid w:val="000D5353"/>
    <w:rsid w:val="000E48A1"/>
    <w:rsid w:val="000E4EA7"/>
    <w:rsid w:val="000E7036"/>
    <w:rsid w:val="000F04CD"/>
    <w:rsid w:val="000F2182"/>
    <w:rsid w:val="000F691C"/>
    <w:rsid w:val="0010233D"/>
    <w:rsid w:val="00103356"/>
    <w:rsid w:val="001133E0"/>
    <w:rsid w:val="00114581"/>
    <w:rsid w:val="0011518D"/>
    <w:rsid w:val="001208CD"/>
    <w:rsid w:val="00124804"/>
    <w:rsid w:val="00133483"/>
    <w:rsid w:val="00135A65"/>
    <w:rsid w:val="00156025"/>
    <w:rsid w:val="001627E8"/>
    <w:rsid w:val="00170786"/>
    <w:rsid w:val="0017543C"/>
    <w:rsid w:val="00177E1E"/>
    <w:rsid w:val="00183A85"/>
    <w:rsid w:val="0018415B"/>
    <w:rsid w:val="00194245"/>
    <w:rsid w:val="001C20F7"/>
    <w:rsid w:val="001C28E7"/>
    <w:rsid w:val="001E02A7"/>
    <w:rsid w:val="001E2577"/>
    <w:rsid w:val="001E30BC"/>
    <w:rsid w:val="001E3AAE"/>
    <w:rsid w:val="001F198B"/>
    <w:rsid w:val="001F3395"/>
    <w:rsid w:val="001F69A5"/>
    <w:rsid w:val="001F77D4"/>
    <w:rsid w:val="002048D5"/>
    <w:rsid w:val="00205AC5"/>
    <w:rsid w:val="00206F74"/>
    <w:rsid w:val="002072C8"/>
    <w:rsid w:val="00210033"/>
    <w:rsid w:val="00212EC6"/>
    <w:rsid w:val="002203D2"/>
    <w:rsid w:val="00221F93"/>
    <w:rsid w:val="00226000"/>
    <w:rsid w:val="00234042"/>
    <w:rsid w:val="00243610"/>
    <w:rsid w:val="002436CD"/>
    <w:rsid w:val="002513C1"/>
    <w:rsid w:val="002650A8"/>
    <w:rsid w:val="0027142F"/>
    <w:rsid w:val="00271E77"/>
    <w:rsid w:val="00296DBE"/>
    <w:rsid w:val="00296F1B"/>
    <w:rsid w:val="002A0A66"/>
    <w:rsid w:val="002A2B5A"/>
    <w:rsid w:val="002A51AC"/>
    <w:rsid w:val="002A5837"/>
    <w:rsid w:val="002B4B2B"/>
    <w:rsid w:val="002C2101"/>
    <w:rsid w:val="002C3E39"/>
    <w:rsid w:val="002D1447"/>
    <w:rsid w:val="002E47A5"/>
    <w:rsid w:val="002F114E"/>
    <w:rsid w:val="00307B0F"/>
    <w:rsid w:val="00310834"/>
    <w:rsid w:val="00312683"/>
    <w:rsid w:val="003141CB"/>
    <w:rsid w:val="0031720C"/>
    <w:rsid w:val="00320469"/>
    <w:rsid w:val="003211AB"/>
    <w:rsid w:val="00321E86"/>
    <w:rsid w:val="00325206"/>
    <w:rsid w:val="00326B9E"/>
    <w:rsid w:val="00327490"/>
    <w:rsid w:val="00327D5A"/>
    <w:rsid w:val="003369D1"/>
    <w:rsid w:val="00343E75"/>
    <w:rsid w:val="00351B0B"/>
    <w:rsid w:val="00353BA6"/>
    <w:rsid w:val="00353C27"/>
    <w:rsid w:val="0037613E"/>
    <w:rsid w:val="0039435C"/>
    <w:rsid w:val="00394416"/>
    <w:rsid w:val="003A5CE3"/>
    <w:rsid w:val="003A6A3A"/>
    <w:rsid w:val="003A7A3B"/>
    <w:rsid w:val="003B1499"/>
    <w:rsid w:val="003B693F"/>
    <w:rsid w:val="003B721E"/>
    <w:rsid w:val="003E6503"/>
    <w:rsid w:val="003E7FB0"/>
    <w:rsid w:val="003F01EC"/>
    <w:rsid w:val="003F4FCD"/>
    <w:rsid w:val="003F67DD"/>
    <w:rsid w:val="00422C8A"/>
    <w:rsid w:val="0044194A"/>
    <w:rsid w:val="00443783"/>
    <w:rsid w:val="00450FC5"/>
    <w:rsid w:val="004539AF"/>
    <w:rsid w:val="004552EA"/>
    <w:rsid w:val="00461AFD"/>
    <w:rsid w:val="00471A95"/>
    <w:rsid w:val="00471E72"/>
    <w:rsid w:val="00472C7E"/>
    <w:rsid w:val="00480696"/>
    <w:rsid w:val="00481FAD"/>
    <w:rsid w:val="00483632"/>
    <w:rsid w:val="004850E4"/>
    <w:rsid w:val="004853F3"/>
    <w:rsid w:val="00485403"/>
    <w:rsid w:val="0048628F"/>
    <w:rsid w:val="00497F13"/>
    <w:rsid w:val="004A01EB"/>
    <w:rsid w:val="004B5346"/>
    <w:rsid w:val="004B5F63"/>
    <w:rsid w:val="004C3886"/>
    <w:rsid w:val="004D4508"/>
    <w:rsid w:val="004D630E"/>
    <w:rsid w:val="004D7F79"/>
    <w:rsid w:val="004E1763"/>
    <w:rsid w:val="004E3829"/>
    <w:rsid w:val="004E755C"/>
    <w:rsid w:val="004F6067"/>
    <w:rsid w:val="005035C7"/>
    <w:rsid w:val="00510291"/>
    <w:rsid w:val="00510E7D"/>
    <w:rsid w:val="0051395C"/>
    <w:rsid w:val="00516EC8"/>
    <w:rsid w:val="005171E9"/>
    <w:rsid w:val="0052442B"/>
    <w:rsid w:val="00524537"/>
    <w:rsid w:val="00540FAB"/>
    <w:rsid w:val="00543D8A"/>
    <w:rsid w:val="00544EDB"/>
    <w:rsid w:val="00547AE2"/>
    <w:rsid w:val="00555B91"/>
    <w:rsid w:val="00560DBE"/>
    <w:rsid w:val="00567771"/>
    <w:rsid w:val="00573A50"/>
    <w:rsid w:val="005765B8"/>
    <w:rsid w:val="00580A47"/>
    <w:rsid w:val="005820C9"/>
    <w:rsid w:val="005874CE"/>
    <w:rsid w:val="00591C26"/>
    <w:rsid w:val="005A2EF7"/>
    <w:rsid w:val="005A5925"/>
    <w:rsid w:val="005A673E"/>
    <w:rsid w:val="005B5B5E"/>
    <w:rsid w:val="005B690F"/>
    <w:rsid w:val="005C5508"/>
    <w:rsid w:val="005D5F44"/>
    <w:rsid w:val="005F0528"/>
    <w:rsid w:val="0060297A"/>
    <w:rsid w:val="0060617D"/>
    <w:rsid w:val="00610419"/>
    <w:rsid w:val="00611BAD"/>
    <w:rsid w:val="006123B5"/>
    <w:rsid w:val="00612B6A"/>
    <w:rsid w:val="00616DA2"/>
    <w:rsid w:val="00625369"/>
    <w:rsid w:val="00630F29"/>
    <w:rsid w:val="00631C1B"/>
    <w:rsid w:val="006361A6"/>
    <w:rsid w:val="00636DE9"/>
    <w:rsid w:val="00643447"/>
    <w:rsid w:val="00646D57"/>
    <w:rsid w:val="00665590"/>
    <w:rsid w:val="00666ACF"/>
    <w:rsid w:val="00670426"/>
    <w:rsid w:val="00690945"/>
    <w:rsid w:val="006931C3"/>
    <w:rsid w:val="006A5C69"/>
    <w:rsid w:val="006B4E26"/>
    <w:rsid w:val="006C1B12"/>
    <w:rsid w:val="006C3B67"/>
    <w:rsid w:val="006C71D5"/>
    <w:rsid w:val="006C7C13"/>
    <w:rsid w:val="006D1940"/>
    <w:rsid w:val="006D7AD8"/>
    <w:rsid w:val="006E541B"/>
    <w:rsid w:val="006F10C3"/>
    <w:rsid w:val="006F7402"/>
    <w:rsid w:val="00706CCD"/>
    <w:rsid w:val="007107CF"/>
    <w:rsid w:val="00716BC2"/>
    <w:rsid w:val="0072296B"/>
    <w:rsid w:val="00722FFD"/>
    <w:rsid w:val="00723F05"/>
    <w:rsid w:val="00725BD2"/>
    <w:rsid w:val="00727ABE"/>
    <w:rsid w:val="00727D82"/>
    <w:rsid w:val="007370B5"/>
    <w:rsid w:val="007506AE"/>
    <w:rsid w:val="00762D72"/>
    <w:rsid w:val="00767BD6"/>
    <w:rsid w:val="007725C8"/>
    <w:rsid w:val="007849CF"/>
    <w:rsid w:val="00794636"/>
    <w:rsid w:val="007970B6"/>
    <w:rsid w:val="007A2552"/>
    <w:rsid w:val="007A3E1A"/>
    <w:rsid w:val="007A51EE"/>
    <w:rsid w:val="007C349C"/>
    <w:rsid w:val="007C5EE3"/>
    <w:rsid w:val="007C608D"/>
    <w:rsid w:val="007C7884"/>
    <w:rsid w:val="007D34BE"/>
    <w:rsid w:val="007D3F16"/>
    <w:rsid w:val="007D549C"/>
    <w:rsid w:val="007D625E"/>
    <w:rsid w:val="007E1CE6"/>
    <w:rsid w:val="007E616F"/>
    <w:rsid w:val="007E6DF7"/>
    <w:rsid w:val="007E73B3"/>
    <w:rsid w:val="007F014D"/>
    <w:rsid w:val="007F1BB2"/>
    <w:rsid w:val="007F5F0A"/>
    <w:rsid w:val="00800993"/>
    <w:rsid w:val="00801A05"/>
    <w:rsid w:val="00803BCE"/>
    <w:rsid w:val="00806AD3"/>
    <w:rsid w:val="00821051"/>
    <w:rsid w:val="00836DA0"/>
    <w:rsid w:val="008379D9"/>
    <w:rsid w:val="00841CE3"/>
    <w:rsid w:val="00870095"/>
    <w:rsid w:val="008724A3"/>
    <w:rsid w:val="00874727"/>
    <w:rsid w:val="00876CB9"/>
    <w:rsid w:val="008943CA"/>
    <w:rsid w:val="00897370"/>
    <w:rsid w:val="008A0F3A"/>
    <w:rsid w:val="008A19E7"/>
    <w:rsid w:val="008A2BC9"/>
    <w:rsid w:val="008A3172"/>
    <w:rsid w:val="008A49F1"/>
    <w:rsid w:val="008A68A5"/>
    <w:rsid w:val="008A757E"/>
    <w:rsid w:val="008C50A4"/>
    <w:rsid w:val="008C71F8"/>
    <w:rsid w:val="008D381B"/>
    <w:rsid w:val="008E0A34"/>
    <w:rsid w:val="008E1DF0"/>
    <w:rsid w:val="008E218B"/>
    <w:rsid w:val="008F34CC"/>
    <w:rsid w:val="008F4D4F"/>
    <w:rsid w:val="008F7E90"/>
    <w:rsid w:val="00905F86"/>
    <w:rsid w:val="0091313B"/>
    <w:rsid w:val="00914771"/>
    <w:rsid w:val="00923AEE"/>
    <w:rsid w:val="00923C12"/>
    <w:rsid w:val="0094049A"/>
    <w:rsid w:val="009416D3"/>
    <w:rsid w:val="00941C0D"/>
    <w:rsid w:val="009431CA"/>
    <w:rsid w:val="00954A47"/>
    <w:rsid w:val="00960578"/>
    <w:rsid w:val="00961064"/>
    <w:rsid w:val="00964DD0"/>
    <w:rsid w:val="00964F93"/>
    <w:rsid w:val="0096537D"/>
    <w:rsid w:val="00983D92"/>
    <w:rsid w:val="0098455F"/>
    <w:rsid w:val="0098658F"/>
    <w:rsid w:val="00986DD8"/>
    <w:rsid w:val="00987274"/>
    <w:rsid w:val="00991926"/>
    <w:rsid w:val="00996ADE"/>
    <w:rsid w:val="009A227B"/>
    <w:rsid w:val="009A5373"/>
    <w:rsid w:val="009A5BA1"/>
    <w:rsid w:val="009B031E"/>
    <w:rsid w:val="009B1459"/>
    <w:rsid w:val="009B41C9"/>
    <w:rsid w:val="009B5180"/>
    <w:rsid w:val="009D6072"/>
    <w:rsid w:val="009D75CB"/>
    <w:rsid w:val="009D7B1A"/>
    <w:rsid w:val="009E212E"/>
    <w:rsid w:val="009F5C08"/>
    <w:rsid w:val="00A04198"/>
    <w:rsid w:val="00A16B8C"/>
    <w:rsid w:val="00A2402F"/>
    <w:rsid w:val="00A2414E"/>
    <w:rsid w:val="00A24BED"/>
    <w:rsid w:val="00A277DF"/>
    <w:rsid w:val="00A31719"/>
    <w:rsid w:val="00A34665"/>
    <w:rsid w:val="00A4447D"/>
    <w:rsid w:val="00A44E13"/>
    <w:rsid w:val="00A53E8D"/>
    <w:rsid w:val="00A54A2A"/>
    <w:rsid w:val="00A54E76"/>
    <w:rsid w:val="00A625B0"/>
    <w:rsid w:val="00A66BCC"/>
    <w:rsid w:val="00A7074A"/>
    <w:rsid w:val="00A729D1"/>
    <w:rsid w:val="00A72F11"/>
    <w:rsid w:val="00A8274B"/>
    <w:rsid w:val="00A83514"/>
    <w:rsid w:val="00AA686C"/>
    <w:rsid w:val="00AB139C"/>
    <w:rsid w:val="00AB2BD6"/>
    <w:rsid w:val="00AB32F7"/>
    <w:rsid w:val="00AB4F03"/>
    <w:rsid w:val="00AB57A6"/>
    <w:rsid w:val="00AD58A8"/>
    <w:rsid w:val="00AD6748"/>
    <w:rsid w:val="00AD70DF"/>
    <w:rsid w:val="00AD7A59"/>
    <w:rsid w:val="00AE2840"/>
    <w:rsid w:val="00AE2C1A"/>
    <w:rsid w:val="00AF0152"/>
    <w:rsid w:val="00AF04EC"/>
    <w:rsid w:val="00AF05B5"/>
    <w:rsid w:val="00AF2509"/>
    <w:rsid w:val="00AF6634"/>
    <w:rsid w:val="00B01922"/>
    <w:rsid w:val="00B049F0"/>
    <w:rsid w:val="00B1005E"/>
    <w:rsid w:val="00B17407"/>
    <w:rsid w:val="00B21579"/>
    <w:rsid w:val="00B22145"/>
    <w:rsid w:val="00B23CC6"/>
    <w:rsid w:val="00B34B16"/>
    <w:rsid w:val="00B40A7D"/>
    <w:rsid w:val="00B41371"/>
    <w:rsid w:val="00B4140A"/>
    <w:rsid w:val="00B418A0"/>
    <w:rsid w:val="00B43EC1"/>
    <w:rsid w:val="00B464C0"/>
    <w:rsid w:val="00B47BD9"/>
    <w:rsid w:val="00B550C0"/>
    <w:rsid w:val="00B61A01"/>
    <w:rsid w:val="00B76555"/>
    <w:rsid w:val="00B87233"/>
    <w:rsid w:val="00B94449"/>
    <w:rsid w:val="00B9521F"/>
    <w:rsid w:val="00BA053F"/>
    <w:rsid w:val="00BA0687"/>
    <w:rsid w:val="00BC0D42"/>
    <w:rsid w:val="00BC2AC1"/>
    <w:rsid w:val="00C00F6D"/>
    <w:rsid w:val="00C02BC7"/>
    <w:rsid w:val="00C15A91"/>
    <w:rsid w:val="00C163A7"/>
    <w:rsid w:val="00C23623"/>
    <w:rsid w:val="00C32DD1"/>
    <w:rsid w:val="00C4251E"/>
    <w:rsid w:val="00C47D24"/>
    <w:rsid w:val="00C55379"/>
    <w:rsid w:val="00C613FC"/>
    <w:rsid w:val="00C61558"/>
    <w:rsid w:val="00C77F6B"/>
    <w:rsid w:val="00C80669"/>
    <w:rsid w:val="00C8772C"/>
    <w:rsid w:val="00C9203E"/>
    <w:rsid w:val="00CA0F7D"/>
    <w:rsid w:val="00CB6184"/>
    <w:rsid w:val="00CB7E50"/>
    <w:rsid w:val="00CD0179"/>
    <w:rsid w:val="00CD14A4"/>
    <w:rsid w:val="00CD198F"/>
    <w:rsid w:val="00CD7D92"/>
    <w:rsid w:val="00CE0D5D"/>
    <w:rsid w:val="00CE13D7"/>
    <w:rsid w:val="00CE4248"/>
    <w:rsid w:val="00CE79BB"/>
    <w:rsid w:val="00CF3AE0"/>
    <w:rsid w:val="00CF5B31"/>
    <w:rsid w:val="00CF5E76"/>
    <w:rsid w:val="00CF7A84"/>
    <w:rsid w:val="00D02BCB"/>
    <w:rsid w:val="00D13993"/>
    <w:rsid w:val="00D15C50"/>
    <w:rsid w:val="00D20174"/>
    <w:rsid w:val="00D224D7"/>
    <w:rsid w:val="00D25472"/>
    <w:rsid w:val="00D3068D"/>
    <w:rsid w:val="00D30F56"/>
    <w:rsid w:val="00D34F0E"/>
    <w:rsid w:val="00D3636E"/>
    <w:rsid w:val="00D36B97"/>
    <w:rsid w:val="00D40E41"/>
    <w:rsid w:val="00D44688"/>
    <w:rsid w:val="00D464FE"/>
    <w:rsid w:val="00D628E7"/>
    <w:rsid w:val="00D630BB"/>
    <w:rsid w:val="00D66D95"/>
    <w:rsid w:val="00D705A6"/>
    <w:rsid w:val="00D76E24"/>
    <w:rsid w:val="00D866CB"/>
    <w:rsid w:val="00D9668A"/>
    <w:rsid w:val="00DB2971"/>
    <w:rsid w:val="00DC68D9"/>
    <w:rsid w:val="00DD1B6E"/>
    <w:rsid w:val="00DD5883"/>
    <w:rsid w:val="00DD67BD"/>
    <w:rsid w:val="00DD7627"/>
    <w:rsid w:val="00DD7C1C"/>
    <w:rsid w:val="00DE0C67"/>
    <w:rsid w:val="00DE6891"/>
    <w:rsid w:val="00DE7486"/>
    <w:rsid w:val="00DF3B31"/>
    <w:rsid w:val="00DF6720"/>
    <w:rsid w:val="00E03917"/>
    <w:rsid w:val="00E05115"/>
    <w:rsid w:val="00E06976"/>
    <w:rsid w:val="00E0698B"/>
    <w:rsid w:val="00E14226"/>
    <w:rsid w:val="00E208D8"/>
    <w:rsid w:val="00E30115"/>
    <w:rsid w:val="00E324D1"/>
    <w:rsid w:val="00E36399"/>
    <w:rsid w:val="00E3753F"/>
    <w:rsid w:val="00E54047"/>
    <w:rsid w:val="00E65F00"/>
    <w:rsid w:val="00E81ECD"/>
    <w:rsid w:val="00E9793C"/>
    <w:rsid w:val="00EA063A"/>
    <w:rsid w:val="00EA4913"/>
    <w:rsid w:val="00EA5268"/>
    <w:rsid w:val="00EA54FF"/>
    <w:rsid w:val="00EB34A4"/>
    <w:rsid w:val="00ED0926"/>
    <w:rsid w:val="00ED32CE"/>
    <w:rsid w:val="00EE41FB"/>
    <w:rsid w:val="00EE6C2D"/>
    <w:rsid w:val="00EF6523"/>
    <w:rsid w:val="00F03706"/>
    <w:rsid w:val="00F108C0"/>
    <w:rsid w:val="00F1183B"/>
    <w:rsid w:val="00F125CF"/>
    <w:rsid w:val="00F14832"/>
    <w:rsid w:val="00F21B75"/>
    <w:rsid w:val="00F254DF"/>
    <w:rsid w:val="00F27E2C"/>
    <w:rsid w:val="00F27F0D"/>
    <w:rsid w:val="00F3224E"/>
    <w:rsid w:val="00F463AD"/>
    <w:rsid w:val="00F47C64"/>
    <w:rsid w:val="00F54CE3"/>
    <w:rsid w:val="00F57246"/>
    <w:rsid w:val="00F61950"/>
    <w:rsid w:val="00F62B94"/>
    <w:rsid w:val="00F62F57"/>
    <w:rsid w:val="00F6383B"/>
    <w:rsid w:val="00F7273B"/>
    <w:rsid w:val="00F75865"/>
    <w:rsid w:val="00F76853"/>
    <w:rsid w:val="00F81461"/>
    <w:rsid w:val="00F83366"/>
    <w:rsid w:val="00F860D4"/>
    <w:rsid w:val="00F93C52"/>
    <w:rsid w:val="00FA1B9D"/>
    <w:rsid w:val="00FB1079"/>
    <w:rsid w:val="00FB1CF5"/>
    <w:rsid w:val="00FB24DF"/>
    <w:rsid w:val="00FC1D2D"/>
    <w:rsid w:val="00FC2133"/>
    <w:rsid w:val="00FF13B9"/>
    <w:rsid w:val="00FF163E"/>
    <w:rsid w:val="00FF5F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66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 w:type="paragraph" w:styleId="Bibliography">
    <w:name w:val="Bibliography"/>
    <w:basedOn w:val="Normal"/>
    <w:next w:val="Normal"/>
    <w:uiPriority w:val="37"/>
    <w:unhideWhenUsed/>
    <w:rsid w:val="00821051"/>
    <w:pPr>
      <w:spacing w:after="240" w:line="240" w:lineRule="auto"/>
      <w:ind w:left="720" w:hanging="720"/>
    </w:pPr>
  </w:style>
  <w:style w:type="paragraph" w:styleId="Revision">
    <w:name w:val="Revision"/>
    <w:hidden/>
    <w:uiPriority w:val="99"/>
    <w:semiHidden/>
    <w:rsid w:val="005035C7"/>
    <w:rPr>
      <w:rFonts w:eastAsiaTheme="minorEastAsia"/>
      <w:lang w:eastAsia="en-AU"/>
    </w:rPr>
  </w:style>
  <w:style w:type="character" w:customStyle="1" w:styleId="UnresolvedMention">
    <w:name w:val="Unresolved Mention"/>
    <w:basedOn w:val="DefaultParagraphFont"/>
    <w:uiPriority w:val="99"/>
    <w:semiHidden/>
    <w:unhideWhenUsed/>
    <w:rsid w:val="00923C1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lsdException w:name="heading 3" w:uiPriority="0"/>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Date/Address"/>
    <w:qFormat/>
    <w:rsid w:val="00353C27"/>
    <w:pPr>
      <w:spacing w:after="200" w:line="276" w:lineRule="auto"/>
    </w:pPr>
    <w:rPr>
      <w:rFonts w:eastAsiaTheme="minorEastAsia"/>
      <w:lang w:eastAsia="en-AU"/>
    </w:rPr>
  </w:style>
  <w:style w:type="paragraph" w:styleId="Heading1">
    <w:name w:val="heading 1"/>
    <w:basedOn w:val="Normal"/>
    <w:next w:val="Normal"/>
    <w:link w:val="Heading1Char"/>
    <w:uiPriority w:val="9"/>
    <w:rsid w:val="008F7E90"/>
    <w:pPr>
      <w:keepNext/>
      <w:keepLines/>
      <w:spacing w:before="480" w:after="0" w:line="240" w:lineRule="auto"/>
      <w:outlineLvl w:val="0"/>
    </w:pPr>
    <w:rPr>
      <w:rFonts w:eastAsiaTheme="majorEastAsia" w:cstheme="majorBidi"/>
      <w:b/>
      <w:bCs/>
      <w:caps/>
      <w:sz w:val="44"/>
      <w:szCs w:val="28"/>
      <w:lang w:val="en-GB" w:eastAsia="en-US"/>
    </w:rPr>
  </w:style>
  <w:style w:type="paragraph" w:styleId="Heading2">
    <w:name w:val="heading 2"/>
    <w:basedOn w:val="Normal"/>
    <w:next w:val="Normal"/>
    <w:link w:val="Heading2Char"/>
    <w:rsid w:val="008F7E90"/>
    <w:pPr>
      <w:keepNext/>
      <w:spacing w:after="120" w:line="240" w:lineRule="auto"/>
      <w:outlineLvl w:val="1"/>
    </w:pPr>
    <w:rPr>
      <w:rFonts w:eastAsia="Times New Roman" w:cs="Times New Roman"/>
      <w:b/>
      <w:bCs/>
      <w:iCs/>
      <w:sz w:val="36"/>
      <w:szCs w:val="24"/>
      <w:lang w:val="en-US" w:eastAsia="en-US"/>
    </w:rPr>
  </w:style>
  <w:style w:type="paragraph" w:styleId="Heading3">
    <w:name w:val="heading 3"/>
    <w:basedOn w:val="Normal"/>
    <w:next w:val="Normal"/>
    <w:link w:val="Heading3Char"/>
    <w:rsid w:val="008F7E90"/>
    <w:pPr>
      <w:keepNext/>
      <w:spacing w:after="0" w:line="240" w:lineRule="auto"/>
      <w:outlineLvl w:val="2"/>
    </w:pPr>
    <w:rPr>
      <w:rFonts w:eastAsia="Times New Roman" w:cs="Times New Roman"/>
      <w:b/>
      <w:bCs/>
      <w:iCs/>
      <w:sz w:val="28"/>
      <w:szCs w:val="24"/>
      <w:lang w:val="en-US" w:eastAsia="en-US"/>
    </w:rPr>
  </w:style>
  <w:style w:type="paragraph" w:styleId="Heading4">
    <w:name w:val="heading 4"/>
    <w:basedOn w:val="Normal"/>
    <w:next w:val="Normal"/>
    <w:link w:val="Heading4Char"/>
    <w:uiPriority w:val="9"/>
    <w:unhideWhenUsed/>
    <w:rsid w:val="008F7E90"/>
    <w:pPr>
      <w:keepNext/>
      <w:keepLines/>
      <w:spacing w:before="120" w:after="0" w:line="240" w:lineRule="auto"/>
      <w:outlineLvl w:val="3"/>
    </w:pPr>
    <w:rPr>
      <w:rFonts w:eastAsiaTheme="majorEastAsia" w:cstheme="majorBidi"/>
      <w:bCs/>
      <w:iCs/>
      <w:sz w:val="24"/>
      <w:lang w:val="en-GB" w:eastAsia="en-US"/>
    </w:rPr>
  </w:style>
  <w:style w:type="paragraph" w:styleId="Heading5">
    <w:name w:val="heading 5"/>
    <w:basedOn w:val="Normal"/>
    <w:next w:val="Normal"/>
    <w:link w:val="Heading5Char"/>
    <w:uiPriority w:val="9"/>
    <w:unhideWhenUsed/>
    <w:rsid w:val="008F7E90"/>
    <w:pPr>
      <w:keepNext/>
      <w:keepLines/>
      <w:spacing w:before="200" w:after="0" w:line="240" w:lineRule="auto"/>
      <w:outlineLvl w:val="4"/>
    </w:pPr>
    <w:rPr>
      <w:rFonts w:eastAsiaTheme="majorEastAsia" w:cstheme="majorBidi"/>
      <w:u w:val="single"/>
      <w:lang w:val="en-GB" w:eastAsia="en-US"/>
    </w:rPr>
  </w:style>
  <w:style w:type="paragraph" w:styleId="Heading6">
    <w:name w:val="heading 6"/>
    <w:basedOn w:val="Normal"/>
    <w:next w:val="Normal"/>
    <w:link w:val="Heading6Char"/>
    <w:uiPriority w:val="9"/>
    <w:unhideWhenUsed/>
    <w:rsid w:val="008F7E90"/>
    <w:pPr>
      <w:keepNext/>
      <w:keepLines/>
      <w:spacing w:before="200" w:after="0" w:line="240" w:lineRule="auto"/>
      <w:outlineLvl w:val="5"/>
    </w:pPr>
    <w:rPr>
      <w:rFonts w:eastAsiaTheme="majorEastAsia" w:cstheme="majorBidi"/>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E90"/>
    <w:rPr>
      <w:rFonts w:eastAsiaTheme="majorEastAsia" w:cstheme="majorBidi"/>
      <w:b/>
      <w:bCs/>
      <w:caps/>
      <w:sz w:val="44"/>
      <w:szCs w:val="28"/>
      <w:lang w:val="en-GB"/>
    </w:rPr>
  </w:style>
  <w:style w:type="character" w:customStyle="1" w:styleId="Heading2Char">
    <w:name w:val="Heading 2 Char"/>
    <w:basedOn w:val="DefaultParagraphFont"/>
    <w:link w:val="Heading2"/>
    <w:rsid w:val="008F7E90"/>
    <w:rPr>
      <w:rFonts w:eastAsia="Times New Roman" w:cs="Times New Roman"/>
      <w:b/>
      <w:bCs/>
      <w:iCs/>
      <w:sz w:val="36"/>
      <w:szCs w:val="24"/>
      <w:lang w:val="en-US"/>
    </w:rPr>
  </w:style>
  <w:style w:type="character" w:customStyle="1" w:styleId="Heading3Char">
    <w:name w:val="Heading 3 Char"/>
    <w:basedOn w:val="DefaultParagraphFont"/>
    <w:link w:val="Heading3"/>
    <w:rsid w:val="008F7E90"/>
    <w:rPr>
      <w:rFonts w:eastAsia="Times New Roman" w:cs="Times New Roman"/>
      <w:b/>
      <w:bCs/>
      <w:iCs/>
      <w:sz w:val="28"/>
      <w:szCs w:val="24"/>
      <w:lang w:val="en-US"/>
    </w:rPr>
  </w:style>
  <w:style w:type="character" w:customStyle="1" w:styleId="Heading4Char">
    <w:name w:val="Heading 4 Char"/>
    <w:basedOn w:val="DefaultParagraphFont"/>
    <w:link w:val="Heading4"/>
    <w:uiPriority w:val="9"/>
    <w:rsid w:val="008F7E90"/>
    <w:rPr>
      <w:rFonts w:eastAsiaTheme="majorEastAsia" w:cstheme="majorBidi"/>
      <w:bCs/>
      <w:iCs/>
      <w:sz w:val="24"/>
      <w:lang w:val="en-GB"/>
    </w:rPr>
  </w:style>
  <w:style w:type="character" w:customStyle="1" w:styleId="Heading5Char">
    <w:name w:val="Heading 5 Char"/>
    <w:basedOn w:val="DefaultParagraphFont"/>
    <w:link w:val="Heading5"/>
    <w:uiPriority w:val="9"/>
    <w:rsid w:val="008F7E90"/>
    <w:rPr>
      <w:rFonts w:eastAsiaTheme="majorEastAsia" w:cstheme="majorBidi"/>
      <w:u w:val="single"/>
      <w:lang w:val="en-GB"/>
    </w:rPr>
  </w:style>
  <w:style w:type="character" w:customStyle="1" w:styleId="Heading6Char">
    <w:name w:val="Heading 6 Char"/>
    <w:basedOn w:val="DefaultParagraphFont"/>
    <w:link w:val="Heading6"/>
    <w:uiPriority w:val="9"/>
    <w:rsid w:val="008F7E90"/>
    <w:rPr>
      <w:rFonts w:eastAsiaTheme="majorEastAsia" w:cstheme="majorBidi"/>
      <w:i/>
      <w:iCs/>
      <w:lang w:val="en-GB"/>
    </w:rPr>
  </w:style>
  <w:style w:type="paragraph" w:customStyle="1" w:styleId="Normal0">
    <w:name w:val="[Normal]"/>
    <w:uiPriority w:val="99"/>
    <w:rsid w:val="008F7E90"/>
    <w:pPr>
      <w:widowControl w:val="0"/>
      <w:autoSpaceDE w:val="0"/>
      <w:autoSpaceDN w:val="0"/>
      <w:adjustRightInd w:val="0"/>
    </w:pPr>
    <w:rPr>
      <w:rFonts w:ascii="Arial" w:hAnsi="Arial" w:cs="Arial"/>
      <w:sz w:val="24"/>
      <w:szCs w:val="24"/>
    </w:rPr>
  </w:style>
  <w:style w:type="character" w:customStyle="1" w:styleId="DHSText10ptChar">
    <w:name w:val="DHS Text 10pt Char"/>
    <w:uiPriority w:val="99"/>
    <w:rsid w:val="008F7E90"/>
    <w:rPr>
      <w:rFonts w:ascii="Verdana" w:hAnsi="Verdana"/>
      <w:lang w:val="en-AU" w:eastAsia="en-US"/>
    </w:rPr>
  </w:style>
  <w:style w:type="character" w:customStyle="1" w:styleId="notranslate">
    <w:name w:val="notranslate"/>
    <w:basedOn w:val="DefaultParagraphFont"/>
    <w:rsid w:val="008F7E90"/>
  </w:style>
  <w:style w:type="paragraph" w:customStyle="1" w:styleId="LineLast">
    <w:name w:val="Line Last"/>
    <w:basedOn w:val="Normal"/>
    <w:rsid w:val="008F7E90"/>
    <w:pPr>
      <w:tabs>
        <w:tab w:val="left" w:leader="underscore" w:pos="8640"/>
      </w:tabs>
      <w:spacing w:before="60" w:after="360" w:line="240" w:lineRule="auto"/>
    </w:pPr>
    <w:rPr>
      <w:rFonts w:ascii="Tahoma" w:eastAsia="Times New Roman" w:hAnsi="Tahoma" w:cs="Times New Roman"/>
      <w:sz w:val="20"/>
      <w:szCs w:val="24"/>
      <w:lang w:val="en-US" w:eastAsia="en-US"/>
    </w:rPr>
  </w:style>
  <w:style w:type="paragraph" w:customStyle="1" w:styleId="SurveyquestionforLines">
    <w:name w:val="Survey question for Lines"/>
    <w:basedOn w:val="Normal"/>
    <w:rsid w:val="008F7E90"/>
    <w:pPr>
      <w:keepNext/>
      <w:spacing w:before="320" w:after="0" w:line="240" w:lineRule="auto"/>
    </w:pPr>
    <w:rPr>
      <w:rFonts w:ascii="Tahoma" w:eastAsia="Times New Roman" w:hAnsi="Tahoma" w:cs="Times New Roman"/>
      <w:b/>
      <w:sz w:val="20"/>
      <w:szCs w:val="24"/>
      <w:lang w:val="en-US" w:eastAsia="en-US"/>
    </w:rPr>
  </w:style>
  <w:style w:type="paragraph" w:customStyle="1" w:styleId="Line">
    <w:name w:val="Line"/>
    <w:basedOn w:val="Normal"/>
    <w:rsid w:val="008F7E90"/>
    <w:pPr>
      <w:tabs>
        <w:tab w:val="left" w:leader="underscore" w:pos="8640"/>
      </w:tabs>
      <w:spacing w:before="60" w:after="0" w:line="240" w:lineRule="auto"/>
    </w:pPr>
    <w:rPr>
      <w:rFonts w:ascii="Tahoma" w:eastAsia="Times New Roman" w:hAnsi="Tahoma" w:cs="Times New Roman"/>
      <w:sz w:val="20"/>
      <w:szCs w:val="24"/>
      <w:lang w:val="en-US" w:eastAsia="en-US"/>
    </w:rPr>
  </w:style>
  <w:style w:type="paragraph" w:customStyle="1" w:styleId="Thankyou">
    <w:name w:val="Thankyou"/>
    <w:basedOn w:val="Normal"/>
    <w:rsid w:val="008F7E90"/>
    <w:pPr>
      <w:keepNext/>
      <w:spacing w:before="240" w:after="0" w:line="240" w:lineRule="auto"/>
      <w:jc w:val="center"/>
    </w:pPr>
    <w:rPr>
      <w:rFonts w:ascii="Tahoma" w:eastAsia="Times New Roman" w:hAnsi="Tahoma" w:cs="Times New Roman"/>
      <w:sz w:val="20"/>
      <w:szCs w:val="24"/>
      <w:lang w:val="en-US" w:eastAsia="en-US"/>
    </w:rPr>
  </w:style>
  <w:style w:type="character" w:customStyle="1" w:styleId="maintitle">
    <w:name w:val="maintitle"/>
    <w:basedOn w:val="DefaultParagraphFont"/>
    <w:rsid w:val="008F7E90"/>
  </w:style>
  <w:style w:type="paragraph" w:customStyle="1" w:styleId="Tablecell">
    <w:name w:val="Table cell"/>
    <w:basedOn w:val="Header"/>
    <w:rsid w:val="008F7E90"/>
    <w:pPr>
      <w:keepLines/>
      <w:tabs>
        <w:tab w:val="clear" w:pos="4513"/>
        <w:tab w:val="clear" w:pos="9026"/>
      </w:tabs>
      <w:suppressAutoHyphens/>
      <w:spacing w:before="40" w:after="40"/>
    </w:pPr>
    <w:rPr>
      <w:rFonts w:ascii="Arial" w:eastAsia="Times New Roman" w:hAnsi="Arial" w:cs="Arial"/>
      <w:sz w:val="16"/>
      <w:szCs w:val="20"/>
      <w:lang w:val="en-US"/>
    </w:rPr>
  </w:style>
  <w:style w:type="paragraph" w:styleId="Header">
    <w:name w:val="header"/>
    <w:basedOn w:val="Normal"/>
    <w:link w:val="Head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HeaderChar">
    <w:name w:val="Header Char"/>
    <w:basedOn w:val="DefaultParagraphFont"/>
    <w:link w:val="Header"/>
    <w:uiPriority w:val="99"/>
    <w:rsid w:val="008F7E90"/>
    <w:rPr>
      <w:lang w:val="en-GB"/>
    </w:rPr>
  </w:style>
  <w:style w:type="paragraph" w:styleId="TOC1">
    <w:name w:val="toc 1"/>
    <w:basedOn w:val="Normal"/>
    <w:next w:val="Normal"/>
    <w:autoRedefine/>
    <w:uiPriority w:val="39"/>
    <w:unhideWhenUsed/>
    <w:rsid w:val="008F7E90"/>
    <w:pPr>
      <w:spacing w:after="100" w:line="240" w:lineRule="auto"/>
    </w:pPr>
    <w:rPr>
      <w:rFonts w:eastAsiaTheme="minorHAnsi"/>
      <w:lang w:val="en-GB" w:eastAsia="en-US"/>
    </w:rPr>
  </w:style>
  <w:style w:type="paragraph" w:styleId="TOC2">
    <w:name w:val="toc 2"/>
    <w:basedOn w:val="Normal"/>
    <w:next w:val="Normal"/>
    <w:autoRedefine/>
    <w:uiPriority w:val="39"/>
    <w:unhideWhenUsed/>
    <w:rsid w:val="008F7E90"/>
    <w:pPr>
      <w:spacing w:after="100" w:line="240" w:lineRule="auto"/>
      <w:ind w:left="220"/>
    </w:pPr>
    <w:rPr>
      <w:rFonts w:eastAsiaTheme="minorHAnsi"/>
      <w:lang w:val="en-GB" w:eastAsia="en-US"/>
    </w:rPr>
  </w:style>
  <w:style w:type="paragraph" w:styleId="TOC3">
    <w:name w:val="toc 3"/>
    <w:basedOn w:val="Normal"/>
    <w:next w:val="Normal"/>
    <w:autoRedefine/>
    <w:uiPriority w:val="39"/>
    <w:unhideWhenUsed/>
    <w:rsid w:val="008F7E90"/>
    <w:pPr>
      <w:spacing w:after="100" w:line="240" w:lineRule="auto"/>
      <w:ind w:left="440"/>
    </w:pPr>
    <w:rPr>
      <w:rFonts w:eastAsiaTheme="minorHAnsi"/>
      <w:lang w:val="en-GB" w:eastAsia="en-US"/>
    </w:rPr>
  </w:style>
  <w:style w:type="paragraph" w:styleId="TOC4">
    <w:name w:val="toc 4"/>
    <w:basedOn w:val="Normal"/>
    <w:next w:val="Normal"/>
    <w:autoRedefine/>
    <w:uiPriority w:val="39"/>
    <w:unhideWhenUsed/>
    <w:rsid w:val="008F7E90"/>
    <w:pPr>
      <w:spacing w:after="100" w:line="240" w:lineRule="auto"/>
      <w:ind w:left="660"/>
    </w:pPr>
    <w:rPr>
      <w:rFonts w:eastAsiaTheme="minorHAnsi"/>
      <w:lang w:val="en-GB" w:eastAsia="en-US"/>
    </w:rPr>
  </w:style>
  <w:style w:type="paragraph" w:styleId="FootnoteText">
    <w:name w:val="footnote text"/>
    <w:basedOn w:val="Normal"/>
    <w:link w:val="FootnoteTextChar"/>
    <w:uiPriority w:val="99"/>
    <w:unhideWhenUsed/>
    <w:rsid w:val="008F7E90"/>
    <w:pPr>
      <w:spacing w:after="0" w:line="240" w:lineRule="auto"/>
    </w:pPr>
    <w:rPr>
      <w:rFonts w:eastAsiaTheme="minorHAnsi"/>
      <w:sz w:val="20"/>
      <w:szCs w:val="20"/>
      <w:lang w:val="en-GB" w:eastAsia="en-US"/>
    </w:rPr>
  </w:style>
  <w:style w:type="character" w:customStyle="1" w:styleId="FootnoteTextChar">
    <w:name w:val="Footnote Text Char"/>
    <w:basedOn w:val="DefaultParagraphFont"/>
    <w:link w:val="FootnoteText"/>
    <w:uiPriority w:val="99"/>
    <w:rsid w:val="008F7E90"/>
    <w:rPr>
      <w:sz w:val="20"/>
      <w:szCs w:val="20"/>
      <w:lang w:val="en-GB"/>
    </w:rPr>
  </w:style>
  <w:style w:type="paragraph" w:styleId="CommentText">
    <w:name w:val="annotation text"/>
    <w:basedOn w:val="Normal"/>
    <w:link w:val="CommentTextChar"/>
    <w:uiPriority w:val="99"/>
    <w:unhideWhenUsed/>
    <w:rsid w:val="008F7E90"/>
    <w:pPr>
      <w:spacing w:after="0" w:line="240" w:lineRule="auto"/>
    </w:pPr>
    <w:rPr>
      <w:rFonts w:eastAsiaTheme="minorHAnsi"/>
      <w:sz w:val="20"/>
      <w:szCs w:val="20"/>
      <w:lang w:val="en-GB" w:eastAsia="en-US"/>
    </w:rPr>
  </w:style>
  <w:style w:type="character" w:customStyle="1" w:styleId="CommentTextChar">
    <w:name w:val="Comment Text Char"/>
    <w:basedOn w:val="DefaultParagraphFont"/>
    <w:link w:val="CommentText"/>
    <w:uiPriority w:val="99"/>
    <w:rsid w:val="008F7E90"/>
    <w:rPr>
      <w:sz w:val="20"/>
      <w:szCs w:val="20"/>
      <w:lang w:val="en-GB"/>
    </w:rPr>
  </w:style>
  <w:style w:type="paragraph" w:styleId="Footer">
    <w:name w:val="footer"/>
    <w:basedOn w:val="Normal"/>
    <w:link w:val="FooterChar"/>
    <w:uiPriority w:val="99"/>
    <w:unhideWhenUsed/>
    <w:rsid w:val="008F7E90"/>
    <w:pPr>
      <w:tabs>
        <w:tab w:val="center" w:pos="4513"/>
        <w:tab w:val="right" w:pos="9026"/>
      </w:tabs>
      <w:spacing w:after="0" w:line="240" w:lineRule="auto"/>
    </w:pPr>
    <w:rPr>
      <w:rFonts w:eastAsiaTheme="minorHAnsi"/>
      <w:lang w:val="en-GB" w:eastAsia="en-US"/>
    </w:rPr>
  </w:style>
  <w:style w:type="character" w:customStyle="1" w:styleId="FooterChar">
    <w:name w:val="Footer Char"/>
    <w:basedOn w:val="DefaultParagraphFont"/>
    <w:link w:val="Footer"/>
    <w:uiPriority w:val="99"/>
    <w:rsid w:val="008F7E90"/>
    <w:rPr>
      <w:lang w:val="en-GB"/>
    </w:rPr>
  </w:style>
  <w:style w:type="paragraph" w:styleId="Caption">
    <w:name w:val="caption"/>
    <w:basedOn w:val="Normal"/>
    <w:next w:val="Normal"/>
    <w:uiPriority w:val="35"/>
    <w:unhideWhenUsed/>
    <w:rsid w:val="008F7E90"/>
    <w:pPr>
      <w:spacing w:line="240" w:lineRule="auto"/>
    </w:pPr>
    <w:rPr>
      <w:rFonts w:eastAsiaTheme="minorHAnsi"/>
      <w:b/>
      <w:bCs/>
      <w:color w:val="4F81BD" w:themeColor="accent1"/>
      <w:sz w:val="18"/>
      <w:szCs w:val="18"/>
      <w:lang w:val="en-GB" w:eastAsia="en-US"/>
    </w:rPr>
  </w:style>
  <w:style w:type="character" w:styleId="FootnoteReference">
    <w:name w:val="footnote reference"/>
    <w:basedOn w:val="DefaultParagraphFont"/>
    <w:uiPriority w:val="99"/>
    <w:semiHidden/>
    <w:unhideWhenUsed/>
    <w:rsid w:val="008F7E90"/>
    <w:rPr>
      <w:vertAlign w:val="superscript"/>
    </w:rPr>
  </w:style>
  <w:style w:type="character" w:styleId="CommentReference">
    <w:name w:val="annotation reference"/>
    <w:basedOn w:val="DefaultParagraphFont"/>
    <w:uiPriority w:val="99"/>
    <w:semiHidden/>
    <w:unhideWhenUsed/>
    <w:rsid w:val="008F7E90"/>
    <w:rPr>
      <w:sz w:val="16"/>
      <w:szCs w:val="16"/>
    </w:rPr>
  </w:style>
  <w:style w:type="character" w:styleId="EndnoteReference">
    <w:name w:val="endnote reference"/>
    <w:basedOn w:val="DefaultParagraphFont"/>
    <w:uiPriority w:val="99"/>
    <w:semiHidden/>
    <w:unhideWhenUsed/>
    <w:rsid w:val="008F7E90"/>
    <w:rPr>
      <w:vertAlign w:val="superscript"/>
    </w:rPr>
  </w:style>
  <w:style w:type="paragraph" w:styleId="EndnoteText">
    <w:name w:val="endnote text"/>
    <w:basedOn w:val="Normal"/>
    <w:link w:val="EndnoteTextChar"/>
    <w:uiPriority w:val="99"/>
    <w:semiHidden/>
    <w:unhideWhenUsed/>
    <w:rsid w:val="008F7E90"/>
    <w:pPr>
      <w:spacing w:after="0" w:line="240" w:lineRule="auto"/>
    </w:pPr>
    <w:rPr>
      <w:rFonts w:eastAsiaTheme="minorHAnsi"/>
      <w:sz w:val="20"/>
      <w:szCs w:val="20"/>
      <w:lang w:val="en-GB" w:eastAsia="en-US"/>
    </w:rPr>
  </w:style>
  <w:style w:type="character" w:customStyle="1" w:styleId="EndnoteTextChar">
    <w:name w:val="Endnote Text Char"/>
    <w:basedOn w:val="DefaultParagraphFont"/>
    <w:link w:val="EndnoteText"/>
    <w:uiPriority w:val="99"/>
    <w:semiHidden/>
    <w:rsid w:val="008F7E90"/>
    <w:rPr>
      <w:sz w:val="20"/>
      <w:szCs w:val="20"/>
      <w:lang w:val="en-GB"/>
    </w:rPr>
  </w:style>
  <w:style w:type="paragraph" w:styleId="Title">
    <w:name w:val="Title"/>
    <w:basedOn w:val="Normal"/>
    <w:next w:val="Normal"/>
    <w:link w:val="TitleChar"/>
    <w:rsid w:val="008F7E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GB" w:eastAsia="en-US"/>
    </w:rPr>
  </w:style>
  <w:style w:type="character" w:customStyle="1" w:styleId="TitleChar">
    <w:name w:val="Title Char"/>
    <w:basedOn w:val="DefaultParagraphFont"/>
    <w:link w:val="Title"/>
    <w:rsid w:val="008F7E90"/>
    <w:rPr>
      <w:rFonts w:asciiTheme="majorHAnsi" w:eastAsiaTheme="majorEastAsia" w:hAnsiTheme="majorHAnsi" w:cstheme="majorBidi"/>
      <w:color w:val="17365D" w:themeColor="text2" w:themeShade="BF"/>
      <w:spacing w:val="5"/>
      <w:kern w:val="28"/>
      <w:sz w:val="52"/>
      <w:szCs w:val="52"/>
      <w:lang w:val="en-GB"/>
    </w:rPr>
  </w:style>
  <w:style w:type="paragraph" w:styleId="BodyText">
    <w:name w:val="Body Text"/>
    <w:basedOn w:val="Normal"/>
    <w:link w:val="BodyTextChar"/>
    <w:rsid w:val="008F7E90"/>
    <w:pPr>
      <w:spacing w:after="0" w:line="240" w:lineRule="auto"/>
    </w:pPr>
    <w:rPr>
      <w:rFonts w:ascii="Times New Roman" w:eastAsia="Times New Roman" w:hAnsi="Times New Roman" w:cs="Times New Roman"/>
      <w:szCs w:val="24"/>
      <w:lang w:val="en-US" w:eastAsia="en-US"/>
    </w:rPr>
  </w:style>
  <w:style w:type="character" w:customStyle="1" w:styleId="BodyTextChar">
    <w:name w:val="Body Text Char"/>
    <w:basedOn w:val="DefaultParagraphFont"/>
    <w:link w:val="BodyText"/>
    <w:rsid w:val="008F7E90"/>
    <w:rPr>
      <w:rFonts w:ascii="Times New Roman" w:eastAsia="Times New Roman" w:hAnsi="Times New Roman" w:cs="Times New Roman"/>
      <w:szCs w:val="24"/>
      <w:lang w:val="en-US"/>
    </w:rPr>
  </w:style>
  <w:style w:type="character" w:styleId="Hyperlink">
    <w:name w:val="Hyperlink"/>
    <w:basedOn w:val="DefaultParagraphFont"/>
    <w:uiPriority w:val="99"/>
    <w:unhideWhenUsed/>
    <w:rsid w:val="008F7E90"/>
    <w:rPr>
      <w:color w:val="0000FF" w:themeColor="hyperlink"/>
      <w:u w:val="single"/>
    </w:rPr>
  </w:style>
  <w:style w:type="character" w:styleId="Strong">
    <w:name w:val="Strong"/>
    <w:basedOn w:val="DefaultParagraphFont"/>
    <w:uiPriority w:val="22"/>
    <w:rsid w:val="008F7E90"/>
    <w:rPr>
      <w:b/>
      <w:bCs/>
    </w:rPr>
  </w:style>
  <w:style w:type="paragraph" w:styleId="NormalWeb">
    <w:name w:val="Normal (Web)"/>
    <w:basedOn w:val="Normal"/>
    <w:uiPriority w:val="99"/>
    <w:unhideWhenUsed/>
    <w:rsid w:val="008F7E90"/>
    <w:pPr>
      <w:spacing w:before="140" w:after="140" w:line="240" w:lineRule="auto"/>
    </w:pPr>
    <w:rPr>
      <w:rFonts w:ascii="Trebuchet MS" w:eastAsia="Times New Roman" w:hAnsi="Trebuchet MS" w:cs="Times New Roman"/>
      <w:sz w:val="24"/>
      <w:szCs w:val="24"/>
    </w:rPr>
  </w:style>
  <w:style w:type="paragraph" w:styleId="CommentSubject">
    <w:name w:val="annotation subject"/>
    <w:basedOn w:val="CommentText"/>
    <w:next w:val="CommentText"/>
    <w:link w:val="CommentSubjectChar"/>
    <w:uiPriority w:val="99"/>
    <w:semiHidden/>
    <w:unhideWhenUsed/>
    <w:rsid w:val="008F7E90"/>
    <w:rPr>
      <w:b/>
      <w:bCs/>
    </w:rPr>
  </w:style>
  <w:style w:type="character" w:customStyle="1" w:styleId="CommentSubjectChar">
    <w:name w:val="Comment Subject Char"/>
    <w:basedOn w:val="CommentTextChar"/>
    <w:link w:val="CommentSubject"/>
    <w:uiPriority w:val="99"/>
    <w:semiHidden/>
    <w:rsid w:val="008F7E90"/>
    <w:rPr>
      <w:b/>
      <w:bCs/>
      <w:sz w:val="20"/>
      <w:szCs w:val="20"/>
      <w:lang w:val="en-GB"/>
    </w:rPr>
  </w:style>
  <w:style w:type="paragraph" w:styleId="BalloonText">
    <w:name w:val="Balloon Text"/>
    <w:basedOn w:val="Normal"/>
    <w:link w:val="BalloonTextChar"/>
    <w:uiPriority w:val="99"/>
    <w:semiHidden/>
    <w:unhideWhenUsed/>
    <w:rsid w:val="008F7E90"/>
    <w:pPr>
      <w:spacing w:after="0" w:line="240" w:lineRule="auto"/>
    </w:pPr>
    <w:rPr>
      <w:rFonts w:ascii="Tahoma" w:eastAsiaTheme="minorHAnsi" w:hAnsi="Tahoma" w:cs="Tahoma"/>
      <w:sz w:val="16"/>
      <w:szCs w:val="16"/>
      <w:lang w:val="en-GB" w:eastAsia="en-US"/>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lang w:val="en-GB"/>
    </w:rPr>
  </w:style>
  <w:style w:type="table" w:styleId="TableGrid">
    <w:name w:val="Table Grid"/>
    <w:basedOn w:val="TableNormal"/>
    <w:uiPriority w:val="59"/>
    <w:rsid w:val="008F7E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7E90"/>
    <w:pPr>
      <w:spacing w:after="0" w:line="240" w:lineRule="auto"/>
      <w:ind w:left="720"/>
      <w:contextualSpacing/>
    </w:pPr>
    <w:rPr>
      <w:rFonts w:eastAsiaTheme="minorHAnsi"/>
      <w:lang w:val="en-GB" w:eastAsia="en-US"/>
    </w:rPr>
  </w:style>
  <w:style w:type="paragraph" w:styleId="TOCHeading">
    <w:name w:val="TOC Heading"/>
    <w:basedOn w:val="Heading1"/>
    <w:next w:val="Normal"/>
    <w:uiPriority w:val="39"/>
    <w:semiHidden/>
    <w:unhideWhenUsed/>
    <w:qFormat/>
    <w:rsid w:val="00353C27"/>
    <w:pPr>
      <w:spacing w:line="276" w:lineRule="auto"/>
      <w:outlineLvl w:val="9"/>
    </w:pPr>
    <w:rPr>
      <w:lang w:val="en-US"/>
    </w:rPr>
  </w:style>
  <w:style w:type="character" w:styleId="FollowedHyperlink">
    <w:name w:val="FollowedHyperlink"/>
    <w:basedOn w:val="DefaultParagraphFont"/>
    <w:uiPriority w:val="99"/>
    <w:semiHidden/>
    <w:unhideWhenUsed/>
    <w:rsid w:val="00E54047"/>
    <w:rPr>
      <w:color w:val="800080" w:themeColor="followedHyperlink"/>
      <w:u w:val="single"/>
    </w:rPr>
  </w:style>
  <w:style w:type="paragraph" w:styleId="NoSpacing">
    <w:name w:val="No Spacing"/>
    <w:rsid w:val="00084A5B"/>
    <w:rPr>
      <w:rFonts w:ascii="Arial" w:eastAsia="Calibri" w:hAnsi="Arial" w:cs="Times New Roman"/>
      <w:sz w:val="24"/>
    </w:rPr>
  </w:style>
  <w:style w:type="paragraph" w:customStyle="1" w:styleId="BodyText1">
    <w:name w:val="Body Text1"/>
    <w:basedOn w:val="Normal"/>
    <w:qFormat/>
    <w:rsid w:val="00353C27"/>
    <w:rPr>
      <w:rFonts w:ascii="Arial" w:eastAsia="Calibri" w:hAnsi="Arial" w:cs="Arial"/>
      <w:color w:val="000000"/>
      <w:lang w:eastAsia="en-US"/>
    </w:rPr>
  </w:style>
  <w:style w:type="paragraph" w:styleId="Bibliography">
    <w:name w:val="Bibliography"/>
    <w:basedOn w:val="Normal"/>
    <w:next w:val="Normal"/>
    <w:uiPriority w:val="37"/>
    <w:unhideWhenUsed/>
    <w:rsid w:val="00821051"/>
    <w:pPr>
      <w:spacing w:after="240" w:line="240" w:lineRule="auto"/>
      <w:ind w:left="720" w:hanging="720"/>
    </w:pPr>
  </w:style>
  <w:style w:type="paragraph" w:styleId="Revision">
    <w:name w:val="Revision"/>
    <w:hidden/>
    <w:uiPriority w:val="99"/>
    <w:semiHidden/>
    <w:rsid w:val="005035C7"/>
    <w:rPr>
      <w:rFonts w:eastAsiaTheme="minorEastAsia"/>
      <w:lang w:eastAsia="en-AU"/>
    </w:rPr>
  </w:style>
  <w:style w:type="character" w:customStyle="1" w:styleId="UnresolvedMention">
    <w:name w:val="Unresolved Mention"/>
    <w:basedOn w:val="DefaultParagraphFont"/>
    <w:uiPriority w:val="99"/>
    <w:semiHidden/>
    <w:unhideWhenUsed/>
    <w:rsid w:val="00923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7855">
      <w:bodyDiv w:val="1"/>
      <w:marLeft w:val="0"/>
      <w:marRight w:val="0"/>
      <w:marTop w:val="0"/>
      <w:marBottom w:val="0"/>
      <w:divBdr>
        <w:top w:val="none" w:sz="0" w:space="0" w:color="auto"/>
        <w:left w:val="none" w:sz="0" w:space="0" w:color="auto"/>
        <w:bottom w:val="none" w:sz="0" w:space="0" w:color="auto"/>
        <w:right w:val="none" w:sz="0" w:space="0" w:color="auto"/>
      </w:divBdr>
    </w:div>
    <w:div w:id="341933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CC-CDR@accc.gov.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69B58-D795-4EF7-894D-0AF4FEB1D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2597</Words>
  <Characters>14805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Gareth Downing</cp:lastModifiedBy>
  <cp:revision>2</cp:revision>
  <cp:lastPrinted>2012-12-11T06:08:00Z</cp:lastPrinted>
  <dcterms:created xsi:type="dcterms:W3CDTF">2018-10-15T22:58:00Z</dcterms:created>
  <dcterms:modified xsi:type="dcterms:W3CDTF">2018-10-15T22:58:00Z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zotero-version="5.0.55.1"&gt;&lt;session id="Vd1SKd9n"/&gt;&lt;style id="http://www.zotero.org/styles/harvard-university-of-technology-sydney" hasBibliography="1" bibliographyStyleHasBeenSet="1"/&gt;&lt;prefs&gt;&lt;pref name="fieldType" value="Field"/&gt;&lt;pr</vt:lpwstr>
  </property>
  <property fmtid="{D5CDD505-2E9C-101B-9397-08002B2CF9AE}" pid="3" name="ZOTERO_PREF_2">
    <vt:lpwstr>ef name="automaticJournalAbbreviations" value="true"/&gt;&lt;/prefs&gt;&lt;/data&gt;</vt:lpwstr>
  </property>
</Properties>
</file>