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DD1B6E" w:rsidRDefault="00F61F28" w:rsidP="00DD1B6E">
      <w:pPr>
        <w:spacing w:after="0"/>
        <w:rPr>
          <w:sz w:val="23"/>
          <w:szCs w:val="23"/>
        </w:rPr>
      </w:pPr>
      <w:r>
        <w:rPr>
          <w:sz w:val="23"/>
          <w:szCs w:val="23"/>
        </w:rPr>
        <w:lastRenderedPageBreak/>
        <w:t>3</w:t>
      </w:r>
      <w:r w:rsidR="00566528">
        <w:rPr>
          <w:sz w:val="23"/>
          <w:szCs w:val="23"/>
        </w:rPr>
        <w:t xml:space="preserve"> October 2014</w:t>
      </w:r>
    </w:p>
    <w:p w:rsidR="00DD1B6E" w:rsidRDefault="00DD1B6E" w:rsidP="00DD1B6E">
      <w:pPr>
        <w:spacing w:after="0"/>
        <w:rPr>
          <w:sz w:val="23"/>
          <w:szCs w:val="23"/>
        </w:rPr>
      </w:pPr>
    </w:p>
    <w:p w:rsidR="00104582" w:rsidRDefault="00104582" w:rsidP="00DD1B6E">
      <w:pPr>
        <w:spacing w:after="0"/>
        <w:rPr>
          <w:sz w:val="23"/>
          <w:szCs w:val="23"/>
        </w:rPr>
      </w:pPr>
    </w:p>
    <w:p w:rsidR="00F7444C" w:rsidRPr="008E5A6D" w:rsidRDefault="00F7444C" w:rsidP="00DD1B6E">
      <w:pPr>
        <w:spacing w:after="0"/>
        <w:rPr>
          <w:b/>
          <w:sz w:val="23"/>
          <w:szCs w:val="23"/>
        </w:rPr>
      </w:pPr>
      <w:r w:rsidRPr="008E5A6D">
        <w:rPr>
          <w:rFonts w:cstheme="minorHAnsi"/>
          <w:b/>
        </w:rPr>
        <w:t>Public Inquiry into final access determinations for fixed line services</w:t>
      </w:r>
      <w:r w:rsidRPr="008E5A6D">
        <w:rPr>
          <w:b/>
          <w:sz w:val="23"/>
          <w:szCs w:val="23"/>
        </w:rPr>
        <w:t xml:space="preserve"> </w:t>
      </w:r>
      <w:r w:rsidR="008E5A6D" w:rsidRPr="008E5A6D">
        <w:rPr>
          <w:b/>
          <w:sz w:val="23"/>
          <w:szCs w:val="23"/>
        </w:rPr>
        <w:t>– primary price terms</w:t>
      </w:r>
    </w:p>
    <w:p w:rsidR="00DD1B6E" w:rsidRDefault="00F7444C" w:rsidP="00DD1B6E">
      <w:pPr>
        <w:spacing w:after="0"/>
        <w:rPr>
          <w:sz w:val="23"/>
          <w:szCs w:val="23"/>
        </w:rPr>
      </w:pPr>
      <w:r>
        <w:rPr>
          <w:sz w:val="23"/>
          <w:szCs w:val="23"/>
        </w:rPr>
        <w:t>Australian Competition and Consumer Commission</w:t>
      </w:r>
    </w:p>
    <w:p w:rsidR="00DD1B6E" w:rsidRDefault="00DD1B6E" w:rsidP="00DD1B6E">
      <w:pPr>
        <w:spacing w:after="0"/>
        <w:rPr>
          <w:sz w:val="23"/>
          <w:szCs w:val="23"/>
        </w:rPr>
      </w:pPr>
    </w:p>
    <w:p w:rsidR="00DD1B6E" w:rsidRDefault="008E5A6D" w:rsidP="00DD1B6E">
      <w:pPr>
        <w:spacing w:after="0"/>
        <w:rPr>
          <w:sz w:val="23"/>
          <w:szCs w:val="23"/>
        </w:rPr>
      </w:pPr>
      <w:r>
        <w:rPr>
          <w:sz w:val="23"/>
          <w:szCs w:val="23"/>
        </w:rPr>
        <w:t xml:space="preserve">Via email: </w:t>
      </w:r>
      <w:hyperlink r:id="rId11" w:history="1">
        <w:r w:rsidRPr="00663555">
          <w:rPr>
            <w:rStyle w:val="Hyperlink"/>
            <w:sz w:val="23"/>
            <w:szCs w:val="23"/>
          </w:rPr>
          <w:t>fixedservices@accc.gov.au</w:t>
        </w:r>
      </w:hyperlink>
      <w:r>
        <w:rPr>
          <w:sz w:val="23"/>
          <w:szCs w:val="23"/>
        </w:rPr>
        <w:t xml:space="preserve"> </w:t>
      </w:r>
    </w:p>
    <w:p w:rsidR="00DD1B6E" w:rsidRDefault="00DD1B6E" w:rsidP="00DD1B6E">
      <w:pPr>
        <w:spacing w:after="0"/>
        <w:rPr>
          <w:rFonts w:cstheme="minorHAnsi"/>
        </w:rPr>
      </w:pPr>
      <w:bookmarkStart w:id="0" w:name="_GoBack"/>
      <w:bookmarkEnd w:id="0"/>
    </w:p>
    <w:p w:rsidR="00104582" w:rsidRDefault="00104582" w:rsidP="00DD1B6E">
      <w:pPr>
        <w:spacing w:after="0"/>
        <w:rPr>
          <w:rFonts w:cstheme="minorHAnsi"/>
        </w:rPr>
      </w:pPr>
    </w:p>
    <w:p w:rsidR="00104582" w:rsidRDefault="00104582" w:rsidP="00DD1B6E">
      <w:pPr>
        <w:spacing w:after="0"/>
        <w:rPr>
          <w:rFonts w:cstheme="minorHAnsi"/>
        </w:rPr>
      </w:pPr>
    </w:p>
    <w:p w:rsidR="00DD1B6E" w:rsidRDefault="00DD1B6E" w:rsidP="00104582">
      <w:pPr>
        <w:pStyle w:val="BodyText1"/>
        <w:jc w:val="both"/>
        <w:rPr>
          <w:rFonts w:asciiTheme="minorHAnsi" w:hAnsiTheme="minorHAnsi" w:cstheme="minorHAnsi"/>
        </w:rPr>
      </w:pPr>
      <w:r w:rsidRPr="007A7865">
        <w:rPr>
          <w:rFonts w:asciiTheme="minorHAnsi" w:hAnsiTheme="minorHAnsi" w:cstheme="minorHAnsi"/>
        </w:rPr>
        <w:t xml:space="preserve">ACCAN thanks the </w:t>
      </w:r>
      <w:r w:rsidR="00566528" w:rsidRPr="007A7865">
        <w:rPr>
          <w:rFonts w:asciiTheme="minorHAnsi" w:hAnsiTheme="minorHAnsi" w:cstheme="minorHAnsi"/>
        </w:rPr>
        <w:t>Australian Competition and Consumer Commission (ACCC)</w:t>
      </w:r>
      <w:r w:rsidRPr="007A7865">
        <w:rPr>
          <w:rFonts w:asciiTheme="minorHAnsi" w:hAnsiTheme="minorHAnsi" w:cstheme="minorHAnsi"/>
        </w:rPr>
        <w:t xml:space="preserve"> for the opportunity to contribute to its </w:t>
      </w:r>
      <w:r w:rsidR="00566528" w:rsidRPr="007A7865">
        <w:rPr>
          <w:rFonts w:asciiTheme="minorHAnsi" w:hAnsiTheme="minorHAnsi" w:cstheme="minorHAnsi"/>
        </w:rPr>
        <w:t>price inquiry into final access determinations for fixed line services. Access to communications is fundamental to the economic and social wellbeing of consumers. Accordingly</w:t>
      </w:r>
      <w:r w:rsidR="006B4B92" w:rsidRPr="007A7865">
        <w:rPr>
          <w:rFonts w:asciiTheme="minorHAnsi" w:hAnsiTheme="minorHAnsi" w:cstheme="minorHAnsi"/>
        </w:rPr>
        <w:t xml:space="preserve"> communications</w:t>
      </w:r>
      <w:r w:rsidR="00566528" w:rsidRPr="007A7865">
        <w:rPr>
          <w:rFonts w:asciiTheme="minorHAnsi" w:hAnsiTheme="minorHAnsi" w:cstheme="minorHAnsi"/>
        </w:rPr>
        <w:t xml:space="preserve"> pricing is a major factor </w:t>
      </w:r>
      <w:r w:rsidR="006B4B92" w:rsidRPr="007A7865">
        <w:rPr>
          <w:rFonts w:asciiTheme="minorHAnsi" w:hAnsiTheme="minorHAnsi" w:cstheme="minorHAnsi"/>
        </w:rPr>
        <w:t>in determining a consumer’s level of participation in society and the economy. This submission will focus on communications affordability issues faced by Australians. It is hoped that this will guide the decision on a pricing model towards an option which best promotes the</w:t>
      </w:r>
      <w:r w:rsidR="00FC097D" w:rsidRPr="007A7865">
        <w:rPr>
          <w:rFonts w:asciiTheme="minorHAnsi" w:hAnsiTheme="minorHAnsi" w:cstheme="minorHAnsi"/>
        </w:rPr>
        <w:t xml:space="preserve"> legislative objective of</w:t>
      </w:r>
      <w:r w:rsidR="006B4B92" w:rsidRPr="007A7865">
        <w:rPr>
          <w:rFonts w:asciiTheme="minorHAnsi" w:hAnsiTheme="minorHAnsi" w:cstheme="minorHAnsi"/>
        </w:rPr>
        <w:t xml:space="preserve"> </w:t>
      </w:r>
      <w:r w:rsidR="00FC097D" w:rsidRPr="007A7865">
        <w:rPr>
          <w:rFonts w:asciiTheme="minorHAnsi" w:hAnsiTheme="minorHAnsi" w:cstheme="minorHAnsi"/>
        </w:rPr>
        <w:t xml:space="preserve">available, accessible and </w:t>
      </w:r>
      <w:r w:rsidR="006B4B92" w:rsidRPr="007A7865">
        <w:rPr>
          <w:rFonts w:asciiTheme="minorHAnsi" w:hAnsiTheme="minorHAnsi" w:cstheme="minorHAnsi"/>
          <w:i/>
        </w:rPr>
        <w:t>affordabl</w:t>
      </w:r>
      <w:r w:rsidR="00FC097D" w:rsidRPr="007A7865">
        <w:rPr>
          <w:rFonts w:asciiTheme="minorHAnsi" w:hAnsiTheme="minorHAnsi" w:cstheme="minorHAnsi"/>
          <w:i/>
        </w:rPr>
        <w:t>e</w:t>
      </w:r>
      <w:r w:rsidR="00FC097D" w:rsidRPr="007A7865">
        <w:rPr>
          <w:rFonts w:asciiTheme="minorHAnsi" w:hAnsiTheme="minorHAnsi" w:cstheme="minorHAnsi"/>
        </w:rPr>
        <w:t xml:space="preserve"> communications services that enhance the welfare of Australians.</w:t>
      </w:r>
      <w:r w:rsidR="00FC097D" w:rsidRPr="007A7865">
        <w:rPr>
          <w:rStyle w:val="FootnoteReference"/>
          <w:rFonts w:asciiTheme="minorHAnsi" w:hAnsiTheme="minorHAnsi" w:cstheme="minorHAnsi"/>
        </w:rPr>
        <w:footnoteReference w:id="1"/>
      </w:r>
    </w:p>
    <w:p w:rsidR="00104582" w:rsidRPr="007A7865" w:rsidRDefault="00104582" w:rsidP="00104582">
      <w:pPr>
        <w:pStyle w:val="BodyText1"/>
        <w:jc w:val="both"/>
        <w:rPr>
          <w:rFonts w:asciiTheme="minorHAnsi" w:hAnsiTheme="minorHAnsi" w:cstheme="minorHAnsi"/>
        </w:rPr>
      </w:pPr>
    </w:p>
    <w:p w:rsidR="00C32DD1" w:rsidRDefault="00FC097D" w:rsidP="00104582">
      <w:pPr>
        <w:pStyle w:val="Heading2"/>
        <w:jc w:val="both"/>
        <w:rPr>
          <w:rFonts w:eastAsiaTheme="minorEastAsia"/>
          <w:lang w:eastAsia="en-AU"/>
        </w:rPr>
      </w:pPr>
      <w:r>
        <w:rPr>
          <w:rFonts w:eastAsiaTheme="minorEastAsia"/>
          <w:lang w:eastAsia="en-AU"/>
        </w:rPr>
        <w:t xml:space="preserve">The </w:t>
      </w:r>
      <w:r w:rsidR="001E391A">
        <w:rPr>
          <w:rFonts w:eastAsiaTheme="minorEastAsia"/>
          <w:lang w:eastAsia="en-AU"/>
        </w:rPr>
        <w:t>‘</w:t>
      </w:r>
      <w:r>
        <w:rPr>
          <w:rFonts w:eastAsiaTheme="minorEastAsia"/>
          <w:lang w:eastAsia="en-AU"/>
        </w:rPr>
        <w:t>digital divide</w:t>
      </w:r>
      <w:r w:rsidR="001E391A">
        <w:rPr>
          <w:rFonts w:eastAsiaTheme="minorEastAsia"/>
          <w:lang w:eastAsia="en-AU"/>
        </w:rPr>
        <w:t>’</w:t>
      </w:r>
    </w:p>
    <w:p w:rsidR="00AD453C" w:rsidRPr="00FC097D" w:rsidRDefault="00AD453C" w:rsidP="00104582">
      <w:pPr>
        <w:jc w:val="both"/>
        <w:rPr>
          <w:lang w:eastAsia="en-AU"/>
        </w:rPr>
      </w:pPr>
      <w:r>
        <w:rPr>
          <w:lang w:eastAsia="en-AU"/>
        </w:rPr>
        <w:t>The most recent Australian Bureau of Statistics (ABS) research reports that 83% of all households have</w:t>
      </w:r>
      <w:r w:rsidR="0039038C">
        <w:rPr>
          <w:lang w:eastAsia="en-AU"/>
        </w:rPr>
        <w:t xml:space="preserve"> home</w:t>
      </w:r>
      <w:r>
        <w:rPr>
          <w:lang w:eastAsia="en-AU"/>
        </w:rPr>
        <w:t xml:space="preserve"> internet access.</w:t>
      </w:r>
      <w:r>
        <w:rPr>
          <w:rStyle w:val="FootnoteReference"/>
          <w:lang w:eastAsia="en-AU"/>
        </w:rPr>
        <w:footnoteReference w:id="2"/>
      </w:r>
      <w:r>
        <w:rPr>
          <w:lang w:eastAsia="en-AU"/>
        </w:rPr>
        <w:t xml:space="preserve"> More than three quarters (77%)</w:t>
      </w:r>
      <w:r w:rsidR="0039038C">
        <w:rPr>
          <w:lang w:eastAsia="en-AU"/>
        </w:rPr>
        <w:t xml:space="preserve"> of households</w:t>
      </w:r>
      <w:r>
        <w:rPr>
          <w:lang w:eastAsia="en-AU"/>
        </w:rPr>
        <w:t xml:space="preserve"> have access via a broadband connection.</w:t>
      </w:r>
      <w:r w:rsidR="0039038C">
        <w:rPr>
          <w:rStyle w:val="FootnoteReference"/>
          <w:lang w:eastAsia="en-AU"/>
        </w:rPr>
        <w:footnoteReference w:id="3"/>
      </w:r>
      <w:r w:rsidR="0039038C">
        <w:rPr>
          <w:lang w:eastAsia="en-AU"/>
        </w:rPr>
        <w:t xml:space="preserve"> This leaves 1,495,000 households without internet access and 2,022,000 households without access to broadband.</w:t>
      </w:r>
      <w:r w:rsidR="0039038C">
        <w:rPr>
          <w:rStyle w:val="FootnoteReference"/>
          <w:lang w:eastAsia="en-AU"/>
        </w:rPr>
        <w:footnoteReference w:id="4"/>
      </w:r>
      <w:r w:rsidR="007B6DD8">
        <w:rPr>
          <w:lang w:eastAsia="en-AU"/>
        </w:rPr>
        <w:t xml:space="preserve"> </w:t>
      </w:r>
      <w:r w:rsidR="001740DF">
        <w:rPr>
          <w:lang w:eastAsia="en-AU"/>
        </w:rPr>
        <w:t>There is evidence that intervening to encourage greater uptake of these fixed services is good for the economy as well as providing tangible benefits to people who would otherwise be at risk from the digital divide.</w:t>
      </w:r>
      <w:r w:rsidR="001740DF">
        <w:rPr>
          <w:rStyle w:val="FootnoteReference"/>
          <w:lang w:eastAsia="en-AU"/>
        </w:rPr>
        <w:footnoteReference w:id="5"/>
      </w:r>
    </w:p>
    <w:p w:rsidR="00F61F28" w:rsidRDefault="00F61F28" w:rsidP="00104582">
      <w:pPr>
        <w:pStyle w:val="Heading3"/>
        <w:jc w:val="both"/>
        <w:rPr>
          <w:lang w:eastAsia="en-AU"/>
        </w:rPr>
      </w:pPr>
      <w:r>
        <w:rPr>
          <w:lang w:eastAsia="en-AU"/>
        </w:rPr>
        <w:t>Income</w:t>
      </w:r>
    </w:p>
    <w:p w:rsidR="00C32DD1" w:rsidRDefault="0039038C" w:rsidP="00104582">
      <w:pPr>
        <w:pStyle w:val="BodyText1"/>
        <w:jc w:val="both"/>
        <w:rPr>
          <w:rFonts w:asciiTheme="minorHAnsi" w:hAnsiTheme="minorHAnsi" w:cstheme="minorHAnsi"/>
          <w:color w:val="auto"/>
        </w:rPr>
      </w:pPr>
      <w:r>
        <w:rPr>
          <w:rFonts w:asciiTheme="minorHAnsi" w:hAnsiTheme="minorHAnsi" w:cstheme="minorHAnsi"/>
          <w:color w:val="auto"/>
        </w:rPr>
        <w:t>As the ABS notes, household income remains a key determinant in a consumer’s ability to access the internet.</w:t>
      </w:r>
      <w:r w:rsidR="00787BA2">
        <w:rPr>
          <w:rFonts w:asciiTheme="minorHAnsi" w:hAnsiTheme="minorHAnsi" w:cstheme="minorHAnsi"/>
          <w:color w:val="auto"/>
        </w:rPr>
        <w:t xml:space="preserve"> </w:t>
      </w:r>
      <w:r w:rsidR="00787BA2" w:rsidRPr="00787BA2">
        <w:rPr>
          <w:rFonts w:asciiTheme="minorHAnsi" w:hAnsiTheme="minorHAnsi" w:cstheme="minorHAnsi"/>
          <w:color w:val="auto"/>
        </w:rPr>
        <w:t xml:space="preserve">In 2012–13, </w:t>
      </w:r>
      <w:r w:rsidR="001740DF">
        <w:rPr>
          <w:rFonts w:asciiTheme="minorHAnsi" w:hAnsiTheme="minorHAnsi" w:cstheme="minorHAnsi"/>
          <w:color w:val="auto"/>
        </w:rPr>
        <w:t xml:space="preserve">98% </w:t>
      </w:r>
      <w:r w:rsidR="00787BA2" w:rsidRPr="00787BA2">
        <w:rPr>
          <w:rFonts w:asciiTheme="minorHAnsi" w:hAnsiTheme="minorHAnsi" w:cstheme="minorHAnsi"/>
          <w:color w:val="auto"/>
        </w:rPr>
        <w:t>of households with household income of $120,000 or more</w:t>
      </w:r>
      <w:r w:rsidR="00F61F28">
        <w:rPr>
          <w:rFonts w:asciiTheme="minorHAnsi" w:hAnsiTheme="minorHAnsi" w:cstheme="minorHAnsi"/>
          <w:color w:val="auto"/>
        </w:rPr>
        <w:t xml:space="preserve">, </w:t>
      </w:r>
      <w:r w:rsidR="00787BA2" w:rsidRPr="00787BA2">
        <w:rPr>
          <w:rFonts w:asciiTheme="minorHAnsi" w:hAnsiTheme="minorHAnsi" w:cstheme="minorHAnsi"/>
          <w:color w:val="auto"/>
        </w:rPr>
        <w:t>had internet access, compared to 57% of households with household income of less than $40,000.</w:t>
      </w:r>
      <w:r w:rsidR="001740DF">
        <w:rPr>
          <w:rStyle w:val="FootnoteReference"/>
          <w:lang w:eastAsia="en-AU"/>
        </w:rPr>
        <w:footnoteReference w:id="6"/>
      </w:r>
    </w:p>
    <w:p w:rsidR="002D7D0E" w:rsidRDefault="002D7D0E" w:rsidP="00104582">
      <w:pPr>
        <w:pStyle w:val="BodyText1"/>
        <w:jc w:val="both"/>
        <w:rPr>
          <w:rFonts w:asciiTheme="minorHAnsi" w:hAnsiTheme="minorHAnsi" w:cstheme="minorHAnsi"/>
          <w:color w:val="auto"/>
        </w:rPr>
      </w:pPr>
      <w:r>
        <w:rPr>
          <w:rFonts w:asciiTheme="minorHAnsi" w:hAnsiTheme="minorHAnsi" w:cstheme="minorHAnsi"/>
          <w:color w:val="auto"/>
        </w:rPr>
        <w:lastRenderedPageBreak/>
        <w:t xml:space="preserve">ACCAN commissioned research </w:t>
      </w:r>
      <w:r w:rsidR="007B6DD8">
        <w:rPr>
          <w:rFonts w:asciiTheme="minorHAnsi" w:hAnsiTheme="minorHAnsi" w:cstheme="minorHAnsi"/>
          <w:color w:val="auto"/>
        </w:rPr>
        <w:t>found almost half of</w:t>
      </w:r>
      <w:r w:rsidR="00F61F28">
        <w:rPr>
          <w:rFonts w:asciiTheme="minorHAnsi" w:hAnsiTheme="minorHAnsi" w:cstheme="minorHAnsi"/>
          <w:color w:val="auto"/>
        </w:rPr>
        <w:t xml:space="preserve"> Australians experiencing financial hardship</w:t>
      </w:r>
      <w:r>
        <w:rPr>
          <w:rFonts w:asciiTheme="minorHAnsi" w:hAnsiTheme="minorHAnsi" w:cstheme="minorHAnsi"/>
          <w:color w:val="auto"/>
        </w:rPr>
        <w:t xml:space="preserve"> </w:t>
      </w:r>
      <w:r w:rsidR="00F61F28">
        <w:rPr>
          <w:rFonts w:asciiTheme="minorHAnsi" w:hAnsiTheme="minorHAnsi" w:cstheme="minorHAnsi"/>
          <w:color w:val="auto"/>
        </w:rPr>
        <w:t>couldn’t afford home internet access.</w:t>
      </w:r>
      <w:r w:rsidR="001740DF" w:rsidRPr="001740DF">
        <w:rPr>
          <w:rStyle w:val="FootnoteReference"/>
          <w:rFonts w:asciiTheme="minorHAnsi" w:hAnsiTheme="minorHAnsi" w:cstheme="minorHAnsi"/>
          <w:color w:val="auto"/>
        </w:rPr>
        <w:t xml:space="preserve"> </w:t>
      </w:r>
      <w:r w:rsidR="001740DF">
        <w:rPr>
          <w:rStyle w:val="FootnoteReference"/>
          <w:rFonts w:asciiTheme="minorHAnsi" w:hAnsiTheme="minorHAnsi" w:cstheme="minorHAnsi"/>
          <w:color w:val="auto"/>
        </w:rPr>
        <w:footnoteReference w:id="7"/>
      </w:r>
      <w:r w:rsidR="00F61F28">
        <w:rPr>
          <w:rFonts w:asciiTheme="minorHAnsi" w:hAnsiTheme="minorHAnsi" w:cstheme="minorHAnsi"/>
          <w:color w:val="auto"/>
        </w:rPr>
        <w:t xml:space="preserve"> Of those who did have access </w:t>
      </w:r>
      <w:r>
        <w:rPr>
          <w:rFonts w:asciiTheme="minorHAnsi" w:hAnsiTheme="minorHAnsi" w:cstheme="minorHAnsi"/>
          <w:color w:val="auto"/>
        </w:rPr>
        <w:t xml:space="preserve">36% found </w:t>
      </w:r>
      <w:r w:rsidR="007B6DD8">
        <w:rPr>
          <w:rFonts w:asciiTheme="minorHAnsi" w:hAnsiTheme="minorHAnsi" w:cstheme="minorHAnsi"/>
          <w:color w:val="auto"/>
        </w:rPr>
        <w:t>it</w:t>
      </w:r>
      <w:r>
        <w:rPr>
          <w:rFonts w:asciiTheme="minorHAnsi" w:hAnsiTheme="minorHAnsi" w:cstheme="minorHAnsi"/>
          <w:color w:val="auto"/>
        </w:rPr>
        <w:t xml:space="preserve"> </w:t>
      </w:r>
      <w:r w:rsidR="00746F7A">
        <w:rPr>
          <w:rFonts w:asciiTheme="minorHAnsi" w:hAnsiTheme="minorHAnsi" w:cstheme="minorHAnsi"/>
          <w:color w:val="auto"/>
        </w:rPr>
        <w:t xml:space="preserve">somewhat or very </w:t>
      </w:r>
      <w:r>
        <w:rPr>
          <w:rFonts w:asciiTheme="minorHAnsi" w:hAnsiTheme="minorHAnsi" w:cstheme="minorHAnsi"/>
          <w:color w:val="auto"/>
        </w:rPr>
        <w:t xml:space="preserve">unaffordable. The results were the same for home phone affordability. More than half (51.9%) </w:t>
      </w:r>
      <w:r w:rsidR="007B6DD8">
        <w:rPr>
          <w:rFonts w:asciiTheme="minorHAnsi" w:hAnsiTheme="minorHAnsi" w:cstheme="minorHAnsi"/>
          <w:color w:val="auto"/>
        </w:rPr>
        <w:t>also</w:t>
      </w:r>
      <w:r>
        <w:rPr>
          <w:rFonts w:asciiTheme="minorHAnsi" w:hAnsiTheme="minorHAnsi" w:cstheme="minorHAnsi"/>
          <w:color w:val="auto"/>
        </w:rPr>
        <w:t xml:space="preserve"> had difficulty paying a telecommunications bill in the past 12 months.</w:t>
      </w:r>
      <w:r w:rsidR="007B6DD8">
        <w:rPr>
          <w:rFonts w:asciiTheme="minorHAnsi" w:hAnsiTheme="minorHAnsi" w:cstheme="minorHAnsi"/>
          <w:color w:val="auto"/>
        </w:rPr>
        <w:t xml:space="preserve"> </w:t>
      </w:r>
      <w:r w:rsidR="001740DF">
        <w:rPr>
          <w:rFonts w:asciiTheme="minorHAnsi" w:hAnsiTheme="minorHAnsi" w:cstheme="minorHAnsi"/>
          <w:color w:val="auto"/>
        </w:rPr>
        <w:t>These figures indicate</w:t>
      </w:r>
      <w:r w:rsidR="007B6DD8">
        <w:rPr>
          <w:rFonts w:asciiTheme="minorHAnsi" w:hAnsiTheme="minorHAnsi" w:cstheme="minorHAnsi"/>
          <w:color w:val="auto"/>
        </w:rPr>
        <w:t xml:space="preserve"> a portion of consumers are being priced out of the telecommunications market.</w:t>
      </w:r>
    </w:p>
    <w:p w:rsidR="001740DF" w:rsidRDefault="001740DF" w:rsidP="00104582">
      <w:pPr>
        <w:pStyle w:val="Heading3"/>
        <w:jc w:val="both"/>
      </w:pPr>
      <w:r>
        <w:t>Benefits of broadband penetration</w:t>
      </w:r>
    </w:p>
    <w:p w:rsidR="00ED5EF4" w:rsidRDefault="00F63571" w:rsidP="00104582">
      <w:pPr>
        <w:pStyle w:val="BodyText1"/>
        <w:jc w:val="both"/>
        <w:rPr>
          <w:rFonts w:asciiTheme="minorHAnsi" w:hAnsiTheme="minorHAnsi" w:cstheme="minorHAnsi"/>
          <w:color w:val="auto"/>
        </w:rPr>
      </w:pPr>
      <w:r>
        <w:rPr>
          <w:rFonts w:asciiTheme="minorHAnsi" w:hAnsiTheme="minorHAnsi" w:cstheme="minorHAnsi"/>
          <w:color w:val="auto"/>
        </w:rPr>
        <w:t>An</w:t>
      </w:r>
      <w:r w:rsidR="00ED5EF4">
        <w:rPr>
          <w:rFonts w:asciiTheme="minorHAnsi" w:hAnsiTheme="minorHAnsi" w:cstheme="minorHAnsi"/>
          <w:color w:val="auto"/>
        </w:rPr>
        <w:t xml:space="preserve"> </w:t>
      </w:r>
      <w:r w:rsidR="00490FAC">
        <w:rPr>
          <w:rFonts w:asciiTheme="minorHAnsi" w:hAnsiTheme="minorHAnsi" w:cstheme="minorHAnsi"/>
          <w:color w:val="auto"/>
        </w:rPr>
        <w:t>exceptional</w:t>
      </w:r>
      <w:r w:rsidR="00ED5EF4">
        <w:rPr>
          <w:rFonts w:asciiTheme="minorHAnsi" w:hAnsiTheme="minorHAnsi" w:cstheme="minorHAnsi"/>
          <w:color w:val="auto"/>
        </w:rPr>
        <w:t xml:space="preserve"> feature of </w:t>
      </w:r>
      <w:r w:rsidR="00E15269">
        <w:rPr>
          <w:rFonts w:asciiTheme="minorHAnsi" w:hAnsiTheme="minorHAnsi" w:cstheme="minorHAnsi"/>
          <w:color w:val="auto"/>
        </w:rPr>
        <w:t xml:space="preserve">telecommunications economics is the strong link between access and economic development. As such, setting low access prices </w:t>
      </w:r>
      <w:r w:rsidR="001740DF">
        <w:rPr>
          <w:rFonts w:asciiTheme="minorHAnsi" w:hAnsiTheme="minorHAnsi" w:cstheme="minorHAnsi"/>
          <w:color w:val="auto"/>
        </w:rPr>
        <w:t>is not a zero sum game</w:t>
      </w:r>
      <w:r w:rsidR="00E15269">
        <w:rPr>
          <w:rFonts w:asciiTheme="minorHAnsi" w:hAnsiTheme="minorHAnsi" w:cstheme="minorHAnsi"/>
          <w:color w:val="auto"/>
        </w:rPr>
        <w:t xml:space="preserve">. </w:t>
      </w:r>
      <w:r w:rsidR="00490FAC">
        <w:rPr>
          <w:rFonts w:asciiTheme="minorHAnsi" w:hAnsiTheme="minorHAnsi" w:cstheme="minorHAnsi"/>
          <w:color w:val="auto"/>
        </w:rPr>
        <w:t>A</w:t>
      </w:r>
      <w:r w:rsidR="00E15269">
        <w:rPr>
          <w:rFonts w:asciiTheme="minorHAnsi" w:hAnsiTheme="minorHAnsi" w:cstheme="minorHAnsi"/>
          <w:color w:val="auto"/>
        </w:rPr>
        <w:t xml:space="preserve">s </w:t>
      </w:r>
      <w:r w:rsidR="00490FAC">
        <w:rPr>
          <w:rFonts w:asciiTheme="minorHAnsi" w:hAnsiTheme="minorHAnsi" w:cstheme="minorHAnsi"/>
          <w:color w:val="auto"/>
        </w:rPr>
        <w:t>a</w:t>
      </w:r>
      <w:r>
        <w:rPr>
          <w:rFonts w:asciiTheme="minorHAnsi" w:hAnsiTheme="minorHAnsi" w:cstheme="minorHAnsi"/>
          <w:color w:val="auto"/>
        </w:rPr>
        <w:t>n influential</w:t>
      </w:r>
      <w:r w:rsidR="00E15269">
        <w:rPr>
          <w:rFonts w:asciiTheme="minorHAnsi" w:hAnsiTheme="minorHAnsi" w:cstheme="minorHAnsi"/>
          <w:color w:val="auto"/>
        </w:rPr>
        <w:t xml:space="preserve"> study of 22 OECD countries points out</w:t>
      </w:r>
      <w:r w:rsidR="00490FAC">
        <w:rPr>
          <w:rFonts w:asciiTheme="minorHAnsi" w:hAnsiTheme="minorHAnsi" w:cstheme="minorHAnsi"/>
          <w:color w:val="auto"/>
        </w:rPr>
        <w:t>, the relationship is more complex. Th</w:t>
      </w:r>
      <w:r w:rsidR="00166E6C">
        <w:rPr>
          <w:rFonts w:asciiTheme="minorHAnsi" w:hAnsiTheme="minorHAnsi" w:cstheme="minorHAnsi"/>
          <w:color w:val="auto"/>
        </w:rPr>
        <w:t>e</w:t>
      </w:r>
      <w:r w:rsidR="00490FAC">
        <w:rPr>
          <w:rFonts w:asciiTheme="minorHAnsi" w:hAnsiTheme="minorHAnsi" w:cstheme="minorHAnsi"/>
          <w:color w:val="auto"/>
        </w:rPr>
        <w:t xml:space="preserve"> study found </w:t>
      </w:r>
      <w:r w:rsidR="00E15269">
        <w:rPr>
          <w:rFonts w:asciiTheme="minorHAnsi" w:hAnsiTheme="minorHAnsi" w:cstheme="minorHAnsi"/>
          <w:color w:val="auto"/>
        </w:rPr>
        <w:t xml:space="preserve">there </w:t>
      </w:r>
      <w:r w:rsidR="00166E6C">
        <w:rPr>
          <w:rFonts w:asciiTheme="minorHAnsi" w:hAnsiTheme="minorHAnsi" w:cstheme="minorHAnsi"/>
          <w:color w:val="auto"/>
        </w:rPr>
        <w:t>is</w:t>
      </w:r>
      <w:r w:rsidR="00E15269">
        <w:rPr>
          <w:rFonts w:asciiTheme="minorHAnsi" w:hAnsiTheme="minorHAnsi" w:cstheme="minorHAnsi"/>
          <w:color w:val="auto"/>
        </w:rPr>
        <w:t xml:space="preserve"> a significant causal positive link between broadband penetration and economic growth.</w:t>
      </w:r>
      <w:r w:rsidR="00E15269">
        <w:rPr>
          <w:rStyle w:val="FootnoteReference"/>
          <w:rFonts w:asciiTheme="minorHAnsi" w:hAnsiTheme="minorHAnsi" w:cstheme="minorHAnsi"/>
          <w:color w:val="auto"/>
        </w:rPr>
        <w:footnoteReference w:id="8"/>
      </w:r>
      <w:r w:rsidR="00E15269">
        <w:rPr>
          <w:rFonts w:asciiTheme="minorHAnsi" w:hAnsiTheme="minorHAnsi" w:cstheme="minorHAnsi"/>
          <w:color w:val="auto"/>
        </w:rPr>
        <w:t xml:space="preserve"> </w:t>
      </w:r>
      <w:r w:rsidR="00490FAC">
        <w:rPr>
          <w:rFonts w:asciiTheme="minorHAnsi" w:hAnsiTheme="minorHAnsi" w:cstheme="minorHAnsi"/>
          <w:color w:val="auto"/>
        </w:rPr>
        <w:t>In fact every 1% increase in broadband penetration led to</w:t>
      </w:r>
      <w:r w:rsidR="00397AD2">
        <w:rPr>
          <w:rFonts w:asciiTheme="minorHAnsi" w:hAnsiTheme="minorHAnsi" w:cstheme="minorHAnsi"/>
          <w:color w:val="auto"/>
        </w:rPr>
        <w:t xml:space="preserve"> average</w:t>
      </w:r>
      <w:r w:rsidR="00490FAC">
        <w:rPr>
          <w:rFonts w:asciiTheme="minorHAnsi" w:hAnsiTheme="minorHAnsi" w:cstheme="minorHAnsi"/>
          <w:color w:val="auto"/>
        </w:rPr>
        <w:t xml:space="preserve"> GDP growth of 0.025%.</w:t>
      </w:r>
      <w:r w:rsidR="006B3265">
        <w:rPr>
          <w:rStyle w:val="FootnoteReference"/>
          <w:rFonts w:asciiTheme="minorHAnsi" w:hAnsiTheme="minorHAnsi" w:cstheme="minorHAnsi"/>
          <w:color w:val="auto"/>
        </w:rPr>
        <w:footnoteReference w:id="9"/>
      </w:r>
      <w:r w:rsidR="00490FAC">
        <w:rPr>
          <w:rFonts w:asciiTheme="minorHAnsi" w:hAnsiTheme="minorHAnsi" w:cstheme="minorHAnsi"/>
          <w:color w:val="auto"/>
        </w:rPr>
        <w:t xml:space="preserve"> </w:t>
      </w:r>
      <w:r w:rsidR="00397AD2">
        <w:rPr>
          <w:rFonts w:asciiTheme="minorHAnsi" w:hAnsiTheme="minorHAnsi" w:cstheme="minorHAnsi"/>
          <w:color w:val="auto"/>
        </w:rPr>
        <w:t>In an Australian context this would be the equivalent to adding an additional $</w:t>
      </w:r>
      <w:r w:rsidR="004703AC">
        <w:rPr>
          <w:rFonts w:asciiTheme="minorHAnsi" w:hAnsiTheme="minorHAnsi" w:cstheme="minorHAnsi"/>
          <w:color w:val="auto"/>
        </w:rPr>
        <w:t>US</w:t>
      </w:r>
      <w:r w:rsidR="00397AD2">
        <w:rPr>
          <w:rFonts w:asciiTheme="minorHAnsi" w:hAnsiTheme="minorHAnsi" w:cstheme="minorHAnsi"/>
          <w:color w:val="auto"/>
        </w:rPr>
        <w:t>40</w:t>
      </w:r>
      <w:proofErr w:type="gramStart"/>
      <w:r w:rsidR="00397AD2">
        <w:rPr>
          <w:rFonts w:asciiTheme="minorHAnsi" w:hAnsiTheme="minorHAnsi" w:cstheme="minorHAnsi"/>
          <w:color w:val="auto"/>
        </w:rPr>
        <w:t>,000,000</w:t>
      </w:r>
      <w:proofErr w:type="gramEnd"/>
      <w:r w:rsidR="00397AD2">
        <w:rPr>
          <w:rFonts w:asciiTheme="minorHAnsi" w:hAnsiTheme="minorHAnsi" w:cstheme="minorHAnsi"/>
          <w:color w:val="auto"/>
        </w:rPr>
        <w:t xml:space="preserve"> to the economy</w:t>
      </w:r>
      <w:r w:rsidR="00490FAC">
        <w:rPr>
          <w:rFonts w:asciiTheme="minorHAnsi" w:hAnsiTheme="minorHAnsi" w:cstheme="minorHAnsi"/>
          <w:color w:val="auto"/>
        </w:rPr>
        <w:t>.</w:t>
      </w:r>
      <w:r w:rsidR="00AB1596">
        <w:rPr>
          <w:rFonts w:asciiTheme="minorHAnsi" w:hAnsiTheme="minorHAnsi" w:cstheme="minorHAnsi"/>
          <w:color w:val="auto"/>
        </w:rPr>
        <w:t xml:space="preserve"> Many of these benefits are likely to accrue directly to those who gain access</w:t>
      </w:r>
      <w:r>
        <w:rPr>
          <w:rFonts w:asciiTheme="minorHAnsi" w:hAnsiTheme="minorHAnsi" w:cstheme="minorHAnsi"/>
          <w:color w:val="auto"/>
        </w:rPr>
        <w:t xml:space="preserve"> as broadband</w:t>
      </w:r>
      <w:r w:rsidR="00D54369">
        <w:rPr>
          <w:rFonts w:asciiTheme="minorHAnsi" w:hAnsiTheme="minorHAnsi" w:cstheme="minorHAnsi"/>
          <w:color w:val="auto"/>
        </w:rPr>
        <w:t xml:space="preserve"> can provide,</w:t>
      </w:r>
      <w:r>
        <w:rPr>
          <w:rFonts w:asciiTheme="minorHAnsi" w:hAnsiTheme="minorHAnsi" w:cstheme="minorHAnsi"/>
          <w:color w:val="auto"/>
        </w:rPr>
        <w:t xml:space="preserve"> among other things</w:t>
      </w:r>
      <w:r w:rsidR="00D54369">
        <w:rPr>
          <w:rFonts w:asciiTheme="minorHAnsi" w:hAnsiTheme="minorHAnsi" w:cstheme="minorHAnsi"/>
          <w:color w:val="auto"/>
        </w:rPr>
        <w:t>,</w:t>
      </w:r>
      <w:r w:rsidR="00AC76C9">
        <w:rPr>
          <w:rFonts w:asciiTheme="minorHAnsi" w:hAnsiTheme="minorHAnsi" w:cstheme="minorHAnsi"/>
          <w:color w:val="auto"/>
        </w:rPr>
        <w:t xml:space="preserve"> improved job prospects,</w:t>
      </w:r>
      <w:r w:rsidR="004703AC">
        <w:rPr>
          <w:rFonts w:asciiTheme="minorHAnsi" w:hAnsiTheme="minorHAnsi" w:cstheme="minorHAnsi"/>
          <w:color w:val="auto"/>
        </w:rPr>
        <w:t xml:space="preserve"> health and skills training</w:t>
      </w:r>
      <w:r w:rsidR="00AB1596">
        <w:rPr>
          <w:rFonts w:asciiTheme="minorHAnsi" w:hAnsiTheme="minorHAnsi" w:cstheme="minorHAnsi"/>
          <w:color w:val="auto"/>
        </w:rPr>
        <w:t>.</w:t>
      </w:r>
      <w:r w:rsidR="00166E6C">
        <w:rPr>
          <w:rStyle w:val="FootnoteReference"/>
          <w:rFonts w:asciiTheme="minorHAnsi" w:hAnsiTheme="minorHAnsi" w:cstheme="minorHAnsi"/>
          <w:color w:val="auto"/>
        </w:rPr>
        <w:footnoteReference w:id="10"/>
      </w:r>
      <w:r w:rsidR="00AB1596">
        <w:rPr>
          <w:rFonts w:asciiTheme="minorHAnsi" w:hAnsiTheme="minorHAnsi" w:cstheme="minorHAnsi"/>
          <w:color w:val="auto"/>
        </w:rPr>
        <w:t xml:space="preserve"> </w:t>
      </w:r>
      <w:r w:rsidR="00397AD2">
        <w:rPr>
          <w:rFonts w:asciiTheme="minorHAnsi" w:hAnsiTheme="minorHAnsi" w:cstheme="minorHAnsi"/>
          <w:color w:val="auto"/>
        </w:rPr>
        <w:t>With higher economic output</w:t>
      </w:r>
      <w:r>
        <w:rPr>
          <w:rFonts w:asciiTheme="minorHAnsi" w:hAnsiTheme="minorHAnsi" w:cstheme="minorHAnsi"/>
          <w:color w:val="auto"/>
        </w:rPr>
        <w:t xml:space="preserve"> in the long run consumers will be able to more easily afford higher access prices.</w:t>
      </w:r>
      <w:r w:rsidR="00397AD2">
        <w:rPr>
          <w:rFonts w:asciiTheme="minorHAnsi" w:hAnsiTheme="minorHAnsi" w:cstheme="minorHAnsi"/>
          <w:color w:val="auto"/>
        </w:rPr>
        <w:t xml:space="preserve"> </w:t>
      </w:r>
      <w:r w:rsidR="007A7865">
        <w:rPr>
          <w:rFonts w:asciiTheme="minorHAnsi" w:hAnsiTheme="minorHAnsi" w:cstheme="minorHAnsi"/>
          <w:color w:val="auto"/>
        </w:rPr>
        <w:t>Th</w:t>
      </w:r>
      <w:r>
        <w:rPr>
          <w:rFonts w:asciiTheme="minorHAnsi" w:hAnsiTheme="minorHAnsi" w:cstheme="minorHAnsi"/>
          <w:color w:val="auto"/>
        </w:rPr>
        <w:t>u</w:t>
      </w:r>
      <w:r w:rsidR="007A7865">
        <w:rPr>
          <w:rFonts w:asciiTheme="minorHAnsi" w:hAnsiTheme="minorHAnsi" w:cstheme="minorHAnsi"/>
          <w:color w:val="auto"/>
        </w:rPr>
        <w:t>s</w:t>
      </w:r>
      <w:r>
        <w:rPr>
          <w:rFonts w:asciiTheme="minorHAnsi" w:hAnsiTheme="minorHAnsi" w:cstheme="minorHAnsi"/>
          <w:color w:val="auto"/>
        </w:rPr>
        <w:t>, there is a</w:t>
      </w:r>
      <w:r w:rsidR="007A7865">
        <w:rPr>
          <w:rFonts w:asciiTheme="minorHAnsi" w:hAnsiTheme="minorHAnsi" w:cstheme="minorHAnsi"/>
          <w:color w:val="auto"/>
        </w:rPr>
        <w:t xml:space="preserve"> </w:t>
      </w:r>
      <w:r w:rsidR="00E15269">
        <w:rPr>
          <w:rFonts w:asciiTheme="minorHAnsi" w:hAnsiTheme="minorHAnsi" w:cstheme="minorHAnsi"/>
          <w:color w:val="auto"/>
        </w:rPr>
        <w:t>v</w:t>
      </w:r>
      <w:r w:rsidR="00ED5EF4">
        <w:rPr>
          <w:rFonts w:asciiTheme="minorHAnsi" w:hAnsiTheme="minorHAnsi" w:cstheme="minorHAnsi"/>
          <w:color w:val="auto"/>
        </w:rPr>
        <w:t>irtuous circle</w:t>
      </w:r>
      <w:r>
        <w:rPr>
          <w:rFonts w:asciiTheme="minorHAnsi" w:hAnsiTheme="minorHAnsi" w:cstheme="minorHAnsi"/>
          <w:color w:val="auto"/>
        </w:rPr>
        <w:t xml:space="preserve"> between lowering affordability barriers to broadband penetration and economic development.</w:t>
      </w:r>
    </w:p>
    <w:p w:rsidR="00F61F28" w:rsidRDefault="00F61F28" w:rsidP="00104582">
      <w:pPr>
        <w:pStyle w:val="Heading3"/>
        <w:jc w:val="both"/>
      </w:pPr>
      <w:r>
        <w:t>Geography</w:t>
      </w:r>
    </w:p>
    <w:p w:rsidR="00142A04" w:rsidRDefault="00142A04" w:rsidP="00104582">
      <w:pPr>
        <w:jc w:val="both"/>
      </w:pPr>
      <w:r>
        <w:t xml:space="preserve">Geography also plays a major part in access. </w:t>
      </w:r>
      <w:r w:rsidR="00F61F28" w:rsidRPr="00F61F28">
        <w:t>The proportion of households with internet access remains higher for those located in capital cities (85%)</w:t>
      </w:r>
      <w:r>
        <w:t xml:space="preserve"> compared to those outside of capitals (79%)</w:t>
      </w:r>
      <w:r w:rsidR="00F61F28" w:rsidRPr="00F61F28">
        <w:t>.</w:t>
      </w:r>
      <w:r>
        <w:rPr>
          <w:rStyle w:val="FootnoteReference"/>
        </w:rPr>
        <w:footnoteReference w:id="11"/>
      </w:r>
      <w:r>
        <w:t xml:space="preserve"> </w:t>
      </w:r>
      <w:r w:rsidR="00F63571">
        <w:t>ACCAN</w:t>
      </w:r>
      <w:r>
        <w:t xml:space="preserve"> believe</w:t>
      </w:r>
      <w:r w:rsidR="00F63571">
        <w:t xml:space="preserve">s targeting </w:t>
      </w:r>
      <w:r>
        <w:t xml:space="preserve">this disparity </w:t>
      </w:r>
      <w:r w:rsidR="00F63571">
        <w:t>should be</w:t>
      </w:r>
      <w:r>
        <w:t xml:space="preserve"> an important consideration in weighing up the </w:t>
      </w:r>
      <w:r w:rsidR="00F63571">
        <w:t xml:space="preserve">benefit of pricing </w:t>
      </w:r>
      <w:r>
        <w:t xml:space="preserve">underlying cost differences across geographic areas. </w:t>
      </w:r>
      <w:r w:rsidR="00166E6C">
        <w:t>Charging h</w:t>
      </w:r>
      <w:r>
        <w:t xml:space="preserve">igher access prices in rural and regional areas </w:t>
      </w:r>
      <w:r w:rsidR="00ED5EF4">
        <w:t>ha</w:t>
      </w:r>
      <w:r w:rsidR="00166E6C">
        <w:t>s</w:t>
      </w:r>
      <w:r w:rsidR="00ED5EF4">
        <w:t xml:space="preserve"> the potential to</w:t>
      </w:r>
      <w:r>
        <w:t xml:space="preserve"> promote infrastructure spending</w:t>
      </w:r>
      <w:r w:rsidR="00166E6C">
        <w:t>. However</w:t>
      </w:r>
      <w:r w:rsidR="00ED5EF4">
        <w:t>, in the event that infrastructure spending never eventuate</w:t>
      </w:r>
      <w:r w:rsidR="00166E6C">
        <w:t>s</w:t>
      </w:r>
      <w:r w:rsidR="00C6549A">
        <w:t xml:space="preserve"> it may </w:t>
      </w:r>
      <w:r w:rsidR="00ED5EF4">
        <w:t>simple</w:t>
      </w:r>
      <w:r w:rsidR="00C6549A">
        <w:t xml:space="preserve"> exacerbate affordability issues. As such </w:t>
      </w:r>
      <w:r w:rsidR="00166E6C">
        <w:t>ACCAN</w:t>
      </w:r>
      <w:r w:rsidR="00C6549A">
        <w:t xml:space="preserve"> prefer</w:t>
      </w:r>
      <w:r w:rsidR="00166E6C">
        <w:t>s</w:t>
      </w:r>
      <w:r w:rsidR="00C6549A">
        <w:t xml:space="preserve"> an approach which minimises geographic price differences</w:t>
      </w:r>
      <w:r w:rsidR="00D54369">
        <w:t>,</w:t>
      </w:r>
      <w:r w:rsidR="00C6549A">
        <w:t xml:space="preserve"> </w:t>
      </w:r>
      <w:r w:rsidR="00D54369">
        <w:t>e</w:t>
      </w:r>
      <w:r w:rsidR="00C6549A">
        <w:t xml:space="preserve">specially in areas where higher access prices are unlikely to deliver </w:t>
      </w:r>
      <w:r w:rsidR="00D54369">
        <w:t xml:space="preserve">improved efficiency or </w:t>
      </w:r>
      <w:r w:rsidR="00C6549A">
        <w:t>further infrastructure spending.</w:t>
      </w:r>
    </w:p>
    <w:p w:rsidR="00104582" w:rsidRDefault="00104582" w:rsidP="00104582">
      <w:pPr>
        <w:jc w:val="both"/>
      </w:pPr>
    </w:p>
    <w:p w:rsidR="008E5A6D" w:rsidRDefault="00D574E1" w:rsidP="00104582">
      <w:pPr>
        <w:pStyle w:val="Heading2"/>
        <w:jc w:val="both"/>
      </w:pPr>
      <w:r>
        <w:t>Conclusion - b</w:t>
      </w:r>
      <w:r w:rsidR="00BA6536">
        <w:t>alancing reasonable returns and affordability</w:t>
      </w:r>
    </w:p>
    <w:p w:rsidR="00D83168" w:rsidRDefault="008E5A6D" w:rsidP="00104582">
      <w:pPr>
        <w:jc w:val="both"/>
        <w:rPr>
          <w:rFonts w:cstheme="minorHAnsi"/>
        </w:rPr>
      </w:pPr>
      <w:r>
        <w:t xml:space="preserve">ACCAN acknowledges that </w:t>
      </w:r>
      <w:r w:rsidR="00BA6536">
        <w:t>developing a pricing model which allows the access provider to recover its efficient actual costs</w:t>
      </w:r>
      <w:r w:rsidR="00166E6C">
        <w:t>,</w:t>
      </w:r>
      <w:r w:rsidR="00BA6536">
        <w:t xml:space="preserve"> as well as a reasonable return on investment</w:t>
      </w:r>
      <w:r w:rsidR="00166E6C">
        <w:t>,</w:t>
      </w:r>
      <w:r w:rsidR="00BA6536">
        <w:t xml:space="preserve"> is likely to be in the long term interests of consumers. Without reasonable returns network investment is likely to diminish</w:t>
      </w:r>
      <w:r w:rsidR="00166E6C">
        <w:t>,</w:t>
      </w:r>
      <w:r w:rsidR="00BA6536">
        <w:t xml:space="preserve"> leaving consumers with access to a substandard service. However, </w:t>
      </w:r>
      <w:r w:rsidR="00D574E1">
        <w:t xml:space="preserve">consideration of what is a reasonable </w:t>
      </w:r>
      <w:r w:rsidR="00D574E1">
        <w:lastRenderedPageBreak/>
        <w:t>rate of return should be carefully balanced against affordability concerns. ACCAN believes that a</w:t>
      </w:r>
      <w:r w:rsidR="00D574E1">
        <w:rPr>
          <w:rFonts w:cstheme="minorHAnsi"/>
        </w:rPr>
        <w:t>ll things being equal, the legislative objective of promoting the long term interests of end-users (LTIE) will be best served by affordable prices for fixed line services.</w:t>
      </w:r>
      <w:r w:rsidR="001C5108">
        <w:rPr>
          <w:rFonts w:cstheme="minorHAnsi"/>
        </w:rPr>
        <w:t xml:space="preserve"> As such we would be encouraged to see the ACCC assess the impact of the eventual pricing model on LTIE through improved affordability, penetration rates and </w:t>
      </w:r>
      <w:r w:rsidR="009A256D">
        <w:rPr>
          <w:rFonts w:cstheme="minorHAnsi"/>
        </w:rPr>
        <w:t>ability to promote efficient investment.</w:t>
      </w:r>
    </w:p>
    <w:p w:rsidR="00DD1B6E" w:rsidRDefault="00DD1B6E" w:rsidP="00DD1B6E">
      <w:pPr>
        <w:pStyle w:val="BodyText1"/>
        <w:rPr>
          <w:rFonts w:asciiTheme="minorHAnsi" w:hAnsiTheme="minorHAnsi" w:cstheme="minorHAnsi"/>
          <w:color w:val="auto"/>
        </w:rPr>
      </w:pPr>
      <w:r>
        <w:rPr>
          <w:rFonts w:asciiTheme="minorHAnsi" w:hAnsiTheme="minorHAnsi" w:cstheme="minorHAnsi"/>
          <w:color w:val="auto"/>
        </w:rPr>
        <w:t>Sincerely</w:t>
      </w:r>
      <w:r w:rsidR="00AD453C">
        <w:rPr>
          <w:rFonts w:asciiTheme="minorHAnsi" w:hAnsiTheme="minorHAnsi" w:cstheme="minorHAnsi"/>
          <w:color w:val="auto"/>
        </w:rPr>
        <w:t>,</w:t>
      </w:r>
    </w:p>
    <w:p w:rsidR="00104582" w:rsidRDefault="00104582" w:rsidP="00104582">
      <w:pPr>
        <w:pStyle w:val="BodyText1"/>
        <w:rPr>
          <w:rFonts w:asciiTheme="minorHAnsi" w:hAnsiTheme="minorHAnsi" w:cstheme="minorHAnsi"/>
          <w:color w:val="auto"/>
        </w:rPr>
      </w:pPr>
      <w:r>
        <w:rPr>
          <w:rFonts w:cstheme="minorHAnsi"/>
          <w:noProof/>
          <w:lang w:eastAsia="en-AU"/>
        </w:rPr>
        <w:drawing>
          <wp:inline distT="0" distB="0" distL="0" distR="0" wp14:anchorId="27B666E7" wp14:editId="1B966CCF">
            <wp:extent cx="1368353" cy="40005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8353" cy="400050"/>
                    </a:xfrm>
                    <a:prstGeom prst="rect">
                      <a:avLst/>
                    </a:prstGeom>
                    <a:noFill/>
                    <a:ln>
                      <a:noFill/>
                    </a:ln>
                  </pic:spPr>
                </pic:pic>
              </a:graphicData>
            </a:graphic>
          </wp:inline>
        </w:drawing>
      </w:r>
    </w:p>
    <w:p w:rsidR="00104582" w:rsidRDefault="00104582" w:rsidP="00104582">
      <w:pPr>
        <w:pStyle w:val="BodyText1"/>
        <w:spacing w:after="0"/>
        <w:rPr>
          <w:rFonts w:asciiTheme="minorHAnsi" w:hAnsiTheme="minorHAnsi" w:cstheme="minorHAnsi"/>
          <w:color w:val="auto"/>
        </w:rPr>
      </w:pPr>
      <w:r>
        <w:rPr>
          <w:rFonts w:asciiTheme="minorHAnsi" w:hAnsiTheme="minorHAnsi" w:cstheme="minorHAnsi"/>
          <w:color w:val="auto"/>
        </w:rPr>
        <w:t>Xavier O’Halloran</w:t>
      </w:r>
    </w:p>
    <w:p w:rsidR="00104582" w:rsidRPr="00C32DD1" w:rsidRDefault="00104582" w:rsidP="00104582">
      <w:pPr>
        <w:pStyle w:val="BodyText1"/>
        <w:spacing w:after="0"/>
        <w:rPr>
          <w:rFonts w:asciiTheme="minorHAnsi" w:hAnsiTheme="minorHAnsi" w:cstheme="minorHAnsi"/>
          <w:color w:val="auto"/>
        </w:rPr>
      </w:pPr>
      <w:r>
        <w:rPr>
          <w:rFonts w:asciiTheme="minorHAnsi" w:hAnsiTheme="minorHAnsi" w:cstheme="minorHAnsi"/>
          <w:color w:val="auto"/>
        </w:rPr>
        <w:t>ACCAN Policy Officer</w:t>
      </w:r>
    </w:p>
    <w:p w:rsidR="00DD1B6E" w:rsidRPr="00C32DD1" w:rsidRDefault="00DD1B6E" w:rsidP="00104582">
      <w:pPr>
        <w:pStyle w:val="BodyText1"/>
        <w:rPr>
          <w:rFonts w:asciiTheme="minorHAnsi" w:hAnsiTheme="minorHAnsi" w:cstheme="minorHAnsi"/>
          <w:color w:val="auto"/>
        </w:rPr>
      </w:pPr>
    </w:p>
    <w:sectPr w:rsidR="00DD1B6E" w:rsidRPr="00C32DD1" w:rsidSect="00084A5B">
      <w:headerReference w:type="default" r:id="rId13"/>
      <w:footerReference w:type="default" r:id="rId14"/>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528" w:rsidRDefault="00566528" w:rsidP="005820C9">
      <w:pPr>
        <w:spacing w:after="0" w:line="240" w:lineRule="auto"/>
      </w:pPr>
      <w:r>
        <w:separator/>
      </w:r>
    </w:p>
  </w:endnote>
  <w:endnote w:type="continuationSeparator" w:id="0">
    <w:p w:rsidR="00566528" w:rsidRDefault="00566528"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4116ED">
      <w:rPr>
        <w:noProof/>
      </w:rPr>
      <w:t>3</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528" w:rsidRDefault="00566528" w:rsidP="005820C9">
      <w:pPr>
        <w:spacing w:after="0" w:line="240" w:lineRule="auto"/>
      </w:pPr>
      <w:r>
        <w:separator/>
      </w:r>
    </w:p>
  </w:footnote>
  <w:footnote w:type="continuationSeparator" w:id="0">
    <w:p w:rsidR="00566528" w:rsidRDefault="00566528" w:rsidP="005820C9">
      <w:pPr>
        <w:spacing w:after="0" w:line="240" w:lineRule="auto"/>
      </w:pPr>
      <w:r>
        <w:continuationSeparator/>
      </w:r>
    </w:p>
  </w:footnote>
  <w:footnote w:id="1">
    <w:p w:rsidR="00FC097D" w:rsidRPr="00FC097D" w:rsidRDefault="00FC097D">
      <w:pPr>
        <w:pStyle w:val="FootnoteText"/>
        <w:rPr>
          <w:lang w:val="en-AU"/>
        </w:rPr>
      </w:pPr>
      <w:r>
        <w:rPr>
          <w:rStyle w:val="FootnoteReference"/>
        </w:rPr>
        <w:footnoteRef/>
      </w:r>
      <w:r>
        <w:t xml:space="preserve"> </w:t>
      </w:r>
      <w:r w:rsidRPr="00FC097D">
        <w:rPr>
          <w:i/>
          <w:lang w:val="en-AU"/>
        </w:rPr>
        <w:t>Telecommunications Act 1997</w:t>
      </w:r>
      <w:r>
        <w:rPr>
          <w:lang w:val="en-AU"/>
        </w:rPr>
        <w:t>, section 3(1)(c)</w:t>
      </w:r>
    </w:p>
  </w:footnote>
  <w:footnote w:id="2">
    <w:p w:rsidR="00AD453C" w:rsidRPr="00AD453C" w:rsidRDefault="00AD453C">
      <w:pPr>
        <w:pStyle w:val="FootnoteText"/>
        <w:rPr>
          <w:lang w:val="en-AU"/>
        </w:rPr>
      </w:pPr>
      <w:r>
        <w:rPr>
          <w:rStyle w:val="FootnoteReference"/>
        </w:rPr>
        <w:footnoteRef/>
      </w:r>
      <w:r>
        <w:t xml:space="preserve"> </w:t>
      </w:r>
      <w:r>
        <w:rPr>
          <w:lang w:val="en-AU"/>
        </w:rPr>
        <w:t>ABS, 2014, ‘</w:t>
      </w:r>
      <w:r w:rsidRPr="00AD453C">
        <w:rPr>
          <w:lang w:val="en-AU"/>
        </w:rPr>
        <w:t>Household Use of Information Technology, Australia, 2012-13</w:t>
      </w:r>
      <w:r>
        <w:rPr>
          <w:lang w:val="en-AU"/>
        </w:rPr>
        <w:t>’</w:t>
      </w:r>
    </w:p>
  </w:footnote>
  <w:footnote w:id="3">
    <w:p w:rsidR="0039038C" w:rsidRPr="00AD453C" w:rsidRDefault="0039038C" w:rsidP="0039038C">
      <w:pPr>
        <w:pStyle w:val="FootnoteText"/>
        <w:rPr>
          <w:lang w:val="en-AU"/>
        </w:rPr>
      </w:pPr>
      <w:r>
        <w:rPr>
          <w:rStyle w:val="FootnoteReference"/>
        </w:rPr>
        <w:footnoteRef/>
      </w:r>
      <w:r>
        <w:t xml:space="preserve"> </w:t>
      </w:r>
      <w:r>
        <w:rPr>
          <w:lang w:val="en-AU"/>
        </w:rPr>
        <w:t>ABS, 2014, ‘</w:t>
      </w:r>
      <w:r w:rsidRPr="00AD453C">
        <w:rPr>
          <w:lang w:val="en-AU"/>
        </w:rPr>
        <w:t>Household Use of Information Technology, Australia, 2012-13</w:t>
      </w:r>
      <w:r>
        <w:rPr>
          <w:lang w:val="en-AU"/>
        </w:rPr>
        <w:t>’</w:t>
      </w:r>
    </w:p>
  </w:footnote>
  <w:footnote w:id="4">
    <w:p w:rsidR="0039038C" w:rsidRPr="0039038C" w:rsidRDefault="0039038C">
      <w:pPr>
        <w:pStyle w:val="FootnoteText"/>
        <w:rPr>
          <w:lang w:val="en-AU"/>
        </w:rPr>
      </w:pPr>
      <w:r>
        <w:rPr>
          <w:rStyle w:val="FootnoteReference"/>
        </w:rPr>
        <w:footnoteRef/>
      </w:r>
      <w:r>
        <w:t xml:space="preserve"> </w:t>
      </w:r>
      <w:r>
        <w:rPr>
          <w:lang w:val="en-AU"/>
        </w:rPr>
        <w:t>ABS, 2014, ‘</w:t>
      </w:r>
      <w:r w:rsidRPr="00AD453C">
        <w:rPr>
          <w:lang w:val="en-AU"/>
        </w:rPr>
        <w:t>Household Use of Information Technology, Australia, 2012-13</w:t>
      </w:r>
      <w:r>
        <w:rPr>
          <w:lang w:val="en-AU"/>
        </w:rPr>
        <w:t>’</w:t>
      </w:r>
    </w:p>
  </w:footnote>
  <w:footnote w:id="5">
    <w:p w:rsidR="001740DF" w:rsidRPr="001740DF" w:rsidRDefault="001740DF">
      <w:pPr>
        <w:pStyle w:val="FootnoteText"/>
        <w:rPr>
          <w:lang w:val="en-AU"/>
        </w:rPr>
      </w:pPr>
      <w:r>
        <w:rPr>
          <w:rStyle w:val="FootnoteReference"/>
        </w:rPr>
        <w:footnoteRef/>
      </w:r>
      <w:r>
        <w:t xml:space="preserve"> </w:t>
      </w:r>
      <w:r>
        <w:rPr>
          <w:lang w:val="en-AU"/>
        </w:rPr>
        <w:t xml:space="preserve">Campbell, S., Mason, C.M., Griffith, C., Sane, S.K., </w:t>
      </w:r>
      <w:proofErr w:type="spellStart"/>
      <w:r>
        <w:rPr>
          <w:lang w:val="en-AU"/>
        </w:rPr>
        <w:t>Reeson</w:t>
      </w:r>
      <w:proofErr w:type="spellEnd"/>
      <w:r>
        <w:rPr>
          <w:lang w:val="en-AU"/>
        </w:rPr>
        <w:t>, A., O’Brien-</w:t>
      </w:r>
      <w:proofErr w:type="spellStart"/>
      <w:r>
        <w:rPr>
          <w:lang w:val="en-AU"/>
        </w:rPr>
        <w:t>McInally</w:t>
      </w:r>
      <w:proofErr w:type="spellEnd"/>
      <w:r>
        <w:rPr>
          <w:lang w:val="en-AU"/>
        </w:rPr>
        <w:t>, B.A., Kimber, J.D., 2013, ‘Broadband impact and challenges: Realising the benefits from the digital economy’, Australian Centre for Broadband Innovation, CSIRO, EP1312215</w:t>
      </w:r>
    </w:p>
  </w:footnote>
  <w:footnote w:id="6">
    <w:p w:rsidR="001740DF" w:rsidRPr="0039038C" w:rsidRDefault="001740DF" w:rsidP="001740DF">
      <w:pPr>
        <w:pStyle w:val="FootnoteText"/>
        <w:rPr>
          <w:lang w:val="en-AU"/>
        </w:rPr>
      </w:pPr>
      <w:r>
        <w:rPr>
          <w:rStyle w:val="FootnoteReference"/>
        </w:rPr>
        <w:footnoteRef/>
      </w:r>
      <w:r>
        <w:t xml:space="preserve"> </w:t>
      </w:r>
      <w:r>
        <w:rPr>
          <w:lang w:val="en-AU"/>
        </w:rPr>
        <w:t>ABS, 2014, ‘</w:t>
      </w:r>
      <w:r w:rsidRPr="00AD453C">
        <w:rPr>
          <w:lang w:val="en-AU"/>
        </w:rPr>
        <w:t>Household Use of Information Technology, Australia, 2012-13</w:t>
      </w:r>
      <w:r>
        <w:rPr>
          <w:lang w:val="en-AU"/>
        </w:rPr>
        <w:t>’</w:t>
      </w:r>
    </w:p>
  </w:footnote>
  <w:footnote w:id="7">
    <w:p w:rsidR="001740DF" w:rsidRPr="002D7D0E" w:rsidRDefault="001740DF" w:rsidP="001740DF">
      <w:pPr>
        <w:pStyle w:val="FootnoteText"/>
        <w:rPr>
          <w:lang w:val="en-AU"/>
        </w:rPr>
      </w:pPr>
      <w:r>
        <w:rPr>
          <w:rStyle w:val="FootnoteReference"/>
        </w:rPr>
        <w:footnoteRef/>
      </w:r>
      <w:r>
        <w:t xml:space="preserve"> </w:t>
      </w:r>
      <w:proofErr w:type="spellStart"/>
      <w:r>
        <w:rPr>
          <w:lang w:val="en-AU"/>
        </w:rPr>
        <w:t>Anglicare</w:t>
      </w:r>
      <w:proofErr w:type="spellEnd"/>
      <w:r>
        <w:rPr>
          <w:lang w:val="en-AU"/>
        </w:rPr>
        <w:t xml:space="preserve"> Victoria, 2013, ‘Telecommunications access and affordability among people experiencing financial hardship’, p.13</w:t>
      </w:r>
    </w:p>
  </w:footnote>
  <w:footnote w:id="8">
    <w:p w:rsidR="00E15269" w:rsidRPr="00E15269" w:rsidRDefault="00E15269">
      <w:pPr>
        <w:pStyle w:val="FootnoteText"/>
        <w:rPr>
          <w:lang w:val="en-AU"/>
        </w:rPr>
      </w:pPr>
      <w:r>
        <w:rPr>
          <w:rStyle w:val="FootnoteReference"/>
        </w:rPr>
        <w:footnoteRef/>
      </w:r>
      <w:r>
        <w:t xml:space="preserve"> </w:t>
      </w:r>
      <w:proofErr w:type="spellStart"/>
      <w:r>
        <w:rPr>
          <w:lang w:val="en-AU"/>
        </w:rPr>
        <w:t>Koutroumpis</w:t>
      </w:r>
      <w:proofErr w:type="spellEnd"/>
      <w:r>
        <w:rPr>
          <w:lang w:val="en-AU"/>
        </w:rPr>
        <w:t xml:space="preserve">, P., 2009, ‘The economic impact of broadband on growth: A simultaneous approach’, </w:t>
      </w:r>
      <w:r>
        <w:rPr>
          <w:i/>
          <w:lang w:val="en-AU"/>
        </w:rPr>
        <w:t>Telecommunications Policy</w:t>
      </w:r>
      <w:r>
        <w:rPr>
          <w:lang w:val="en-AU"/>
        </w:rPr>
        <w:t>, 33 (2009)</w:t>
      </w:r>
      <w:r w:rsidR="007A7865">
        <w:rPr>
          <w:lang w:val="en-AU"/>
        </w:rPr>
        <w:t>, pp.471-485</w:t>
      </w:r>
    </w:p>
  </w:footnote>
  <w:footnote w:id="9">
    <w:p w:rsidR="006B3265" w:rsidRPr="00E15269" w:rsidRDefault="006B3265" w:rsidP="006B3265">
      <w:pPr>
        <w:pStyle w:val="FootnoteText"/>
        <w:rPr>
          <w:lang w:val="en-AU"/>
        </w:rPr>
      </w:pPr>
      <w:r>
        <w:rPr>
          <w:rStyle w:val="FootnoteReference"/>
        </w:rPr>
        <w:footnoteRef/>
      </w:r>
      <w:r>
        <w:t xml:space="preserve"> </w:t>
      </w:r>
      <w:proofErr w:type="spellStart"/>
      <w:r>
        <w:rPr>
          <w:lang w:val="en-AU"/>
        </w:rPr>
        <w:t>Koutroumpis</w:t>
      </w:r>
      <w:proofErr w:type="spellEnd"/>
      <w:r>
        <w:rPr>
          <w:lang w:val="en-AU"/>
        </w:rPr>
        <w:t xml:space="preserve">, P., 2009, ‘The economic impact of broadband on growth: A simultaneous approach’, </w:t>
      </w:r>
      <w:r>
        <w:rPr>
          <w:i/>
          <w:lang w:val="en-AU"/>
        </w:rPr>
        <w:t>Telecommunications Policy</w:t>
      </w:r>
      <w:r>
        <w:rPr>
          <w:lang w:val="en-AU"/>
        </w:rPr>
        <w:t>, 33 (2009), pp.471-485</w:t>
      </w:r>
    </w:p>
  </w:footnote>
  <w:footnote w:id="10">
    <w:p w:rsidR="00166E6C" w:rsidRPr="00166E6C" w:rsidRDefault="00166E6C">
      <w:pPr>
        <w:pStyle w:val="FootnoteText"/>
        <w:rPr>
          <w:lang w:val="en-AU"/>
        </w:rPr>
      </w:pPr>
      <w:r>
        <w:rPr>
          <w:rStyle w:val="FootnoteReference"/>
        </w:rPr>
        <w:footnoteRef/>
      </w:r>
      <w:r>
        <w:t xml:space="preserve"> </w:t>
      </w:r>
      <w:r>
        <w:rPr>
          <w:lang w:val="en-AU"/>
        </w:rPr>
        <w:t xml:space="preserve">Campbell, S., Mason, C.M., Griffith, C., Sane, S.K., </w:t>
      </w:r>
      <w:proofErr w:type="spellStart"/>
      <w:r>
        <w:rPr>
          <w:lang w:val="en-AU"/>
        </w:rPr>
        <w:t>Reeson</w:t>
      </w:r>
      <w:proofErr w:type="spellEnd"/>
      <w:r>
        <w:rPr>
          <w:lang w:val="en-AU"/>
        </w:rPr>
        <w:t>, A., O’Brien-</w:t>
      </w:r>
      <w:proofErr w:type="spellStart"/>
      <w:r>
        <w:rPr>
          <w:lang w:val="en-AU"/>
        </w:rPr>
        <w:t>McInally</w:t>
      </w:r>
      <w:proofErr w:type="spellEnd"/>
      <w:r>
        <w:rPr>
          <w:lang w:val="en-AU"/>
        </w:rPr>
        <w:t>, B.A., Kimber, J.D., 2013, ‘Broadband impact and challenges: Realising the benefits from the digital economy’, Australian Centre for Broadband Innovation, CSIRO, EP1312215</w:t>
      </w:r>
    </w:p>
  </w:footnote>
  <w:footnote w:id="11">
    <w:p w:rsidR="00142A04" w:rsidRPr="00142A04" w:rsidRDefault="00142A04">
      <w:pPr>
        <w:pStyle w:val="FootnoteText"/>
        <w:rPr>
          <w:lang w:val="en-AU"/>
        </w:rPr>
      </w:pPr>
      <w:r>
        <w:rPr>
          <w:rStyle w:val="FootnoteReference"/>
        </w:rPr>
        <w:footnoteRef/>
      </w:r>
      <w:r>
        <w:t xml:space="preserve"> </w:t>
      </w:r>
      <w:r>
        <w:rPr>
          <w:lang w:val="en-AU"/>
        </w:rPr>
        <w:t>ABS, 2014, ‘</w:t>
      </w:r>
      <w:r w:rsidRPr="00AD453C">
        <w:rPr>
          <w:lang w:val="en-AU"/>
        </w:rPr>
        <w:t>Household Use of Information Technology, Australia, 2012-13</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281B"/>
    <w:multiLevelType w:val="hybridMultilevel"/>
    <w:tmpl w:val="82821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8"/>
    <w:rsid w:val="00002D94"/>
    <w:rsid w:val="00027253"/>
    <w:rsid w:val="00084A5B"/>
    <w:rsid w:val="00104582"/>
    <w:rsid w:val="00142A04"/>
    <w:rsid w:val="001627E8"/>
    <w:rsid w:val="00166E6C"/>
    <w:rsid w:val="001740DF"/>
    <w:rsid w:val="001C28E7"/>
    <w:rsid w:val="001C5108"/>
    <w:rsid w:val="001E391A"/>
    <w:rsid w:val="00234042"/>
    <w:rsid w:val="002D7D0E"/>
    <w:rsid w:val="0039038C"/>
    <w:rsid w:val="00397AD2"/>
    <w:rsid w:val="003B1499"/>
    <w:rsid w:val="003E6503"/>
    <w:rsid w:val="004116ED"/>
    <w:rsid w:val="004552EA"/>
    <w:rsid w:val="004703AC"/>
    <w:rsid w:val="00472C7E"/>
    <w:rsid w:val="004850E4"/>
    <w:rsid w:val="00490FAC"/>
    <w:rsid w:val="004A01EB"/>
    <w:rsid w:val="004A555A"/>
    <w:rsid w:val="004B5F63"/>
    <w:rsid w:val="004C3886"/>
    <w:rsid w:val="00566528"/>
    <w:rsid w:val="00581411"/>
    <w:rsid w:val="005820C9"/>
    <w:rsid w:val="005A673E"/>
    <w:rsid w:val="006B3265"/>
    <w:rsid w:val="006B4B92"/>
    <w:rsid w:val="00746F7A"/>
    <w:rsid w:val="007506AE"/>
    <w:rsid w:val="00787BA2"/>
    <w:rsid w:val="007A3E1A"/>
    <w:rsid w:val="007A7865"/>
    <w:rsid w:val="007B6DD8"/>
    <w:rsid w:val="007D3F16"/>
    <w:rsid w:val="00874727"/>
    <w:rsid w:val="008A19E7"/>
    <w:rsid w:val="008A4045"/>
    <w:rsid w:val="008E5A6D"/>
    <w:rsid w:val="008F7E90"/>
    <w:rsid w:val="009A227B"/>
    <w:rsid w:val="009A256D"/>
    <w:rsid w:val="00A4447D"/>
    <w:rsid w:val="00AA686C"/>
    <w:rsid w:val="00AB1596"/>
    <w:rsid w:val="00AC76C9"/>
    <w:rsid w:val="00AD453C"/>
    <w:rsid w:val="00AE2840"/>
    <w:rsid w:val="00B4140A"/>
    <w:rsid w:val="00B418A0"/>
    <w:rsid w:val="00B81C12"/>
    <w:rsid w:val="00B87233"/>
    <w:rsid w:val="00B94449"/>
    <w:rsid w:val="00BA6536"/>
    <w:rsid w:val="00C32DD1"/>
    <w:rsid w:val="00C4251E"/>
    <w:rsid w:val="00C613FC"/>
    <w:rsid w:val="00C6549A"/>
    <w:rsid w:val="00CF5B31"/>
    <w:rsid w:val="00D3636E"/>
    <w:rsid w:val="00D45945"/>
    <w:rsid w:val="00D54369"/>
    <w:rsid w:val="00D574E1"/>
    <w:rsid w:val="00D66D95"/>
    <w:rsid w:val="00D83168"/>
    <w:rsid w:val="00DD1B6E"/>
    <w:rsid w:val="00DD7C1C"/>
    <w:rsid w:val="00E05115"/>
    <w:rsid w:val="00E15269"/>
    <w:rsid w:val="00E54047"/>
    <w:rsid w:val="00E81ECD"/>
    <w:rsid w:val="00ED5EF4"/>
    <w:rsid w:val="00F47C64"/>
    <w:rsid w:val="00F61950"/>
    <w:rsid w:val="00F61F28"/>
    <w:rsid w:val="00F63571"/>
    <w:rsid w:val="00F7444C"/>
    <w:rsid w:val="00F76853"/>
    <w:rsid w:val="00F860D4"/>
    <w:rsid w:val="00FC0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FC097D"/>
  </w:style>
  <w:style w:type="paragraph" w:styleId="Heading1">
    <w:name w:val="heading 1"/>
    <w:basedOn w:val="Normal"/>
    <w:next w:val="Normal"/>
    <w:link w:val="Heading1Char"/>
    <w:uiPriority w:val="9"/>
    <w:qFormat/>
    <w:rsid w:val="00FC0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0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09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09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09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09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09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9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09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0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09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09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09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097D"/>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FC097D"/>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FC0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97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FC097D"/>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7D"/>
    <w:pPr>
      <w:ind w:left="720"/>
      <w:contextualSpacing/>
    </w:pPr>
  </w:style>
  <w:style w:type="paragraph" w:styleId="TOCHeading">
    <w:name w:val="TOC Heading"/>
    <w:basedOn w:val="Heading1"/>
    <w:next w:val="Normal"/>
    <w:uiPriority w:val="39"/>
    <w:semiHidden/>
    <w:unhideWhenUsed/>
    <w:qFormat/>
    <w:rsid w:val="00FC097D"/>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FC097D"/>
    <w:pPr>
      <w:spacing w:after="0" w:line="240" w:lineRule="auto"/>
    </w:pPr>
  </w:style>
  <w:style w:type="paragraph" w:customStyle="1" w:styleId="BodyText1">
    <w:name w:val="Body Text1"/>
    <w:basedOn w:val="Normal"/>
    <w:rsid w:val="00084A5B"/>
    <w:rPr>
      <w:rFonts w:ascii="Arial" w:eastAsia="Calibri" w:hAnsi="Arial" w:cs="Arial"/>
      <w:color w:val="000000"/>
    </w:rPr>
  </w:style>
  <w:style w:type="character" w:customStyle="1" w:styleId="Heading7Char">
    <w:name w:val="Heading 7 Char"/>
    <w:basedOn w:val="DefaultParagraphFont"/>
    <w:link w:val="Heading7"/>
    <w:uiPriority w:val="9"/>
    <w:semiHidden/>
    <w:rsid w:val="00FC09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9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097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C09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97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C097D"/>
    <w:rPr>
      <w:i/>
      <w:iCs/>
    </w:rPr>
  </w:style>
  <w:style w:type="paragraph" w:styleId="Quote">
    <w:name w:val="Quote"/>
    <w:basedOn w:val="Normal"/>
    <w:next w:val="Normal"/>
    <w:link w:val="QuoteChar"/>
    <w:uiPriority w:val="29"/>
    <w:qFormat/>
    <w:rsid w:val="00FC097D"/>
    <w:rPr>
      <w:i/>
      <w:iCs/>
      <w:color w:val="000000" w:themeColor="text1"/>
    </w:rPr>
  </w:style>
  <w:style w:type="character" w:customStyle="1" w:styleId="QuoteChar">
    <w:name w:val="Quote Char"/>
    <w:basedOn w:val="DefaultParagraphFont"/>
    <w:link w:val="Quote"/>
    <w:uiPriority w:val="29"/>
    <w:rsid w:val="00FC097D"/>
    <w:rPr>
      <w:i/>
      <w:iCs/>
      <w:color w:val="000000" w:themeColor="text1"/>
    </w:rPr>
  </w:style>
  <w:style w:type="paragraph" w:styleId="IntenseQuote">
    <w:name w:val="Intense Quote"/>
    <w:basedOn w:val="Normal"/>
    <w:next w:val="Normal"/>
    <w:link w:val="IntenseQuoteChar"/>
    <w:uiPriority w:val="30"/>
    <w:qFormat/>
    <w:rsid w:val="00FC09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097D"/>
    <w:rPr>
      <w:b/>
      <w:bCs/>
      <w:i/>
      <w:iCs/>
      <w:color w:val="4F81BD" w:themeColor="accent1"/>
    </w:rPr>
  </w:style>
  <w:style w:type="character" w:styleId="SubtleEmphasis">
    <w:name w:val="Subtle Emphasis"/>
    <w:basedOn w:val="DefaultParagraphFont"/>
    <w:uiPriority w:val="19"/>
    <w:qFormat/>
    <w:rsid w:val="00FC097D"/>
    <w:rPr>
      <w:i/>
      <w:iCs/>
      <w:color w:val="808080" w:themeColor="text1" w:themeTint="7F"/>
    </w:rPr>
  </w:style>
  <w:style w:type="character" w:styleId="IntenseEmphasis">
    <w:name w:val="Intense Emphasis"/>
    <w:basedOn w:val="DefaultParagraphFont"/>
    <w:uiPriority w:val="21"/>
    <w:qFormat/>
    <w:rsid w:val="00FC097D"/>
    <w:rPr>
      <w:b/>
      <w:bCs/>
      <w:i/>
      <w:iCs/>
      <w:color w:val="4F81BD" w:themeColor="accent1"/>
    </w:rPr>
  </w:style>
  <w:style w:type="character" w:styleId="SubtleReference">
    <w:name w:val="Subtle Reference"/>
    <w:basedOn w:val="DefaultParagraphFont"/>
    <w:uiPriority w:val="31"/>
    <w:qFormat/>
    <w:rsid w:val="00FC097D"/>
    <w:rPr>
      <w:smallCaps/>
      <w:color w:val="C0504D" w:themeColor="accent2"/>
      <w:u w:val="single"/>
    </w:rPr>
  </w:style>
  <w:style w:type="character" w:styleId="IntenseReference">
    <w:name w:val="Intense Reference"/>
    <w:basedOn w:val="DefaultParagraphFont"/>
    <w:uiPriority w:val="32"/>
    <w:qFormat/>
    <w:rsid w:val="00FC097D"/>
    <w:rPr>
      <w:b/>
      <w:bCs/>
      <w:smallCaps/>
      <w:color w:val="C0504D" w:themeColor="accent2"/>
      <w:spacing w:val="5"/>
      <w:u w:val="single"/>
    </w:rPr>
  </w:style>
  <w:style w:type="character" w:styleId="BookTitle">
    <w:name w:val="Book Title"/>
    <w:basedOn w:val="DefaultParagraphFont"/>
    <w:uiPriority w:val="33"/>
    <w:qFormat/>
    <w:rsid w:val="00FC097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te/Address"/>
    <w:qFormat/>
    <w:rsid w:val="00FC097D"/>
  </w:style>
  <w:style w:type="paragraph" w:styleId="Heading1">
    <w:name w:val="heading 1"/>
    <w:basedOn w:val="Normal"/>
    <w:next w:val="Normal"/>
    <w:link w:val="Heading1Char"/>
    <w:uiPriority w:val="9"/>
    <w:qFormat/>
    <w:rsid w:val="00FC0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0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097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09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09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C09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09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09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09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9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09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09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09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09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097D"/>
    <w:rPr>
      <w:rFonts w:asciiTheme="majorHAnsi" w:eastAsiaTheme="majorEastAsia" w:hAnsiTheme="majorHAnsi" w:cstheme="majorBidi"/>
      <w:i/>
      <w:iCs/>
      <w:color w:val="243F60" w:themeColor="accent1" w:themeShade="7F"/>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qFormat/>
    <w:rsid w:val="00FC097D"/>
    <w:pPr>
      <w:spacing w:line="240" w:lineRule="auto"/>
    </w:pPr>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uiPriority w:val="10"/>
    <w:qFormat/>
    <w:rsid w:val="00FC09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97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qFormat/>
    <w:rsid w:val="00FC097D"/>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097D"/>
    <w:pPr>
      <w:ind w:left="720"/>
      <w:contextualSpacing/>
    </w:pPr>
  </w:style>
  <w:style w:type="paragraph" w:styleId="TOCHeading">
    <w:name w:val="TOC Heading"/>
    <w:basedOn w:val="Heading1"/>
    <w:next w:val="Normal"/>
    <w:uiPriority w:val="39"/>
    <w:semiHidden/>
    <w:unhideWhenUsed/>
    <w:qFormat/>
    <w:rsid w:val="00FC097D"/>
    <w:pPr>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qFormat/>
    <w:rsid w:val="00FC097D"/>
    <w:pPr>
      <w:spacing w:after="0" w:line="240" w:lineRule="auto"/>
    </w:pPr>
  </w:style>
  <w:style w:type="paragraph" w:customStyle="1" w:styleId="BodyText1">
    <w:name w:val="Body Text1"/>
    <w:basedOn w:val="Normal"/>
    <w:rsid w:val="00084A5B"/>
    <w:rPr>
      <w:rFonts w:ascii="Arial" w:eastAsia="Calibri" w:hAnsi="Arial" w:cs="Arial"/>
      <w:color w:val="000000"/>
    </w:rPr>
  </w:style>
  <w:style w:type="character" w:customStyle="1" w:styleId="Heading7Char">
    <w:name w:val="Heading 7 Char"/>
    <w:basedOn w:val="DefaultParagraphFont"/>
    <w:link w:val="Heading7"/>
    <w:uiPriority w:val="9"/>
    <w:semiHidden/>
    <w:rsid w:val="00FC09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097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097D"/>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FC09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97D"/>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FC097D"/>
    <w:rPr>
      <w:i/>
      <w:iCs/>
    </w:rPr>
  </w:style>
  <w:style w:type="paragraph" w:styleId="Quote">
    <w:name w:val="Quote"/>
    <w:basedOn w:val="Normal"/>
    <w:next w:val="Normal"/>
    <w:link w:val="QuoteChar"/>
    <w:uiPriority w:val="29"/>
    <w:qFormat/>
    <w:rsid w:val="00FC097D"/>
    <w:rPr>
      <w:i/>
      <w:iCs/>
      <w:color w:val="000000" w:themeColor="text1"/>
    </w:rPr>
  </w:style>
  <w:style w:type="character" w:customStyle="1" w:styleId="QuoteChar">
    <w:name w:val="Quote Char"/>
    <w:basedOn w:val="DefaultParagraphFont"/>
    <w:link w:val="Quote"/>
    <w:uiPriority w:val="29"/>
    <w:rsid w:val="00FC097D"/>
    <w:rPr>
      <w:i/>
      <w:iCs/>
      <w:color w:val="000000" w:themeColor="text1"/>
    </w:rPr>
  </w:style>
  <w:style w:type="paragraph" w:styleId="IntenseQuote">
    <w:name w:val="Intense Quote"/>
    <w:basedOn w:val="Normal"/>
    <w:next w:val="Normal"/>
    <w:link w:val="IntenseQuoteChar"/>
    <w:uiPriority w:val="30"/>
    <w:qFormat/>
    <w:rsid w:val="00FC09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097D"/>
    <w:rPr>
      <w:b/>
      <w:bCs/>
      <w:i/>
      <w:iCs/>
      <w:color w:val="4F81BD" w:themeColor="accent1"/>
    </w:rPr>
  </w:style>
  <w:style w:type="character" w:styleId="SubtleEmphasis">
    <w:name w:val="Subtle Emphasis"/>
    <w:basedOn w:val="DefaultParagraphFont"/>
    <w:uiPriority w:val="19"/>
    <w:qFormat/>
    <w:rsid w:val="00FC097D"/>
    <w:rPr>
      <w:i/>
      <w:iCs/>
      <w:color w:val="808080" w:themeColor="text1" w:themeTint="7F"/>
    </w:rPr>
  </w:style>
  <w:style w:type="character" w:styleId="IntenseEmphasis">
    <w:name w:val="Intense Emphasis"/>
    <w:basedOn w:val="DefaultParagraphFont"/>
    <w:uiPriority w:val="21"/>
    <w:qFormat/>
    <w:rsid w:val="00FC097D"/>
    <w:rPr>
      <w:b/>
      <w:bCs/>
      <w:i/>
      <w:iCs/>
      <w:color w:val="4F81BD" w:themeColor="accent1"/>
    </w:rPr>
  </w:style>
  <w:style w:type="character" w:styleId="SubtleReference">
    <w:name w:val="Subtle Reference"/>
    <w:basedOn w:val="DefaultParagraphFont"/>
    <w:uiPriority w:val="31"/>
    <w:qFormat/>
    <w:rsid w:val="00FC097D"/>
    <w:rPr>
      <w:smallCaps/>
      <w:color w:val="C0504D" w:themeColor="accent2"/>
      <w:u w:val="single"/>
    </w:rPr>
  </w:style>
  <w:style w:type="character" w:styleId="IntenseReference">
    <w:name w:val="Intense Reference"/>
    <w:basedOn w:val="DefaultParagraphFont"/>
    <w:uiPriority w:val="32"/>
    <w:qFormat/>
    <w:rsid w:val="00FC097D"/>
    <w:rPr>
      <w:b/>
      <w:bCs/>
      <w:smallCaps/>
      <w:color w:val="C0504D" w:themeColor="accent2"/>
      <w:spacing w:val="5"/>
      <w:u w:val="single"/>
    </w:rPr>
  </w:style>
  <w:style w:type="character" w:styleId="BookTitle">
    <w:name w:val="Book Title"/>
    <w:basedOn w:val="DefaultParagraphFont"/>
    <w:uiPriority w:val="33"/>
    <w:qFormat/>
    <w:rsid w:val="00FC097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xedservices@acc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Short%20submission%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579CB-78A3-438B-9BA1-8CB32A64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2014.dotx</Template>
  <TotalTime>683</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ACCAN</dc:creator>
  <cp:lastModifiedBy>ACCAN</cp:lastModifiedBy>
  <cp:revision>9</cp:revision>
  <cp:lastPrinted>2014-10-03T00:25:00Z</cp:lastPrinted>
  <dcterms:created xsi:type="dcterms:W3CDTF">2014-09-30T23:23:00Z</dcterms:created>
  <dcterms:modified xsi:type="dcterms:W3CDTF">2014-10-03T00:36:00Z</dcterms:modified>
</cp:coreProperties>
</file>