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4B" w:rsidRDefault="00B31B09" w:rsidP="00C0424B">
      <w:pPr>
        <w:spacing w:after="0"/>
        <w:rPr>
          <w:lang w:val="en-AU"/>
        </w:rPr>
      </w:pPr>
      <w:r>
        <w:rPr>
          <w:lang w:val="en-AU"/>
        </w:rPr>
        <w:t>22</w:t>
      </w:r>
      <w:r w:rsidRPr="00B31B09">
        <w:rPr>
          <w:vertAlign w:val="superscript"/>
          <w:lang w:val="en-AU"/>
        </w:rPr>
        <w:t>nd</w:t>
      </w:r>
      <w:r>
        <w:rPr>
          <w:lang w:val="en-AU"/>
        </w:rPr>
        <w:t xml:space="preserve"> December 2017</w:t>
      </w:r>
    </w:p>
    <w:p w:rsidR="00C0424B" w:rsidRDefault="00C0424B" w:rsidP="00B31B09">
      <w:pPr>
        <w:spacing w:before="240" w:after="0"/>
        <w:rPr>
          <w:lang w:val="en-AU"/>
        </w:rPr>
      </w:pPr>
      <w:r>
        <w:rPr>
          <w:lang w:val="en-AU"/>
        </w:rPr>
        <w:t>Robert Wright</w:t>
      </w:r>
    </w:p>
    <w:p w:rsidR="00C0424B" w:rsidRDefault="00C0424B" w:rsidP="00C0424B">
      <w:pPr>
        <w:spacing w:after="0"/>
        <w:rPr>
          <w:lang w:val="en-AU"/>
        </w:rPr>
      </w:pPr>
      <w:r>
        <w:rPr>
          <w:lang w:val="en-AU"/>
        </w:rPr>
        <w:t>Infrastructure Regulation Division</w:t>
      </w:r>
    </w:p>
    <w:p w:rsidR="00C0424B" w:rsidRDefault="00C0424B" w:rsidP="00C0424B">
      <w:pPr>
        <w:spacing w:after="0"/>
        <w:rPr>
          <w:lang w:val="en-AU"/>
        </w:rPr>
      </w:pPr>
      <w:r>
        <w:rPr>
          <w:lang w:val="en-AU"/>
        </w:rPr>
        <w:t>ACCC</w:t>
      </w:r>
    </w:p>
    <w:p w:rsidR="00C0424B" w:rsidRPr="00C0424B" w:rsidRDefault="00C0424B" w:rsidP="00C0424B">
      <w:pPr>
        <w:spacing w:after="0"/>
        <w:rPr>
          <w:lang w:val="en-AU"/>
        </w:rPr>
      </w:pPr>
      <w:r>
        <w:rPr>
          <w:lang w:val="en-AU"/>
        </w:rPr>
        <w:t xml:space="preserve">Via email: </w:t>
      </w:r>
      <w:hyperlink r:id="rId9" w:history="1">
        <w:r w:rsidRPr="006906AD">
          <w:rPr>
            <w:rStyle w:val="Hyperlink"/>
            <w:lang w:val="en-AU"/>
          </w:rPr>
          <w:t>Robert.wright@accc.gov.au</w:t>
        </w:r>
      </w:hyperlink>
      <w:r>
        <w:rPr>
          <w:lang w:val="en-AU"/>
        </w:rPr>
        <w:t xml:space="preserve">; </w:t>
      </w:r>
      <w:hyperlink r:id="rId10" w:history="1">
        <w:r w:rsidRPr="006906AD">
          <w:rPr>
            <w:rStyle w:val="Hyperlink"/>
            <w:lang w:val="en-AU"/>
          </w:rPr>
          <w:t>ssu-migration@accc.gov.au</w:t>
        </w:r>
      </w:hyperlink>
      <w:r>
        <w:rPr>
          <w:lang w:val="en-AU"/>
        </w:rPr>
        <w:t xml:space="preserve">; </w:t>
      </w:r>
    </w:p>
    <w:p w:rsidR="00C0424B" w:rsidRPr="00C0424B" w:rsidRDefault="00C0424B" w:rsidP="00C0424B">
      <w:pPr>
        <w:spacing w:before="240"/>
        <w:jc w:val="center"/>
        <w:rPr>
          <w:b/>
          <w:lang w:val="en-AU"/>
        </w:rPr>
      </w:pPr>
      <w:r w:rsidRPr="00C0424B">
        <w:rPr>
          <w:b/>
          <w:lang w:val="en-AU"/>
        </w:rPr>
        <w:t xml:space="preserve">RE: </w:t>
      </w:r>
      <w:r>
        <w:rPr>
          <w:b/>
          <w:lang w:val="en-AU"/>
        </w:rPr>
        <w:t>Telstra’s proposal to vary the Migration Plan to facilitate the rollout of Fibre to the Curb for the NBN</w:t>
      </w:r>
    </w:p>
    <w:p w:rsidR="00912793" w:rsidRDefault="00C0424B">
      <w:pPr>
        <w:rPr>
          <w:lang w:val="en-AU"/>
        </w:rPr>
      </w:pPr>
      <w:r>
        <w:rPr>
          <w:lang w:val="en-AU"/>
        </w:rPr>
        <w:t>ACCAN w</w:t>
      </w:r>
      <w:r w:rsidR="00912793">
        <w:rPr>
          <w:lang w:val="en-AU"/>
        </w:rPr>
        <w:t>ishes to thank the ACCC for the opportunity to submit to its discussion paper on</w:t>
      </w:r>
      <w:r w:rsidR="00912793" w:rsidRPr="00912793">
        <w:rPr>
          <w:b/>
          <w:lang w:val="en-AU"/>
        </w:rPr>
        <w:t xml:space="preserve"> </w:t>
      </w:r>
      <w:r w:rsidR="00912793" w:rsidRPr="00912793">
        <w:rPr>
          <w:lang w:val="en-AU"/>
        </w:rPr>
        <w:t>Telstra’s proposal to vary the Migration Plan to facilitate the rollout of Fibre to the Curb</w:t>
      </w:r>
      <w:r w:rsidR="00753CF6">
        <w:rPr>
          <w:lang w:val="en-AU"/>
        </w:rPr>
        <w:t xml:space="preserve"> (FTTC)</w:t>
      </w:r>
      <w:r w:rsidR="00912793" w:rsidRPr="00912793">
        <w:rPr>
          <w:lang w:val="en-AU"/>
        </w:rPr>
        <w:t xml:space="preserve"> for the NBN</w:t>
      </w:r>
      <w:r w:rsidR="00912793">
        <w:rPr>
          <w:b/>
          <w:lang w:val="en-AU"/>
        </w:rPr>
        <w:t>.</w:t>
      </w:r>
    </w:p>
    <w:p w:rsidR="00E60723" w:rsidRDefault="00A163E2">
      <w:pPr>
        <w:rPr>
          <w:lang w:val="en-AU"/>
        </w:rPr>
      </w:pPr>
      <w:r>
        <w:rPr>
          <w:lang w:val="en-AU"/>
        </w:rPr>
        <w:t xml:space="preserve">ACCAN </w:t>
      </w:r>
      <w:r w:rsidR="00912793">
        <w:rPr>
          <w:lang w:val="en-AU"/>
        </w:rPr>
        <w:t>ha</w:t>
      </w:r>
      <w:r w:rsidR="00103CD0">
        <w:rPr>
          <w:lang w:val="en-AU"/>
        </w:rPr>
        <w:t>s</w:t>
      </w:r>
      <w:r w:rsidR="00912793">
        <w:rPr>
          <w:lang w:val="en-AU"/>
        </w:rPr>
        <w:t xml:space="preserve"> some </w:t>
      </w:r>
      <w:r>
        <w:rPr>
          <w:lang w:val="en-AU"/>
        </w:rPr>
        <w:t>concern</w:t>
      </w:r>
      <w:r w:rsidR="00912793">
        <w:rPr>
          <w:lang w:val="en-AU"/>
        </w:rPr>
        <w:t>s</w:t>
      </w:r>
      <w:r w:rsidR="00626232">
        <w:rPr>
          <w:lang w:val="en-AU"/>
        </w:rPr>
        <w:t>, in general,</w:t>
      </w:r>
      <w:r>
        <w:rPr>
          <w:lang w:val="en-AU"/>
        </w:rPr>
        <w:t xml:space="preserve"> about the process for consumers switching to nbn FTTC technology.</w:t>
      </w:r>
      <w:r w:rsidR="00901119">
        <w:rPr>
          <w:lang w:val="en-AU"/>
        </w:rPr>
        <w:t xml:space="preserve"> </w:t>
      </w:r>
      <w:r w:rsidR="00DE3A64">
        <w:rPr>
          <w:lang w:val="en-AU"/>
        </w:rPr>
        <w:t>Mi</w:t>
      </w:r>
      <w:r w:rsidR="00E60723">
        <w:rPr>
          <w:lang w:val="en-AU"/>
        </w:rPr>
        <w:t xml:space="preserve">grating to FTTC </w:t>
      </w:r>
      <w:r w:rsidR="00901119">
        <w:rPr>
          <w:lang w:val="en-AU"/>
        </w:rPr>
        <w:t xml:space="preserve">will have different and added </w:t>
      </w:r>
      <w:r w:rsidR="00E60723">
        <w:rPr>
          <w:lang w:val="en-AU"/>
        </w:rPr>
        <w:t>complex</w:t>
      </w:r>
      <w:r w:rsidR="00901119">
        <w:rPr>
          <w:lang w:val="en-AU"/>
        </w:rPr>
        <w:t>ities compared to other</w:t>
      </w:r>
      <w:r w:rsidR="00E60723">
        <w:rPr>
          <w:lang w:val="en-AU"/>
        </w:rPr>
        <w:t xml:space="preserve"> technologies</w:t>
      </w:r>
      <w:r w:rsidR="00DE3A64" w:rsidRPr="00DE3A64">
        <w:rPr>
          <w:lang w:val="en-AU"/>
        </w:rPr>
        <w:t xml:space="preserve"> </w:t>
      </w:r>
      <w:r w:rsidR="00DE3A64">
        <w:rPr>
          <w:lang w:val="en-AU"/>
        </w:rPr>
        <w:t xml:space="preserve">which </w:t>
      </w:r>
      <w:r w:rsidR="00DE3A64" w:rsidRPr="00DE3A64">
        <w:rPr>
          <w:lang w:val="en-AU"/>
        </w:rPr>
        <w:t>may increase the likelihood of consumers experiencing outages or unexpected service issues.</w:t>
      </w:r>
    </w:p>
    <w:p w:rsidR="00E1678D" w:rsidRDefault="00212FBD" w:rsidP="004C5719">
      <w:pPr>
        <w:rPr>
          <w:lang w:val="en-AU"/>
        </w:rPr>
      </w:pPr>
      <w:r>
        <w:rPr>
          <w:lang w:val="en-AU"/>
        </w:rPr>
        <w:t>Our prime concern stem</w:t>
      </w:r>
      <w:r w:rsidR="00103CD0">
        <w:rPr>
          <w:lang w:val="en-AU"/>
        </w:rPr>
        <w:t xml:space="preserve">s from consumers being responsible for initiating the switch by plugging in the </w:t>
      </w:r>
      <w:r w:rsidR="00103CD0" w:rsidRPr="00103CD0">
        <w:rPr>
          <w:lang w:val="en-AU"/>
        </w:rPr>
        <w:t>Network Connection Device (NCD)</w:t>
      </w:r>
      <w:r w:rsidR="00F42C82">
        <w:rPr>
          <w:lang w:val="en-AU"/>
        </w:rPr>
        <w:t xml:space="preserve"> [previously called the </w:t>
      </w:r>
      <w:r w:rsidR="00F42C82" w:rsidRPr="00F42C82">
        <w:rPr>
          <w:lang w:val="en-AU"/>
        </w:rPr>
        <w:t>Reverse Power Unit (RPU)</w:t>
      </w:r>
      <w:r w:rsidR="00F42C82">
        <w:rPr>
          <w:lang w:val="en-AU"/>
        </w:rPr>
        <w:t>]</w:t>
      </w:r>
      <w:r w:rsidR="00BB380D">
        <w:rPr>
          <w:lang w:val="en-AU"/>
        </w:rPr>
        <w:t xml:space="preserve">, </w:t>
      </w:r>
      <w:r w:rsidR="00DE3A64">
        <w:rPr>
          <w:lang w:val="en-AU"/>
        </w:rPr>
        <w:t>the</w:t>
      </w:r>
      <w:r w:rsidR="00626232">
        <w:rPr>
          <w:lang w:val="en-AU"/>
        </w:rPr>
        <w:t xml:space="preserve"> number of complexities that may arise in doing this, </w:t>
      </w:r>
      <w:r w:rsidR="00BB380D">
        <w:rPr>
          <w:lang w:val="en-AU"/>
        </w:rPr>
        <w:t>and the lack of confirmation that the migration was successful.</w:t>
      </w:r>
      <w:r w:rsidR="00DE3A64">
        <w:rPr>
          <w:lang w:val="en-AU"/>
        </w:rPr>
        <w:t xml:space="preserve"> Ultimately this may</w:t>
      </w:r>
      <w:r w:rsidR="00626E4E">
        <w:rPr>
          <w:lang w:val="en-AU"/>
        </w:rPr>
        <w:t xml:space="preserve"> leave</w:t>
      </w:r>
      <w:r w:rsidR="00626232">
        <w:rPr>
          <w:lang w:val="en-AU"/>
        </w:rPr>
        <w:t xml:space="preserve"> consumers disconnected.</w:t>
      </w:r>
    </w:p>
    <w:p w:rsidR="00DE3A64" w:rsidRDefault="00DE3A64" w:rsidP="004C5719">
      <w:pPr>
        <w:rPr>
          <w:lang w:val="en-AU"/>
        </w:rPr>
      </w:pPr>
      <w:r>
        <w:rPr>
          <w:lang w:val="en-AU"/>
        </w:rPr>
        <w:t xml:space="preserve">While Telstra is applying the existing processes and will work with nbn to “support a positive customer experience”, we believe that the added complexity of FTTC may require additional </w:t>
      </w:r>
      <w:r w:rsidR="0054192D">
        <w:rPr>
          <w:lang w:val="en-AU"/>
        </w:rPr>
        <w:t xml:space="preserve">checks and </w:t>
      </w:r>
      <w:r>
        <w:rPr>
          <w:lang w:val="en-AU"/>
        </w:rPr>
        <w:t>protections.</w:t>
      </w:r>
    </w:p>
    <w:p w:rsidR="00DE3A64" w:rsidRDefault="00DE3A64" w:rsidP="00DE3A64">
      <w:pPr>
        <w:pStyle w:val="Heading1"/>
        <w:rPr>
          <w:lang w:val="en-AU"/>
        </w:rPr>
      </w:pPr>
      <w:r>
        <w:rPr>
          <w:lang w:val="en-AU"/>
        </w:rPr>
        <w:t>Consumer driven switching issues which may lead to a</w:t>
      </w:r>
      <w:r w:rsidR="00626E4E">
        <w:rPr>
          <w:lang w:val="en-AU"/>
        </w:rPr>
        <w:t xml:space="preserve">n </w:t>
      </w:r>
      <w:r w:rsidR="00002E60">
        <w:rPr>
          <w:lang w:val="en-AU"/>
        </w:rPr>
        <w:t>unsuccessful</w:t>
      </w:r>
      <w:r>
        <w:rPr>
          <w:lang w:val="en-AU"/>
        </w:rPr>
        <w:t xml:space="preserve"> migration</w:t>
      </w:r>
    </w:p>
    <w:p w:rsidR="00753CF6" w:rsidRDefault="00753CF6" w:rsidP="004C5719">
      <w:pPr>
        <w:rPr>
          <w:lang w:val="en-AU"/>
        </w:rPr>
      </w:pPr>
      <w:r>
        <w:rPr>
          <w:lang w:val="en-AU"/>
        </w:rPr>
        <w:t>Consumers may face difficulties in successfully switching. Two particular features that we</w:t>
      </w:r>
      <w:r w:rsidR="000631C5">
        <w:rPr>
          <w:lang w:val="en-AU"/>
        </w:rPr>
        <w:t xml:space="preserve"> are aware of</w:t>
      </w:r>
      <w:r>
        <w:rPr>
          <w:lang w:val="en-AU"/>
        </w:rPr>
        <w:t xml:space="preserve"> which </w:t>
      </w:r>
      <w:r w:rsidR="0054192D">
        <w:rPr>
          <w:lang w:val="en-AU"/>
        </w:rPr>
        <w:t xml:space="preserve">may </w:t>
      </w:r>
      <w:proofErr w:type="gramStart"/>
      <w:r w:rsidR="0054192D">
        <w:rPr>
          <w:lang w:val="en-AU"/>
        </w:rPr>
        <w:t>cause</w:t>
      </w:r>
      <w:proofErr w:type="gramEnd"/>
      <w:r w:rsidR="0054192D">
        <w:rPr>
          <w:lang w:val="en-AU"/>
        </w:rPr>
        <w:t xml:space="preserve"> problems are</w:t>
      </w:r>
      <w:r>
        <w:rPr>
          <w:lang w:val="en-AU"/>
        </w:rPr>
        <w:t>:</w:t>
      </w:r>
    </w:p>
    <w:p w:rsidR="00753CF6" w:rsidRDefault="00753CF6" w:rsidP="00753CF6">
      <w:pPr>
        <w:pStyle w:val="ListParagraph"/>
        <w:numPr>
          <w:ilvl w:val="0"/>
          <w:numId w:val="3"/>
        </w:numPr>
        <w:rPr>
          <w:lang w:val="en-AU"/>
        </w:rPr>
      </w:pPr>
      <w:r w:rsidRPr="00753CF6">
        <w:rPr>
          <w:lang w:val="en-AU"/>
        </w:rPr>
        <w:t>“</w:t>
      </w:r>
      <w:r w:rsidR="0054192D">
        <w:rPr>
          <w:lang w:val="en-AU"/>
        </w:rPr>
        <w:t>F</w:t>
      </w:r>
      <w:r w:rsidRPr="00753CF6">
        <w:rPr>
          <w:lang w:val="en-AU"/>
        </w:rPr>
        <w:t>oreign devices” such as alarms or analogue phones</w:t>
      </w:r>
      <w:r w:rsidR="0079502A">
        <w:rPr>
          <w:lang w:val="en-AU"/>
        </w:rPr>
        <w:t xml:space="preserve"> being connected inside the house</w:t>
      </w:r>
      <w:r w:rsidR="0054192D">
        <w:rPr>
          <w:lang w:val="en-AU"/>
        </w:rPr>
        <w:t xml:space="preserve"> will prevent the NCD from operating</w:t>
      </w:r>
      <w:r w:rsidRPr="00753CF6">
        <w:rPr>
          <w:lang w:val="en-AU"/>
        </w:rPr>
        <w:t>. If the consumer, either knowingly or unknowingly, has analogue devices connected then the migrat</w:t>
      </w:r>
      <w:r w:rsidR="0054192D">
        <w:rPr>
          <w:lang w:val="en-AU"/>
        </w:rPr>
        <w:t xml:space="preserve">ion may be </w:t>
      </w:r>
      <w:r w:rsidR="00142078">
        <w:rPr>
          <w:lang w:val="en-AU"/>
        </w:rPr>
        <w:t>un</w:t>
      </w:r>
      <w:r w:rsidRPr="00753CF6">
        <w:rPr>
          <w:lang w:val="en-AU"/>
        </w:rPr>
        <w:t>successful.</w:t>
      </w:r>
    </w:p>
    <w:p w:rsidR="00753CF6" w:rsidRPr="00753CF6" w:rsidRDefault="00142078" w:rsidP="00753CF6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An</w:t>
      </w:r>
      <w:r w:rsidR="0054192D">
        <w:rPr>
          <w:lang w:val="en-AU"/>
        </w:rPr>
        <w:t xml:space="preserve"> inappropriate set up in the house may require additional consideration or work by the consumer. For example t</w:t>
      </w:r>
      <w:r w:rsidR="0079502A">
        <w:rPr>
          <w:lang w:val="en-AU"/>
        </w:rPr>
        <w:t xml:space="preserve">he consumer may not have a power outlet at the first telecommunications outlet to plug in the </w:t>
      </w:r>
      <w:r w:rsidR="00F42C82">
        <w:rPr>
          <w:lang w:val="en-AU"/>
        </w:rPr>
        <w:t>NCD</w:t>
      </w:r>
      <w:r w:rsidR="0079502A">
        <w:rPr>
          <w:lang w:val="en-AU"/>
        </w:rPr>
        <w:t xml:space="preserve"> and VDSL modem. Alternative</w:t>
      </w:r>
      <w:r w:rsidR="00626232">
        <w:rPr>
          <w:lang w:val="en-AU"/>
        </w:rPr>
        <w:t>ly</w:t>
      </w:r>
      <w:r w:rsidR="0054192D">
        <w:rPr>
          <w:lang w:val="en-AU"/>
        </w:rPr>
        <w:t>,</w:t>
      </w:r>
      <w:r w:rsidR="0079502A">
        <w:rPr>
          <w:lang w:val="en-AU"/>
        </w:rPr>
        <w:t xml:space="preserve"> the first outlet may not be the convenient one </w:t>
      </w:r>
      <w:r w:rsidR="00D131A4">
        <w:rPr>
          <w:lang w:val="en-AU"/>
        </w:rPr>
        <w:t>to use</w:t>
      </w:r>
      <w:r w:rsidR="0079502A">
        <w:rPr>
          <w:lang w:val="en-AU"/>
        </w:rPr>
        <w:t xml:space="preserve"> or </w:t>
      </w:r>
      <w:r>
        <w:rPr>
          <w:lang w:val="en-AU"/>
        </w:rPr>
        <w:t xml:space="preserve">that they </w:t>
      </w:r>
      <w:r w:rsidR="0079502A">
        <w:rPr>
          <w:lang w:val="en-AU"/>
        </w:rPr>
        <w:t xml:space="preserve">would like to use. Plugging the devices into outlets other than the first will </w:t>
      </w:r>
      <w:r w:rsidR="00626232">
        <w:rPr>
          <w:lang w:val="en-AU"/>
        </w:rPr>
        <w:t>not result in a successful switch.</w:t>
      </w:r>
      <w:r w:rsidR="0054192D">
        <w:rPr>
          <w:lang w:val="en-AU"/>
        </w:rPr>
        <w:t xml:space="preserve"> </w:t>
      </w:r>
      <w:r w:rsidR="00A85572">
        <w:rPr>
          <w:lang w:val="en-AU"/>
        </w:rPr>
        <w:t xml:space="preserve">If adjustments need to be made (for example, the purchase of an extension cord), </w:t>
      </w:r>
      <w:r w:rsidR="00D131A4" w:rsidRPr="00D131A4">
        <w:rPr>
          <w:lang w:val="en-AU"/>
        </w:rPr>
        <w:t>these may</w:t>
      </w:r>
      <w:r w:rsidR="0054192D" w:rsidRPr="00D131A4">
        <w:rPr>
          <w:lang w:val="en-AU"/>
        </w:rPr>
        <w:t xml:space="preserve"> </w:t>
      </w:r>
      <w:r w:rsidR="00A85572" w:rsidRPr="00D131A4">
        <w:rPr>
          <w:lang w:val="en-AU"/>
        </w:rPr>
        <w:t xml:space="preserve">lead to </w:t>
      </w:r>
      <w:r w:rsidR="0054192D" w:rsidRPr="00D131A4">
        <w:rPr>
          <w:lang w:val="en-AU"/>
        </w:rPr>
        <w:t>delay</w:t>
      </w:r>
      <w:r w:rsidR="00A85572" w:rsidRPr="00D131A4">
        <w:rPr>
          <w:lang w:val="en-AU"/>
        </w:rPr>
        <w:t xml:space="preserve">s in </w:t>
      </w:r>
      <w:r w:rsidR="0054192D" w:rsidRPr="00D131A4">
        <w:rPr>
          <w:lang w:val="en-AU"/>
        </w:rPr>
        <w:t>consumers</w:t>
      </w:r>
      <w:r w:rsidR="00A85572" w:rsidRPr="00D131A4">
        <w:rPr>
          <w:lang w:val="en-AU"/>
        </w:rPr>
        <w:t xml:space="preserve"> taking the necessary steps </w:t>
      </w:r>
      <w:r w:rsidR="00626E4E">
        <w:rPr>
          <w:lang w:val="en-AU"/>
        </w:rPr>
        <w:t>to complete the migration</w:t>
      </w:r>
      <w:r w:rsidR="00A85572" w:rsidRPr="00D131A4">
        <w:rPr>
          <w:lang w:val="en-AU"/>
        </w:rPr>
        <w:t>.</w:t>
      </w:r>
      <w:r w:rsidR="0054192D" w:rsidRPr="00D131A4">
        <w:rPr>
          <w:lang w:val="en-AU"/>
        </w:rPr>
        <w:t xml:space="preserve"> </w:t>
      </w:r>
    </w:p>
    <w:p w:rsidR="00D131A4" w:rsidRDefault="00002E60" w:rsidP="008524C8">
      <w:pPr>
        <w:rPr>
          <w:lang w:val="en-AU"/>
        </w:rPr>
      </w:pPr>
      <w:r>
        <w:rPr>
          <w:lang w:val="en-AU"/>
        </w:rPr>
        <w:t xml:space="preserve">It is possible </w:t>
      </w:r>
      <w:r w:rsidR="00DE3A64" w:rsidRPr="00DE3A64">
        <w:rPr>
          <w:lang w:val="en-AU"/>
        </w:rPr>
        <w:t>for one of the</w:t>
      </w:r>
      <w:r w:rsidR="0054192D">
        <w:rPr>
          <w:lang w:val="en-AU"/>
        </w:rPr>
        <w:t>se reasons</w:t>
      </w:r>
      <w:r w:rsidR="00DE3A64" w:rsidRPr="00DE3A64">
        <w:rPr>
          <w:lang w:val="en-AU"/>
        </w:rPr>
        <w:t xml:space="preserve">, or others, the consumer </w:t>
      </w:r>
      <w:r w:rsidR="00626E4E">
        <w:rPr>
          <w:lang w:val="en-AU"/>
        </w:rPr>
        <w:t xml:space="preserve">may </w:t>
      </w:r>
      <w:r w:rsidR="00DE3A64" w:rsidRPr="00DE3A64">
        <w:rPr>
          <w:lang w:val="en-AU"/>
        </w:rPr>
        <w:t xml:space="preserve">fail to follow the switching procedure </w:t>
      </w:r>
      <w:r w:rsidR="0054192D">
        <w:rPr>
          <w:lang w:val="en-AU"/>
        </w:rPr>
        <w:t>in the allotted timeframe</w:t>
      </w:r>
      <w:r w:rsidR="00D131A4">
        <w:rPr>
          <w:lang w:val="en-AU"/>
        </w:rPr>
        <w:t xml:space="preserve">. </w:t>
      </w:r>
      <w:r>
        <w:rPr>
          <w:lang w:val="en-AU"/>
        </w:rPr>
        <w:t>Once the order process is activated t</w:t>
      </w:r>
      <w:r w:rsidR="00D131A4">
        <w:rPr>
          <w:lang w:val="en-AU"/>
        </w:rPr>
        <w:t xml:space="preserve">his timeframe may be significantly shorter than the disconnection date which the consumer may be aware of. The consumer may assume that even after taking delivery of the </w:t>
      </w:r>
      <w:r w:rsidR="00D131A4">
        <w:rPr>
          <w:lang w:val="en-AU"/>
        </w:rPr>
        <w:lastRenderedPageBreak/>
        <w:t xml:space="preserve">NCD and modem </w:t>
      </w:r>
      <w:r w:rsidR="00626E4E">
        <w:rPr>
          <w:lang w:val="en-AU"/>
        </w:rPr>
        <w:t xml:space="preserve">that </w:t>
      </w:r>
      <w:r w:rsidR="00D131A4">
        <w:rPr>
          <w:lang w:val="en-AU"/>
        </w:rPr>
        <w:t xml:space="preserve">they </w:t>
      </w:r>
      <w:r w:rsidR="00626E4E">
        <w:rPr>
          <w:lang w:val="en-AU"/>
        </w:rPr>
        <w:t>can migrate when they want</w:t>
      </w:r>
      <w:r>
        <w:rPr>
          <w:lang w:val="en-AU"/>
        </w:rPr>
        <w:t xml:space="preserve"> by the disconnection date</w:t>
      </w:r>
      <w:r w:rsidR="00D131A4">
        <w:rPr>
          <w:lang w:val="en-AU"/>
        </w:rPr>
        <w:t>. However, as outlined below this may not be the case. W</w:t>
      </w:r>
      <w:r w:rsidR="00DE3A64" w:rsidRPr="00DE3A64">
        <w:rPr>
          <w:lang w:val="en-AU"/>
        </w:rPr>
        <w:t xml:space="preserve">e are concerned that the </w:t>
      </w:r>
      <w:r w:rsidR="00142078">
        <w:rPr>
          <w:lang w:val="en-AU"/>
        </w:rPr>
        <w:t xml:space="preserve">switching </w:t>
      </w:r>
      <w:r w:rsidR="00DE3A64" w:rsidRPr="00DE3A64">
        <w:rPr>
          <w:lang w:val="en-AU"/>
        </w:rPr>
        <w:t>process may still continue and disconnect</w:t>
      </w:r>
      <w:r w:rsidR="0054192D">
        <w:rPr>
          <w:lang w:val="en-AU"/>
        </w:rPr>
        <w:t>ion of</w:t>
      </w:r>
      <w:r w:rsidR="00DE3A64" w:rsidRPr="00DE3A64">
        <w:rPr>
          <w:lang w:val="en-AU"/>
        </w:rPr>
        <w:t xml:space="preserve"> the legacy service</w:t>
      </w:r>
      <w:r w:rsidR="0054192D">
        <w:rPr>
          <w:lang w:val="en-AU"/>
        </w:rPr>
        <w:t xml:space="preserve"> may occur</w:t>
      </w:r>
      <w:r w:rsidR="00DE3A64" w:rsidRPr="00DE3A64">
        <w:rPr>
          <w:lang w:val="en-AU"/>
        </w:rPr>
        <w:t>.</w:t>
      </w:r>
    </w:p>
    <w:p w:rsidR="00DE3A64" w:rsidRDefault="00DE3A64" w:rsidP="00DE3A64">
      <w:pPr>
        <w:pStyle w:val="Heading1"/>
        <w:rPr>
          <w:lang w:val="en-AU"/>
        </w:rPr>
      </w:pPr>
      <w:r>
        <w:rPr>
          <w:lang w:val="en-AU"/>
        </w:rPr>
        <w:t>Process of migration continuing and leaving a consumer disconnected</w:t>
      </w:r>
    </w:p>
    <w:p w:rsidR="008524C8" w:rsidRDefault="008524C8" w:rsidP="008524C8">
      <w:pPr>
        <w:rPr>
          <w:lang w:val="en-AU"/>
        </w:rPr>
      </w:pPr>
      <w:r>
        <w:rPr>
          <w:lang w:val="en-AU"/>
        </w:rPr>
        <w:t xml:space="preserve">We understand that the </w:t>
      </w:r>
      <w:r w:rsidR="00F42C82">
        <w:rPr>
          <w:lang w:val="en-AU"/>
        </w:rPr>
        <w:t>NCD</w:t>
      </w:r>
      <w:r>
        <w:rPr>
          <w:lang w:val="en-AU"/>
        </w:rPr>
        <w:t xml:space="preserve"> device is invisible to both nbn and </w:t>
      </w:r>
      <w:r w:rsidR="00BB380D">
        <w:rPr>
          <w:lang w:val="en-AU"/>
        </w:rPr>
        <w:t xml:space="preserve">the </w:t>
      </w:r>
      <w:r>
        <w:rPr>
          <w:lang w:val="en-AU"/>
        </w:rPr>
        <w:t>RSP. Only through witnessing data moving over the nbn network</w:t>
      </w:r>
      <w:r w:rsidR="00BB380D">
        <w:rPr>
          <w:lang w:val="en-AU"/>
        </w:rPr>
        <w:t xml:space="preserve">, is the </w:t>
      </w:r>
      <w:r>
        <w:rPr>
          <w:lang w:val="en-AU"/>
        </w:rPr>
        <w:t>switch</w:t>
      </w:r>
      <w:r w:rsidR="00BB380D">
        <w:rPr>
          <w:lang w:val="en-AU"/>
        </w:rPr>
        <w:t xml:space="preserve"> known to be</w:t>
      </w:r>
      <w:r>
        <w:rPr>
          <w:lang w:val="en-AU"/>
        </w:rPr>
        <w:t xml:space="preserve"> successful</w:t>
      </w:r>
      <w:r w:rsidR="00082837">
        <w:rPr>
          <w:lang w:val="en-AU"/>
        </w:rPr>
        <w:t xml:space="preserve"> by nbn</w:t>
      </w:r>
      <w:r>
        <w:rPr>
          <w:lang w:val="en-AU"/>
        </w:rPr>
        <w:t xml:space="preserve">. However, the default </w:t>
      </w:r>
      <w:r w:rsidR="00BB380D">
        <w:rPr>
          <w:lang w:val="en-AU"/>
        </w:rPr>
        <w:t xml:space="preserve">nbn </w:t>
      </w:r>
      <w:r>
        <w:rPr>
          <w:lang w:val="en-AU"/>
        </w:rPr>
        <w:t>position is after a certain time frame (even if no data has been detected) nbn will complete the order for the premises</w:t>
      </w:r>
      <w:r w:rsidR="00244519">
        <w:rPr>
          <w:lang w:val="en-AU"/>
        </w:rPr>
        <w:t xml:space="preserve"> and</w:t>
      </w:r>
      <w:r>
        <w:rPr>
          <w:lang w:val="en-AU"/>
        </w:rPr>
        <w:t xml:space="preserve"> include the address in the Daily Migration File (DMF) that is sent to Telstra</w:t>
      </w:r>
      <w:r w:rsidR="00BB380D">
        <w:rPr>
          <w:lang w:val="en-AU"/>
        </w:rPr>
        <w:t xml:space="preserve"> for disconnecting the legacy service.</w:t>
      </w:r>
    </w:p>
    <w:p w:rsidR="00786015" w:rsidRDefault="00082837" w:rsidP="004C5719">
      <w:pPr>
        <w:rPr>
          <w:lang w:val="en-AU"/>
        </w:rPr>
      </w:pPr>
      <w:r>
        <w:rPr>
          <w:lang w:val="en-AU"/>
        </w:rPr>
        <w:t xml:space="preserve">Following confirmation from nbn (and requests </w:t>
      </w:r>
      <w:r w:rsidR="00D131A4">
        <w:rPr>
          <w:lang w:val="en-AU"/>
        </w:rPr>
        <w:t>from the</w:t>
      </w:r>
      <w:r>
        <w:rPr>
          <w:lang w:val="en-AU"/>
        </w:rPr>
        <w:t xml:space="preserve"> legacy RSP for disconnection and local number porting), Telstra could proceed to disconnect the service. </w:t>
      </w:r>
      <w:r w:rsidR="008524C8">
        <w:rPr>
          <w:lang w:val="en-AU"/>
        </w:rPr>
        <w:t>It could be particularly concerning if the consumer switches</w:t>
      </w:r>
      <w:r w:rsidR="00244519">
        <w:rPr>
          <w:lang w:val="en-AU"/>
        </w:rPr>
        <w:t xml:space="preserve"> retail</w:t>
      </w:r>
      <w:r w:rsidR="008524C8">
        <w:rPr>
          <w:lang w:val="en-AU"/>
        </w:rPr>
        <w:t xml:space="preserve"> providers</w:t>
      </w:r>
      <w:r w:rsidR="00BB380D">
        <w:rPr>
          <w:lang w:val="en-AU"/>
        </w:rPr>
        <w:t xml:space="preserve"> </w:t>
      </w:r>
      <w:r>
        <w:rPr>
          <w:lang w:val="en-AU"/>
        </w:rPr>
        <w:t>during migration</w:t>
      </w:r>
      <w:r w:rsidR="00A85572">
        <w:rPr>
          <w:lang w:val="en-AU"/>
        </w:rPr>
        <w:t>, a</w:t>
      </w:r>
      <w:r w:rsidR="00E0440A">
        <w:rPr>
          <w:lang w:val="en-AU"/>
        </w:rPr>
        <w:t>s</w:t>
      </w:r>
      <w:r w:rsidR="008524C8">
        <w:rPr>
          <w:lang w:val="en-AU"/>
        </w:rPr>
        <w:t xml:space="preserve"> the loosing RSP will have no </w:t>
      </w:r>
      <w:r w:rsidR="00786015">
        <w:rPr>
          <w:lang w:val="en-AU"/>
        </w:rPr>
        <w:t xml:space="preserve">access or </w:t>
      </w:r>
      <w:r w:rsidR="008524C8">
        <w:rPr>
          <w:lang w:val="en-AU"/>
        </w:rPr>
        <w:t>confirm</w:t>
      </w:r>
      <w:r w:rsidR="00786015">
        <w:rPr>
          <w:lang w:val="en-AU"/>
        </w:rPr>
        <w:t xml:space="preserve">ation </w:t>
      </w:r>
      <w:r w:rsidR="008524C8">
        <w:rPr>
          <w:lang w:val="en-AU"/>
        </w:rPr>
        <w:t>that the nbn FTTC service is working</w:t>
      </w:r>
      <w:r w:rsidR="00E0440A">
        <w:rPr>
          <w:lang w:val="en-AU"/>
        </w:rPr>
        <w:t xml:space="preserve"> and the migration was successful</w:t>
      </w:r>
      <w:r>
        <w:rPr>
          <w:lang w:val="en-AU"/>
        </w:rPr>
        <w:t xml:space="preserve">. </w:t>
      </w:r>
      <w:r w:rsidR="00786015">
        <w:rPr>
          <w:lang w:val="en-AU"/>
        </w:rPr>
        <w:t>The consumer could be left in a position where</w:t>
      </w:r>
      <w:r w:rsidR="00E0440A">
        <w:rPr>
          <w:lang w:val="en-AU"/>
        </w:rPr>
        <w:t xml:space="preserve"> the legacy service could be fully disconnected a</w:t>
      </w:r>
      <w:r w:rsidR="008524C8" w:rsidRPr="008524C8">
        <w:rPr>
          <w:lang w:val="en-AU"/>
        </w:rPr>
        <w:t xml:space="preserve">nd/or </w:t>
      </w:r>
      <w:r w:rsidR="00786015">
        <w:rPr>
          <w:lang w:val="en-AU"/>
        </w:rPr>
        <w:t>t</w:t>
      </w:r>
      <w:r w:rsidR="008524C8" w:rsidRPr="008524C8">
        <w:rPr>
          <w:lang w:val="en-AU"/>
        </w:rPr>
        <w:t>he local number</w:t>
      </w:r>
      <w:r w:rsidR="00E0440A">
        <w:rPr>
          <w:lang w:val="en-AU"/>
        </w:rPr>
        <w:t xml:space="preserve"> ported</w:t>
      </w:r>
      <w:r w:rsidR="00786015">
        <w:rPr>
          <w:lang w:val="en-AU"/>
        </w:rPr>
        <w:t>, without any functioning FTTC service</w:t>
      </w:r>
      <w:r w:rsidR="00E0440A">
        <w:rPr>
          <w:lang w:val="en-AU"/>
        </w:rPr>
        <w:t>.</w:t>
      </w:r>
    </w:p>
    <w:p w:rsidR="00DE3A64" w:rsidRDefault="00DE3A64" w:rsidP="00C633A8">
      <w:pPr>
        <w:pStyle w:val="Heading1"/>
        <w:rPr>
          <w:lang w:val="en-AU"/>
        </w:rPr>
      </w:pPr>
      <w:r>
        <w:rPr>
          <w:lang w:val="en-AU"/>
        </w:rPr>
        <w:t xml:space="preserve">Measures to protect </w:t>
      </w:r>
      <w:r w:rsidRPr="00C633A8">
        <w:t>consumers</w:t>
      </w:r>
    </w:p>
    <w:p w:rsidR="00311106" w:rsidRDefault="00311106" w:rsidP="00C0424B">
      <w:r>
        <w:rPr>
          <w:lang w:val="en-AU"/>
        </w:rPr>
        <w:t>In part these issues may be addressed by the proposed Service Provider Rule for RSP line-testing</w:t>
      </w:r>
      <w:r w:rsidR="00980D35">
        <w:rPr>
          <w:lang w:val="en-AU"/>
        </w:rPr>
        <w:t>, which the ACMA will be introducing in 2018</w:t>
      </w:r>
      <w:r>
        <w:rPr>
          <w:lang w:val="en-AU"/>
        </w:rPr>
        <w:t>.</w:t>
      </w:r>
      <w:r>
        <w:rPr>
          <w:rStyle w:val="FootnoteReference"/>
          <w:lang w:val="en-AU"/>
        </w:rPr>
        <w:footnoteReference w:id="1"/>
      </w:r>
      <w:r w:rsidR="00980D35">
        <w:rPr>
          <w:lang w:val="en-AU"/>
        </w:rPr>
        <w:t xml:space="preserve"> The ACMA state that this rule will require RSPs: “</w:t>
      </w:r>
      <w:r w:rsidR="00980D35" w:rsidRPr="00980D35">
        <w:t>to undertake post-connection line-testing to proactively identify faults and ensure services are working after installation</w:t>
      </w:r>
      <w:r w:rsidR="00980D35">
        <w:t xml:space="preserve">”. This may help to address faults as they arise, however, it may not fully protect consumers and it may not ensure </w:t>
      </w:r>
      <w:r w:rsidR="00BB380D">
        <w:t>consumers are not disconnected from</w:t>
      </w:r>
      <w:r w:rsidR="00980D35">
        <w:t xml:space="preserve"> legacy service.</w:t>
      </w:r>
    </w:p>
    <w:p w:rsidR="00BB380D" w:rsidRDefault="000E25B2" w:rsidP="00C0424B">
      <w:pPr>
        <w:rPr>
          <w:lang w:val="en-AU"/>
        </w:rPr>
      </w:pPr>
      <w:r>
        <w:t>ACCAN wonders if Telstra has a further role to play in ensuring that consumers do not experience a disruption in services. If it has been told to disconnect legacy services but can still see data on the legacy network, there may be an opportu</w:t>
      </w:r>
      <w:bookmarkStart w:id="0" w:name="_GoBack"/>
      <w:bookmarkEnd w:id="0"/>
      <w:r>
        <w:t xml:space="preserve">nity for them to </w:t>
      </w:r>
      <w:r w:rsidR="00570427">
        <w:t>hold the disconnection</w:t>
      </w:r>
      <w:r>
        <w:t>. We also suggest that nbn flag</w:t>
      </w:r>
      <w:r w:rsidR="00570427">
        <w:t xml:space="preserve"> to Telstra in the DMF</w:t>
      </w:r>
      <w:r>
        <w:t xml:space="preserve"> addresses that are included by default. Without this we believe disconnection will happen before the consumer is ready.</w:t>
      </w:r>
    </w:p>
    <w:p w:rsidR="00D131A4" w:rsidRDefault="00082837" w:rsidP="00C0424B">
      <w:pPr>
        <w:rPr>
          <w:lang w:val="en-AU"/>
        </w:rPr>
      </w:pPr>
      <w:r>
        <w:rPr>
          <w:lang w:val="en-AU"/>
        </w:rPr>
        <w:t>As so much of the process relies heavily on consumers understanding and active participation, we have concerns about the risk of disconnection, faulty FTTC set ups and the limited assistance to consumers.</w:t>
      </w:r>
    </w:p>
    <w:p w:rsidR="00C0424B" w:rsidRDefault="00C0424B" w:rsidP="00D131A4">
      <w:pPr>
        <w:spacing w:after="0"/>
        <w:rPr>
          <w:lang w:val="en-AU"/>
        </w:rPr>
      </w:pPr>
      <w:r>
        <w:rPr>
          <w:lang w:val="en-AU"/>
        </w:rPr>
        <w:t>Regards</w:t>
      </w:r>
    </w:p>
    <w:p w:rsidR="00C0424B" w:rsidRPr="004C516E" w:rsidRDefault="00C0424B" w:rsidP="00C0424B">
      <w:pPr>
        <w:rPr>
          <w:lang w:val="en-AU"/>
        </w:rPr>
      </w:pPr>
      <w:r>
        <w:rPr>
          <w:noProof/>
          <w:lang w:eastAsia="en-IE"/>
        </w:rPr>
        <w:drawing>
          <wp:inline distT="0" distB="0" distL="0" distR="0" wp14:anchorId="71886183" wp14:editId="1811C578">
            <wp:extent cx="1581912" cy="429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16E">
        <w:rPr>
          <w:lang w:val="en-AU"/>
        </w:rPr>
        <w:t xml:space="preserve"> </w:t>
      </w:r>
    </w:p>
    <w:p w:rsidR="00C0424B" w:rsidRDefault="00C0424B" w:rsidP="00C0424B">
      <w:pPr>
        <w:spacing w:after="0"/>
        <w:rPr>
          <w:lang w:val="en-AU"/>
        </w:rPr>
      </w:pPr>
      <w:r>
        <w:rPr>
          <w:lang w:val="en-AU"/>
        </w:rPr>
        <w:t>Rachel Thomas</w:t>
      </w:r>
    </w:p>
    <w:p w:rsidR="00C0424B" w:rsidRPr="00C0424B" w:rsidRDefault="00C0424B" w:rsidP="00FD4B47">
      <w:pPr>
        <w:spacing w:after="0"/>
        <w:rPr>
          <w:lang w:val="en-AU"/>
        </w:rPr>
      </w:pPr>
      <w:r>
        <w:rPr>
          <w:lang w:val="en-AU"/>
        </w:rPr>
        <w:t>Senior Policy Adviser</w:t>
      </w:r>
    </w:p>
    <w:sectPr w:rsidR="00C0424B" w:rsidRPr="00C0424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C4" w:rsidRDefault="00C357C4" w:rsidP="00C0424B">
      <w:pPr>
        <w:spacing w:after="0" w:line="240" w:lineRule="auto"/>
      </w:pPr>
      <w:r>
        <w:separator/>
      </w:r>
    </w:p>
  </w:endnote>
  <w:endnote w:type="continuationSeparator" w:id="0">
    <w:p w:rsidR="00C357C4" w:rsidRDefault="00C357C4" w:rsidP="00C0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4B" w:rsidRDefault="00C0424B">
    <w:pPr>
      <w:pStyle w:val="Footer"/>
    </w:pPr>
    <w:r w:rsidRPr="00C0424B">
      <w:rPr>
        <w:rFonts w:eastAsiaTheme="minorEastAsia"/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F0F33" wp14:editId="2936FDBB">
              <wp:simplePos x="0" y="0"/>
              <wp:positionH relativeFrom="column">
                <wp:posOffset>-438150</wp:posOffset>
              </wp:positionH>
              <wp:positionV relativeFrom="paragraph">
                <wp:posOffset>-394335</wp:posOffset>
              </wp:positionV>
              <wp:extent cx="7733030" cy="112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303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24B" w:rsidRPr="00E05115" w:rsidRDefault="00C0424B" w:rsidP="00C0424B">
                          <w:pPr>
                            <w:spacing w:after="0"/>
                            <w:rPr>
                              <w:color w:val="23B0E6"/>
                            </w:rPr>
                          </w:pPr>
                          <w:r w:rsidRPr="00E05115">
                            <w:rPr>
                              <w:color w:val="23B0E6"/>
                            </w:rPr>
                            <w:t>Australian Communications Consumer Action Network (ACCAN)</w:t>
                          </w:r>
                        </w:p>
                        <w:p w:rsidR="00C0424B" w:rsidRPr="00E05115" w:rsidRDefault="00C0424B" w:rsidP="00C0424B">
                          <w:pPr>
                            <w:spacing w:after="0"/>
                            <w:rPr>
                              <w:i/>
                              <w:color w:val="23B0E6"/>
                            </w:rPr>
                          </w:pPr>
                          <w:r w:rsidRPr="00E05115">
                            <w:rPr>
                              <w:i/>
                              <w:color w:val="23B0E6"/>
                            </w:rPr>
                            <w:t xml:space="preserve">Australia’s peak </w:t>
                          </w:r>
                          <w:r>
                            <w:rPr>
                              <w:i/>
                              <w:color w:val="23B0E6"/>
                            </w:rPr>
                            <w:t>body representing communications consumers</w:t>
                          </w:r>
                        </w:p>
                        <w:p w:rsidR="00C0424B" w:rsidRDefault="00C0424B" w:rsidP="00C0424B">
                          <w:pPr>
                            <w:spacing w:after="0"/>
                          </w:pPr>
                          <w:r>
                            <w:t>PO Box 639, Broadway NSW 2007</w:t>
                          </w:r>
                        </w:p>
                        <w:p w:rsidR="00C0424B" w:rsidRDefault="00C0424B" w:rsidP="00C0424B">
                          <w:pPr>
                            <w:spacing w:after="0"/>
                          </w:pPr>
                          <w:r>
                            <w:t xml:space="preserve">Tel: (02) 9288 4000 | Fax: (02) 9288 4019 | Contact us through the </w:t>
                          </w:r>
                          <w:hyperlink r:id="rId1" w:history="1">
                            <w:r w:rsidRPr="00FE6EAF">
                              <w:rPr>
                                <w:rStyle w:val="Hyperlink"/>
                              </w:rPr>
                              <w:t>National Relay Service</w:t>
                            </w:r>
                          </w:hyperlink>
                        </w:p>
                        <w:p w:rsidR="00C0424B" w:rsidRPr="00E05115" w:rsidRDefault="00C0424B" w:rsidP="00C0424B">
                          <w:pPr>
                            <w:spacing w:after="0"/>
                            <w:rPr>
                              <w:color w:val="23B0E6"/>
                            </w:rPr>
                          </w:pPr>
                          <w:r w:rsidRPr="00E05115">
                            <w:rPr>
                              <w:color w:val="23B0E6"/>
                            </w:rPr>
                            <w:t>www.accan.org.au | info@accan.org.au | twitter: @ACCAN_AU</w:t>
                          </w:r>
                          <w:r>
                            <w:rPr>
                              <w:color w:val="23B0E6"/>
                            </w:rPr>
                            <w:t xml:space="preserve"> | www.facebook.com/accanau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31.05pt;width:608.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" filled="f" stroked="f">
              <v:textbox>
                <w:txbxContent>
                  <w:p w:rsidR="00C0424B" w:rsidRPr="00E05115" w:rsidRDefault="00C0424B" w:rsidP="00C0424B">
                    <w:pPr>
                      <w:spacing w:after="0"/>
                      <w:rPr>
                        <w:color w:val="23B0E6"/>
                      </w:rPr>
                    </w:pPr>
                    <w:r w:rsidRPr="00E05115">
                      <w:rPr>
                        <w:color w:val="23B0E6"/>
                      </w:rPr>
                      <w:t>Australian Communications Consumer Action Network (ACCAN)</w:t>
                    </w:r>
                  </w:p>
                  <w:p w:rsidR="00C0424B" w:rsidRPr="00E05115" w:rsidRDefault="00C0424B" w:rsidP="00C0424B">
                    <w:pPr>
                      <w:spacing w:after="0"/>
                      <w:rPr>
                        <w:i/>
                        <w:color w:val="23B0E6"/>
                      </w:rPr>
                    </w:pPr>
                    <w:r w:rsidRPr="00E05115">
                      <w:rPr>
                        <w:i/>
                        <w:color w:val="23B0E6"/>
                      </w:rPr>
                      <w:t xml:space="preserve">Australia’s peak </w:t>
                    </w:r>
                    <w:r>
                      <w:rPr>
                        <w:i/>
                        <w:color w:val="23B0E6"/>
                      </w:rPr>
                      <w:t>body representing communications consumers</w:t>
                    </w:r>
                  </w:p>
                  <w:p w:rsidR="00C0424B" w:rsidRDefault="00C0424B" w:rsidP="00C0424B">
                    <w:pPr>
                      <w:spacing w:after="0"/>
                    </w:pPr>
                    <w:r>
                      <w:t>PO Box 639, Broadway NSW 2007</w:t>
                    </w:r>
                  </w:p>
                  <w:p w:rsidR="00C0424B" w:rsidRDefault="00C0424B" w:rsidP="00C0424B">
                    <w:pPr>
                      <w:spacing w:after="0"/>
                    </w:pPr>
                    <w:r>
                      <w:t xml:space="preserve">Tel: (02) 9288 4000 | Fax: (02) 9288 4019 | Contact us through the </w:t>
                    </w:r>
                    <w:hyperlink r:id="rId2" w:history="1">
                      <w:r w:rsidRPr="00FE6EAF">
                        <w:rPr>
                          <w:rStyle w:val="Hyperlink"/>
                        </w:rPr>
                        <w:t>National Relay Service</w:t>
                      </w:r>
                    </w:hyperlink>
                  </w:p>
                  <w:p w:rsidR="00C0424B" w:rsidRPr="00E05115" w:rsidRDefault="00C0424B" w:rsidP="00C0424B">
                    <w:pPr>
                      <w:spacing w:after="0"/>
                      <w:rPr>
                        <w:color w:val="23B0E6"/>
                      </w:rPr>
                    </w:pPr>
                    <w:r w:rsidRPr="00E05115">
                      <w:rPr>
                        <w:color w:val="23B0E6"/>
                      </w:rPr>
                      <w:t>www.accan.org.au | info@accan.org.au | twitter: @ACCAN_AU</w:t>
                    </w:r>
                    <w:r>
                      <w:rPr>
                        <w:color w:val="23B0E6"/>
                      </w:rPr>
                      <w:t xml:space="preserve"> | www.facebook.com/accanau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C4" w:rsidRDefault="00C357C4" w:rsidP="00C0424B">
      <w:pPr>
        <w:spacing w:after="0" w:line="240" w:lineRule="auto"/>
      </w:pPr>
      <w:r>
        <w:separator/>
      </w:r>
    </w:p>
  </w:footnote>
  <w:footnote w:type="continuationSeparator" w:id="0">
    <w:p w:rsidR="00C357C4" w:rsidRDefault="00C357C4" w:rsidP="00C0424B">
      <w:pPr>
        <w:spacing w:after="0" w:line="240" w:lineRule="auto"/>
      </w:pPr>
      <w:r>
        <w:continuationSeparator/>
      </w:r>
    </w:p>
  </w:footnote>
  <w:footnote w:id="1">
    <w:p w:rsidR="00311106" w:rsidRPr="00311106" w:rsidRDefault="00311106" w:rsidP="00311106">
      <w:pPr>
        <w:pStyle w:val="FootnoteText"/>
        <w:jc w:val="lef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ACMA, 21 December 2017. </w:t>
      </w:r>
      <w:proofErr w:type="gramStart"/>
      <w:r>
        <w:rPr>
          <w:lang w:val="en-AU"/>
        </w:rPr>
        <w:t>Protecting consumers on the NBN.</w:t>
      </w:r>
      <w:proofErr w:type="gramEnd"/>
      <w:r>
        <w:rPr>
          <w:lang w:val="en-AU"/>
        </w:rPr>
        <w:t xml:space="preserve"> </w:t>
      </w:r>
      <w:hyperlink r:id="rId1" w:history="1">
        <w:r w:rsidRPr="006906AD">
          <w:rPr>
            <w:rStyle w:val="Hyperlink"/>
            <w:lang w:val="en-AU"/>
          </w:rPr>
          <w:t>https://www.acma.gov.au/Industry/Telco/Infrastructure/The-NBN-and-industry/protecting-consumers-on-the-nbn</w:t>
        </w:r>
      </w:hyperlink>
      <w:r>
        <w:rPr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4B" w:rsidRDefault="00C0424B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34CDFD42" wp14:editId="5D79A9E3">
          <wp:simplePos x="0" y="0"/>
          <wp:positionH relativeFrom="column">
            <wp:posOffset>4867275</wp:posOffset>
          </wp:positionH>
          <wp:positionV relativeFrom="paragraph">
            <wp:posOffset>-152400</wp:posOffset>
          </wp:positionV>
          <wp:extent cx="1630800" cy="756000"/>
          <wp:effectExtent l="0" t="0" r="762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078"/>
    <w:multiLevelType w:val="hybridMultilevel"/>
    <w:tmpl w:val="B38A5F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62E8"/>
    <w:multiLevelType w:val="hybridMultilevel"/>
    <w:tmpl w:val="3D3ECBB8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7647FC5"/>
    <w:multiLevelType w:val="hybridMultilevel"/>
    <w:tmpl w:val="F6887F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E2"/>
    <w:rsid w:val="00002E60"/>
    <w:rsid w:val="00005DEA"/>
    <w:rsid w:val="0003238A"/>
    <w:rsid w:val="000631C5"/>
    <w:rsid w:val="00082837"/>
    <w:rsid w:val="000D387A"/>
    <w:rsid w:val="000E25B2"/>
    <w:rsid w:val="00103CD0"/>
    <w:rsid w:val="00142078"/>
    <w:rsid w:val="00212FBD"/>
    <w:rsid w:val="00244519"/>
    <w:rsid w:val="00261D66"/>
    <w:rsid w:val="002A537F"/>
    <w:rsid w:val="002A5E86"/>
    <w:rsid w:val="002E7082"/>
    <w:rsid w:val="002F74A7"/>
    <w:rsid w:val="00304DFD"/>
    <w:rsid w:val="00311106"/>
    <w:rsid w:val="00354F2A"/>
    <w:rsid w:val="003869A7"/>
    <w:rsid w:val="00392B70"/>
    <w:rsid w:val="003B441B"/>
    <w:rsid w:val="003D3A1B"/>
    <w:rsid w:val="00403CEF"/>
    <w:rsid w:val="004574DC"/>
    <w:rsid w:val="004C5719"/>
    <w:rsid w:val="0054192D"/>
    <w:rsid w:val="00570427"/>
    <w:rsid w:val="00595D08"/>
    <w:rsid w:val="005A453E"/>
    <w:rsid w:val="005B09EA"/>
    <w:rsid w:val="005D61F0"/>
    <w:rsid w:val="00626232"/>
    <w:rsid w:val="00626E4E"/>
    <w:rsid w:val="006838E7"/>
    <w:rsid w:val="006E4141"/>
    <w:rsid w:val="00753CF6"/>
    <w:rsid w:val="00786015"/>
    <w:rsid w:val="0079502A"/>
    <w:rsid w:val="008524C8"/>
    <w:rsid w:val="00883BE9"/>
    <w:rsid w:val="008C3C70"/>
    <w:rsid w:val="008D6953"/>
    <w:rsid w:val="008E5F22"/>
    <w:rsid w:val="00901119"/>
    <w:rsid w:val="00912793"/>
    <w:rsid w:val="009514D0"/>
    <w:rsid w:val="00966176"/>
    <w:rsid w:val="00980D35"/>
    <w:rsid w:val="00A05A41"/>
    <w:rsid w:val="00A13B89"/>
    <w:rsid w:val="00A163E2"/>
    <w:rsid w:val="00A85572"/>
    <w:rsid w:val="00AE076A"/>
    <w:rsid w:val="00B31B09"/>
    <w:rsid w:val="00B57E6C"/>
    <w:rsid w:val="00B731EB"/>
    <w:rsid w:val="00BB380D"/>
    <w:rsid w:val="00C0424B"/>
    <w:rsid w:val="00C20FD3"/>
    <w:rsid w:val="00C357C4"/>
    <w:rsid w:val="00C431D9"/>
    <w:rsid w:val="00C633A8"/>
    <w:rsid w:val="00CB439E"/>
    <w:rsid w:val="00D131A4"/>
    <w:rsid w:val="00D71E3C"/>
    <w:rsid w:val="00D95BE9"/>
    <w:rsid w:val="00DE3A64"/>
    <w:rsid w:val="00DF7C86"/>
    <w:rsid w:val="00E0440A"/>
    <w:rsid w:val="00E1678D"/>
    <w:rsid w:val="00E60723"/>
    <w:rsid w:val="00ED2BB3"/>
    <w:rsid w:val="00F42C82"/>
    <w:rsid w:val="00F64915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4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4B"/>
  </w:style>
  <w:style w:type="paragraph" w:styleId="Footer">
    <w:name w:val="footer"/>
    <w:basedOn w:val="Normal"/>
    <w:link w:val="FooterChar"/>
    <w:uiPriority w:val="99"/>
    <w:unhideWhenUsed/>
    <w:rsid w:val="00C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4B"/>
  </w:style>
  <w:style w:type="character" w:styleId="Hyperlink">
    <w:name w:val="Hyperlink"/>
    <w:basedOn w:val="DefaultParagraphFont"/>
    <w:uiPriority w:val="99"/>
    <w:unhideWhenUsed/>
    <w:rsid w:val="00C04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1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33A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4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4B"/>
  </w:style>
  <w:style w:type="paragraph" w:styleId="Footer">
    <w:name w:val="footer"/>
    <w:basedOn w:val="Normal"/>
    <w:link w:val="FooterChar"/>
    <w:uiPriority w:val="99"/>
    <w:unhideWhenUsed/>
    <w:rsid w:val="00C0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4B"/>
  </w:style>
  <w:style w:type="character" w:styleId="Hyperlink">
    <w:name w:val="Hyperlink"/>
    <w:basedOn w:val="DefaultParagraphFont"/>
    <w:uiPriority w:val="99"/>
    <w:unhideWhenUsed/>
    <w:rsid w:val="00C04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1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633A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su-migration@accc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wright@acc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ma.gov.au/Industry/Telco/Infrastructure/The-NBN-and-industry/protecting-consumers-on-the-nb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1210-5483-4F00-8484-66C636F0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4491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Thomas</dc:creator>
  <cp:lastModifiedBy>Rachel Thomas</cp:lastModifiedBy>
  <cp:revision>3</cp:revision>
  <cp:lastPrinted>2017-12-22T03:56:00Z</cp:lastPrinted>
  <dcterms:created xsi:type="dcterms:W3CDTF">2017-12-22T03:55:00Z</dcterms:created>
  <dcterms:modified xsi:type="dcterms:W3CDTF">2017-12-22T03:56:00Z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