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C6" w:rsidRDefault="008E0AC6" w:rsidP="00E143EF"/>
    <w:p w:rsidR="008E0AC6" w:rsidRDefault="008E0AC6" w:rsidP="00E143EF"/>
    <w:p w:rsidR="008E0AC6" w:rsidRDefault="008E0AC6" w:rsidP="00E143EF"/>
    <w:p w:rsidR="007E2039" w:rsidRDefault="00FB5259" w:rsidP="00E143EF">
      <w:r>
        <w:t>Friday 31 May 2019</w:t>
      </w:r>
    </w:p>
    <w:p w:rsidR="00FB5259" w:rsidRDefault="00FB5259" w:rsidP="007E2039">
      <w:r>
        <w:t>Scam Technology Project</w:t>
      </w:r>
      <w:r>
        <w:br/>
        <w:t>Australian Communications and Media Authority</w:t>
      </w:r>
      <w:r>
        <w:br/>
      </w:r>
      <w:r w:rsidR="008E78BE" w:rsidRPr="008E78BE">
        <w:t xml:space="preserve">email: </w:t>
      </w:r>
      <w:hyperlink r:id="rId9" w:history="1">
        <w:r w:rsidR="008E78BE">
          <w:rPr>
            <w:rStyle w:val="Hyperlink"/>
          </w:rPr>
          <w:t>unsolicitedcommsprojects@acma.gov.au</w:t>
        </w:r>
      </w:hyperlink>
    </w:p>
    <w:p w:rsidR="00FB5259" w:rsidRDefault="00FB5259" w:rsidP="007E2039">
      <w:r>
        <w:t>Dear Scam Technology Project Team</w:t>
      </w:r>
    </w:p>
    <w:p w:rsidR="007E2039" w:rsidRPr="00FB5259" w:rsidRDefault="00FB5259" w:rsidP="007E2039">
      <w:pPr>
        <w:rPr>
          <w:b/>
        </w:rPr>
      </w:pPr>
      <w:r w:rsidRPr="00FB5259">
        <w:rPr>
          <w:b/>
        </w:rPr>
        <w:t>Re: Response to Discussion paper: Combating scams – technological solutions</w:t>
      </w:r>
    </w:p>
    <w:p w:rsidR="00E95C08" w:rsidRDefault="00FB5259" w:rsidP="00FB5259">
      <w:r w:rsidRPr="00614624">
        <w:t xml:space="preserve">The Australian Communications Consumer Action Network (ACCAN) welcomes the opportunity to </w:t>
      </w:r>
      <w:r>
        <w:t xml:space="preserve">provide feedback on the Australian Communications and Media Authority’s (ACMA) discussion paper: </w:t>
      </w:r>
      <w:r w:rsidRPr="00697BF8">
        <w:rPr>
          <w:i/>
        </w:rPr>
        <w:t>Combating scams – technological solutions</w:t>
      </w:r>
      <w:r>
        <w:t xml:space="preserve">. </w:t>
      </w:r>
      <w:r w:rsidR="00E95C08">
        <w:t>ACCAN</w:t>
      </w:r>
      <w:r w:rsidR="00E95C08" w:rsidRPr="00614624">
        <w:t xml:space="preserve"> is Australia’s peak communications consumer organisation representing individuals, small businesses and not-for-profit groups as consumers of communications products and services. </w:t>
      </w:r>
    </w:p>
    <w:p w:rsidR="00CB7103" w:rsidRDefault="00E95C08" w:rsidP="002777FA">
      <w:r>
        <w:t xml:space="preserve">ACCAN is concerned with the increasing prevalence of scam activity in our communities. In particular, we are concerned that scam activity over telecommunications networks disproportionately harms vulnerable consumers. </w:t>
      </w:r>
      <w:r w:rsidR="00C20A3C">
        <w:t xml:space="preserve">Feedback from the community confirms </w:t>
      </w:r>
      <w:r w:rsidR="005959F0">
        <w:t>that c</w:t>
      </w:r>
      <w:r>
        <w:t xml:space="preserve">onsumers </w:t>
      </w:r>
      <w:r w:rsidR="00697BF8">
        <w:t>who</w:t>
      </w:r>
      <w:r>
        <w:t xml:space="preserve"> have less confidence using technology or</w:t>
      </w:r>
      <w:r w:rsidR="007E0951">
        <w:t xml:space="preserve"> less</w:t>
      </w:r>
      <w:r>
        <w:t xml:space="preserve"> familiarity with the English language are more likely to suffer harm</w:t>
      </w:r>
      <w:r w:rsidR="005959F0">
        <w:t xml:space="preserve"> than other general consumers</w:t>
      </w:r>
      <w:r w:rsidR="00CB7103">
        <w:t xml:space="preserve">. </w:t>
      </w:r>
      <w:r>
        <w:t xml:space="preserve">Therefore, we welcome the ACMA’s efforts to investigate options to </w:t>
      </w:r>
      <w:r w:rsidR="00B52B9C">
        <w:t>combat scam acti</w:t>
      </w:r>
      <w:r w:rsidR="007A43A6">
        <w:t>vity.</w:t>
      </w:r>
    </w:p>
    <w:p w:rsidR="00665D7C" w:rsidRPr="00665D7C" w:rsidRDefault="00AF4DBE" w:rsidP="00FB5259">
      <w:pPr>
        <w:rPr>
          <w:b/>
          <w:i/>
        </w:rPr>
      </w:pPr>
      <w:r>
        <w:rPr>
          <w:b/>
          <w:i/>
        </w:rPr>
        <w:t>Opening</w:t>
      </w:r>
      <w:r w:rsidR="00665D7C" w:rsidRPr="00665D7C">
        <w:rPr>
          <w:b/>
          <w:i/>
        </w:rPr>
        <w:t xml:space="preserve"> comments</w:t>
      </w:r>
    </w:p>
    <w:p w:rsidR="004E0541" w:rsidRDefault="007A43A6" w:rsidP="00FB5259">
      <w:r>
        <w:t>ACCAN supports efforts</w:t>
      </w:r>
      <w:r w:rsidR="00B52B9C">
        <w:t xml:space="preserve"> that </w:t>
      </w:r>
      <w:r>
        <w:t xml:space="preserve">will </w:t>
      </w:r>
      <w:r w:rsidR="00B52B9C">
        <w:t xml:space="preserve">provide a consistent framework to minimise scam activity </w:t>
      </w:r>
      <w:r w:rsidR="0012300B">
        <w:t xml:space="preserve">so </w:t>
      </w:r>
      <w:r w:rsidR="00B52B9C">
        <w:t xml:space="preserve">that all consumers </w:t>
      </w:r>
      <w:r w:rsidR="0012300B">
        <w:t>are protected from scams</w:t>
      </w:r>
      <w:r w:rsidR="00B52B9C">
        <w:t>, regardless of their provider</w:t>
      </w:r>
      <w:r w:rsidR="004E0541">
        <w:t>. We recognise that a range of industry, regulatory and consumer responses are necessary to reduce harm caused by scams</w:t>
      </w:r>
      <w:r w:rsidR="00B52B9C">
        <w:t xml:space="preserve">. </w:t>
      </w:r>
      <w:r w:rsidR="007E0951">
        <w:t xml:space="preserve">We see a role for the ACMA to monitor levels </w:t>
      </w:r>
      <w:r w:rsidR="005959F0">
        <w:t>of co-operation and information-</w:t>
      </w:r>
      <w:r w:rsidR="007E0951">
        <w:t xml:space="preserve">sharing between network operators and retail service providers (RSPs), and to ensure anti-scam strategies are adopted as widely as possible </w:t>
      </w:r>
      <w:r w:rsidR="004E0541">
        <w:t xml:space="preserve">in </w:t>
      </w:r>
      <w:r w:rsidR="007E0951">
        <w:t>the interest of cons</w:t>
      </w:r>
      <w:r w:rsidR="004E0541">
        <w:t>umers</w:t>
      </w:r>
      <w:r w:rsidR="007E0951">
        <w:t xml:space="preserve">. </w:t>
      </w:r>
    </w:p>
    <w:p w:rsidR="004C7E0F" w:rsidRDefault="00DE2CE6" w:rsidP="00C172A6">
      <w:r>
        <w:t xml:space="preserve">Shifting the </w:t>
      </w:r>
      <w:r w:rsidR="00665D7C">
        <w:t xml:space="preserve">responsibility for avoiding </w:t>
      </w:r>
      <w:r>
        <w:t xml:space="preserve">scam activity on individual consumers </w:t>
      </w:r>
      <w:r w:rsidR="00906CFC">
        <w:t>places an unfair burden</w:t>
      </w:r>
      <w:r w:rsidR="005959F0">
        <w:t xml:space="preserve"> on them,</w:t>
      </w:r>
      <w:r w:rsidR="00906CFC">
        <w:t xml:space="preserve"> as they </w:t>
      </w:r>
      <w:r w:rsidR="00CF65E6">
        <w:t>are less able</w:t>
      </w:r>
      <w:r w:rsidR="00906CFC">
        <w:t xml:space="preserve"> to identify and manage such risks</w:t>
      </w:r>
      <w:r w:rsidR="00CE0160">
        <w:t xml:space="preserve">. </w:t>
      </w:r>
      <w:r w:rsidR="00CF65E6">
        <w:t>Consumer</w:t>
      </w:r>
      <w:r w:rsidR="00665D7C">
        <w:t>s’</w:t>
      </w:r>
      <w:r w:rsidR="00CF65E6">
        <w:t xml:space="preserve"> technological </w:t>
      </w:r>
      <w:r w:rsidR="00665D7C">
        <w:t>strategies</w:t>
      </w:r>
      <w:r w:rsidR="00CF65E6">
        <w:t xml:space="preserve"> </w:t>
      </w:r>
      <w:r w:rsidR="005959F0">
        <w:t>for scam avoidance</w:t>
      </w:r>
      <w:r w:rsidR="00CF65E6">
        <w:t xml:space="preserve"> include purchasing a premium phone handset</w:t>
      </w:r>
      <w:r w:rsidR="005959F0">
        <w:t xml:space="preserve"> with call-blocking capabilities,</w:t>
      </w:r>
      <w:r w:rsidR="00CF65E6">
        <w:rPr>
          <w:rStyle w:val="FootnoteReference"/>
        </w:rPr>
        <w:footnoteReference w:id="1"/>
      </w:r>
      <w:r w:rsidR="00CF65E6">
        <w:t xml:space="preserve"> or downloading a call-filtering </w:t>
      </w:r>
      <w:r w:rsidR="00AF4DBE">
        <w:t xml:space="preserve">smartphone </w:t>
      </w:r>
      <w:r w:rsidR="00CF65E6">
        <w:t xml:space="preserve">app </w:t>
      </w:r>
      <w:r w:rsidR="00665D7C">
        <w:t>that offers in-app purchases.  W</w:t>
      </w:r>
      <w:r w:rsidR="00CF65E6">
        <w:t>e strongly believe consumers should not need to expend in order to avoid scam activity.</w:t>
      </w:r>
      <w:r w:rsidR="004C7E0F">
        <w:t xml:space="preserve"> </w:t>
      </w:r>
    </w:p>
    <w:p w:rsidR="00C172A6" w:rsidRDefault="00665D7C" w:rsidP="00C172A6">
      <w:r>
        <w:lastRenderedPageBreak/>
        <w:t xml:space="preserve">Networks are much better placed to identify and minimise the risk of scam activity than individual consumers. We note AMTA/CA’s joint submission to this review and welcome their engagement in </w:t>
      </w:r>
      <w:r w:rsidRPr="00665D7C">
        <w:t>discuss</w:t>
      </w:r>
      <w:r>
        <w:t>ing</w:t>
      </w:r>
      <w:r w:rsidRPr="00665D7C">
        <w:t xml:space="preserve"> potential solutions to combat scams and fraud</w:t>
      </w:r>
      <w:r>
        <w:t>. We s</w:t>
      </w:r>
      <w:r w:rsidR="00623373">
        <w:t xml:space="preserve">upport their sentiment that </w:t>
      </w:r>
      <w:r w:rsidR="005959F0">
        <w:t>while a</w:t>
      </w:r>
      <w:r w:rsidR="004C7E0F">
        <w:t xml:space="preserve"> </w:t>
      </w:r>
      <w:r>
        <w:t xml:space="preserve">technological solution may combat one type of scam activity, scammers </w:t>
      </w:r>
      <w:r w:rsidR="00623373">
        <w:t xml:space="preserve">constantly </w:t>
      </w:r>
      <w:r>
        <w:t>develop new</w:t>
      </w:r>
      <w:r w:rsidR="00C172A6">
        <w:t xml:space="preserve"> and more advanced</w:t>
      </w:r>
      <w:r>
        <w:t xml:space="preserve"> methods</w:t>
      </w:r>
      <w:r w:rsidR="005959F0">
        <w:t xml:space="preserve"> to undertake scams</w:t>
      </w:r>
      <w:r w:rsidR="00C172A6" w:rsidRPr="00C172A6">
        <w:rPr>
          <w:rStyle w:val="FootnoteReference"/>
        </w:rPr>
        <w:footnoteReference w:id="2"/>
      </w:r>
      <w:r w:rsidR="00C172A6">
        <w:t xml:space="preserve">. ACCAN agrees with </w:t>
      </w:r>
      <w:r w:rsidR="00623373">
        <w:t xml:space="preserve">AMTA/CA’s </w:t>
      </w:r>
      <w:r w:rsidR="00C172A6">
        <w:t>posi</w:t>
      </w:r>
      <w:r w:rsidR="003454AC">
        <w:t xml:space="preserve">tion that consumer awareness is </w:t>
      </w:r>
      <w:r w:rsidR="00C172A6">
        <w:t xml:space="preserve">important to pursue alongside technological responses and information-sharing. </w:t>
      </w:r>
      <w:r w:rsidR="005959F0">
        <w:t>A</w:t>
      </w:r>
      <w:r w:rsidR="00C172A6">
        <w:t xml:space="preserve">dditional </w:t>
      </w:r>
      <w:r w:rsidR="005959F0">
        <w:t>points</w:t>
      </w:r>
      <w:r w:rsidR="00C172A6">
        <w:t xml:space="preserve"> we make are that:</w:t>
      </w:r>
    </w:p>
    <w:p w:rsidR="004C7E0F" w:rsidRDefault="00623373" w:rsidP="004C7E0F">
      <w:pPr>
        <w:pStyle w:val="ListParagraph"/>
        <w:numPr>
          <w:ilvl w:val="0"/>
          <w:numId w:val="3"/>
        </w:numPr>
      </w:pPr>
      <w:r>
        <w:t>R</w:t>
      </w:r>
      <w:r w:rsidR="00C172A6">
        <w:t xml:space="preserve">esponses should not be </w:t>
      </w:r>
      <w:r w:rsidR="00AF4DBE">
        <w:t>limited to these two approaches;</w:t>
      </w:r>
    </w:p>
    <w:p w:rsidR="004C7E0F" w:rsidRDefault="004C7E0F" w:rsidP="00583532">
      <w:pPr>
        <w:pStyle w:val="ListParagraph"/>
        <w:numPr>
          <w:ilvl w:val="0"/>
          <w:numId w:val="3"/>
        </w:numPr>
      </w:pPr>
      <w:r>
        <w:t>Improvements to information-sharing should be explored not just between RSPs and network operators</w:t>
      </w:r>
      <w:r w:rsidR="00583532">
        <w:t xml:space="preserve"> at a technical level, but also a</w:t>
      </w:r>
      <w:r>
        <w:t>cross the entire realm of stakeholders (</w:t>
      </w:r>
      <w:proofErr w:type="spellStart"/>
      <w:r>
        <w:t>eg</w:t>
      </w:r>
      <w:proofErr w:type="spellEnd"/>
      <w:r>
        <w:t>. law enforcement, regulators, network operators, RSPs and general consumers) and at various points throughout cycles of scam activity (</w:t>
      </w:r>
      <w:proofErr w:type="spellStart"/>
      <w:r>
        <w:t>eg</w:t>
      </w:r>
      <w:proofErr w:type="spellEnd"/>
      <w:r>
        <w:t>. at the point at which consumer contact information is shared between scammers);</w:t>
      </w:r>
    </w:p>
    <w:p w:rsidR="00C172A6" w:rsidRDefault="005959F0" w:rsidP="00C172A6">
      <w:pPr>
        <w:pStyle w:val="ListParagraph"/>
        <w:numPr>
          <w:ilvl w:val="0"/>
          <w:numId w:val="3"/>
        </w:numPr>
      </w:pPr>
      <w:r>
        <w:t>Information-</w:t>
      </w:r>
      <w:r w:rsidR="00C172A6">
        <w:t>sharing should</w:t>
      </w:r>
      <w:r w:rsidR="00623373">
        <w:t xml:space="preserve"> clearly</w:t>
      </w:r>
      <w:r w:rsidR="00C172A6">
        <w:t xml:space="preserve"> lead to technical solutions</w:t>
      </w:r>
      <w:r w:rsidR="00F76D17">
        <w:t xml:space="preserve"> implemented by the industry</w:t>
      </w:r>
      <w:r w:rsidR="00C172A6">
        <w:t xml:space="preserve"> </w:t>
      </w:r>
      <w:r w:rsidR="00623373">
        <w:t xml:space="preserve">to assist in blocking scam communications. </w:t>
      </w:r>
    </w:p>
    <w:p w:rsidR="00623373" w:rsidRDefault="00FE3789" w:rsidP="0086678D">
      <w:pPr>
        <w:keepNext/>
        <w:keepLines/>
      </w:pPr>
      <w:r>
        <w:t xml:space="preserve">In this </w:t>
      </w:r>
      <w:r w:rsidR="00D774E6">
        <w:t xml:space="preserve">submission we focus our comments </w:t>
      </w:r>
      <w:r w:rsidR="000D4CEB">
        <w:t>on the impact of scam activity on consumers</w:t>
      </w:r>
      <w:r w:rsidR="005959F0">
        <w:t>,</w:t>
      </w:r>
      <w:r w:rsidR="000D4CEB">
        <w:t xml:space="preserve"> and possible awareness raising activities to minimise the risk of harm to consumers.</w:t>
      </w:r>
      <w:r w:rsidR="00623373">
        <w:t xml:space="preserve"> We feel that ACCAN does not have the technical </w:t>
      </w:r>
      <w:r w:rsidR="00623373" w:rsidRPr="00623373">
        <w:t>expertise to comment on the viability of solutions at a network operator and RSP</w:t>
      </w:r>
      <w:r w:rsidR="005959F0">
        <w:t xml:space="preserve"> level</w:t>
      </w:r>
      <w:r w:rsidR="00623373">
        <w:t>.</w:t>
      </w:r>
    </w:p>
    <w:p w:rsidR="007E0951" w:rsidRDefault="006773C3" w:rsidP="00371B97">
      <w:pPr>
        <w:keepNext/>
        <w:keepLines/>
        <w:rPr>
          <w:b/>
          <w:i/>
        </w:rPr>
      </w:pPr>
      <w:r>
        <w:rPr>
          <w:b/>
          <w:i/>
        </w:rPr>
        <w:t>Consumers’ experiences of and responses to scam</w:t>
      </w:r>
      <w:r w:rsidR="00165359">
        <w:t xml:space="preserve"> </w:t>
      </w:r>
      <w:r w:rsidR="00165359" w:rsidRPr="007E0951">
        <w:rPr>
          <w:b/>
          <w:i/>
        </w:rPr>
        <w:t>activity</w:t>
      </w:r>
    </w:p>
    <w:p w:rsidR="00873FF6" w:rsidRDefault="004C7E0F" w:rsidP="00371B97">
      <w:pPr>
        <w:keepNext/>
        <w:keepLines/>
      </w:pPr>
      <w:r>
        <w:t>Overall,</w:t>
      </w:r>
      <w:r w:rsidR="00165359">
        <w:t xml:space="preserve"> experiences of scams var</w:t>
      </w:r>
      <w:r w:rsidR="00F76D17">
        <w:t>y</w:t>
      </w:r>
      <w:r w:rsidR="00165359">
        <w:t xml:space="preserve"> between community</w:t>
      </w:r>
      <w:r w:rsidR="00E52339">
        <w:t xml:space="preserve"> groups</w:t>
      </w:r>
      <w:r w:rsidR="00614F1E">
        <w:t>,</w:t>
      </w:r>
      <w:r w:rsidR="00E52339">
        <w:t xml:space="preserve"> and </w:t>
      </w:r>
      <w:r w:rsidR="00AF4DBE">
        <w:t>technological solutions</w:t>
      </w:r>
      <w:r w:rsidR="00E52339">
        <w:t xml:space="preserve"> to scams (</w:t>
      </w:r>
      <w:proofErr w:type="spellStart"/>
      <w:r w:rsidR="00E52339">
        <w:t>eg</w:t>
      </w:r>
      <w:proofErr w:type="spellEnd"/>
      <w:r w:rsidR="00E52339">
        <w:t>.</w:t>
      </w:r>
      <w:r w:rsidR="00165359">
        <w:t xml:space="preserve"> call-</w:t>
      </w:r>
      <w:r w:rsidR="00AF4DBE">
        <w:t>screening</w:t>
      </w:r>
      <w:r w:rsidR="00165359">
        <w:t xml:space="preserve"> </w:t>
      </w:r>
      <w:r w:rsidR="00AF4DBE">
        <w:t xml:space="preserve">smartphone </w:t>
      </w:r>
      <w:r w:rsidR="00E52339">
        <w:t>apps</w:t>
      </w:r>
      <w:r w:rsidR="00475B19">
        <w:t>) ar</w:t>
      </w:r>
      <w:r w:rsidR="00165359">
        <w:t>e not widely used</w:t>
      </w:r>
      <w:r w:rsidR="00475B19">
        <w:t xml:space="preserve"> in </w:t>
      </w:r>
      <w:r w:rsidR="00614F1E">
        <w:t xml:space="preserve">CALD communities and amongst older Australians. </w:t>
      </w:r>
    </w:p>
    <w:p w:rsidR="000F7CD6" w:rsidRPr="00E52339" w:rsidRDefault="000A1EE4" w:rsidP="00D65357">
      <w:r w:rsidRPr="001D413F">
        <w:t xml:space="preserve">Through </w:t>
      </w:r>
      <w:r w:rsidR="00475B19">
        <w:t>consulting</w:t>
      </w:r>
      <w:r w:rsidRPr="001D413F">
        <w:t xml:space="preserve"> </w:t>
      </w:r>
      <w:r w:rsidR="00371B97" w:rsidRPr="001D413F">
        <w:t xml:space="preserve">with consumers </w:t>
      </w:r>
      <w:r w:rsidR="00475B19">
        <w:t>about</w:t>
      </w:r>
      <w:r w:rsidRPr="001D413F">
        <w:t xml:space="preserve"> this submission, w</w:t>
      </w:r>
      <w:r w:rsidR="000F7CD6" w:rsidRPr="001D413F">
        <w:t xml:space="preserve">e </w:t>
      </w:r>
      <w:r w:rsidRPr="001D413F">
        <w:t xml:space="preserve">have come to </w:t>
      </w:r>
      <w:r w:rsidR="000F7CD6" w:rsidRPr="001D413F">
        <w:t xml:space="preserve">understand </w:t>
      </w:r>
      <w:r w:rsidR="00E52339">
        <w:t xml:space="preserve">from AMES Australia </w:t>
      </w:r>
      <w:r w:rsidR="000F7CD6" w:rsidRPr="001D413F">
        <w:t xml:space="preserve">that </w:t>
      </w:r>
      <w:r w:rsidR="0081718E" w:rsidRPr="001D413F">
        <w:t xml:space="preserve">most </w:t>
      </w:r>
      <w:r w:rsidR="0086678D" w:rsidRPr="008B7271">
        <w:t>recent migrants</w:t>
      </w:r>
      <w:r w:rsidR="000F7CD6" w:rsidRPr="008B7271">
        <w:t xml:space="preserve"> </w:t>
      </w:r>
      <w:r w:rsidR="00165359" w:rsidRPr="00CB7103">
        <w:t>rarely</w:t>
      </w:r>
      <w:r w:rsidR="000F7CD6" w:rsidRPr="00CB7103">
        <w:t xml:space="preserve"> </w:t>
      </w:r>
      <w:r w:rsidR="00475B19">
        <w:t xml:space="preserve">have </w:t>
      </w:r>
      <w:r w:rsidR="000F7CD6" w:rsidRPr="00CB7103">
        <w:t>computers at home or fixed line</w:t>
      </w:r>
      <w:r w:rsidR="00165359" w:rsidRPr="00CB7103">
        <w:t xml:space="preserve"> Internet</w:t>
      </w:r>
      <w:r w:rsidR="000F7CD6" w:rsidRPr="00CB7103">
        <w:t xml:space="preserve"> connections, but </w:t>
      </w:r>
      <w:r w:rsidR="006E02EA" w:rsidRPr="00CB7103">
        <w:t>most</w:t>
      </w:r>
      <w:r w:rsidR="000F7CD6" w:rsidRPr="00E52339">
        <w:t xml:space="preserve"> have a mobile phone. </w:t>
      </w:r>
      <w:r w:rsidR="0051021C" w:rsidRPr="00E52339">
        <w:t>Thus, t</w:t>
      </w:r>
      <w:r w:rsidR="000F7CD6" w:rsidRPr="00E52339">
        <w:t>hese consumers are highly vulnerable to text-based scams</w:t>
      </w:r>
      <w:r w:rsidR="00F76D17">
        <w:t>. They are</w:t>
      </w:r>
      <w:r w:rsidR="00CD216C" w:rsidRPr="00E52339">
        <w:t xml:space="preserve"> </w:t>
      </w:r>
      <w:r w:rsidR="00F76D17">
        <w:t xml:space="preserve">also </w:t>
      </w:r>
      <w:r w:rsidR="00DF6590" w:rsidRPr="00E52339">
        <w:t xml:space="preserve">especially </w:t>
      </w:r>
      <w:r w:rsidR="00F76D17">
        <w:t xml:space="preserve">vulnerable to scams </w:t>
      </w:r>
      <w:r w:rsidR="00CD216C" w:rsidRPr="00E52339">
        <w:t xml:space="preserve">that impersonate Australian authorities. For example, there was widespread panic </w:t>
      </w:r>
      <w:r w:rsidR="00DF6590" w:rsidRPr="00E52339">
        <w:t>amongst many migrants about</w:t>
      </w:r>
      <w:r w:rsidR="00CD216C" w:rsidRPr="00E52339">
        <w:t xml:space="preserve"> </w:t>
      </w:r>
      <w:r w:rsidR="00DF6590" w:rsidRPr="00E52339">
        <w:t xml:space="preserve">the recent </w:t>
      </w:r>
      <w:r w:rsidR="00CD216C" w:rsidRPr="00E52339">
        <w:t>ATO</w:t>
      </w:r>
      <w:r w:rsidR="00DF6590" w:rsidRPr="00E52339">
        <w:t xml:space="preserve"> scam</w:t>
      </w:r>
      <w:r w:rsidR="00CD216C" w:rsidRPr="00E52339">
        <w:t xml:space="preserve"> </w:t>
      </w:r>
      <w:r w:rsidR="009106D4" w:rsidRPr="00E52339">
        <w:t>regarding taxes owed</w:t>
      </w:r>
      <w:r w:rsidR="00CD216C" w:rsidRPr="00E52339">
        <w:t>.</w:t>
      </w:r>
      <w:r w:rsidR="00D65357" w:rsidRPr="001D413F">
        <w:rPr>
          <w:rStyle w:val="FootnoteReference"/>
        </w:rPr>
        <w:footnoteReference w:id="3"/>
      </w:r>
      <w:r w:rsidR="00CD216C" w:rsidRPr="001D413F">
        <w:t xml:space="preserve"> </w:t>
      </w:r>
      <w:r w:rsidR="009106D4" w:rsidRPr="001D413F">
        <w:t>Recent migrants were</w:t>
      </w:r>
      <w:r w:rsidR="00CD216C" w:rsidRPr="001D413F">
        <w:t xml:space="preserve"> particularly sensitive to </w:t>
      </w:r>
      <w:r w:rsidR="009106D4" w:rsidRPr="001D413F">
        <w:t xml:space="preserve">this scam as </w:t>
      </w:r>
      <w:r w:rsidR="0051021C" w:rsidRPr="001D413F">
        <w:t xml:space="preserve">they </w:t>
      </w:r>
      <w:r w:rsidR="00DF6590" w:rsidRPr="001D413F">
        <w:t xml:space="preserve">are highly cautious of their standing with local authorities and </w:t>
      </w:r>
      <w:r w:rsidR="00A462D5" w:rsidRPr="001D413F">
        <w:t>may</w:t>
      </w:r>
      <w:r w:rsidR="00D83D98" w:rsidRPr="008B7271">
        <w:t xml:space="preserve"> </w:t>
      </w:r>
      <w:r w:rsidR="00DF6590" w:rsidRPr="008B7271">
        <w:t xml:space="preserve">have less of an understanding of Australian government processes. </w:t>
      </w:r>
      <w:r w:rsidR="00165359" w:rsidRPr="003810B4">
        <w:t xml:space="preserve">We found that </w:t>
      </w:r>
      <w:r w:rsidR="00165359" w:rsidRPr="00CB7103">
        <w:t>recent migrants predominantly check with their social networks (family, friends and community members) about suspected</w:t>
      </w:r>
      <w:r w:rsidR="00165359" w:rsidRPr="00E52339">
        <w:t xml:space="preserve"> scam activity, rather than using technological solutions to block scams. </w:t>
      </w:r>
    </w:p>
    <w:p w:rsidR="007E0951" w:rsidRDefault="00DF6590" w:rsidP="00D65357">
      <w:r>
        <w:t xml:space="preserve">We also </w:t>
      </w:r>
      <w:r w:rsidR="00614F1E">
        <w:t xml:space="preserve">know </w:t>
      </w:r>
      <w:r>
        <w:t>that</w:t>
      </w:r>
      <w:r w:rsidR="009106D4">
        <w:t xml:space="preserve"> older people are more vulnerable to phone scams </w:t>
      </w:r>
      <w:r w:rsidR="00373378">
        <w:t>as the</w:t>
      </w:r>
      <w:r w:rsidR="00371B97">
        <w:t>y are the</w:t>
      </w:r>
      <w:r w:rsidR="00373378">
        <w:t xml:space="preserve"> largest proportion of </w:t>
      </w:r>
      <w:r w:rsidR="00946B2B">
        <w:t>fixed line telephone</w:t>
      </w:r>
      <w:r w:rsidR="00373378">
        <w:t xml:space="preserve"> u</w:t>
      </w:r>
      <w:r w:rsidR="00946B2B">
        <w:t>s</w:t>
      </w:r>
      <w:r w:rsidR="00373378">
        <w:t>ers</w:t>
      </w:r>
      <w:r w:rsidR="00946B2B">
        <w:t xml:space="preserve">. </w:t>
      </w:r>
      <w:r w:rsidR="00F76D17">
        <w:t>ACCA</w:t>
      </w:r>
      <w:r w:rsidR="00583532">
        <w:t>N me</w:t>
      </w:r>
      <w:bookmarkStart w:id="0" w:name="_GoBack"/>
      <w:bookmarkEnd w:id="0"/>
      <w:r w:rsidR="00583532">
        <w:t>mbers</w:t>
      </w:r>
      <w:r w:rsidR="00475B19">
        <w:t xml:space="preserve"> Australian Seniors Computer Clubs Association (ASCCA) and Council of the Ageing Australia (COTA Australia)</w:t>
      </w:r>
      <w:r w:rsidR="004C7E0F">
        <w:t xml:space="preserve"> </w:t>
      </w:r>
      <w:r w:rsidR="00614F1E">
        <w:t>consider</w:t>
      </w:r>
      <w:r>
        <w:t xml:space="preserve"> that </w:t>
      </w:r>
      <w:r w:rsidR="00645251">
        <w:t xml:space="preserve">older people are </w:t>
      </w:r>
      <w:r w:rsidR="008E0AC6">
        <w:t xml:space="preserve">more </w:t>
      </w:r>
      <w:r w:rsidR="00645251">
        <w:t>likely to report scam activity</w:t>
      </w:r>
      <w:r w:rsidR="008E0AC6">
        <w:t xml:space="preserve"> than other demographics</w:t>
      </w:r>
      <w:r>
        <w:t>;</w:t>
      </w:r>
      <w:r w:rsidR="00645251">
        <w:t xml:space="preserve"> </w:t>
      </w:r>
      <w:r>
        <w:t xml:space="preserve">this could be attributed to </w:t>
      </w:r>
      <w:r w:rsidR="00371B97">
        <w:t>having more</w:t>
      </w:r>
      <w:r w:rsidR="007E0951">
        <w:t xml:space="preserve"> time or</w:t>
      </w:r>
      <w:r w:rsidR="00371B97">
        <w:t xml:space="preserve"> </w:t>
      </w:r>
      <w:r w:rsidR="00572E48">
        <w:t>capacity</w:t>
      </w:r>
      <w:r w:rsidR="00371B97">
        <w:t xml:space="preserve"> to do so </w:t>
      </w:r>
      <w:r w:rsidR="007E0951">
        <w:t>compared to younger people</w:t>
      </w:r>
      <w:r w:rsidR="00645251">
        <w:t>.</w:t>
      </w:r>
      <w:r w:rsidR="001D413F" w:rsidRPr="001D413F">
        <w:t xml:space="preserve"> </w:t>
      </w:r>
      <w:r w:rsidR="001D413F">
        <w:t xml:space="preserve">This could also be attributed to the </w:t>
      </w:r>
      <w:r w:rsidR="001D413F">
        <w:lastRenderedPageBreak/>
        <w:t>high level of trust many older people have in the authorities, or the fact that landlines are simply more target</w:t>
      </w:r>
      <w:r w:rsidR="00572E48">
        <w:t>ed</w:t>
      </w:r>
      <w:r w:rsidR="001D413F">
        <w:t xml:space="preserve"> by scammers.</w:t>
      </w:r>
      <w:r w:rsidR="00645251">
        <w:t xml:space="preserve"> There is a concern from </w:t>
      </w:r>
      <w:r w:rsidR="006E02EA">
        <w:t>these groups that</w:t>
      </w:r>
      <w:r w:rsidR="00645251">
        <w:t xml:space="preserve"> if scam activity increases without knowledge of efforts to combat it, people will be less inclined to report</w:t>
      </w:r>
      <w:r w:rsidR="00906CFC">
        <w:t xml:space="preserve"> as they won’t see the point</w:t>
      </w:r>
      <w:r w:rsidR="00645251">
        <w:t xml:space="preserve">. </w:t>
      </w:r>
    </w:p>
    <w:p w:rsidR="00DF6590" w:rsidRDefault="00645251" w:rsidP="00D65357">
      <w:r>
        <w:t xml:space="preserve">Moreover, it is likely </w:t>
      </w:r>
      <w:r w:rsidR="0081718E">
        <w:t xml:space="preserve">that scam activity is under-reported </w:t>
      </w:r>
      <w:r w:rsidR="008E0AC6">
        <w:t xml:space="preserve">by older people </w:t>
      </w:r>
      <w:r w:rsidR="0081718E">
        <w:t>due to the shame or embarrassment victims might feel</w:t>
      </w:r>
      <w:r w:rsidR="00371B97">
        <w:t xml:space="preserve">, or </w:t>
      </w:r>
      <w:r w:rsidR="007E0951">
        <w:t xml:space="preserve">through </w:t>
      </w:r>
      <w:r w:rsidR="00371B97">
        <w:t xml:space="preserve">not knowing where to report this </w:t>
      </w:r>
      <w:r w:rsidR="00475B19">
        <w:t>activity</w:t>
      </w:r>
      <w:r w:rsidR="0081718E">
        <w:t xml:space="preserve">. </w:t>
      </w:r>
      <w:r w:rsidR="00165359">
        <w:t>Through our consultation we found that older people rel</w:t>
      </w:r>
      <w:r w:rsidR="008E0AC6">
        <w:t>y</w:t>
      </w:r>
      <w:r w:rsidR="00165359">
        <w:t xml:space="preserve"> on </w:t>
      </w:r>
      <w:r w:rsidR="00C647A0">
        <w:t xml:space="preserve">their </w:t>
      </w:r>
      <w:r w:rsidR="00165359">
        <w:t xml:space="preserve">existing scam knowledge </w:t>
      </w:r>
      <w:r w:rsidR="00C647A0">
        <w:t>to identify and respond to scam behaviour by ignoring it</w:t>
      </w:r>
      <w:r w:rsidR="00475B19">
        <w:t xml:space="preserve"> or reporting it</w:t>
      </w:r>
      <w:r w:rsidR="00C647A0">
        <w:t>. Thi</w:t>
      </w:r>
      <w:r w:rsidR="001D413F">
        <w:t>s poses a significant problem: while</w:t>
      </w:r>
      <w:r w:rsidR="00C647A0">
        <w:t xml:space="preserve"> older people may be well-informed about avoiding fake offer</w:t>
      </w:r>
      <w:r w:rsidR="001D413F">
        <w:t>s or threat-</w:t>
      </w:r>
      <w:r w:rsidR="00C647A0">
        <w:t xml:space="preserve">based scams, </w:t>
      </w:r>
      <w:r w:rsidR="001D413F">
        <w:t xml:space="preserve">newer forms of scams like phishing are harder for them to identify and ignore. </w:t>
      </w:r>
    </w:p>
    <w:p w:rsidR="00873FF6" w:rsidRPr="00873FF6" w:rsidRDefault="00873FF6" w:rsidP="0086678D">
      <w:pPr>
        <w:keepNext/>
        <w:keepLines/>
        <w:rPr>
          <w:b/>
          <w:i/>
        </w:rPr>
      </w:pPr>
      <w:r w:rsidRPr="00873FF6">
        <w:rPr>
          <w:b/>
          <w:i/>
        </w:rPr>
        <w:t>Awareness raising activities to assist consumers combat scam activity</w:t>
      </w:r>
    </w:p>
    <w:p w:rsidR="009147BE" w:rsidRDefault="00475B19" w:rsidP="0086678D">
      <w:pPr>
        <w:keepNext/>
        <w:keepLines/>
      </w:pPr>
      <w:r>
        <w:t>C</w:t>
      </w:r>
      <w:r w:rsidR="00873FF6">
        <w:t>onsumers</w:t>
      </w:r>
      <w:r>
        <w:t xml:space="preserve"> may</w:t>
      </w:r>
      <w:r w:rsidR="00873FF6">
        <w:t xml:space="preserve"> have a suspicion that a communication is not legitimate and is likely </w:t>
      </w:r>
      <w:r w:rsidR="008E0AC6">
        <w:t xml:space="preserve">to be a </w:t>
      </w:r>
      <w:r w:rsidR="00583532">
        <w:t>scam</w:t>
      </w:r>
      <w:r w:rsidR="00873FF6">
        <w:t xml:space="preserve">. However, it takes a great deal of confidence to </w:t>
      </w:r>
      <w:r w:rsidR="00D65357">
        <w:t xml:space="preserve">avoid or </w:t>
      </w:r>
      <w:r w:rsidR="00874468">
        <w:t>report</w:t>
      </w:r>
      <w:r w:rsidR="00D65357">
        <w:t xml:space="preserve"> these interactions.</w:t>
      </w:r>
      <w:r w:rsidR="00AC3AA8">
        <w:t xml:space="preserve"> ACCAN commends </w:t>
      </w:r>
      <w:r w:rsidR="006E02EA">
        <w:t>ACCC</w:t>
      </w:r>
      <w:r w:rsidR="00906CFC">
        <w:t xml:space="preserve"> and </w:t>
      </w:r>
      <w:r w:rsidR="00AC3AA8">
        <w:t xml:space="preserve">industry efforts to assist consumers with online information to confidently identify scams. </w:t>
      </w:r>
    </w:p>
    <w:p w:rsidR="00645251" w:rsidRDefault="00AC3AA8" w:rsidP="00FB5259">
      <w:r>
        <w:t>F</w:t>
      </w:r>
      <w:r w:rsidR="003B32EF">
        <w:t xml:space="preserve">or consumers </w:t>
      </w:r>
      <w:r w:rsidR="003454AC">
        <w:t>who</w:t>
      </w:r>
      <w:r w:rsidR="003B32EF">
        <w:t xml:space="preserve"> are not online or have limited </w:t>
      </w:r>
      <w:r w:rsidR="003D3710">
        <w:t>awareness about thes</w:t>
      </w:r>
      <w:r w:rsidR="008745A9">
        <w:t>e resources, different approaches</w:t>
      </w:r>
      <w:r w:rsidR="003D3710">
        <w:t xml:space="preserve"> are necessary. </w:t>
      </w:r>
      <w:r w:rsidR="009535CE">
        <w:t xml:space="preserve">We note </w:t>
      </w:r>
      <w:r w:rsidR="003B32EF" w:rsidRPr="009535CE">
        <w:t>AMTA/CA</w:t>
      </w:r>
      <w:r w:rsidR="009535CE" w:rsidRPr="009535CE">
        <w:t>’s</w:t>
      </w:r>
      <w:r w:rsidR="003B32EF" w:rsidRPr="009535CE">
        <w:t xml:space="preserve"> submission</w:t>
      </w:r>
      <w:r w:rsidR="009535CE">
        <w:t xml:space="preserve"> which</w:t>
      </w:r>
      <w:r w:rsidR="003D3710" w:rsidRPr="009535CE">
        <w:t xml:space="preserve"> states </w:t>
      </w:r>
      <w:r w:rsidR="003D3710" w:rsidRPr="003454AC">
        <w:t>that</w:t>
      </w:r>
      <w:r w:rsidR="009535CE">
        <w:t xml:space="preserve"> education from trusted sources is essential to consumer protection, because individual-led strategies to avoid scams do not always work</w:t>
      </w:r>
      <w:r w:rsidR="009535CE" w:rsidRPr="009535CE">
        <w:rPr>
          <w:rStyle w:val="FootnoteReference"/>
        </w:rPr>
        <w:footnoteReference w:id="4"/>
      </w:r>
      <w:r w:rsidR="009535CE" w:rsidRPr="009535CE">
        <w:t xml:space="preserve">. </w:t>
      </w:r>
      <w:r w:rsidR="004A67B9">
        <w:t xml:space="preserve">We </w:t>
      </w:r>
      <w:r w:rsidR="00645251">
        <w:t xml:space="preserve">agree that there is great potential to improve consumer awareness campaigns, </w:t>
      </w:r>
      <w:r w:rsidR="00C67E7C">
        <w:t>particularly</w:t>
      </w:r>
      <w:r w:rsidR="00645251">
        <w:t xml:space="preserve"> </w:t>
      </w:r>
      <w:r w:rsidR="00DB4DF4">
        <w:t xml:space="preserve">through </w:t>
      </w:r>
      <w:r w:rsidR="006E02EA">
        <w:t xml:space="preserve">the </w:t>
      </w:r>
      <w:r w:rsidR="00645251">
        <w:t xml:space="preserve">funding </w:t>
      </w:r>
      <w:r w:rsidR="006E02EA">
        <w:t xml:space="preserve">of </w:t>
      </w:r>
      <w:r w:rsidR="00645251">
        <w:t xml:space="preserve">community organisations </w:t>
      </w:r>
      <w:r w:rsidR="00475B19">
        <w:t>that</w:t>
      </w:r>
      <w:r w:rsidR="00DB4DF4">
        <w:t xml:space="preserve"> engage with </w:t>
      </w:r>
      <w:r w:rsidR="00475B19">
        <w:t>hard</w:t>
      </w:r>
      <w:r w:rsidR="00DB4DF4">
        <w:t xml:space="preserve"> to reach consumers</w:t>
      </w:r>
      <w:r w:rsidR="00156DC0">
        <w:t>, using resources developed by government</w:t>
      </w:r>
      <w:r w:rsidR="00DB4DF4">
        <w:t xml:space="preserve">. </w:t>
      </w:r>
    </w:p>
    <w:p w:rsidR="004C7E0F" w:rsidRDefault="00645251" w:rsidP="008A67AA">
      <w:r>
        <w:t xml:space="preserve">From our consultations with member organisations we understand </w:t>
      </w:r>
      <w:r w:rsidR="00162A7F">
        <w:t>that word of mouth is</w:t>
      </w:r>
      <w:r w:rsidR="00E41889">
        <w:t xml:space="preserve"> one of the</w:t>
      </w:r>
      <w:r w:rsidR="00162A7F">
        <w:t xml:space="preserve"> most power</w:t>
      </w:r>
      <w:r w:rsidR="00DB4DF4">
        <w:t>ful</w:t>
      </w:r>
      <w:r w:rsidR="00162A7F">
        <w:t xml:space="preserve"> channel</w:t>
      </w:r>
      <w:r w:rsidR="00E41889">
        <w:t>s</w:t>
      </w:r>
      <w:r w:rsidR="00162A7F">
        <w:t xml:space="preserve"> to </w:t>
      </w:r>
      <w:r w:rsidR="00E41889">
        <w:t xml:space="preserve">share </w:t>
      </w:r>
      <w:r w:rsidR="006E02EA">
        <w:t>information throughout</w:t>
      </w:r>
      <w:r w:rsidR="00E41889">
        <w:t xml:space="preserve"> the</w:t>
      </w:r>
      <w:r w:rsidR="008674E5">
        <w:t xml:space="preserve"> </w:t>
      </w:r>
      <w:r>
        <w:t xml:space="preserve">community, particularly </w:t>
      </w:r>
      <w:r w:rsidR="00E41889">
        <w:t>to</w:t>
      </w:r>
      <w:r>
        <w:t xml:space="preserve"> consumers</w:t>
      </w:r>
      <w:r w:rsidR="00DB4DF4">
        <w:t xml:space="preserve"> from culturally and linguistically diverse </w:t>
      </w:r>
      <w:r w:rsidR="004C7E0F">
        <w:t xml:space="preserve">(CALD) </w:t>
      </w:r>
      <w:r w:rsidR="00DB4DF4">
        <w:t>communities.</w:t>
      </w:r>
      <w:r>
        <w:t xml:space="preserve"> </w:t>
      </w:r>
      <w:r w:rsidR="00162A7F">
        <w:t>Word of mou</w:t>
      </w:r>
      <w:r w:rsidR="00FF2311">
        <w:t>th</w:t>
      </w:r>
      <w:r w:rsidR="00F35254">
        <w:t xml:space="preserve"> information-sharing</w:t>
      </w:r>
      <w:r w:rsidR="00FF2311">
        <w:t xml:space="preserve"> relies on frontline community groups </w:t>
      </w:r>
      <w:r w:rsidR="00162A7F">
        <w:t xml:space="preserve">to </w:t>
      </w:r>
      <w:r w:rsidR="008674E5">
        <w:t>be well-resourced</w:t>
      </w:r>
      <w:r w:rsidR="00DB4DF4">
        <w:t xml:space="preserve"> </w:t>
      </w:r>
      <w:r w:rsidR="008674E5">
        <w:t xml:space="preserve">with </w:t>
      </w:r>
      <w:r w:rsidR="00162A7F">
        <w:t>accurate and relevant information</w:t>
      </w:r>
      <w:r w:rsidR="008674E5">
        <w:t xml:space="preserve"> on hand</w:t>
      </w:r>
      <w:r w:rsidR="00162A7F">
        <w:t xml:space="preserve">. </w:t>
      </w:r>
      <w:r w:rsidR="008674E5">
        <w:t>Client-facing c</w:t>
      </w:r>
      <w:r w:rsidR="00FF2311">
        <w:t xml:space="preserve">ommunity groups </w:t>
      </w:r>
      <w:r w:rsidR="008674E5">
        <w:t xml:space="preserve">we spoke to that employ staff </w:t>
      </w:r>
      <w:r w:rsidR="008E0AC6">
        <w:t>such as</w:t>
      </w:r>
      <w:r w:rsidR="00162A7F">
        <w:t xml:space="preserve"> teachers, trainers, and </w:t>
      </w:r>
      <w:r w:rsidR="008674E5">
        <w:t>social workers</w:t>
      </w:r>
      <w:r w:rsidR="00162A7F">
        <w:t xml:space="preserve"> are informed of current scams via email (</w:t>
      </w:r>
      <w:r w:rsidR="00F35254">
        <w:t>like Scamw</w:t>
      </w:r>
      <w:r w:rsidR="008674E5">
        <w:t xml:space="preserve">atch </w:t>
      </w:r>
      <w:r w:rsidR="00162A7F">
        <w:t>alerts) and</w:t>
      </w:r>
      <w:r w:rsidR="008674E5">
        <w:t xml:space="preserve"> are in a position where they can communicate face-to-face with consumers. </w:t>
      </w:r>
    </w:p>
    <w:p w:rsidR="008A67AA" w:rsidRDefault="00FF2311" w:rsidP="008A67AA">
      <w:r>
        <w:t xml:space="preserve">We also heard that newsletters and other printed materials </w:t>
      </w:r>
      <w:r w:rsidR="00F35254">
        <w:t>like</w:t>
      </w:r>
      <w:r>
        <w:t xml:space="preserve"> brochures are useful information sources, particularly for older consumers. These materials </w:t>
      </w:r>
      <w:r w:rsidR="008674E5">
        <w:t xml:space="preserve">should be </w:t>
      </w:r>
      <w:r>
        <w:t xml:space="preserve">provided in easy English and </w:t>
      </w:r>
      <w:r w:rsidR="008674E5">
        <w:t>other widely spoken languages</w:t>
      </w:r>
      <w:r>
        <w:t xml:space="preserve"> in the community.</w:t>
      </w:r>
      <w:r w:rsidR="00014256">
        <w:t xml:space="preserve"> Warnings about scam activity delivered via non</w:t>
      </w:r>
      <w:r w:rsidR="000D3918">
        <w:t>-</w:t>
      </w:r>
      <w:r w:rsidR="00014256">
        <w:t xml:space="preserve">English </w:t>
      </w:r>
      <w:r w:rsidR="00D83D98">
        <w:t xml:space="preserve">speaking </w:t>
      </w:r>
      <w:r w:rsidR="00014256">
        <w:t>television or radio</w:t>
      </w:r>
      <w:r w:rsidR="00B14A8B">
        <w:t>-</w:t>
      </w:r>
      <w:r w:rsidR="00014256">
        <w:t xml:space="preserve">stations </w:t>
      </w:r>
      <w:r w:rsidR="00B14A8B">
        <w:t>are</w:t>
      </w:r>
      <w:r w:rsidR="00014256">
        <w:t xml:space="preserve"> a good info</w:t>
      </w:r>
      <w:r w:rsidR="004C7E0F">
        <w:t xml:space="preserve">rmation-sharing alternative for </w:t>
      </w:r>
      <w:r w:rsidR="006E004B">
        <w:t>people</w:t>
      </w:r>
      <w:r w:rsidR="00014256">
        <w:t xml:space="preserve"> </w:t>
      </w:r>
      <w:r w:rsidR="008E0AC6">
        <w:t xml:space="preserve">with </w:t>
      </w:r>
      <w:r w:rsidR="00014256">
        <w:t xml:space="preserve">low levels of </w:t>
      </w:r>
      <w:r w:rsidR="00A462D5">
        <w:t xml:space="preserve">English </w:t>
      </w:r>
      <w:r w:rsidR="00014256">
        <w:t>literacy</w:t>
      </w:r>
      <w:r w:rsidR="00B14A8B">
        <w:t xml:space="preserve">. </w:t>
      </w:r>
      <w:r w:rsidR="008A67AA">
        <w:t xml:space="preserve">It </w:t>
      </w:r>
      <w:r w:rsidR="008E0AC6">
        <w:t xml:space="preserve">would assist these communities if </w:t>
      </w:r>
      <w:r w:rsidR="008A67AA">
        <w:t>Scamwatch alerts and</w:t>
      </w:r>
      <w:r w:rsidR="00583532">
        <w:t xml:space="preserve"> </w:t>
      </w:r>
      <w:r w:rsidR="004D4A69">
        <w:t>similar</w:t>
      </w:r>
      <w:r w:rsidR="00156DC0">
        <w:t xml:space="preserve"> material</w:t>
      </w:r>
      <w:r w:rsidR="004D4A69">
        <w:t xml:space="preserve"> </w:t>
      </w:r>
      <w:r w:rsidR="008A67AA">
        <w:t xml:space="preserve">could be provided in </w:t>
      </w:r>
      <w:r w:rsidR="00B14A8B">
        <w:t xml:space="preserve">multiple </w:t>
      </w:r>
      <w:r w:rsidR="008A67AA">
        <w:t xml:space="preserve">languages and formats to assist </w:t>
      </w:r>
      <w:r w:rsidR="00B14A8B">
        <w:t>information sharing</w:t>
      </w:r>
      <w:r w:rsidR="008A67AA">
        <w:t xml:space="preserve">. For </w:t>
      </w:r>
      <w:r w:rsidR="00583532">
        <w:t>example,</w:t>
      </w:r>
      <w:r w:rsidR="008A67AA">
        <w:t xml:space="preserve"> poster</w:t>
      </w:r>
      <w:r w:rsidR="00583532">
        <w:t>s</w:t>
      </w:r>
      <w:r w:rsidR="008A67AA">
        <w:t xml:space="preserve"> in </w:t>
      </w:r>
      <w:r w:rsidR="00B14A8B">
        <w:t xml:space="preserve">multiple widely spoken </w:t>
      </w:r>
      <w:r w:rsidR="008A67AA">
        <w:t>language</w:t>
      </w:r>
      <w:r w:rsidR="00B14A8B">
        <w:t>s</w:t>
      </w:r>
      <w:r w:rsidR="008A67AA">
        <w:t xml:space="preserve"> could be placed in </w:t>
      </w:r>
      <w:r w:rsidR="00B14A8B">
        <w:t>supermarkets</w:t>
      </w:r>
      <w:r w:rsidR="008A67AA">
        <w:t xml:space="preserve">, community </w:t>
      </w:r>
      <w:r w:rsidR="00B14A8B">
        <w:t>centres</w:t>
      </w:r>
      <w:r w:rsidR="008A67AA">
        <w:t xml:space="preserve">, or places of worship. </w:t>
      </w:r>
    </w:p>
    <w:p w:rsidR="00211209" w:rsidRDefault="00824964" w:rsidP="00FB5259">
      <w:r>
        <w:t xml:space="preserve">Retail service </w:t>
      </w:r>
      <w:r w:rsidR="004D4A69">
        <w:t>providers (</w:t>
      </w:r>
      <w:r w:rsidR="00B14A8B">
        <w:t xml:space="preserve">RSPs) </w:t>
      </w:r>
      <w:r>
        <w:t xml:space="preserve">can also supplement community </w:t>
      </w:r>
      <w:r w:rsidR="0012300B">
        <w:t>education initiatives</w:t>
      </w:r>
      <w:r w:rsidR="00B14A8B">
        <w:t xml:space="preserve"> by contacting customers about scams </w:t>
      </w:r>
      <w:r w:rsidR="00D968D0">
        <w:t xml:space="preserve">directly. </w:t>
      </w:r>
      <w:r w:rsidR="00B14A8B">
        <w:t xml:space="preserve">We </w:t>
      </w:r>
      <w:r w:rsidR="0012300B">
        <w:t>strongly</w:t>
      </w:r>
      <w:r w:rsidR="00B14A8B">
        <w:t xml:space="preserve"> </w:t>
      </w:r>
      <w:r w:rsidR="00D968D0">
        <w:t>recommend</w:t>
      </w:r>
      <w:r w:rsidR="003454AC">
        <w:t xml:space="preserve"> that</w:t>
      </w:r>
      <w:r w:rsidR="00D968D0">
        <w:t xml:space="preserve"> </w:t>
      </w:r>
      <w:r w:rsidR="00800BA2">
        <w:t xml:space="preserve">during periods of high scam activity, </w:t>
      </w:r>
      <w:r w:rsidR="00D968D0">
        <w:t>RSPs</w:t>
      </w:r>
      <w:r w:rsidR="00B14A8B">
        <w:t xml:space="preserve"> </w:t>
      </w:r>
      <w:r w:rsidR="001826FB">
        <w:t>directly notify consumers</w:t>
      </w:r>
      <w:r w:rsidR="00800BA2">
        <w:t xml:space="preserve"> of </w:t>
      </w:r>
      <w:r w:rsidR="00211209">
        <w:t xml:space="preserve">what to look out for, or how to distinguish </w:t>
      </w:r>
      <w:r w:rsidR="00800BA2">
        <w:t xml:space="preserve">legitimate </w:t>
      </w:r>
      <w:r w:rsidR="00211209">
        <w:t xml:space="preserve">vs. fake </w:t>
      </w:r>
      <w:r w:rsidR="00211209">
        <w:lastRenderedPageBreak/>
        <w:t xml:space="preserve">communications from the </w:t>
      </w:r>
      <w:r w:rsidR="00496C25">
        <w:t xml:space="preserve">relevant </w:t>
      </w:r>
      <w:r w:rsidR="00211209">
        <w:t xml:space="preserve">provider. We recommend RSPs communicate this </w:t>
      </w:r>
      <w:r w:rsidR="00800BA2">
        <w:t xml:space="preserve">in a method </w:t>
      </w:r>
      <w:r w:rsidR="00211209">
        <w:t xml:space="preserve">normative to or previously nominated </w:t>
      </w:r>
      <w:r w:rsidR="00800BA2">
        <w:t xml:space="preserve">by the </w:t>
      </w:r>
      <w:r w:rsidR="00211209">
        <w:t xml:space="preserve">customer. </w:t>
      </w:r>
      <w:r w:rsidR="00800BA2">
        <w:t>Fo</w:t>
      </w:r>
      <w:r w:rsidR="00211209">
        <w:t xml:space="preserve">r example: </w:t>
      </w:r>
    </w:p>
    <w:p w:rsidR="00211209" w:rsidRDefault="00211209" w:rsidP="00211209">
      <w:pPr>
        <w:pStyle w:val="ListParagraph"/>
        <w:numPr>
          <w:ilvl w:val="0"/>
          <w:numId w:val="4"/>
        </w:numPr>
      </w:pPr>
      <w:r>
        <w:t xml:space="preserve">People with fixed line voice services only who receive </w:t>
      </w:r>
      <w:r w:rsidR="008210F0">
        <w:t xml:space="preserve">paper </w:t>
      </w:r>
      <w:r>
        <w:t>bills could be sent a letter;</w:t>
      </w:r>
    </w:p>
    <w:p w:rsidR="00211209" w:rsidRDefault="00211209" w:rsidP="00211209">
      <w:pPr>
        <w:pStyle w:val="ListParagraph"/>
        <w:numPr>
          <w:ilvl w:val="0"/>
          <w:numId w:val="4"/>
        </w:numPr>
      </w:pPr>
      <w:r>
        <w:t xml:space="preserve">Fixed </w:t>
      </w:r>
      <w:r w:rsidR="00800BA2">
        <w:t xml:space="preserve">broadband </w:t>
      </w:r>
      <w:r>
        <w:t xml:space="preserve">customers could be emailed; </w:t>
      </w:r>
    </w:p>
    <w:p w:rsidR="00211209" w:rsidRDefault="00211209" w:rsidP="00211209">
      <w:pPr>
        <w:pStyle w:val="ListParagraph"/>
        <w:numPr>
          <w:ilvl w:val="0"/>
          <w:numId w:val="4"/>
        </w:numPr>
      </w:pPr>
      <w:r>
        <w:t>P</w:t>
      </w:r>
      <w:r w:rsidR="00800BA2">
        <w:t xml:space="preserve">eople on mobile plans could receive a text </w:t>
      </w:r>
      <w:r w:rsidR="00800BA2" w:rsidRPr="00800BA2">
        <w:t>in the same way they would be notified of promotional offers or payments that are due</w:t>
      </w:r>
      <w:r>
        <w:t xml:space="preserve">. </w:t>
      </w:r>
    </w:p>
    <w:p w:rsidR="00211209" w:rsidRDefault="0012300B" w:rsidP="00211209">
      <w:r>
        <w:t xml:space="preserve">This ensures </w:t>
      </w:r>
      <w:r w:rsidR="008210F0">
        <w:t xml:space="preserve">that </w:t>
      </w:r>
      <w:r>
        <w:t>even the hardest to reach consumers</w:t>
      </w:r>
      <w:r w:rsidR="00496C25">
        <w:t xml:space="preserve"> could be</w:t>
      </w:r>
      <w:r>
        <w:t xml:space="preserve"> made aware of scam activity and </w:t>
      </w:r>
      <w:r w:rsidR="00496C25">
        <w:t>would be better</w:t>
      </w:r>
      <w:r w:rsidR="008210F0">
        <w:t xml:space="preserve"> </w:t>
      </w:r>
      <w:r w:rsidR="00211209">
        <w:t xml:space="preserve">prepared to </w:t>
      </w:r>
      <w:r>
        <w:t xml:space="preserve">safeguard </w:t>
      </w:r>
      <w:proofErr w:type="gramStart"/>
      <w:r w:rsidR="00E41889">
        <w:t>themselves</w:t>
      </w:r>
      <w:proofErr w:type="gramEnd"/>
      <w:r w:rsidR="00E41889">
        <w:t xml:space="preserve"> against</w:t>
      </w:r>
      <w:r>
        <w:t xml:space="preserve"> potential harm. </w:t>
      </w:r>
    </w:p>
    <w:p w:rsidR="00873FF6" w:rsidRDefault="00873FF6" w:rsidP="00FB5259">
      <w:r>
        <w:t>Thank you for the consideration of our submission. Please contact us on the details below should the ACMA require any further information.</w:t>
      </w:r>
    </w:p>
    <w:p w:rsidR="00873FF6" w:rsidRDefault="00873FF6" w:rsidP="00FB5259">
      <w:r>
        <w:t>Regards</w:t>
      </w:r>
    </w:p>
    <w:p w:rsidR="00156DC0" w:rsidRDefault="00873FF6" w:rsidP="00306CB5">
      <w:r>
        <w:t>Tara D’Souza</w:t>
      </w:r>
      <w:r>
        <w:br/>
        <w:t>Senior Policy Advisor</w:t>
      </w:r>
      <w:r>
        <w:br/>
      </w:r>
      <w:hyperlink r:id="rId10" w:history="1">
        <w:r w:rsidRPr="005A3AF4">
          <w:rPr>
            <w:rStyle w:val="Hyperlink"/>
          </w:rPr>
          <w:t>tara.d@accan.org.au</w:t>
        </w:r>
      </w:hyperlink>
      <w:r>
        <w:t xml:space="preserve"> </w:t>
      </w:r>
    </w:p>
    <w:p w:rsidR="00156DC0" w:rsidRDefault="00156DC0" w:rsidP="00583532">
      <w:pPr>
        <w:spacing w:after="0"/>
      </w:pPr>
      <w:r>
        <w:t>Rebekah Sarkoezy</w:t>
      </w:r>
    </w:p>
    <w:p w:rsidR="00156DC0" w:rsidRDefault="00156DC0" w:rsidP="00583532">
      <w:pPr>
        <w:spacing w:after="0"/>
      </w:pPr>
      <w:r>
        <w:t>Policy Officer</w:t>
      </w:r>
    </w:p>
    <w:p w:rsidR="006773C3" w:rsidRDefault="00825685" w:rsidP="00583532">
      <w:pPr>
        <w:spacing w:after="0"/>
      </w:pPr>
      <w:hyperlink r:id="rId11" w:history="1">
        <w:r w:rsidR="00583532" w:rsidRPr="006178AF">
          <w:rPr>
            <w:rStyle w:val="Hyperlink"/>
          </w:rPr>
          <w:t>rebekah.sarkoezy@accan.org.au</w:t>
        </w:r>
      </w:hyperlink>
    </w:p>
    <w:sectPr w:rsidR="006773C3" w:rsidSect="004C7E0F">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A9" w:rsidRDefault="00AB1EA9" w:rsidP="003B7B59">
      <w:pPr>
        <w:spacing w:after="0" w:line="240" w:lineRule="auto"/>
      </w:pPr>
      <w:r>
        <w:separator/>
      </w:r>
    </w:p>
  </w:endnote>
  <w:endnote w:type="continuationSeparator" w:id="0">
    <w:p w:rsidR="00AB1EA9" w:rsidRDefault="00AB1EA9" w:rsidP="003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2346"/>
      <w:docPartObj>
        <w:docPartGallery w:val="Page Numbers (Bottom of Page)"/>
        <w:docPartUnique/>
      </w:docPartObj>
    </w:sdtPr>
    <w:sdtEndPr>
      <w:rPr>
        <w:noProof/>
        <w:sz w:val="20"/>
      </w:rPr>
    </w:sdtEndPr>
    <w:sdtContent>
      <w:p w:rsidR="00727A41" w:rsidRPr="00727A41" w:rsidRDefault="00727A41">
        <w:pPr>
          <w:pStyle w:val="Footer"/>
          <w:jc w:val="right"/>
          <w:rPr>
            <w:sz w:val="20"/>
          </w:rPr>
        </w:pPr>
        <w:r w:rsidRPr="00727A41">
          <w:rPr>
            <w:sz w:val="20"/>
          </w:rPr>
          <w:fldChar w:fldCharType="begin"/>
        </w:r>
        <w:r w:rsidRPr="00727A41">
          <w:rPr>
            <w:sz w:val="20"/>
          </w:rPr>
          <w:instrText xml:space="preserve"> PAGE   \* MERGEFORMAT </w:instrText>
        </w:r>
        <w:r w:rsidRPr="00727A41">
          <w:rPr>
            <w:sz w:val="20"/>
          </w:rPr>
          <w:fldChar w:fldCharType="separate"/>
        </w:r>
        <w:r w:rsidR="00825685">
          <w:rPr>
            <w:noProof/>
            <w:sz w:val="20"/>
          </w:rPr>
          <w:t>4</w:t>
        </w:r>
        <w:r w:rsidRPr="00727A41">
          <w:rPr>
            <w:noProof/>
            <w:sz w:val="20"/>
          </w:rPr>
          <w:fldChar w:fldCharType="end"/>
        </w:r>
      </w:p>
    </w:sdtContent>
  </w:sdt>
  <w:p w:rsidR="00475B19" w:rsidRPr="004D706D" w:rsidRDefault="00475B19" w:rsidP="004D706D">
    <w:pPr>
      <w:pStyle w:val="Footerpage1"/>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A9" w:rsidRDefault="00AB1EA9" w:rsidP="003B7B59">
      <w:pPr>
        <w:spacing w:after="0" w:line="240" w:lineRule="auto"/>
      </w:pPr>
      <w:r>
        <w:separator/>
      </w:r>
    </w:p>
  </w:footnote>
  <w:footnote w:type="continuationSeparator" w:id="0">
    <w:p w:rsidR="00AB1EA9" w:rsidRDefault="00AB1EA9" w:rsidP="003B7B59">
      <w:pPr>
        <w:spacing w:after="0" w:line="240" w:lineRule="auto"/>
      </w:pPr>
      <w:r>
        <w:continuationSeparator/>
      </w:r>
    </w:p>
  </w:footnote>
  <w:footnote w:id="1">
    <w:p w:rsidR="00475B19" w:rsidRDefault="00475B19">
      <w:pPr>
        <w:pStyle w:val="FootnoteText"/>
      </w:pPr>
      <w:r>
        <w:rPr>
          <w:rStyle w:val="FootnoteReference"/>
        </w:rPr>
        <w:footnoteRef/>
      </w:r>
      <w:r>
        <w:t xml:space="preserve">Telstra Call Guardian 301 landline handset requires callers to speak their name before the call is connected, so the recipient can hear the name of the caller and block the call if they wish. This handset is the most expensive twin handset sold by Telstra at $72 outright, $13 more than the second highest price point. </w:t>
      </w:r>
      <w:hyperlink r:id="rId1" w:anchor="features" w:history="1">
        <w:r w:rsidRPr="00A83946">
          <w:rPr>
            <w:rStyle w:val="Hyperlink"/>
          </w:rPr>
          <w:t>https://www.telstra.com.au/home-phone/handsets#features</w:t>
        </w:r>
      </w:hyperlink>
      <w:r w:rsidR="00D8132C">
        <w:t xml:space="preserve">, </w:t>
      </w:r>
      <w:r>
        <w:t>accessed 24 May 2019.</w:t>
      </w:r>
    </w:p>
  </w:footnote>
  <w:footnote w:id="2">
    <w:p w:rsidR="00475B19" w:rsidRPr="00825685" w:rsidRDefault="00475B19" w:rsidP="00C172A6">
      <w:pPr>
        <w:pStyle w:val="FootnoteText"/>
      </w:pPr>
      <w:r w:rsidRPr="00825685">
        <w:rPr>
          <w:rStyle w:val="FootnoteReference"/>
        </w:rPr>
        <w:footnoteRef/>
      </w:r>
      <w:r w:rsidRPr="00825685">
        <w:t xml:space="preserve"> AMTA-CA Submission, ACMA Combating scams. </w:t>
      </w:r>
      <w:proofErr w:type="gramStart"/>
      <w:r w:rsidRPr="00825685">
        <w:t>A discussion paper on technological solutions, May 2019, p.3.</w:t>
      </w:r>
      <w:proofErr w:type="gramEnd"/>
    </w:p>
  </w:footnote>
  <w:footnote w:id="3">
    <w:p w:rsidR="00475B19" w:rsidRDefault="00475B19">
      <w:pPr>
        <w:pStyle w:val="FootnoteText"/>
      </w:pPr>
      <w:r w:rsidRPr="00825685">
        <w:rPr>
          <w:rStyle w:val="FootnoteReference"/>
        </w:rPr>
        <w:footnoteRef/>
      </w:r>
      <w:r w:rsidRPr="00825685">
        <w:t xml:space="preserve"> </w:t>
      </w:r>
      <w:hyperlink r:id="rId2" w:history="1">
        <w:r w:rsidRPr="00825685">
          <w:rPr>
            <w:color w:val="0000FF"/>
            <w:u w:val="single"/>
          </w:rPr>
          <w:t>https://www.scamwatch.gov.au/news/warning-about-tax-scams</w:t>
        </w:r>
      </w:hyperlink>
      <w:r w:rsidR="00825685" w:rsidRPr="00825685">
        <w:t>, accessed 24 May 2019.</w:t>
      </w:r>
    </w:p>
  </w:footnote>
  <w:footnote w:id="4">
    <w:p w:rsidR="00475B19" w:rsidRDefault="00475B19" w:rsidP="009535CE">
      <w:pPr>
        <w:pStyle w:val="FootnoteText"/>
      </w:pPr>
      <w:r>
        <w:rPr>
          <w:rStyle w:val="FootnoteReference"/>
        </w:rPr>
        <w:footnoteRef/>
      </w:r>
      <w:r>
        <w:t xml:space="preserve"> AMTA-CA Submission, ACMA Combating scams. </w:t>
      </w:r>
      <w:proofErr w:type="gramStart"/>
      <w:r>
        <w:t>A discussion paper on technological solutions, May 2019, p.3.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19" w:rsidRDefault="00475B19" w:rsidP="004435D9">
    <w:pPr>
      <w:pStyle w:val="Header"/>
    </w:pPr>
    <w:r>
      <w:rPr>
        <w:noProof/>
      </w:rPr>
      <w:drawing>
        <wp:anchor distT="0" distB="0" distL="114300" distR="114300" simplePos="0" relativeHeight="251659264" behindDoc="1" locked="0" layoutInCell="1" allowOverlap="1" wp14:anchorId="1119EE8B" wp14:editId="2AE0F4D5">
          <wp:simplePos x="0" y="0"/>
          <wp:positionH relativeFrom="column">
            <wp:posOffset>5038725</wp:posOffset>
          </wp:positionH>
          <wp:positionV relativeFrom="paragraph">
            <wp:posOffset>-20955</wp:posOffset>
          </wp:positionV>
          <wp:extent cx="685800" cy="31792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85800" cy="317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0F" w:rsidRDefault="004C7E0F" w:rsidP="004C7E0F">
    <w:pPr>
      <w:pStyle w:val="Header"/>
    </w:pPr>
    <w:r>
      <w:rPr>
        <w:noProof/>
      </w:rPr>
      <w:drawing>
        <wp:anchor distT="0" distB="0" distL="114300" distR="114300" simplePos="0" relativeHeight="251663360" behindDoc="1" locked="0" layoutInCell="1" allowOverlap="1" wp14:anchorId="003B9423" wp14:editId="08AEA124">
          <wp:simplePos x="0" y="0"/>
          <wp:positionH relativeFrom="column">
            <wp:posOffset>3504565</wp:posOffset>
          </wp:positionH>
          <wp:positionV relativeFrom="paragraph">
            <wp:posOffset>332740</wp:posOffset>
          </wp:positionV>
          <wp:extent cx="1630800" cy="7560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D3"/>
    <w:multiLevelType w:val="hybridMultilevel"/>
    <w:tmpl w:val="6C046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9668D"/>
    <w:multiLevelType w:val="hybridMultilevel"/>
    <w:tmpl w:val="D8B4F20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nsid w:val="02825794"/>
    <w:multiLevelType w:val="hybridMultilevel"/>
    <w:tmpl w:val="32100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B67E3"/>
    <w:multiLevelType w:val="hybridMultilevel"/>
    <w:tmpl w:val="B4440A98"/>
    <w:lvl w:ilvl="0" w:tplc="DD8E129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197475"/>
    <w:multiLevelType w:val="hybridMultilevel"/>
    <w:tmpl w:val="DE22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A9"/>
    <w:rsid w:val="00014256"/>
    <w:rsid w:val="000A1EE4"/>
    <w:rsid w:val="000D3918"/>
    <w:rsid w:val="000D4CEB"/>
    <w:rsid w:val="000F7CD6"/>
    <w:rsid w:val="00117D5C"/>
    <w:rsid w:val="0012300B"/>
    <w:rsid w:val="00151561"/>
    <w:rsid w:val="00156DC0"/>
    <w:rsid w:val="00162A7F"/>
    <w:rsid w:val="00165359"/>
    <w:rsid w:val="001666A7"/>
    <w:rsid w:val="001826FB"/>
    <w:rsid w:val="001A1328"/>
    <w:rsid w:val="001A5A5A"/>
    <w:rsid w:val="001D22BC"/>
    <w:rsid w:val="001D413F"/>
    <w:rsid w:val="00211209"/>
    <w:rsid w:val="002777FA"/>
    <w:rsid w:val="00306CB5"/>
    <w:rsid w:val="003200DC"/>
    <w:rsid w:val="003454AC"/>
    <w:rsid w:val="00371B97"/>
    <w:rsid w:val="00373378"/>
    <w:rsid w:val="003810B4"/>
    <w:rsid w:val="003A5F38"/>
    <w:rsid w:val="003B32EF"/>
    <w:rsid w:val="003B7B59"/>
    <w:rsid w:val="003D3710"/>
    <w:rsid w:val="003E51CD"/>
    <w:rsid w:val="004435D9"/>
    <w:rsid w:val="00475B19"/>
    <w:rsid w:val="00496C25"/>
    <w:rsid w:val="004A67B9"/>
    <w:rsid w:val="004C7E0F"/>
    <w:rsid w:val="004D4A69"/>
    <w:rsid w:val="004D706D"/>
    <w:rsid w:val="004E0541"/>
    <w:rsid w:val="0051021C"/>
    <w:rsid w:val="00572E48"/>
    <w:rsid w:val="00583532"/>
    <w:rsid w:val="005959F0"/>
    <w:rsid w:val="00614F1E"/>
    <w:rsid w:val="00623373"/>
    <w:rsid w:val="0062757F"/>
    <w:rsid w:val="00645251"/>
    <w:rsid w:val="00665D7C"/>
    <w:rsid w:val="006773C3"/>
    <w:rsid w:val="00697BF8"/>
    <w:rsid w:val="006A230D"/>
    <w:rsid w:val="006E004B"/>
    <w:rsid w:val="006E02EA"/>
    <w:rsid w:val="00727A41"/>
    <w:rsid w:val="00771C45"/>
    <w:rsid w:val="007A43A6"/>
    <w:rsid w:val="007E0951"/>
    <w:rsid w:val="007E2039"/>
    <w:rsid w:val="007F356C"/>
    <w:rsid w:val="00800BA2"/>
    <w:rsid w:val="0081718E"/>
    <w:rsid w:val="008210F0"/>
    <w:rsid w:val="00824964"/>
    <w:rsid w:val="00825685"/>
    <w:rsid w:val="0086678D"/>
    <w:rsid w:val="008674E5"/>
    <w:rsid w:val="00873FF6"/>
    <w:rsid w:val="00874468"/>
    <w:rsid w:val="008745A9"/>
    <w:rsid w:val="008A67AA"/>
    <w:rsid w:val="008B7271"/>
    <w:rsid w:val="008E0AC6"/>
    <w:rsid w:val="008E78BE"/>
    <w:rsid w:val="00906CFC"/>
    <w:rsid w:val="009106D4"/>
    <w:rsid w:val="009147BE"/>
    <w:rsid w:val="00946B2B"/>
    <w:rsid w:val="00952FBB"/>
    <w:rsid w:val="009535CE"/>
    <w:rsid w:val="00A462D5"/>
    <w:rsid w:val="00AB1EA9"/>
    <w:rsid w:val="00AC3AA8"/>
    <w:rsid w:val="00AF4DBE"/>
    <w:rsid w:val="00B14A8B"/>
    <w:rsid w:val="00B52B9C"/>
    <w:rsid w:val="00BB2FCE"/>
    <w:rsid w:val="00BF51C6"/>
    <w:rsid w:val="00C172A6"/>
    <w:rsid w:val="00C20A3C"/>
    <w:rsid w:val="00C3100A"/>
    <w:rsid w:val="00C54329"/>
    <w:rsid w:val="00C647A0"/>
    <w:rsid w:val="00C67E7C"/>
    <w:rsid w:val="00CB7103"/>
    <w:rsid w:val="00CD216C"/>
    <w:rsid w:val="00CE0160"/>
    <w:rsid w:val="00CF65E6"/>
    <w:rsid w:val="00D129A9"/>
    <w:rsid w:val="00D65357"/>
    <w:rsid w:val="00D705C0"/>
    <w:rsid w:val="00D774E6"/>
    <w:rsid w:val="00D8132C"/>
    <w:rsid w:val="00D83D98"/>
    <w:rsid w:val="00D968D0"/>
    <w:rsid w:val="00DA096C"/>
    <w:rsid w:val="00DB4DF4"/>
    <w:rsid w:val="00DE2CE6"/>
    <w:rsid w:val="00DF6590"/>
    <w:rsid w:val="00E143EF"/>
    <w:rsid w:val="00E20926"/>
    <w:rsid w:val="00E41889"/>
    <w:rsid w:val="00E52339"/>
    <w:rsid w:val="00E570A9"/>
    <w:rsid w:val="00E75B2A"/>
    <w:rsid w:val="00E95C08"/>
    <w:rsid w:val="00F0538D"/>
    <w:rsid w:val="00F35254"/>
    <w:rsid w:val="00F76D17"/>
    <w:rsid w:val="00FB5259"/>
    <w:rsid w:val="00FE3789"/>
    <w:rsid w:val="00FF2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customStyle="1" w:styleId="Footerpage1">
    <w:name w:val="Footer page 1"/>
    <w:rsid w:val="004D706D"/>
    <w:pPr>
      <w:spacing w:line="240" w:lineRule="auto"/>
      <w:ind w:left="-754"/>
      <w:contextualSpacing/>
    </w:pPr>
    <w:rPr>
      <w:rFonts w:eastAsiaTheme="minorHAnsi"/>
      <w:sz w:val="20"/>
      <w:szCs w:val="20"/>
      <w:lang w:eastAsia="en-US"/>
    </w:rPr>
  </w:style>
  <w:style w:type="paragraph" w:styleId="FootnoteText">
    <w:name w:val="footnote text"/>
    <w:basedOn w:val="Normal"/>
    <w:link w:val="FootnoteTextChar"/>
    <w:uiPriority w:val="99"/>
    <w:semiHidden/>
    <w:unhideWhenUsed/>
    <w:rsid w:val="00D65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57"/>
    <w:rPr>
      <w:sz w:val="20"/>
      <w:szCs w:val="20"/>
    </w:rPr>
  </w:style>
  <w:style w:type="character" w:styleId="FootnoteReference">
    <w:name w:val="footnote reference"/>
    <w:basedOn w:val="DefaultParagraphFont"/>
    <w:uiPriority w:val="99"/>
    <w:semiHidden/>
    <w:unhideWhenUsed/>
    <w:rsid w:val="00D65357"/>
    <w:rPr>
      <w:vertAlign w:val="superscript"/>
    </w:rPr>
  </w:style>
  <w:style w:type="paragraph" w:styleId="ListParagraph">
    <w:name w:val="List Paragraph"/>
    <w:basedOn w:val="Normal"/>
    <w:uiPriority w:val="34"/>
    <w:qFormat/>
    <w:rsid w:val="00645251"/>
    <w:pPr>
      <w:ind w:left="720"/>
      <w:contextualSpacing/>
    </w:pPr>
  </w:style>
  <w:style w:type="character" w:styleId="CommentReference">
    <w:name w:val="annotation reference"/>
    <w:basedOn w:val="DefaultParagraphFont"/>
    <w:uiPriority w:val="99"/>
    <w:semiHidden/>
    <w:unhideWhenUsed/>
    <w:rsid w:val="00952FBB"/>
    <w:rPr>
      <w:sz w:val="16"/>
      <w:szCs w:val="16"/>
    </w:rPr>
  </w:style>
  <w:style w:type="paragraph" w:styleId="CommentText">
    <w:name w:val="annotation text"/>
    <w:basedOn w:val="Normal"/>
    <w:link w:val="CommentTextChar"/>
    <w:uiPriority w:val="99"/>
    <w:semiHidden/>
    <w:unhideWhenUsed/>
    <w:rsid w:val="00952FBB"/>
    <w:pPr>
      <w:spacing w:line="240" w:lineRule="auto"/>
    </w:pPr>
    <w:rPr>
      <w:sz w:val="20"/>
      <w:szCs w:val="20"/>
    </w:rPr>
  </w:style>
  <w:style w:type="character" w:customStyle="1" w:styleId="CommentTextChar">
    <w:name w:val="Comment Text Char"/>
    <w:basedOn w:val="DefaultParagraphFont"/>
    <w:link w:val="CommentText"/>
    <w:uiPriority w:val="99"/>
    <w:semiHidden/>
    <w:rsid w:val="00952FBB"/>
    <w:rPr>
      <w:sz w:val="20"/>
      <w:szCs w:val="20"/>
    </w:rPr>
  </w:style>
  <w:style w:type="paragraph" w:styleId="CommentSubject">
    <w:name w:val="annotation subject"/>
    <w:basedOn w:val="CommentText"/>
    <w:next w:val="CommentText"/>
    <w:link w:val="CommentSubjectChar"/>
    <w:uiPriority w:val="99"/>
    <w:semiHidden/>
    <w:unhideWhenUsed/>
    <w:rsid w:val="00952FBB"/>
    <w:rPr>
      <w:b/>
      <w:bCs/>
    </w:rPr>
  </w:style>
  <w:style w:type="character" w:customStyle="1" w:styleId="CommentSubjectChar">
    <w:name w:val="Comment Subject Char"/>
    <w:basedOn w:val="CommentTextChar"/>
    <w:link w:val="CommentSubject"/>
    <w:uiPriority w:val="99"/>
    <w:semiHidden/>
    <w:rsid w:val="00952FBB"/>
    <w:rPr>
      <w:b/>
      <w:bCs/>
      <w:sz w:val="20"/>
      <w:szCs w:val="20"/>
    </w:rPr>
  </w:style>
  <w:style w:type="paragraph" w:styleId="BalloonText">
    <w:name w:val="Balloon Text"/>
    <w:basedOn w:val="Normal"/>
    <w:link w:val="BalloonTextChar"/>
    <w:uiPriority w:val="99"/>
    <w:semiHidden/>
    <w:unhideWhenUsed/>
    <w:rsid w:val="009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customStyle="1" w:styleId="Footerpage1">
    <w:name w:val="Footer page 1"/>
    <w:rsid w:val="004D706D"/>
    <w:pPr>
      <w:spacing w:line="240" w:lineRule="auto"/>
      <w:ind w:left="-754"/>
      <w:contextualSpacing/>
    </w:pPr>
    <w:rPr>
      <w:rFonts w:eastAsiaTheme="minorHAnsi"/>
      <w:sz w:val="20"/>
      <w:szCs w:val="20"/>
      <w:lang w:eastAsia="en-US"/>
    </w:rPr>
  </w:style>
  <w:style w:type="paragraph" w:styleId="FootnoteText">
    <w:name w:val="footnote text"/>
    <w:basedOn w:val="Normal"/>
    <w:link w:val="FootnoteTextChar"/>
    <w:uiPriority w:val="99"/>
    <w:semiHidden/>
    <w:unhideWhenUsed/>
    <w:rsid w:val="00D65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57"/>
    <w:rPr>
      <w:sz w:val="20"/>
      <w:szCs w:val="20"/>
    </w:rPr>
  </w:style>
  <w:style w:type="character" w:styleId="FootnoteReference">
    <w:name w:val="footnote reference"/>
    <w:basedOn w:val="DefaultParagraphFont"/>
    <w:uiPriority w:val="99"/>
    <w:semiHidden/>
    <w:unhideWhenUsed/>
    <w:rsid w:val="00D65357"/>
    <w:rPr>
      <w:vertAlign w:val="superscript"/>
    </w:rPr>
  </w:style>
  <w:style w:type="paragraph" w:styleId="ListParagraph">
    <w:name w:val="List Paragraph"/>
    <w:basedOn w:val="Normal"/>
    <w:uiPriority w:val="34"/>
    <w:qFormat/>
    <w:rsid w:val="00645251"/>
    <w:pPr>
      <w:ind w:left="720"/>
      <w:contextualSpacing/>
    </w:pPr>
  </w:style>
  <w:style w:type="character" w:styleId="CommentReference">
    <w:name w:val="annotation reference"/>
    <w:basedOn w:val="DefaultParagraphFont"/>
    <w:uiPriority w:val="99"/>
    <w:semiHidden/>
    <w:unhideWhenUsed/>
    <w:rsid w:val="00952FBB"/>
    <w:rPr>
      <w:sz w:val="16"/>
      <w:szCs w:val="16"/>
    </w:rPr>
  </w:style>
  <w:style w:type="paragraph" w:styleId="CommentText">
    <w:name w:val="annotation text"/>
    <w:basedOn w:val="Normal"/>
    <w:link w:val="CommentTextChar"/>
    <w:uiPriority w:val="99"/>
    <w:semiHidden/>
    <w:unhideWhenUsed/>
    <w:rsid w:val="00952FBB"/>
    <w:pPr>
      <w:spacing w:line="240" w:lineRule="auto"/>
    </w:pPr>
    <w:rPr>
      <w:sz w:val="20"/>
      <w:szCs w:val="20"/>
    </w:rPr>
  </w:style>
  <w:style w:type="character" w:customStyle="1" w:styleId="CommentTextChar">
    <w:name w:val="Comment Text Char"/>
    <w:basedOn w:val="DefaultParagraphFont"/>
    <w:link w:val="CommentText"/>
    <w:uiPriority w:val="99"/>
    <w:semiHidden/>
    <w:rsid w:val="00952FBB"/>
    <w:rPr>
      <w:sz w:val="20"/>
      <w:szCs w:val="20"/>
    </w:rPr>
  </w:style>
  <w:style w:type="paragraph" w:styleId="CommentSubject">
    <w:name w:val="annotation subject"/>
    <w:basedOn w:val="CommentText"/>
    <w:next w:val="CommentText"/>
    <w:link w:val="CommentSubjectChar"/>
    <w:uiPriority w:val="99"/>
    <w:semiHidden/>
    <w:unhideWhenUsed/>
    <w:rsid w:val="00952FBB"/>
    <w:rPr>
      <w:b/>
      <w:bCs/>
    </w:rPr>
  </w:style>
  <w:style w:type="character" w:customStyle="1" w:styleId="CommentSubjectChar">
    <w:name w:val="Comment Subject Char"/>
    <w:basedOn w:val="CommentTextChar"/>
    <w:link w:val="CommentSubject"/>
    <w:uiPriority w:val="99"/>
    <w:semiHidden/>
    <w:rsid w:val="00952FBB"/>
    <w:rPr>
      <w:b/>
      <w:bCs/>
      <w:sz w:val="20"/>
      <w:szCs w:val="20"/>
    </w:rPr>
  </w:style>
  <w:style w:type="paragraph" w:styleId="BalloonText">
    <w:name w:val="Balloon Text"/>
    <w:basedOn w:val="Normal"/>
    <w:link w:val="BalloonTextChar"/>
    <w:uiPriority w:val="99"/>
    <w:semiHidden/>
    <w:unhideWhenUsed/>
    <w:rsid w:val="009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kah.sarkoezy@acca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ra.d@accan.org.au" TargetMode="External"/><Relationship Id="rId4" Type="http://schemas.microsoft.com/office/2007/relationships/stylesWithEffects" Target="stylesWithEffects.xml"/><Relationship Id="rId9" Type="http://schemas.openxmlformats.org/officeDocument/2006/relationships/hyperlink" Target="mailto:unsolicitedcommsprojects@acma.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camwatch.gov.au/news/warning-about-tax-scams" TargetMode="External"/><Relationship Id="rId1" Type="http://schemas.openxmlformats.org/officeDocument/2006/relationships/hyperlink" Target="https://www.telstra.com.au/home-phone/hands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AF62-EC4C-44B8-A6BF-A6846DD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 Page</Template>
  <TotalTime>3</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7</cp:revision>
  <dcterms:created xsi:type="dcterms:W3CDTF">2019-05-31T00:56:00Z</dcterms:created>
  <dcterms:modified xsi:type="dcterms:W3CDTF">2019-05-31T01:41:00Z</dcterms:modified>
</cp:coreProperties>
</file>