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46" w:rsidRDefault="00CA3046" w:rsidP="00B14DFB">
      <w:pPr>
        <w:pStyle w:val="Subtitle"/>
        <w:rPr>
          <w:rFonts w:eastAsiaTheme="majorEastAsia" w:cstheme="majorBidi"/>
          <w:b/>
          <w:spacing w:val="5"/>
          <w:kern w:val="28"/>
          <w:sz w:val="52"/>
          <w:szCs w:val="52"/>
        </w:rPr>
      </w:pPr>
      <w:r w:rsidRPr="00CA3046">
        <w:rPr>
          <w:rFonts w:eastAsiaTheme="majorEastAsia" w:cstheme="majorBidi"/>
          <w:b/>
          <w:spacing w:val="5"/>
          <w:kern w:val="28"/>
          <w:sz w:val="52"/>
          <w:szCs w:val="52"/>
        </w:rPr>
        <w:t xml:space="preserve">Inquiry into the use of subsection 313(3) of the </w:t>
      </w:r>
      <w:r w:rsidRPr="00CA3046">
        <w:rPr>
          <w:rFonts w:eastAsiaTheme="majorEastAsia" w:cstheme="majorBidi"/>
          <w:b/>
          <w:i/>
          <w:spacing w:val="5"/>
          <w:kern w:val="28"/>
          <w:sz w:val="52"/>
          <w:szCs w:val="52"/>
        </w:rPr>
        <w:t>Telecommunications Act 1997</w:t>
      </w:r>
    </w:p>
    <w:p w:rsidR="009F4B9D" w:rsidRPr="003441E5" w:rsidRDefault="009F4B9D" w:rsidP="00B14DFB">
      <w:pPr>
        <w:pStyle w:val="Subtitle"/>
      </w:pPr>
      <w:r w:rsidRPr="003441E5">
        <w:t xml:space="preserve">Submission by the Australian Communications Consumer Action Network to the </w:t>
      </w:r>
      <w:r w:rsidR="00CA3046">
        <w:t>Standing Committee on Infrastructure and Communications</w:t>
      </w:r>
    </w:p>
    <w:p w:rsidR="009F4B9D" w:rsidRPr="003441E5" w:rsidRDefault="00CA3046" w:rsidP="00B14DFB">
      <w:pPr>
        <w:pStyle w:val="Subtitle"/>
      </w:pPr>
      <w:r>
        <w:t>August 2014</w:t>
      </w:r>
    </w:p>
    <w:p w:rsidR="009F4B9D" w:rsidRPr="003441E5" w:rsidRDefault="009F4B9D" w:rsidP="00A13B92">
      <w:pPr>
        <w:rPr>
          <w:lang w:eastAsia="en-US"/>
        </w:rPr>
      </w:pPr>
      <w:r w:rsidRPr="003441E5">
        <w:rPr>
          <w:lang w:eastAsia="en-US"/>
        </w:rPr>
        <w:br w:type="page"/>
      </w:r>
      <w:bookmarkStart w:id="0" w:name="_GoBack"/>
      <w:bookmarkEnd w:id="0"/>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CA3046" w:rsidP="00CA3046">
      <w:pPr>
        <w:spacing w:before="0" w:beforeAutospacing="0" w:after="0" w:afterAutospacing="0"/>
      </w:pPr>
      <w:r>
        <w:t>Xavier O’Halloran</w:t>
      </w:r>
    </w:p>
    <w:p w:rsidR="00CA3046" w:rsidRDefault="00CA3046" w:rsidP="00CA3046">
      <w:pPr>
        <w:spacing w:before="0" w:beforeAutospacing="0" w:after="0" w:afterAutospacing="0"/>
      </w:pPr>
      <w:r>
        <w:t>ACCAN Policy Officer</w:t>
      </w:r>
    </w:p>
    <w:p w:rsidR="00CA3046" w:rsidRPr="003441E5" w:rsidRDefault="00CA3046" w:rsidP="00B14DFB"/>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2"/>
          <w:szCs w:val="22"/>
          <w:lang w:eastAsia="en-AU"/>
        </w:rPr>
        <w:id w:val="-926421314"/>
        <w:docPartObj>
          <w:docPartGallery w:val="Table of Contents"/>
          <w:docPartUnique/>
        </w:docPartObj>
      </w:sdtPr>
      <w:sdtEndPr>
        <w:rPr>
          <w:b/>
          <w:noProof/>
        </w:rPr>
      </w:sdtEndPr>
      <w:sdtContent>
        <w:p w:rsidR="00CD5844" w:rsidRDefault="00CD5844">
          <w:pPr>
            <w:pStyle w:val="TOCHeading"/>
          </w:pPr>
          <w:r>
            <w:t>Table of Contents</w:t>
          </w:r>
        </w:p>
        <w:p w:rsidR="00DF74C4" w:rsidRDefault="00CD5844">
          <w:pPr>
            <w:pStyle w:val="TOC2"/>
            <w:rPr>
              <w:rFonts w:asciiTheme="minorHAnsi" w:hAnsiTheme="minorHAnsi"/>
            </w:rPr>
          </w:pPr>
          <w:r>
            <w:fldChar w:fldCharType="begin"/>
          </w:r>
          <w:r>
            <w:instrText xml:space="preserve"> TOC \o "1-3" \h \z \u </w:instrText>
          </w:r>
          <w:r>
            <w:fldChar w:fldCharType="separate"/>
          </w:r>
          <w:hyperlink w:anchor="_Toc395620811" w:history="1">
            <w:r w:rsidR="00DF74C4" w:rsidRPr="00BC5962">
              <w:rPr>
                <w:rStyle w:val="Hyperlink"/>
              </w:rPr>
              <w:t>Introduction</w:t>
            </w:r>
            <w:r w:rsidR="00DF74C4">
              <w:rPr>
                <w:webHidden/>
              </w:rPr>
              <w:tab/>
            </w:r>
            <w:r w:rsidR="00DF74C4">
              <w:rPr>
                <w:webHidden/>
              </w:rPr>
              <w:fldChar w:fldCharType="begin"/>
            </w:r>
            <w:r w:rsidR="00DF74C4">
              <w:rPr>
                <w:webHidden/>
              </w:rPr>
              <w:instrText xml:space="preserve"> PAGEREF _Toc395620811 \h </w:instrText>
            </w:r>
            <w:r w:rsidR="00DF74C4">
              <w:rPr>
                <w:webHidden/>
              </w:rPr>
            </w:r>
            <w:r w:rsidR="00DF74C4">
              <w:rPr>
                <w:webHidden/>
              </w:rPr>
              <w:fldChar w:fldCharType="separate"/>
            </w:r>
            <w:r w:rsidR="00A82CC0">
              <w:rPr>
                <w:webHidden/>
              </w:rPr>
              <w:t>4</w:t>
            </w:r>
            <w:r w:rsidR="00DF74C4">
              <w:rPr>
                <w:webHidden/>
              </w:rPr>
              <w:fldChar w:fldCharType="end"/>
            </w:r>
          </w:hyperlink>
        </w:p>
        <w:p w:rsidR="00DF74C4" w:rsidRDefault="00AC3702">
          <w:pPr>
            <w:pStyle w:val="TOC3"/>
            <w:rPr>
              <w:rFonts w:asciiTheme="minorHAnsi" w:hAnsiTheme="minorHAnsi"/>
            </w:rPr>
          </w:pPr>
          <w:hyperlink w:anchor="_Toc395620812" w:history="1">
            <w:r w:rsidR="00DF74C4" w:rsidRPr="00BC5962">
              <w:rPr>
                <w:rStyle w:val="Hyperlink"/>
              </w:rPr>
              <w:t>Is there a need for protection?</w:t>
            </w:r>
            <w:r w:rsidR="00DF74C4">
              <w:rPr>
                <w:webHidden/>
              </w:rPr>
              <w:tab/>
            </w:r>
            <w:r w:rsidR="00DF74C4">
              <w:rPr>
                <w:webHidden/>
              </w:rPr>
              <w:fldChar w:fldCharType="begin"/>
            </w:r>
            <w:r w:rsidR="00DF74C4">
              <w:rPr>
                <w:webHidden/>
              </w:rPr>
              <w:instrText xml:space="preserve"> PAGEREF _Toc395620812 \h </w:instrText>
            </w:r>
            <w:r w:rsidR="00DF74C4">
              <w:rPr>
                <w:webHidden/>
              </w:rPr>
            </w:r>
            <w:r w:rsidR="00DF74C4">
              <w:rPr>
                <w:webHidden/>
              </w:rPr>
              <w:fldChar w:fldCharType="separate"/>
            </w:r>
            <w:r w:rsidR="00A82CC0">
              <w:rPr>
                <w:webHidden/>
              </w:rPr>
              <w:t>4</w:t>
            </w:r>
            <w:r w:rsidR="00DF74C4">
              <w:rPr>
                <w:webHidden/>
              </w:rPr>
              <w:fldChar w:fldCharType="end"/>
            </w:r>
          </w:hyperlink>
        </w:p>
        <w:p w:rsidR="00DF74C4" w:rsidRDefault="00AC3702">
          <w:pPr>
            <w:pStyle w:val="TOC3"/>
            <w:rPr>
              <w:rFonts w:asciiTheme="minorHAnsi" w:hAnsiTheme="minorHAnsi"/>
            </w:rPr>
          </w:pPr>
          <w:hyperlink w:anchor="_Toc395620813" w:history="1">
            <w:r w:rsidR="00DF74C4" w:rsidRPr="00BC5962">
              <w:rPr>
                <w:rStyle w:val="Hyperlink"/>
              </w:rPr>
              <w:t>Problems with Section 313(3)</w:t>
            </w:r>
            <w:r w:rsidR="00DF74C4">
              <w:rPr>
                <w:webHidden/>
              </w:rPr>
              <w:tab/>
            </w:r>
            <w:r w:rsidR="00DF74C4">
              <w:rPr>
                <w:webHidden/>
              </w:rPr>
              <w:fldChar w:fldCharType="begin"/>
            </w:r>
            <w:r w:rsidR="00DF74C4">
              <w:rPr>
                <w:webHidden/>
              </w:rPr>
              <w:instrText xml:space="preserve"> PAGEREF _Toc395620813 \h </w:instrText>
            </w:r>
            <w:r w:rsidR="00DF74C4">
              <w:rPr>
                <w:webHidden/>
              </w:rPr>
            </w:r>
            <w:r w:rsidR="00DF74C4">
              <w:rPr>
                <w:webHidden/>
              </w:rPr>
              <w:fldChar w:fldCharType="separate"/>
            </w:r>
            <w:r w:rsidR="00A82CC0">
              <w:rPr>
                <w:webHidden/>
              </w:rPr>
              <w:t>5</w:t>
            </w:r>
            <w:r w:rsidR="00DF74C4">
              <w:rPr>
                <w:webHidden/>
              </w:rPr>
              <w:fldChar w:fldCharType="end"/>
            </w:r>
          </w:hyperlink>
        </w:p>
        <w:p w:rsidR="00DF74C4" w:rsidRDefault="00AC3702">
          <w:pPr>
            <w:pStyle w:val="TOC3"/>
            <w:rPr>
              <w:rFonts w:asciiTheme="minorHAnsi" w:hAnsiTheme="minorHAnsi"/>
            </w:rPr>
          </w:pPr>
          <w:hyperlink w:anchor="_Toc395620814" w:history="1">
            <w:r w:rsidR="00DF74C4" w:rsidRPr="00BC5962">
              <w:rPr>
                <w:rStyle w:val="Hyperlink"/>
              </w:rPr>
              <w:t>Ensuring proportionality, transparency and accountability</w:t>
            </w:r>
            <w:r w:rsidR="00DF74C4">
              <w:rPr>
                <w:webHidden/>
              </w:rPr>
              <w:tab/>
            </w:r>
            <w:r w:rsidR="00DF74C4">
              <w:rPr>
                <w:webHidden/>
              </w:rPr>
              <w:fldChar w:fldCharType="begin"/>
            </w:r>
            <w:r w:rsidR="00DF74C4">
              <w:rPr>
                <w:webHidden/>
              </w:rPr>
              <w:instrText xml:space="preserve"> PAGEREF _Toc395620814 \h </w:instrText>
            </w:r>
            <w:r w:rsidR="00DF74C4">
              <w:rPr>
                <w:webHidden/>
              </w:rPr>
            </w:r>
            <w:r w:rsidR="00DF74C4">
              <w:rPr>
                <w:webHidden/>
              </w:rPr>
              <w:fldChar w:fldCharType="separate"/>
            </w:r>
            <w:r w:rsidR="00A82CC0">
              <w:rPr>
                <w:webHidden/>
              </w:rPr>
              <w:t>7</w:t>
            </w:r>
            <w:r w:rsidR="00DF74C4">
              <w:rPr>
                <w:webHidden/>
              </w:rPr>
              <w:fldChar w:fldCharType="end"/>
            </w:r>
          </w:hyperlink>
        </w:p>
        <w:p w:rsidR="00DF74C4" w:rsidRDefault="00AC3702">
          <w:pPr>
            <w:pStyle w:val="TOC3"/>
            <w:rPr>
              <w:rFonts w:asciiTheme="minorHAnsi" w:hAnsiTheme="minorHAnsi"/>
            </w:rPr>
          </w:pPr>
          <w:hyperlink w:anchor="_Toc395620815" w:history="1">
            <w:r w:rsidR="00DF74C4" w:rsidRPr="00BC5962">
              <w:rPr>
                <w:rStyle w:val="Hyperlink"/>
              </w:rPr>
              <w:t>Conclusion</w:t>
            </w:r>
            <w:r w:rsidR="00DF74C4">
              <w:rPr>
                <w:webHidden/>
              </w:rPr>
              <w:tab/>
            </w:r>
            <w:r w:rsidR="00DF74C4">
              <w:rPr>
                <w:webHidden/>
              </w:rPr>
              <w:fldChar w:fldCharType="begin"/>
            </w:r>
            <w:r w:rsidR="00DF74C4">
              <w:rPr>
                <w:webHidden/>
              </w:rPr>
              <w:instrText xml:space="preserve"> PAGEREF _Toc395620815 \h </w:instrText>
            </w:r>
            <w:r w:rsidR="00DF74C4">
              <w:rPr>
                <w:webHidden/>
              </w:rPr>
            </w:r>
            <w:r w:rsidR="00DF74C4">
              <w:rPr>
                <w:webHidden/>
              </w:rPr>
              <w:fldChar w:fldCharType="separate"/>
            </w:r>
            <w:r w:rsidR="00A82CC0">
              <w:rPr>
                <w:webHidden/>
              </w:rPr>
              <w:t>8</w:t>
            </w:r>
            <w:r w:rsidR="00DF74C4">
              <w:rPr>
                <w:webHidden/>
              </w:rPr>
              <w:fldChar w:fldCharType="end"/>
            </w:r>
          </w:hyperlink>
        </w:p>
        <w:p w:rsidR="00CD5844" w:rsidRDefault="00CD5844">
          <w:r>
            <w:rPr>
              <w:b/>
              <w:bCs/>
              <w:noProof/>
            </w:rPr>
            <w:fldChar w:fldCharType="end"/>
          </w:r>
        </w:p>
      </w:sdtContent>
    </w:sdt>
    <w:p w:rsidR="003769F1" w:rsidRDefault="003769F1">
      <w:pPr>
        <w:spacing w:before="0" w:beforeAutospacing="0" w:after="0" w:afterAutospacing="0"/>
      </w:pPr>
      <w:r>
        <w:br w:type="page"/>
      </w:r>
    </w:p>
    <w:p w:rsidR="00CA3046" w:rsidRDefault="00CA3046" w:rsidP="00040BB1">
      <w:pPr>
        <w:pStyle w:val="Heading2"/>
        <w:numPr>
          <w:ilvl w:val="0"/>
          <w:numId w:val="0"/>
        </w:numPr>
        <w:ind w:left="851" w:hanging="851"/>
        <w:jc w:val="both"/>
      </w:pPr>
      <w:bookmarkStart w:id="1" w:name="_Toc395620811"/>
      <w:bookmarkStart w:id="2" w:name="_Toc343010203"/>
      <w:bookmarkStart w:id="3" w:name="_Toc351382488"/>
      <w:r>
        <w:lastRenderedPageBreak/>
        <w:t>Introduction</w:t>
      </w:r>
      <w:bookmarkEnd w:id="1"/>
    </w:p>
    <w:p w:rsidR="006156A6" w:rsidRDefault="008345A7" w:rsidP="00040BB1">
      <w:pPr>
        <w:jc w:val="both"/>
        <w:rPr>
          <w:rFonts w:asciiTheme="minorHAnsi" w:hAnsiTheme="minorHAnsi" w:cstheme="minorHAnsi"/>
          <w:color w:val="000000"/>
        </w:rPr>
      </w:pPr>
      <w:r>
        <w:rPr>
          <w:rFonts w:asciiTheme="minorHAnsi" w:hAnsiTheme="minorHAnsi" w:cstheme="minorHAnsi"/>
          <w:color w:val="000000"/>
        </w:rPr>
        <w:t>The Australian Communications Consumer Action Network (ACCAN) is supportive of efforts to prevent illegal activity online.</w:t>
      </w:r>
      <w:r w:rsidR="00166739">
        <w:rPr>
          <w:rFonts w:asciiTheme="minorHAnsi" w:hAnsiTheme="minorHAnsi" w:cstheme="minorHAnsi"/>
          <w:color w:val="000000"/>
        </w:rPr>
        <w:t xml:space="preserve"> Consumers are vulnerable </w:t>
      </w:r>
      <w:r w:rsidR="00BA4207">
        <w:rPr>
          <w:rFonts w:asciiTheme="minorHAnsi" w:hAnsiTheme="minorHAnsi" w:cstheme="minorHAnsi"/>
          <w:color w:val="000000"/>
        </w:rPr>
        <w:t>to a number of illegal activities such as online scams</w:t>
      </w:r>
      <w:r w:rsidR="002D043B">
        <w:rPr>
          <w:rFonts w:asciiTheme="minorHAnsi" w:hAnsiTheme="minorHAnsi" w:cstheme="minorHAnsi"/>
          <w:color w:val="000000"/>
        </w:rPr>
        <w:t>.</w:t>
      </w:r>
      <w:r w:rsidR="00BA4207">
        <w:rPr>
          <w:rFonts w:asciiTheme="minorHAnsi" w:hAnsiTheme="minorHAnsi" w:cstheme="minorHAnsi"/>
          <w:color w:val="000000"/>
        </w:rPr>
        <w:t xml:space="preserve"> </w:t>
      </w:r>
      <w:r w:rsidR="002D043B">
        <w:rPr>
          <w:rFonts w:asciiTheme="minorHAnsi" w:hAnsiTheme="minorHAnsi" w:cstheme="minorHAnsi"/>
          <w:color w:val="000000"/>
        </w:rPr>
        <w:t>W</w:t>
      </w:r>
      <w:r w:rsidR="00BA4207">
        <w:rPr>
          <w:rFonts w:asciiTheme="minorHAnsi" w:hAnsiTheme="minorHAnsi" w:cstheme="minorHAnsi"/>
          <w:color w:val="000000"/>
        </w:rPr>
        <w:t xml:space="preserve">ithout active regulators consumers are likely to lose confidence </w:t>
      </w:r>
      <w:r w:rsidR="004A316A">
        <w:rPr>
          <w:rFonts w:asciiTheme="minorHAnsi" w:hAnsiTheme="minorHAnsi" w:cstheme="minorHAnsi"/>
          <w:color w:val="000000"/>
        </w:rPr>
        <w:t xml:space="preserve">in transacting online. As with all </w:t>
      </w:r>
      <w:r w:rsidR="006156A6">
        <w:rPr>
          <w:rFonts w:asciiTheme="minorHAnsi" w:hAnsiTheme="minorHAnsi" w:cstheme="minorHAnsi"/>
          <w:color w:val="000000"/>
        </w:rPr>
        <w:t>exercises of executive power</w:t>
      </w:r>
      <w:r w:rsidR="004A316A">
        <w:rPr>
          <w:rFonts w:asciiTheme="minorHAnsi" w:hAnsiTheme="minorHAnsi" w:cstheme="minorHAnsi"/>
          <w:color w:val="000000"/>
        </w:rPr>
        <w:t>, there must be a consideration of proportionality</w:t>
      </w:r>
      <w:r w:rsidR="006156A6">
        <w:rPr>
          <w:rFonts w:asciiTheme="minorHAnsi" w:hAnsiTheme="minorHAnsi" w:cstheme="minorHAnsi"/>
          <w:color w:val="000000"/>
        </w:rPr>
        <w:t>, transparency and accountability</w:t>
      </w:r>
      <w:r w:rsidR="004A316A">
        <w:rPr>
          <w:rFonts w:asciiTheme="minorHAnsi" w:hAnsiTheme="minorHAnsi" w:cstheme="minorHAnsi"/>
          <w:color w:val="000000"/>
        </w:rPr>
        <w:t xml:space="preserve">. The current operation of Section 313(3) of the </w:t>
      </w:r>
      <w:r w:rsidR="004A316A" w:rsidRPr="004A316A">
        <w:rPr>
          <w:rFonts w:asciiTheme="minorHAnsi" w:hAnsiTheme="minorHAnsi" w:cstheme="minorHAnsi"/>
          <w:i/>
          <w:color w:val="000000"/>
        </w:rPr>
        <w:t>Telecommunications Act</w:t>
      </w:r>
      <w:r w:rsidR="00B20801">
        <w:rPr>
          <w:rFonts w:asciiTheme="minorHAnsi" w:hAnsiTheme="minorHAnsi" w:cstheme="minorHAnsi"/>
          <w:i/>
          <w:color w:val="000000"/>
        </w:rPr>
        <w:t xml:space="preserve"> </w:t>
      </w:r>
      <w:r w:rsidR="00B20801">
        <w:rPr>
          <w:rFonts w:asciiTheme="minorHAnsi" w:hAnsiTheme="minorHAnsi" w:cstheme="minorHAnsi"/>
          <w:color w:val="000000"/>
        </w:rPr>
        <w:t>will be</w:t>
      </w:r>
      <w:r w:rsidR="004A316A">
        <w:rPr>
          <w:rFonts w:asciiTheme="minorHAnsi" w:hAnsiTheme="minorHAnsi" w:cstheme="minorHAnsi"/>
          <w:color w:val="000000"/>
        </w:rPr>
        <w:t xml:space="preserve"> </w:t>
      </w:r>
      <w:r w:rsidR="006156A6">
        <w:rPr>
          <w:rFonts w:asciiTheme="minorHAnsi" w:hAnsiTheme="minorHAnsi" w:cstheme="minorHAnsi"/>
          <w:color w:val="000000"/>
        </w:rPr>
        <w:t>analysed on these three grounds</w:t>
      </w:r>
      <w:r w:rsidR="004A316A">
        <w:rPr>
          <w:rFonts w:asciiTheme="minorHAnsi" w:hAnsiTheme="minorHAnsi" w:cstheme="minorHAnsi"/>
          <w:color w:val="000000"/>
        </w:rPr>
        <w:t xml:space="preserve">. ACCAN’s submission will </w:t>
      </w:r>
      <w:r w:rsidR="000F6AAD">
        <w:rPr>
          <w:rFonts w:asciiTheme="minorHAnsi" w:hAnsiTheme="minorHAnsi" w:cstheme="minorHAnsi"/>
          <w:color w:val="000000"/>
        </w:rPr>
        <w:t xml:space="preserve">highlight the negative impact </w:t>
      </w:r>
      <w:r w:rsidR="006156A6">
        <w:rPr>
          <w:rFonts w:asciiTheme="minorHAnsi" w:hAnsiTheme="minorHAnsi" w:cstheme="minorHAnsi"/>
          <w:color w:val="000000"/>
        </w:rPr>
        <w:t>this section</w:t>
      </w:r>
      <w:r w:rsidR="000F6AAD">
        <w:rPr>
          <w:rFonts w:asciiTheme="minorHAnsi" w:hAnsiTheme="minorHAnsi" w:cstheme="minorHAnsi"/>
          <w:color w:val="000000"/>
        </w:rPr>
        <w:t xml:space="preserve"> can have on consumers </w:t>
      </w:r>
      <w:r w:rsidR="006D0451">
        <w:rPr>
          <w:rFonts w:asciiTheme="minorHAnsi" w:hAnsiTheme="minorHAnsi" w:cstheme="minorHAnsi"/>
          <w:color w:val="000000"/>
        </w:rPr>
        <w:t xml:space="preserve">and small business </w:t>
      </w:r>
      <w:r w:rsidR="000F6AAD">
        <w:rPr>
          <w:rFonts w:asciiTheme="minorHAnsi" w:hAnsiTheme="minorHAnsi" w:cstheme="minorHAnsi"/>
          <w:color w:val="000000"/>
        </w:rPr>
        <w:t>when it exceeds its</w:t>
      </w:r>
      <w:r w:rsidR="00A70A17">
        <w:rPr>
          <w:rFonts w:asciiTheme="minorHAnsi" w:hAnsiTheme="minorHAnsi" w:cstheme="minorHAnsi"/>
          <w:color w:val="000000"/>
        </w:rPr>
        <w:t xml:space="preserve"> intended</w:t>
      </w:r>
      <w:r w:rsidR="000F6AAD">
        <w:rPr>
          <w:rFonts w:asciiTheme="minorHAnsi" w:hAnsiTheme="minorHAnsi" w:cstheme="minorHAnsi"/>
          <w:color w:val="000000"/>
        </w:rPr>
        <w:t xml:space="preserve"> scope</w:t>
      </w:r>
      <w:r w:rsidR="006156A6">
        <w:rPr>
          <w:rFonts w:asciiTheme="minorHAnsi" w:hAnsiTheme="minorHAnsi" w:cstheme="minorHAnsi"/>
          <w:color w:val="000000"/>
        </w:rPr>
        <w:t xml:space="preserve"> and</w:t>
      </w:r>
      <w:r w:rsidR="000F6AAD">
        <w:rPr>
          <w:rFonts w:asciiTheme="minorHAnsi" w:hAnsiTheme="minorHAnsi" w:cstheme="minorHAnsi"/>
          <w:color w:val="000000"/>
        </w:rPr>
        <w:t xml:space="preserve"> </w:t>
      </w:r>
      <w:r w:rsidR="004A316A">
        <w:rPr>
          <w:rFonts w:asciiTheme="minorHAnsi" w:hAnsiTheme="minorHAnsi" w:cstheme="minorHAnsi"/>
          <w:color w:val="000000"/>
        </w:rPr>
        <w:t xml:space="preserve">explore possible ways to make </w:t>
      </w:r>
      <w:r w:rsidR="006156A6">
        <w:rPr>
          <w:rFonts w:asciiTheme="minorHAnsi" w:hAnsiTheme="minorHAnsi" w:cstheme="minorHAnsi"/>
          <w:color w:val="000000"/>
        </w:rPr>
        <w:t>it</w:t>
      </w:r>
      <w:r w:rsidR="004A316A">
        <w:rPr>
          <w:rFonts w:asciiTheme="minorHAnsi" w:hAnsiTheme="minorHAnsi" w:cstheme="minorHAnsi"/>
          <w:color w:val="000000"/>
        </w:rPr>
        <w:t xml:space="preserve"> fit for purpose</w:t>
      </w:r>
      <w:r w:rsidR="006156A6">
        <w:rPr>
          <w:rFonts w:asciiTheme="minorHAnsi" w:hAnsiTheme="minorHAnsi" w:cstheme="minorHAnsi"/>
          <w:color w:val="000000"/>
        </w:rPr>
        <w:t>.</w:t>
      </w:r>
      <w:r w:rsidR="00E9402A">
        <w:rPr>
          <w:rFonts w:asciiTheme="minorHAnsi" w:hAnsiTheme="minorHAnsi" w:cstheme="minorHAnsi"/>
          <w:color w:val="000000"/>
        </w:rPr>
        <w:t xml:space="preserve"> Small business website owners are particularly vulnerable to this type of law because of its potential for misapplication and the costly nature of appeal.</w:t>
      </w:r>
    </w:p>
    <w:p w:rsidR="006156A6" w:rsidRDefault="003769F1" w:rsidP="00040BB1">
      <w:pPr>
        <w:pStyle w:val="Heading3"/>
        <w:numPr>
          <w:ilvl w:val="0"/>
          <w:numId w:val="0"/>
        </w:numPr>
        <w:ind w:left="851" w:hanging="851"/>
        <w:jc w:val="both"/>
      </w:pPr>
      <w:bookmarkStart w:id="4" w:name="_Toc395620812"/>
      <w:r>
        <w:t>Is there a</w:t>
      </w:r>
      <w:r w:rsidR="006156A6">
        <w:t xml:space="preserve"> need for protection?</w:t>
      </w:r>
      <w:bookmarkEnd w:id="4"/>
    </w:p>
    <w:p w:rsidR="00B20801" w:rsidRDefault="00B20801" w:rsidP="00040BB1">
      <w:pPr>
        <w:jc w:val="both"/>
        <w:rPr>
          <w:rFonts w:asciiTheme="minorHAnsi" w:hAnsiTheme="minorHAnsi" w:cstheme="minorHAnsi"/>
          <w:color w:val="000000"/>
        </w:rPr>
      </w:pPr>
      <w:r>
        <w:rPr>
          <w:lang w:eastAsia="en-US"/>
        </w:rPr>
        <w:t xml:space="preserve">As the Terms of Reference point out, Section 313 has been used by the Australian Federal Police to </w:t>
      </w:r>
      <w:r w:rsidR="00FC2C92">
        <w:rPr>
          <w:lang w:eastAsia="en-US"/>
        </w:rPr>
        <w:t>authorise</w:t>
      </w:r>
      <w:r>
        <w:rPr>
          <w:lang w:eastAsia="en-US"/>
        </w:rPr>
        <w:t xml:space="preserve"> Internet Service Providers</w:t>
      </w:r>
      <w:r w:rsidR="006D0451">
        <w:rPr>
          <w:lang w:eastAsia="en-US"/>
        </w:rPr>
        <w:t xml:space="preserve"> (ISPs)</w:t>
      </w:r>
      <w:r>
        <w:rPr>
          <w:lang w:eastAsia="en-US"/>
        </w:rPr>
        <w:t xml:space="preserve"> to block </w:t>
      </w:r>
      <w:r w:rsidRPr="00CA3046">
        <w:rPr>
          <w:rFonts w:asciiTheme="minorHAnsi" w:hAnsiTheme="minorHAnsi" w:cstheme="minorHAnsi"/>
          <w:color w:val="000000"/>
        </w:rPr>
        <w:t xml:space="preserve">the INTERPOL </w:t>
      </w:r>
      <w:r w:rsidR="00B573A9">
        <w:rPr>
          <w:rFonts w:asciiTheme="minorHAnsi" w:hAnsiTheme="minorHAnsi" w:cstheme="minorHAnsi"/>
          <w:color w:val="000000"/>
        </w:rPr>
        <w:t>‘</w:t>
      </w:r>
      <w:r w:rsidRPr="00CA3046">
        <w:rPr>
          <w:rFonts w:asciiTheme="minorHAnsi" w:hAnsiTheme="minorHAnsi" w:cstheme="minorHAnsi"/>
          <w:color w:val="000000"/>
        </w:rPr>
        <w:t>Worst of</w:t>
      </w:r>
      <w:r w:rsidR="00B573A9">
        <w:rPr>
          <w:rFonts w:asciiTheme="minorHAnsi" w:hAnsiTheme="minorHAnsi" w:cstheme="minorHAnsi"/>
          <w:color w:val="000000"/>
        </w:rPr>
        <w:t>’</w:t>
      </w:r>
      <w:r w:rsidRPr="00CA3046">
        <w:rPr>
          <w:rFonts w:asciiTheme="minorHAnsi" w:hAnsiTheme="minorHAnsi" w:cstheme="minorHAnsi"/>
          <w:color w:val="000000"/>
        </w:rPr>
        <w:t xml:space="preserve"> child abuse list</w:t>
      </w:r>
      <w:r>
        <w:rPr>
          <w:rFonts w:asciiTheme="minorHAnsi" w:hAnsiTheme="minorHAnsi" w:cstheme="minorHAnsi"/>
          <w:color w:val="000000"/>
        </w:rPr>
        <w:t>. As INTERPOL recognises</w:t>
      </w:r>
      <w:r w:rsidR="006323DE">
        <w:rPr>
          <w:rFonts w:asciiTheme="minorHAnsi" w:hAnsiTheme="minorHAnsi" w:cstheme="minorHAnsi"/>
          <w:color w:val="000000"/>
        </w:rPr>
        <w:t>,</w:t>
      </w:r>
      <w:r>
        <w:rPr>
          <w:rFonts w:asciiTheme="minorHAnsi" w:hAnsiTheme="minorHAnsi" w:cstheme="minorHAnsi"/>
          <w:color w:val="000000"/>
        </w:rPr>
        <w:t xml:space="preserve"> </w:t>
      </w:r>
      <w:r w:rsidR="006323DE">
        <w:rPr>
          <w:rFonts w:asciiTheme="minorHAnsi" w:hAnsiTheme="minorHAnsi" w:cstheme="minorHAnsi"/>
          <w:color w:val="000000"/>
        </w:rPr>
        <w:t>the Web is</w:t>
      </w:r>
      <w:r w:rsidR="002D043B" w:rsidRPr="002D043B">
        <w:rPr>
          <w:rFonts w:asciiTheme="minorHAnsi" w:hAnsiTheme="minorHAnsi" w:cstheme="minorHAnsi"/>
          <w:color w:val="000000"/>
        </w:rPr>
        <w:t xml:space="preserve"> </w:t>
      </w:r>
      <w:r w:rsidR="002D043B">
        <w:rPr>
          <w:rFonts w:asciiTheme="minorHAnsi" w:hAnsiTheme="minorHAnsi" w:cstheme="minorHAnsi"/>
          <w:color w:val="000000"/>
        </w:rPr>
        <w:t xml:space="preserve">the most accessible and visible means to access child exploitation material despite </w:t>
      </w:r>
      <w:r w:rsidR="006323DE">
        <w:rPr>
          <w:rFonts w:asciiTheme="minorHAnsi" w:hAnsiTheme="minorHAnsi" w:cstheme="minorHAnsi"/>
          <w:color w:val="000000"/>
        </w:rPr>
        <w:t>not</w:t>
      </w:r>
      <w:r w:rsidR="002D043B">
        <w:rPr>
          <w:rFonts w:asciiTheme="minorHAnsi" w:hAnsiTheme="minorHAnsi" w:cstheme="minorHAnsi"/>
          <w:color w:val="000000"/>
        </w:rPr>
        <w:t xml:space="preserve"> being</w:t>
      </w:r>
      <w:r w:rsidR="006323DE">
        <w:rPr>
          <w:rFonts w:asciiTheme="minorHAnsi" w:hAnsiTheme="minorHAnsi" w:cstheme="minorHAnsi"/>
          <w:color w:val="000000"/>
        </w:rPr>
        <w:t xml:space="preserve"> the most important, in terms of numbers of files.</w:t>
      </w:r>
      <w:r w:rsidR="006323DE">
        <w:rPr>
          <w:rStyle w:val="FootnoteReference"/>
          <w:rFonts w:asciiTheme="minorHAnsi" w:hAnsiTheme="minorHAnsi" w:cstheme="minorHAnsi"/>
          <w:color w:val="000000"/>
        </w:rPr>
        <w:footnoteReference w:id="1"/>
      </w:r>
      <w:r w:rsidR="006323DE">
        <w:rPr>
          <w:rFonts w:asciiTheme="minorHAnsi" w:hAnsiTheme="minorHAnsi" w:cstheme="minorHAnsi"/>
          <w:color w:val="000000"/>
        </w:rPr>
        <w:t xml:space="preserve"> As such, blocking access to these websites is an important step police and industry can take to prevent crimes against children from continuing undisturbed.</w:t>
      </w:r>
    </w:p>
    <w:p w:rsidR="006323DE" w:rsidRDefault="006323DE" w:rsidP="00040BB1">
      <w:pPr>
        <w:jc w:val="both"/>
        <w:rPr>
          <w:rFonts w:asciiTheme="minorHAnsi" w:hAnsiTheme="minorHAnsi" w:cstheme="minorHAnsi"/>
          <w:color w:val="000000"/>
        </w:rPr>
      </w:pPr>
      <w:r>
        <w:rPr>
          <w:rFonts w:asciiTheme="minorHAnsi" w:hAnsiTheme="minorHAnsi" w:cstheme="minorHAnsi"/>
          <w:color w:val="000000"/>
        </w:rPr>
        <w:t xml:space="preserve">The </w:t>
      </w:r>
      <w:r w:rsidRPr="00CA3046">
        <w:rPr>
          <w:rFonts w:asciiTheme="minorHAnsi" w:hAnsiTheme="minorHAnsi" w:cstheme="minorHAnsi"/>
          <w:color w:val="000000"/>
        </w:rPr>
        <w:t xml:space="preserve">INTERPOL </w:t>
      </w:r>
      <w:r w:rsidR="00CB0F40">
        <w:rPr>
          <w:rFonts w:asciiTheme="minorHAnsi" w:hAnsiTheme="minorHAnsi" w:cstheme="minorHAnsi"/>
          <w:color w:val="000000"/>
        </w:rPr>
        <w:t>‘</w:t>
      </w:r>
      <w:r w:rsidRPr="00CA3046">
        <w:rPr>
          <w:rFonts w:asciiTheme="minorHAnsi" w:hAnsiTheme="minorHAnsi" w:cstheme="minorHAnsi"/>
          <w:color w:val="000000"/>
        </w:rPr>
        <w:t>Worst of</w:t>
      </w:r>
      <w:r w:rsidR="00CB0F40">
        <w:rPr>
          <w:rFonts w:asciiTheme="minorHAnsi" w:hAnsiTheme="minorHAnsi" w:cstheme="minorHAnsi"/>
          <w:color w:val="000000"/>
        </w:rPr>
        <w:t>’</w:t>
      </w:r>
      <w:r w:rsidRPr="00CA3046">
        <w:rPr>
          <w:rFonts w:asciiTheme="minorHAnsi" w:hAnsiTheme="minorHAnsi" w:cstheme="minorHAnsi"/>
          <w:color w:val="000000"/>
        </w:rPr>
        <w:t xml:space="preserve"> child abuse list</w:t>
      </w:r>
      <w:r>
        <w:rPr>
          <w:rFonts w:asciiTheme="minorHAnsi" w:hAnsiTheme="minorHAnsi" w:cstheme="minorHAnsi"/>
          <w:color w:val="000000"/>
        </w:rPr>
        <w:t xml:space="preserve"> is a useful example of both the need for protection and a process for administering </w:t>
      </w:r>
      <w:r w:rsidR="00063BFF">
        <w:rPr>
          <w:rFonts w:asciiTheme="minorHAnsi" w:hAnsiTheme="minorHAnsi" w:cstheme="minorHAnsi"/>
          <w:color w:val="000000"/>
        </w:rPr>
        <w:t>a list of blocked material</w:t>
      </w:r>
      <w:r w:rsidR="00475A70">
        <w:rPr>
          <w:rFonts w:asciiTheme="minorHAnsi" w:hAnsiTheme="minorHAnsi" w:cstheme="minorHAnsi"/>
          <w:color w:val="000000"/>
        </w:rPr>
        <w:t>.</w:t>
      </w:r>
      <w:r w:rsidR="00063BFF">
        <w:rPr>
          <w:rFonts w:asciiTheme="minorHAnsi" w:hAnsiTheme="minorHAnsi" w:cstheme="minorHAnsi"/>
          <w:color w:val="000000"/>
        </w:rPr>
        <w:t xml:space="preserve"> </w:t>
      </w:r>
      <w:r w:rsidR="00475A70">
        <w:rPr>
          <w:rFonts w:asciiTheme="minorHAnsi" w:hAnsiTheme="minorHAnsi" w:cstheme="minorHAnsi"/>
          <w:color w:val="000000"/>
        </w:rPr>
        <w:t>Unlike Section 313</w:t>
      </w:r>
      <w:r w:rsidR="00A35951">
        <w:rPr>
          <w:rFonts w:asciiTheme="minorHAnsi" w:hAnsiTheme="minorHAnsi" w:cstheme="minorHAnsi"/>
          <w:color w:val="000000"/>
        </w:rPr>
        <w:t xml:space="preserve"> </w:t>
      </w:r>
      <w:r w:rsidR="00475A70">
        <w:rPr>
          <w:rFonts w:asciiTheme="minorHAnsi" w:hAnsiTheme="minorHAnsi" w:cstheme="minorHAnsi"/>
          <w:color w:val="000000"/>
        </w:rPr>
        <w:t>the INTERPOL list has some measures to ensure it</w:t>
      </w:r>
      <w:r w:rsidR="00063BFF">
        <w:rPr>
          <w:rFonts w:asciiTheme="minorHAnsi" w:hAnsiTheme="minorHAnsi" w:cstheme="minorHAnsi"/>
          <w:color w:val="000000"/>
        </w:rPr>
        <w:t xml:space="preserve"> remain</w:t>
      </w:r>
      <w:r w:rsidR="00475A70">
        <w:rPr>
          <w:rFonts w:asciiTheme="minorHAnsi" w:hAnsiTheme="minorHAnsi" w:cstheme="minorHAnsi"/>
          <w:color w:val="000000"/>
        </w:rPr>
        <w:t>s</w:t>
      </w:r>
      <w:r w:rsidR="00063BFF">
        <w:rPr>
          <w:rFonts w:asciiTheme="minorHAnsi" w:hAnsiTheme="minorHAnsi" w:cstheme="minorHAnsi"/>
          <w:color w:val="000000"/>
        </w:rPr>
        <w:t xml:space="preserve"> proportionate, transparent and accountable. This will be discussed in detail </w:t>
      </w:r>
      <w:r w:rsidR="002D043B">
        <w:rPr>
          <w:rFonts w:asciiTheme="minorHAnsi" w:hAnsiTheme="minorHAnsi" w:cstheme="minorHAnsi"/>
          <w:color w:val="000000"/>
        </w:rPr>
        <w:t>below</w:t>
      </w:r>
      <w:r w:rsidR="00063BFF">
        <w:rPr>
          <w:rFonts w:asciiTheme="minorHAnsi" w:hAnsiTheme="minorHAnsi" w:cstheme="minorHAnsi"/>
          <w:color w:val="000000"/>
        </w:rPr>
        <w:t>.</w:t>
      </w:r>
    </w:p>
    <w:p w:rsidR="00A35951" w:rsidRDefault="00063BFF" w:rsidP="00040BB1">
      <w:pPr>
        <w:jc w:val="both"/>
        <w:rPr>
          <w:rFonts w:asciiTheme="minorHAnsi" w:hAnsiTheme="minorHAnsi" w:cstheme="minorHAnsi"/>
          <w:color w:val="000000"/>
        </w:rPr>
      </w:pPr>
      <w:r>
        <w:rPr>
          <w:lang w:eastAsia="en-US"/>
        </w:rPr>
        <w:t>The other example listed in the Terms of Reference is</w:t>
      </w:r>
      <w:r w:rsidR="00475A70">
        <w:rPr>
          <w:lang w:eastAsia="en-US"/>
        </w:rPr>
        <w:t xml:space="preserve"> the</w:t>
      </w:r>
      <w:r>
        <w:rPr>
          <w:lang w:eastAsia="en-US"/>
        </w:rPr>
        <w:t xml:space="preserve"> </w:t>
      </w:r>
      <w:r w:rsidRPr="00CA3046">
        <w:rPr>
          <w:rFonts w:asciiTheme="minorHAnsi" w:hAnsiTheme="minorHAnsi" w:cstheme="minorHAnsi"/>
          <w:color w:val="000000"/>
        </w:rPr>
        <w:t>prevent</w:t>
      </w:r>
      <w:r w:rsidR="00475A70">
        <w:rPr>
          <w:rFonts w:asciiTheme="minorHAnsi" w:hAnsiTheme="minorHAnsi" w:cstheme="minorHAnsi"/>
          <w:color w:val="000000"/>
        </w:rPr>
        <w:t xml:space="preserve">ion </w:t>
      </w:r>
      <w:r w:rsidRPr="00CA3046">
        <w:rPr>
          <w:rFonts w:asciiTheme="minorHAnsi" w:hAnsiTheme="minorHAnsi" w:cstheme="minorHAnsi"/>
          <w:color w:val="000000"/>
        </w:rPr>
        <w:t>of online services in breach or potentially in breach of Australian law</w:t>
      </w:r>
      <w:r>
        <w:rPr>
          <w:rFonts w:asciiTheme="minorHAnsi" w:hAnsiTheme="minorHAnsi" w:cstheme="minorHAnsi"/>
          <w:color w:val="000000"/>
        </w:rPr>
        <w:t>, for example</w:t>
      </w:r>
      <w:r w:rsidRPr="00CA3046">
        <w:rPr>
          <w:rFonts w:asciiTheme="minorHAnsi" w:hAnsiTheme="minorHAnsi" w:cstheme="minorHAnsi"/>
          <w:color w:val="000000"/>
        </w:rPr>
        <w:t xml:space="preserve"> financial fraud</w:t>
      </w:r>
      <w:r>
        <w:rPr>
          <w:rFonts w:asciiTheme="minorHAnsi" w:hAnsiTheme="minorHAnsi" w:cstheme="minorHAnsi"/>
          <w:color w:val="000000"/>
        </w:rPr>
        <w:t>.</w:t>
      </w:r>
      <w:r w:rsidR="0079581F">
        <w:rPr>
          <w:rFonts w:asciiTheme="minorHAnsi" w:hAnsiTheme="minorHAnsi" w:cstheme="minorHAnsi"/>
          <w:color w:val="000000"/>
        </w:rPr>
        <w:t xml:space="preserve"> In 2013 online scams caused </w:t>
      </w:r>
      <w:r w:rsidR="00A70A17">
        <w:rPr>
          <w:rFonts w:asciiTheme="minorHAnsi" w:hAnsiTheme="minorHAnsi" w:cstheme="minorHAnsi"/>
          <w:color w:val="000000"/>
        </w:rPr>
        <w:t>more</w:t>
      </w:r>
      <w:r w:rsidR="0079581F">
        <w:rPr>
          <w:rFonts w:asciiTheme="minorHAnsi" w:hAnsiTheme="minorHAnsi" w:cstheme="minorHAnsi"/>
          <w:color w:val="000000"/>
        </w:rPr>
        <w:t xml:space="preserve"> financial harm </w:t>
      </w:r>
      <w:r w:rsidR="00A70A17">
        <w:rPr>
          <w:rFonts w:asciiTheme="minorHAnsi" w:hAnsiTheme="minorHAnsi" w:cstheme="minorHAnsi"/>
          <w:color w:val="000000"/>
        </w:rPr>
        <w:t>than any other</w:t>
      </w:r>
      <w:r w:rsidR="0079581F">
        <w:rPr>
          <w:rFonts w:asciiTheme="minorHAnsi" w:hAnsiTheme="minorHAnsi" w:cstheme="minorHAnsi"/>
          <w:color w:val="000000"/>
        </w:rPr>
        <w:t xml:space="preserve"> delivery method. The reported cost to Australians was close to $42 million.</w:t>
      </w:r>
      <w:r w:rsidR="0079581F">
        <w:rPr>
          <w:rStyle w:val="FootnoteReference"/>
          <w:rFonts w:asciiTheme="minorHAnsi" w:hAnsiTheme="minorHAnsi" w:cstheme="minorHAnsi"/>
          <w:color w:val="000000"/>
        </w:rPr>
        <w:footnoteReference w:id="2"/>
      </w:r>
      <w:r w:rsidR="00222C5E">
        <w:rPr>
          <w:rStyle w:val="FootnoteReference"/>
          <w:rFonts w:asciiTheme="minorHAnsi" w:hAnsiTheme="minorHAnsi" w:cstheme="minorHAnsi"/>
          <w:color w:val="000000"/>
        </w:rPr>
        <w:footnoteReference w:id="3"/>
      </w:r>
      <w:r w:rsidR="0079581F">
        <w:rPr>
          <w:rFonts w:asciiTheme="minorHAnsi" w:hAnsiTheme="minorHAnsi" w:cstheme="minorHAnsi"/>
          <w:color w:val="000000"/>
        </w:rPr>
        <w:t xml:space="preserve"> </w:t>
      </w:r>
      <w:r w:rsidR="00A35951">
        <w:rPr>
          <w:rFonts w:asciiTheme="minorHAnsi" w:hAnsiTheme="minorHAnsi" w:cstheme="minorHAnsi"/>
          <w:color w:val="000000"/>
        </w:rPr>
        <w:t>P</w:t>
      </w:r>
      <w:r w:rsidR="00222C5E">
        <w:rPr>
          <w:rFonts w:asciiTheme="minorHAnsi" w:hAnsiTheme="minorHAnsi" w:cstheme="minorHAnsi"/>
          <w:color w:val="000000"/>
        </w:rPr>
        <w:t>hishing and identity theft scams often rely on directing consumers to fake websites which appear to be well-known government, corporate or financial entities.</w:t>
      </w:r>
      <w:r w:rsidR="0013089C">
        <w:rPr>
          <w:rFonts w:asciiTheme="minorHAnsi" w:hAnsiTheme="minorHAnsi" w:cstheme="minorHAnsi"/>
          <w:color w:val="000000"/>
        </w:rPr>
        <w:t xml:space="preserve"> Consumers are </w:t>
      </w:r>
      <w:r w:rsidR="002D043B">
        <w:rPr>
          <w:rFonts w:asciiTheme="minorHAnsi" w:hAnsiTheme="minorHAnsi" w:cstheme="minorHAnsi"/>
          <w:color w:val="000000"/>
        </w:rPr>
        <w:t>persuaded</w:t>
      </w:r>
      <w:r w:rsidR="0013089C">
        <w:rPr>
          <w:rFonts w:asciiTheme="minorHAnsi" w:hAnsiTheme="minorHAnsi" w:cstheme="minorHAnsi"/>
          <w:color w:val="000000"/>
        </w:rPr>
        <w:t xml:space="preserve"> to hand over account details, such as usernames and passwords</w:t>
      </w:r>
      <w:r w:rsidR="00475A70">
        <w:rPr>
          <w:rFonts w:asciiTheme="minorHAnsi" w:hAnsiTheme="minorHAnsi" w:cstheme="minorHAnsi"/>
          <w:color w:val="000000"/>
        </w:rPr>
        <w:t>,</w:t>
      </w:r>
      <w:r w:rsidR="0013089C">
        <w:rPr>
          <w:rFonts w:asciiTheme="minorHAnsi" w:hAnsiTheme="minorHAnsi" w:cstheme="minorHAnsi"/>
          <w:color w:val="000000"/>
        </w:rPr>
        <w:t xml:space="preserve"> which scammers then use for personal gain. </w:t>
      </w:r>
      <w:r w:rsidR="00A70A17">
        <w:rPr>
          <w:rFonts w:asciiTheme="minorHAnsi" w:hAnsiTheme="minorHAnsi" w:cstheme="minorHAnsi"/>
          <w:color w:val="000000"/>
        </w:rPr>
        <w:t>E</w:t>
      </w:r>
      <w:r w:rsidR="0013089C">
        <w:rPr>
          <w:rFonts w:asciiTheme="minorHAnsi" w:hAnsiTheme="minorHAnsi" w:cstheme="minorHAnsi"/>
          <w:color w:val="000000"/>
        </w:rPr>
        <w:t>ducating consumers to be wary online</w:t>
      </w:r>
      <w:r w:rsidR="00A70A17">
        <w:rPr>
          <w:rFonts w:asciiTheme="minorHAnsi" w:hAnsiTheme="minorHAnsi" w:cstheme="minorHAnsi"/>
          <w:color w:val="000000"/>
        </w:rPr>
        <w:t xml:space="preserve"> and prosecuting offenders are the most important steps in stopping this crime. However</w:t>
      </w:r>
      <w:r w:rsidR="0013089C">
        <w:rPr>
          <w:rFonts w:asciiTheme="minorHAnsi" w:hAnsiTheme="minorHAnsi" w:cstheme="minorHAnsi"/>
          <w:color w:val="000000"/>
        </w:rPr>
        <w:t xml:space="preserve">, the ability to directly block these websites </w:t>
      </w:r>
      <w:r w:rsidR="00FB4F5F">
        <w:rPr>
          <w:rFonts w:asciiTheme="minorHAnsi" w:hAnsiTheme="minorHAnsi" w:cstheme="minorHAnsi"/>
          <w:color w:val="000000"/>
        </w:rPr>
        <w:t>may be</w:t>
      </w:r>
      <w:r w:rsidR="0013089C">
        <w:rPr>
          <w:rFonts w:asciiTheme="minorHAnsi" w:hAnsiTheme="minorHAnsi" w:cstheme="minorHAnsi"/>
          <w:color w:val="000000"/>
        </w:rPr>
        <w:t xml:space="preserve"> </w:t>
      </w:r>
      <w:r w:rsidR="00A70A17">
        <w:rPr>
          <w:rFonts w:asciiTheme="minorHAnsi" w:hAnsiTheme="minorHAnsi" w:cstheme="minorHAnsi"/>
          <w:color w:val="000000"/>
        </w:rPr>
        <w:t xml:space="preserve">necessary </w:t>
      </w:r>
      <w:r w:rsidR="002D043B">
        <w:rPr>
          <w:rFonts w:asciiTheme="minorHAnsi" w:hAnsiTheme="minorHAnsi" w:cstheme="minorHAnsi"/>
          <w:color w:val="000000"/>
        </w:rPr>
        <w:t>in order</w:t>
      </w:r>
      <w:r w:rsidR="00A70A17">
        <w:rPr>
          <w:rFonts w:asciiTheme="minorHAnsi" w:hAnsiTheme="minorHAnsi" w:cstheme="minorHAnsi"/>
          <w:color w:val="000000"/>
        </w:rPr>
        <w:t xml:space="preserve"> </w:t>
      </w:r>
      <w:r w:rsidR="0013089C">
        <w:rPr>
          <w:rFonts w:asciiTheme="minorHAnsi" w:hAnsiTheme="minorHAnsi" w:cstheme="minorHAnsi"/>
          <w:color w:val="000000"/>
        </w:rPr>
        <w:t>to halt the fraud</w:t>
      </w:r>
      <w:r w:rsidR="00475A70">
        <w:rPr>
          <w:rFonts w:asciiTheme="minorHAnsi" w:hAnsiTheme="minorHAnsi" w:cstheme="minorHAnsi"/>
          <w:color w:val="000000"/>
        </w:rPr>
        <w:t xml:space="preserve"> during the investigation phase</w:t>
      </w:r>
      <w:r w:rsidR="0013089C">
        <w:rPr>
          <w:rFonts w:asciiTheme="minorHAnsi" w:hAnsiTheme="minorHAnsi" w:cstheme="minorHAnsi"/>
          <w:color w:val="000000"/>
        </w:rPr>
        <w:t>.</w:t>
      </w:r>
      <w:r w:rsidR="008243EA">
        <w:rPr>
          <w:rFonts w:asciiTheme="minorHAnsi" w:hAnsiTheme="minorHAnsi" w:cstheme="minorHAnsi"/>
          <w:color w:val="000000"/>
        </w:rPr>
        <w:t xml:space="preserve"> </w:t>
      </w:r>
    </w:p>
    <w:p w:rsidR="00444D44" w:rsidRPr="00B20801" w:rsidRDefault="00A70A17" w:rsidP="00040BB1">
      <w:pPr>
        <w:jc w:val="both"/>
        <w:rPr>
          <w:lang w:eastAsia="en-US"/>
        </w:rPr>
      </w:pPr>
      <w:r>
        <w:rPr>
          <w:rFonts w:asciiTheme="minorHAnsi" w:hAnsiTheme="minorHAnsi" w:cstheme="minorHAnsi"/>
          <w:color w:val="000000"/>
        </w:rPr>
        <w:t>I</w:t>
      </w:r>
      <w:r w:rsidR="00A35951">
        <w:rPr>
          <w:rFonts w:asciiTheme="minorHAnsi" w:hAnsiTheme="minorHAnsi" w:cstheme="minorHAnsi"/>
          <w:color w:val="000000"/>
        </w:rPr>
        <w:t xml:space="preserve">t is unclear at this stage </w:t>
      </w:r>
      <w:r>
        <w:rPr>
          <w:rFonts w:asciiTheme="minorHAnsi" w:hAnsiTheme="minorHAnsi" w:cstheme="minorHAnsi"/>
          <w:color w:val="000000"/>
        </w:rPr>
        <w:t>if website blocking is</w:t>
      </w:r>
      <w:r w:rsidR="00A35951">
        <w:rPr>
          <w:rFonts w:asciiTheme="minorHAnsi" w:hAnsiTheme="minorHAnsi" w:cstheme="minorHAnsi"/>
          <w:color w:val="000000"/>
        </w:rPr>
        <w:t xml:space="preserve"> being used merely during the investigation stage. In some cases it appears this power is being used by government authorities </w:t>
      </w:r>
      <w:r w:rsidR="002D043B">
        <w:rPr>
          <w:rFonts w:asciiTheme="minorHAnsi" w:hAnsiTheme="minorHAnsi" w:cstheme="minorHAnsi"/>
          <w:color w:val="000000"/>
        </w:rPr>
        <w:t>as a permanent solution</w:t>
      </w:r>
      <w:r w:rsidR="00A35951">
        <w:rPr>
          <w:rFonts w:asciiTheme="minorHAnsi" w:hAnsiTheme="minorHAnsi" w:cstheme="minorHAnsi"/>
          <w:color w:val="000000"/>
        </w:rPr>
        <w:t xml:space="preserve"> rather than a short term measure to prevent ongoing crime </w:t>
      </w:r>
      <w:r>
        <w:rPr>
          <w:rFonts w:asciiTheme="minorHAnsi" w:hAnsiTheme="minorHAnsi" w:cstheme="minorHAnsi"/>
          <w:color w:val="000000"/>
        </w:rPr>
        <w:t>until prosecution takes place</w:t>
      </w:r>
      <w:r w:rsidR="00A35951">
        <w:rPr>
          <w:rFonts w:asciiTheme="minorHAnsi" w:hAnsiTheme="minorHAnsi" w:cstheme="minorHAnsi"/>
          <w:color w:val="000000"/>
        </w:rPr>
        <w:t xml:space="preserve">. </w:t>
      </w:r>
      <w:r w:rsidR="00444D44">
        <w:rPr>
          <w:rFonts w:asciiTheme="minorHAnsi" w:hAnsiTheme="minorHAnsi" w:cstheme="minorHAnsi"/>
          <w:color w:val="000000"/>
        </w:rPr>
        <w:t>Given the accessibility and visibility of websites</w:t>
      </w:r>
      <w:r w:rsidR="00BB5DDA">
        <w:rPr>
          <w:rFonts w:asciiTheme="minorHAnsi" w:hAnsiTheme="minorHAnsi" w:cstheme="minorHAnsi"/>
          <w:color w:val="000000"/>
        </w:rPr>
        <w:t>,</w:t>
      </w:r>
      <w:r w:rsidR="00444D44">
        <w:rPr>
          <w:rFonts w:asciiTheme="minorHAnsi" w:hAnsiTheme="minorHAnsi" w:cstheme="minorHAnsi"/>
          <w:color w:val="000000"/>
        </w:rPr>
        <w:t xml:space="preserve"> there </w:t>
      </w:r>
      <w:r w:rsidR="00A35951">
        <w:rPr>
          <w:rFonts w:asciiTheme="minorHAnsi" w:hAnsiTheme="minorHAnsi" w:cstheme="minorHAnsi"/>
          <w:color w:val="000000"/>
        </w:rPr>
        <w:t xml:space="preserve">may be cases </w:t>
      </w:r>
      <w:r>
        <w:rPr>
          <w:rFonts w:asciiTheme="minorHAnsi" w:hAnsiTheme="minorHAnsi" w:cstheme="minorHAnsi"/>
          <w:color w:val="000000"/>
        </w:rPr>
        <w:t>that</w:t>
      </w:r>
      <w:r w:rsidR="00444D44">
        <w:rPr>
          <w:rFonts w:asciiTheme="minorHAnsi" w:hAnsiTheme="minorHAnsi" w:cstheme="minorHAnsi"/>
          <w:color w:val="000000"/>
        </w:rPr>
        <w:t xml:space="preserve"> a law directed at blo</w:t>
      </w:r>
      <w:r>
        <w:rPr>
          <w:rFonts w:asciiTheme="minorHAnsi" w:hAnsiTheme="minorHAnsi" w:cstheme="minorHAnsi"/>
          <w:color w:val="000000"/>
        </w:rPr>
        <w:t xml:space="preserve">cking access in a timely way to </w:t>
      </w:r>
      <w:r w:rsidR="00444D44">
        <w:rPr>
          <w:rFonts w:asciiTheme="minorHAnsi" w:hAnsiTheme="minorHAnsi" w:cstheme="minorHAnsi"/>
          <w:color w:val="000000"/>
        </w:rPr>
        <w:t xml:space="preserve">potentially illegal </w:t>
      </w:r>
      <w:r>
        <w:rPr>
          <w:rFonts w:asciiTheme="minorHAnsi" w:hAnsiTheme="minorHAnsi" w:cstheme="minorHAnsi"/>
          <w:color w:val="000000"/>
        </w:rPr>
        <w:t>material</w:t>
      </w:r>
      <w:r w:rsidR="00A35951">
        <w:rPr>
          <w:rFonts w:asciiTheme="minorHAnsi" w:hAnsiTheme="minorHAnsi" w:cstheme="minorHAnsi"/>
          <w:color w:val="000000"/>
        </w:rPr>
        <w:t xml:space="preserve"> may be necessary</w:t>
      </w:r>
      <w:r w:rsidR="00444D44">
        <w:rPr>
          <w:rFonts w:asciiTheme="minorHAnsi" w:hAnsiTheme="minorHAnsi" w:cstheme="minorHAnsi"/>
          <w:color w:val="000000"/>
        </w:rPr>
        <w:t xml:space="preserve">. </w:t>
      </w:r>
      <w:r w:rsidR="007B2A49">
        <w:rPr>
          <w:rFonts w:asciiTheme="minorHAnsi" w:hAnsiTheme="minorHAnsi" w:cstheme="minorHAnsi"/>
          <w:color w:val="000000"/>
        </w:rPr>
        <w:t xml:space="preserve">However the current law goes too far and is ill equipped for this purpose. </w:t>
      </w:r>
    </w:p>
    <w:p w:rsidR="006156A6" w:rsidRDefault="006156A6" w:rsidP="00040BB1">
      <w:pPr>
        <w:pStyle w:val="Heading3"/>
        <w:numPr>
          <w:ilvl w:val="0"/>
          <w:numId w:val="0"/>
        </w:numPr>
        <w:ind w:left="851" w:hanging="851"/>
        <w:jc w:val="both"/>
      </w:pPr>
      <w:bookmarkStart w:id="5" w:name="_Toc395620813"/>
      <w:r>
        <w:lastRenderedPageBreak/>
        <w:t>Problems with Section 313(3)</w:t>
      </w:r>
      <w:bookmarkEnd w:id="5"/>
    </w:p>
    <w:p w:rsidR="00D22336" w:rsidRDefault="00D22336" w:rsidP="00040BB1">
      <w:pPr>
        <w:jc w:val="both"/>
        <w:rPr>
          <w:lang w:eastAsia="en-US"/>
        </w:rPr>
      </w:pPr>
      <w:r>
        <w:rPr>
          <w:lang w:eastAsia="en-US"/>
        </w:rPr>
        <w:t xml:space="preserve">Section 313(3) is a ‘catch all’ provision designed to authorise telecommunications providers to give officers and authorities of the Commonwealth and of the States and Territories “help as is reasonably necessary” to, among other things, enforce criminal law and laws imposing pecuniary penalties. As it is currently applied this is a fairly low threshold. It requires no judicial assessment of the evidence and places a large burden on internet service providers in determining what “help is reasonably necessary”. There are also no tight controls on the types of government authorities empowered to use this Section. As a result it potentially allows government </w:t>
      </w:r>
      <w:r w:rsidR="00704373">
        <w:rPr>
          <w:lang w:eastAsia="en-US"/>
        </w:rPr>
        <w:t xml:space="preserve">agencies, such as local </w:t>
      </w:r>
      <w:r w:rsidR="002B136E">
        <w:rPr>
          <w:lang w:eastAsia="en-US"/>
        </w:rPr>
        <w:t>authorities like the Gundagai Shire</w:t>
      </w:r>
      <w:r w:rsidR="00704373">
        <w:rPr>
          <w:lang w:eastAsia="en-US"/>
        </w:rPr>
        <w:t xml:space="preserve"> the</w:t>
      </w:r>
      <w:r>
        <w:rPr>
          <w:lang w:eastAsia="en-US"/>
        </w:rPr>
        <w:t xml:space="preserve"> </w:t>
      </w:r>
      <w:r w:rsidR="002B136E">
        <w:rPr>
          <w:lang w:eastAsia="en-US"/>
        </w:rPr>
        <w:t>power</w:t>
      </w:r>
      <w:r>
        <w:rPr>
          <w:lang w:eastAsia="en-US"/>
        </w:rPr>
        <w:t xml:space="preserve"> to request ISPs shut down web</w:t>
      </w:r>
      <w:r w:rsidR="00A70A17">
        <w:rPr>
          <w:lang w:eastAsia="en-US"/>
        </w:rPr>
        <w:t xml:space="preserve"> services</w:t>
      </w:r>
      <w:r>
        <w:rPr>
          <w:lang w:eastAsia="en-US"/>
        </w:rPr>
        <w:t>.</w:t>
      </w:r>
    </w:p>
    <w:p w:rsidR="00070461" w:rsidRPr="003769F1" w:rsidRDefault="00070461" w:rsidP="00040BB1">
      <w:pPr>
        <w:pStyle w:val="Heading4"/>
        <w:jc w:val="both"/>
        <w:rPr>
          <w:b/>
        </w:rPr>
      </w:pPr>
      <w:r w:rsidRPr="003769F1">
        <w:rPr>
          <w:b/>
        </w:rPr>
        <w:t>Outsourcing enforcement to ISPs</w:t>
      </w:r>
    </w:p>
    <w:p w:rsidR="00161BD4" w:rsidRDefault="00161BD4" w:rsidP="00040BB1">
      <w:pPr>
        <w:jc w:val="both"/>
        <w:rPr>
          <w:lang w:eastAsia="en-US"/>
        </w:rPr>
      </w:pPr>
      <w:r>
        <w:rPr>
          <w:lang w:eastAsia="en-US"/>
        </w:rPr>
        <w:t>S</w:t>
      </w:r>
      <w:r w:rsidR="00BB5DDA">
        <w:rPr>
          <w:lang w:eastAsia="en-US"/>
        </w:rPr>
        <w:t>ome ISPs</w:t>
      </w:r>
      <w:r>
        <w:rPr>
          <w:lang w:eastAsia="en-US"/>
        </w:rPr>
        <w:t xml:space="preserve"> may use this </w:t>
      </w:r>
      <w:r w:rsidR="006F1B30">
        <w:rPr>
          <w:lang w:eastAsia="en-US"/>
        </w:rPr>
        <w:t>power</w:t>
      </w:r>
      <w:r w:rsidR="00A25BDF">
        <w:rPr>
          <w:lang w:eastAsia="en-US"/>
        </w:rPr>
        <w:t xml:space="preserve"> </w:t>
      </w:r>
      <w:r w:rsidR="006F1B30">
        <w:rPr>
          <w:lang w:eastAsia="en-US"/>
        </w:rPr>
        <w:t>judiciously</w:t>
      </w:r>
      <w:r>
        <w:rPr>
          <w:lang w:eastAsia="en-US"/>
        </w:rPr>
        <w:t>.</w:t>
      </w:r>
      <w:r w:rsidR="006F1B30">
        <w:rPr>
          <w:lang w:eastAsia="en-US"/>
        </w:rPr>
        <w:t xml:space="preserve"> </w:t>
      </w:r>
      <w:r>
        <w:rPr>
          <w:lang w:eastAsia="en-US"/>
        </w:rPr>
        <w:t>For example</w:t>
      </w:r>
      <w:r w:rsidR="00775E27">
        <w:rPr>
          <w:lang w:eastAsia="en-US"/>
        </w:rPr>
        <w:t>,</w:t>
      </w:r>
      <w:r>
        <w:rPr>
          <w:lang w:eastAsia="en-US"/>
        </w:rPr>
        <w:t xml:space="preserve"> </w:t>
      </w:r>
      <w:proofErr w:type="spellStart"/>
      <w:r>
        <w:rPr>
          <w:lang w:eastAsia="en-US"/>
        </w:rPr>
        <w:t>iiNet’s</w:t>
      </w:r>
      <w:proofErr w:type="spellEnd"/>
      <w:r>
        <w:rPr>
          <w:lang w:eastAsia="en-US"/>
        </w:rPr>
        <w:t xml:space="preserve"> Steve Dalby stated</w:t>
      </w:r>
      <w:r w:rsidR="00942D80">
        <w:rPr>
          <w:lang w:eastAsia="en-US"/>
        </w:rPr>
        <w:t xml:space="preserve"> in relation to the ASIC requests made public under freedom of information</w:t>
      </w:r>
      <w:r>
        <w:rPr>
          <w:lang w:eastAsia="en-US"/>
        </w:rPr>
        <w:t>:</w:t>
      </w:r>
    </w:p>
    <w:p w:rsidR="00A94F16" w:rsidRDefault="00161BD4" w:rsidP="00040BB1">
      <w:pPr>
        <w:jc w:val="both"/>
        <w:rPr>
          <w:i/>
          <w:lang w:eastAsia="en-US"/>
        </w:rPr>
      </w:pPr>
      <w:r w:rsidRPr="00161BD4">
        <w:rPr>
          <w:i/>
          <w:lang w:eastAsia="en-US"/>
        </w:rPr>
        <w:t>"There</w:t>
      </w:r>
      <w:r w:rsidR="00FB4F5F">
        <w:rPr>
          <w:i/>
          <w:lang w:eastAsia="en-US"/>
        </w:rPr>
        <w:t>’</w:t>
      </w:r>
      <w:r w:rsidRPr="00161BD4">
        <w:rPr>
          <w:i/>
          <w:lang w:eastAsia="en-US"/>
        </w:rPr>
        <w:t xml:space="preserve">s no way we'd block websites on the strength of </w:t>
      </w:r>
      <w:r w:rsidR="00FB4F5F">
        <w:rPr>
          <w:i/>
          <w:lang w:eastAsia="en-US"/>
        </w:rPr>
        <w:t>‘</w:t>
      </w:r>
      <w:r w:rsidRPr="00161BD4">
        <w:rPr>
          <w:i/>
          <w:lang w:eastAsia="en-US"/>
        </w:rPr>
        <w:t>pursuant to investigations</w:t>
      </w:r>
      <w:r w:rsidR="00FB4F5F">
        <w:rPr>
          <w:i/>
          <w:lang w:eastAsia="en-US"/>
        </w:rPr>
        <w:t>’</w:t>
      </w:r>
      <w:r w:rsidRPr="00161BD4">
        <w:rPr>
          <w:i/>
          <w:lang w:eastAsia="en-US"/>
        </w:rPr>
        <w:t xml:space="preserve"> for </w:t>
      </w:r>
      <w:r w:rsidR="00FB4F5F">
        <w:rPr>
          <w:i/>
          <w:lang w:eastAsia="en-US"/>
        </w:rPr>
        <w:t>‘</w:t>
      </w:r>
      <w:r w:rsidRPr="00161BD4">
        <w:rPr>
          <w:i/>
          <w:lang w:eastAsia="en-US"/>
        </w:rPr>
        <w:t>possible contraventions</w:t>
      </w:r>
      <w:r w:rsidR="00FB4F5F">
        <w:rPr>
          <w:i/>
          <w:lang w:eastAsia="en-US"/>
        </w:rPr>
        <w:t>’</w:t>
      </w:r>
      <w:r w:rsidRPr="00161BD4">
        <w:rPr>
          <w:i/>
          <w:lang w:eastAsia="en-US"/>
        </w:rPr>
        <w:t xml:space="preserve">. </w:t>
      </w:r>
      <w:proofErr w:type="gramStart"/>
      <w:r w:rsidRPr="00161BD4">
        <w:rPr>
          <w:i/>
          <w:lang w:eastAsia="en-US"/>
        </w:rPr>
        <w:t>Not only that, but there seems to be no senior authorisation, just a middle manager signing off.”</w:t>
      </w:r>
      <w:proofErr w:type="gramEnd"/>
      <w:r w:rsidRPr="00161BD4">
        <w:rPr>
          <w:rStyle w:val="FootnoteReference"/>
          <w:i/>
          <w:lang w:eastAsia="en-US"/>
        </w:rPr>
        <w:footnoteReference w:id="4"/>
      </w:r>
    </w:p>
    <w:p w:rsidR="00161BD4" w:rsidRDefault="00942D80" w:rsidP="00040BB1">
      <w:pPr>
        <w:jc w:val="both"/>
        <w:rPr>
          <w:lang w:eastAsia="en-US"/>
        </w:rPr>
      </w:pPr>
      <w:r>
        <w:rPr>
          <w:lang w:eastAsia="en-US"/>
        </w:rPr>
        <w:t xml:space="preserve">While </w:t>
      </w:r>
      <w:proofErr w:type="spellStart"/>
      <w:r>
        <w:rPr>
          <w:lang w:eastAsia="en-US"/>
        </w:rPr>
        <w:t>iiNet</w:t>
      </w:r>
      <w:proofErr w:type="spellEnd"/>
      <w:r>
        <w:rPr>
          <w:lang w:eastAsia="en-US"/>
        </w:rPr>
        <w:t xml:space="preserve"> </w:t>
      </w:r>
      <w:r w:rsidR="002B136E">
        <w:rPr>
          <w:lang w:eastAsia="en-US"/>
        </w:rPr>
        <w:t>may</w:t>
      </w:r>
      <w:r>
        <w:rPr>
          <w:lang w:eastAsia="en-US"/>
        </w:rPr>
        <w:t xml:space="preserve"> be a responsible actor in this field,</w:t>
      </w:r>
      <w:r w:rsidR="00161BD4">
        <w:rPr>
          <w:lang w:eastAsia="en-US"/>
        </w:rPr>
        <w:t xml:space="preserve"> </w:t>
      </w:r>
      <w:r>
        <w:rPr>
          <w:lang w:eastAsia="en-US"/>
        </w:rPr>
        <w:t>a</w:t>
      </w:r>
      <w:r w:rsidR="00161BD4">
        <w:rPr>
          <w:lang w:eastAsia="en-US"/>
        </w:rPr>
        <w:t xml:space="preserve"> scheme which relies on </w:t>
      </w:r>
      <w:r>
        <w:rPr>
          <w:lang w:eastAsia="en-US"/>
        </w:rPr>
        <w:t>ISPs</w:t>
      </w:r>
      <w:r w:rsidR="00161BD4">
        <w:rPr>
          <w:lang w:eastAsia="en-US"/>
        </w:rPr>
        <w:t xml:space="preserve"> keep</w:t>
      </w:r>
      <w:r w:rsidR="00D22336">
        <w:rPr>
          <w:lang w:eastAsia="en-US"/>
        </w:rPr>
        <w:t>ing</w:t>
      </w:r>
      <w:r w:rsidR="00161BD4">
        <w:rPr>
          <w:lang w:eastAsia="en-US"/>
        </w:rPr>
        <w:t xml:space="preserve"> government accountable is</w:t>
      </w:r>
      <w:r w:rsidR="00775E27">
        <w:rPr>
          <w:lang w:eastAsia="en-US"/>
        </w:rPr>
        <w:t xml:space="preserve"> not ideal and</w:t>
      </w:r>
      <w:r w:rsidR="002B136E">
        <w:rPr>
          <w:lang w:eastAsia="en-US"/>
        </w:rPr>
        <w:t xml:space="preserve"> is</w:t>
      </w:r>
      <w:r w:rsidR="00161BD4">
        <w:rPr>
          <w:lang w:eastAsia="en-US"/>
        </w:rPr>
        <w:t xml:space="preserve"> likely to give little comfort to </w:t>
      </w:r>
      <w:r w:rsidR="00C664CD">
        <w:rPr>
          <w:lang w:eastAsia="en-US"/>
        </w:rPr>
        <w:t>citizens in</w:t>
      </w:r>
      <w:r w:rsidR="00161BD4">
        <w:rPr>
          <w:lang w:eastAsia="en-US"/>
        </w:rPr>
        <w:t xml:space="preserve"> a democracy.</w:t>
      </w:r>
    </w:p>
    <w:p w:rsidR="00070461" w:rsidRPr="003769F1" w:rsidRDefault="00070461" w:rsidP="00040BB1">
      <w:pPr>
        <w:pStyle w:val="Heading4"/>
        <w:jc w:val="both"/>
        <w:rPr>
          <w:b/>
        </w:rPr>
      </w:pPr>
      <w:r w:rsidRPr="003769F1">
        <w:rPr>
          <w:b/>
        </w:rPr>
        <w:t>Scope of offences covered by the law</w:t>
      </w:r>
    </w:p>
    <w:p w:rsidR="00942D80" w:rsidRDefault="004F68C3" w:rsidP="00040BB1">
      <w:pPr>
        <w:jc w:val="both"/>
        <w:rPr>
          <w:lang w:eastAsia="en-US"/>
        </w:rPr>
      </w:pPr>
      <w:r>
        <w:rPr>
          <w:lang w:eastAsia="en-US"/>
        </w:rPr>
        <w:t xml:space="preserve">Another problem is the scope of </w:t>
      </w:r>
      <w:r w:rsidR="00942D80">
        <w:rPr>
          <w:lang w:eastAsia="en-US"/>
        </w:rPr>
        <w:t xml:space="preserve">the term </w:t>
      </w:r>
      <w:r w:rsidR="004D075C">
        <w:rPr>
          <w:lang w:eastAsia="en-US"/>
        </w:rPr>
        <w:t xml:space="preserve">“criminal law and laws imposing pecuniary penalty”. </w:t>
      </w:r>
      <w:r w:rsidR="002B136E">
        <w:rPr>
          <w:lang w:eastAsia="en-US"/>
        </w:rPr>
        <w:t>T</w:t>
      </w:r>
      <w:r w:rsidR="004D075C">
        <w:rPr>
          <w:lang w:eastAsia="en-US"/>
        </w:rPr>
        <w:t xml:space="preserve">he law </w:t>
      </w:r>
      <w:r w:rsidR="00C664CD">
        <w:rPr>
          <w:lang w:eastAsia="en-US"/>
        </w:rPr>
        <w:t>is open to the possibility of perverse outcomes, such as</w:t>
      </w:r>
      <w:r w:rsidR="00212AE6">
        <w:rPr>
          <w:lang w:eastAsia="en-US"/>
        </w:rPr>
        <w:t xml:space="preserve"> suspend</w:t>
      </w:r>
      <w:r w:rsidR="00C664CD">
        <w:rPr>
          <w:lang w:eastAsia="en-US"/>
        </w:rPr>
        <w:t>ing</w:t>
      </w:r>
      <w:r w:rsidR="00212AE6">
        <w:rPr>
          <w:lang w:eastAsia="en-US"/>
        </w:rPr>
        <w:t xml:space="preserve"> a consumer’s internet connection to help secure payment of a parking fine.</w:t>
      </w:r>
      <w:r w:rsidR="004D075C">
        <w:rPr>
          <w:lang w:eastAsia="en-US"/>
        </w:rPr>
        <w:t xml:space="preserve"> </w:t>
      </w:r>
      <w:r w:rsidR="00C664CD">
        <w:rPr>
          <w:lang w:eastAsia="en-US"/>
        </w:rPr>
        <w:t xml:space="preserve">However it is not necessary to think up worst case examples, we </w:t>
      </w:r>
      <w:r w:rsidR="00B2479C">
        <w:rPr>
          <w:lang w:eastAsia="en-US"/>
        </w:rPr>
        <w:t>need only</w:t>
      </w:r>
      <w:r w:rsidR="00C664CD">
        <w:rPr>
          <w:lang w:eastAsia="en-US"/>
        </w:rPr>
        <w:t xml:space="preserve"> look to how the law has been applied in </w:t>
      </w:r>
      <w:r w:rsidR="00D22336">
        <w:rPr>
          <w:lang w:eastAsia="en-US"/>
        </w:rPr>
        <w:t>recent history</w:t>
      </w:r>
      <w:r w:rsidR="00C664CD">
        <w:rPr>
          <w:lang w:eastAsia="en-US"/>
        </w:rPr>
        <w:t>.</w:t>
      </w:r>
    </w:p>
    <w:p w:rsidR="00D30851" w:rsidRDefault="00C664CD" w:rsidP="00040BB1">
      <w:pPr>
        <w:jc w:val="both"/>
        <w:rPr>
          <w:lang w:eastAsia="en-US"/>
        </w:rPr>
      </w:pPr>
      <w:r>
        <w:rPr>
          <w:lang w:eastAsia="en-US"/>
        </w:rPr>
        <w:t xml:space="preserve">In 2006 the </w:t>
      </w:r>
      <w:r w:rsidR="00C66CAA">
        <w:rPr>
          <w:lang w:eastAsia="en-US"/>
        </w:rPr>
        <w:t xml:space="preserve">Prime Minister’s office allegedly </w:t>
      </w:r>
      <w:r>
        <w:rPr>
          <w:lang w:eastAsia="en-US"/>
        </w:rPr>
        <w:t xml:space="preserve">used the power to shut down a parody </w:t>
      </w:r>
      <w:r w:rsidR="00BE372B">
        <w:rPr>
          <w:lang w:eastAsia="en-US"/>
        </w:rPr>
        <w:t>of John Howard’s website</w:t>
      </w:r>
      <w:r>
        <w:rPr>
          <w:lang w:eastAsia="en-US"/>
        </w:rPr>
        <w:t xml:space="preserve"> operated by writer Richard Neville.</w:t>
      </w:r>
      <w:r w:rsidR="00C66CAA">
        <w:rPr>
          <w:rStyle w:val="FootnoteReference"/>
          <w:lang w:eastAsia="en-US"/>
        </w:rPr>
        <w:footnoteReference w:id="5"/>
      </w:r>
      <w:r w:rsidR="00BE372B">
        <w:rPr>
          <w:lang w:eastAsia="en-US"/>
        </w:rPr>
        <w:t xml:space="preserve"> The</w:t>
      </w:r>
      <w:r w:rsidR="00C66CAA">
        <w:rPr>
          <w:lang w:eastAsia="en-US"/>
        </w:rPr>
        <w:t xml:space="preserve"> </w:t>
      </w:r>
      <w:r w:rsidR="00BE372B">
        <w:rPr>
          <w:lang w:eastAsia="en-US"/>
        </w:rPr>
        <w:t>site</w:t>
      </w:r>
      <w:r w:rsidR="00BD40CE">
        <w:rPr>
          <w:lang w:eastAsia="en-US"/>
        </w:rPr>
        <w:t xml:space="preserve"> contained a speech </w:t>
      </w:r>
      <w:r w:rsidR="00C66CAA">
        <w:rPr>
          <w:lang w:eastAsia="en-US"/>
        </w:rPr>
        <w:t>‘</w:t>
      </w:r>
      <w:r w:rsidR="00BD40CE">
        <w:rPr>
          <w:lang w:eastAsia="en-US"/>
        </w:rPr>
        <w:t>apologising</w:t>
      </w:r>
      <w:r w:rsidR="00C66CAA">
        <w:rPr>
          <w:lang w:eastAsia="en-US"/>
        </w:rPr>
        <w:t>’</w:t>
      </w:r>
      <w:r w:rsidR="00BD40CE">
        <w:rPr>
          <w:lang w:eastAsia="en-US"/>
        </w:rPr>
        <w:t xml:space="preserve"> for the Iraq war</w:t>
      </w:r>
      <w:r w:rsidR="00C66CAA">
        <w:rPr>
          <w:lang w:eastAsia="en-US"/>
        </w:rPr>
        <w:t>.</w:t>
      </w:r>
      <w:r w:rsidR="00BE372B">
        <w:rPr>
          <w:lang w:eastAsia="en-US"/>
        </w:rPr>
        <w:t xml:space="preserve"> </w:t>
      </w:r>
      <w:r w:rsidR="00C66CAA">
        <w:rPr>
          <w:lang w:eastAsia="en-US"/>
        </w:rPr>
        <w:t xml:space="preserve">According to </w:t>
      </w:r>
      <w:r w:rsidR="006D0BE3">
        <w:rPr>
          <w:lang w:eastAsia="en-US"/>
        </w:rPr>
        <w:t>the domain name registrar, Melbourne IT, the website was</w:t>
      </w:r>
      <w:r w:rsidR="00BE372B">
        <w:rPr>
          <w:lang w:eastAsia="en-US"/>
        </w:rPr>
        <w:t xml:space="preserve"> shut down on copyright</w:t>
      </w:r>
      <w:r w:rsidR="00C66CAA">
        <w:rPr>
          <w:lang w:eastAsia="en-US"/>
        </w:rPr>
        <w:t xml:space="preserve"> infringement</w:t>
      </w:r>
      <w:r w:rsidR="00BE372B">
        <w:rPr>
          <w:lang w:eastAsia="en-US"/>
        </w:rPr>
        <w:t xml:space="preserve"> grounds</w:t>
      </w:r>
      <w:r w:rsidR="00C66CAA">
        <w:rPr>
          <w:lang w:eastAsia="en-US"/>
        </w:rPr>
        <w:t xml:space="preserve"> and that it “look[</w:t>
      </w:r>
      <w:proofErr w:type="spellStart"/>
      <w:r w:rsidR="00C66CAA">
        <w:rPr>
          <w:lang w:eastAsia="en-US"/>
        </w:rPr>
        <w:t>ed</w:t>
      </w:r>
      <w:proofErr w:type="spellEnd"/>
      <w:r w:rsidR="00C66CAA">
        <w:rPr>
          <w:lang w:eastAsia="en-US"/>
        </w:rPr>
        <w:t>] like a phishing site”</w:t>
      </w:r>
      <w:r w:rsidR="00204113">
        <w:rPr>
          <w:lang w:eastAsia="en-US"/>
        </w:rPr>
        <w:t>.</w:t>
      </w:r>
      <w:r w:rsidR="00BD40CE">
        <w:rPr>
          <w:rStyle w:val="FootnoteReference"/>
          <w:lang w:eastAsia="en-US"/>
        </w:rPr>
        <w:footnoteReference w:id="6"/>
      </w:r>
      <w:r w:rsidR="00070461">
        <w:rPr>
          <w:lang w:eastAsia="en-US"/>
        </w:rPr>
        <w:t xml:space="preserve"> </w:t>
      </w:r>
      <w:r w:rsidR="00B2479C">
        <w:rPr>
          <w:lang w:eastAsia="en-US"/>
        </w:rPr>
        <w:t xml:space="preserve">Leaving aside the merits </w:t>
      </w:r>
      <w:r w:rsidR="00D30851">
        <w:rPr>
          <w:lang w:eastAsia="en-US"/>
        </w:rPr>
        <w:t>of</w:t>
      </w:r>
      <w:r w:rsidR="00B2479C">
        <w:rPr>
          <w:lang w:eastAsia="en-US"/>
        </w:rPr>
        <w:t xml:space="preserve"> this case</w:t>
      </w:r>
      <w:r w:rsidR="00077909">
        <w:rPr>
          <w:lang w:eastAsia="en-US"/>
        </w:rPr>
        <w:t>,</w:t>
      </w:r>
      <w:r w:rsidR="00B2479C">
        <w:rPr>
          <w:lang w:eastAsia="en-US"/>
        </w:rPr>
        <w:t xml:space="preserve"> it is clear that allowing service providers</w:t>
      </w:r>
      <w:r w:rsidR="00077909">
        <w:rPr>
          <w:lang w:eastAsia="en-US"/>
        </w:rPr>
        <w:t xml:space="preserve"> and government authorities</w:t>
      </w:r>
      <w:r w:rsidR="00B2479C">
        <w:rPr>
          <w:lang w:eastAsia="en-US"/>
        </w:rPr>
        <w:t xml:space="preserve"> to </w:t>
      </w:r>
      <w:r w:rsidR="00077909">
        <w:rPr>
          <w:lang w:eastAsia="en-US"/>
        </w:rPr>
        <w:t>interpret</w:t>
      </w:r>
      <w:r w:rsidR="00B2479C">
        <w:rPr>
          <w:lang w:eastAsia="en-US"/>
        </w:rPr>
        <w:t xml:space="preserve"> complex legal issues </w:t>
      </w:r>
      <w:r w:rsidR="00077909">
        <w:rPr>
          <w:lang w:eastAsia="en-US"/>
        </w:rPr>
        <w:t>invites trouble.</w:t>
      </w:r>
      <w:r w:rsidR="009265FB">
        <w:rPr>
          <w:lang w:eastAsia="en-US"/>
        </w:rPr>
        <w:t xml:space="preserve"> For example,</w:t>
      </w:r>
      <w:r w:rsidR="00077909">
        <w:rPr>
          <w:lang w:eastAsia="en-US"/>
        </w:rPr>
        <w:t xml:space="preserve"> </w:t>
      </w:r>
      <w:r w:rsidR="009265FB">
        <w:rPr>
          <w:lang w:eastAsia="en-US"/>
        </w:rPr>
        <w:t>s</w:t>
      </w:r>
      <w:r w:rsidR="00B2479C">
        <w:rPr>
          <w:lang w:eastAsia="en-US"/>
        </w:rPr>
        <w:t>uch</w:t>
      </w:r>
      <w:r w:rsidR="00077909">
        <w:rPr>
          <w:lang w:eastAsia="en-US"/>
        </w:rPr>
        <w:t xml:space="preserve"> a</w:t>
      </w:r>
      <w:r w:rsidR="009265FB">
        <w:rPr>
          <w:lang w:eastAsia="en-US"/>
        </w:rPr>
        <w:t>n application</w:t>
      </w:r>
      <w:r w:rsidR="00077909">
        <w:rPr>
          <w:lang w:eastAsia="en-US"/>
        </w:rPr>
        <w:t xml:space="preserve"> has the potential to undermine</w:t>
      </w:r>
      <w:r w:rsidR="00B2479C">
        <w:rPr>
          <w:lang w:eastAsia="en-US"/>
        </w:rPr>
        <w:t xml:space="preserve"> </w:t>
      </w:r>
      <w:r w:rsidR="00077909">
        <w:rPr>
          <w:lang w:eastAsia="en-US"/>
        </w:rPr>
        <w:t xml:space="preserve">the rule of law, </w:t>
      </w:r>
      <w:r w:rsidR="00544A23">
        <w:rPr>
          <w:lang w:eastAsia="en-US"/>
        </w:rPr>
        <w:t xml:space="preserve">the constitutionally </w:t>
      </w:r>
      <w:r w:rsidR="00B2479C">
        <w:rPr>
          <w:lang w:eastAsia="en-US"/>
        </w:rPr>
        <w:t>implied freedom of political communication</w:t>
      </w:r>
      <w:r w:rsidR="009265FB">
        <w:rPr>
          <w:lang w:eastAsia="en-US"/>
        </w:rPr>
        <w:t xml:space="preserve"> and the since enacted fair dealing copyright exemptions for parody and satire</w:t>
      </w:r>
      <w:r w:rsidR="00077909">
        <w:rPr>
          <w:lang w:eastAsia="en-US"/>
        </w:rPr>
        <w:t>.</w:t>
      </w:r>
      <w:r w:rsidR="00D30851">
        <w:rPr>
          <w:lang w:eastAsia="en-US"/>
        </w:rPr>
        <w:t xml:space="preserve"> </w:t>
      </w:r>
      <w:r w:rsidR="007408FA">
        <w:rPr>
          <w:lang w:eastAsia="en-US"/>
        </w:rPr>
        <w:t xml:space="preserve">It is unreasonable for an ISP or indeed most government authorities to </w:t>
      </w:r>
      <w:r w:rsidR="00544A23">
        <w:rPr>
          <w:lang w:eastAsia="en-US"/>
        </w:rPr>
        <w:t>be the arbiters of</w:t>
      </w:r>
      <w:r w:rsidR="007408FA">
        <w:rPr>
          <w:lang w:eastAsia="en-US"/>
        </w:rPr>
        <w:t xml:space="preserve"> these legal issues without judicial intervention.</w:t>
      </w:r>
    </w:p>
    <w:p w:rsidR="00070461" w:rsidRDefault="00D30851" w:rsidP="00040BB1">
      <w:pPr>
        <w:jc w:val="both"/>
        <w:rPr>
          <w:lang w:eastAsia="en-US"/>
        </w:rPr>
      </w:pPr>
      <w:r>
        <w:rPr>
          <w:lang w:eastAsia="en-US"/>
        </w:rPr>
        <w:t xml:space="preserve">Part of the problem is allowing </w:t>
      </w:r>
      <w:r w:rsidR="009265FB">
        <w:rPr>
          <w:lang w:eastAsia="en-US"/>
        </w:rPr>
        <w:t xml:space="preserve">such an expansive </w:t>
      </w:r>
      <w:r>
        <w:rPr>
          <w:lang w:eastAsia="en-US"/>
        </w:rPr>
        <w:t>power to be used in relation to relatively minor offences, such as claims of copyright infringement.</w:t>
      </w:r>
      <w:r w:rsidR="00CB0802">
        <w:rPr>
          <w:lang w:eastAsia="en-US"/>
        </w:rPr>
        <w:t xml:space="preserve"> The act of shutting down a web service and impacting a legitimate business is rarely going to be proportionate to an offence which merely attracts pecuniary penal</w:t>
      </w:r>
      <w:r w:rsidR="00544A23">
        <w:rPr>
          <w:lang w:eastAsia="en-US"/>
        </w:rPr>
        <w:t>ties</w:t>
      </w:r>
      <w:r w:rsidR="00CB0802">
        <w:rPr>
          <w:lang w:eastAsia="en-US"/>
        </w:rPr>
        <w:t>. A</w:t>
      </w:r>
      <w:r>
        <w:rPr>
          <w:lang w:eastAsia="en-US"/>
        </w:rPr>
        <w:t xml:space="preserve"> </w:t>
      </w:r>
      <w:r w:rsidR="00CB0802">
        <w:rPr>
          <w:lang w:eastAsia="en-US"/>
        </w:rPr>
        <w:t>f</w:t>
      </w:r>
      <w:r w:rsidR="00070461">
        <w:rPr>
          <w:lang w:eastAsia="en-US"/>
        </w:rPr>
        <w:t>ail</w:t>
      </w:r>
      <w:r w:rsidR="00CB0802">
        <w:rPr>
          <w:lang w:eastAsia="en-US"/>
        </w:rPr>
        <w:t>ure</w:t>
      </w:r>
      <w:r w:rsidR="00070461">
        <w:rPr>
          <w:lang w:eastAsia="en-US"/>
        </w:rPr>
        <w:t xml:space="preserve"> to </w:t>
      </w:r>
      <w:r w:rsidR="00CB0802">
        <w:rPr>
          <w:lang w:eastAsia="en-US"/>
        </w:rPr>
        <w:t xml:space="preserve">adequately </w:t>
      </w:r>
      <w:r w:rsidR="00070461">
        <w:rPr>
          <w:lang w:eastAsia="en-US"/>
        </w:rPr>
        <w:t xml:space="preserve">confine s313 to </w:t>
      </w:r>
      <w:r w:rsidR="00CB0802">
        <w:rPr>
          <w:lang w:eastAsia="en-US"/>
        </w:rPr>
        <w:t>‘</w:t>
      </w:r>
      <w:r w:rsidR="00070461">
        <w:rPr>
          <w:lang w:eastAsia="en-US"/>
        </w:rPr>
        <w:t>serious offences</w:t>
      </w:r>
      <w:r w:rsidR="00CB0802">
        <w:rPr>
          <w:lang w:eastAsia="en-US"/>
        </w:rPr>
        <w:t>’</w:t>
      </w:r>
      <w:r w:rsidR="00070461">
        <w:rPr>
          <w:lang w:eastAsia="en-US"/>
        </w:rPr>
        <w:t xml:space="preserve"> can have a </w:t>
      </w:r>
      <w:r w:rsidR="00070461">
        <w:rPr>
          <w:lang w:eastAsia="en-US"/>
        </w:rPr>
        <w:lastRenderedPageBreak/>
        <w:t>number of unintended consequences and lead to decisions which are out of proportion with the harm being caused.</w:t>
      </w:r>
    </w:p>
    <w:p w:rsidR="00070461" w:rsidRPr="003769F1" w:rsidRDefault="00070461" w:rsidP="00040BB1">
      <w:pPr>
        <w:pStyle w:val="Heading4"/>
        <w:jc w:val="both"/>
        <w:rPr>
          <w:b/>
        </w:rPr>
      </w:pPr>
      <w:r w:rsidRPr="003769F1">
        <w:rPr>
          <w:b/>
        </w:rPr>
        <w:t>Misapplication of the law</w:t>
      </w:r>
    </w:p>
    <w:p w:rsidR="00070461" w:rsidRDefault="007408FA" w:rsidP="00040BB1">
      <w:pPr>
        <w:jc w:val="both"/>
        <w:rPr>
          <w:lang w:eastAsia="en-US"/>
        </w:rPr>
      </w:pPr>
      <w:r>
        <w:rPr>
          <w:lang w:eastAsia="en-US"/>
        </w:rPr>
        <w:t>T</w:t>
      </w:r>
      <w:r w:rsidR="00070461">
        <w:rPr>
          <w:lang w:eastAsia="en-US"/>
        </w:rPr>
        <w:t>he broadness of the law</w:t>
      </w:r>
      <w:r>
        <w:rPr>
          <w:lang w:eastAsia="en-US"/>
        </w:rPr>
        <w:t xml:space="preserve"> potentially</w:t>
      </w:r>
      <w:r w:rsidR="00070461">
        <w:rPr>
          <w:lang w:eastAsia="en-US"/>
        </w:rPr>
        <w:t xml:space="preserve"> invites</w:t>
      </w:r>
      <w:r>
        <w:rPr>
          <w:lang w:eastAsia="en-US"/>
        </w:rPr>
        <w:t xml:space="preserve"> misapplication</w:t>
      </w:r>
      <w:r w:rsidR="00070461">
        <w:rPr>
          <w:lang w:eastAsia="en-US"/>
        </w:rPr>
        <w:t>.</w:t>
      </w:r>
      <w:r>
        <w:rPr>
          <w:lang w:eastAsia="en-US"/>
        </w:rPr>
        <w:t xml:space="preserve"> For example,</w:t>
      </w:r>
      <w:r w:rsidR="00E90840">
        <w:rPr>
          <w:lang w:eastAsia="en-US"/>
        </w:rPr>
        <w:t xml:space="preserve"> </w:t>
      </w:r>
      <w:r>
        <w:rPr>
          <w:lang w:eastAsia="en-US"/>
        </w:rPr>
        <w:t>n</w:t>
      </w:r>
      <w:r w:rsidR="00E90840">
        <w:rPr>
          <w:lang w:eastAsia="en-US"/>
        </w:rPr>
        <w:t>ot confining the law to use by government authorities with particular experience in internet based crime</w:t>
      </w:r>
      <w:r w:rsidR="00CB0802">
        <w:rPr>
          <w:lang w:eastAsia="en-US"/>
        </w:rPr>
        <w:t xml:space="preserve"> is cause for concern. </w:t>
      </w:r>
      <w:r w:rsidR="00273BE3">
        <w:rPr>
          <w:lang w:eastAsia="en-US"/>
        </w:rPr>
        <w:t xml:space="preserve">In 2013 it was revealed ASIC had accidently ordered the blocking of access to 1,200 websites </w:t>
      </w:r>
      <w:r w:rsidR="00C762CD">
        <w:rPr>
          <w:lang w:eastAsia="en-US"/>
        </w:rPr>
        <w:t>which</w:t>
      </w:r>
      <w:r w:rsidR="00273BE3">
        <w:rPr>
          <w:lang w:eastAsia="en-US"/>
        </w:rPr>
        <w:t xml:space="preserve"> shared the same IP address</w:t>
      </w:r>
      <w:r>
        <w:rPr>
          <w:lang w:eastAsia="en-US"/>
        </w:rPr>
        <w:t xml:space="preserve"> as an offending website</w:t>
      </w:r>
      <w:r w:rsidR="00273BE3">
        <w:rPr>
          <w:lang w:eastAsia="en-US"/>
        </w:rPr>
        <w:t>.</w:t>
      </w:r>
      <w:r w:rsidR="00273BE3">
        <w:rPr>
          <w:rStyle w:val="FootnoteReference"/>
          <w:lang w:eastAsia="en-US"/>
        </w:rPr>
        <w:footnoteReference w:id="7"/>
      </w:r>
      <w:r w:rsidR="00273BE3">
        <w:rPr>
          <w:lang w:eastAsia="en-US"/>
        </w:rPr>
        <w:t xml:space="preserve"> IP addresses are a finite resource and sharing across multiple websites is not unusual. This should have been known to a law enforcement agency specialising in internet based crime.</w:t>
      </w:r>
      <w:r w:rsidR="00C762CD">
        <w:rPr>
          <w:lang w:eastAsia="en-US"/>
        </w:rPr>
        <w:t xml:space="preserve"> </w:t>
      </w:r>
      <w:r>
        <w:rPr>
          <w:lang w:eastAsia="en-US"/>
        </w:rPr>
        <w:t>Currently the power</w:t>
      </w:r>
      <w:r w:rsidR="00C762CD">
        <w:rPr>
          <w:lang w:eastAsia="en-US"/>
        </w:rPr>
        <w:t xml:space="preserve"> can be used by a variety of government authorities, such as local councils, who are likely to have limited technical </w:t>
      </w:r>
      <w:r w:rsidR="00544A23">
        <w:rPr>
          <w:lang w:eastAsia="en-US"/>
        </w:rPr>
        <w:t>expertise</w:t>
      </w:r>
      <w:r w:rsidR="00C762CD">
        <w:rPr>
          <w:lang w:eastAsia="en-US"/>
        </w:rPr>
        <w:t>.</w:t>
      </w:r>
    </w:p>
    <w:p w:rsidR="003769F1" w:rsidRPr="003769F1" w:rsidRDefault="003769F1" w:rsidP="00040BB1">
      <w:pPr>
        <w:pStyle w:val="Heading4"/>
        <w:jc w:val="both"/>
        <w:rPr>
          <w:b/>
        </w:rPr>
      </w:pPr>
      <w:r w:rsidRPr="003769F1">
        <w:rPr>
          <w:b/>
        </w:rPr>
        <w:t>Impact on website owners/small businesses</w:t>
      </w:r>
    </w:p>
    <w:p w:rsidR="00C762CD" w:rsidRDefault="00C762CD" w:rsidP="00040BB1">
      <w:pPr>
        <w:jc w:val="both"/>
        <w:rPr>
          <w:lang w:eastAsia="en-US"/>
        </w:rPr>
      </w:pPr>
      <w:r>
        <w:rPr>
          <w:lang w:eastAsia="en-US"/>
        </w:rPr>
        <w:t>As the ASIC example shows this misapplication of the law can be particularly detrimental to small business website owners. One of the sites caught up in this mistake was the Melbourne Free University</w:t>
      </w:r>
      <w:r w:rsidR="00F97057">
        <w:rPr>
          <w:lang w:eastAsia="en-US"/>
        </w:rPr>
        <w:t xml:space="preserve"> (MFU)</w:t>
      </w:r>
      <w:r w:rsidR="00544A23">
        <w:rPr>
          <w:lang w:eastAsia="en-US"/>
        </w:rPr>
        <w:t>, an academic-</w:t>
      </w:r>
      <w:r>
        <w:rPr>
          <w:lang w:eastAsia="en-US"/>
        </w:rPr>
        <w:t>run community organisation which hosts free public lectures.</w:t>
      </w:r>
      <w:r>
        <w:rPr>
          <w:rStyle w:val="FootnoteReference"/>
          <w:lang w:eastAsia="en-US"/>
        </w:rPr>
        <w:footnoteReference w:id="8"/>
      </w:r>
      <w:r w:rsidR="009F0931">
        <w:rPr>
          <w:lang w:eastAsia="en-US"/>
        </w:rPr>
        <w:t xml:space="preserve"> The website was inaccessible for nine days after an unknown government authority ordered the IP address linked to the site be blocked. It subsequently took six weeks of investigation by journalists and Electronic Frontier</w:t>
      </w:r>
      <w:r w:rsidR="00544A23">
        <w:rPr>
          <w:lang w:eastAsia="en-US"/>
        </w:rPr>
        <w:t>s</w:t>
      </w:r>
      <w:r w:rsidR="009F0931">
        <w:rPr>
          <w:lang w:eastAsia="en-US"/>
        </w:rPr>
        <w:t xml:space="preserve"> </w:t>
      </w:r>
      <w:r w:rsidR="00544A23">
        <w:rPr>
          <w:lang w:eastAsia="en-US"/>
        </w:rPr>
        <w:t>Australia</w:t>
      </w:r>
      <w:r w:rsidR="009F0931">
        <w:rPr>
          <w:lang w:eastAsia="en-US"/>
        </w:rPr>
        <w:t xml:space="preserve"> to </w:t>
      </w:r>
      <w:r w:rsidR="007408FA">
        <w:rPr>
          <w:lang w:eastAsia="en-US"/>
        </w:rPr>
        <w:t>discover</w:t>
      </w:r>
      <w:r w:rsidR="009F0931">
        <w:rPr>
          <w:lang w:eastAsia="en-US"/>
        </w:rPr>
        <w:t xml:space="preserve"> ASIC was behind the block.</w:t>
      </w:r>
    </w:p>
    <w:p w:rsidR="009F0931" w:rsidRDefault="009F0931" w:rsidP="00040BB1">
      <w:pPr>
        <w:jc w:val="both"/>
        <w:rPr>
          <w:lang w:eastAsia="en-US"/>
        </w:rPr>
      </w:pPr>
      <w:r>
        <w:rPr>
          <w:lang w:eastAsia="en-US"/>
        </w:rPr>
        <w:t>In many respects the Melbourne Free University w</w:t>
      </w:r>
      <w:r w:rsidR="007408FA">
        <w:rPr>
          <w:lang w:eastAsia="en-US"/>
        </w:rPr>
        <w:t>as</w:t>
      </w:r>
      <w:r>
        <w:rPr>
          <w:lang w:eastAsia="en-US"/>
        </w:rPr>
        <w:t xml:space="preserve"> well placed to draw attention to the mistake and </w:t>
      </w:r>
      <w:r w:rsidR="007408FA">
        <w:rPr>
          <w:lang w:eastAsia="en-US"/>
        </w:rPr>
        <w:t xml:space="preserve">subsequently </w:t>
      </w:r>
      <w:r>
        <w:rPr>
          <w:lang w:eastAsia="en-US"/>
        </w:rPr>
        <w:t xml:space="preserve">have the block lifted. As the site owners </w:t>
      </w:r>
      <w:r w:rsidR="00544A23">
        <w:rPr>
          <w:lang w:eastAsia="en-US"/>
        </w:rPr>
        <w:t>said</w:t>
      </w:r>
      <w:r>
        <w:rPr>
          <w:lang w:eastAsia="en-US"/>
        </w:rPr>
        <w:t>:</w:t>
      </w:r>
    </w:p>
    <w:p w:rsidR="009F0931" w:rsidRPr="009F0931" w:rsidRDefault="009F0931" w:rsidP="00040BB1">
      <w:pPr>
        <w:jc w:val="both"/>
        <w:rPr>
          <w:i/>
          <w:lang w:eastAsia="en-US"/>
        </w:rPr>
      </w:pPr>
      <w:r w:rsidRPr="009F0931">
        <w:rPr>
          <w:i/>
          <w:lang w:eastAsia="en-US"/>
        </w:rPr>
        <w:t>“We have to wonder, if we weren't the sort of organisation that we are, whether we would have been able to raise this level of concern about our site being blocked, and whether anything would have been done. What if we were a small business or a lone individual?”</w:t>
      </w:r>
      <w:r w:rsidRPr="009F0931">
        <w:rPr>
          <w:rStyle w:val="FootnoteReference"/>
          <w:i/>
          <w:lang w:eastAsia="en-US"/>
        </w:rPr>
        <w:footnoteReference w:id="9"/>
      </w:r>
    </w:p>
    <w:p w:rsidR="009F0931" w:rsidRDefault="009F0931" w:rsidP="00040BB1">
      <w:pPr>
        <w:jc w:val="both"/>
        <w:rPr>
          <w:lang w:eastAsia="en-US"/>
        </w:rPr>
      </w:pPr>
      <w:r>
        <w:rPr>
          <w:lang w:eastAsia="en-US"/>
        </w:rPr>
        <w:t>As a small business consumer representative</w:t>
      </w:r>
      <w:r w:rsidR="00544A23">
        <w:rPr>
          <w:lang w:eastAsia="en-US"/>
        </w:rPr>
        <w:t xml:space="preserve"> body</w:t>
      </w:r>
      <w:r>
        <w:rPr>
          <w:lang w:eastAsia="en-US"/>
        </w:rPr>
        <w:t xml:space="preserve"> ACCAN is particularly concerned that not all website owners would have the same ability to draw attention to a block. As the law is currently being applied</w:t>
      </w:r>
      <w:r w:rsidR="007408FA">
        <w:rPr>
          <w:lang w:eastAsia="en-US"/>
        </w:rPr>
        <w:t>,</w:t>
      </w:r>
      <w:r>
        <w:rPr>
          <w:lang w:eastAsia="en-US"/>
        </w:rPr>
        <w:t xml:space="preserve"> site owners </w:t>
      </w:r>
      <w:r w:rsidR="00FB36DB">
        <w:rPr>
          <w:lang w:eastAsia="en-US"/>
        </w:rPr>
        <w:t xml:space="preserve">are unlikely to know the </w:t>
      </w:r>
      <w:r w:rsidR="00544A23">
        <w:rPr>
          <w:lang w:eastAsia="en-US"/>
        </w:rPr>
        <w:t>reasons behind</w:t>
      </w:r>
      <w:r w:rsidR="00FB36DB">
        <w:rPr>
          <w:lang w:eastAsia="en-US"/>
        </w:rPr>
        <w:t xml:space="preserve"> the block or any avenues </w:t>
      </w:r>
      <w:r w:rsidR="007408FA">
        <w:rPr>
          <w:lang w:eastAsia="en-US"/>
        </w:rPr>
        <w:t>for</w:t>
      </w:r>
      <w:r w:rsidR="00FB36DB">
        <w:rPr>
          <w:lang w:eastAsia="en-US"/>
        </w:rPr>
        <w:t xml:space="preserve"> appeal.</w:t>
      </w:r>
      <w:r>
        <w:rPr>
          <w:lang w:eastAsia="en-US"/>
        </w:rPr>
        <w:t xml:space="preserve"> </w:t>
      </w:r>
    </w:p>
    <w:p w:rsidR="00C664CD" w:rsidRDefault="00FB36DB" w:rsidP="00040BB1">
      <w:pPr>
        <w:jc w:val="both"/>
        <w:rPr>
          <w:lang w:eastAsia="en-US"/>
        </w:rPr>
      </w:pPr>
      <w:r>
        <w:rPr>
          <w:lang w:eastAsia="en-US"/>
        </w:rPr>
        <w:t>The impact of such a block on small business is likely to be extremely costly to both reputation and/or direct loss of sales. ACCAN</w:t>
      </w:r>
      <w:r w:rsidR="00544A23">
        <w:rPr>
          <w:lang w:eastAsia="en-US"/>
        </w:rPr>
        <w:t>-</w:t>
      </w:r>
      <w:r>
        <w:rPr>
          <w:lang w:eastAsia="en-US"/>
        </w:rPr>
        <w:t>commissioned research found that 66% of small businesses</w:t>
      </w:r>
      <w:r w:rsidR="00F97057">
        <w:rPr>
          <w:lang w:eastAsia="en-US"/>
        </w:rPr>
        <w:t xml:space="preserve"> would find</w:t>
      </w:r>
      <w:r>
        <w:rPr>
          <w:lang w:eastAsia="en-US"/>
        </w:rPr>
        <w:t xml:space="preserve"> even one day without</w:t>
      </w:r>
      <w:r w:rsidR="00F97057">
        <w:rPr>
          <w:lang w:eastAsia="en-US"/>
        </w:rPr>
        <w:t xml:space="preserve"> fixed</w:t>
      </w:r>
      <w:r>
        <w:rPr>
          <w:lang w:eastAsia="en-US"/>
        </w:rPr>
        <w:t xml:space="preserve"> broadband services </w:t>
      </w:r>
      <w:r w:rsidR="00F97057">
        <w:rPr>
          <w:lang w:eastAsia="en-US"/>
        </w:rPr>
        <w:t>to</w:t>
      </w:r>
      <w:r>
        <w:rPr>
          <w:lang w:eastAsia="en-US"/>
        </w:rPr>
        <w:t xml:space="preserve"> be severe or catastrophic</w:t>
      </w:r>
      <w:r w:rsidR="00F97057">
        <w:rPr>
          <w:lang w:eastAsia="en-US"/>
        </w:rPr>
        <w:t xml:space="preserve"> to their business</w:t>
      </w:r>
      <w:r>
        <w:rPr>
          <w:lang w:eastAsia="en-US"/>
        </w:rPr>
        <w:t>.</w:t>
      </w:r>
      <w:r>
        <w:rPr>
          <w:rStyle w:val="FootnoteReference"/>
          <w:lang w:eastAsia="en-US"/>
        </w:rPr>
        <w:footnoteReference w:id="10"/>
      </w:r>
      <w:r w:rsidR="00F97057">
        <w:rPr>
          <w:lang w:eastAsia="en-US"/>
        </w:rPr>
        <w:t xml:space="preserve"> Similarly a website block lasting </w:t>
      </w:r>
      <w:r w:rsidR="00544A23">
        <w:rPr>
          <w:lang w:eastAsia="en-US"/>
        </w:rPr>
        <w:t>nine</w:t>
      </w:r>
      <w:r w:rsidR="00F97057">
        <w:rPr>
          <w:lang w:eastAsia="en-US"/>
        </w:rPr>
        <w:t xml:space="preserve"> days, as MFU experienced, would likely be highly damaging to</w:t>
      </w:r>
      <w:r w:rsidR="007408FA">
        <w:rPr>
          <w:lang w:eastAsia="en-US"/>
        </w:rPr>
        <w:t xml:space="preserve"> a</w:t>
      </w:r>
      <w:r w:rsidR="00F97057">
        <w:rPr>
          <w:lang w:eastAsia="en-US"/>
        </w:rPr>
        <w:t xml:space="preserve"> small business, especially those using websites to conduct e-commerce.</w:t>
      </w:r>
    </w:p>
    <w:p w:rsidR="003769F1" w:rsidRPr="00A94F16" w:rsidRDefault="00704373" w:rsidP="00040BB1">
      <w:pPr>
        <w:jc w:val="both"/>
        <w:rPr>
          <w:lang w:eastAsia="en-US"/>
        </w:rPr>
      </w:pPr>
      <w:r>
        <w:rPr>
          <w:lang w:eastAsia="en-US"/>
        </w:rPr>
        <w:t xml:space="preserve">It should be noted that the power goes beyond simply shutting down websites. By targeting IP addresses government agencies could also inadvertently </w:t>
      </w:r>
      <w:r w:rsidR="004F055C">
        <w:rPr>
          <w:lang w:eastAsia="en-US"/>
        </w:rPr>
        <w:t xml:space="preserve">be shutting down other services, such as </w:t>
      </w:r>
      <w:r w:rsidR="004F055C">
        <w:rPr>
          <w:lang w:eastAsia="en-US"/>
        </w:rPr>
        <w:lastRenderedPageBreak/>
        <w:t xml:space="preserve">cloud operating platforms. </w:t>
      </w:r>
      <w:r w:rsidR="007408FA">
        <w:rPr>
          <w:lang w:eastAsia="en-US"/>
        </w:rPr>
        <w:t>G</w:t>
      </w:r>
      <w:r w:rsidR="004F055C">
        <w:rPr>
          <w:lang w:eastAsia="en-US"/>
        </w:rPr>
        <w:t>overnment is encouraging small business to embrace more efficient methods of operating, such as cloud computing</w:t>
      </w:r>
      <w:r w:rsidR="007408FA">
        <w:rPr>
          <w:lang w:eastAsia="en-US"/>
        </w:rPr>
        <w:t>.</w:t>
      </w:r>
      <w:r w:rsidR="007408FA">
        <w:rPr>
          <w:rStyle w:val="FootnoteReference"/>
          <w:lang w:eastAsia="en-US"/>
        </w:rPr>
        <w:footnoteReference w:id="11"/>
      </w:r>
      <w:r w:rsidR="00632B0D">
        <w:rPr>
          <w:lang w:eastAsia="en-US"/>
        </w:rPr>
        <w:t xml:space="preserve"> </w:t>
      </w:r>
      <w:r w:rsidR="007408FA">
        <w:rPr>
          <w:lang w:eastAsia="en-US"/>
        </w:rPr>
        <w:t xml:space="preserve">The ‘cloud’ can be used to </w:t>
      </w:r>
      <w:r w:rsidR="00D764DC">
        <w:rPr>
          <w:lang w:eastAsia="en-US"/>
        </w:rPr>
        <w:t xml:space="preserve">operate almost every internal and external business process, so inadvertently shutting down these web services would potentially be crippling </w:t>
      </w:r>
      <w:r w:rsidR="00E46A98">
        <w:rPr>
          <w:lang w:eastAsia="en-US"/>
        </w:rPr>
        <w:t>t</w:t>
      </w:r>
      <w:r w:rsidR="00D764DC">
        <w:rPr>
          <w:lang w:eastAsia="en-US"/>
        </w:rPr>
        <w:t xml:space="preserve">o business. </w:t>
      </w:r>
    </w:p>
    <w:p w:rsidR="006156A6" w:rsidRDefault="006156A6" w:rsidP="00040BB1">
      <w:pPr>
        <w:pStyle w:val="Heading3"/>
        <w:numPr>
          <w:ilvl w:val="0"/>
          <w:numId w:val="0"/>
        </w:numPr>
        <w:ind w:left="851" w:hanging="851"/>
        <w:jc w:val="both"/>
      </w:pPr>
      <w:bookmarkStart w:id="6" w:name="_Toc395620814"/>
      <w:r>
        <w:t>Ensuring proportionality, transparency and accountability</w:t>
      </w:r>
      <w:bookmarkEnd w:id="6"/>
    </w:p>
    <w:p w:rsidR="006F1B30" w:rsidRPr="00CA3046" w:rsidRDefault="00544A23" w:rsidP="00040BB1">
      <w:pPr>
        <w:jc w:val="both"/>
        <w:rPr>
          <w:rFonts w:asciiTheme="minorHAnsi" w:hAnsiTheme="minorHAnsi" w:cstheme="minorHAnsi"/>
          <w:color w:val="000000"/>
        </w:rPr>
      </w:pPr>
      <w:r>
        <w:rPr>
          <w:rFonts w:asciiTheme="minorHAnsi" w:hAnsiTheme="minorHAnsi" w:cstheme="minorHAnsi"/>
          <w:color w:val="000000"/>
        </w:rPr>
        <w:t>T</w:t>
      </w:r>
      <w:r w:rsidR="0025218E">
        <w:rPr>
          <w:rFonts w:asciiTheme="minorHAnsi" w:hAnsiTheme="minorHAnsi" w:cstheme="minorHAnsi"/>
          <w:color w:val="000000"/>
        </w:rPr>
        <w:t>urning to the questions t</w:t>
      </w:r>
      <w:r w:rsidR="006F1B30" w:rsidRPr="00CA3046">
        <w:rPr>
          <w:rFonts w:asciiTheme="minorHAnsi" w:hAnsiTheme="minorHAnsi" w:cstheme="minorHAnsi"/>
          <w:color w:val="000000"/>
        </w:rPr>
        <w:t>he Committee is to consider:</w:t>
      </w:r>
    </w:p>
    <w:p w:rsidR="006F1B30" w:rsidRPr="00E63895" w:rsidRDefault="006F1B30" w:rsidP="00040BB1">
      <w:pPr>
        <w:pStyle w:val="ListParagraph"/>
        <w:numPr>
          <w:ilvl w:val="0"/>
          <w:numId w:val="25"/>
        </w:numPr>
        <w:jc w:val="both"/>
        <w:rPr>
          <w:rFonts w:asciiTheme="minorHAnsi" w:hAnsiTheme="minorHAnsi" w:cstheme="minorHAnsi"/>
          <w:b/>
          <w:color w:val="000000"/>
        </w:rPr>
      </w:pPr>
      <w:proofErr w:type="gramStart"/>
      <w:r w:rsidRPr="00E63895">
        <w:rPr>
          <w:rFonts w:asciiTheme="minorHAnsi" w:hAnsiTheme="minorHAnsi" w:cstheme="minorHAnsi"/>
          <w:b/>
          <w:color w:val="000000"/>
        </w:rPr>
        <w:t>which</w:t>
      </w:r>
      <w:proofErr w:type="gramEnd"/>
      <w:r w:rsidRPr="00E63895">
        <w:rPr>
          <w:rFonts w:asciiTheme="minorHAnsi" w:hAnsiTheme="minorHAnsi" w:cstheme="minorHAnsi"/>
          <w:b/>
          <w:color w:val="000000"/>
        </w:rPr>
        <w:t xml:space="preserve"> government agencies should be permitted to make requests pursuant to section 313 to disrupt online services potentially in breach of Australian law from providing these services to Australians</w:t>
      </w:r>
      <w:r w:rsidR="00544A23">
        <w:rPr>
          <w:rFonts w:asciiTheme="minorHAnsi" w:hAnsiTheme="minorHAnsi" w:cstheme="minorHAnsi"/>
          <w:b/>
          <w:color w:val="000000"/>
        </w:rPr>
        <w:t>.</w:t>
      </w:r>
    </w:p>
    <w:p w:rsidR="00A25BDF" w:rsidRDefault="00A25BDF" w:rsidP="00040BB1">
      <w:pPr>
        <w:jc w:val="both"/>
        <w:rPr>
          <w:rFonts w:asciiTheme="minorHAnsi" w:hAnsiTheme="minorHAnsi" w:cstheme="minorHAnsi"/>
          <w:color w:val="000000"/>
        </w:rPr>
      </w:pPr>
      <w:r>
        <w:rPr>
          <w:rFonts w:asciiTheme="minorHAnsi" w:hAnsiTheme="minorHAnsi" w:cstheme="minorHAnsi"/>
          <w:color w:val="000000"/>
        </w:rPr>
        <w:t>One</w:t>
      </w:r>
      <w:r w:rsidR="009B3670">
        <w:rPr>
          <w:rFonts w:asciiTheme="minorHAnsi" w:hAnsiTheme="minorHAnsi" w:cstheme="minorHAnsi"/>
          <w:color w:val="000000"/>
        </w:rPr>
        <w:t xml:space="preserve"> way to confine the number of government agencies with access to the </w:t>
      </w:r>
      <w:r w:rsidR="00544A23">
        <w:rPr>
          <w:rFonts w:asciiTheme="minorHAnsi" w:hAnsiTheme="minorHAnsi" w:cstheme="minorHAnsi"/>
          <w:color w:val="000000"/>
        </w:rPr>
        <w:t>provision</w:t>
      </w:r>
      <w:r w:rsidR="009B3670">
        <w:rPr>
          <w:rFonts w:asciiTheme="minorHAnsi" w:hAnsiTheme="minorHAnsi" w:cstheme="minorHAnsi"/>
          <w:color w:val="000000"/>
        </w:rPr>
        <w:t xml:space="preserve"> is to l</w:t>
      </w:r>
      <w:r w:rsidR="006F1B30">
        <w:rPr>
          <w:rFonts w:asciiTheme="minorHAnsi" w:hAnsiTheme="minorHAnsi" w:cstheme="minorHAnsi"/>
          <w:color w:val="000000"/>
        </w:rPr>
        <w:t>i</w:t>
      </w:r>
      <w:r>
        <w:rPr>
          <w:rFonts w:asciiTheme="minorHAnsi" w:hAnsiTheme="minorHAnsi" w:cstheme="minorHAnsi"/>
          <w:color w:val="000000"/>
        </w:rPr>
        <w:t>mit</w:t>
      </w:r>
      <w:r w:rsidR="009B3670">
        <w:rPr>
          <w:rFonts w:asciiTheme="minorHAnsi" w:hAnsiTheme="minorHAnsi" w:cstheme="minorHAnsi"/>
          <w:color w:val="000000"/>
        </w:rPr>
        <w:t xml:space="preserve"> the use of the power</w:t>
      </w:r>
      <w:r w:rsidR="006F1B30">
        <w:rPr>
          <w:rFonts w:asciiTheme="minorHAnsi" w:hAnsiTheme="minorHAnsi" w:cstheme="minorHAnsi"/>
          <w:color w:val="000000"/>
        </w:rPr>
        <w:t xml:space="preserve"> to </w:t>
      </w:r>
      <w:r w:rsidR="00F847DA">
        <w:rPr>
          <w:rFonts w:asciiTheme="minorHAnsi" w:hAnsiTheme="minorHAnsi" w:cstheme="minorHAnsi"/>
          <w:color w:val="000000"/>
        </w:rPr>
        <w:t>‘serious</w:t>
      </w:r>
      <w:r w:rsidR="00CD324E">
        <w:rPr>
          <w:rFonts w:asciiTheme="minorHAnsi" w:hAnsiTheme="minorHAnsi" w:cstheme="minorHAnsi"/>
          <w:color w:val="000000"/>
        </w:rPr>
        <w:t xml:space="preserve"> criminal</w:t>
      </w:r>
      <w:r w:rsidR="00F847DA">
        <w:rPr>
          <w:rFonts w:asciiTheme="minorHAnsi" w:hAnsiTheme="minorHAnsi" w:cstheme="minorHAnsi"/>
          <w:color w:val="000000"/>
        </w:rPr>
        <w:t xml:space="preserve"> offences’. </w:t>
      </w:r>
      <w:r w:rsidR="00E46A98">
        <w:rPr>
          <w:rFonts w:asciiTheme="minorHAnsi" w:hAnsiTheme="minorHAnsi" w:cstheme="minorHAnsi"/>
          <w:color w:val="000000"/>
        </w:rPr>
        <w:t>In turn</w:t>
      </w:r>
      <w:r w:rsidR="00F847DA">
        <w:rPr>
          <w:rFonts w:asciiTheme="minorHAnsi" w:hAnsiTheme="minorHAnsi" w:cstheme="minorHAnsi"/>
          <w:color w:val="000000"/>
        </w:rPr>
        <w:t xml:space="preserve"> limit access to only those agencies empowered to enforce ‘serious</w:t>
      </w:r>
      <w:r w:rsidR="00CD324E">
        <w:rPr>
          <w:rFonts w:asciiTheme="minorHAnsi" w:hAnsiTheme="minorHAnsi" w:cstheme="minorHAnsi"/>
          <w:color w:val="000000"/>
        </w:rPr>
        <w:t xml:space="preserve"> criminal</w:t>
      </w:r>
      <w:r w:rsidR="00F847DA">
        <w:rPr>
          <w:rFonts w:asciiTheme="minorHAnsi" w:hAnsiTheme="minorHAnsi" w:cstheme="minorHAnsi"/>
          <w:color w:val="000000"/>
        </w:rPr>
        <w:t xml:space="preserve"> offences’. Definitions of a ‘serious</w:t>
      </w:r>
      <w:r w:rsidR="00CD324E">
        <w:rPr>
          <w:rFonts w:asciiTheme="minorHAnsi" w:hAnsiTheme="minorHAnsi" w:cstheme="minorHAnsi"/>
          <w:color w:val="000000"/>
        </w:rPr>
        <w:t xml:space="preserve"> criminal</w:t>
      </w:r>
      <w:r w:rsidR="00F847DA">
        <w:rPr>
          <w:rFonts w:asciiTheme="minorHAnsi" w:hAnsiTheme="minorHAnsi" w:cstheme="minorHAnsi"/>
          <w:color w:val="000000"/>
        </w:rPr>
        <w:t xml:space="preserve"> offence’ differ in each jurisdiction</w:t>
      </w:r>
      <w:r w:rsidR="00A81171">
        <w:rPr>
          <w:rFonts w:asciiTheme="minorHAnsi" w:hAnsiTheme="minorHAnsi" w:cstheme="minorHAnsi"/>
          <w:color w:val="000000"/>
        </w:rPr>
        <w:t xml:space="preserve">, so a definition may need to be developed, perhaps linked to the maximum penalty units </w:t>
      </w:r>
      <w:r w:rsidR="00632B0D">
        <w:rPr>
          <w:rFonts w:asciiTheme="minorHAnsi" w:hAnsiTheme="minorHAnsi" w:cstheme="minorHAnsi"/>
          <w:color w:val="000000"/>
        </w:rPr>
        <w:t>for</w:t>
      </w:r>
      <w:r w:rsidR="00A81171">
        <w:rPr>
          <w:rFonts w:asciiTheme="minorHAnsi" w:hAnsiTheme="minorHAnsi" w:cstheme="minorHAnsi"/>
          <w:color w:val="000000"/>
        </w:rPr>
        <w:t xml:space="preserve"> an offence.</w:t>
      </w:r>
    </w:p>
    <w:p w:rsidR="00A25BDF" w:rsidRPr="00E63895" w:rsidRDefault="00A25BDF" w:rsidP="00040BB1">
      <w:pPr>
        <w:jc w:val="both"/>
        <w:rPr>
          <w:rFonts w:asciiTheme="minorHAnsi" w:hAnsiTheme="minorHAnsi" w:cstheme="minorHAnsi"/>
          <w:color w:val="000000"/>
        </w:rPr>
      </w:pPr>
      <w:r>
        <w:rPr>
          <w:rFonts w:asciiTheme="minorHAnsi" w:hAnsiTheme="minorHAnsi" w:cstheme="minorHAnsi"/>
          <w:color w:val="000000"/>
        </w:rPr>
        <w:t xml:space="preserve">As mentioned already there are particular problems in allowing authorities without online law enforcement expertise to exercise these powers. Part of any solution should include </w:t>
      </w:r>
      <w:r w:rsidR="00F847DA">
        <w:rPr>
          <w:rFonts w:asciiTheme="minorHAnsi" w:hAnsiTheme="minorHAnsi" w:cstheme="minorHAnsi"/>
          <w:color w:val="000000"/>
        </w:rPr>
        <w:t>accreditation for</w:t>
      </w:r>
      <w:r>
        <w:rPr>
          <w:rFonts w:asciiTheme="minorHAnsi" w:hAnsiTheme="minorHAnsi" w:cstheme="minorHAnsi"/>
          <w:color w:val="000000"/>
        </w:rPr>
        <w:t xml:space="preserve"> agencies and/or officers empowered under this law</w:t>
      </w:r>
      <w:r w:rsidR="00D764DC">
        <w:rPr>
          <w:rFonts w:asciiTheme="minorHAnsi" w:hAnsiTheme="minorHAnsi" w:cstheme="minorHAnsi"/>
          <w:color w:val="000000"/>
        </w:rPr>
        <w:t>,</w:t>
      </w:r>
      <w:r>
        <w:rPr>
          <w:rFonts w:asciiTheme="minorHAnsi" w:hAnsiTheme="minorHAnsi" w:cstheme="minorHAnsi"/>
          <w:color w:val="000000"/>
        </w:rPr>
        <w:t xml:space="preserve"> </w:t>
      </w:r>
      <w:r w:rsidR="00F847DA">
        <w:rPr>
          <w:rFonts w:asciiTheme="minorHAnsi" w:hAnsiTheme="minorHAnsi" w:cstheme="minorHAnsi"/>
          <w:color w:val="000000"/>
        </w:rPr>
        <w:t xml:space="preserve">to ensure they </w:t>
      </w:r>
      <w:r>
        <w:rPr>
          <w:rFonts w:asciiTheme="minorHAnsi" w:hAnsiTheme="minorHAnsi" w:cstheme="minorHAnsi"/>
          <w:color w:val="000000"/>
        </w:rPr>
        <w:t xml:space="preserve">receive adequate training in </w:t>
      </w:r>
      <w:r w:rsidR="00632B0D">
        <w:rPr>
          <w:rFonts w:asciiTheme="minorHAnsi" w:hAnsiTheme="minorHAnsi" w:cstheme="minorHAnsi"/>
          <w:color w:val="000000"/>
        </w:rPr>
        <w:t>law enforcement related to</w:t>
      </w:r>
      <w:r>
        <w:rPr>
          <w:rFonts w:asciiTheme="minorHAnsi" w:hAnsiTheme="minorHAnsi" w:cstheme="minorHAnsi"/>
          <w:color w:val="000000"/>
        </w:rPr>
        <w:t xml:space="preserve"> ‘online services’.</w:t>
      </w:r>
    </w:p>
    <w:p w:rsidR="006F1B30" w:rsidRPr="00E63895" w:rsidRDefault="006F1B30" w:rsidP="00040BB1">
      <w:pPr>
        <w:pStyle w:val="ListParagraph"/>
        <w:numPr>
          <w:ilvl w:val="0"/>
          <w:numId w:val="25"/>
        </w:numPr>
        <w:jc w:val="both"/>
        <w:rPr>
          <w:rFonts w:asciiTheme="minorHAnsi" w:hAnsiTheme="minorHAnsi" w:cstheme="minorHAnsi"/>
          <w:b/>
          <w:color w:val="000000"/>
        </w:rPr>
      </w:pPr>
      <w:proofErr w:type="gramStart"/>
      <w:r w:rsidRPr="00E63895">
        <w:rPr>
          <w:rFonts w:asciiTheme="minorHAnsi" w:hAnsiTheme="minorHAnsi" w:cstheme="minorHAnsi"/>
          <w:b/>
          <w:color w:val="000000"/>
        </w:rPr>
        <w:t>what</w:t>
      </w:r>
      <w:proofErr w:type="gramEnd"/>
      <w:r w:rsidRPr="00E63895">
        <w:rPr>
          <w:rFonts w:asciiTheme="minorHAnsi" w:hAnsiTheme="minorHAnsi" w:cstheme="minorHAnsi"/>
          <w:b/>
          <w:color w:val="000000"/>
        </w:rPr>
        <w:t xml:space="preserve"> level of authority should such agencies have in order to make such a request</w:t>
      </w:r>
      <w:r w:rsidR="00544A23">
        <w:rPr>
          <w:rFonts w:asciiTheme="minorHAnsi" w:hAnsiTheme="minorHAnsi" w:cstheme="minorHAnsi"/>
          <w:b/>
          <w:color w:val="000000"/>
        </w:rPr>
        <w:t>.</w:t>
      </w:r>
    </w:p>
    <w:p w:rsidR="006F1B30" w:rsidRPr="00E63895" w:rsidRDefault="00E46A98" w:rsidP="00040BB1">
      <w:pPr>
        <w:jc w:val="both"/>
      </w:pPr>
      <w:r>
        <w:t>T</w:t>
      </w:r>
      <w:r w:rsidR="00D764DC">
        <w:t>hese requests should be accompanied by a court order</w:t>
      </w:r>
      <w:r w:rsidR="00D97F3B">
        <w:t xml:space="preserve"> and other protections outlined in this submission</w:t>
      </w:r>
      <w:r w:rsidR="00D764DC">
        <w:t>. Government agencies should only be using these powers</w:t>
      </w:r>
      <w:r w:rsidR="00CA5529">
        <w:t xml:space="preserve"> without judicial oversight</w:t>
      </w:r>
      <w:r w:rsidR="00D764DC">
        <w:t xml:space="preserve"> in special circumstances</w:t>
      </w:r>
      <w:r w:rsidR="00CA5529">
        <w:t xml:space="preserve">. </w:t>
      </w:r>
      <w:r>
        <w:t xml:space="preserve">As stated there may be occasions where a quick, ongoing response is required to combat offences from being perpetuated online. </w:t>
      </w:r>
      <w:r w:rsidR="00CA5529">
        <w:t>If an agency is making a request it should only be made by</w:t>
      </w:r>
      <w:r w:rsidR="003A1BF2">
        <w:t xml:space="preserve"> s</w:t>
      </w:r>
      <w:r w:rsidR="006F1B30">
        <w:t>enior officer</w:t>
      </w:r>
      <w:r w:rsidR="003A1BF2">
        <w:t>s with reasonable grounds</w:t>
      </w:r>
      <w:r w:rsidR="00CA5529">
        <w:t>.</w:t>
      </w:r>
      <w:r w:rsidR="003A1BF2">
        <w:t xml:space="preserve"> To improve accountability the number and scope of these requests made by an agency should be reported annually.</w:t>
      </w:r>
    </w:p>
    <w:p w:rsidR="006F1B30" w:rsidRPr="00E63895" w:rsidRDefault="006F1B30" w:rsidP="00040BB1">
      <w:pPr>
        <w:pStyle w:val="ListParagraph"/>
        <w:numPr>
          <w:ilvl w:val="0"/>
          <w:numId w:val="25"/>
        </w:numPr>
        <w:jc w:val="both"/>
        <w:rPr>
          <w:rFonts w:asciiTheme="minorHAnsi" w:hAnsiTheme="minorHAnsi" w:cstheme="minorHAnsi"/>
          <w:b/>
          <w:color w:val="000000"/>
        </w:rPr>
      </w:pPr>
      <w:proofErr w:type="gramStart"/>
      <w:r w:rsidRPr="00E63895">
        <w:rPr>
          <w:rFonts w:asciiTheme="minorHAnsi" w:hAnsiTheme="minorHAnsi" w:cstheme="minorHAnsi"/>
          <w:b/>
          <w:color w:val="000000"/>
        </w:rPr>
        <w:t>the</w:t>
      </w:r>
      <w:proofErr w:type="gramEnd"/>
      <w:r w:rsidRPr="00E63895">
        <w:rPr>
          <w:rFonts w:asciiTheme="minorHAnsi" w:hAnsiTheme="minorHAnsi" w:cstheme="minorHAnsi"/>
          <w:b/>
          <w:color w:val="000000"/>
        </w:rPr>
        <w:t xml:space="preserve"> characteristics of illegal or potentially illegal online services which shou</w:t>
      </w:r>
      <w:r w:rsidR="00544A23">
        <w:rPr>
          <w:rFonts w:asciiTheme="minorHAnsi" w:hAnsiTheme="minorHAnsi" w:cstheme="minorHAnsi"/>
          <w:b/>
          <w:color w:val="000000"/>
        </w:rPr>
        <w:t>ld be subject to such requests.</w:t>
      </w:r>
    </w:p>
    <w:p w:rsidR="006F1B30" w:rsidRPr="006F1B30" w:rsidRDefault="00D55E83" w:rsidP="00040BB1">
      <w:pPr>
        <w:jc w:val="both"/>
        <w:rPr>
          <w:rFonts w:asciiTheme="minorHAnsi" w:hAnsiTheme="minorHAnsi" w:cstheme="minorHAnsi"/>
          <w:color w:val="000000"/>
        </w:rPr>
      </w:pPr>
      <w:r>
        <w:rPr>
          <w:rFonts w:asciiTheme="minorHAnsi" w:hAnsiTheme="minorHAnsi" w:cstheme="minorHAnsi"/>
          <w:color w:val="000000"/>
        </w:rPr>
        <w:t>It should be understood that the exercise of th</w:t>
      </w:r>
      <w:r w:rsidR="00C567A6">
        <w:rPr>
          <w:rFonts w:asciiTheme="minorHAnsi" w:hAnsiTheme="minorHAnsi" w:cstheme="minorHAnsi"/>
          <w:color w:val="000000"/>
        </w:rPr>
        <w:t>is</w:t>
      </w:r>
      <w:r>
        <w:rPr>
          <w:rFonts w:asciiTheme="minorHAnsi" w:hAnsiTheme="minorHAnsi" w:cstheme="minorHAnsi"/>
          <w:color w:val="000000"/>
        </w:rPr>
        <w:t xml:space="preserve"> power represents, in some cases, a significant curbing of individual rights, without judicial scrutiny</w:t>
      </w:r>
      <w:r w:rsidR="006F2553">
        <w:rPr>
          <w:rFonts w:asciiTheme="minorHAnsi" w:hAnsiTheme="minorHAnsi" w:cstheme="minorHAnsi"/>
          <w:color w:val="000000"/>
        </w:rPr>
        <w:t xml:space="preserve">. </w:t>
      </w:r>
      <w:r>
        <w:rPr>
          <w:rFonts w:asciiTheme="minorHAnsi" w:hAnsiTheme="minorHAnsi" w:cstheme="minorHAnsi"/>
          <w:color w:val="000000"/>
        </w:rPr>
        <w:t>Such a power needs to be balanced to ensure the power is exercised in p</w:t>
      </w:r>
      <w:r w:rsidR="006F1B30">
        <w:rPr>
          <w:rFonts w:asciiTheme="minorHAnsi" w:hAnsiTheme="minorHAnsi" w:cstheme="minorHAnsi"/>
          <w:color w:val="000000"/>
        </w:rPr>
        <w:t>roportion</w:t>
      </w:r>
      <w:r>
        <w:rPr>
          <w:rFonts w:asciiTheme="minorHAnsi" w:hAnsiTheme="minorHAnsi" w:cstheme="minorHAnsi"/>
          <w:color w:val="000000"/>
        </w:rPr>
        <w:t xml:space="preserve"> to the nature of the offence</w:t>
      </w:r>
      <w:r w:rsidR="006F1B30">
        <w:rPr>
          <w:rFonts w:asciiTheme="minorHAnsi" w:hAnsiTheme="minorHAnsi" w:cstheme="minorHAnsi"/>
          <w:color w:val="000000"/>
        </w:rPr>
        <w:t xml:space="preserve">. </w:t>
      </w:r>
      <w:r w:rsidR="006F2553">
        <w:rPr>
          <w:rFonts w:asciiTheme="minorHAnsi" w:hAnsiTheme="minorHAnsi" w:cstheme="minorHAnsi"/>
          <w:color w:val="000000"/>
        </w:rPr>
        <w:t xml:space="preserve">This is implicit in the INTERPOL ‘worst of’ list which is targeted at child exploitation material. </w:t>
      </w:r>
      <w:r w:rsidR="00C567A6">
        <w:rPr>
          <w:rFonts w:asciiTheme="minorHAnsi" w:hAnsiTheme="minorHAnsi" w:cstheme="minorHAnsi"/>
          <w:color w:val="000000"/>
        </w:rPr>
        <w:t>For example, o</w:t>
      </w:r>
      <w:r w:rsidR="006F2553">
        <w:rPr>
          <w:rFonts w:asciiTheme="minorHAnsi" w:hAnsiTheme="minorHAnsi" w:cstheme="minorHAnsi"/>
          <w:color w:val="000000"/>
        </w:rPr>
        <w:t xml:space="preserve">ffences related to dissemination and </w:t>
      </w:r>
      <w:r w:rsidR="00C567A6">
        <w:rPr>
          <w:rFonts w:asciiTheme="minorHAnsi" w:hAnsiTheme="minorHAnsi" w:cstheme="minorHAnsi"/>
          <w:color w:val="000000"/>
        </w:rPr>
        <w:t>possession of child abuse material in all Australian jurisdictions is</w:t>
      </w:r>
      <w:r w:rsidR="006F2553">
        <w:rPr>
          <w:rFonts w:asciiTheme="minorHAnsi" w:hAnsiTheme="minorHAnsi" w:cstheme="minorHAnsi"/>
          <w:color w:val="000000"/>
        </w:rPr>
        <w:t xml:space="preserve"> classed </w:t>
      </w:r>
      <w:r w:rsidR="00544A23">
        <w:rPr>
          <w:rFonts w:asciiTheme="minorHAnsi" w:hAnsiTheme="minorHAnsi" w:cstheme="minorHAnsi"/>
          <w:color w:val="000000"/>
        </w:rPr>
        <w:t>as</w:t>
      </w:r>
      <w:r w:rsidR="004D5E35">
        <w:rPr>
          <w:rFonts w:asciiTheme="minorHAnsi" w:hAnsiTheme="minorHAnsi" w:cstheme="minorHAnsi"/>
          <w:color w:val="000000"/>
        </w:rPr>
        <w:t xml:space="preserve"> </w:t>
      </w:r>
      <w:r w:rsidR="006F2553">
        <w:rPr>
          <w:rFonts w:asciiTheme="minorHAnsi" w:hAnsiTheme="minorHAnsi" w:cstheme="minorHAnsi"/>
          <w:color w:val="000000"/>
        </w:rPr>
        <w:t>‘serious</w:t>
      </w:r>
      <w:r w:rsidR="00CD324E">
        <w:rPr>
          <w:rFonts w:asciiTheme="minorHAnsi" w:hAnsiTheme="minorHAnsi" w:cstheme="minorHAnsi"/>
          <w:color w:val="000000"/>
        </w:rPr>
        <w:t xml:space="preserve"> criminal</w:t>
      </w:r>
      <w:r w:rsidR="006F2553">
        <w:rPr>
          <w:rFonts w:asciiTheme="minorHAnsi" w:hAnsiTheme="minorHAnsi" w:cstheme="minorHAnsi"/>
          <w:color w:val="000000"/>
        </w:rPr>
        <w:t xml:space="preserve"> offences’.</w:t>
      </w:r>
      <w:r w:rsidR="00C567A6">
        <w:rPr>
          <w:rFonts w:asciiTheme="minorHAnsi" w:hAnsiTheme="minorHAnsi" w:cstheme="minorHAnsi"/>
          <w:color w:val="000000"/>
        </w:rPr>
        <w:t xml:space="preserve"> Confining this power to serious offences ensures proportionality is embedded in any decision to target web services.</w:t>
      </w:r>
    </w:p>
    <w:p w:rsidR="006F1B30" w:rsidRPr="006F1B30" w:rsidRDefault="006F1B30" w:rsidP="00040BB1">
      <w:pPr>
        <w:pStyle w:val="ListParagraph"/>
        <w:numPr>
          <w:ilvl w:val="0"/>
          <w:numId w:val="25"/>
        </w:numPr>
        <w:jc w:val="both"/>
        <w:rPr>
          <w:rFonts w:asciiTheme="minorHAnsi" w:hAnsiTheme="minorHAnsi" w:cstheme="minorHAnsi"/>
          <w:b/>
          <w:color w:val="000000"/>
        </w:rPr>
      </w:pPr>
      <w:proofErr w:type="gramStart"/>
      <w:r w:rsidRPr="006F1B30">
        <w:rPr>
          <w:rFonts w:asciiTheme="minorHAnsi" w:hAnsiTheme="minorHAnsi" w:cstheme="minorHAnsi"/>
          <w:b/>
          <w:color w:val="000000"/>
        </w:rPr>
        <w:lastRenderedPageBreak/>
        <w:t>what</w:t>
      </w:r>
      <w:proofErr w:type="gramEnd"/>
      <w:r w:rsidRPr="006F1B30">
        <w:rPr>
          <w:rFonts w:asciiTheme="minorHAnsi" w:hAnsiTheme="minorHAnsi" w:cstheme="minorHAnsi"/>
          <w:b/>
          <w:color w:val="000000"/>
        </w:rPr>
        <w:t xml:space="preserve"> are the most appropriate transparency and accountability measures that should accompany such requests, taking into account the nature of the online service being dealt with, and what is the best/appropriate method</w:t>
      </w:r>
      <w:r w:rsidR="00544A23">
        <w:rPr>
          <w:rFonts w:asciiTheme="minorHAnsi" w:hAnsiTheme="minorHAnsi" w:cstheme="minorHAnsi"/>
          <w:b/>
          <w:color w:val="000000"/>
        </w:rPr>
        <w:t xml:space="preserve"> for implementing such measures.</w:t>
      </w:r>
    </w:p>
    <w:p w:rsidR="006F1B30" w:rsidRDefault="004D5E35" w:rsidP="00040BB1">
      <w:pPr>
        <w:jc w:val="both"/>
        <w:rPr>
          <w:rFonts w:asciiTheme="minorHAnsi" w:hAnsiTheme="minorHAnsi" w:cstheme="minorHAnsi"/>
          <w:color w:val="000000"/>
        </w:rPr>
      </w:pPr>
      <w:r>
        <w:rPr>
          <w:rFonts w:asciiTheme="minorHAnsi" w:hAnsiTheme="minorHAnsi" w:cstheme="minorHAnsi"/>
          <w:color w:val="000000"/>
        </w:rPr>
        <w:t>The criterion for inclusion in the INTERPOL “Wost of” list includes a number of transparency and accountability measures. Firstly, multiple agencies must verify</w:t>
      </w:r>
      <w:r w:rsidR="00544A23">
        <w:rPr>
          <w:rFonts w:asciiTheme="minorHAnsi" w:hAnsiTheme="minorHAnsi" w:cstheme="minorHAnsi"/>
          <w:color w:val="000000"/>
        </w:rPr>
        <w:t xml:space="preserve"> that</w:t>
      </w:r>
      <w:r>
        <w:rPr>
          <w:rFonts w:asciiTheme="minorHAnsi" w:hAnsiTheme="minorHAnsi" w:cstheme="minorHAnsi"/>
          <w:color w:val="000000"/>
        </w:rPr>
        <w:t xml:space="preserve"> the websites contain material meeting the INTERPOL definition of child sexual abuse material.</w:t>
      </w:r>
      <w:r w:rsidR="00FE4123">
        <w:rPr>
          <w:rFonts w:asciiTheme="minorHAnsi" w:hAnsiTheme="minorHAnsi" w:cstheme="minorHAnsi"/>
          <w:color w:val="000000"/>
        </w:rPr>
        <w:t xml:space="preserve"> Secondly, the INTERPOL scheme contains a ‘stop page’ which states the site has been blocked, names the agency that has enforced the block and links to an appeal mechanism.</w:t>
      </w:r>
      <w:r w:rsidR="00FE4123">
        <w:rPr>
          <w:rStyle w:val="FootnoteReference"/>
          <w:rFonts w:asciiTheme="minorHAnsi" w:hAnsiTheme="minorHAnsi" w:cstheme="minorHAnsi"/>
          <w:color w:val="000000"/>
        </w:rPr>
        <w:footnoteReference w:id="12"/>
      </w:r>
      <w:r w:rsidR="00FE4123">
        <w:rPr>
          <w:rFonts w:asciiTheme="minorHAnsi" w:hAnsiTheme="minorHAnsi" w:cstheme="minorHAnsi"/>
          <w:color w:val="000000"/>
        </w:rPr>
        <w:t xml:space="preserve"> </w:t>
      </w:r>
      <w:r w:rsidR="00CD324E">
        <w:rPr>
          <w:rFonts w:asciiTheme="minorHAnsi" w:hAnsiTheme="minorHAnsi" w:cstheme="minorHAnsi"/>
          <w:color w:val="000000"/>
        </w:rPr>
        <w:t>These measures should be a bare minimum. Without them website owners are unlikely to know why their website is blocked, let alone what rights to appeal they may have.</w:t>
      </w:r>
    </w:p>
    <w:p w:rsidR="00CD324E" w:rsidRDefault="00D11E86" w:rsidP="00040BB1">
      <w:pPr>
        <w:jc w:val="both"/>
        <w:rPr>
          <w:rFonts w:asciiTheme="minorHAnsi" w:hAnsiTheme="minorHAnsi" w:cstheme="minorHAnsi"/>
          <w:color w:val="000000"/>
        </w:rPr>
      </w:pPr>
      <w:r>
        <w:rPr>
          <w:rFonts w:asciiTheme="minorHAnsi" w:hAnsiTheme="minorHAnsi" w:cstheme="minorHAnsi"/>
          <w:color w:val="000000"/>
        </w:rPr>
        <w:t xml:space="preserve">If the power is mistakenly applied the impact on small businesses and other website operators could be minimised by having a </w:t>
      </w:r>
      <w:r w:rsidR="00DB670A">
        <w:rPr>
          <w:rFonts w:asciiTheme="minorHAnsi" w:hAnsiTheme="minorHAnsi" w:cstheme="minorHAnsi"/>
          <w:color w:val="000000"/>
        </w:rPr>
        <w:t xml:space="preserve">quick, </w:t>
      </w:r>
      <w:r>
        <w:rPr>
          <w:rFonts w:asciiTheme="minorHAnsi" w:hAnsiTheme="minorHAnsi" w:cstheme="minorHAnsi"/>
          <w:color w:val="000000"/>
        </w:rPr>
        <w:t>accessible</w:t>
      </w:r>
      <w:r w:rsidR="00E9402A">
        <w:rPr>
          <w:rFonts w:asciiTheme="minorHAnsi" w:hAnsiTheme="minorHAnsi" w:cstheme="minorHAnsi"/>
          <w:color w:val="000000"/>
        </w:rPr>
        <w:t xml:space="preserve"> and</w:t>
      </w:r>
      <w:r w:rsidR="00DB670A">
        <w:rPr>
          <w:rFonts w:asciiTheme="minorHAnsi" w:hAnsiTheme="minorHAnsi" w:cstheme="minorHAnsi"/>
          <w:color w:val="000000"/>
        </w:rPr>
        <w:t xml:space="preserve"> free</w:t>
      </w:r>
      <w:r>
        <w:rPr>
          <w:rFonts w:asciiTheme="minorHAnsi" w:hAnsiTheme="minorHAnsi" w:cstheme="minorHAnsi"/>
          <w:color w:val="000000"/>
        </w:rPr>
        <w:t xml:space="preserve"> path</w:t>
      </w:r>
      <w:r w:rsidR="00775499">
        <w:rPr>
          <w:rFonts w:asciiTheme="minorHAnsi" w:hAnsiTheme="minorHAnsi" w:cstheme="minorHAnsi"/>
          <w:color w:val="000000"/>
        </w:rPr>
        <w:t xml:space="preserve"> for appeal. There are already</w:t>
      </w:r>
      <w:r>
        <w:rPr>
          <w:rFonts w:asciiTheme="minorHAnsi" w:hAnsiTheme="minorHAnsi" w:cstheme="minorHAnsi"/>
          <w:color w:val="000000"/>
        </w:rPr>
        <w:t xml:space="preserve"> established review mechanisms </w:t>
      </w:r>
      <w:r w:rsidR="00775499">
        <w:rPr>
          <w:rFonts w:asciiTheme="minorHAnsi" w:hAnsiTheme="minorHAnsi" w:cstheme="minorHAnsi"/>
          <w:color w:val="000000"/>
        </w:rPr>
        <w:t xml:space="preserve">for </w:t>
      </w:r>
      <w:r w:rsidR="001E534A">
        <w:rPr>
          <w:rFonts w:asciiTheme="minorHAnsi" w:hAnsiTheme="minorHAnsi" w:cstheme="minorHAnsi"/>
          <w:color w:val="000000"/>
        </w:rPr>
        <w:t>these</w:t>
      </w:r>
      <w:r w:rsidR="00775499">
        <w:rPr>
          <w:rFonts w:asciiTheme="minorHAnsi" w:hAnsiTheme="minorHAnsi" w:cstheme="minorHAnsi"/>
          <w:color w:val="000000"/>
        </w:rPr>
        <w:t xml:space="preserve"> types of</w:t>
      </w:r>
      <w:r w:rsidR="001E534A">
        <w:rPr>
          <w:rFonts w:asciiTheme="minorHAnsi" w:hAnsiTheme="minorHAnsi" w:cstheme="minorHAnsi"/>
          <w:color w:val="000000"/>
        </w:rPr>
        <w:t xml:space="preserve"> </w:t>
      </w:r>
      <w:r>
        <w:rPr>
          <w:rFonts w:asciiTheme="minorHAnsi" w:hAnsiTheme="minorHAnsi" w:cstheme="minorHAnsi"/>
          <w:color w:val="000000"/>
        </w:rPr>
        <w:t>administrative decisions. In cases of mistake, reconsideration by the original decision-maker is likely to solve the problem</w:t>
      </w:r>
      <w:r w:rsidR="001E534A">
        <w:rPr>
          <w:rFonts w:asciiTheme="minorHAnsi" w:hAnsiTheme="minorHAnsi" w:cstheme="minorHAnsi"/>
          <w:color w:val="000000"/>
        </w:rPr>
        <w:t xml:space="preserve"> in a timely manner</w:t>
      </w:r>
      <w:r>
        <w:rPr>
          <w:rFonts w:asciiTheme="minorHAnsi" w:hAnsiTheme="minorHAnsi" w:cstheme="minorHAnsi"/>
          <w:color w:val="000000"/>
        </w:rPr>
        <w:t>, without the need to seek judicial review.</w:t>
      </w:r>
    </w:p>
    <w:p w:rsidR="00D11E86" w:rsidRDefault="003A1BF2" w:rsidP="00040BB1">
      <w:pPr>
        <w:jc w:val="both"/>
        <w:rPr>
          <w:rFonts w:asciiTheme="minorHAnsi" w:hAnsiTheme="minorHAnsi" w:cstheme="minorHAnsi"/>
          <w:color w:val="000000"/>
        </w:rPr>
      </w:pPr>
      <w:r>
        <w:rPr>
          <w:rFonts w:asciiTheme="minorHAnsi" w:hAnsiTheme="minorHAnsi" w:cstheme="minorHAnsi"/>
          <w:color w:val="000000"/>
        </w:rPr>
        <w:t>As mentioned above, g</w:t>
      </w:r>
      <w:r w:rsidR="00D11E86">
        <w:rPr>
          <w:rFonts w:asciiTheme="minorHAnsi" w:hAnsiTheme="minorHAnsi" w:cstheme="minorHAnsi"/>
          <w:color w:val="000000"/>
        </w:rPr>
        <w:t>reater transparency and accountability in individual cases</w:t>
      </w:r>
      <w:r w:rsidR="00CD324E">
        <w:rPr>
          <w:rFonts w:asciiTheme="minorHAnsi" w:hAnsiTheme="minorHAnsi" w:cstheme="minorHAnsi"/>
          <w:color w:val="000000"/>
        </w:rPr>
        <w:t xml:space="preserve"> should be accompanied by annual </w:t>
      </w:r>
      <w:r>
        <w:rPr>
          <w:rFonts w:asciiTheme="minorHAnsi" w:hAnsiTheme="minorHAnsi" w:cstheme="minorHAnsi"/>
          <w:color w:val="000000"/>
        </w:rPr>
        <w:t xml:space="preserve">public </w:t>
      </w:r>
      <w:r w:rsidR="00CD324E">
        <w:rPr>
          <w:rFonts w:asciiTheme="minorHAnsi" w:hAnsiTheme="minorHAnsi" w:cstheme="minorHAnsi"/>
          <w:color w:val="000000"/>
        </w:rPr>
        <w:t>reporting by government agencies using this power.</w:t>
      </w:r>
      <w:r w:rsidR="00D11E86">
        <w:rPr>
          <w:rFonts w:asciiTheme="minorHAnsi" w:hAnsiTheme="minorHAnsi" w:cstheme="minorHAnsi"/>
          <w:color w:val="000000"/>
        </w:rPr>
        <w:t xml:space="preserve"> This should help ensure the power is being </w:t>
      </w:r>
      <w:r w:rsidR="00775499">
        <w:rPr>
          <w:rFonts w:asciiTheme="minorHAnsi" w:hAnsiTheme="minorHAnsi" w:cstheme="minorHAnsi"/>
          <w:color w:val="000000"/>
        </w:rPr>
        <w:t>applied</w:t>
      </w:r>
      <w:r w:rsidR="00D11E86">
        <w:rPr>
          <w:rFonts w:asciiTheme="minorHAnsi" w:hAnsiTheme="minorHAnsi" w:cstheme="minorHAnsi"/>
          <w:color w:val="000000"/>
        </w:rPr>
        <w:t xml:space="preserve"> appropriately.</w:t>
      </w:r>
    </w:p>
    <w:p w:rsidR="008E1CC4" w:rsidRDefault="009F4B9D" w:rsidP="00040BB1">
      <w:pPr>
        <w:pStyle w:val="Heading3"/>
        <w:numPr>
          <w:ilvl w:val="0"/>
          <w:numId w:val="0"/>
        </w:numPr>
        <w:ind w:left="851" w:hanging="851"/>
        <w:jc w:val="both"/>
      </w:pPr>
      <w:bookmarkStart w:id="7" w:name="_Toc395620815"/>
      <w:r w:rsidRPr="003441E5">
        <w:t>Conclusi</w:t>
      </w:r>
      <w:bookmarkEnd w:id="2"/>
      <w:bookmarkEnd w:id="3"/>
      <w:r w:rsidR="00A81171">
        <w:t>on</w:t>
      </w:r>
      <w:bookmarkEnd w:id="7"/>
    </w:p>
    <w:p w:rsidR="00E9402A" w:rsidRDefault="00981B58" w:rsidP="00040BB1">
      <w:pPr>
        <w:jc w:val="both"/>
        <w:rPr>
          <w:lang w:eastAsia="en-US"/>
        </w:rPr>
      </w:pPr>
      <w:r>
        <w:rPr>
          <w:lang w:eastAsia="en-US"/>
        </w:rPr>
        <w:t xml:space="preserve">ACCAN would like to thank the Standing Committee for the opportunity to contribute to this consultation. We see a need for this type of power </w:t>
      </w:r>
      <w:r w:rsidR="00775499">
        <w:rPr>
          <w:lang w:eastAsia="en-US"/>
        </w:rPr>
        <w:t>on</w:t>
      </w:r>
      <w:r>
        <w:rPr>
          <w:lang w:eastAsia="en-US"/>
        </w:rPr>
        <w:t xml:space="preserve"> consumer protection</w:t>
      </w:r>
      <w:r w:rsidR="00775499">
        <w:rPr>
          <w:lang w:eastAsia="en-US"/>
        </w:rPr>
        <w:t xml:space="preserve"> grounds</w:t>
      </w:r>
      <w:r>
        <w:rPr>
          <w:lang w:eastAsia="en-US"/>
        </w:rPr>
        <w:t xml:space="preserve"> in relation to serious criminal offences. However, we remain concerned that the power, as currently drafted, is too broad</w:t>
      </w:r>
      <w:r w:rsidR="00775499">
        <w:rPr>
          <w:lang w:eastAsia="en-US"/>
        </w:rPr>
        <w:t>. A greater role for judicial oversight, only using the power in relation to serious criminal offences and greater transparency around methods of appeal will allay many of the concerns related to this power. Without these measures</w:t>
      </w:r>
      <w:r w:rsidR="00040BB1">
        <w:rPr>
          <w:lang w:eastAsia="en-US"/>
        </w:rPr>
        <w:t xml:space="preserve"> there is potential for many consumers, especially small businesses and website owners to suffer financial and reputational damage</w:t>
      </w:r>
      <w:r w:rsidR="00775499">
        <w:rPr>
          <w:lang w:eastAsia="en-US"/>
        </w:rPr>
        <w:t xml:space="preserve">. </w:t>
      </w:r>
      <w:r w:rsidR="00E9402A">
        <w:rPr>
          <w:lang w:eastAsia="en-US"/>
        </w:rPr>
        <w:t>For s</w:t>
      </w:r>
      <w:r w:rsidR="00DB670A">
        <w:rPr>
          <w:lang w:eastAsia="en-US"/>
        </w:rPr>
        <w:t xml:space="preserve">mall businesses </w:t>
      </w:r>
      <w:r w:rsidR="00E9402A">
        <w:rPr>
          <w:lang w:eastAsia="en-US"/>
        </w:rPr>
        <w:t xml:space="preserve">the expense of legal counsel coupled with the exemption from liability this section </w:t>
      </w:r>
      <w:r w:rsidR="006B0FAD">
        <w:rPr>
          <w:lang w:eastAsia="en-US"/>
        </w:rPr>
        <w:t>gives</w:t>
      </w:r>
      <w:r w:rsidR="00E9402A">
        <w:rPr>
          <w:lang w:eastAsia="en-US"/>
        </w:rPr>
        <w:t xml:space="preserve"> providers and government agencies means these costs may never be recouped</w:t>
      </w:r>
      <w:r w:rsidR="00DB670A">
        <w:rPr>
          <w:lang w:eastAsia="en-US"/>
        </w:rPr>
        <w:t xml:space="preserve">. </w:t>
      </w:r>
    </w:p>
    <w:p w:rsidR="00357AD7" w:rsidRPr="00357AD7" w:rsidRDefault="00775499" w:rsidP="00040BB1">
      <w:pPr>
        <w:jc w:val="both"/>
        <w:rPr>
          <w:lang w:eastAsia="en-US"/>
        </w:rPr>
      </w:pPr>
      <w:r>
        <w:rPr>
          <w:lang w:eastAsia="en-US"/>
        </w:rPr>
        <w:t>As with all exercises of executive power this section should be grounded in a consideration of the proportionality, transparency and accountability of the law.</w:t>
      </w:r>
    </w:p>
    <w:sectPr w:rsidR="00357AD7" w:rsidRPr="00357AD7"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46" w:rsidRDefault="00CA3046" w:rsidP="00B14DFB">
      <w:r>
        <w:separator/>
      </w:r>
    </w:p>
  </w:endnote>
  <w:endnote w:type="continuationSeparator" w:id="0">
    <w:p w:rsidR="00CA3046" w:rsidRDefault="00CA304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AC3702">
      <w:rPr>
        <w:noProof/>
      </w:rPr>
      <w:t>4</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46" w:rsidRDefault="00CA3046" w:rsidP="00B14DFB">
      <w:r>
        <w:separator/>
      </w:r>
    </w:p>
  </w:footnote>
  <w:footnote w:type="continuationSeparator" w:id="0">
    <w:p w:rsidR="00CA3046" w:rsidRDefault="00CA3046" w:rsidP="00B14DFB">
      <w:r>
        <w:continuationSeparator/>
      </w:r>
    </w:p>
  </w:footnote>
  <w:footnote w:id="1">
    <w:p w:rsidR="006323DE" w:rsidRDefault="006323DE">
      <w:pPr>
        <w:pStyle w:val="FootnoteText"/>
      </w:pPr>
      <w:r>
        <w:rPr>
          <w:rStyle w:val="FootnoteReference"/>
        </w:rPr>
        <w:footnoteRef/>
      </w:r>
      <w:r>
        <w:t xml:space="preserve"> </w:t>
      </w:r>
      <w:hyperlink r:id="rId1" w:history="1">
        <w:r w:rsidRPr="007F29FC">
          <w:rPr>
            <w:rStyle w:val="Hyperlink"/>
          </w:rPr>
          <w:t>http://www.interpol.int/Crime-areas/Crimes-against-children/Access-blocking/The-INTERPOL-%22Worst-of%22-list</w:t>
        </w:r>
      </w:hyperlink>
      <w:r>
        <w:t xml:space="preserve"> </w:t>
      </w:r>
    </w:p>
  </w:footnote>
  <w:footnote w:id="2">
    <w:p w:rsidR="0079581F" w:rsidRDefault="0079581F">
      <w:pPr>
        <w:pStyle w:val="FootnoteText"/>
      </w:pPr>
      <w:r>
        <w:rPr>
          <w:rStyle w:val="FootnoteReference"/>
        </w:rPr>
        <w:footnoteRef/>
      </w:r>
      <w:r>
        <w:t xml:space="preserve"> ACCC, 2014, ‘Targeting scams – Report of the ACCC on scams activity 2013’, June 2014, available at: </w:t>
      </w:r>
      <w:hyperlink r:id="rId2" w:history="1">
        <w:r w:rsidRPr="007F29FC">
          <w:rPr>
            <w:rStyle w:val="Hyperlink"/>
          </w:rPr>
          <w:t>http://www.accc.gov.au/system/files/Targeting%20Scams%202013.pdf</w:t>
        </w:r>
      </w:hyperlink>
      <w:r>
        <w:t xml:space="preserve"> </w:t>
      </w:r>
    </w:p>
  </w:footnote>
  <w:footnote w:id="3">
    <w:p w:rsidR="00222C5E" w:rsidRDefault="00222C5E">
      <w:pPr>
        <w:pStyle w:val="FootnoteText"/>
      </w:pPr>
      <w:r>
        <w:rPr>
          <w:rStyle w:val="FootnoteReference"/>
        </w:rPr>
        <w:footnoteRef/>
      </w:r>
      <w:r>
        <w:t xml:space="preserve"> This figure only includes scams reported to the ACCC. The actual figure is believed to be much higher.</w:t>
      </w:r>
    </w:p>
  </w:footnote>
  <w:footnote w:id="4">
    <w:p w:rsidR="00161BD4" w:rsidRDefault="00161BD4">
      <w:pPr>
        <w:pStyle w:val="FootnoteText"/>
      </w:pPr>
      <w:r>
        <w:rPr>
          <w:rStyle w:val="FootnoteReference"/>
        </w:rPr>
        <w:footnoteRef/>
      </w:r>
      <w:r>
        <w:t xml:space="preserve"> </w:t>
      </w:r>
      <w:hyperlink r:id="rId3" w:history="1">
        <w:r w:rsidR="004F68C3" w:rsidRPr="00445548">
          <w:rPr>
            <w:rStyle w:val="Hyperlink"/>
          </w:rPr>
          <w:t>http://www.zdnet.com/au/iinet-slams-asics-ip-blocking-notices-7000017519/</w:t>
        </w:r>
      </w:hyperlink>
      <w:r w:rsidR="004F68C3">
        <w:t xml:space="preserve"> </w:t>
      </w:r>
    </w:p>
  </w:footnote>
  <w:footnote w:id="5">
    <w:p w:rsidR="00C66CAA" w:rsidRDefault="00C66CAA">
      <w:pPr>
        <w:pStyle w:val="FootnoteText"/>
      </w:pPr>
      <w:r>
        <w:rPr>
          <w:rStyle w:val="FootnoteReference"/>
        </w:rPr>
        <w:footnoteRef/>
      </w:r>
      <w:r>
        <w:t xml:space="preserve"> </w:t>
      </w:r>
      <w:hyperlink r:id="rId4" w:history="1">
        <w:r w:rsidRPr="00445548">
          <w:rPr>
            <w:rStyle w:val="Hyperlink"/>
          </w:rPr>
          <w:t>http://www.smh.com.au/news/breaking/government-shuts-howard-spoof-site/2006/03/17/1142098638843.html</w:t>
        </w:r>
      </w:hyperlink>
      <w:r>
        <w:t xml:space="preserve"> </w:t>
      </w:r>
    </w:p>
  </w:footnote>
  <w:footnote w:id="6">
    <w:p w:rsidR="00BD40CE" w:rsidRDefault="00BD40CE">
      <w:pPr>
        <w:pStyle w:val="FootnoteText"/>
      </w:pPr>
      <w:r>
        <w:rPr>
          <w:rStyle w:val="FootnoteReference"/>
        </w:rPr>
        <w:footnoteRef/>
      </w:r>
      <w:r>
        <w:t xml:space="preserve"> </w:t>
      </w:r>
      <w:hyperlink r:id="rId5" w:history="1">
        <w:r w:rsidRPr="00445548">
          <w:rPr>
            <w:rStyle w:val="Hyperlink"/>
          </w:rPr>
          <w:t>http://www.smh.com.au/news/breaking/government-shuts-howard-spoof-site/2006/03/17/1142098638843.html</w:t>
        </w:r>
      </w:hyperlink>
      <w:r>
        <w:t xml:space="preserve"> </w:t>
      </w:r>
    </w:p>
  </w:footnote>
  <w:footnote w:id="7">
    <w:p w:rsidR="00273BE3" w:rsidRDefault="00273BE3">
      <w:pPr>
        <w:pStyle w:val="FootnoteText"/>
      </w:pPr>
      <w:r>
        <w:rPr>
          <w:rStyle w:val="FootnoteReference"/>
        </w:rPr>
        <w:footnoteRef/>
      </w:r>
      <w:r>
        <w:t xml:space="preserve"> </w:t>
      </w:r>
      <w:hyperlink r:id="rId6" w:history="1">
        <w:r w:rsidRPr="0003064D">
          <w:rPr>
            <w:rStyle w:val="Hyperlink"/>
          </w:rPr>
          <w:t>http://www.abc.net.au/news/2013-05-16/westendorf-and-atahan---internet-filter/4694252</w:t>
        </w:r>
      </w:hyperlink>
      <w:r>
        <w:t xml:space="preserve"> </w:t>
      </w:r>
    </w:p>
  </w:footnote>
  <w:footnote w:id="8">
    <w:p w:rsidR="00C762CD" w:rsidRDefault="00C762CD">
      <w:pPr>
        <w:pStyle w:val="FootnoteText"/>
      </w:pPr>
      <w:r>
        <w:rPr>
          <w:rStyle w:val="FootnoteReference"/>
        </w:rPr>
        <w:footnoteRef/>
      </w:r>
      <w:r>
        <w:t xml:space="preserve"> </w:t>
      </w:r>
      <w:hyperlink r:id="rId7" w:history="1">
        <w:r w:rsidRPr="0003064D">
          <w:rPr>
            <w:rStyle w:val="Hyperlink"/>
          </w:rPr>
          <w:t>http://www.abc.net.au/news/2013-05-16/westendorf-and-atahan---internet-filter/4694252</w:t>
        </w:r>
      </w:hyperlink>
      <w:r>
        <w:t xml:space="preserve"> </w:t>
      </w:r>
    </w:p>
  </w:footnote>
  <w:footnote w:id="9">
    <w:p w:rsidR="009F0931" w:rsidRDefault="009F0931">
      <w:pPr>
        <w:pStyle w:val="FootnoteText"/>
      </w:pPr>
      <w:r>
        <w:rPr>
          <w:rStyle w:val="FootnoteReference"/>
        </w:rPr>
        <w:footnoteRef/>
      </w:r>
      <w:r>
        <w:t xml:space="preserve"> </w:t>
      </w:r>
      <w:hyperlink r:id="rId8" w:history="1">
        <w:r w:rsidRPr="0003064D">
          <w:rPr>
            <w:rStyle w:val="Hyperlink"/>
          </w:rPr>
          <w:t>http://www.abc.net.au/news/2013-05-16/westendorf-and-atahan---internet-filter/4694252</w:t>
        </w:r>
      </w:hyperlink>
    </w:p>
  </w:footnote>
  <w:footnote w:id="10">
    <w:p w:rsidR="00FB36DB" w:rsidRDefault="00FB36DB">
      <w:pPr>
        <w:pStyle w:val="FootnoteText"/>
      </w:pPr>
      <w:r>
        <w:rPr>
          <w:rStyle w:val="FootnoteReference"/>
        </w:rPr>
        <w:footnoteRef/>
      </w:r>
      <w:r w:rsidR="00F97057">
        <w:t xml:space="preserve"> Market Clarity, 2013, ‘Small business Telecom Service Use’, available at:</w:t>
      </w:r>
      <w:r>
        <w:t xml:space="preserve"> </w:t>
      </w:r>
      <w:hyperlink r:id="rId9" w:history="1">
        <w:r w:rsidRPr="0003064D">
          <w:rPr>
            <w:rStyle w:val="Hyperlink"/>
          </w:rPr>
          <w:t>https://accan.org.au/files/Market-Clarity-Small-Biz-Telecom-Service-Use-final.pdf</w:t>
        </w:r>
      </w:hyperlink>
      <w:r>
        <w:t xml:space="preserve"> </w:t>
      </w:r>
      <w:r w:rsidR="00F97057">
        <w:t>p.58</w:t>
      </w:r>
    </w:p>
  </w:footnote>
  <w:footnote w:id="11">
    <w:p w:rsidR="007408FA" w:rsidRDefault="007408FA" w:rsidP="007408FA">
      <w:pPr>
        <w:pStyle w:val="FootnoteText"/>
      </w:pPr>
      <w:r>
        <w:rPr>
          <w:rStyle w:val="FootnoteReference"/>
        </w:rPr>
        <w:footnoteRef/>
      </w:r>
      <w:r>
        <w:t xml:space="preserve"> </w:t>
      </w:r>
      <w:hyperlink r:id="rId10" w:anchor=".U9r_neOSwrU" w:history="1">
        <w:r w:rsidRPr="0003064D">
          <w:rPr>
            <w:rStyle w:val="Hyperlink"/>
          </w:rPr>
          <w:t>http://www.minister.communications.gov.au/malcolm_turnbull/news/new_tools_to_help_small_businesses_adopt_cloud#.U9r_neOSwrU</w:t>
        </w:r>
      </w:hyperlink>
      <w:r>
        <w:t xml:space="preserve"> </w:t>
      </w:r>
    </w:p>
  </w:footnote>
  <w:footnote w:id="12">
    <w:p w:rsidR="00FE4123" w:rsidRDefault="00FE4123">
      <w:pPr>
        <w:pStyle w:val="FootnoteText"/>
      </w:pPr>
      <w:r>
        <w:rPr>
          <w:rStyle w:val="FootnoteReference"/>
        </w:rPr>
        <w:footnoteRef/>
      </w:r>
      <w:r>
        <w:t xml:space="preserve"> </w:t>
      </w:r>
      <w:hyperlink r:id="rId11" w:history="1">
        <w:r w:rsidRPr="0003064D">
          <w:rPr>
            <w:rStyle w:val="Hyperlink"/>
          </w:rPr>
          <w:t>http://www.interpol.int/Crime-areas/Crimes-against-children/Access-blocking/Complaints-procedure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5AD05FC"/>
    <w:multiLevelType w:val="hybridMultilevel"/>
    <w:tmpl w:val="D02A6274"/>
    <w:lvl w:ilvl="0" w:tplc="4FCA8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2933B2C"/>
    <w:multiLevelType w:val="hybridMultilevel"/>
    <w:tmpl w:val="763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3"/>
  </w:num>
  <w:num w:numId="17">
    <w:abstractNumId w:val="6"/>
  </w:num>
  <w:num w:numId="18">
    <w:abstractNumId w:val="8"/>
  </w:num>
  <w:num w:numId="19">
    <w:abstractNumId w:val="8"/>
  </w:num>
  <w:num w:numId="20">
    <w:abstractNumId w:val="11"/>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46"/>
    <w:rsid w:val="00027253"/>
    <w:rsid w:val="00040BB1"/>
    <w:rsid w:val="00047257"/>
    <w:rsid w:val="00063BFF"/>
    <w:rsid w:val="00070461"/>
    <w:rsid w:val="00077909"/>
    <w:rsid w:val="000D51F4"/>
    <w:rsid w:val="000F58CC"/>
    <w:rsid w:val="000F6AAD"/>
    <w:rsid w:val="0013089C"/>
    <w:rsid w:val="00147A7F"/>
    <w:rsid w:val="00161BD4"/>
    <w:rsid w:val="00166739"/>
    <w:rsid w:val="0017218C"/>
    <w:rsid w:val="001B3E53"/>
    <w:rsid w:val="001C28E7"/>
    <w:rsid w:val="001C6657"/>
    <w:rsid w:val="001E534A"/>
    <w:rsid w:val="00204113"/>
    <w:rsid w:val="002127F0"/>
    <w:rsid w:val="00212AE6"/>
    <w:rsid w:val="002177CA"/>
    <w:rsid w:val="00222C5E"/>
    <w:rsid w:val="00234042"/>
    <w:rsid w:val="0024438D"/>
    <w:rsid w:val="0025218E"/>
    <w:rsid w:val="00273BE3"/>
    <w:rsid w:val="002A629E"/>
    <w:rsid w:val="002B136E"/>
    <w:rsid w:val="002D043B"/>
    <w:rsid w:val="002E4872"/>
    <w:rsid w:val="003441E5"/>
    <w:rsid w:val="00357AD7"/>
    <w:rsid w:val="0036351B"/>
    <w:rsid w:val="003769F1"/>
    <w:rsid w:val="003A1BF2"/>
    <w:rsid w:val="003B1499"/>
    <w:rsid w:val="003E6503"/>
    <w:rsid w:val="003E76C5"/>
    <w:rsid w:val="003F6199"/>
    <w:rsid w:val="00444D44"/>
    <w:rsid w:val="00447E1F"/>
    <w:rsid w:val="004552EA"/>
    <w:rsid w:val="00472C7E"/>
    <w:rsid w:val="00472CA7"/>
    <w:rsid w:val="00475A70"/>
    <w:rsid w:val="00477BDB"/>
    <w:rsid w:val="004A01EB"/>
    <w:rsid w:val="004A316A"/>
    <w:rsid w:val="004A55CC"/>
    <w:rsid w:val="004A791B"/>
    <w:rsid w:val="004B383C"/>
    <w:rsid w:val="004B7462"/>
    <w:rsid w:val="004C055B"/>
    <w:rsid w:val="004C3886"/>
    <w:rsid w:val="004D075C"/>
    <w:rsid w:val="004D5E35"/>
    <w:rsid w:val="004F055C"/>
    <w:rsid w:val="004F2201"/>
    <w:rsid w:val="004F68C3"/>
    <w:rsid w:val="00511400"/>
    <w:rsid w:val="00542267"/>
    <w:rsid w:val="00544A23"/>
    <w:rsid w:val="00553427"/>
    <w:rsid w:val="005820C9"/>
    <w:rsid w:val="00592615"/>
    <w:rsid w:val="00593975"/>
    <w:rsid w:val="005A673E"/>
    <w:rsid w:val="005C2EBF"/>
    <w:rsid w:val="00613698"/>
    <w:rsid w:val="006156A6"/>
    <w:rsid w:val="006323DE"/>
    <w:rsid w:val="00632B0D"/>
    <w:rsid w:val="00653212"/>
    <w:rsid w:val="00654E49"/>
    <w:rsid w:val="006578D7"/>
    <w:rsid w:val="006B0FAD"/>
    <w:rsid w:val="006C7C58"/>
    <w:rsid w:val="006D0451"/>
    <w:rsid w:val="006D0BE3"/>
    <w:rsid w:val="006D153D"/>
    <w:rsid w:val="006D4B09"/>
    <w:rsid w:val="006E3A4C"/>
    <w:rsid w:val="006F1B30"/>
    <w:rsid w:val="006F2553"/>
    <w:rsid w:val="00704373"/>
    <w:rsid w:val="007408FA"/>
    <w:rsid w:val="007506AE"/>
    <w:rsid w:val="007571FD"/>
    <w:rsid w:val="00775499"/>
    <w:rsid w:val="00775E27"/>
    <w:rsid w:val="00781127"/>
    <w:rsid w:val="00787587"/>
    <w:rsid w:val="0079581F"/>
    <w:rsid w:val="007A3E1A"/>
    <w:rsid w:val="007A5DFF"/>
    <w:rsid w:val="007B2A49"/>
    <w:rsid w:val="007D3F16"/>
    <w:rsid w:val="007F0737"/>
    <w:rsid w:val="008114E3"/>
    <w:rsid w:val="008243EA"/>
    <w:rsid w:val="008338A0"/>
    <w:rsid w:val="008345A7"/>
    <w:rsid w:val="00874386"/>
    <w:rsid w:val="0088571C"/>
    <w:rsid w:val="00886444"/>
    <w:rsid w:val="00892B69"/>
    <w:rsid w:val="008A19E7"/>
    <w:rsid w:val="008D7013"/>
    <w:rsid w:val="008E1CC4"/>
    <w:rsid w:val="008F7E90"/>
    <w:rsid w:val="009265FB"/>
    <w:rsid w:val="00927102"/>
    <w:rsid w:val="00942D80"/>
    <w:rsid w:val="00981B58"/>
    <w:rsid w:val="009A227B"/>
    <w:rsid w:val="009B3670"/>
    <w:rsid w:val="009C61C5"/>
    <w:rsid w:val="009F0931"/>
    <w:rsid w:val="009F4B9D"/>
    <w:rsid w:val="00A022BC"/>
    <w:rsid w:val="00A13B92"/>
    <w:rsid w:val="00A25BDF"/>
    <w:rsid w:val="00A35951"/>
    <w:rsid w:val="00A4447D"/>
    <w:rsid w:val="00A615CC"/>
    <w:rsid w:val="00A70A17"/>
    <w:rsid w:val="00A81171"/>
    <w:rsid w:val="00A82CC0"/>
    <w:rsid w:val="00A92DB0"/>
    <w:rsid w:val="00A94F16"/>
    <w:rsid w:val="00A95537"/>
    <w:rsid w:val="00A96349"/>
    <w:rsid w:val="00AA686C"/>
    <w:rsid w:val="00AC3702"/>
    <w:rsid w:val="00AD032B"/>
    <w:rsid w:val="00AE2840"/>
    <w:rsid w:val="00B02AEB"/>
    <w:rsid w:val="00B14DFB"/>
    <w:rsid w:val="00B20801"/>
    <w:rsid w:val="00B2479C"/>
    <w:rsid w:val="00B4140A"/>
    <w:rsid w:val="00B418A0"/>
    <w:rsid w:val="00B573A9"/>
    <w:rsid w:val="00B87233"/>
    <w:rsid w:val="00BA4207"/>
    <w:rsid w:val="00BA5C36"/>
    <w:rsid w:val="00BB5DDA"/>
    <w:rsid w:val="00BD40CE"/>
    <w:rsid w:val="00BE372B"/>
    <w:rsid w:val="00C02722"/>
    <w:rsid w:val="00C12182"/>
    <w:rsid w:val="00C567A6"/>
    <w:rsid w:val="00C613FC"/>
    <w:rsid w:val="00C664CD"/>
    <w:rsid w:val="00C66CAA"/>
    <w:rsid w:val="00C762CD"/>
    <w:rsid w:val="00C860BB"/>
    <w:rsid w:val="00CA3046"/>
    <w:rsid w:val="00CA5529"/>
    <w:rsid w:val="00CB0802"/>
    <w:rsid w:val="00CB0F40"/>
    <w:rsid w:val="00CD324E"/>
    <w:rsid w:val="00CD5844"/>
    <w:rsid w:val="00CF5B31"/>
    <w:rsid w:val="00D11E86"/>
    <w:rsid w:val="00D17C22"/>
    <w:rsid w:val="00D22336"/>
    <w:rsid w:val="00D30851"/>
    <w:rsid w:val="00D34878"/>
    <w:rsid w:val="00D3636E"/>
    <w:rsid w:val="00D55E83"/>
    <w:rsid w:val="00D62BCE"/>
    <w:rsid w:val="00D70BF6"/>
    <w:rsid w:val="00D764DC"/>
    <w:rsid w:val="00D76C0E"/>
    <w:rsid w:val="00D97F3B"/>
    <w:rsid w:val="00DB670A"/>
    <w:rsid w:val="00DD7C1C"/>
    <w:rsid w:val="00DF2349"/>
    <w:rsid w:val="00DF287A"/>
    <w:rsid w:val="00DF74C4"/>
    <w:rsid w:val="00E05115"/>
    <w:rsid w:val="00E30643"/>
    <w:rsid w:val="00E45E4C"/>
    <w:rsid w:val="00E46A98"/>
    <w:rsid w:val="00E50837"/>
    <w:rsid w:val="00E54047"/>
    <w:rsid w:val="00E63895"/>
    <w:rsid w:val="00E81ECD"/>
    <w:rsid w:val="00E879CE"/>
    <w:rsid w:val="00E90840"/>
    <w:rsid w:val="00E9402A"/>
    <w:rsid w:val="00E96713"/>
    <w:rsid w:val="00EA3002"/>
    <w:rsid w:val="00EA5F92"/>
    <w:rsid w:val="00EC1696"/>
    <w:rsid w:val="00EE1CFF"/>
    <w:rsid w:val="00EF0224"/>
    <w:rsid w:val="00F12A72"/>
    <w:rsid w:val="00F43B24"/>
    <w:rsid w:val="00F61950"/>
    <w:rsid w:val="00F627A6"/>
    <w:rsid w:val="00F77AEE"/>
    <w:rsid w:val="00F847DA"/>
    <w:rsid w:val="00F860D4"/>
    <w:rsid w:val="00F91DBB"/>
    <w:rsid w:val="00F97057"/>
    <w:rsid w:val="00FB36DB"/>
    <w:rsid w:val="00FB4F5F"/>
    <w:rsid w:val="00FC2C92"/>
    <w:rsid w:val="00FE4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qFormat/>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qFormat/>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qFormat/>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qFormat/>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qFormat/>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qFormat/>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227298258">
      <w:bodyDiv w:val="1"/>
      <w:marLeft w:val="0"/>
      <w:marRight w:val="0"/>
      <w:marTop w:val="0"/>
      <w:marBottom w:val="0"/>
      <w:divBdr>
        <w:top w:val="none" w:sz="0" w:space="0" w:color="auto"/>
        <w:left w:val="none" w:sz="0" w:space="0" w:color="auto"/>
        <w:bottom w:val="none" w:sz="0" w:space="0" w:color="auto"/>
        <w:right w:val="none" w:sz="0" w:space="0" w:color="auto"/>
      </w:divBdr>
    </w:div>
    <w:div w:id="1767187763">
      <w:bodyDiv w:val="1"/>
      <w:marLeft w:val="0"/>
      <w:marRight w:val="0"/>
      <w:marTop w:val="0"/>
      <w:marBottom w:val="0"/>
      <w:divBdr>
        <w:top w:val="none" w:sz="0" w:space="0" w:color="auto"/>
        <w:left w:val="none" w:sz="0" w:space="0" w:color="auto"/>
        <w:bottom w:val="none" w:sz="0" w:space="0" w:color="auto"/>
        <w:right w:val="none" w:sz="0" w:space="0" w:color="auto"/>
      </w:divBdr>
      <w:divsChild>
        <w:div w:id="89745435">
          <w:marLeft w:val="0"/>
          <w:marRight w:val="0"/>
          <w:marTop w:val="0"/>
          <w:marBottom w:val="0"/>
          <w:divBdr>
            <w:top w:val="none" w:sz="0" w:space="0" w:color="auto"/>
            <w:left w:val="none" w:sz="0" w:space="0" w:color="auto"/>
            <w:bottom w:val="none" w:sz="0" w:space="0" w:color="auto"/>
            <w:right w:val="none" w:sz="0" w:space="0" w:color="auto"/>
          </w:divBdr>
          <w:divsChild>
            <w:div w:id="1957518449">
              <w:marLeft w:val="0"/>
              <w:marRight w:val="0"/>
              <w:marTop w:val="0"/>
              <w:marBottom w:val="15"/>
              <w:divBdr>
                <w:top w:val="single" w:sz="6" w:space="12" w:color="C8C8C8"/>
                <w:left w:val="single" w:sz="6" w:space="15" w:color="C8C8C8"/>
                <w:bottom w:val="single" w:sz="6" w:space="0" w:color="C8C8C8"/>
                <w:right w:val="single" w:sz="6" w:space="15" w:color="C8C8C8"/>
              </w:divBdr>
              <w:divsChild>
                <w:div w:id="2138179124">
                  <w:blockQuote w:val="1"/>
                  <w:marLeft w:val="240"/>
                  <w:marRight w:val="0"/>
                  <w:marTop w:val="240"/>
                  <w:marBottom w:val="240"/>
                  <w:divBdr>
                    <w:top w:val="none" w:sz="0" w:space="0" w:color="auto"/>
                    <w:left w:val="none" w:sz="0" w:space="0" w:color="auto"/>
                    <w:bottom w:val="none" w:sz="0" w:space="0" w:color="auto"/>
                    <w:right w:val="none" w:sz="0" w:space="0" w:color="auto"/>
                  </w:divBdr>
                </w:div>
                <w:div w:id="854925167">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19955684">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210734278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92125772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2013-05-16/westendorf-and-atahan---internet-filter/4694252" TargetMode="External"/><Relationship Id="rId3" Type="http://schemas.openxmlformats.org/officeDocument/2006/relationships/hyperlink" Target="http://www.zdnet.com/au/iinet-slams-asics-ip-blocking-notices-7000017519/" TargetMode="External"/><Relationship Id="rId7" Type="http://schemas.openxmlformats.org/officeDocument/2006/relationships/hyperlink" Target="http://www.abc.net.au/news/2013-05-16/westendorf-and-atahan---internet-filter/4694252" TargetMode="External"/><Relationship Id="rId2" Type="http://schemas.openxmlformats.org/officeDocument/2006/relationships/hyperlink" Target="http://www.accc.gov.au/system/files/Targeting%20Scams%202013.pdf" TargetMode="External"/><Relationship Id="rId1" Type="http://schemas.openxmlformats.org/officeDocument/2006/relationships/hyperlink" Target="http://www.interpol.int/Crime-areas/Crimes-against-children/Access-blocking/The-INTERPOL-%22Worst-of%22-list" TargetMode="External"/><Relationship Id="rId6" Type="http://schemas.openxmlformats.org/officeDocument/2006/relationships/hyperlink" Target="http://www.abc.net.au/news/2013-05-16/westendorf-and-atahan---internet-filter/4694252" TargetMode="External"/><Relationship Id="rId11" Type="http://schemas.openxmlformats.org/officeDocument/2006/relationships/hyperlink" Target="http://www.interpol.int/Crime-areas/Crimes-against-children/Access-blocking/Complaints-procedure" TargetMode="External"/><Relationship Id="rId5" Type="http://schemas.openxmlformats.org/officeDocument/2006/relationships/hyperlink" Target="http://www.smh.com.au/news/breaking/government-shuts-howard-spoof-site/2006/03/17/1142098638843.html" TargetMode="External"/><Relationship Id="rId10" Type="http://schemas.openxmlformats.org/officeDocument/2006/relationships/hyperlink" Target="http://www.minister.communications.gov.au/malcolm_turnbull/news/new_tools_to_help_small_businesses_adopt_cloud" TargetMode="External"/><Relationship Id="rId4" Type="http://schemas.openxmlformats.org/officeDocument/2006/relationships/hyperlink" Target="http://www.smh.com.au/news/breaking/government-shuts-howard-spoof-site/2006/03/17/1142098638843.html" TargetMode="External"/><Relationship Id="rId9" Type="http://schemas.openxmlformats.org/officeDocument/2006/relationships/hyperlink" Target="https://accan.org.au/files/Market-Clarity-Small-Biz-Telecom-Service-Use-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5267-C332-418A-88D9-540CCFC3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2014.dotx</Template>
  <TotalTime>24</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4</cp:revision>
  <cp:lastPrinted>2014-08-22T02:06:00Z</cp:lastPrinted>
  <dcterms:created xsi:type="dcterms:W3CDTF">2014-08-22T02:01:00Z</dcterms:created>
  <dcterms:modified xsi:type="dcterms:W3CDTF">2014-08-22T07:00:00Z</dcterms:modified>
</cp:coreProperties>
</file>