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E0CA" w14:textId="77777777" w:rsidR="005820C9" w:rsidRPr="003441E5" w:rsidRDefault="00400F75" w:rsidP="00B14DFB">
      <w:pPr>
        <w:pStyle w:val="Title"/>
      </w:pPr>
      <w:bookmarkStart w:id="0" w:name="_GoBack"/>
      <w:bookmarkEnd w:id="0"/>
      <w:r>
        <w:t>Consumer Safeguards Review – Part B/Reliability of Services</w:t>
      </w:r>
    </w:p>
    <w:p w14:paraId="10EA7496" w14:textId="77777777" w:rsidR="009F4B9D" w:rsidRPr="003441E5" w:rsidRDefault="009F4B9D" w:rsidP="00B14DFB">
      <w:pPr>
        <w:pStyle w:val="Subtitle"/>
      </w:pPr>
      <w:r w:rsidRPr="003441E5">
        <w:t xml:space="preserve">Submission by the Australian Communications </w:t>
      </w:r>
      <w:r w:rsidR="00400F75">
        <w:t>Consumer Action Network to the Department of Communications and the Arts</w:t>
      </w:r>
    </w:p>
    <w:p w14:paraId="0D8751BF" w14:textId="5A518A67" w:rsidR="009F4B9D" w:rsidRPr="003441E5" w:rsidRDefault="00E76016" w:rsidP="00B14DFB">
      <w:pPr>
        <w:pStyle w:val="Subtitle"/>
      </w:pPr>
      <w:r>
        <w:t>21</w:t>
      </w:r>
      <w:r w:rsidR="00400F75">
        <w:t xml:space="preserve"> January 2018</w:t>
      </w:r>
    </w:p>
    <w:p w14:paraId="1B57C928" w14:textId="77777777" w:rsidR="009F4B9D" w:rsidRPr="003441E5" w:rsidRDefault="009F4B9D" w:rsidP="00A13B92">
      <w:pPr>
        <w:rPr>
          <w:lang w:eastAsia="en-US"/>
        </w:rPr>
      </w:pPr>
      <w:r w:rsidRPr="003441E5">
        <w:rPr>
          <w:lang w:eastAsia="en-US"/>
        </w:rPr>
        <w:br w:type="page"/>
      </w:r>
    </w:p>
    <w:p w14:paraId="11CCC2EC" w14:textId="77777777" w:rsidR="009F4B9D" w:rsidRPr="003441E5" w:rsidRDefault="009F4B9D" w:rsidP="00B14DFB">
      <w:pPr>
        <w:pStyle w:val="About"/>
      </w:pPr>
      <w:r w:rsidRPr="003441E5">
        <w:lastRenderedPageBreak/>
        <w:t xml:space="preserve">About ACCAN </w:t>
      </w:r>
    </w:p>
    <w:p w14:paraId="775EA4D5" w14:textId="0603C2D3"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00EE5C4D">
        <w:t xml:space="preserve">communications services that are trusted, inclusive and available for all. </w:t>
      </w:r>
    </w:p>
    <w:p w14:paraId="04E67C10"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19322EE2" w14:textId="77777777" w:rsidR="00BF754D" w:rsidRDefault="00BF754D" w:rsidP="00BF754D">
      <w:pPr>
        <w:spacing w:after="0" w:afterAutospacing="0"/>
      </w:pPr>
      <w:r>
        <w:t>PO Box 639,</w:t>
      </w:r>
    </w:p>
    <w:p w14:paraId="353D4900"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14:paraId="0B2667FC"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5B6FE000" w14:textId="77777777" w:rsidR="00EC1696" w:rsidRPr="003441E5" w:rsidRDefault="00EC1696">
          <w:pPr>
            <w:pStyle w:val="TOCHeading"/>
          </w:pPr>
          <w:r w:rsidRPr="003441E5">
            <w:t>Contents</w:t>
          </w:r>
        </w:p>
        <w:p w14:paraId="1B2807FC" w14:textId="77777777" w:rsidR="006C63A6"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35596206" w:history="1">
            <w:r w:rsidR="006C63A6" w:rsidRPr="000113E2">
              <w:rPr>
                <w:rStyle w:val="Hyperlink"/>
                <w:noProof/>
              </w:rPr>
              <w:t>1.</w:t>
            </w:r>
            <w:r w:rsidR="006C63A6">
              <w:rPr>
                <w:rFonts w:asciiTheme="minorHAnsi" w:hAnsiTheme="minorHAnsi"/>
                <w:noProof/>
              </w:rPr>
              <w:tab/>
            </w:r>
            <w:r w:rsidR="006C63A6" w:rsidRPr="000113E2">
              <w:rPr>
                <w:rStyle w:val="Hyperlink"/>
                <w:noProof/>
              </w:rPr>
              <w:t>Introduction</w:t>
            </w:r>
            <w:r w:rsidR="006C63A6">
              <w:rPr>
                <w:noProof/>
                <w:webHidden/>
              </w:rPr>
              <w:tab/>
            </w:r>
            <w:r w:rsidR="006C63A6">
              <w:rPr>
                <w:noProof/>
                <w:webHidden/>
              </w:rPr>
              <w:fldChar w:fldCharType="begin"/>
            </w:r>
            <w:r w:rsidR="006C63A6">
              <w:rPr>
                <w:noProof/>
                <w:webHidden/>
              </w:rPr>
              <w:instrText xml:space="preserve"> PAGEREF _Toc535596206 \h </w:instrText>
            </w:r>
            <w:r w:rsidR="006C63A6">
              <w:rPr>
                <w:noProof/>
                <w:webHidden/>
              </w:rPr>
            </w:r>
            <w:r w:rsidR="006C63A6">
              <w:rPr>
                <w:noProof/>
                <w:webHidden/>
              </w:rPr>
              <w:fldChar w:fldCharType="separate"/>
            </w:r>
            <w:r w:rsidR="00A01A4E">
              <w:rPr>
                <w:noProof/>
                <w:webHidden/>
              </w:rPr>
              <w:t>4</w:t>
            </w:r>
            <w:r w:rsidR="006C63A6">
              <w:rPr>
                <w:noProof/>
                <w:webHidden/>
              </w:rPr>
              <w:fldChar w:fldCharType="end"/>
            </w:r>
          </w:hyperlink>
        </w:p>
        <w:p w14:paraId="69C7167A" w14:textId="77777777" w:rsidR="006C63A6" w:rsidRDefault="000117A5">
          <w:pPr>
            <w:pStyle w:val="TOC1"/>
            <w:rPr>
              <w:rFonts w:asciiTheme="minorHAnsi" w:hAnsiTheme="minorHAnsi"/>
              <w:noProof/>
            </w:rPr>
          </w:pPr>
          <w:hyperlink w:anchor="_Toc535596207" w:history="1">
            <w:r w:rsidR="006C63A6" w:rsidRPr="000113E2">
              <w:rPr>
                <w:rStyle w:val="Hyperlink"/>
                <w:noProof/>
              </w:rPr>
              <w:t>2.</w:t>
            </w:r>
            <w:r w:rsidR="006C63A6">
              <w:rPr>
                <w:rFonts w:asciiTheme="minorHAnsi" w:hAnsiTheme="minorHAnsi"/>
                <w:noProof/>
              </w:rPr>
              <w:tab/>
            </w:r>
            <w:r w:rsidR="006C63A6" w:rsidRPr="000113E2">
              <w:rPr>
                <w:rStyle w:val="Hyperlink"/>
                <w:noProof/>
              </w:rPr>
              <w:t>List of recommendations</w:t>
            </w:r>
            <w:r w:rsidR="006C63A6">
              <w:rPr>
                <w:noProof/>
                <w:webHidden/>
              </w:rPr>
              <w:tab/>
            </w:r>
            <w:r w:rsidR="006C63A6">
              <w:rPr>
                <w:noProof/>
                <w:webHidden/>
              </w:rPr>
              <w:fldChar w:fldCharType="begin"/>
            </w:r>
            <w:r w:rsidR="006C63A6">
              <w:rPr>
                <w:noProof/>
                <w:webHidden/>
              </w:rPr>
              <w:instrText xml:space="preserve"> PAGEREF _Toc535596207 \h </w:instrText>
            </w:r>
            <w:r w:rsidR="006C63A6">
              <w:rPr>
                <w:noProof/>
                <w:webHidden/>
              </w:rPr>
            </w:r>
            <w:r w:rsidR="006C63A6">
              <w:rPr>
                <w:noProof/>
                <w:webHidden/>
              </w:rPr>
              <w:fldChar w:fldCharType="separate"/>
            </w:r>
            <w:r w:rsidR="00A01A4E">
              <w:rPr>
                <w:noProof/>
                <w:webHidden/>
              </w:rPr>
              <w:t>5</w:t>
            </w:r>
            <w:r w:rsidR="006C63A6">
              <w:rPr>
                <w:noProof/>
                <w:webHidden/>
              </w:rPr>
              <w:fldChar w:fldCharType="end"/>
            </w:r>
          </w:hyperlink>
        </w:p>
        <w:p w14:paraId="15B62E8C" w14:textId="77777777" w:rsidR="006C63A6" w:rsidRDefault="000117A5">
          <w:pPr>
            <w:pStyle w:val="TOC1"/>
            <w:rPr>
              <w:rFonts w:asciiTheme="minorHAnsi" w:hAnsiTheme="minorHAnsi"/>
              <w:noProof/>
            </w:rPr>
          </w:pPr>
          <w:hyperlink w:anchor="_Toc535596208" w:history="1">
            <w:r w:rsidR="006C63A6" w:rsidRPr="000113E2">
              <w:rPr>
                <w:rStyle w:val="Hyperlink"/>
                <w:noProof/>
              </w:rPr>
              <w:t>3.</w:t>
            </w:r>
            <w:r w:rsidR="006C63A6">
              <w:rPr>
                <w:rFonts w:asciiTheme="minorHAnsi" w:hAnsiTheme="minorHAnsi"/>
                <w:noProof/>
              </w:rPr>
              <w:tab/>
            </w:r>
            <w:r w:rsidR="006C63A6" w:rsidRPr="000113E2">
              <w:rPr>
                <w:rStyle w:val="Hyperlink"/>
                <w:noProof/>
              </w:rPr>
              <w:t>Proposals 1 and 2: connection and repair</w:t>
            </w:r>
            <w:r w:rsidR="006C63A6">
              <w:rPr>
                <w:noProof/>
                <w:webHidden/>
              </w:rPr>
              <w:tab/>
            </w:r>
            <w:r w:rsidR="006C63A6">
              <w:rPr>
                <w:noProof/>
                <w:webHidden/>
              </w:rPr>
              <w:fldChar w:fldCharType="begin"/>
            </w:r>
            <w:r w:rsidR="006C63A6">
              <w:rPr>
                <w:noProof/>
                <w:webHidden/>
              </w:rPr>
              <w:instrText xml:space="preserve"> PAGEREF _Toc535596208 \h </w:instrText>
            </w:r>
            <w:r w:rsidR="006C63A6">
              <w:rPr>
                <w:noProof/>
                <w:webHidden/>
              </w:rPr>
            </w:r>
            <w:r w:rsidR="006C63A6">
              <w:rPr>
                <w:noProof/>
                <w:webHidden/>
              </w:rPr>
              <w:fldChar w:fldCharType="separate"/>
            </w:r>
            <w:r w:rsidR="00A01A4E">
              <w:rPr>
                <w:noProof/>
                <w:webHidden/>
              </w:rPr>
              <w:t>7</w:t>
            </w:r>
            <w:r w:rsidR="006C63A6">
              <w:rPr>
                <w:noProof/>
                <w:webHidden/>
              </w:rPr>
              <w:fldChar w:fldCharType="end"/>
            </w:r>
          </w:hyperlink>
        </w:p>
        <w:p w14:paraId="09247DBD" w14:textId="77777777" w:rsidR="006C63A6" w:rsidRDefault="000117A5">
          <w:pPr>
            <w:pStyle w:val="TOC2"/>
            <w:rPr>
              <w:rFonts w:asciiTheme="minorHAnsi" w:hAnsiTheme="minorHAnsi"/>
            </w:rPr>
          </w:pPr>
          <w:hyperlink w:anchor="_Toc535596209" w:history="1">
            <w:r w:rsidR="006C63A6" w:rsidRPr="000113E2">
              <w:rPr>
                <w:rStyle w:val="Hyperlink"/>
              </w:rPr>
              <w:t>3.1.</w:t>
            </w:r>
            <w:r w:rsidR="006C63A6">
              <w:rPr>
                <w:rFonts w:asciiTheme="minorHAnsi" w:hAnsiTheme="minorHAnsi"/>
              </w:rPr>
              <w:tab/>
            </w:r>
            <w:r w:rsidR="006C63A6" w:rsidRPr="000113E2">
              <w:rPr>
                <w:rStyle w:val="Hyperlink"/>
              </w:rPr>
              <w:t>Connection and repair timeframes</w:t>
            </w:r>
            <w:r w:rsidR="006C63A6">
              <w:rPr>
                <w:webHidden/>
              </w:rPr>
              <w:tab/>
            </w:r>
            <w:r w:rsidR="006C63A6">
              <w:rPr>
                <w:webHidden/>
              </w:rPr>
              <w:fldChar w:fldCharType="begin"/>
            </w:r>
            <w:r w:rsidR="006C63A6">
              <w:rPr>
                <w:webHidden/>
              </w:rPr>
              <w:instrText xml:space="preserve"> PAGEREF _Toc535596209 \h </w:instrText>
            </w:r>
            <w:r w:rsidR="006C63A6">
              <w:rPr>
                <w:webHidden/>
              </w:rPr>
            </w:r>
            <w:r w:rsidR="006C63A6">
              <w:rPr>
                <w:webHidden/>
              </w:rPr>
              <w:fldChar w:fldCharType="separate"/>
            </w:r>
            <w:r w:rsidR="00A01A4E">
              <w:rPr>
                <w:webHidden/>
              </w:rPr>
              <w:t>7</w:t>
            </w:r>
            <w:r w:rsidR="006C63A6">
              <w:rPr>
                <w:webHidden/>
              </w:rPr>
              <w:fldChar w:fldCharType="end"/>
            </w:r>
          </w:hyperlink>
        </w:p>
        <w:p w14:paraId="57F87D12" w14:textId="77777777" w:rsidR="006C63A6" w:rsidRDefault="000117A5">
          <w:pPr>
            <w:pStyle w:val="TOC2"/>
            <w:rPr>
              <w:rFonts w:asciiTheme="minorHAnsi" w:hAnsiTheme="minorHAnsi"/>
            </w:rPr>
          </w:pPr>
          <w:hyperlink w:anchor="_Toc535596210" w:history="1">
            <w:r w:rsidR="006C63A6" w:rsidRPr="000113E2">
              <w:rPr>
                <w:rStyle w:val="Hyperlink"/>
              </w:rPr>
              <w:t>3.2.</w:t>
            </w:r>
            <w:r w:rsidR="006C63A6">
              <w:rPr>
                <w:rFonts w:asciiTheme="minorHAnsi" w:hAnsiTheme="minorHAnsi"/>
              </w:rPr>
              <w:tab/>
            </w:r>
            <w:r w:rsidR="006C63A6" w:rsidRPr="000113E2">
              <w:rPr>
                <w:rStyle w:val="Hyperlink"/>
              </w:rPr>
              <w:t>Missed appointments</w:t>
            </w:r>
            <w:r w:rsidR="006C63A6">
              <w:rPr>
                <w:webHidden/>
              </w:rPr>
              <w:tab/>
            </w:r>
            <w:r w:rsidR="006C63A6">
              <w:rPr>
                <w:webHidden/>
              </w:rPr>
              <w:fldChar w:fldCharType="begin"/>
            </w:r>
            <w:r w:rsidR="006C63A6">
              <w:rPr>
                <w:webHidden/>
              </w:rPr>
              <w:instrText xml:space="preserve"> PAGEREF _Toc535596210 \h </w:instrText>
            </w:r>
            <w:r w:rsidR="006C63A6">
              <w:rPr>
                <w:webHidden/>
              </w:rPr>
            </w:r>
            <w:r w:rsidR="006C63A6">
              <w:rPr>
                <w:webHidden/>
              </w:rPr>
              <w:fldChar w:fldCharType="separate"/>
            </w:r>
            <w:r w:rsidR="00A01A4E">
              <w:rPr>
                <w:webHidden/>
              </w:rPr>
              <w:t>10</w:t>
            </w:r>
            <w:r w:rsidR="006C63A6">
              <w:rPr>
                <w:webHidden/>
              </w:rPr>
              <w:fldChar w:fldCharType="end"/>
            </w:r>
          </w:hyperlink>
        </w:p>
        <w:p w14:paraId="72E30B54" w14:textId="77777777" w:rsidR="006C63A6" w:rsidRDefault="000117A5">
          <w:pPr>
            <w:pStyle w:val="TOC2"/>
            <w:rPr>
              <w:rFonts w:asciiTheme="minorHAnsi" w:hAnsiTheme="minorHAnsi"/>
            </w:rPr>
          </w:pPr>
          <w:hyperlink w:anchor="_Toc535596211" w:history="1">
            <w:r w:rsidR="006C63A6" w:rsidRPr="000113E2">
              <w:rPr>
                <w:rStyle w:val="Hyperlink"/>
              </w:rPr>
              <w:t>3.3.</w:t>
            </w:r>
            <w:r w:rsidR="006C63A6">
              <w:rPr>
                <w:rFonts w:asciiTheme="minorHAnsi" w:hAnsiTheme="minorHAnsi"/>
              </w:rPr>
              <w:tab/>
            </w:r>
            <w:r w:rsidR="006C63A6" w:rsidRPr="000113E2">
              <w:rPr>
                <w:rStyle w:val="Hyperlink"/>
              </w:rPr>
              <w:t>Service for customers with serious medical conditions</w:t>
            </w:r>
            <w:r w:rsidR="006C63A6">
              <w:rPr>
                <w:webHidden/>
              </w:rPr>
              <w:tab/>
            </w:r>
            <w:r w:rsidR="006C63A6">
              <w:rPr>
                <w:webHidden/>
              </w:rPr>
              <w:fldChar w:fldCharType="begin"/>
            </w:r>
            <w:r w:rsidR="006C63A6">
              <w:rPr>
                <w:webHidden/>
              </w:rPr>
              <w:instrText xml:space="preserve"> PAGEREF _Toc535596211 \h </w:instrText>
            </w:r>
            <w:r w:rsidR="006C63A6">
              <w:rPr>
                <w:webHidden/>
              </w:rPr>
            </w:r>
            <w:r w:rsidR="006C63A6">
              <w:rPr>
                <w:webHidden/>
              </w:rPr>
              <w:fldChar w:fldCharType="separate"/>
            </w:r>
            <w:r w:rsidR="00A01A4E">
              <w:rPr>
                <w:webHidden/>
              </w:rPr>
              <w:t>11</w:t>
            </w:r>
            <w:r w:rsidR="006C63A6">
              <w:rPr>
                <w:webHidden/>
              </w:rPr>
              <w:fldChar w:fldCharType="end"/>
            </w:r>
          </w:hyperlink>
        </w:p>
        <w:p w14:paraId="0B369605" w14:textId="1F2F190B" w:rsidR="006C63A6" w:rsidRDefault="000117A5">
          <w:pPr>
            <w:pStyle w:val="TOC2"/>
            <w:rPr>
              <w:rFonts w:asciiTheme="minorHAnsi" w:hAnsiTheme="minorHAnsi"/>
            </w:rPr>
          </w:pPr>
          <w:hyperlink w:anchor="_Toc535596212" w:history="1">
            <w:r w:rsidR="006C63A6" w:rsidRPr="000113E2">
              <w:rPr>
                <w:rStyle w:val="Hyperlink"/>
              </w:rPr>
              <w:t>3.4.</w:t>
            </w:r>
            <w:r w:rsidR="006C63A6">
              <w:rPr>
                <w:rFonts w:asciiTheme="minorHAnsi" w:hAnsiTheme="minorHAnsi"/>
              </w:rPr>
              <w:tab/>
            </w:r>
            <w:r w:rsidR="006C63A6" w:rsidRPr="000113E2">
              <w:rPr>
                <w:rStyle w:val="Hyperlink"/>
              </w:rPr>
              <w:t>Provider variance in connection and repair timeframes</w:t>
            </w:r>
            <w:r w:rsidR="006C63A6">
              <w:rPr>
                <w:webHidden/>
              </w:rPr>
              <w:tab/>
            </w:r>
            <w:r w:rsidR="006C63A6">
              <w:rPr>
                <w:webHidden/>
              </w:rPr>
              <w:fldChar w:fldCharType="begin"/>
            </w:r>
            <w:r w:rsidR="006C63A6">
              <w:rPr>
                <w:webHidden/>
              </w:rPr>
              <w:instrText xml:space="preserve"> PAGEREF _Toc535596212 \h </w:instrText>
            </w:r>
            <w:r w:rsidR="006C63A6">
              <w:rPr>
                <w:webHidden/>
              </w:rPr>
            </w:r>
            <w:r w:rsidR="006C63A6">
              <w:rPr>
                <w:webHidden/>
              </w:rPr>
              <w:fldChar w:fldCharType="separate"/>
            </w:r>
            <w:r w:rsidR="00A01A4E">
              <w:rPr>
                <w:webHidden/>
              </w:rPr>
              <w:t>16</w:t>
            </w:r>
            <w:r w:rsidR="006C63A6">
              <w:rPr>
                <w:webHidden/>
              </w:rPr>
              <w:fldChar w:fldCharType="end"/>
            </w:r>
          </w:hyperlink>
        </w:p>
        <w:p w14:paraId="48260513" w14:textId="6CE08D0A" w:rsidR="006C63A6" w:rsidRDefault="000117A5">
          <w:pPr>
            <w:pStyle w:val="TOC2"/>
            <w:rPr>
              <w:rFonts w:asciiTheme="minorHAnsi" w:hAnsiTheme="minorHAnsi"/>
            </w:rPr>
          </w:pPr>
          <w:hyperlink w:anchor="_Toc535596213" w:history="1">
            <w:r w:rsidR="006C63A6" w:rsidRPr="000113E2">
              <w:rPr>
                <w:rStyle w:val="Hyperlink"/>
              </w:rPr>
              <w:t>3.5.</w:t>
            </w:r>
            <w:r w:rsidR="006C63A6">
              <w:rPr>
                <w:rFonts w:asciiTheme="minorHAnsi" w:hAnsiTheme="minorHAnsi"/>
              </w:rPr>
              <w:tab/>
            </w:r>
            <w:r w:rsidR="006C63A6" w:rsidRPr="000113E2">
              <w:rPr>
                <w:rStyle w:val="Hyperlink"/>
              </w:rPr>
              <w:t>Contract termination for frequent or recurring faults</w:t>
            </w:r>
            <w:r w:rsidR="006C63A6">
              <w:rPr>
                <w:webHidden/>
              </w:rPr>
              <w:tab/>
            </w:r>
            <w:r w:rsidR="006C63A6">
              <w:rPr>
                <w:webHidden/>
              </w:rPr>
              <w:fldChar w:fldCharType="begin"/>
            </w:r>
            <w:r w:rsidR="006C63A6">
              <w:rPr>
                <w:webHidden/>
              </w:rPr>
              <w:instrText xml:space="preserve"> PAGEREF _Toc535596213 \h </w:instrText>
            </w:r>
            <w:r w:rsidR="006C63A6">
              <w:rPr>
                <w:webHidden/>
              </w:rPr>
            </w:r>
            <w:r w:rsidR="006C63A6">
              <w:rPr>
                <w:webHidden/>
              </w:rPr>
              <w:fldChar w:fldCharType="separate"/>
            </w:r>
            <w:r w:rsidR="00A01A4E">
              <w:rPr>
                <w:webHidden/>
              </w:rPr>
              <w:t>17</w:t>
            </w:r>
            <w:r w:rsidR="006C63A6">
              <w:rPr>
                <w:webHidden/>
              </w:rPr>
              <w:fldChar w:fldCharType="end"/>
            </w:r>
          </w:hyperlink>
        </w:p>
        <w:p w14:paraId="759D79C6" w14:textId="7D8FB4DC" w:rsidR="006C63A6" w:rsidRDefault="000117A5">
          <w:pPr>
            <w:pStyle w:val="TOC2"/>
            <w:rPr>
              <w:rFonts w:asciiTheme="minorHAnsi" w:hAnsiTheme="minorHAnsi"/>
            </w:rPr>
          </w:pPr>
          <w:hyperlink w:anchor="_Toc535596214" w:history="1">
            <w:r w:rsidR="006C63A6" w:rsidRPr="000113E2">
              <w:rPr>
                <w:rStyle w:val="Hyperlink"/>
              </w:rPr>
              <w:t>3.6.</w:t>
            </w:r>
            <w:r w:rsidR="006C63A6">
              <w:rPr>
                <w:rFonts w:asciiTheme="minorHAnsi" w:hAnsiTheme="minorHAnsi"/>
              </w:rPr>
              <w:tab/>
            </w:r>
            <w:r w:rsidR="006C63A6" w:rsidRPr="000113E2">
              <w:rPr>
                <w:rStyle w:val="Hyperlink"/>
              </w:rPr>
              <w:t>Incentives to repair faults quickly</w:t>
            </w:r>
            <w:r w:rsidR="006C63A6">
              <w:rPr>
                <w:webHidden/>
              </w:rPr>
              <w:tab/>
            </w:r>
            <w:r w:rsidR="006C63A6">
              <w:rPr>
                <w:webHidden/>
              </w:rPr>
              <w:fldChar w:fldCharType="begin"/>
            </w:r>
            <w:r w:rsidR="006C63A6">
              <w:rPr>
                <w:webHidden/>
              </w:rPr>
              <w:instrText xml:space="preserve"> PAGEREF _Toc535596214 \h </w:instrText>
            </w:r>
            <w:r w:rsidR="006C63A6">
              <w:rPr>
                <w:webHidden/>
              </w:rPr>
            </w:r>
            <w:r w:rsidR="006C63A6">
              <w:rPr>
                <w:webHidden/>
              </w:rPr>
              <w:fldChar w:fldCharType="separate"/>
            </w:r>
            <w:r w:rsidR="00A01A4E">
              <w:rPr>
                <w:webHidden/>
              </w:rPr>
              <w:t>17</w:t>
            </w:r>
            <w:r w:rsidR="006C63A6">
              <w:rPr>
                <w:webHidden/>
              </w:rPr>
              <w:fldChar w:fldCharType="end"/>
            </w:r>
          </w:hyperlink>
        </w:p>
        <w:p w14:paraId="355592E6" w14:textId="0D1A6246" w:rsidR="006C63A6" w:rsidRDefault="000117A5">
          <w:pPr>
            <w:pStyle w:val="TOC1"/>
            <w:rPr>
              <w:rFonts w:asciiTheme="minorHAnsi" w:hAnsiTheme="minorHAnsi"/>
              <w:noProof/>
            </w:rPr>
          </w:pPr>
          <w:hyperlink w:anchor="_Toc535596215" w:history="1">
            <w:r w:rsidR="006C63A6" w:rsidRPr="000113E2">
              <w:rPr>
                <w:rStyle w:val="Hyperlink"/>
                <w:noProof/>
              </w:rPr>
              <w:t>4.</w:t>
            </w:r>
            <w:r w:rsidR="006C63A6">
              <w:rPr>
                <w:rFonts w:asciiTheme="minorHAnsi" w:hAnsiTheme="minorHAnsi"/>
                <w:noProof/>
              </w:rPr>
              <w:tab/>
            </w:r>
            <w:r w:rsidR="006C63A6" w:rsidRPr="000113E2">
              <w:rPr>
                <w:rStyle w:val="Hyperlink"/>
                <w:noProof/>
              </w:rPr>
              <w:t>Proposals 3 and 4: reliability reporting</w:t>
            </w:r>
            <w:r w:rsidR="006C63A6">
              <w:rPr>
                <w:noProof/>
                <w:webHidden/>
              </w:rPr>
              <w:tab/>
            </w:r>
            <w:r w:rsidR="006C63A6">
              <w:rPr>
                <w:noProof/>
                <w:webHidden/>
              </w:rPr>
              <w:fldChar w:fldCharType="begin"/>
            </w:r>
            <w:r w:rsidR="006C63A6">
              <w:rPr>
                <w:noProof/>
                <w:webHidden/>
              </w:rPr>
              <w:instrText xml:space="preserve"> PAGEREF _Toc535596215 \h </w:instrText>
            </w:r>
            <w:r w:rsidR="006C63A6">
              <w:rPr>
                <w:noProof/>
                <w:webHidden/>
              </w:rPr>
            </w:r>
            <w:r w:rsidR="006C63A6">
              <w:rPr>
                <w:noProof/>
                <w:webHidden/>
              </w:rPr>
              <w:fldChar w:fldCharType="separate"/>
            </w:r>
            <w:r w:rsidR="00A01A4E">
              <w:rPr>
                <w:noProof/>
                <w:webHidden/>
              </w:rPr>
              <w:t>22</w:t>
            </w:r>
            <w:r w:rsidR="006C63A6">
              <w:rPr>
                <w:noProof/>
                <w:webHidden/>
              </w:rPr>
              <w:fldChar w:fldCharType="end"/>
            </w:r>
          </w:hyperlink>
        </w:p>
        <w:p w14:paraId="2EF13FAC" w14:textId="4838BEC4" w:rsidR="006C63A6" w:rsidRDefault="000117A5">
          <w:pPr>
            <w:pStyle w:val="TOC2"/>
            <w:rPr>
              <w:rFonts w:asciiTheme="minorHAnsi" w:hAnsiTheme="minorHAnsi"/>
            </w:rPr>
          </w:pPr>
          <w:hyperlink w:anchor="_Toc535596216" w:history="1">
            <w:r w:rsidR="006C63A6" w:rsidRPr="000113E2">
              <w:rPr>
                <w:rStyle w:val="Hyperlink"/>
              </w:rPr>
              <w:t>4.1.</w:t>
            </w:r>
            <w:r w:rsidR="006C63A6">
              <w:rPr>
                <w:rFonts w:asciiTheme="minorHAnsi" w:hAnsiTheme="minorHAnsi"/>
              </w:rPr>
              <w:tab/>
            </w:r>
            <w:r w:rsidR="006C63A6" w:rsidRPr="000113E2">
              <w:rPr>
                <w:rStyle w:val="Hyperlink"/>
              </w:rPr>
              <w:t>Information for consumers</w:t>
            </w:r>
            <w:r w:rsidR="006C63A6">
              <w:rPr>
                <w:webHidden/>
              </w:rPr>
              <w:tab/>
            </w:r>
            <w:r w:rsidR="006C63A6">
              <w:rPr>
                <w:webHidden/>
              </w:rPr>
              <w:fldChar w:fldCharType="begin"/>
            </w:r>
            <w:r w:rsidR="006C63A6">
              <w:rPr>
                <w:webHidden/>
              </w:rPr>
              <w:instrText xml:space="preserve"> PAGEREF _Toc535596216 \h </w:instrText>
            </w:r>
            <w:r w:rsidR="006C63A6">
              <w:rPr>
                <w:webHidden/>
              </w:rPr>
            </w:r>
            <w:r w:rsidR="006C63A6">
              <w:rPr>
                <w:webHidden/>
              </w:rPr>
              <w:fldChar w:fldCharType="separate"/>
            </w:r>
            <w:r w:rsidR="00A01A4E">
              <w:rPr>
                <w:webHidden/>
              </w:rPr>
              <w:t>22</w:t>
            </w:r>
            <w:r w:rsidR="006C63A6">
              <w:rPr>
                <w:webHidden/>
              </w:rPr>
              <w:fldChar w:fldCharType="end"/>
            </w:r>
          </w:hyperlink>
        </w:p>
        <w:p w14:paraId="78247336" w14:textId="43FB4CE7" w:rsidR="006C63A6" w:rsidRDefault="000117A5">
          <w:pPr>
            <w:pStyle w:val="TOC2"/>
            <w:rPr>
              <w:rFonts w:asciiTheme="minorHAnsi" w:hAnsiTheme="minorHAnsi"/>
            </w:rPr>
          </w:pPr>
          <w:hyperlink w:anchor="_Toc535596217" w:history="1">
            <w:r w:rsidR="006C63A6" w:rsidRPr="000113E2">
              <w:rPr>
                <w:rStyle w:val="Hyperlink"/>
              </w:rPr>
              <w:t>4.2.</w:t>
            </w:r>
            <w:r w:rsidR="006C63A6">
              <w:rPr>
                <w:rFonts w:asciiTheme="minorHAnsi" w:hAnsiTheme="minorHAnsi"/>
              </w:rPr>
              <w:tab/>
            </w:r>
            <w:r w:rsidR="006C63A6" w:rsidRPr="000113E2">
              <w:rPr>
                <w:rStyle w:val="Hyperlink"/>
              </w:rPr>
              <w:t>Network reliability data for ACMA reporting</w:t>
            </w:r>
            <w:r w:rsidR="006C63A6">
              <w:rPr>
                <w:webHidden/>
              </w:rPr>
              <w:tab/>
            </w:r>
            <w:r w:rsidR="006C63A6">
              <w:rPr>
                <w:webHidden/>
              </w:rPr>
              <w:fldChar w:fldCharType="begin"/>
            </w:r>
            <w:r w:rsidR="006C63A6">
              <w:rPr>
                <w:webHidden/>
              </w:rPr>
              <w:instrText xml:space="preserve"> PAGEREF _Toc535596217 \h </w:instrText>
            </w:r>
            <w:r w:rsidR="006C63A6">
              <w:rPr>
                <w:webHidden/>
              </w:rPr>
            </w:r>
            <w:r w:rsidR="006C63A6">
              <w:rPr>
                <w:webHidden/>
              </w:rPr>
              <w:fldChar w:fldCharType="separate"/>
            </w:r>
            <w:r w:rsidR="00A01A4E">
              <w:rPr>
                <w:webHidden/>
              </w:rPr>
              <w:t>23</w:t>
            </w:r>
            <w:r w:rsidR="006C63A6">
              <w:rPr>
                <w:webHidden/>
              </w:rPr>
              <w:fldChar w:fldCharType="end"/>
            </w:r>
          </w:hyperlink>
        </w:p>
        <w:p w14:paraId="2964D4A2" w14:textId="1AC222BF" w:rsidR="006C63A6" w:rsidRDefault="000117A5">
          <w:pPr>
            <w:pStyle w:val="TOC2"/>
            <w:rPr>
              <w:rFonts w:asciiTheme="minorHAnsi" w:hAnsiTheme="minorHAnsi"/>
            </w:rPr>
          </w:pPr>
          <w:hyperlink w:anchor="_Toc535596218" w:history="1">
            <w:r w:rsidR="006C63A6" w:rsidRPr="000113E2">
              <w:rPr>
                <w:rStyle w:val="Hyperlink"/>
              </w:rPr>
              <w:t>4.3.</w:t>
            </w:r>
            <w:r w:rsidR="006C63A6">
              <w:rPr>
                <w:rFonts w:asciiTheme="minorHAnsi" w:hAnsiTheme="minorHAnsi"/>
              </w:rPr>
              <w:tab/>
            </w:r>
            <w:r w:rsidR="006C63A6" w:rsidRPr="000113E2">
              <w:rPr>
                <w:rStyle w:val="Hyperlink"/>
              </w:rPr>
              <w:t>Communication with consumers</w:t>
            </w:r>
            <w:r w:rsidR="006C63A6">
              <w:rPr>
                <w:webHidden/>
              </w:rPr>
              <w:tab/>
            </w:r>
            <w:r w:rsidR="006C63A6">
              <w:rPr>
                <w:webHidden/>
              </w:rPr>
              <w:fldChar w:fldCharType="begin"/>
            </w:r>
            <w:r w:rsidR="006C63A6">
              <w:rPr>
                <w:webHidden/>
              </w:rPr>
              <w:instrText xml:space="preserve"> PAGEREF _Toc535596218 \h </w:instrText>
            </w:r>
            <w:r w:rsidR="006C63A6">
              <w:rPr>
                <w:webHidden/>
              </w:rPr>
            </w:r>
            <w:r w:rsidR="006C63A6">
              <w:rPr>
                <w:webHidden/>
              </w:rPr>
              <w:fldChar w:fldCharType="separate"/>
            </w:r>
            <w:r w:rsidR="00A01A4E">
              <w:rPr>
                <w:webHidden/>
              </w:rPr>
              <w:t>24</w:t>
            </w:r>
            <w:r w:rsidR="006C63A6">
              <w:rPr>
                <w:webHidden/>
              </w:rPr>
              <w:fldChar w:fldCharType="end"/>
            </w:r>
          </w:hyperlink>
        </w:p>
        <w:p w14:paraId="1C3E01A0" w14:textId="24BBB149" w:rsidR="006C63A6" w:rsidRDefault="000117A5">
          <w:pPr>
            <w:pStyle w:val="TOC2"/>
            <w:rPr>
              <w:rFonts w:asciiTheme="minorHAnsi" w:hAnsiTheme="minorHAnsi"/>
            </w:rPr>
          </w:pPr>
          <w:hyperlink w:anchor="_Toc535596219" w:history="1">
            <w:r w:rsidR="006C63A6" w:rsidRPr="000113E2">
              <w:rPr>
                <w:rStyle w:val="Hyperlink"/>
              </w:rPr>
              <w:t>4.4.</w:t>
            </w:r>
            <w:r w:rsidR="006C63A6">
              <w:rPr>
                <w:rFonts w:asciiTheme="minorHAnsi" w:hAnsiTheme="minorHAnsi"/>
              </w:rPr>
              <w:tab/>
            </w:r>
            <w:r w:rsidR="006C63A6" w:rsidRPr="000113E2">
              <w:rPr>
                <w:rStyle w:val="Hyperlink"/>
              </w:rPr>
              <w:t>Industry data for ACMA reporting</w:t>
            </w:r>
            <w:r w:rsidR="006C63A6">
              <w:rPr>
                <w:webHidden/>
              </w:rPr>
              <w:tab/>
            </w:r>
            <w:r w:rsidR="006C63A6">
              <w:rPr>
                <w:webHidden/>
              </w:rPr>
              <w:fldChar w:fldCharType="begin"/>
            </w:r>
            <w:r w:rsidR="006C63A6">
              <w:rPr>
                <w:webHidden/>
              </w:rPr>
              <w:instrText xml:space="preserve"> PAGEREF _Toc535596219 \h </w:instrText>
            </w:r>
            <w:r w:rsidR="006C63A6">
              <w:rPr>
                <w:webHidden/>
              </w:rPr>
            </w:r>
            <w:r w:rsidR="006C63A6">
              <w:rPr>
                <w:webHidden/>
              </w:rPr>
              <w:fldChar w:fldCharType="separate"/>
            </w:r>
            <w:r w:rsidR="00A01A4E">
              <w:rPr>
                <w:webHidden/>
              </w:rPr>
              <w:t>25</w:t>
            </w:r>
            <w:r w:rsidR="006C63A6">
              <w:rPr>
                <w:webHidden/>
              </w:rPr>
              <w:fldChar w:fldCharType="end"/>
            </w:r>
          </w:hyperlink>
        </w:p>
        <w:p w14:paraId="11D12880" w14:textId="4F8D0453" w:rsidR="006C63A6" w:rsidRDefault="000117A5">
          <w:pPr>
            <w:pStyle w:val="TOC2"/>
            <w:rPr>
              <w:rFonts w:asciiTheme="minorHAnsi" w:hAnsiTheme="minorHAnsi"/>
            </w:rPr>
          </w:pPr>
          <w:hyperlink w:anchor="_Toc535596220" w:history="1">
            <w:r w:rsidR="006C63A6" w:rsidRPr="000113E2">
              <w:rPr>
                <w:rStyle w:val="Hyperlink"/>
              </w:rPr>
              <w:t>4.5.</w:t>
            </w:r>
            <w:r w:rsidR="006C63A6">
              <w:rPr>
                <w:rFonts w:asciiTheme="minorHAnsi" w:hAnsiTheme="minorHAnsi"/>
              </w:rPr>
              <w:tab/>
            </w:r>
            <w:r w:rsidR="006C63A6" w:rsidRPr="000113E2">
              <w:rPr>
                <w:rStyle w:val="Hyperlink"/>
              </w:rPr>
              <w:t>Frequency of ACMA reporting</w:t>
            </w:r>
            <w:r w:rsidR="006C63A6">
              <w:rPr>
                <w:webHidden/>
              </w:rPr>
              <w:tab/>
            </w:r>
            <w:r w:rsidR="006C63A6">
              <w:rPr>
                <w:webHidden/>
              </w:rPr>
              <w:fldChar w:fldCharType="begin"/>
            </w:r>
            <w:r w:rsidR="006C63A6">
              <w:rPr>
                <w:webHidden/>
              </w:rPr>
              <w:instrText xml:space="preserve"> PAGEREF _Toc535596220 \h </w:instrText>
            </w:r>
            <w:r w:rsidR="006C63A6">
              <w:rPr>
                <w:webHidden/>
              </w:rPr>
            </w:r>
            <w:r w:rsidR="006C63A6">
              <w:rPr>
                <w:webHidden/>
              </w:rPr>
              <w:fldChar w:fldCharType="separate"/>
            </w:r>
            <w:r w:rsidR="00A01A4E">
              <w:rPr>
                <w:webHidden/>
              </w:rPr>
              <w:t>28</w:t>
            </w:r>
            <w:r w:rsidR="006C63A6">
              <w:rPr>
                <w:webHidden/>
              </w:rPr>
              <w:fldChar w:fldCharType="end"/>
            </w:r>
          </w:hyperlink>
        </w:p>
        <w:p w14:paraId="200B7405" w14:textId="6FEBD6F1" w:rsidR="006C63A6" w:rsidRDefault="000117A5">
          <w:pPr>
            <w:pStyle w:val="TOC1"/>
            <w:rPr>
              <w:rFonts w:asciiTheme="minorHAnsi" w:hAnsiTheme="minorHAnsi"/>
              <w:noProof/>
            </w:rPr>
          </w:pPr>
          <w:hyperlink w:anchor="_Toc535596221" w:history="1">
            <w:r w:rsidR="006C63A6" w:rsidRPr="000113E2">
              <w:rPr>
                <w:rStyle w:val="Hyperlink"/>
                <w:noProof/>
              </w:rPr>
              <w:t>5.</w:t>
            </w:r>
            <w:r w:rsidR="006C63A6">
              <w:rPr>
                <w:rFonts w:asciiTheme="minorHAnsi" w:hAnsiTheme="minorHAnsi"/>
                <w:noProof/>
              </w:rPr>
              <w:tab/>
            </w:r>
            <w:r w:rsidR="006C63A6" w:rsidRPr="000113E2">
              <w:rPr>
                <w:rStyle w:val="Hyperlink"/>
                <w:noProof/>
              </w:rPr>
              <w:t>General issues for comment</w:t>
            </w:r>
            <w:r w:rsidR="006C63A6">
              <w:rPr>
                <w:noProof/>
                <w:webHidden/>
              </w:rPr>
              <w:tab/>
            </w:r>
            <w:r w:rsidR="006C63A6">
              <w:rPr>
                <w:noProof/>
                <w:webHidden/>
              </w:rPr>
              <w:fldChar w:fldCharType="begin"/>
            </w:r>
            <w:r w:rsidR="006C63A6">
              <w:rPr>
                <w:noProof/>
                <w:webHidden/>
              </w:rPr>
              <w:instrText xml:space="preserve"> PAGEREF _Toc535596221 \h </w:instrText>
            </w:r>
            <w:r w:rsidR="006C63A6">
              <w:rPr>
                <w:noProof/>
                <w:webHidden/>
              </w:rPr>
            </w:r>
            <w:r w:rsidR="006C63A6">
              <w:rPr>
                <w:noProof/>
                <w:webHidden/>
              </w:rPr>
              <w:fldChar w:fldCharType="separate"/>
            </w:r>
            <w:r w:rsidR="00A01A4E">
              <w:rPr>
                <w:noProof/>
                <w:webHidden/>
              </w:rPr>
              <w:t>29</w:t>
            </w:r>
            <w:r w:rsidR="006C63A6">
              <w:rPr>
                <w:noProof/>
                <w:webHidden/>
              </w:rPr>
              <w:fldChar w:fldCharType="end"/>
            </w:r>
          </w:hyperlink>
        </w:p>
        <w:p w14:paraId="726E9C29" w14:textId="45A1BFE1" w:rsidR="006C63A6" w:rsidRDefault="000117A5">
          <w:pPr>
            <w:pStyle w:val="TOC2"/>
            <w:rPr>
              <w:rFonts w:asciiTheme="minorHAnsi" w:hAnsiTheme="minorHAnsi"/>
            </w:rPr>
          </w:pPr>
          <w:hyperlink w:anchor="_Toc535596222" w:history="1">
            <w:r w:rsidR="006C63A6" w:rsidRPr="000113E2">
              <w:rPr>
                <w:rStyle w:val="Hyperlink"/>
              </w:rPr>
              <w:t>5.1.</w:t>
            </w:r>
            <w:r w:rsidR="006C63A6">
              <w:rPr>
                <w:rFonts w:asciiTheme="minorHAnsi" w:hAnsiTheme="minorHAnsi"/>
              </w:rPr>
              <w:tab/>
            </w:r>
            <w:r w:rsidR="006C63A6" w:rsidRPr="000113E2">
              <w:rPr>
                <w:rStyle w:val="Hyperlink"/>
              </w:rPr>
              <w:t>Adequacy of proposals</w:t>
            </w:r>
            <w:r w:rsidR="006C63A6">
              <w:rPr>
                <w:webHidden/>
              </w:rPr>
              <w:tab/>
            </w:r>
            <w:r w:rsidR="006C63A6">
              <w:rPr>
                <w:webHidden/>
              </w:rPr>
              <w:fldChar w:fldCharType="begin"/>
            </w:r>
            <w:r w:rsidR="006C63A6">
              <w:rPr>
                <w:webHidden/>
              </w:rPr>
              <w:instrText xml:space="preserve"> PAGEREF _Toc535596222 \h </w:instrText>
            </w:r>
            <w:r w:rsidR="006C63A6">
              <w:rPr>
                <w:webHidden/>
              </w:rPr>
            </w:r>
            <w:r w:rsidR="006C63A6">
              <w:rPr>
                <w:webHidden/>
              </w:rPr>
              <w:fldChar w:fldCharType="separate"/>
            </w:r>
            <w:r w:rsidR="00A01A4E">
              <w:rPr>
                <w:webHidden/>
              </w:rPr>
              <w:t>29</w:t>
            </w:r>
            <w:r w:rsidR="006C63A6">
              <w:rPr>
                <w:webHidden/>
              </w:rPr>
              <w:fldChar w:fldCharType="end"/>
            </w:r>
          </w:hyperlink>
        </w:p>
        <w:p w14:paraId="1869C184" w14:textId="694AFCF8" w:rsidR="006C63A6" w:rsidRDefault="000117A5">
          <w:pPr>
            <w:pStyle w:val="TOC2"/>
            <w:rPr>
              <w:rFonts w:asciiTheme="minorHAnsi" w:hAnsiTheme="minorHAnsi"/>
            </w:rPr>
          </w:pPr>
          <w:hyperlink w:anchor="_Toc535596223" w:history="1">
            <w:r w:rsidR="006C63A6" w:rsidRPr="000113E2">
              <w:rPr>
                <w:rStyle w:val="Hyperlink"/>
              </w:rPr>
              <w:t>5.2.</w:t>
            </w:r>
            <w:r w:rsidR="006C63A6">
              <w:rPr>
                <w:rFonts w:asciiTheme="minorHAnsi" w:hAnsiTheme="minorHAnsi"/>
              </w:rPr>
              <w:tab/>
            </w:r>
            <w:r w:rsidR="006C63A6" w:rsidRPr="000113E2">
              <w:rPr>
                <w:rStyle w:val="Hyperlink"/>
              </w:rPr>
              <w:t>Unintended consequences of the proposals</w:t>
            </w:r>
            <w:r w:rsidR="006C63A6">
              <w:rPr>
                <w:webHidden/>
              </w:rPr>
              <w:tab/>
            </w:r>
            <w:r w:rsidR="006C63A6">
              <w:rPr>
                <w:webHidden/>
              </w:rPr>
              <w:fldChar w:fldCharType="begin"/>
            </w:r>
            <w:r w:rsidR="006C63A6">
              <w:rPr>
                <w:webHidden/>
              </w:rPr>
              <w:instrText xml:space="preserve"> PAGEREF _Toc535596223 \h </w:instrText>
            </w:r>
            <w:r w:rsidR="006C63A6">
              <w:rPr>
                <w:webHidden/>
              </w:rPr>
            </w:r>
            <w:r w:rsidR="006C63A6">
              <w:rPr>
                <w:webHidden/>
              </w:rPr>
              <w:fldChar w:fldCharType="separate"/>
            </w:r>
            <w:r w:rsidR="00A01A4E">
              <w:rPr>
                <w:webHidden/>
              </w:rPr>
              <w:t>29</w:t>
            </w:r>
            <w:r w:rsidR="006C63A6">
              <w:rPr>
                <w:webHidden/>
              </w:rPr>
              <w:fldChar w:fldCharType="end"/>
            </w:r>
          </w:hyperlink>
        </w:p>
        <w:p w14:paraId="2C3198BB" w14:textId="7CD794F3" w:rsidR="006C63A6" w:rsidRDefault="000117A5">
          <w:pPr>
            <w:pStyle w:val="TOC2"/>
            <w:rPr>
              <w:rFonts w:asciiTheme="minorHAnsi" w:hAnsiTheme="minorHAnsi"/>
            </w:rPr>
          </w:pPr>
          <w:hyperlink w:anchor="_Toc535596224" w:history="1">
            <w:r w:rsidR="006C63A6" w:rsidRPr="000113E2">
              <w:rPr>
                <w:rStyle w:val="Hyperlink"/>
              </w:rPr>
              <w:t>5.3.</w:t>
            </w:r>
            <w:r w:rsidR="006C63A6">
              <w:rPr>
                <w:rFonts w:asciiTheme="minorHAnsi" w:hAnsiTheme="minorHAnsi"/>
              </w:rPr>
              <w:tab/>
            </w:r>
            <w:r w:rsidR="006C63A6" w:rsidRPr="000113E2">
              <w:rPr>
                <w:rStyle w:val="Hyperlink"/>
              </w:rPr>
              <w:t>Implementation</w:t>
            </w:r>
            <w:r w:rsidR="006C63A6">
              <w:rPr>
                <w:webHidden/>
              </w:rPr>
              <w:tab/>
            </w:r>
            <w:r w:rsidR="006C63A6">
              <w:rPr>
                <w:webHidden/>
              </w:rPr>
              <w:fldChar w:fldCharType="begin"/>
            </w:r>
            <w:r w:rsidR="006C63A6">
              <w:rPr>
                <w:webHidden/>
              </w:rPr>
              <w:instrText xml:space="preserve"> PAGEREF _Toc535596224 \h </w:instrText>
            </w:r>
            <w:r w:rsidR="006C63A6">
              <w:rPr>
                <w:webHidden/>
              </w:rPr>
            </w:r>
            <w:r w:rsidR="006C63A6">
              <w:rPr>
                <w:webHidden/>
              </w:rPr>
              <w:fldChar w:fldCharType="separate"/>
            </w:r>
            <w:r w:rsidR="00A01A4E">
              <w:rPr>
                <w:webHidden/>
              </w:rPr>
              <w:t>29</w:t>
            </w:r>
            <w:r w:rsidR="006C63A6">
              <w:rPr>
                <w:webHidden/>
              </w:rPr>
              <w:fldChar w:fldCharType="end"/>
            </w:r>
          </w:hyperlink>
        </w:p>
        <w:p w14:paraId="05BD051F" w14:textId="757A2CD4" w:rsidR="006C63A6" w:rsidRDefault="000117A5">
          <w:pPr>
            <w:pStyle w:val="TOC2"/>
            <w:rPr>
              <w:rFonts w:asciiTheme="minorHAnsi" w:hAnsiTheme="minorHAnsi"/>
            </w:rPr>
          </w:pPr>
          <w:hyperlink w:anchor="_Toc535596225" w:history="1">
            <w:r w:rsidR="006C63A6" w:rsidRPr="000113E2">
              <w:rPr>
                <w:rStyle w:val="Hyperlink"/>
              </w:rPr>
              <w:t>5.4.</w:t>
            </w:r>
            <w:r w:rsidR="006C63A6">
              <w:rPr>
                <w:rFonts w:asciiTheme="minorHAnsi" w:hAnsiTheme="minorHAnsi"/>
              </w:rPr>
              <w:tab/>
            </w:r>
            <w:r w:rsidR="006C63A6" w:rsidRPr="000113E2">
              <w:rPr>
                <w:rStyle w:val="Hyperlink"/>
              </w:rPr>
              <w:t>Other issues</w:t>
            </w:r>
            <w:r w:rsidR="006C63A6">
              <w:rPr>
                <w:webHidden/>
              </w:rPr>
              <w:tab/>
            </w:r>
            <w:r w:rsidR="006C63A6">
              <w:rPr>
                <w:webHidden/>
              </w:rPr>
              <w:fldChar w:fldCharType="begin"/>
            </w:r>
            <w:r w:rsidR="006C63A6">
              <w:rPr>
                <w:webHidden/>
              </w:rPr>
              <w:instrText xml:space="preserve"> PAGEREF _Toc535596225 \h </w:instrText>
            </w:r>
            <w:r w:rsidR="006C63A6">
              <w:rPr>
                <w:webHidden/>
              </w:rPr>
            </w:r>
            <w:r w:rsidR="006C63A6">
              <w:rPr>
                <w:webHidden/>
              </w:rPr>
              <w:fldChar w:fldCharType="separate"/>
            </w:r>
            <w:r w:rsidR="00A01A4E">
              <w:rPr>
                <w:webHidden/>
              </w:rPr>
              <w:t>31</w:t>
            </w:r>
            <w:r w:rsidR="006C63A6">
              <w:rPr>
                <w:webHidden/>
              </w:rPr>
              <w:fldChar w:fldCharType="end"/>
            </w:r>
          </w:hyperlink>
        </w:p>
        <w:p w14:paraId="7F2CBAE7" w14:textId="14819964" w:rsidR="00EC1696" w:rsidRPr="003441E5" w:rsidRDefault="00EC1696">
          <w:r w:rsidRPr="003441E5">
            <w:rPr>
              <w:b/>
              <w:bCs/>
              <w:noProof/>
            </w:rPr>
            <w:fldChar w:fldCharType="end"/>
          </w:r>
          <w:r w:rsidR="00EC700D">
            <w:rPr>
              <w:b/>
              <w:bCs/>
              <w:noProof/>
            </w:rPr>
            <w:t>Attachment A: A Guarantee For the Future</w:t>
          </w:r>
        </w:p>
      </w:sdtContent>
    </w:sdt>
    <w:p w14:paraId="720B3450" w14:textId="77777777" w:rsidR="00AD032B" w:rsidRPr="003441E5" w:rsidRDefault="00AD032B" w:rsidP="00EC1696"/>
    <w:p w14:paraId="32E2DFC4" w14:textId="77777777" w:rsidR="009F4B9D" w:rsidRPr="003441E5" w:rsidRDefault="009F4B9D" w:rsidP="00B14DFB">
      <w:pPr>
        <w:rPr>
          <w:lang w:eastAsia="en-US"/>
        </w:rPr>
      </w:pPr>
    </w:p>
    <w:p w14:paraId="44AF4209" w14:textId="77777777" w:rsidR="00027253" w:rsidRPr="003441E5" w:rsidRDefault="00400F75" w:rsidP="002A629E">
      <w:pPr>
        <w:pStyle w:val="Heading1"/>
      </w:pPr>
      <w:bookmarkStart w:id="1" w:name="_Toc535530133"/>
      <w:bookmarkStart w:id="2" w:name="_Toc535596206"/>
      <w:r>
        <w:lastRenderedPageBreak/>
        <w:t>Introduction</w:t>
      </w:r>
      <w:bookmarkEnd w:id="1"/>
      <w:bookmarkEnd w:id="2"/>
    </w:p>
    <w:p w14:paraId="4104DAC4" w14:textId="1D229111" w:rsidR="00600F8E" w:rsidRDefault="00600F8E" w:rsidP="00600F8E">
      <w:pPr>
        <w:spacing w:before="0" w:beforeAutospacing="0" w:after="200" w:afterAutospacing="0" w:line="276" w:lineRule="auto"/>
      </w:pPr>
      <w:r>
        <w:t xml:space="preserve">Telecommunications services are a critical enabler for the Australian economy. </w:t>
      </w:r>
      <w:r w:rsidR="00D34BD8">
        <w:t>R</w:t>
      </w:r>
      <w:r>
        <w:t xml:space="preserve">oads and ports transport goods, </w:t>
      </w:r>
      <w:r w:rsidR="00D34BD8">
        <w:t>while</w:t>
      </w:r>
      <w:r>
        <w:t xml:space="preserve"> the internet transports services. </w:t>
      </w:r>
      <w:r w:rsidR="00D34BD8">
        <w:t>W</w:t>
      </w:r>
      <w:r>
        <w:t xml:space="preserve">ater and electricity networks enable health, </w:t>
      </w:r>
      <w:r w:rsidR="00D34BD8">
        <w:t xml:space="preserve">and </w:t>
      </w:r>
      <w:r>
        <w:t xml:space="preserve">so too do </w:t>
      </w:r>
      <w:r w:rsidR="005E7E32">
        <w:t>telecommunications networks</w:t>
      </w:r>
      <w:r>
        <w:t xml:space="preserve">. Individuals and businesses rely on continuous access to telecommunications services in order to conduct business and manage their lives. </w:t>
      </w:r>
    </w:p>
    <w:p w14:paraId="72497501" w14:textId="77777777" w:rsidR="00600F8E" w:rsidRDefault="00600F8E" w:rsidP="00600F8E">
      <w:pPr>
        <w:spacing w:before="0" w:beforeAutospacing="0" w:after="200" w:afterAutospacing="0" w:line="276" w:lineRule="auto"/>
      </w:pPr>
      <w:r>
        <w:t>The current consumer protection framework inadequately reflects the essential service characteristics of telecommunications services and the current market structure. It places obligations on Telstra to provide fixed line voice services with no corresponding requirements for broadband or obligations for any other provider to meet standards. A new regulatory framework that reflects the principles set out in the Department’s consultation paper is long overdue.</w:t>
      </w:r>
    </w:p>
    <w:p w14:paraId="12853953" w14:textId="77777777" w:rsidR="004B7462" w:rsidRDefault="00400F75" w:rsidP="004B7462">
      <w:pPr>
        <w:rPr>
          <w:lang w:eastAsia="en-US"/>
        </w:rPr>
      </w:pPr>
      <w:r>
        <w:rPr>
          <w:lang w:eastAsia="en-US"/>
        </w:rPr>
        <w:t>The Australian Communications Consumer Action Network (ACCAN) thanks the Department of Communications and the Arts (the Department) for the opportunity to comment on propos</w:t>
      </w:r>
      <w:r w:rsidR="00440766">
        <w:rPr>
          <w:lang w:eastAsia="en-US"/>
        </w:rPr>
        <w:t xml:space="preserve">ed future policy arrangements for </w:t>
      </w:r>
      <w:r>
        <w:rPr>
          <w:lang w:eastAsia="en-US"/>
        </w:rPr>
        <w:t xml:space="preserve">the reliability of </w:t>
      </w:r>
      <w:r w:rsidR="00440766">
        <w:rPr>
          <w:lang w:eastAsia="en-US"/>
        </w:rPr>
        <w:t xml:space="preserve">telecommunications </w:t>
      </w:r>
      <w:r>
        <w:rPr>
          <w:lang w:eastAsia="en-US"/>
        </w:rPr>
        <w:t>services.</w:t>
      </w:r>
    </w:p>
    <w:p w14:paraId="1BF4E7C4" w14:textId="5955D485" w:rsidR="00772C7F" w:rsidRDefault="00440766" w:rsidP="004B7462">
      <w:pPr>
        <w:rPr>
          <w:lang w:eastAsia="en-US"/>
        </w:rPr>
      </w:pPr>
      <w:r>
        <w:rPr>
          <w:lang w:eastAsia="en-US"/>
        </w:rPr>
        <w:t>ACCAN is pleased to see that many of the ideas in the Department’s consultation paper are consistent with our policy position on reliability released in 2016.</w:t>
      </w:r>
      <w:r>
        <w:rPr>
          <w:rStyle w:val="FootnoteReference"/>
          <w:lang w:eastAsia="en-US"/>
        </w:rPr>
        <w:footnoteReference w:id="2"/>
      </w:r>
      <w:r>
        <w:rPr>
          <w:lang w:eastAsia="en-US"/>
        </w:rPr>
        <w:t xml:space="preserve"> The policy position, called “A Guarantee for the Future”</w:t>
      </w:r>
      <w:r w:rsidR="00EE5C4D">
        <w:rPr>
          <w:lang w:eastAsia="en-US"/>
        </w:rPr>
        <w:t xml:space="preserve"> (see attachment A)</w:t>
      </w:r>
      <w:r>
        <w:rPr>
          <w:lang w:eastAsia="en-US"/>
        </w:rPr>
        <w:t xml:space="preserve">, </w:t>
      </w:r>
      <w:r w:rsidR="00772C7F">
        <w:rPr>
          <w:lang w:eastAsia="en-US"/>
        </w:rPr>
        <w:t xml:space="preserve">identifies key requirements needed to support the delivery of reliable voice and broadband services for the future. ACCAN developed its policy position following extensive consultation with its members and industry. </w:t>
      </w:r>
    </w:p>
    <w:p w14:paraId="1D6C100A" w14:textId="4CC6D12D" w:rsidR="00440766" w:rsidRDefault="0036009E" w:rsidP="004B7462">
      <w:pPr>
        <w:rPr>
          <w:lang w:eastAsia="en-US"/>
        </w:rPr>
      </w:pPr>
      <w:r>
        <w:rPr>
          <w:lang w:eastAsia="en-US"/>
        </w:rPr>
        <w:t>This submission focuses on the high level principles and direction of reform</w:t>
      </w:r>
      <w:r w:rsidR="00EE5C4D">
        <w:rPr>
          <w:lang w:eastAsia="en-US"/>
        </w:rPr>
        <w:t xml:space="preserve"> outlined in the Department’s consultation paper</w:t>
      </w:r>
      <w:r>
        <w:rPr>
          <w:lang w:eastAsia="en-US"/>
        </w:rPr>
        <w:t xml:space="preserve">. However, ACCAN recognises that there is substantial work that will need to be done to implement the Department’s proposals. ACCAN is well placed to continue to consult with its members and provide feedback to the Department throughout the implementation process to ensure the best possible outcome for the long term interests of consumers. </w:t>
      </w:r>
    </w:p>
    <w:p w14:paraId="3F7A18CE" w14:textId="053775C0" w:rsidR="006C63A6" w:rsidRDefault="00E8415E" w:rsidP="004B7462">
      <w:pPr>
        <w:rPr>
          <w:lang w:eastAsia="en-US"/>
        </w:rPr>
      </w:pPr>
      <w:r>
        <w:rPr>
          <w:lang w:eastAsia="en-US"/>
        </w:rPr>
        <w:t>Note that a</w:t>
      </w:r>
      <w:r w:rsidR="006C63A6">
        <w:rPr>
          <w:lang w:eastAsia="en-US"/>
        </w:rPr>
        <w:t>ll case studies used in this submission are based on real consumers however names have been changed.</w:t>
      </w:r>
    </w:p>
    <w:p w14:paraId="55B00E32" w14:textId="76687908" w:rsidR="0088571C" w:rsidRDefault="00061819" w:rsidP="00400F75">
      <w:pPr>
        <w:pStyle w:val="Heading1"/>
      </w:pPr>
      <w:bookmarkStart w:id="3" w:name="_Toc535596207"/>
      <w:r>
        <w:lastRenderedPageBreak/>
        <w:t>List of recommendations</w:t>
      </w:r>
      <w:bookmarkEnd w:id="3"/>
    </w:p>
    <w:p w14:paraId="269B7C99" w14:textId="77777777" w:rsidR="00BC1969" w:rsidRPr="00107582" w:rsidRDefault="00BC1969" w:rsidP="00BC1969">
      <w:pPr>
        <w:spacing w:before="0" w:beforeAutospacing="0" w:after="200" w:afterAutospacing="0" w:line="276" w:lineRule="auto"/>
        <w:rPr>
          <w:b/>
        </w:rPr>
      </w:pPr>
      <w:r w:rsidRPr="00107582">
        <w:rPr>
          <w:b/>
        </w:rPr>
        <w:t>Recommendation 1: Connection and repair timeframes</w:t>
      </w:r>
    </w:p>
    <w:p w14:paraId="3607C842" w14:textId="77777777" w:rsidR="00BC1969" w:rsidRDefault="00BC1969" w:rsidP="00BC1969">
      <w:pPr>
        <w:pStyle w:val="ListParagraph"/>
        <w:keepNext/>
        <w:keepLines/>
        <w:numPr>
          <w:ilvl w:val="0"/>
          <w:numId w:val="20"/>
        </w:numPr>
        <w:spacing w:before="0" w:beforeAutospacing="0" w:after="200" w:afterAutospacing="0" w:line="276" w:lineRule="auto"/>
      </w:pPr>
      <w:r>
        <w:t>Fixed line telecommunications services are essential and require regulation to protect consumers.</w:t>
      </w:r>
    </w:p>
    <w:p w14:paraId="639A5B2D" w14:textId="77777777" w:rsidR="00BC1969" w:rsidRDefault="00BC1969" w:rsidP="00BC1969">
      <w:pPr>
        <w:pStyle w:val="ListParagraph"/>
        <w:keepNext/>
        <w:keepLines/>
        <w:numPr>
          <w:ilvl w:val="0"/>
          <w:numId w:val="20"/>
        </w:numPr>
        <w:spacing w:before="0" w:beforeAutospacing="0" w:after="200" w:afterAutospacing="0" w:line="276" w:lineRule="auto"/>
      </w:pPr>
      <w:r>
        <w:t>Mandatory connection and repair timeframes should apply to all fixed line services delivered by all providers.</w:t>
      </w:r>
    </w:p>
    <w:p w14:paraId="33A8A6F7" w14:textId="372DED9E" w:rsidR="00BC1969" w:rsidRDefault="00BC1969" w:rsidP="00BC1969">
      <w:pPr>
        <w:pStyle w:val="ListParagraph"/>
        <w:keepNext/>
        <w:keepLines/>
        <w:numPr>
          <w:ilvl w:val="0"/>
          <w:numId w:val="20"/>
        </w:numPr>
        <w:spacing w:before="0" w:beforeAutospacing="0" w:after="200" w:afterAutospacing="0" w:line="276" w:lineRule="auto"/>
      </w:pPr>
      <w:r>
        <w:t>The maximum timeframes applying to retail service providers should be at least the same as the existing Customer Service Guarantee and be defined in terms of days (not working days).</w:t>
      </w:r>
    </w:p>
    <w:p w14:paraId="1DC10EEF" w14:textId="77777777" w:rsidR="00BC1969" w:rsidRDefault="00BC1969" w:rsidP="00A06F56">
      <w:pPr>
        <w:pStyle w:val="ListParagraph"/>
        <w:keepNext/>
        <w:keepLines/>
        <w:numPr>
          <w:ilvl w:val="0"/>
          <w:numId w:val="20"/>
        </w:numPr>
        <w:spacing w:before="0" w:beforeAutospacing="0" w:after="200" w:afterAutospacing="0" w:line="276" w:lineRule="auto"/>
      </w:pPr>
      <w:r>
        <w:t>Maximum timeframes applying to wholesale providers should be less than those applying to retail service providers.</w:t>
      </w:r>
    </w:p>
    <w:p w14:paraId="18006E60" w14:textId="77777777" w:rsidR="00BC1969" w:rsidRPr="00107582" w:rsidRDefault="00BC1969" w:rsidP="00BC1969">
      <w:pPr>
        <w:spacing w:before="0" w:beforeAutospacing="0" w:after="200" w:afterAutospacing="0" w:line="276" w:lineRule="auto"/>
        <w:rPr>
          <w:b/>
        </w:rPr>
      </w:pPr>
      <w:r w:rsidRPr="00107582">
        <w:rPr>
          <w:b/>
        </w:rPr>
        <w:t>Recommendation 2: Missed appointments</w:t>
      </w:r>
    </w:p>
    <w:p w14:paraId="639713C4" w14:textId="77777777" w:rsidR="00BC1969" w:rsidRDefault="00BC1969" w:rsidP="00BC1969">
      <w:pPr>
        <w:pStyle w:val="ListParagraph"/>
        <w:keepNext/>
        <w:keepLines/>
        <w:numPr>
          <w:ilvl w:val="0"/>
          <w:numId w:val="25"/>
        </w:numPr>
        <w:spacing w:before="0" w:beforeAutospacing="0" w:after="200" w:afterAutospacing="0" w:line="276" w:lineRule="auto"/>
      </w:pPr>
      <w:r>
        <w:t>There should be automatic compensation for customers for missed appointments.</w:t>
      </w:r>
    </w:p>
    <w:p w14:paraId="4E1E1FAD" w14:textId="77777777" w:rsidR="00BC1969" w:rsidRDefault="00BC1969" w:rsidP="00A06F56">
      <w:pPr>
        <w:pStyle w:val="ListParagraph"/>
        <w:keepNext/>
        <w:keepLines/>
        <w:numPr>
          <w:ilvl w:val="0"/>
          <w:numId w:val="25"/>
        </w:numPr>
        <w:spacing w:before="0" w:beforeAutospacing="0" w:after="200" w:afterAutospacing="0" w:line="276" w:lineRule="auto"/>
      </w:pPr>
      <w:r>
        <w:t>Compensation for missed appointments should be increased to $100 as a baseline.</w:t>
      </w:r>
    </w:p>
    <w:p w14:paraId="29ECA4B7" w14:textId="74B1FD19" w:rsidR="00BC1969" w:rsidRDefault="00BC1969" w:rsidP="00A06F56">
      <w:pPr>
        <w:pStyle w:val="ListParagraph"/>
        <w:keepNext/>
        <w:keepLines/>
        <w:numPr>
          <w:ilvl w:val="0"/>
          <w:numId w:val="25"/>
        </w:numPr>
        <w:spacing w:before="0" w:beforeAutospacing="0" w:after="200" w:afterAutospacing="0" w:line="276" w:lineRule="auto"/>
      </w:pPr>
      <w:r>
        <w:t>The ACMA should have the flexibility to revise the compensation amount for missed appointments.</w:t>
      </w:r>
    </w:p>
    <w:p w14:paraId="3F3330B0" w14:textId="77777777" w:rsidR="00BC1969" w:rsidRPr="00C23848" w:rsidRDefault="00BC1969" w:rsidP="00BC1969">
      <w:pPr>
        <w:keepNext/>
        <w:keepLines/>
        <w:spacing w:before="0" w:beforeAutospacing="0" w:after="200" w:afterAutospacing="0" w:line="276" w:lineRule="auto"/>
        <w:rPr>
          <w:b/>
        </w:rPr>
      </w:pPr>
      <w:r w:rsidRPr="00C23848">
        <w:rPr>
          <w:b/>
        </w:rPr>
        <w:t>Recommendation 3: Service for customers with a diagnosed life threatening medical condition</w:t>
      </w:r>
    </w:p>
    <w:p w14:paraId="29DFA522" w14:textId="77777777" w:rsidR="00BC1969" w:rsidRDefault="00BC1969" w:rsidP="00BC1969">
      <w:pPr>
        <w:pStyle w:val="ListParagraph"/>
        <w:keepNext/>
        <w:keepLines/>
        <w:numPr>
          <w:ilvl w:val="0"/>
          <w:numId w:val="26"/>
        </w:numPr>
        <w:spacing w:before="0" w:beforeAutospacing="0" w:after="200" w:afterAutospacing="0" w:line="276" w:lineRule="auto"/>
      </w:pPr>
      <w:r>
        <w:t>Consumer safeguards recognize the importance of providing a backup service for customers with a diagnosed life threatening medical condition.</w:t>
      </w:r>
    </w:p>
    <w:p w14:paraId="03CED0FD" w14:textId="77777777" w:rsidR="00BC1969" w:rsidRDefault="00BC1969" w:rsidP="00BC1969">
      <w:pPr>
        <w:pStyle w:val="ListParagraph"/>
        <w:keepNext/>
        <w:keepLines/>
        <w:numPr>
          <w:ilvl w:val="0"/>
          <w:numId w:val="26"/>
        </w:numPr>
        <w:spacing w:before="0" w:beforeAutospacing="0" w:after="200" w:afterAutospacing="0" w:line="276" w:lineRule="auto"/>
      </w:pPr>
      <w:r>
        <w:t>Customers with a diagnosed life threatening medical condition get prioritised connection and repair: within 24 hours for urban customers and within 48 hours for non-urban.</w:t>
      </w:r>
    </w:p>
    <w:p w14:paraId="50CC4C56" w14:textId="56402BD7" w:rsidR="00BC1969" w:rsidRDefault="00BC1969" w:rsidP="00BC1969">
      <w:pPr>
        <w:pStyle w:val="ListParagraph"/>
        <w:keepNext/>
        <w:keepLines/>
        <w:numPr>
          <w:ilvl w:val="0"/>
          <w:numId w:val="26"/>
        </w:numPr>
        <w:spacing w:before="0" w:beforeAutospacing="0" w:after="200" w:afterAutospacing="0" w:line="276" w:lineRule="auto"/>
      </w:pPr>
      <w:r>
        <w:t xml:space="preserve">Higher penalties </w:t>
      </w:r>
      <w:r w:rsidR="00645370">
        <w:t xml:space="preserve">should apply </w:t>
      </w:r>
      <w:r>
        <w:t xml:space="preserve">for non-compliance than those for </w:t>
      </w:r>
      <w:r w:rsidR="00645370">
        <w:t xml:space="preserve">general </w:t>
      </w:r>
      <w:r>
        <w:t>mandatory connection and repair timeframes.</w:t>
      </w:r>
    </w:p>
    <w:p w14:paraId="5AB897EA" w14:textId="48995E8D" w:rsidR="00BC1969" w:rsidRDefault="00BC1969" w:rsidP="00BC1969">
      <w:pPr>
        <w:pStyle w:val="ListParagraph"/>
        <w:keepNext/>
        <w:keepLines/>
        <w:numPr>
          <w:ilvl w:val="0"/>
          <w:numId w:val="26"/>
        </w:numPr>
        <w:spacing w:before="0" w:beforeAutospacing="0" w:after="200" w:afterAutospacing="0" w:line="276" w:lineRule="auto"/>
      </w:pPr>
      <w:r>
        <w:t>The ACMA determine the parameters of the backup service for consumers with a diagnosed life threatening medical condition.</w:t>
      </w:r>
    </w:p>
    <w:p w14:paraId="050DFC84" w14:textId="77777777" w:rsidR="00BC1969" w:rsidRDefault="00BC1969" w:rsidP="00BC1969">
      <w:r w:rsidRPr="00BC1969">
        <w:rPr>
          <w:b/>
        </w:rPr>
        <w:t>Recommendation 4</w:t>
      </w:r>
      <w:r>
        <w:t>: One set of maximum connection and repair timeframes to apply to all fixed line products without exception.</w:t>
      </w:r>
    </w:p>
    <w:p w14:paraId="68BAA2C1" w14:textId="77777777" w:rsidR="00BC1969" w:rsidRDefault="00BC1969" w:rsidP="00BC1969">
      <w:r w:rsidRPr="00061819">
        <w:rPr>
          <w:b/>
        </w:rPr>
        <w:t>Recommendation 5</w:t>
      </w:r>
      <w:r>
        <w:t>: Include a specific provision in the consumer safeguards instruments that provide telecommunications customers the right to exit a contract without penalty on the grounds of recurrent faults.</w:t>
      </w:r>
    </w:p>
    <w:p w14:paraId="34C41F0E" w14:textId="77777777" w:rsidR="00BC1969" w:rsidRPr="00061819" w:rsidRDefault="00BC1969" w:rsidP="00C27CD6">
      <w:pPr>
        <w:keepNext/>
        <w:keepLines/>
        <w:spacing w:before="0" w:beforeAutospacing="0" w:after="200" w:afterAutospacing="0" w:line="276" w:lineRule="auto"/>
        <w:rPr>
          <w:b/>
        </w:rPr>
      </w:pPr>
      <w:r w:rsidRPr="00061819">
        <w:rPr>
          <w:b/>
        </w:rPr>
        <w:t>Recommendation 6: Incentives to repair faults quickly</w:t>
      </w:r>
    </w:p>
    <w:p w14:paraId="156E6CD2" w14:textId="77777777" w:rsidR="00BC1969" w:rsidRDefault="00BC1969" w:rsidP="00C27CD6">
      <w:pPr>
        <w:pStyle w:val="ListParagraph"/>
        <w:keepNext/>
        <w:keepLines/>
        <w:numPr>
          <w:ilvl w:val="0"/>
          <w:numId w:val="23"/>
        </w:numPr>
        <w:spacing w:before="0" w:beforeAutospacing="0" w:after="200" w:afterAutospacing="0" w:line="276" w:lineRule="auto"/>
      </w:pPr>
      <w:r>
        <w:t>Customers receive automatic compensation for missed timeframes.</w:t>
      </w:r>
    </w:p>
    <w:p w14:paraId="7717AF96" w14:textId="77777777" w:rsidR="00BC1969" w:rsidRDefault="00BC1969" w:rsidP="00C27CD6">
      <w:pPr>
        <w:pStyle w:val="ListParagraph"/>
        <w:keepNext/>
        <w:keepLines/>
        <w:numPr>
          <w:ilvl w:val="0"/>
          <w:numId w:val="23"/>
        </w:numPr>
        <w:spacing w:before="0" w:beforeAutospacing="0" w:after="200" w:afterAutospacing="0" w:line="276" w:lineRule="auto"/>
      </w:pPr>
      <w:r>
        <w:t>Compensation amounts be set initially at current CSG levels for voice and broadband services.</w:t>
      </w:r>
      <w:r w:rsidRPr="00BC1969">
        <w:t xml:space="preserve"> </w:t>
      </w:r>
    </w:p>
    <w:p w14:paraId="494A7AF6" w14:textId="62B80560" w:rsidR="00BC1969" w:rsidRDefault="00BC1969" w:rsidP="00C27CD6">
      <w:pPr>
        <w:pStyle w:val="ListParagraph"/>
        <w:keepNext/>
        <w:keepLines/>
        <w:numPr>
          <w:ilvl w:val="0"/>
          <w:numId w:val="23"/>
        </w:numPr>
        <w:spacing w:before="0" w:beforeAutospacing="0" w:after="200" w:afterAutospacing="0" w:line="276" w:lineRule="auto"/>
      </w:pPr>
      <w:r>
        <w:t>ACMA conduct a review to determine appropriate future compensation arrangements.</w:t>
      </w:r>
    </w:p>
    <w:p w14:paraId="0E77408C" w14:textId="77777777" w:rsidR="00BC1969" w:rsidRDefault="00BC1969" w:rsidP="00BC1969">
      <w:r w:rsidRPr="00BC1969">
        <w:rPr>
          <w:b/>
        </w:rPr>
        <w:t>Recommendation 7</w:t>
      </w:r>
      <w:r>
        <w:t>: Network providers publish and report reliability information (including planned maintenance) by suburb and technology.</w:t>
      </w:r>
    </w:p>
    <w:p w14:paraId="7821DFE0" w14:textId="77777777" w:rsidR="00BC1969" w:rsidRDefault="00BC1969" w:rsidP="00BC1969">
      <w:r w:rsidRPr="00061819">
        <w:rPr>
          <w:b/>
        </w:rPr>
        <w:lastRenderedPageBreak/>
        <w:t>Recommendation 8</w:t>
      </w:r>
      <w:r>
        <w:t>: Network reliability information should be made public in consumer facing portals as well as consolidated reports published by the ACMA quarterly.</w:t>
      </w:r>
    </w:p>
    <w:p w14:paraId="0D63D334" w14:textId="77777777" w:rsidR="00BC1969" w:rsidRPr="00517B9D" w:rsidRDefault="00BC1969" w:rsidP="00C27CD6">
      <w:pPr>
        <w:keepNext/>
        <w:keepLines/>
        <w:rPr>
          <w:b/>
          <w:lang w:eastAsia="en-US"/>
        </w:rPr>
      </w:pPr>
      <w:r w:rsidRPr="00517B9D">
        <w:rPr>
          <w:b/>
          <w:lang w:eastAsia="en-US"/>
        </w:rPr>
        <w:t>Recommendation 9: Communication with customers</w:t>
      </w:r>
    </w:p>
    <w:p w14:paraId="76101121" w14:textId="3BAD028B" w:rsidR="00BC1969" w:rsidRDefault="00BC1969" w:rsidP="00C27CD6">
      <w:pPr>
        <w:pStyle w:val="ListParagraph"/>
        <w:keepNext/>
        <w:keepLines/>
        <w:numPr>
          <w:ilvl w:val="0"/>
          <w:numId w:val="24"/>
        </w:numPr>
      </w:pPr>
      <w:r>
        <w:t>Retailers notify customers of major outages and remediat</w:t>
      </w:r>
      <w:r w:rsidR="00645370">
        <w:t>ion</w:t>
      </w:r>
      <w:r>
        <w:t xml:space="preserve"> timeframes via usual channels of communication as well as broadcast in local media when multiple platforms </w:t>
      </w:r>
      <w:r w:rsidR="0091371B">
        <w:t xml:space="preserve">are </w:t>
      </w:r>
      <w:r>
        <w:t xml:space="preserve">affected. </w:t>
      </w:r>
    </w:p>
    <w:p w14:paraId="227355C6" w14:textId="616E08C9" w:rsidR="00BC1969" w:rsidRDefault="00BC1969" w:rsidP="00A06F56">
      <w:pPr>
        <w:pStyle w:val="ListParagraph"/>
        <w:keepNext/>
        <w:keepLines/>
        <w:numPr>
          <w:ilvl w:val="0"/>
          <w:numId w:val="24"/>
        </w:numPr>
      </w:pPr>
      <w:r>
        <w:t>Retailers provide a monitored email for customer communication.</w:t>
      </w:r>
    </w:p>
    <w:p w14:paraId="1C71C4E6" w14:textId="0AB6464A" w:rsidR="00F07FC4" w:rsidRDefault="00BC1969" w:rsidP="00BC1969">
      <w:r w:rsidRPr="00BC1969">
        <w:rPr>
          <w:b/>
        </w:rPr>
        <w:t>Recommendation 10</w:t>
      </w:r>
      <w:r>
        <w:t xml:space="preserve">: </w:t>
      </w:r>
      <w:r w:rsidR="00F07FC4">
        <w:t>Industry data for ACMA reporting</w:t>
      </w:r>
    </w:p>
    <w:p w14:paraId="282475DA" w14:textId="2F0778C9" w:rsidR="00BC1969" w:rsidRDefault="00BC1969" w:rsidP="004C1802">
      <w:pPr>
        <w:pStyle w:val="ListParagraph"/>
        <w:numPr>
          <w:ilvl w:val="0"/>
          <w:numId w:val="31"/>
        </w:numPr>
      </w:pPr>
      <w:r>
        <w:t>Providers report reliability data as identified by ACCAN on a monthly basis to the ACMA.</w:t>
      </w:r>
    </w:p>
    <w:p w14:paraId="147276E7" w14:textId="1A72E35F" w:rsidR="00F07FC4" w:rsidRDefault="00F07FC4" w:rsidP="004C1802">
      <w:pPr>
        <w:pStyle w:val="ListParagraph"/>
        <w:numPr>
          <w:ilvl w:val="0"/>
          <w:numId w:val="31"/>
        </w:numPr>
      </w:pPr>
      <w:r>
        <w:t>The ACMA conduct a review in consultation with the ACCC to determine appropriate performance targets.</w:t>
      </w:r>
    </w:p>
    <w:p w14:paraId="19C9E36C" w14:textId="77777777" w:rsidR="00BC1969" w:rsidRDefault="00BC1969" w:rsidP="00BC1969">
      <w:r w:rsidRPr="00BC1969">
        <w:rPr>
          <w:b/>
        </w:rPr>
        <w:t>Recommendation 11</w:t>
      </w:r>
      <w:r>
        <w:t>: ACMA publish reliability reports quarterly.</w:t>
      </w:r>
    </w:p>
    <w:p w14:paraId="712654B0" w14:textId="65098AD3" w:rsidR="00BC1969" w:rsidRDefault="00BC1969" w:rsidP="00BC1969">
      <w:r w:rsidRPr="00BC1969">
        <w:rPr>
          <w:b/>
        </w:rPr>
        <w:t>Recommendation 12</w:t>
      </w:r>
      <w:r>
        <w:t>: Enable the ACCC to determine wholesale pricing</w:t>
      </w:r>
      <w:r w:rsidR="0091371B">
        <w:t>,</w:t>
      </w:r>
      <w:r>
        <w:t xml:space="preserve"> with commercial agreements superseding only by exception and approval by the ACCC.</w:t>
      </w:r>
    </w:p>
    <w:p w14:paraId="668BD574" w14:textId="3335D7F5" w:rsidR="00BC1969" w:rsidRDefault="00BC1969" w:rsidP="00BC1969">
      <w:r w:rsidRPr="00BC1969">
        <w:rPr>
          <w:b/>
        </w:rPr>
        <w:t>Recommendation 13</w:t>
      </w:r>
      <w:r>
        <w:t>: ACMA develop rules and standards to implement consumer safeguards for reliability with effect by 31 December 2019</w:t>
      </w:r>
      <w:r w:rsidR="00E8415E">
        <w:t>.</w:t>
      </w:r>
    </w:p>
    <w:p w14:paraId="1D88A42D" w14:textId="77777777" w:rsidR="00BC1969" w:rsidRDefault="00BC1969" w:rsidP="00A06F56">
      <w:r w:rsidRPr="00BC1969">
        <w:rPr>
          <w:b/>
        </w:rPr>
        <w:t>Recommendation 14</w:t>
      </w:r>
      <w:r>
        <w:t>: Consumer safeguards include provisions to exempt mass service disruptions from affecting performance benchmarks and penalties on application only for affected areas. Exemptions should not apply to consumer compensation.</w:t>
      </w:r>
    </w:p>
    <w:p w14:paraId="38836F8B" w14:textId="70C59CB1" w:rsidR="00600F8E" w:rsidRDefault="00600F8E" w:rsidP="00600F8E">
      <w:pPr>
        <w:pStyle w:val="Heading1"/>
      </w:pPr>
      <w:bookmarkStart w:id="4" w:name="_Toc535530135"/>
      <w:bookmarkStart w:id="5" w:name="_Toc535596208"/>
      <w:r>
        <w:lastRenderedPageBreak/>
        <w:t>Proposals 1 and 2: connection and repair</w:t>
      </w:r>
      <w:bookmarkEnd w:id="4"/>
      <w:bookmarkEnd w:id="5"/>
    </w:p>
    <w:p w14:paraId="1C52F8CB" w14:textId="77777777" w:rsidR="0036009E" w:rsidRPr="004A38E9" w:rsidRDefault="0036009E" w:rsidP="0036009E">
      <w:pPr>
        <w:pStyle w:val="Recommendation"/>
        <w:numPr>
          <w:ilvl w:val="0"/>
          <w:numId w:val="0"/>
        </w:numPr>
        <w:ind w:left="851"/>
        <w:rPr>
          <w:i/>
        </w:rPr>
      </w:pPr>
      <w:r w:rsidRPr="004A38E9">
        <w:rPr>
          <w:i/>
        </w:rPr>
        <w:t>Proposal 1 - Mandatory rules will cover how consumers and small businesses are connected, and stay connected to fixed telecommunications networks, including appointments.</w:t>
      </w:r>
    </w:p>
    <w:p w14:paraId="361F375F" w14:textId="77777777" w:rsidR="0036009E" w:rsidRPr="004A38E9" w:rsidRDefault="0036009E" w:rsidP="0036009E">
      <w:pPr>
        <w:pStyle w:val="Recommendation"/>
        <w:numPr>
          <w:ilvl w:val="0"/>
          <w:numId w:val="0"/>
        </w:numPr>
        <w:ind w:left="851"/>
        <w:rPr>
          <w:i/>
        </w:rPr>
      </w:pPr>
      <w:r w:rsidRPr="004A38E9">
        <w:rPr>
          <w:i/>
        </w:rPr>
        <w:t>Proposal 2 – Providers must focus on keeping customers connected to a service if timeframes cannot be met.</w:t>
      </w:r>
    </w:p>
    <w:p w14:paraId="669C171E" w14:textId="77777777" w:rsidR="0036009E" w:rsidRDefault="00480469" w:rsidP="0036009E">
      <w:r>
        <w:t xml:space="preserve">ACCAN </w:t>
      </w:r>
      <w:r w:rsidR="006C3C12">
        <w:t xml:space="preserve">supports Proposals 1 and 2 regarding connection and repair. </w:t>
      </w:r>
      <w:r w:rsidR="00751CDD">
        <w:t>Mandatory rules are the best way to ensure that consumers have access to reliable telecommunications services. ACCAN understands that sometimes there are circumstances that are beyond the control of network infrastructure providers and retail service providers and so alternative arrangements are appropriate</w:t>
      </w:r>
      <w:r w:rsidR="002114FD">
        <w:t xml:space="preserve"> to maintain connection</w:t>
      </w:r>
      <w:r w:rsidR="00751CDD">
        <w:t xml:space="preserve">. </w:t>
      </w:r>
    </w:p>
    <w:p w14:paraId="0D2FD16A" w14:textId="77777777" w:rsidR="00751CDD" w:rsidRPr="00480469" w:rsidRDefault="00751CDD" w:rsidP="0036009E">
      <w:r>
        <w:t>Below we set out our responses to each of the Department’s questions regarding Proposals 1 and 2 and ACCAN’s recommendations.</w:t>
      </w:r>
    </w:p>
    <w:p w14:paraId="7E81781E" w14:textId="77777777" w:rsidR="00862F8B" w:rsidRPr="003441E5" w:rsidRDefault="00862F8B" w:rsidP="00862F8B">
      <w:pPr>
        <w:pStyle w:val="Heading2"/>
      </w:pPr>
      <w:bookmarkStart w:id="6" w:name="_Toc535530136"/>
      <w:bookmarkStart w:id="7" w:name="_Toc535596209"/>
      <w:r>
        <w:t>Connection and repair timeframes</w:t>
      </w:r>
      <w:bookmarkEnd w:id="6"/>
      <w:bookmarkEnd w:id="7"/>
    </w:p>
    <w:p w14:paraId="47EA01F9" w14:textId="77777777" w:rsidR="006C3C12" w:rsidRDefault="006C3C12" w:rsidP="0036009E">
      <w:r>
        <w:t>The Department has proposed the timeframes in the tables below for connections and repairs.</w:t>
      </w:r>
    </w:p>
    <w:p w14:paraId="775A76A9" w14:textId="52726202" w:rsidR="006C3C12" w:rsidRPr="00A06F56" w:rsidRDefault="00D2273F" w:rsidP="00A06F56">
      <w:pPr>
        <w:keepNext/>
        <w:keepLines/>
        <w:spacing w:after="0" w:afterAutospacing="0"/>
        <w:rPr>
          <w:b/>
        </w:rPr>
      </w:pPr>
      <w:r w:rsidRPr="00D2273F">
        <w:rPr>
          <w:b/>
        </w:rPr>
        <w:t>Table 1: Proposed maximum t</w:t>
      </w:r>
      <w:r w:rsidR="006C3C12" w:rsidRPr="00D2273F">
        <w:rPr>
          <w:b/>
        </w:rPr>
        <w:t>imeframes</w:t>
      </w:r>
      <w:r w:rsidR="006C3C12" w:rsidRPr="00A06F56">
        <w:rPr>
          <w:b/>
        </w:rPr>
        <w:t xml:space="preserve"> for network connections</w:t>
      </w:r>
    </w:p>
    <w:tbl>
      <w:tblPr>
        <w:tblStyle w:val="TableGrid"/>
        <w:tblW w:w="0" w:type="auto"/>
        <w:tblLook w:val="04A0" w:firstRow="1" w:lastRow="0" w:firstColumn="1" w:lastColumn="0" w:noHBand="0" w:noVBand="1"/>
      </w:tblPr>
      <w:tblGrid>
        <w:gridCol w:w="3080"/>
        <w:gridCol w:w="3081"/>
        <w:gridCol w:w="3081"/>
      </w:tblGrid>
      <w:tr w:rsidR="006C3C12" w14:paraId="6DB193D3" w14:textId="77777777" w:rsidTr="00E47384">
        <w:tc>
          <w:tcPr>
            <w:tcW w:w="3080" w:type="dxa"/>
          </w:tcPr>
          <w:p w14:paraId="64871CFD" w14:textId="77777777" w:rsidR="006C3C12" w:rsidRDefault="006C3C12" w:rsidP="00E47384">
            <w:r>
              <w:t>Area</w:t>
            </w:r>
          </w:p>
        </w:tc>
        <w:tc>
          <w:tcPr>
            <w:tcW w:w="3081" w:type="dxa"/>
          </w:tcPr>
          <w:p w14:paraId="2E700FD2" w14:textId="77777777" w:rsidR="006C3C12" w:rsidRDefault="006C3C12" w:rsidP="00E47384">
            <w:r>
              <w:t>Existing connection or close to required infrastructure</w:t>
            </w:r>
          </w:p>
        </w:tc>
        <w:tc>
          <w:tcPr>
            <w:tcW w:w="3081" w:type="dxa"/>
          </w:tcPr>
          <w:p w14:paraId="1C1BB313" w14:textId="77777777" w:rsidR="006C3C12" w:rsidRDefault="006C3C12" w:rsidP="00E47384">
            <w:r>
              <w:t>Not close to required infrastructure</w:t>
            </w:r>
          </w:p>
        </w:tc>
      </w:tr>
      <w:tr w:rsidR="006C3C12" w14:paraId="7CFEB41A" w14:textId="77777777" w:rsidTr="00E47384">
        <w:tc>
          <w:tcPr>
            <w:tcW w:w="3080" w:type="dxa"/>
          </w:tcPr>
          <w:p w14:paraId="50810122" w14:textId="77777777" w:rsidR="006C3C12" w:rsidRDefault="006C3C12" w:rsidP="00E47384">
            <w:r>
              <w:t>Significant urban areas</w:t>
            </w:r>
            <w:r>
              <w:rPr>
                <w:rStyle w:val="FootnoteReference"/>
              </w:rPr>
              <w:footnoteReference w:id="3"/>
            </w:r>
          </w:p>
        </w:tc>
        <w:tc>
          <w:tcPr>
            <w:tcW w:w="3081" w:type="dxa"/>
          </w:tcPr>
          <w:p w14:paraId="00155C62" w14:textId="77777777" w:rsidR="006C3C12" w:rsidRDefault="006C3C12" w:rsidP="00E47384">
            <w:r>
              <w:t>Within 2 working days</w:t>
            </w:r>
          </w:p>
        </w:tc>
        <w:tc>
          <w:tcPr>
            <w:tcW w:w="3081" w:type="dxa"/>
          </w:tcPr>
          <w:p w14:paraId="4E85C5B6" w14:textId="77777777" w:rsidR="006C3C12" w:rsidRDefault="006C3C12" w:rsidP="00E47384">
            <w:r>
              <w:t>Within 10 working days</w:t>
            </w:r>
          </w:p>
        </w:tc>
      </w:tr>
      <w:tr w:rsidR="006C3C12" w14:paraId="2539B41F" w14:textId="77777777" w:rsidTr="00E47384">
        <w:tc>
          <w:tcPr>
            <w:tcW w:w="3080" w:type="dxa"/>
          </w:tcPr>
          <w:p w14:paraId="525040E1" w14:textId="77777777" w:rsidR="006C3C12" w:rsidRDefault="006C3C12" w:rsidP="00E47384">
            <w:r>
              <w:t>Other</w:t>
            </w:r>
          </w:p>
        </w:tc>
        <w:tc>
          <w:tcPr>
            <w:tcW w:w="3081" w:type="dxa"/>
          </w:tcPr>
          <w:p w14:paraId="6BD5E61B" w14:textId="77777777" w:rsidR="006C3C12" w:rsidRDefault="006C3C12" w:rsidP="00E47384">
            <w:r>
              <w:t>Within 3 working days</w:t>
            </w:r>
          </w:p>
        </w:tc>
        <w:tc>
          <w:tcPr>
            <w:tcW w:w="3081" w:type="dxa"/>
          </w:tcPr>
          <w:p w14:paraId="07E98902" w14:textId="77777777" w:rsidR="006C3C12" w:rsidRDefault="006C3C12" w:rsidP="00E47384">
            <w:r>
              <w:t>Within 15 working days</w:t>
            </w:r>
          </w:p>
        </w:tc>
      </w:tr>
    </w:tbl>
    <w:p w14:paraId="31BFCB0D" w14:textId="31512E58" w:rsidR="006C3C12" w:rsidRPr="00A06F56" w:rsidRDefault="00D2273F" w:rsidP="00A06F56">
      <w:pPr>
        <w:keepNext/>
        <w:keepLines/>
        <w:spacing w:after="0" w:afterAutospacing="0"/>
        <w:rPr>
          <w:b/>
        </w:rPr>
      </w:pPr>
      <w:r w:rsidRPr="00D2273F">
        <w:rPr>
          <w:b/>
        </w:rPr>
        <w:t>Table 2: Proposed maximum timeframes</w:t>
      </w:r>
      <w:r w:rsidRPr="00A06F56">
        <w:rPr>
          <w:b/>
        </w:rPr>
        <w:t xml:space="preserve"> for repairs</w:t>
      </w:r>
    </w:p>
    <w:tbl>
      <w:tblPr>
        <w:tblStyle w:val="TableGrid"/>
        <w:tblW w:w="0" w:type="auto"/>
        <w:tblLook w:val="04A0" w:firstRow="1" w:lastRow="0" w:firstColumn="1" w:lastColumn="0" w:noHBand="0" w:noVBand="1"/>
      </w:tblPr>
      <w:tblGrid>
        <w:gridCol w:w="4621"/>
        <w:gridCol w:w="4621"/>
      </w:tblGrid>
      <w:tr w:rsidR="006C3C12" w14:paraId="7C166A04" w14:textId="77777777" w:rsidTr="00E47384">
        <w:tc>
          <w:tcPr>
            <w:tcW w:w="4621" w:type="dxa"/>
          </w:tcPr>
          <w:p w14:paraId="25DD77A2" w14:textId="77777777" w:rsidR="006C3C12" w:rsidRDefault="006C3C12" w:rsidP="00E47384">
            <w:r>
              <w:t>Area</w:t>
            </w:r>
          </w:p>
        </w:tc>
        <w:tc>
          <w:tcPr>
            <w:tcW w:w="4621" w:type="dxa"/>
          </w:tcPr>
          <w:p w14:paraId="3C434763" w14:textId="77777777" w:rsidR="006C3C12" w:rsidRDefault="006C3C12" w:rsidP="00E47384">
            <w:r>
              <w:t>Repair time</w:t>
            </w:r>
          </w:p>
        </w:tc>
      </w:tr>
      <w:tr w:rsidR="006C3C12" w14:paraId="4F926435" w14:textId="77777777" w:rsidTr="00E47384">
        <w:tc>
          <w:tcPr>
            <w:tcW w:w="4621" w:type="dxa"/>
          </w:tcPr>
          <w:p w14:paraId="02EE1F7B" w14:textId="77777777" w:rsidR="006C3C12" w:rsidRDefault="006C3C12" w:rsidP="00E47384">
            <w:r>
              <w:t>Significant urban areas</w:t>
            </w:r>
          </w:p>
        </w:tc>
        <w:tc>
          <w:tcPr>
            <w:tcW w:w="4621" w:type="dxa"/>
          </w:tcPr>
          <w:p w14:paraId="043A671D" w14:textId="77777777" w:rsidR="006C3C12" w:rsidRDefault="006C3C12" w:rsidP="00E47384">
            <w:r>
              <w:t>End of next working day</w:t>
            </w:r>
          </w:p>
        </w:tc>
      </w:tr>
      <w:tr w:rsidR="006C3C12" w14:paraId="08364F9C" w14:textId="77777777" w:rsidTr="00E47384">
        <w:tc>
          <w:tcPr>
            <w:tcW w:w="4621" w:type="dxa"/>
          </w:tcPr>
          <w:p w14:paraId="3E1B1739" w14:textId="77777777" w:rsidR="006C3C12" w:rsidRDefault="006C3C12" w:rsidP="00E47384">
            <w:r>
              <w:t>Other</w:t>
            </w:r>
          </w:p>
        </w:tc>
        <w:tc>
          <w:tcPr>
            <w:tcW w:w="4621" w:type="dxa"/>
          </w:tcPr>
          <w:p w14:paraId="3056ACF7" w14:textId="77777777" w:rsidR="006C3C12" w:rsidRDefault="006C3C12" w:rsidP="00E47384">
            <w:r>
              <w:t>End of second working day</w:t>
            </w:r>
          </w:p>
        </w:tc>
      </w:tr>
    </w:tbl>
    <w:p w14:paraId="2698B8EA" w14:textId="77777777" w:rsidR="00D21C1B" w:rsidRDefault="00D21C1B" w:rsidP="0036009E">
      <w:r>
        <w:t>It has asked:</w:t>
      </w:r>
    </w:p>
    <w:p w14:paraId="4BFAA70C" w14:textId="77777777" w:rsidR="0036009E" w:rsidRPr="006C3C12" w:rsidRDefault="006C3C12" w:rsidP="0036009E">
      <w:pPr>
        <w:rPr>
          <w:i/>
        </w:rPr>
      </w:pPr>
      <w:r w:rsidRPr="006C3C12">
        <w:rPr>
          <w:i/>
        </w:rPr>
        <w:t>“Are the proposed timeframes to connect or repair a service reasonable?”</w:t>
      </w:r>
    </w:p>
    <w:p w14:paraId="69E7607B" w14:textId="0DDF72ED" w:rsidR="00E16211" w:rsidRDefault="00E16211" w:rsidP="00E16211">
      <w:pPr>
        <w:spacing w:before="0" w:beforeAutospacing="0" w:after="200" w:afterAutospacing="0" w:line="276" w:lineRule="auto"/>
      </w:pPr>
      <w:r>
        <w:t xml:space="preserve">The </w:t>
      </w:r>
      <w:r w:rsidR="005E7E32">
        <w:t xml:space="preserve">table below compares the </w:t>
      </w:r>
      <w:r>
        <w:t>conne</w:t>
      </w:r>
      <w:r w:rsidR="00B25C78">
        <w:t xml:space="preserve">ction and repair timeframes </w:t>
      </w:r>
      <w:r w:rsidR="005E7E32">
        <w:t>proposed</w:t>
      </w:r>
      <w:r w:rsidR="000F4F1B">
        <w:t xml:space="preserve"> to the existing</w:t>
      </w:r>
      <w:r>
        <w:t xml:space="preserve"> timeframes under the Customer Service Guarantee</w:t>
      </w:r>
      <w:r w:rsidR="005E7E32">
        <w:t xml:space="preserve"> (CSG)</w:t>
      </w:r>
      <w:r>
        <w:t>.</w:t>
      </w:r>
    </w:p>
    <w:p w14:paraId="6C6D48D0" w14:textId="77777777" w:rsidR="00EB408A" w:rsidRDefault="00EB408A" w:rsidP="00E16211">
      <w:pPr>
        <w:spacing w:before="0" w:beforeAutospacing="0" w:after="200" w:afterAutospacing="0" w:line="276" w:lineRule="auto"/>
        <w:sectPr w:rsidR="00EB408A" w:rsidSect="00982C02">
          <w:headerReference w:type="default" r:id="rId11"/>
          <w:footerReference w:type="default" r:id="rId12"/>
          <w:headerReference w:type="first" r:id="rId13"/>
          <w:type w:val="continuous"/>
          <w:pgSz w:w="11906" w:h="16838" w:code="9"/>
          <w:pgMar w:top="1440" w:right="1440" w:bottom="1440" w:left="1440" w:header="709" w:footer="0" w:gutter="0"/>
          <w:cols w:space="708"/>
          <w:titlePg/>
          <w:docGrid w:linePitch="360"/>
        </w:sectPr>
      </w:pPr>
    </w:p>
    <w:p w14:paraId="378F569D" w14:textId="6A17024D" w:rsidR="00EB408A" w:rsidRPr="000F4F1B" w:rsidRDefault="000F4F1B" w:rsidP="00A06F56">
      <w:pPr>
        <w:keepNext/>
        <w:keepLines/>
        <w:spacing w:before="0" w:beforeAutospacing="0" w:after="0" w:afterAutospacing="0" w:line="276" w:lineRule="auto"/>
        <w:rPr>
          <w:b/>
        </w:rPr>
      </w:pPr>
      <w:r>
        <w:rPr>
          <w:b/>
        </w:rPr>
        <w:lastRenderedPageBreak/>
        <w:t>Table</w:t>
      </w:r>
      <w:r w:rsidR="00D2273F">
        <w:rPr>
          <w:b/>
        </w:rPr>
        <w:t xml:space="preserve"> 3</w:t>
      </w:r>
      <w:r>
        <w:rPr>
          <w:b/>
        </w:rPr>
        <w:t xml:space="preserve">: </w:t>
      </w:r>
      <w:r w:rsidR="00EB408A" w:rsidRPr="000F4F1B">
        <w:rPr>
          <w:b/>
        </w:rPr>
        <w:t>Comparison of Connection and Repair Timeframes</w:t>
      </w:r>
    </w:p>
    <w:tbl>
      <w:tblPr>
        <w:tblStyle w:val="TableGrid"/>
        <w:tblW w:w="0" w:type="auto"/>
        <w:tblLook w:val="04A0" w:firstRow="1" w:lastRow="0" w:firstColumn="1" w:lastColumn="0" w:noHBand="0" w:noVBand="1"/>
      </w:tblPr>
      <w:tblGrid>
        <w:gridCol w:w="636"/>
        <w:gridCol w:w="5426"/>
        <w:gridCol w:w="2835"/>
        <w:gridCol w:w="2977"/>
        <w:gridCol w:w="2300"/>
      </w:tblGrid>
      <w:tr w:rsidR="00D138BE" w14:paraId="079A1725" w14:textId="14C0BDA0" w:rsidTr="00A06F56">
        <w:tc>
          <w:tcPr>
            <w:tcW w:w="636" w:type="dxa"/>
          </w:tcPr>
          <w:p w14:paraId="10FA930A" w14:textId="77777777" w:rsidR="00D138BE" w:rsidRDefault="00D138BE" w:rsidP="00A06F56">
            <w:pPr>
              <w:keepNext/>
              <w:keepLines/>
              <w:spacing w:before="0" w:beforeAutospacing="0" w:after="0" w:afterAutospacing="0" w:line="276" w:lineRule="auto"/>
            </w:pPr>
          </w:p>
        </w:tc>
        <w:tc>
          <w:tcPr>
            <w:tcW w:w="5426" w:type="dxa"/>
          </w:tcPr>
          <w:p w14:paraId="77E79D7A" w14:textId="77777777" w:rsidR="00D138BE" w:rsidRDefault="00D138BE" w:rsidP="00A06F56">
            <w:pPr>
              <w:keepNext/>
              <w:keepLines/>
              <w:spacing w:before="0" w:beforeAutospacing="0" w:after="0" w:afterAutospacing="0" w:line="276" w:lineRule="auto"/>
            </w:pPr>
          </w:p>
        </w:tc>
        <w:tc>
          <w:tcPr>
            <w:tcW w:w="2835" w:type="dxa"/>
          </w:tcPr>
          <w:p w14:paraId="0B915007" w14:textId="77777777" w:rsidR="00D138BE" w:rsidRPr="000F4F1B" w:rsidRDefault="00D138BE" w:rsidP="00A06F56">
            <w:pPr>
              <w:keepNext/>
              <w:keepLines/>
              <w:spacing w:before="0" w:beforeAutospacing="0" w:after="0" w:afterAutospacing="0" w:line="276" w:lineRule="auto"/>
              <w:rPr>
                <w:b/>
              </w:rPr>
            </w:pPr>
            <w:r w:rsidRPr="000F4F1B">
              <w:rPr>
                <w:b/>
              </w:rPr>
              <w:t>Current</w:t>
            </w:r>
          </w:p>
        </w:tc>
        <w:tc>
          <w:tcPr>
            <w:tcW w:w="2977" w:type="dxa"/>
          </w:tcPr>
          <w:p w14:paraId="60B7D603" w14:textId="77777777" w:rsidR="00D138BE" w:rsidRPr="000F4F1B" w:rsidRDefault="00D138BE" w:rsidP="00A06F56">
            <w:pPr>
              <w:keepNext/>
              <w:keepLines/>
              <w:spacing w:before="0" w:beforeAutospacing="0" w:after="0" w:afterAutospacing="0" w:line="276" w:lineRule="auto"/>
              <w:rPr>
                <w:b/>
              </w:rPr>
            </w:pPr>
            <w:r w:rsidRPr="000F4F1B">
              <w:rPr>
                <w:b/>
              </w:rPr>
              <w:t>Proposed</w:t>
            </w:r>
          </w:p>
        </w:tc>
        <w:tc>
          <w:tcPr>
            <w:tcW w:w="2300" w:type="dxa"/>
          </w:tcPr>
          <w:p w14:paraId="41374E60" w14:textId="5A5A0FB3" w:rsidR="00D138BE" w:rsidRPr="000F4F1B" w:rsidRDefault="00D138BE" w:rsidP="00D2273F">
            <w:pPr>
              <w:keepNext/>
              <w:keepLines/>
              <w:spacing w:before="0" w:beforeAutospacing="0" w:after="0" w:afterAutospacing="0" w:line="276" w:lineRule="auto"/>
              <w:rPr>
                <w:b/>
              </w:rPr>
            </w:pPr>
            <w:r>
              <w:rPr>
                <w:b/>
              </w:rPr>
              <w:t>Difference</w:t>
            </w:r>
          </w:p>
        </w:tc>
      </w:tr>
      <w:tr w:rsidR="00A06F56" w:rsidRPr="000F4F1B" w14:paraId="11610F07" w14:textId="77777777" w:rsidTr="001876A4">
        <w:tc>
          <w:tcPr>
            <w:tcW w:w="11874" w:type="dxa"/>
            <w:gridSpan w:val="4"/>
            <w:shd w:val="clear" w:color="auto" w:fill="A6A6A6" w:themeFill="background1" w:themeFillShade="A6"/>
          </w:tcPr>
          <w:p w14:paraId="4E3F35CC" w14:textId="77777777" w:rsidR="00A06F56" w:rsidRPr="000F4F1B" w:rsidRDefault="00A06F56" w:rsidP="00A06F56">
            <w:pPr>
              <w:keepNext/>
              <w:keepLines/>
              <w:spacing w:before="0" w:beforeAutospacing="0" w:after="0" w:afterAutospacing="0" w:line="276" w:lineRule="auto"/>
              <w:rPr>
                <w:b/>
              </w:rPr>
            </w:pPr>
            <w:r w:rsidRPr="000F4F1B">
              <w:rPr>
                <w:b/>
              </w:rPr>
              <w:t>Connection</w:t>
            </w:r>
          </w:p>
        </w:tc>
        <w:tc>
          <w:tcPr>
            <w:tcW w:w="2300" w:type="dxa"/>
            <w:shd w:val="clear" w:color="auto" w:fill="A6A6A6" w:themeFill="background1" w:themeFillShade="A6"/>
          </w:tcPr>
          <w:p w14:paraId="69FFB21E" w14:textId="77777777" w:rsidR="00A06F56" w:rsidRPr="000F4F1B" w:rsidRDefault="00A06F56" w:rsidP="00A06F56">
            <w:pPr>
              <w:keepNext/>
              <w:keepLines/>
              <w:spacing w:before="0" w:beforeAutospacing="0" w:after="0" w:afterAutospacing="0" w:line="276" w:lineRule="auto"/>
              <w:rPr>
                <w:b/>
              </w:rPr>
            </w:pPr>
          </w:p>
        </w:tc>
      </w:tr>
      <w:tr w:rsidR="00A06F56" w14:paraId="48335C74" w14:textId="686F25F4" w:rsidTr="00A06F56">
        <w:tc>
          <w:tcPr>
            <w:tcW w:w="636" w:type="dxa"/>
          </w:tcPr>
          <w:p w14:paraId="469BD2AA" w14:textId="77777777" w:rsidR="00D138BE" w:rsidRDefault="00D138BE" w:rsidP="00A06F56">
            <w:pPr>
              <w:keepNext/>
              <w:keepLines/>
              <w:spacing w:before="0" w:beforeAutospacing="0" w:after="0" w:afterAutospacing="0" w:line="276" w:lineRule="auto"/>
            </w:pPr>
          </w:p>
        </w:tc>
        <w:tc>
          <w:tcPr>
            <w:tcW w:w="5426" w:type="dxa"/>
          </w:tcPr>
          <w:p w14:paraId="62ED9F65" w14:textId="77777777" w:rsidR="00D138BE" w:rsidRDefault="00D138BE" w:rsidP="00A06F56">
            <w:pPr>
              <w:keepNext/>
              <w:keepLines/>
              <w:spacing w:before="0" w:beforeAutospacing="0" w:after="0" w:afterAutospacing="0" w:line="276" w:lineRule="auto"/>
            </w:pPr>
            <w:r>
              <w:t>Urban (existing connection)</w:t>
            </w:r>
          </w:p>
        </w:tc>
        <w:tc>
          <w:tcPr>
            <w:tcW w:w="2835" w:type="dxa"/>
            <w:shd w:val="clear" w:color="auto" w:fill="FFC000"/>
          </w:tcPr>
          <w:p w14:paraId="5108C526" w14:textId="77777777" w:rsidR="00D138BE" w:rsidRDefault="00D138BE" w:rsidP="00A06F56">
            <w:pPr>
              <w:keepNext/>
              <w:keepLines/>
              <w:spacing w:before="0" w:beforeAutospacing="0" w:after="0" w:afterAutospacing="0" w:line="276" w:lineRule="auto"/>
            </w:pPr>
            <w:r>
              <w:t>Within 2 working days</w:t>
            </w:r>
          </w:p>
        </w:tc>
        <w:tc>
          <w:tcPr>
            <w:tcW w:w="2977" w:type="dxa"/>
            <w:shd w:val="clear" w:color="auto" w:fill="FFC000"/>
          </w:tcPr>
          <w:p w14:paraId="58802C61" w14:textId="77777777" w:rsidR="00D138BE" w:rsidRDefault="00D138BE" w:rsidP="00A06F56">
            <w:pPr>
              <w:keepNext/>
              <w:keepLines/>
              <w:spacing w:before="0" w:beforeAutospacing="0" w:after="0" w:afterAutospacing="0" w:line="276" w:lineRule="auto"/>
            </w:pPr>
            <w:r>
              <w:t>Within 2 working days</w:t>
            </w:r>
          </w:p>
        </w:tc>
        <w:tc>
          <w:tcPr>
            <w:tcW w:w="2300" w:type="dxa"/>
            <w:shd w:val="clear" w:color="auto" w:fill="FFC000"/>
          </w:tcPr>
          <w:p w14:paraId="0B0FF1F6" w14:textId="4C193106" w:rsidR="00D138BE" w:rsidRDefault="00D138BE" w:rsidP="00D2273F">
            <w:pPr>
              <w:keepNext/>
              <w:keepLines/>
              <w:spacing w:before="0" w:beforeAutospacing="0" w:after="0" w:afterAutospacing="0" w:line="276" w:lineRule="auto"/>
            </w:pPr>
            <w:r>
              <w:t>No difference</w:t>
            </w:r>
          </w:p>
        </w:tc>
      </w:tr>
      <w:tr w:rsidR="00A06F56" w14:paraId="3C5A84CC" w14:textId="7DC2288E" w:rsidTr="00A06F56">
        <w:tc>
          <w:tcPr>
            <w:tcW w:w="636" w:type="dxa"/>
          </w:tcPr>
          <w:p w14:paraId="756EB876" w14:textId="77777777" w:rsidR="00D138BE" w:rsidRDefault="00D138BE" w:rsidP="00A06F56">
            <w:pPr>
              <w:keepNext/>
              <w:keepLines/>
              <w:spacing w:before="0" w:beforeAutospacing="0" w:after="0" w:afterAutospacing="0" w:line="276" w:lineRule="auto"/>
            </w:pPr>
          </w:p>
        </w:tc>
        <w:tc>
          <w:tcPr>
            <w:tcW w:w="5426" w:type="dxa"/>
          </w:tcPr>
          <w:p w14:paraId="33A77D68" w14:textId="77777777" w:rsidR="00D138BE" w:rsidRDefault="00D138BE" w:rsidP="00A06F56">
            <w:pPr>
              <w:keepNext/>
              <w:keepLines/>
              <w:spacing w:before="0" w:beforeAutospacing="0" w:after="0" w:afterAutospacing="0" w:line="276" w:lineRule="auto"/>
            </w:pPr>
            <w:r>
              <w:t>Urban (close to infrastructure and spare capacity)</w:t>
            </w:r>
          </w:p>
        </w:tc>
        <w:tc>
          <w:tcPr>
            <w:tcW w:w="2835" w:type="dxa"/>
            <w:shd w:val="clear" w:color="auto" w:fill="92D050"/>
          </w:tcPr>
          <w:p w14:paraId="3B82BFE5" w14:textId="77777777" w:rsidR="00D138BE" w:rsidRDefault="00D138BE" w:rsidP="00A06F56">
            <w:pPr>
              <w:keepNext/>
              <w:keepLines/>
              <w:spacing w:before="0" w:beforeAutospacing="0" w:after="0" w:afterAutospacing="0" w:line="276" w:lineRule="auto"/>
            </w:pPr>
            <w:r>
              <w:t>Within 5 working days</w:t>
            </w:r>
          </w:p>
        </w:tc>
        <w:tc>
          <w:tcPr>
            <w:tcW w:w="2977" w:type="dxa"/>
            <w:shd w:val="clear" w:color="auto" w:fill="92D050"/>
          </w:tcPr>
          <w:p w14:paraId="2208881D" w14:textId="77777777" w:rsidR="00D138BE" w:rsidRDefault="00D138BE" w:rsidP="00A06F56">
            <w:pPr>
              <w:keepNext/>
              <w:keepLines/>
              <w:spacing w:before="0" w:beforeAutospacing="0" w:after="0" w:afterAutospacing="0" w:line="276" w:lineRule="auto"/>
            </w:pPr>
            <w:r>
              <w:t>Within 2 working days</w:t>
            </w:r>
          </w:p>
        </w:tc>
        <w:tc>
          <w:tcPr>
            <w:tcW w:w="2300" w:type="dxa"/>
            <w:shd w:val="clear" w:color="auto" w:fill="92D050"/>
          </w:tcPr>
          <w:p w14:paraId="1C9AC6A6" w14:textId="645AC111" w:rsidR="00D138BE" w:rsidRDefault="00222712" w:rsidP="00D2273F">
            <w:pPr>
              <w:keepNext/>
              <w:keepLines/>
              <w:spacing w:before="0" w:beforeAutospacing="0" w:after="0" w:afterAutospacing="0" w:line="276" w:lineRule="auto"/>
            </w:pPr>
            <w:r>
              <w:t>-</w:t>
            </w:r>
            <w:r w:rsidR="00D138BE">
              <w:t>3 working days</w:t>
            </w:r>
          </w:p>
        </w:tc>
      </w:tr>
      <w:tr w:rsidR="00A06F56" w14:paraId="0F1684B8" w14:textId="78C399E7" w:rsidTr="00A06F56">
        <w:tc>
          <w:tcPr>
            <w:tcW w:w="636" w:type="dxa"/>
          </w:tcPr>
          <w:p w14:paraId="77A54BCA" w14:textId="77777777" w:rsidR="00D138BE" w:rsidRDefault="00D138BE" w:rsidP="00A06F56">
            <w:pPr>
              <w:keepNext/>
              <w:keepLines/>
              <w:spacing w:before="0" w:beforeAutospacing="0" w:after="0" w:afterAutospacing="0" w:line="276" w:lineRule="auto"/>
            </w:pPr>
          </w:p>
        </w:tc>
        <w:tc>
          <w:tcPr>
            <w:tcW w:w="5426" w:type="dxa"/>
          </w:tcPr>
          <w:p w14:paraId="1B5981BE" w14:textId="77777777" w:rsidR="00D138BE" w:rsidRDefault="00D138BE" w:rsidP="00A06F56">
            <w:pPr>
              <w:keepNext/>
              <w:keepLines/>
              <w:spacing w:before="0" w:beforeAutospacing="0" w:after="0" w:afterAutospacing="0" w:line="276" w:lineRule="auto"/>
            </w:pPr>
            <w:r>
              <w:t>Urban (without infrastructure or spare capacity)</w:t>
            </w:r>
          </w:p>
        </w:tc>
        <w:tc>
          <w:tcPr>
            <w:tcW w:w="2835" w:type="dxa"/>
            <w:shd w:val="clear" w:color="auto" w:fill="92D050"/>
          </w:tcPr>
          <w:p w14:paraId="53D30527" w14:textId="77777777" w:rsidR="00D138BE" w:rsidRDefault="00D138BE" w:rsidP="00A06F56">
            <w:pPr>
              <w:keepNext/>
              <w:keepLines/>
              <w:spacing w:before="0" w:beforeAutospacing="0" w:after="0" w:afterAutospacing="0" w:line="276" w:lineRule="auto"/>
            </w:pPr>
            <w:r>
              <w:t>Within 20 working days</w:t>
            </w:r>
          </w:p>
        </w:tc>
        <w:tc>
          <w:tcPr>
            <w:tcW w:w="2977" w:type="dxa"/>
            <w:shd w:val="clear" w:color="auto" w:fill="92D050"/>
          </w:tcPr>
          <w:p w14:paraId="61798CAC" w14:textId="77777777" w:rsidR="00D138BE" w:rsidRDefault="00D138BE" w:rsidP="00A06F56">
            <w:pPr>
              <w:keepNext/>
              <w:keepLines/>
              <w:spacing w:before="0" w:beforeAutospacing="0" w:after="0" w:afterAutospacing="0" w:line="276" w:lineRule="auto"/>
            </w:pPr>
            <w:r>
              <w:t>Within 10 working days</w:t>
            </w:r>
          </w:p>
        </w:tc>
        <w:tc>
          <w:tcPr>
            <w:tcW w:w="2300" w:type="dxa"/>
            <w:shd w:val="clear" w:color="auto" w:fill="92D050"/>
          </w:tcPr>
          <w:p w14:paraId="02F43DB0" w14:textId="05E0C71A" w:rsidR="00D138BE" w:rsidRDefault="00222712" w:rsidP="00D2273F">
            <w:pPr>
              <w:keepNext/>
              <w:keepLines/>
              <w:spacing w:before="0" w:beforeAutospacing="0" w:after="0" w:afterAutospacing="0" w:line="276" w:lineRule="auto"/>
            </w:pPr>
            <w:r>
              <w:t>-</w:t>
            </w:r>
            <w:r w:rsidR="00D138BE">
              <w:t>10 working days</w:t>
            </w:r>
          </w:p>
        </w:tc>
      </w:tr>
      <w:tr w:rsidR="00A06F56" w14:paraId="06E7B143" w14:textId="6EEF4BB2" w:rsidTr="00A06F56">
        <w:tc>
          <w:tcPr>
            <w:tcW w:w="636" w:type="dxa"/>
          </w:tcPr>
          <w:p w14:paraId="6DEE3F56" w14:textId="77777777" w:rsidR="00D138BE" w:rsidRDefault="00D138BE" w:rsidP="00A06F56">
            <w:pPr>
              <w:keepNext/>
              <w:keepLines/>
              <w:spacing w:before="0" w:beforeAutospacing="0" w:after="0" w:afterAutospacing="0" w:line="276" w:lineRule="auto"/>
            </w:pPr>
          </w:p>
        </w:tc>
        <w:tc>
          <w:tcPr>
            <w:tcW w:w="5426" w:type="dxa"/>
          </w:tcPr>
          <w:p w14:paraId="6800C4CB" w14:textId="77777777" w:rsidR="00D138BE" w:rsidRDefault="00D138BE" w:rsidP="00A06F56">
            <w:pPr>
              <w:keepNext/>
              <w:keepLines/>
              <w:spacing w:before="0" w:beforeAutospacing="0" w:after="0" w:afterAutospacing="0" w:line="276" w:lineRule="auto"/>
            </w:pPr>
            <w:r>
              <w:t>Major rural (existing connection)</w:t>
            </w:r>
          </w:p>
        </w:tc>
        <w:tc>
          <w:tcPr>
            <w:tcW w:w="2835" w:type="dxa"/>
            <w:shd w:val="clear" w:color="auto" w:fill="C0504D" w:themeFill="accent2"/>
          </w:tcPr>
          <w:p w14:paraId="008A9803" w14:textId="77777777" w:rsidR="00D138BE" w:rsidRDefault="00D138BE" w:rsidP="00A06F56">
            <w:pPr>
              <w:keepNext/>
              <w:keepLines/>
              <w:spacing w:before="0" w:beforeAutospacing="0" w:after="0" w:afterAutospacing="0" w:line="276" w:lineRule="auto"/>
            </w:pPr>
            <w:r>
              <w:t>Within 2 working days</w:t>
            </w:r>
          </w:p>
        </w:tc>
        <w:tc>
          <w:tcPr>
            <w:tcW w:w="2977" w:type="dxa"/>
            <w:shd w:val="clear" w:color="auto" w:fill="C0504D" w:themeFill="accent2"/>
          </w:tcPr>
          <w:p w14:paraId="5FF64CA8" w14:textId="77777777" w:rsidR="00D138BE" w:rsidRDefault="00D138BE" w:rsidP="00A06F56">
            <w:pPr>
              <w:keepNext/>
              <w:keepLines/>
              <w:spacing w:before="0" w:beforeAutospacing="0" w:after="0" w:afterAutospacing="0" w:line="276" w:lineRule="auto"/>
            </w:pPr>
            <w:r>
              <w:t>Within 3 working days</w:t>
            </w:r>
          </w:p>
        </w:tc>
        <w:tc>
          <w:tcPr>
            <w:tcW w:w="2300" w:type="dxa"/>
            <w:shd w:val="clear" w:color="auto" w:fill="C0504D" w:themeFill="accent2"/>
          </w:tcPr>
          <w:p w14:paraId="6D37E5CC" w14:textId="6D85650E" w:rsidR="00D138BE" w:rsidRDefault="00222712" w:rsidP="00D2273F">
            <w:pPr>
              <w:keepNext/>
              <w:keepLines/>
              <w:spacing w:before="0" w:beforeAutospacing="0" w:after="0" w:afterAutospacing="0" w:line="276" w:lineRule="auto"/>
            </w:pPr>
            <w:r>
              <w:t>+</w:t>
            </w:r>
            <w:r w:rsidR="00D138BE">
              <w:t>1 working day</w:t>
            </w:r>
          </w:p>
        </w:tc>
      </w:tr>
      <w:tr w:rsidR="00A06F56" w14:paraId="74863329" w14:textId="1477B6BA" w:rsidTr="00A06F56">
        <w:tc>
          <w:tcPr>
            <w:tcW w:w="636" w:type="dxa"/>
          </w:tcPr>
          <w:p w14:paraId="01880952" w14:textId="77777777" w:rsidR="00D138BE" w:rsidRDefault="00D138BE" w:rsidP="00A06F56">
            <w:pPr>
              <w:keepNext/>
              <w:keepLines/>
              <w:spacing w:before="0" w:beforeAutospacing="0" w:after="0" w:afterAutospacing="0" w:line="276" w:lineRule="auto"/>
            </w:pPr>
          </w:p>
        </w:tc>
        <w:tc>
          <w:tcPr>
            <w:tcW w:w="5426" w:type="dxa"/>
          </w:tcPr>
          <w:p w14:paraId="5ADA482F" w14:textId="77777777" w:rsidR="00D138BE" w:rsidRDefault="00D138BE" w:rsidP="00A06F56">
            <w:pPr>
              <w:keepNext/>
              <w:keepLines/>
              <w:spacing w:before="0" w:beforeAutospacing="0" w:after="0" w:afterAutospacing="0" w:line="276" w:lineRule="auto"/>
            </w:pPr>
            <w:r>
              <w:t>Major rural (close to infrastructure and spare capacity)</w:t>
            </w:r>
          </w:p>
        </w:tc>
        <w:tc>
          <w:tcPr>
            <w:tcW w:w="2835" w:type="dxa"/>
            <w:shd w:val="clear" w:color="auto" w:fill="C0504D" w:themeFill="accent2"/>
          </w:tcPr>
          <w:p w14:paraId="0310122A" w14:textId="77777777" w:rsidR="00D138BE" w:rsidRDefault="00D138BE" w:rsidP="00A06F56">
            <w:pPr>
              <w:keepNext/>
              <w:keepLines/>
              <w:spacing w:before="0" w:beforeAutospacing="0" w:after="0" w:afterAutospacing="0" w:line="276" w:lineRule="auto"/>
            </w:pPr>
            <w:r>
              <w:t>Within 10 working days</w:t>
            </w:r>
          </w:p>
        </w:tc>
        <w:tc>
          <w:tcPr>
            <w:tcW w:w="2977" w:type="dxa"/>
            <w:shd w:val="clear" w:color="auto" w:fill="C0504D" w:themeFill="accent2"/>
          </w:tcPr>
          <w:p w14:paraId="1A958118"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C0504D" w:themeFill="accent2"/>
          </w:tcPr>
          <w:p w14:paraId="4FA9BB89" w14:textId="7E69CF26" w:rsidR="00D138BE" w:rsidRDefault="00222712" w:rsidP="00D2273F">
            <w:pPr>
              <w:keepNext/>
              <w:keepLines/>
              <w:spacing w:before="0" w:beforeAutospacing="0" w:after="0" w:afterAutospacing="0" w:line="276" w:lineRule="auto"/>
            </w:pPr>
            <w:r>
              <w:t>+</w:t>
            </w:r>
            <w:r w:rsidR="00D138BE">
              <w:t>5 working days</w:t>
            </w:r>
          </w:p>
        </w:tc>
      </w:tr>
      <w:tr w:rsidR="00A06F56" w14:paraId="05CFD923" w14:textId="3D8C58ED" w:rsidTr="00A06F56">
        <w:tc>
          <w:tcPr>
            <w:tcW w:w="636" w:type="dxa"/>
          </w:tcPr>
          <w:p w14:paraId="5B659AA3" w14:textId="77777777" w:rsidR="00D138BE" w:rsidRDefault="00D138BE" w:rsidP="00A06F56">
            <w:pPr>
              <w:keepNext/>
              <w:keepLines/>
              <w:spacing w:before="0" w:beforeAutospacing="0" w:after="0" w:afterAutospacing="0" w:line="276" w:lineRule="auto"/>
            </w:pPr>
          </w:p>
        </w:tc>
        <w:tc>
          <w:tcPr>
            <w:tcW w:w="5426" w:type="dxa"/>
          </w:tcPr>
          <w:p w14:paraId="63EA4AE3" w14:textId="77777777" w:rsidR="00D138BE" w:rsidRDefault="00D138BE" w:rsidP="00A06F56">
            <w:pPr>
              <w:keepNext/>
              <w:keepLines/>
              <w:spacing w:before="0" w:beforeAutospacing="0" w:after="0" w:afterAutospacing="0" w:line="276" w:lineRule="auto"/>
            </w:pPr>
            <w:r>
              <w:t>Major rural (without infrastructure or spare capacity)</w:t>
            </w:r>
          </w:p>
        </w:tc>
        <w:tc>
          <w:tcPr>
            <w:tcW w:w="2835" w:type="dxa"/>
            <w:shd w:val="clear" w:color="auto" w:fill="92D050"/>
          </w:tcPr>
          <w:p w14:paraId="2E47C0FB" w14:textId="77777777" w:rsidR="00D138BE" w:rsidRDefault="00D138BE" w:rsidP="00A06F56">
            <w:pPr>
              <w:keepNext/>
              <w:keepLines/>
              <w:spacing w:before="0" w:beforeAutospacing="0" w:after="0" w:afterAutospacing="0" w:line="276" w:lineRule="auto"/>
            </w:pPr>
            <w:r>
              <w:t>Within 20 working days</w:t>
            </w:r>
          </w:p>
        </w:tc>
        <w:tc>
          <w:tcPr>
            <w:tcW w:w="2977" w:type="dxa"/>
            <w:shd w:val="clear" w:color="auto" w:fill="92D050"/>
          </w:tcPr>
          <w:p w14:paraId="11C320D9"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92D050"/>
          </w:tcPr>
          <w:p w14:paraId="4C3C53FD" w14:textId="4DFFFC9E" w:rsidR="00D138BE" w:rsidRDefault="00D138BE" w:rsidP="00D2273F">
            <w:pPr>
              <w:keepNext/>
              <w:keepLines/>
              <w:spacing w:before="0" w:beforeAutospacing="0" w:after="0" w:afterAutospacing="0" w:line="276" w:lineRule="auto"/>
            </w:pPr>
            <w:r>
              <w:t>+5 working days</w:t>
            </w:r>
          </w:p>
        </w:tc>
      </w:tr>
      <w:tr w:rsidR="00A06F56" w14:paraId="12B81A1E" w14:textId="416EED39" w:rsidTr="00A06F56">
        <w:tc>
          <w:tcPr>
            <w:tcW w:w="636" w:type="dxa"/>
          </w:tcPr>
          <w:p w14:paraId="11C9BEF4" w14:textId="77777777" w:rsidR="00D138BE" w:rsidRDefault="00D138BE" w:rsidP="00A06F56">
            <w:pPr>
              <w:keepNext/>
              <w:keepLines/>
              <w:spacing w:before="0" w:beforeAutospacing="0" w:after="0" w:afterAutospacing="0" w:line="276" w:lineRule="auto"/>
            </w:pPr>
          </w:p>
        </w:tc>
        <w:tc>
          <w:tcPr>
            <w:tcW w:w="5426" w:type="dxa"/>
          </w:tcPr>
          <w:p w14:paraId="03AF42B4" w14:textId="77777777" w:rsidR="00D138BE" w:rsidRDefault="00D138BE" w:rsidP="00A06F56">
            <w:pPr>
              <w:keepNext/>
              <w:keepLines/>
              <w:spacing w:before="0" w:beforeAutospacing="0" w:after="0" w:afterAutospacing="0" w:line="276" w:lineRule="auto"/>
            </w:pPr>
            <w:r>
              <w:t>Minor rural (existing connection)</w:t>
            </w:r>
          </w:p>
        </w:tc>
        <w:tc>
          <w:tcPr>
            <w:tcW w:w="2835" w:type="dxa"/>
            <w:shd w:val="clear" w:color="auto" w:fill="C0504D" w:themeFill="accent2"/>
          </w:tcPr>
          <w:p w14:paraId="759E9F5F" w14:textId="77777777" w:rsidR="00D138BE" w:rsidRDefault="00D138BE" w:rsidP="00A06F56">
            <w:pPr>
              <w:keepNext/>
              <w:keepLines/>
              <w:spacing w:before="0" w:beforeAutospacing="0" w:after="0" w:afterAutospacing="0" w:line="276" w:lineRule="auto"/>
            </w:pPr>
            <w:r>
              <w:t>Within 2 working days</w:t>
            </w:r>
          </w:p>
        </w:tc>
        <w:tc>
          <w:tcPr>
            <w:tcW w:w="2977" w:type="dxa"/>
            <w:shd w:val="clear" w:color="auto" w:fill="C0504D" w:themeFill="accent2"/>
          </w:tcPr>
          <w:p w14:paraId="6154F140" w14:textId="77777777" w:rsidR="00D138BE" w:rsidRDefault="00D138BE" w:rsidP="00A06F56">
            <w:pPr>
              <w:keepNext/>
              <w:keepLines/>
              <w:spacing w:before="0" w:beforeAutospacing="0" w:after="0" w:afterAutospacing="0" w:line="276" w:lineRule="auto"/>
            </w:pPr>
            <w:r>
              <w:t>Within 3 working days</w:t>
            </w:r>
          </w:p>
        </w:tc>
        <w:tc>
          <w:tcPr>
            <w:tcW w:w="2300" w:type="dxa"/>
            <w:shd w:val="clear" w:color="auto" w:fill="C0504D" w:themeFill="accent2"/>
          </w:tcPr>
          <w:p w14:paraId="578F7527" w14:textId="096655AB" w:rsidR="00D138BE" w:rsidRDefault="00222712" w:rsidP="00D2273F">
            <w:pPr>
              <w:keepNext/>
              <w:keepLines/>
              <w:spacing w:before="0" w:beforeAutospacing="0" w:after="0" w:afterAutospacing="0" w:line="276" w:lineRule="auto"/>
            </w:pPr>
            <w:r>
              <w:t>+</w:t>
            </w:r>
            <w:r w:rsidR="00D138BE">
              <w:t>1 working day</w:t>
            </w:r>
          </w:p>
        </w:tc>
      </w:tr>
      <w:tr w:rsidR="00A06F56" w14:paraId="2052D34F" w14:textId="358E4404" w:rsidTr="00A06F56">
        <w:tc>
          <w:tcPr>
            <w:tcW w:w="636" w:type="dxa"/>
          </w:tcPr>
          <w:p w14:paraId="3BCE99A9" w14:textId="77777777" w:rsidR="00D138BE" w:rsidRDefault="00D138BE" w:rsidP="00A06F56">
            <w:pPr>
              <w:keepNext/>
              <w:keepLines/>
              <w:spacing w:before="0" w:beforeAutospacing="0" w:after="0" w:afterAutospacing="0" w:line="276" w:lineRule="auto"/>
            </w:pPr>
          </w:p>
        </w:tc>
        <w:tc>
          <w:tcPr>
            <w:tcW w:w="5426" w:type="dxa"/>
          </w:tcPr>
          <w:p w14:paraId="7FE9BB09" w14:textId="77777777" w:rsidR="00D138BE" w:rsidRDefault="00D138BE" w:rsidP="00A06F56">
            <w:pPr>
              <w:keepNext/>
              <w:keepLines/>
              <w:spacing w:before="0" w:beforeAutospacing="0" w:after="0" w:afterAutospacing="0" w:line="276" w:lineRule="auto"/>
            </w:pPr>
            <w:r>
              <w:t>Minor rural (close to infrastructure and spare capacity)</w:t>
            </w:r>
          </w:p>
        </w:tc>
        <w:tc>
          <w:tcPr>
            <w:tcW w:w="2835" w:type="dxa"/>
            <w:shd w:val="clear" w:color="auto" w:fill="FFC000"/>
          </w:tcPr>
          <w:p w14:paraId="44B955E2" w14:textId="77777777" w:rsidR="00D138BE" w:rsidRDefault="00D138BE" w:rsidP="00A06F56">
            <w:pPr>
              <w:keepNext/>
              <w:keepLines/>
              <w:spacing w:before="0" w:beforeAutospacing="0" w:after="0" w:afterAutospacing="0" w:line="276" w:lineRule="auto"/>
            </w:pPr>
            <w:r>
              <w:t>Within 15 working days</w:t>
            </w:r>
          </w:p>
        </w:tc>
        <w:tc>
          <w:tcPr>
            <w:tcW w:w="2977" w:type="dxa"/>
            <w:shd w:val="clear" w:color="auto" w:fill="FFC000"/>
          </w:tcPr>
          <w:p w14:paraId="1520A47C"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FFC000"/>
          </w:tcPr>
          <w:p w14:paraId="2DD4280B" w14:textId="23930FA5" w:rsidR="00D138BE" w:rsidRDefault="00D138BE" w:rsidP="00D2273F">
            <w:pPr>
              <w:keepNext/>
              <w:keepLines/>
              <w:spacing w:before="0" w:beforeAutospacing="0" w:after="0" w:afterAutospacing="0" w:line="276" w:lineRule="auto"/>
            </w:pPr>
            <w:r>
              <w:t>No difference</w:t>
            </w:r>
          </w:p>
        </w:tc>
      </w:tr>
      <w:tr w:rsidR="00A06F56" w14:paraId="43F65F91" w14:textId="3F10F8A0" w:rsidTr="00A06F56">
        <w:tc>
          <w:tcPr>
            <w:tcW w:w="636" w:type="dxa"/>
          </w:tcPr>
          <w:p w14:paraId="24814243" w14:textId="77777777" w:rsidR="00D138BE" w:rsidRDefault="00D138BE" w:rsidP="00A06F56">
            <w:pPr>
              <w:keepNext/>
              <w:keepLines/>
              <w:spacing w:before="0" w:beforeAutospacing="0" w:after="0" w:afterAutospacing="0" w:line="276" w:lineRule="auto"/>
            </w:pPr>
          </w:p>
        </w:tc>
        <w:tc>
          <w:tcPr>
            <w:tcW w:w="5426" w:type="dxa"/>
          </w:tcPr>
          <w:p w14:paraId="0DD7BF89" w14:textId="77777777" w:rsidR="00D138BE" w:rsidRDefault="00D138BE" w:rsidP="00A06F56">
            <w:pPr>
              <w:keepNext/>
              <w:keepLines/>
              <w:spacing w:before="0" w:beforeAutospacing="0" w:after="0" w:afterAutospacing="0" w:line="276" w:lineRule="auto"/>
            </w:pPr>
            <w:r>
              <w:t>Minor rural (without infrastructure or spare capacity)</w:t>
            </w:r>
          </w:p>
        </w:tc>
        <w:tc>
          <w:tcPr>
            <w:tcW w:w="2835" w:type="dxa"/>
            <w:shd w:val="clear" w:color="auto" w:fill="92D050"/>
          </w:tcPr>
          <w:p w14:paraId="28DBB147" w14:textId="77777777" w:rsidR="00D138BE" w:rsidRDefault="00D138BE" w:rsidP="00A06F56">
            <w:pPr>
              <w:keepNext/>
              <w:keepLines/>
              <w:spacing w:before="0" w:beforeAutospacing="0" w:after="0" w:afterAutospacing="0" w:line="276" w:lineRule="auto"/>
            </w:pPr>
            <w:r>
              <w:t>Within 20 working days</w:t>
            </w:r>
          </w:p>
        </w:tc>
        <w:tc>
          <w:tcPr>
            <w:tcW w:w="2977" w:type="dxa"/>
            <w:shd w:val="clear" w:color="auto" w:fill="92D050"/>
          </w:tcPr>
          <w:p w14:paraId="0F2CC7B7"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92D050"/>
          </w:tcPr>
          <w:p w14:paraId="091EE8AC" w14:textId="7F3F9CFC" w:rsidR="00D138BE" w:rsidRDefault="00222712" w:rsidP="00D2273F">
            <w:pPr>
              <w:keepNext/>
              <w:keepLines/>
              <w:spacing w:before="0" w:beforeAutospacing="0" w:after="0" w:afterAutospacing="0" w:line="276" w:lineRule="auto"/>
            </w:pPr>
            <w:r>
              <w:t>-</w:t>
            </w:r>
            <w:r w:rsidR="00D138BE">
              <w:t>5 working days</w:t>
            </w:r>
          </w:p>
        </w:tc>
      </w:tr>
      <w:tr w:rsidR="00A06F56" w14:paraId="29D72C0B" w14:textId="01D0BA19" w:rsidTr="00A06F56">
        <w:tc>
          <w:tcPr>
            <w:tcW w:w="636" w:type="dxa"/>
          </w:tcPr>
          <w:p w14:paraId="5DBD1E55" w14:textId="77777777" w:rsidR="00D138BE" w:rsidRDefault="00D138BE" w:rsidP="00A06F56">
            <w:pPr>
              <w:keepNext/>
              <w:keepLines/>
              <w:spacing w:before="0" w:beforeAutospacing="0" w:after="0" w:afterAutospacing="0" w:line="276" w:lineRule="auto"/>
            </w:pPr>
          </w:p>
        </w:tc>
        <w:tc>
          <w:tcPr>
            <w:tcW w:w="5426" w:type="dxa"/>
          </w:tcPr>
          <w:p w14:paraId="3B4188DB" w14:textId="77777777" w:rsidR="00D138BE" w:rsidRDefault="00D138BE" w:rsidP="00A06F56">
            <w:pPr>
              <w:keepNext/>
              <w:keepLines/>
              <w:spacing w:before="0" w:beforeAutospacing="0" w:after="0" w:afterAutospacing="0" w:line="276" w:lineRule="auto"/>
            </w:pPr>
            <w:r>
              <w:t>Remote (existing connection)</w:t>
            </w:r>
          </w:p>
        </w:tc>
        <w:tc>
          <w:tcPr>
            <w:tcW w:w="2835" w:type="dxa"/>
            <w:shd w:val="clear" w:color="auto" w:fill="C0504D" w:themeFill="accent2"/>
          </w:tcPr>
          <w:p w14:paraId="5C2C1B90" w14:textId="77777777" w:rsidR="00D138BE" w:rsidRDefault="00D138BE" w:rsidP="00A06F56">
            <w:pPr>
              <w:keepNext/>
              <w:keepLines/>
              <w:spacing w:before="0" w:beforeAutospacing="0" w:after="0" w:afterAutospacing="0" w:line="276" w:lineRule="auto"/>
            </w:pPr>
            <w:r>
              <w:t>Within 2 working days</w:t>
            </w:r>
          </w:p>
        </w:tc>
        <w:tc>
          <w:tcPr>
            <w:tcW w:w="2977" w:type="dxa"/>
            <w:shd w:val="clear" w:color="auto" w:fill="C0504D" w:themeFill="accent2"/>
          </w:tcPr>
          <w:p w14:paraId="232A53A2" w14:textId="77777777" w:rsidR="00D138BE" w:rsidRDefault="00D138BE" w:rsidP="00A06F56">
            <w:pPr>
              <w:keepNext/>
              <w:keepLines/>
              <w:spacing w:before="0" w:beforeAutospacing="0" w:after="0" w:afterAutospacing="0" w:line="276" w:lineRule="auto"/>
            </w:pPr>
            <w:r>
              <w:t>Within 3 working days</w:t>
            </w:r>
          </w:p>
        </w:tc>
        <w:tc>
          <w:tcPr>
            <w:tcW w:w="2300" w:type="dxa"/>
            <w:shd w:val="clear" w:color="auto" w:fill="C0504D" w:themeFill="accent2"/>
          </w:tcPr>
          <w:p w14:paraId="3F7FF99E" w14:textId="4AC3723D" w:rsidR="00D138BE" w:rsidRDefault="00222712" w:rsidP="00D2273F">
            <w:pPr>
              <w:keepNext/>
              <w:keepLines/>
              <w:spacing w:before="0" w:beforeAutospacing="0" w:after="0" w:afterAutospacing="0" w:line="276" w:lineRule="auto"/>
            </w:pPr>
            <w:r>
              <w:t>+</w:t>
            </w:r>
            <w:r w:rsidR="00D138BE">
              <w:t>1 working day</w:t>
            </w:r>
          </w:p>
        </w:tc>
      </w:tr>
      <w:tr w:rsidR="00A06F56" w14:paraId="0236DF65" w14:textId="2B980682" w:rsidTr="00A06F56">
        <w:tc>
          <w:tcPr>
            <w:tcW w:w="636" w:type="dxa"/>
          </w:tcPr>
          <w:p w14:paraId="3EC172B2" w14:textId="77777777" w:rsidR="00D138BE" w:rsidRDefault="00D138BE" w:rsidP="00A06F56">
            <w:pPr>
              <w:keepNext/>
              <w:keepLines/>
              <w:spacing w:before="0" w:beforeAutospacing="0" w:after="0" w:afterAutospacing="0" w:line="276" w:lineRule="auto"/>
            </w:pPr>
          </w:p>
        </w:tc>
        <w:tc>
          <w:tcPr>
            <w:tcW w:w="5426" w:type="dxa"/>
          </w:tcPr>
          <w:p w14:paraId="1E59E232" w14:textId="77777777" w:rsidR="00D138BE" w:rsidRDefault="00D138BE" w:rsidP="00A06F56">
            <w:pPr>
              <w:keepNext/>
              <w:keepLines/>
              <w:spacing w:before="0" w:beforeAutospacing="0" w:after="0" w:afterAutospacing="0" w:line="276" w:lineRule="auto"/>
            </w:pPr>
            <w:r>
              <w:t>Remote (close to infrastructure and spare capacity)</w:t>
            </w:r>
          </w:p>
        </w:tc>
        <w:tc>
          <w:tcPr>
            <w:tcW w:w="2835" w:type="dxa"/>
            <w:shd w:val="clear" w:color="auto" w:fill="FFC000"/>
          </w:tcPr>
          <w:p w14:paraId="79474F3C" w14:textId="77777777" w:rsidR="00D138BE" w:rsidRDefault="00D138BE" w:rsidP="00A06F56">
            <w:pPr>
              <w:keepNext/>
              <w:keepLines/>
              <w:spacing w:before="0" w:beforeAutospacing="0" w:after="0" w:afterAutospacing="0" w:line="276" w:lineRule="auto"/>
            </w:pPr>
            <w:r>
              <w:t>Within 15 working days</w:t>
            </w:r>
          </w:p>
        </w:tc>
        <w:tc>
          <w:tcPr>
            <w:tcW w:w="2977" w:type="dxa"/>
            <w:shd w:val="clear" w:color="auto" w:fill="FFC000"/>
          </w:tcPr>
          <w:p w14:paraId="3FB79E0B"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FFC000"/>
          </w:tcPr>
          <w:p w14:paraId="023E671F" w14:textId="58D25E23" w:rsidR="00D138BE" w:rsidRDefault="00D138BE" w:rsidP="00D2273F">
            <w:pPr>
              <w:keepNext/>
              <w:keepLines/>
              <w:spacing w:before="0" w:beforeAutospacing="0" w:after="0" w:afterAutospacing="0" w:line="276" w:lineRule="auto"/>
            </w:pPr>
            <w:r>
              <w:t>No difference</w:t>
            </w:r>
          </w:p>
        </w:tc>
      </w:tr>
      <w:tr w:rsidR="00A06F56" w14:paraId="3482669A" w14:textId="2F06C516" w:rsidTr="00A06F56">
        <w:tc>
          <w:tcPr>
            <w:tcW w:w="636" w:type="dxa"/>
          </w:tcPr>
          <w:p w14:paraId="0E24DF8A" w14:textId="77777777" w:rsidR="00D138BE" w:rsidRDefault="00D138BE" w:rsidP="00A06F56">
            <w:pPr>
              <w:keepNext/>
              <w:keepLines/>
              <w:spacing w:before="0" w:beforeAutospacing="0" w:after="0" w:afterAutospacing="0" w:line="276" w:lineRule="auto"/>
            </w:pPr>
          </w:p>
        </w:tc>
        <w:tc>
          <w:tcPr>
            <w:tcW w:w="5426" w:type="dxa"/>
          </w:tcPr>
          <w:p w14:paraId="37A06D4E" w14:textId="77777777" w:rsidR="00D138BE" w:rsidRDefault="00D138BE" w:rsidP="00A06F56">
            <w:pPr>
              <w:keepNext/>
              <w:keepLines/>
              <w:spacing w:before="0" w:beforeAutospacing="0" w:after="0" w:afterAutospacing="0" w:line="276" w:lineRule="auto"/>
            </w:pPr>
            <w:r>
              <w:t>Remote (without infrastructure or spare capacity)</w:t>
            </w:r>
          </w:p>
        </w:tc>
        <w:tc>
          <w:tcPr>
            <w:tcW w:w="2835" w:type="dxa"/>
            <w:shd w:val="clear" w:color="auto" w:fill="92D050"/>
          </w:tcPr>
          <w:p w14:paraId="208E0E59" w14:textId="77777777" w:rsidR="00D138BE" w:rsidRDefault="00D138BE" w:rsidP="00A06F56">
            <w:pPr>
              <w:keepNext/>
              <w:keepLines/>
              <w:spacing w:before="0" w:beforeAutospacing="0" w:after="0" w:afterAutospacing="0" w:line="276" w:lineRule="auto"/>
            </w:pPr>
            <w:r>
              <w:t>Within 20 working days</w:t>
            </w:r>
          </w:p>
        </w:tc>
        <w:tc>
          <w:tcPr>
            <w:tcW w:w="2977" w:type="dxa"/>
            <w:shd w:val="clear" w:color="auto" w:fill="92D050"/>
          </w:tcPr>
          <w:p w14:paraId="04C92AFA" w14:textId="77777777" w:rsidR="00D138BE" w:rsidRDefault="00D138BE" w:rsidP="00A06F56">
            <w:pPr>
              <w:keepNext/>
              <w:keepLines/>
              <w:spacing w:before="0" w:beforeAutospacing="0" w:after="0" w:afterAutospacing="0" w:line="276" w:lineRule="auto"/>
            </w:pPr>
            <w:r>
              <w:t>Within 15 working days</w:t>
            </w:r>
          </w:p>
        </w:tc>
        <w:tc>
          <w:tcPr>
            <w:tcW w:w="2300" w:type="dxa"/>
            <w:shd w:val="clear" w:color="auto" w:fill="92D050"/>
          </w:tcPr>
          <w:p w14:paraId="31C3B902" w14:textId="41CA0045" w:rsidR="00D138BE" w:rsidRDefault="00222712" w:rsidP="00D2273F">
            <w:pPr>
              <w:keepNext/>
              <w:keepLines/>
              <w:spacing w:before="0" w:beforeAutospacing="0" w:after="0" w:afterAutospacing="0" w:line="276" w:lineRule="auto"/>
            </w:pPr>
            <w:r>
              <w:t>-</w:t>
            </w:r>
            <w:r w:rsidR="00D138BE">
              <w:t>5 working days</w:t>
            </w:r>
          </w:p>
        </w:tc>
      </w:tr>
      <w:tr w:rsidR="00A06F56" w:rsidRPr="000F4F1B" w14:paraId="009CF79C" w14:textId="77777777" w:rsidTr="001876A4">
        <w:tc>
          <w:tcPr>
            <w:tcW w:w="11874" w:type="dxa"/>
            <w:gridSpan w:val="4"/>
            <w:shd w:val="clear" w:color="auto" w:fill="A6A6A6" w:themeFill="background1" w:themeFillShade="A6"/>
          </w:tcPr>
          <w:p w14:paraId="5B5524E9" w14:textId="77777777" w:rsidR="00A06F56" w:rsidRPr="000F4F1B" w:rsidRDefault="00A06F56" w:rsidP="00A06F56">
            <w:pPr>
              <w:keepNext/>
              <w:keepLines/>
              <w:spacing w:before="0" w:beforeAutospacing="0" w:after="0" w:afterAutospacing="0" w:line="276" w:lineRule="auto"/>
              <w:rPr>
                <w:b/>
              </w:rPr>
            </w:pPr>
            <w:r w:rsidRPr="000F4F1B">
              <w:rPr>
                <w:b/>
              </w:rPr>
              <w:t>Fault repair</w:t>
            </w:r>
          </w:p>
        </w:tc>
        <w:tc>
          <w:tcPr>
            <w:tcW w:w="2300" w:type="dxa"/>
            <w:shd w:val="clear" w:color="auto" w:fill="A6A6A6" w:themeFill="background1" w:themeFillShade="A6"/>
          </w:tcPr>
          <w:p w14:paraId="6C75DC9A" w14:textId="77777777" w:rsidR="00A06F56" w:rsidRPr="000F4F1B" w:rsidRDefault="00A06F56" w:rsidP="00A06F56">
            <w:pPr>
              <w:keepNext/>
              <w:keepLines/>
              <w:spacing w:before="0" w:beforeAutospacing="0" w:after="0" w:afterAutospacing="0" w:line="276" w:lineRule="auto"/>
              <w:rPr>
                <w:b/>
              </w:rPr>
            </w:pPr>
          </w:p>
        </w:tc>
      </w:tr>
      <w:tr w:rsidR="00A06F56" w14:paraId="30D24D6A" w14:textId="017B4814" w:rsidTr="00A06F56">
        <w:tc>
          <w:tcPr>
            <w:tcW w:w="636" w:type="dxa"/>
          </w:tcPr>
          <w:p w14:paraId="0DE04FEF" w14:textId="77777777" w:rsidR="00D138BE" w:rsidRDefault="00D138BE" w:rsidP="00A06F56">
            <w:pPr>
              <w:keepNext/>
              <w:keepLines/>
              <w:spacing w:before="0" w:beforeAutospacing="0" w:after="0" w:afterAutospacing="0" w:line="276" w:lineRule="auto"/>
            </w:pPr>
          </w:p>
        </w:tc>
        <w:tc>
          <w:tcPr>
            <w:tcW w:w="5426" w:type="dxa"/>
          </w:tcPr>
          <w:p w14:paraId="71672D7B" w14:textId="77777777" w:rsidR="00D138BE" w:rsidRDefault="00D138BE" w:rsidP="00A06F56">
            <w:pPr>
              <w:keepNext/>
              <w:keepLines/>
              <w:spacing w:before="0" w:beforeAutospacing="0" w:after="0" w:afterAutospacing="0" w:line="276" w:lineRule="auto"/>
            </w:pPr>
            <w:r>
              <w:t xml:space="preserve">Urban </w:t>
            </w:r>
          </w:p>
        </w:tc>
        <w:tc>
          <w:tcPr>
            <w:tcW w:w="2835" w:type="dxa"/>
            <w:shd w:val="clear" w:color="auto" w:fill="FFC000"/>
          </w:tcPr>
          <w:p w14:paraId="1E48C797" w14:textId="77777777" w:rsidR="00D138BE" w:rsidRDefault="00D138BE" w:rsidP="00A06F56">
            <w:pPr>
              <w:keepNext/>
              <w:keepLines/>
              <w:spacing w:before="0" w:beforeAutospacing="0" w:after="0" w:afterAutospacing="0" w:line="276" w:lineRule="auto"/>
            </w:pPr>
            <w:r>
              <w:t>End of next working day</w:t>
            </w:r>
          </w:p>
        </w:tc>
        <w:tc>
          <w:tcPr>
            <w:tcW w:w="2977" w:type="dxa"/>
            <w:shd w:val="clear" w:color="auto" w:fill="FFC000"/>
          </w:tcPr>
          <w:p w14:paraId="691DA1BA" w14:textId="77777777" w:rsidR="00D138BE" w:rsidRDefault="00D138BE" w:rsidP="00A06F56">
            <w:pPr>
              <w:keepNext/>
              <w:keepLines/>
              <w:spacing w:before="0" w:beforeAutospacing="0" w:after="0" w:afterAutospacing="0" w:line="276" w:lineRule="auto"/>
            </w:pPr>
            <w:r>
              <w:t>End of next working day</w:t>
            </w:r>
          </w:p>
        </w:tc>
        <w:tc>
          <w:tcPr>
            <w:tcW w:w="2300" w:type="dxa"/>
            <w:shd w:val="clear" w:color="auto" w:fill="FFC000"/>
          </w:tcPr>
          <w:p w14:paraId="7188D98A" w14:textId="4DFF08F5" w:rsidR="00D138BE" w:rsidRDefault="00D138BE" w:rsidP="00D2273F">
            <w:pPr>
              <w:keepNext/>
              <w:keepLines/>
              <w:spacing w:before="0" w:beforeAutospacing="0" w:after="0" w:afterAutospacing="0" w:line="276" w:lineRule="auto"/>
            </w:pPr>
            <w:r>
              <w:t xml:space="preserve">No difference </w:t>
            </w:r>
          </w:p>
        </w:tc>
      </w:tr>
      <w:tr w:rsidR="00A06F56" w14:paraId="66EDAC7D" w14:textId="2A0E7EC4" w:rsidTr="00A06F56">
        <w:tc>
          <w:tcPr>
            <w:tcW w:w="636" w:type="dxa"/>
          </w:tcPr>
          <w:p w14:paraId="0EF0A41E" w14:textId="77777777" w:rsidR="00D138BE" w:rsidRDefault="00D138BE" w:rsidP="00A06F56">
            <w:pPr>
              <w:keepNext/>
              <w:keepLines/>
              <w:spacing w:before="0" w:beforeAutospacing="0" w:after="0" w:afterAutospacing="0" w:line="276" w:lineRule="auto"/>
            </w:pPr>
          </w:p>
        </w:tc>
        <w:tc>
          <w:tcPr>
            <w:tcW w:w="5426" w:type="dxa"/>
          </w:tcPr>
          <w:p w14:paraId="40D4C6C0" w14:textId="77777777" w:rsidR="00D138BE" w:rsidRDefault="00D138BE" w:rsidP="00A06F56">
            <w:pPr>
              <w:keepNext/>
              <w:keepLines/>
              <w:spacing w:before="0" w:beforeAutospacing="0" w:after="0" w:afterAutospacing="0" w:line="276" w:lineRule="auto"/>
            </w:pPr>
            <w:r>
              <w:t>Rural</w:t>
            </w:r>
          </w:p>
        </w:tc>
        <w:tc>
          <w:tcPr>
            <w:tcW w:w="2835" w:type="dxa"/>
            <w:shd w:val="clear" w:color="auto" w:fill="FFC000"/>
          </w:tcPr>
          <w:p w14:paraId="3DD981E7" w14:textId="77777777" w:rsidR="00D138BE" w:rsidRDefault="00D138BE" w:rsidP="00A06F56">
            <w:pPr>
              <w:keepNext/>
              <w:keepLines/>
              <w:spacing w:before="0" w:beforeAutospacing="0" w:after="0" w:afterAutospacing="0" w:line="276" w:lineRule="auto"/>
            </w:pPr>
            <w:r>
              <w:t>End of second working day</w:t>
            </w:r>
          </w:p>
        </w:tc>
        <w:tc>
          <w:tcPr>
            <w:tcW w:w="2977" w:type="dxa"/>
            <w:shd w:val="clear" w:color="auto" w:fill="FFC000"/>
          </w:tcPr>
          <w:p w14:paraId="5C593FB3" w14:textId="77777777" w:rsidR="00D138BE" w:rsidRDefault="00D138BE" w:rsidP="00A06F56">
            <w:pPr>
              <w:keepNext/>
              <w:keepLines/>
              <w:spacing w:before="0" w:beforeAutospacing="0" w:after="0" w:afterAutospacing="0" w:line="276" w:lineRule="auto"/>
            </w:pPr>
            <w:r>
              <w:t>End of second working day</w:t>
            </w:r>
          </w:p>
        </w:tc>
        <w:tc>
          <w:tcPr>
            <w:tcW w:w="2300" w:type="dxa"/>
            <w:shd w:val="clear" w:color="auto" w:fill="FFC000"/>
          </w:tcPr>
          <w:p w14:paraId="0921FF58" w14:textId="4C077A91" w:rsidR="00D138BE" w:rsidRDefault="00D138BE" w:rsidP="00D2273F">
            <w:pPr>
              <w:keepNext/>
              <w:keepLines/>
              <w:spacing w:before="0" w:beforeAutospacing="0" w:after="0" w:afterAutospacing="0" w:line="276" w:lineRule="auto"/>
            </w:pPr>
            <w:r>
              <w:t>No difference</w:t>
            </w:r>
          </w:p>
        </w:tc>
      </w:tr>
      <w:tr w:rsidR="00A06F56" w14:paraId="4C6D03CA" w14:textId="784D9A26" w:rsidTr="00A06F56">
        <w:tc>
          <w:tcPr>
            <w:tcW w:w="636" w:type="dxa"/>
          </w:tcPr>
          <w:p w14:paraId="46FF17EB" w14:textId="77777777" w:rsidR="00D138BE" w:rsidRDefault="00D138BE" w:rsidP="00A06F56">
            <w:pPr>
              <w:keepNext/>
              <w:keepLines/>
              <w:spacing w:before="0" w:beforeAutospacing="0" w:after="0" w:afterAutospacing="0" w:line="276" w:lineRule="auto"/>
            </w:pPr>
          </w:p>
        </w:tc>
        <w:tc>
          <w:tcPr>
            <w:tcW w:w="5426" w:type="dxa"/>
          </w:tcPr>
          <w:p w14:paraId="43456A69" w14:textId="77777777" w:rsidR="00D138BE" w:rsidRDefault="00D138BE" w:rsidP="00A06F56">
            <w:pPr>
              <w:keepNext/>
              <w:keepLines/>
              <w:spacing w:before="0" w:beforeAutospacing="0" w:after="0" w:afterAutospacing="0" w:line="276" w:lineRule="auto"/>
            </w:pPr>
            <w:r>
              <w:t>Remote</w:t>
            </w:r>
          </w:p>
        </w:tc>
        <w:tc>
          <w:tcPr>
            <w:tcW w:w="2835" w:type="dxa"/>
            <w:shd w:val="clear" w:color="auto" w:fill="92D050"/>
          </w:tcPr>
          <w:p w14:paraId="59102864" w14:textId="77777777" w:rsidR="00D138BE" w:rsidRDefault="00D138BE" w:rsidP="00A06F56">
            <w:pPr>
              <w:keepNext/>
              <w:keepLines/>
              <w:spacing w:before="0" w:beforeAutospacing="0" w:after="0" w:afterAutospacing="0" w:line="276" w:lineRule="auto"/>
            </w:pPr>
            <w:r>
              <w:t>End of third working day</w:t>
            </w:r>
          </w:p>
        </w:tc>
        <w:tc>
          <w:tcPr>
            <w:tcW w:w="2977" w:type="dxa"/>
            <w:shd w:val="clear" w:color="auto" w:fill="92D050"/>
          </w:tcPr>
          <w:p w14:paraId="5BEA73E5" w14:textId="77777777" w:rsidR="00D138BE" w:rsidRDefault="00D138BE" w:rsidP="00A06F56">
            <w:pPr>
              <w:keepNext/>
              <w:keepLines/>
              <w:spacing w:before="0" w:beforeAutospacing="0" w:after="0" w:afterAutospacing="0" w:line="276" w:lineRule="auto"/>
            </w:pPr>
            <w:r>
              <w:t>End of second working day</w:t>
            </w:r>
          </w:p>
        </w:tc>
        <w:tc>
          <w:tcPr>
            <w:tcW w:w="2300" w:type="dxa"/>
            <w:shd w:val="clear" w:color="auto" w:fill="92D050"/>
          </w:tcPr>
          <w:p w14:paraId="541F9313" w14:textId="2A454943" w:rsidR="00D138BE" w:rsidRDefault="00222712" w:rsidP="00D2273F">
            <w:pPr>
              <w:keepNext/>
              <w:keepLines/>
              <w:spacing w:before="0" w:beforeAutospacing="0" w:after="0" w:afterAutospacing="0" w:line="276" w:lineRule="auto"/>
            </w:pPr>
            <w:r>
              <w:t>-</w:t>
            </w:r>
            <w:r w:rsidR="00F55564">
              <w:t>1 working day</w:t>
            </w:r>
          </w:p>
        </w:tc>
      </w:tr>
    </w:tbl>
    <w:p w14:paraId="0D372FEE" w14:textId="77777777" w:rsidR="00E16211" w:rsidRDefault="00E16211" w:rsidP="00E16211">
      <w:pPr>
        <w:spacing w:before="0" w:beforeAutospacing="0" w:after="200" w:afterAutospacing="0" w:line="276" w:lineRule="auto"/>
      </w:pPr>
    </w:p>
    <w:p w14:paraId="1936853F" w14:textId="77777777" w:rsidR="00EB408A" w:rsidRDefault="00EB408A" w:rsidP="00E16211">
      <w:pPr>
        <w:spacing w:before="0" w:beforeAutospacing="0" w:after="200" w:afterAutospacing="0" w:line="276" w:lineRule="auto"/>
        <w:sectPr w:rsidR="00EB408A" w:rsidSect="00EB408A">
          <w:headerReference w:type="first" r:id="rId14"/>
          <w:footerReference w:type="first" r:id="rId15"/>
          <w:pgSz w:w="16838" w:h="11906" w:orient="landscape" w:code="9"/>
          <w:pgMar w:top="1440" w:right="1440" w:bottom="1440" w:left="1440" w:header="709" w:footer="0" w:gutter="0"/>
          <w:cols w:space="708"/>
          <w:titlePg/>
          <w:docGrid w:linePitch="360"/>
        </w:sectPr>
      </w:pPr>
    </w:p>
    <w:p w14:paraId="5BA275D0" w14:textId="77777777" w:rsidR="00B25C78" w:rsidRDefault="00B25C78" w:rsidP="00E16211">
      <w:pPr>
        <w:spacing w:before="0" w:beforeAutospacing="0" w:after="200" w:afterAutospacing="0" w:line="276" w:lineRule="auto"/>
      </w:pPr>
      <w:r>
        <w:lastRenderedPageBreak/>
        <w:t>The colours in the table represent the following:</w:t>
      </w:r>
    </w:p>
    <w:p w14:paraId="028E81AF" w14:textId="33AAB283" w:rsidR="00B25C78" w:rsidRDefault="00B25C78" w:rsidP="00826D4B">
      <w:pPr>
        <w:pStyle w:val="ListParagraph"/>
        <w:numPr>
          <w:ilvl w:val="0"/>
          <w:numId w:val="10"/>
        </w:numPr>
        <w:spacing w:before="0" w:beforeAutospacing="0" w:after="200" w:afterAutospacing="0" w:line="276" w:lineRule="auto"/>
      </w:pPr>
      <w:r>
        <w:t>Green cells represent an improvement in the timeframe compared to the current CSG timeframes</w:t>
      </w:r>
      <w:r w:rsidR="00E8415E">
        <w:t xml:space="preserve"> (a decrease in the number of maximum working days)</w:t>
      </w:r>
      <w:r>
        <w:t>;</w:t>
      </w:r>
    </w:p>
    <w:p w14:paraId="3011D73D" w14:textId="77777777" w:rsidR="00B25C78" w:rsidRDefault="00B25C78" w:rsidP="00826D4B">
      <w:pPr>
        <w:pStyle w:val="ListParagraph"/>
        <w:numPr>
          <w:ilvl w:val="0"/>
          <w:numId w:val="10"/>
        </w:numPr>
        <w:spacing w:before="0" w:beforeAutospacing="0" w:after="200" w:afterAutospacing="0" w:line="276" w:lineRule="auto"/>
      </w:pPr>
      <w:r>
        <w:t>Amber cells represent no change in the timeframe compared to the current CSG timeframes; and</w:t>
      </w:r>
    </w:p>
    <w:p w14:paraId="377B0FA3" w14:textId="2C56C1BD" w:rsidR="00B25C78" w:rsidRDefault="00B25C78" w:rsidP="00826D4B">
      <w:pPr>
        <w:pStyle w:val="ListParagraph"/>
        <w:numPr>
          <w:ilvl w:val="0"/>
          <w:numId w:val="10"/>
        </w:numPr>
        <w:spacing w:before="0" w:beforeAutospacing="0" w:after="200" w:afterAutospacing="0" w:line="276" w:lineRule="auto"/>
      </w:pPr>
      <w:r>
        <w:t>Red cells represent a decline in the timeframe compared to the current CSG timeframes</w:t>
      </w:r>
      <w:r w:rsidR="00E8415E">
        <w:t xml:space="preserve"> (an increase in the number of working days)</w:t>
      </w:r>
      <w:r>
        <w:t>.</w:t>
      </w:r>
    </w:p>
    <w:p w14:paraId="0713ADD8" w14:textId="77777777" w:rsidR="00E16211" w:rsidRDefault="000F4F1B" w:rsidP="00E16211">
      <w:pPr>
        <w:spacing w:before="0" w:beforeAutospacing="0" w:after="200" w:afterAutospacing="0" w:line="276" w:lineRule="auto"/>
      </w:pPr>
      <w:r>
        <w:t xml:space="preserve">As shown in the table, there are a number of changes </w:t>
      </w:r>
      <w:r w:rsidR="008353D4">
        <w:t>which impact</w:t>
      </w:r>
      <w:r>
        <w:t xml:space="preserve"> consumers:</w:t>
      </w:r>
    </w:p>
    <w:p w14:paraId="1900F1D7" w14:textId="77777777" w:rsidR="000F4F1B" w:rsidRDefault="00A55148" w:rsidP="00826D4B">
      <w:pPr>
        <w:pStyle w:val="ListParagraph"/>
        <w:numPr>
          <w:ilvl w:val="0"/>
          <w:numId w:val="10"/>
        </w:numPr>
        <w:spacing w:before="0" w:beforeAutospacing="0" w:after="200" w:afterAutospacing="0" w:line="276" w:lineRule="auto"/>
      </w:pPr>
      <w:r>
        <w:t>T</w:t>
      </w:r>
      <w:r w:rsidR="000F4F1B">
        <w:t xml:space="preserve">he timeframes for fault repair in remote areas </w:t>
      </w:r>
      <w:r>
        <w:t xml:space="preserve">has reduced </w:t>
      </w:r>
      <w:r w:rsidR="000F4F1B">
        <w:t xml:space="preserve">from </w:t>
      </w:r>
      <w:r w:rsidR="000A71AA">
        <w:t>the end of the third working day to the end of the second</w:t>
      </w:r>
      <w:r w:rsidR="008353D4">
        <w:t>;</w:t>
      </w:r>
    </w:p>
    <w:p w14:paraId="544A8BB0" w14:textId="77777777" w:rsidR="000A71AA" w:rsidRDefault="00A55148" w:rsidP="00826D4B">
      <w:pPr>
        <w:pStyle w:val="ListParagraph"/>
        <w:numPr>
          <w:ilvl w:val="0"/>
          <w:numId w:val="10"/>
        </w:numPr>
        <w:spacing w:before="0" w:beforeAutospacing="0" w:after="200" w:afterAutospacing="0" w:line="276" w:lineRule="auto"/>
      </w:pPr>
      <w:r>
        <w:t xml:space="preserve">The timeframes for </w:t>
      </w:r>
      <w:r w:rsidR="00B25C78">
        <w:t>“without infrastructure or spare capacity” connection</w:t>
      </w:r>
      <w:r>
        <w:t>s</w:t>
      </w:r>
      <w:r w:rsidR="00B25C78">
        <w:t xml:space="preserve"> in all areas</w:t>
      </w:r>
      <w:r>
        <w:t xml:space="preserve"> have reduced</w:t>
      </w:r>
      <w:r w:rsidR="00B25C78">
        <w:t>. The proposed connection timeframe for all non-urban areas is 15 working days (previously 20 working days) and is 10 working days in urban areas (</w:t>
      </w:r>
      <w:r w:rsidR="008353D4">
        <w:t xml:space="preserve">previously 20 working days); </w:t>
      </w:r>
    </w:p>
    <w:p w14:paraId="4ADDBCD3" w14:textId="77777777" w:rsidR="008353D4" w:rsidRDefault="00A55148" w:rsidP="00826D4B">
      <w:pPr>
        <w:pStyle w:val="ListParagraph"/>
        <w:numPr>
          <w:ilvl w:val="0"/>
          <w:numId w:val="10"/>
        </w:numPr>
        <w:spacing w:before="0" w:beforeAutospacing="0" w:after="200" w:afterAutospacing="0" w:line="276" w:lineRule="auto"/>
      </w:pPr>
      <w:r>
        <w:t xml:space="preserve">The timeframes for </w:t>
      </w:r>
      <w:r w:rsidR="00B25C78">
        <w:t>“close to infrastructure” connection</w:t>
      </w:r>
      <w:r>
        <w:t xml:space="preserve">s </w:t>
      </w:r>
      <w:r w:rsidR="00B25C78">
        <w:t>in urban areas</w:t>
      </w:r>
      <w:r>
        <w:t xml:space="preserve"> has reduced</w:t>
      </w:r>
      <w:r w:rsidR="008353D4">
        <w:t>;</w:t>
      </w:r>
    </w:p>
    <w:p w14:paraId="37A1B4FB" w14:textId="77777777" w:rsidR="008353D4" w:rsidRDefault="008353D4" w:rsidP="00826D4B">
      <w:pPr>
        <w:pStyle w:val="ListParagraph"/>
        <w:numPr>
          <w:ilvl w:val="0"/>
          <w:numId w:val="10"/>
        </w:numPr>
        <w:spacing w:before="0" w:beforeAutospacing="0" w:after="200" w:afterAutospacing="0" w:line="276" w:lineRule="auto"/>
      </w:pPr>
      <w:r>
        <w:t>T</w:t>
      </w:r>
      <w:r w:rsidR="00B25C78">
        <w:t xml:space="preserve">he timeframes </w:t>
      </w:r>
      <w:r w:rsidR="000722E6">
        <w:t>for “existing connections” in major rural, minor rural and remote areas have increased from within 2 working days to within 3 working days</w:t>
      </w:r>
      <w:r>
        <w:t>; and</w:t>
      </w:r>
    </w:p>
    <w:p w14:paraId="51A8E237" w14:textId="77777777" w:rsidR="00B25C78" w:rsidRDefault="00C250D6" w:rsidP="00826D4B">
      <w:pPr>
        <w:pStyle w:val="ListParagraph"/>
        <w:numPr>
          <w:ilvl w:val="0"/>
          <w:numId w:val="10"/>
        </w:numPr>
        <w:spacing w:before="0" w:beforeAutospacing="0" w:after="200" w:afterAutospacing="0" w:line="276" w:lineRule="auto"/>
      </w:pPr>
      <w:r>
        <w:t xml:space="preserve">The </w:t>
      </w:r>
      <w:r w:rsidR="008353D4">
        <w:t xml:space="preserve">timeframes </w:t>
      </w:r>
      <w:r w:rsidR="00A55148">
        <w:t>for “close to infrastructure</w:t>
      </w:r>
      <w:r w:rsidR="000722E6">
        <w:t xml:space="preserve"> and spare capacity</w:t>
      </w:r>
      <w:r w:rsidR="00A55148">
        <w:t>” connections in major rural areas</w:t>
      </w:r>
      <w:r w:rsidR="008353D4">
        <w:t xml:space="preserve"> has increased </w:t>
      </w:r>
      <w:r w:rsidR="000722E6">
        <w:t>from within 10 working days to within 15 working days.</w:t>
      </w:r>
    </w:p>
    <w:p w14:paraId="56FB3A6F" w14:textId="3A50C579" w:rsidR="000722E6" w:rsidRDefault="000722E6" w:rsidP="000722E6">
      <w:pPr>
        <w:spacing w:before="0" w:beforeAutospacing="0" w:after="200" w:afterAutospacing="0" w:line="276" w:lineRule="auto"/>
      </w:pPr>
      <w:r>
        <w:t>The area definitions for which timeframes apply have condensed from four connection categories (urban, major rural, minor rural and remote) and three fault repair categories (urban, rural and remote) to two (urban and other). This largely improves maximum timeframes as well as simplicity</w:t>
      </w:r>
      <w:r w:rsidR="00645370">
        <w:t>,</w:t>
      </w:r>
      <w:r w:rsidR="005251CB">
        <w:t xml:space="preserve"> however, some customers are worse off. It is not reasonable for mandatory timeframes to increase.</w:t>
      </w:r>
    </w:p>
    <w:p w14:paraId="7EFDA816" w14:textId="3A1FAEB9" w:rsidR="00A55148" w:rsidRDefault="00A55148" w:rsidP="00E16211">
      <w:pPr>
        <w:spacing w:before="0" w:beforeAutospacing="0" w:after="200" w:afterAutospacing="0" w:line="276" w:lineRule="auto"/>
      </w:pPr>
      <w:r>
        <w:t xml:space="preserve">The majority of connections and fault repair will be performed by </w:t>
      </w:r>
      <w:r w:rsidR="00B32399">
        <w:t xml:space="preserve">nbn </w:t>
      </w:r>
      <w:r w:rsidR="005515AA">
        <w:t xml:space="preserve">co </w:t>
      </w:r>
      <w:r>
        <w:t xml:space="preserve">on a largely new, </w:t>
      </w:r>
      <w:r w:rsidR="005E7E32">
        <w:t>integrated network. Thus, it i</w:t>
      </w:r>
      <w:r>
        <w:t xml:space="preserve">s not reasonable to increase the maximum timeframes from </w:t>
      </w:r>
      <w:r w:rsidR="00871911">
        <w:t>those</w:t>
      </w:r>
      <w:r>
        <w:t xml:space="preserve"> Telstra is expected to deliver over a legacy network with legacy systems and technology. Since the CSG timeframes were introduced, provisioning and management systems should have improved such that we can expect more from a new network provider, not less. </w:t>
      </w:r>
      <w:r w:rsidR="00C250D6">
        <w:t>The new arrangements should at least offer the same protection customers get now</w:t>
      </w:r>
      <w:r w:rsidR="000D05E8">
        <w:t xml:space="preserve"> and reflect current customer expectations from a new network</w:t>
      </w:r>
      <w:r w:rsidR="00C250D6">
        <w:t>.</w:t>
      </w:r>
      <w:r w:rsidR="000D05E8">
        <w:t xml:space="preserve"> For example, if there are circumstances where a site visit is not required (eg for an in place connection</w:t>
      </w:r>
      <w:r w:rsidR="0091371B">
        <w:t>,</w:t>
      </w:r>
      <w:r w:rsidR="000D05E8">
        <w:t xml:space="preserve"> customer transfer for a churn or move) than it should be recognized in the maximum timeframes as quicker than a new connection being installed. </w:t>
      </w:r>
    </w:p>
    <w:p w14:paraId="6426462E" w14:textId="77777777" w:rsidR="00D21C1B" w:rsidRDefault="00751CDD" w:rsidP="00E16211">
      <w:pPr>
        <w:spacing w:before="0" w:beforeAutospacing="0" w:after="200" w:afterAutospacing="0" w:line="276" w:lineRule="auto"/>
      </w:pPr>
      <w:r>
        <w:t xml:space="preserve">Moreover, the use of working days, instead of days, means that mandatory connection and repair timeframes are longer over weekends and public holidays. However, the demand for essential connectivity does not change depending on a working day designation. </w:t>
      </w:r>
      <w:r w:rsidR="00B40903">
        <w:t xml:space="preserve">Individual and small business consumers rely on continuous access to voice and data services and so mandatory connection and repair timeframes should reflect that. </w:t>
      </w:r>
    </w:p>
    <w:p w14:paraId="2B5F4C05" w14:textId="58EA16F4" w:rsidR="0036009E" w:rsidRDefault="0036009E" w:rsidP="00E16211">
      <w:pPr>
        <w:spacing w:before="0" w:beforeAutospacing="0" w:after="200" w:afterAutospacing="0" w:line="276" w:lineRule="auto"/>
      </w:pPr>
      <w:r>
        <w:t>ACCAN supports the connection and repair timeframes applying to all providers and fixed line services. Consumers are increasingly relying on fixed line broadband</w:t>
      </w:r>
      <w:r w:rsidR="00E16211">
        <w:t xml:space="preserve"> and the current framework provides no regulatory protection for connection and repair timeframes</w:t>
      </w:r>
      <w:r>
        <w:t>.</w:t>
      </w:r>
      <w:r w:rsidR="00E16211">
        <w:t xml:space="preserve"> Moreover, the current </w:t>
      </w:r>
      <w:r w:rsidR="00E16211">
        <w:lastRenderedPageBreak/>
        <w:t xml:space="preserve">framework only provides a mandated timeframe for voice services provided by Telstra. Thus a mandated timeframe for connection and repair for all fixed line services provided by all retailers is a massive improvement which ACCAN </w:t>
      </w:r>
      <w:r w:rsidR="00B32399">
        <w:t>strongly</w:t>
      </w:r>
      <w:r w:rsidR="00E16211">
        <w:t xml:space="preserve"> supports.</w:t>
      </w:r>
    </w:p>
    <w:p w14:paraId="01F43895" w14:textId="77777777" w:rsidR="00E16211" w:rsidRDefault="002F1178" w:rsidP="00E16211">
      <w:pPr>
        <w:spacing w:before="0" w:beforeAutospacing="0" w:after="200" w:afterAutospacing="0" w:line="276" w:lineRule="auto"/>
      </w:pPr>
      <w:r>
        <w:t>We note however that operationalising these maximum timeframes in a vertically separated environment requires obligations to be placed on both network providers and retailers. The separate obligations will need to recognize that a shorter timeframe will be necessary for network providers to enable retail processes within the maximum timeframes experienced by end-users.</w:t>
      </w:r>
    </w:p>
    <w:tbl>
      <w:tblPr>
        <w:tblStyle w:val="TableGrid"/>
        <w:tblW w:w="0" w:type="auto"/>
        <w:tblLook w:val="04A0" w:firstRow="1" w:lastRow="0" w:firstColumn="1" w:lastColumn="0" w:noHBand="0" w:noVBand="1"/>
      </w:tblPr>
      <w:tblGrid>
        <w:gridCol w:w="9242"/>
      </w:tblGrid>
      <w:tr w:rsidR="00107582" w14:paraId="652E0B30" w14:textId="77777777" w:rsidTr="00107582">
        <w:tc>
          <w:tcPr>
            <w:tcW w:w="9242" w:type="dxa"/>
          </w:tcPr>
          <w:p w14:paraId="32701DD5" w14:textId="09434FF0" w:rsidR="00107582" w:rsidRPr="00107582" w:rsidRDefault="00107582" w:rsidP="00C27CD6">
            <w:pPr>
              <w:keepNext/>
              <w:keepLines/>
              <w:spacing w:before="0" w:beforeAutospacing="0" w:after="200" w:afterAutospacing="0" w:line="276" w:lineRule="auto"/>
              <w:rPr>
                <w:b/>
              </w:rPr>
            </w:pPr>
            <w:r w:rsidRPr="00107582">
              <w:rPr>
                <w:b/>
              </w:rPr>
              <w:t>Recommendation 1: Connection and repair timeframes</w:t>
            </w:r>
          </w:p>
          <w:p w14:paraId="38DAA590" w14:textId="74D969BC" w:rsidR="00107582" w:rsidRDefault="00107582" w:rsidP="00C27CD6">
            <w:pPr>
              <w:pStyle w:val="ListParagraph"/>
              <w:keepNext/>
              <w:keepLines/>
              <w:numPr>
                <w:ilvl w:val="0"/>
                <w:numId w:val="21"/>
              </w:numPr>
              <w:spacing w:before="0" w:beforeAutospacing="0" w:after="200" w:afterAutospacing="0" w:line="276" w:lineRule="auto"/>
            </w:pPr>
            <w:r>
              <w:t>Fixed line telecommunications services are essential and require regulation to protect consumers.</w:t>
            </w:r>
          </w:p>
          <w:p w14:paraId="2EF0102B" w14:textId="50E079F5" w:rsidR="00107582" w:rsidRDefault="00107582" w:rsidP="00C27CD6">
            <w:pPr>
              <w:pStyle w:val="ListParagraph"/>
              <w:keepNext/>
              <w:keepLines/>
              <w:numPr>
                <w:ilvl w:val="0"/>
                <w:numId w:val="21"/>
              </w:numPr>
              <w:spacing w:before="0" w:beforeAutospacing="0" w:after="200" w:afterAutospacing="0" w:line="276" w:lineRule="auto"/>
            </w:pPr>
            <w:r>
              <w:t>Mandatory connection and repair timeframes should apply to all fixed line services delivered by all providers.</w:t>
            </w:r>
          </w:p>
          <w:p w14:paraId="4EB38E62" w14:textId="30902BF3" w:rsidR="00107582" w:rsidRDefault="00107582" w:rsidP="00C27CD6">
            <w:pPr>
              <w:pStyle w:val="ListParagraph"/>
              <w:keepNext/>
              <w:keepLines/>
              <w:numPr>
                <w:ilvl w:val="0"/>
                <w:numId w:val="21"/>
              </w:numPr>
              <w:spacing w:before="0" w:beforeAutospacing="0" w:after="200" w:afterAutospacing="0" w:line="276" w:lineRule="auto"/>
            </w:pPr>
            <w:r>
              <w:t>The maximum timeframes applying to retail service providers should be at least the same as the existing Customer Service Guarantee and be defined in terms of days (not working days)</w:t>
            </w:r>
          </w:p>
          <w:p w14:paraId="26354894" w14:textId="2D73B1A5" w:rsidR="00107582" w:rsidRDefault="00107582" w:rsidP="00C27CD6">
            <w:pPr>
              <w:pStyle w:val="ListParagraph"/>
              <w:keepNext/>
              <w:keepLines/>
              <w:numPr>
                <w:ilvl w:val="0"/>
                <w:numId w:val="21"/>
              </w:numPr>
              <w:spacing w:before="0" w:beforeAutospacing="0" w:after="200" w:afterAutospacing="0" w:line="276" w:lineRule="auto"/>
            </w:pPr>
            <w:r>
              <w:t xml:space="preserve">Maximum timeframes applying to wholesale providers should be less than those applying to retail service providers. </w:t>
            </w:r>
          </w:p>
        </w:tc>
      </w:tr>
    </w:tbl>
    <w:p w14:paraId="4741D785" w14:textId="77777777" w:rsidR="00862F8B" w:rsidRPr="003441E5" w:rsidRDefault="00862F8B" w:rsidP="00862F8B">
      <w:pPr>
        <w:pStyle w:val="Heading2"/>
      </w:pPr>
      <w:bookmarkStart w:id="8" w:name="_Toc535530137"/>
      <w:bookmarkStart w:id="9" w:name="_Toc535596210"/>
      <w:r>
        <w:t>Missed appointments</w:t>
      </w:r>
      <w:bookmarkEnd w:id="8"/>
      <w:bookmarkEnd w:id="9"/>
    </w:p>
    <w:p w14:paraId="43F5D6CB" w14:textId="77777777" w:rsidR="00F50AEA" w:rsidRDefault="00F50AEA" w:rsidP="00F50AEA">
      <w:pPr>
        <w:spacing w:before="0" w:beforeAutospacing="0" w:after="200" w:afterAutospacing="0" w:line="276" w:lineRule="auto"/>
      </w:pPr>
      <w:r>
        <w:t>The Department has proposed a penalty of $100 for each missed appointment payable to the customer by the party responsible for the missed appointment. An appointment must be made for a specific time, or within an agreed time window of no more than 3 hours. An appointment would be missed if the technician does not arrive within the agreed time period, or is more than 15 minutes late if there is a specific agreed time. Appointments can be changed with 24 hours’ notice.</w:t>
      </w:r>
      <w:r w:rsidR="00D21C1B">
        <w:t xml:space="preserve"> The Department has asked:</w:t>
      </w:r>
    </w:p>
    <w:p w14:paraId="493DFC8B" w14:textId="77777777" w:rsidR="0036009E" w:rsidRPr="00F50AEA" w:rsidRDefault="00F50AEA" w:rsidP="00F50AEA">
      <w:pPr>
        <w:spacing w:before="0" w:beforeAutospacing="0" w:after="200" w:afterAutospacing="0" w:line="276" w:lineRule="auto"/>
        <w:rPr>
          <w:i/>
        </w:rPr>
      </w:pPr>
      <w:r w:rsidRPr="00F50AEA">
        <w:rPr>
          <w:i/>
        </w:rPr>
        <w:t>“</w:t>
      </w:r>
      <w:r w:rsidR="0036009E" w:rsidRPr="00F50AEA">
        <w:rPr>
          <w:i/>
        </w:rPr>
        <w:t>Will the proposed arrangements and penalties for missed appointments provide suitable incentives for industry?</w:t>
      </w:r>
      <w:r w:rsidRPr="00F50AEA">
        <w:rPr>
          <w:i/>
        </w:rPr>
        <w:t>”</w:t>
      </w:r>
    </w:p>
    <w:p w14:paraId="6A0E2F52" w14:textId="77777777" w:rsidR="0036009E" w:rsidRDefault="0036009E" w:rsidP="00F50AEA">
      <w:pPr>
        <w:spacing w:before="0" w:beforeAutospacing="0" w:after="200" w:afterAutospacing="0" w:line="276" w:lineRule="auto"/>
      </w:pPr>
      <w:r>
        <w:t>ACCAN welcomes the proposal to increase the compensation to consumers for missed appointments. We also note the proposal to mandate appointment windows being no more than 3 hours.</w:t>
      </w:r>
    </w:p>
    <w:p w14:paraId="3D3A39ED" w14:textId="77777777" w:rsidR="009E36B6" w:rsidRDefault="0036009E" w:rsidP="00F50AEA">
      <w:pPr>
        <w:spacing w:before="0" w:beforeAutospacing="0" w:after="200" w:afterAutospacing="0" w:line="276" w:lineRule="auto"/>
      </w:pPr>
      <w:r>
        <w:t xml:space="preserve">Missed appointments are a perennial point of frustration for many consumers. </w:t>
      </w:r>
      <w:r w:rsidR="00026EE2">
        <w:t>Consumers often need to take time off work to attend appointments</w:t>
      </w:r>
      <w:r w:rsidR="009E36B6">
        <w:t xml:space="preserve"> and a missed appointment requires rescheduling the appointment</w:t>
      </w:r>
      <w:r w:rsidR="00026EE2">
        <w:t xml:space="preserve">. </w:t>
      </w:r>
      <w:r w:rsidR="009E36B6">
        <w:t xml:space="preserve">These are significant costs to consumers, particularly for those that cannot work from home or work a partial day (e.g. shift workers). </w:t>
      </w:r>
      <w:r w:rsidR="00026EE2">
        <w:t xml:space="preserve">Under the current CSG, consumers are entitled to $14.52 and small businesses $24.20 for each missed appointment. </w:t>
      </w:r>
      <w:r>
        <w:t xml:space="preserve">An increase in the compensation is recognition of the significant cost some consumers face to attend appointments. </w:t>
      </w:r>
    </w:p>
    <w:p w14:paraId="7DCD0A77" w14:textId="77777777" w:rsidR="0036009E" w:rsidRDefault="009E36B6" w:rsidP="00F50AEA">
      <w:pPr>
        <w:spacing w:before="0" w:beforeAutospacing="0" w:after="200" w:afterAutospacing="0" w:line="276" w:lineRule="auto"/>
      </w:pPr>
      <w:r>
        <w:t>However, i</w:t>
      </w:r>
      <w:r w:rsidR="0036009E">
        <w:t>t is unlikely that $100 will compensate all consumers in all circumstances for a missed appointment</w:t>
      </w:r>
      <w:r>
        <w:t xml:space="preserve">. ACCAN supports $100 as a starting point for missed appointments to provide compensation for consumers and penalties (incentives) for providers. Accordingly, we believe that </w:t>
      </w:r>
      <w:r>
        <w:lastRenderedPageBreak/>
        <w:t>the frequency of missed appointments should be monitored and the regulator should have the flexibility to recalibrate the compensation (penalties) in response to circumstances.</w:t>
      </w:r>
    </w:p>
    <w:p w14:paraId="3E178179" w14:textId="5B05D341" w:rsidR="00450997" w:rsidRDefault="00450997" w:rsidP="00450997">
      <w:pPr>
        <w:spacing w:before="0" w:beforeAutospacing="0" w:after="200" w:afterAutospacing="0" w:line="276" w:lineRule="auto"/>
      </w:pPr>
      <w:r>
        <w:t xml:space="preserve">Compensation for missed appointments should also be automatic. That is, if a provider has scheduled an appointment but not attended within the timeframe, the customer should automatically receive the compensation. Customers should not have to inform the provider of the missed appointment or apply for compensation. Under the current arrangements CSG providers are required to inform customers of their rights but </w:t>
      </w:r>
      <w:r w:rsidR="005402D1">
        <w:t xml:space="preserve">we hear of </w:t>
      </w:r>
      <w:r>
        <w:t xml:space="preserve">many cases where </w:t>
      </w:r>
      <w:r w:rsidR="005402D1">
        <w:t>this is not happening.</w:t>
      </w:r>
      <w:r>
        <w:t xml:space="preserve"> Automatic compensation requires systems and processes for payments and will not rely on customers knowing their rights or being inform</w:t>
      </w:r>
      <w:r w:rsidR="005E7E32">
        <w:t>ed by a provider with no incentive to do so</w:t>
      </w:r>
      <w:r>
        <w:t>.</w:t>
      </w:r>
    </w:p>
    <w:tbl>
      <w:tblPr>
        <w:tblStyle w:val="TableGrid"/>
        <w:tblW w:w="0" w:type="auto"/>
        <w:tblLook w:val="04A0" w:firstRow="1" w:lastRow="0" w:firstColumn="1" w:lastColumn="0" w:noHBand="0" w:noVBand="1"/>
      </w:tblPr>
      <w:tblGrid>
        <w:gridCol w:w="9242"/>
      </w:tblGrid>
      <w:tr w:rsidR="00107582" w14:paraId="0A02B73D" w14:textId="77777777" w:rsidTr="00107582">
        <w:tc>
          <w:tcPr>
            <w:tcW w:w="9242" w:type="dxa"/>
          </w:tcPr>
          <w:p w14:paraId="253C424E" w14:textId="12D66E54" w:rsidR="00107582" w:rsidRPr="00107582" w:rsidRDefault="00107582" w:rsidP="00C23848">
            <w:pPr>
              <w:keepNext/>
              <w:keepLines/>
              <w:spacing w:before="0" w:beforeAutospacing="0" w:after="200" w:afterAutospacing="0" w:line="276" w:lineRule="auto"/>
              <w:rPr>
                <w:b/>
              </w:rPr>
            </w:pPr>
            <w:r w:rsidRPr="00107582">
              <w:rPr>
                <w:b/>
              </w:rPr>
              <w:t>Recommendation 2: Missed appointments</w:t>
            </w:r>
          </w:p>
          <w:p w14:paraId="623B6BB1" w14:textId="77777777" w:rsidR="00107582" w:rsidRDefault="00107582" w:rsidP="00C23848">
            <w:pPr>
              <w:pStyle w:val="ListParagraph"/>
              <w:keepNext/>
              <w:keepLines/>
              <w:numPr>
                <w:ilvl w:val="0"/>
                <w:numId w:val="22"/>
              </w:numPr>
              <w:spacing w:before="0" w:beforeAutospacing="0" w:after="200" w:afterAutospacing="0" w:line="276" w:lineRule="auto"/>
            </w:pPr>
            <w:r>
              <w:t>There should be automatic compensation for customers for missed appointments.</w:t>
            </w:r>
          </w:p>
          <w:p w14:paraId="240C9C57" w14:textId="77777777" w:rsidR="00107582" w:rsidRDefault="00107582" w:rsidP="00C23848">
            <w:pPr>
              <w:pStyle w:val="ListParagraph"/>
              <w:keepNext/>
              <w:keepLines/>
              <w:numPr>
                <w:ilvl w:val="0"/>
                <w:numId w:val="22"/>
              </w:numPr>
              <w:spacing w:before="0" w:beforeAutospacing="0" w:after="200" w:afterAutospacing="0" w:line="276" w:lineRule="auto"/>
            </w:pPr>
            <w:r>
              <w:t>Compensation for missed appointments should be increased to $100 as a baseline.</w:t>
            </w:r>
          </w:p>
          <w:p w14:paraId="4D567CE8" w14:textId="4753533F" w:rsidR="00107582" w:rsidRDefault="00107582" w:rsidP="00C23848">
            <w:pPr>
              <w:pStyle w:val="ListParagraph"/>
              <w:keepNext/>
              <w:keepLines/>
              <w:numPr>
                <w:ilvl w:val="0"/>
                <w:numId w:val="22"/>
              </w:numPr>
              <w:spacing w:before="0" w:beforeAutospacing="0" w:after="200" w:afterAutospacing="0" w:line="276" w:lineRule="auto"/>
            </w:pPr>
            <w:r>
              <w:t>The ACMA should have the flexibility to revise the compensation amount for missed appointments.</w:t>
            </w:r>
          </w:p>
        </w:tc>
      </w:tr>
    </w:tbl>
    <w:p w14:paraId="691D933E" w14:textId="24BEE2E2" w:rsidR="00862F8B" w:rsidRPr="003441E5" w:rsidRDefault="00086453" w:rsidP="00862F8B">
      <w:pPr>
        <w:pStyle w:val="Heading2"/>
      </w:pPr>
      <w:bookmarkStart w:id="10" w:name="_Toc535530138"/>
      <w:bookmarkStart w:id="11" w:name="_Toc535596211"/>
      <w:r>
        <w:t>S</w:t>
      </w:r>
      <w:r w:rsidR="00370800">
        <w:t xml:space="preserve">ervice for customers with </w:t>
      </w:r>
      <w:r>
        <w:t xml:space="preserve">serious </w:t>
      </w:r>
      <w:r w:rsidR="00370800">
        <w:t>medical conditions</w:t>
      </w:r>
      <w:bookmarkEnd w:id="10"/>
      <w:bookmarkEnd w:id="11"/>
    </w:p>
    <w:p w14:paraId="2EA6ADD5" w14:textId="77777777" w:rsidR="000D1BC2" w:rsidRDefault="000D1BC2" w:rsidP="000D1BC2">
      <w:pPr>
        <w:spacing w:before="0" w:beforeAutospacing="0" w:after="200" w:afterAutospacing="0" w:line="276" w:lineRule="auto"/>
      </w:pPr>
      <w:r>
        <w:t xml:space="preserve">The Department has proposed that all providers must offer and put in place arrangements to provide or arrange a backup or alternative service for consumers with a diagnosed life threatening medical condition when signing them up to help those consumers seek emergency assistance if required. A provider cannot decline to connect and/or supply a service solely on the grounds of having to provide this service. </w:t>
      </w:r>
    </w:p>
    <w:p w14:paraId="4B6784F7" w14:textId="77777777" w:rsidR="00617B02" w:rsidRDefault="00617B02" w:rsidP="000D1BC2">
      <w:pPr>
        <w:spacing w:before="0" w:beforeAutospacing="0" w:after="200" w:afterAutospacing="0" w:line="276" w:lineRule="auto"/>
      </w:pPr>
      <w:r>
        <w:t>The Department has asked:</w:t>
      </w:r>
    </w:p>
    <w:p w14:paraId="5D64E799" w14:textId="77777777" w:rsidR="0036009E" w:rsidRPr="00617B02" w:rsidRDefault="00617B02" w:rsidP="000D1BC2">
      <w:pPr>
        <w:spacing w:before="0" w:beforeAutospacing="0" w:after="200" w:afterAutospacing="0" w:line="276" w:lineRule="auto"/>
        <w:rPr>
          <w:i/>
        </w:rPr>
      </w:pPr>
      <w:r w:rsidRPr="00617B02">
        <w:rPr>
          <w:i/>
        </w:rPr>
        <w:t>“</w:t>
      </w:r>
      <w:r w:rsidR="0036009E" w:rsidRPr="00617B02">
        <w:rPr>
          <w:i/>
        </w:rPr>
        <w:t>Are there other options that could help maximise service continuity for people with a diagnosed life threatening medical condition?</w:t>
      </w:r>
      <w:r w:rsidRPr="00617B02">
        <w:rPr>
          <w:i/>
        </w:rPr>
        <w:t>”</w:t>
      </w:r>
    </w:p>
    <w:p w14:paraId="75DEB702" w14:textId="4A102AB3" w:rsidR="00C215C6" w:rsidRDefault="0036009E" w:rsidP="00617B02">
      <w:pPr>
        <w:spacing w:before="0" w:beforeAutospacing="0" w:after="200" w:afterAutospacing="0" w:line="276" w:lineRule="auto"/>
      </w:pPr>
      <w:r>
        <w:t xml:space="preserve">ACCAN welcomes the recognition that </w:t>
      </w:r>
      <w:r w:rsidR="00C66963">
        <w:t>customers with a diagnosed life threatening medical condition require service continuity to be able to seek emergency medical assistance</w:t>
      </w:r>
      <w:r w:rsidR="0076337E">
        <w:t xml:space="preserve"> and that they should be able to choose their provider</w:t>
      </w:r>
      <w:r w:rsidR="00C66963">
        <w:t>.</w:t>
      </w:r>
      <w:r w:rsidR="007066AF">
        <w:t xml:space="preserve"> Alternative services </w:t>
      </w:r>
      <w:r w:rsidR="00C64C62">
        <w:t>to provide service continuity are</w:t>
      </w:r>
      <w:r w:rsidR="007066AF">
        <w:t xml:space="preserve"> particularly important with the advent of fibre-based services as they do not work in the event of a power failure. </w:t>
      </w:r>
    </w:p>
    <w:p w14:paraId="73817E5C" w14:textId="1C0E4888" w:rsidR="00B06A67" w:rsidRDefault="0076337E" w:rsidP="003B6BC7">
      <w:pPr>
        <w:spacing w:before="0" w:beforeAutospacing="0" w:after="200" w:afterAutospacing="0" w:line="276" w:lineRule="auto"/>
      </w:pPr>
      <w:r>
        <w:t>Currently, Telstra is the only provider required to offer a policy to connect or reconnect customers with a diagnosed life threatening medical condition on a priority basis. This policy is called Priority Assistance and is a license condition. No other provider is required to provide it and consequently, none do.</w:t>
      </w:r>
      <w:r w:rsidR="006A29F2">
        <w:rPr>
          <w:rStyle w:val="FootnoteReference"/>
        </w:rPr>
        <w:footnoteReference w:id="4"/>
      </w:r>
      <w:r w:rsidR="008F293C">
        <w:t xml:space="preserve"> </w:t>
      </w:r>
      <w:r w:rsidR="00B06A67">
        <w:t xml:space="preserve">Priority Assistance customers generally pay more for voice services as Telstra is </w:t>
      </w:r>
      <w:r w:rsidR="00B06A67">
        <w:lastRenderedPageBreak/>
        <w:t>consistently the most expensive voice provider.</w:t>
      </w:r>
      <w:r w:rsidR="00437261">
        <w:t xml:space="preserve"> The table below compares Telstra’s voice plans to a sample of low cost plans available from other providers.</w:t>
      </w:r>
      <w:r w:rsidR="00B06A67">
        <w:t xml:space="preserve"> </w:t>
      </w:r>
    </w:p>
    <w:p w14:paraId="49D97F11" w14:textId="77777777" w:rsidR="00B2777C" w:rsidRDefault="00B2777C" w:rsidP="00617B02">
      <w:pPr>
        <w:spacing w:before="0" w:beforeAutospacing="0" w:after="200" w:afterAutospacing="0" w:line="276" w:lineRule="auto"/>
        <w:sectPr w:rsidR="00B2777C" w:rsidSect="00EB408A">
          <w:pgSz w:w="11906" w:h="16838" w:code="9"/>
          <w:pgMar w:top="1440" w:right="1440" w:bottom="1440" w:left="1440" w:header="709" w:footer="0" w:gutter="0"/>
          <w:cols w:space="708"/>
          <w:titlePg/>
          <w:docGrid w:linePitch="360"/>
        </w:sectPr>
      </w:pPr>
    </w:p>
    <w:p w14:paraId="37EC924F" w14:textId="5CF8F00C" w:rsidR="00B2777C" w:rsidRPr="003B6BC7" w:rsidRDefault="003B6BC7" w:rsidP="00C01F1E">
      <w:pPr>
        <w:spacing w:before="0" w:beforeAutospacing="0" w:after="0" w:afterAutospacing="0" w:line="276" w:lineRule="auto"/>
        <w:rPr>
          <w:b/>
        </w:rPr>
      </w:pPr>
      <w:r w:rsidRPr="00A06F56">
        <w:rPr>
          <w:b/>
        </w:rPr>
        <w:lastRenderedPageBreak/>
        <w:t>Table</w:t>
      </w:r>
      <w:r w:rsidR="00D2273F">
        <w:rPr>
          <w:b/>
        </w:rPr>
        <w:t xml:space="preserve"> 4</w:t>
      </w:r>
      <w:r w:rsidRPr="00A06F56">
        <w:rPr>
          <w:b/>
        </w:rPr>
        <w:t>: Comparison of selected low cost home phone plans</w:t>
      </w:r>
    </w:p>
    <w:tbl>
      <w:tblPr>
        <w:tblStyle w:val="TableGrid"/>
        <w:tblW w:w="0" w:type="auto"/>
        <w:tblLook w:val="04A0" w:firstRow="1" w:lastRow="0" w:firstColumn="1" w:lastColumn="0" w:noHBand="0" w:noVBand="1"/>
      </w:tblPr>
      <w:tblGrid>
        <w:gridCol w:w="1156"/>
        <w:gridCol w:w="1252"/>
        <w:gridCol w:w="1867"/>
        <w:gridCol w:w="1413"/>
        <w:gridCol w:w="1413"/>
        <w:gridCol w:w="1414"/>
        <w:gridCol w:w="1415"/>
        <w:gridCol w:w="1414"/>
        <w:gridCol w:w="1415"/>
        <w:gridCol w:w="1415"/>
      </w:tblGrid>
      <w:tr w:rsidR="00DE6A52" w:rsidRPr="00D2273F" w14:paraId="5E7DD317" w14:textId="77777777" w:rsidTr="00A06F56">
        <w:tc>
          <w:tcPr>
            <w:tcW w:w="1156" w:type="dxa"/>
          </w:tcPr>
          <w:p w14:paraId="09B5A018" w14:textId="77777777" w:rsidR="00DE6A52" w:rsidRPr="00D2273F" w:rsidRDefault="00DE6A52"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Provider</w:t>
            </w:r>
          </w:p>
        </w:tc>
        <w:tc>
          <w:tcPr>
            <w:tcW w:w="1252" w:type="dxa"/>
          </w:tcPr>
          <w:p w14:paraId="17CB5F76" w14:textId="77777777" w:rsidR="00DE6A52" w:rsidRPr="00D2273F" w:rsidRDefault="00DE6A52" w:rsidP="00C01F1E">
            <w:pPr>
              <w:spacing w:before="0" w:beforeAutospacing="0" w:after="0" w:afterAutospacing="0"/>
              <w:rPr>
                <w:rFonts w:asciiTheme="minorHAnsi" w:hAnsiTheme="minorHAnsi" w:cstheme="minorHAnsi"/>
                <w:b/>
                <w:sz w:val="20"/>
                <w:szCs w:val="20"/>
              </w:rPr>
            </w:pPr>
          </w:p>
        </w:tc>
        <w:tc>
          <w:tcPr>
            <w:tcW w:w="3280" w:type="dxa"/>
            <w:gridSpan w:val="2"/>
          </w:tcPr>
          <w:p w14:paraId="7019E1D2" w14:textId="77777777" w:rsidR="00DE6A52" w:rsidRPr="00D2273F" w:rsidRDefault="00DE6A52" w:rsidP="00DE6A52">
            <w:pPr>
              <w:spacing w:before="0" w:beforeAutospacing="0" w:after="0" w:afterAutospacing="0"/>
              <w:jc w:val="center"/>
              <w:rPr>
                <w:rFonts w:asciiTheme="minorHAnsi" w:hAnsiTheme="minorHAnsi" w:cstheme="minorHAnsi"/>
                <w:b/>
                <w:sz w:val="20"/>
                <w:szCs w:val="20"/>
              </w:rPr>
            </w:pPr>
            <w:r w:rsidRPr="00D2273F">
              <w:rPr>
                <w:rFonts w:asciiTheme="minorHAnsi" w:hAnsiTheme="minorHAnsi" w:cstheme="minorHAnsi"/>
                <w:b/>
                <w:sz w:val="20"/>
                <w:szCs w:val="20"/>
              </w:rPr>
              <w:t>Telstra</w:t>
            </w:r>
          </w:p>
        </w:tc>
        <w:tc>
          <w:tcPr>
            <w:tcW w:w="1413" w:type="dxa"/>
          </w:tcPr>
          <w:p w14:paraId="2BF918B8" w14:textId="77777777" w:rsidR="00DE6A52" w:rsidRPr="00D2273F" w:rsidRDefault="00DE6A52"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Optus</w:t>
            </w:r>
          </w:p>
        </w:tc>
        <w:tc>
          <w:tcPr>
            <w:tcW w:w="2829" w:type="dxa"/>
            <w:gridSpan w:val="2"/>
          </w:tcPr>
          <w:p w14:paraId="0E36262F" w14:textId="77777777" w:rsidR="00DE6A52" w:rsidRPr="00D2273F" w:rsidRDefault="00DE6A52" w:rsidP="00DE6A52">
            <w:pPr>
              <w:spacing w:before="0" w:beforeAutospacing="0" w:after="0" w:afterAutospacing="0"/>
              <w:jc w:val="center"/>
              <w:rPr>
                <w:rFonts w:asciiTheme="minorHAnsi" w:hAnsiTheme="minorHAnsi" w:cstheme="minorHAnsi"/>
                <w:b/>
                <w:sz w:val="20"/>
                <w:szCs w:val="20"/>
              </w:rPr>
            </w:pPr>
            <w:r w:rsidRPr="00D2273F">
              <w:rPr>
                <w:rFonts w:asciiTheme="minorHAnsi" w:hAnsiTheme="minorHAnsi" w:cstheme="minorHAnsi"/>
                <w:b/>
                <w:sz w:val="20"/>
                <w:szCs w:val="20"/>
              </w:rPr>
              <w:t>TPG</w:t>
            </w:r>
          </w:p>
        </w:tc>
        <w:tc>
          <w:tcPr>
            <w:tcW w:w="4244" w:type="dxa"/>
            <w:gridSpan w:val="3"/>
          </w:tcPr>
          <w:p w14:paraId="4E639CA9" w14:textId="77777777" w:rsidR="00DE6A52" w:rsidRPr="00D2273F" w:rsidRDefault="00DE6A52" w:rsidP="00DE6A52">
            <w:pPr>
              <w:spacing w:before="0" w:beforeAutospacing="0" w:after="0" w:afterAutospacing="0"/>
              <w:jc w:val="center"/>
              <w:rPr>
                <w:rFonts w:asciiTheme="minorHAnsi" w:hAnsiTheme="minorHAnsi" w:cstheme="minorHAnsi"/>
                <w:b/>
                <w:sz w:val="20"/>
                <w:szCs w:val="20"/>
              </w:rPr>
            </w:pPr>
            <w:r w:rsidRPr="00D2273F">
              <w:rPr>
                <w:rFonts w:asciiTheme="minorHAnsi" w:hAnsiTheme="minorHAnsi" w:cstheme="minorHAnsi"/>
                <w:b/>
                <w:sz w:val="20"/>
                <w:szCs w:val="20"/>
              </w:rPr>
              <w:t>Southern Phone</w:t>
            </w:r>
          </w:p>
        </w:tc>
      </w:tr>
      <w:tr w:rsidR="00B2777C" w:rsidRPr="00D2273F" w14:paraId="5C973860" w14:textId="77777777" w:rsidTr="00A06F56">
        <w:tc>
          <w:tcPr>
            <w:tcW w:w="1156" w:type="dxa"/>
          </w:tcPr>
          <w:p w14:paraId="1C17EF13" w14:textId="77777777" w:rsidR="00B2777C" w:rsidRPr="00D2273F" w:rsidRDefault="00B2777C"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Plan</w:t>
            </w:r>
          </w:p>
        </w:tc>
        <w:tc>
          <w:tcPr>
            <w:tcW w:w="1252" w:type="dxa"/>
          </w:tcPr>
          <w:p w14:paraId="5D3B7DF3" w14:textId="77777777" w:rsidR="00B2777C" w:rsidRPr="00D2273F" w:rsidRDefault="00B2777C" w:rsidP="00C01F1E">
            <w:pPr>
              <w:spacing w:before="0" w:beforeAutospacing="0" w:after="0" w:afterAutospacing="0"/>
              <w:rPr>
                <w:rFonts w:asciiTheme="minorHAnsi" w:hAnsiTheme="minorHAnsi" w:cstheme="minorHAnsi"/>
                <w:sz w:val="20"/>
                <w:szCs w:val="20"/>
              </w:rPr>
            </w:pPr>
          </w:p>
        </w:tc>
        <w:tc>
          <w:tcPr>
            <w:tcW w:w="1867" w:type="dxa"/>
          </w:tcPr>
          <w:p w14:paraId="4E5BA925" w14:textId="77777777" w:rsidR="00B2777C" w:rsidRPr="00D2273F" w:rsidRDefault="00B2777C"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Home Phone Basic</w:t>
            </w:r>
          </w:p>
        </w:tc>
        <w:tc>
          <w:tcPr>
            <w:tcW w:w="1413" w:type="dxa"/>
          </w:tcPr>
          <w:p w14:paraId="2D74D06D" w14:textId="77777777" w:rsidR="00B2777C" w:rsidRPr="00D2273F" w:rsidRDefault="00B2777C"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Home Phone Essential</w:t>
            </w:r>
          </w:p>
        </w:tc>
        <w:tc>
          <w:tcPr>
            <w:tcW w:w="1413" w:type="dxa"/>
          </w:tcPr>
          <w:p w14:paraId="756CB338"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Home Phone Plan</w:t>
            </w:r>
          </w:p>
        </w:tc>
        <w:tc>
          <w:tcPr>
            <w:tcW w:w="1414" w:type="dxa"/>
          </w:tcPr>
          <w:p w14:paraId="66247270"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Voice Add-on Pay as You Go</w:t>
            </w:r>
          </w:p>
        </w:tc>
        <w:tc>
          <w:tcPr>
            <w:tcW w:w="1415" w:type="dxa"/>
          </w:tcPr>
          <w:p w14:paraId="1F471FB6"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Oz Talk</w:t>
            </w:r>
          </w:p>
        </w:tc>
        <w:tc>
          <w:tcPr>
            <w:tcW w:w="1414" w:type="dxa"/>
          </w:tcPr>
          <w:p w14:paraId="0698479C"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Standard</w:t>
            </w:r>
          </w:p>
        </w:tc>
        <w:tc>
          <w:tcPr>
            <w:tcW w:w="1415" w:type="dxa"/>
          </w:tcPr>
          <w:p w14:paraId="1AFFF1E2"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VOIP Small</w:t>
            </w:r>
          </w:p>
        </w:tc>
        <w:tc>
          <w:tcPr>
            <w:tcW w:w="1415" w:type="dxa"/>
          </w:tcPr>
          <w:p w14:paraId="67EF2625"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VOIP Medium</w:t>
            </w:r>
          </w:p>
        </w:tc>
      </w:tr>
      <w:tr w:rsidR="00B2777C" w:rsidRPr="00D2273F" w14:paraId="307A85B4" w14:textId="77777777" w:rsidTr="00A06F56">
        <w:tc>
          <w:tcPr>
            <w:tcW w:w="1156" w:type="dxa"/>
          </w:tcPr>
          <w:p w14:paraId="305A9A09" w14:textId="77777777" w:rsidR="00B2777C" w:rsidRPr="00D2273F" w:rsidRDefault="00B2777C"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Conditions</w:t>
            </w:r>
          </w:p>
        </w:tc>
        <w:tc>
          <w:tcPr>
            <w:tcW w:w="1252" w:type="dxa"/>
          </w:tcPr>
          <w:p w14:paraId="1ED418F9" w14:textId="77777777" w:rsidR="00B2777C" w:rsidRPr="00D2273F" w:rsidRDefault="00B2777C" w:rsidP="00C01F1E">
            <w:pPr>
              <w:spacing w:before="0" w:beforeAutospacing="0" w:after="0" w:afterAutospacing="0"/>
              <w:rPr>
                <w:rFonts w:asciiTheme="minorHAnsi" w:hAnsiTheme="minorHAnsi" w:cstheme="minorHAnsi"/>
                <w:sz w:val="20"/>
                <w:szCs w:val="20"/>
              </w:rPr>
            </w:pPr>
          </w:p>
        </w:tc>
        <w:tc>
          <w:tcPr>
            <w:tcW w:w="1867" w:type="dxa"/>
          </w:tcPr>
          <w:p w14:paraId="49CEC9CB" w14:textId="77777777" w:rsidR="00B2777C" w:rsidRPr="00D2273F" w:rsidRDefault="00B2777C"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w:t>
            </w:r>
          </w:p>
        </w:tc>
        <w:tc>
          <w:tcPr>
            <w:tcW w:w="1413" w:type="dxa"/>
          </w:tcPr>
          <w:p w14:paraId="1D205993" w14:textId="77777777" w:rsidR="00B2777C" w:rsidRPr="00D2273F" w:rsidRDefault="00B2777C"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Health card or Pension card</w:t>
            </w:r>
          </w:p>
        </w:tc>
        <w:tc>
          <w:tcPr>
            <w:tcW w:w="1413" w:type="dxa"/>
          </w:tcPr>
          <w:p w14:paraId="7D19144C"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24 month contract</w:t>
            </w:r>
          </w:p>
        </w:tc>
        <w:tc>
          <w:tcPr>
            <w:tcW w:w="1414" w:type="dxa"/>
          </w:tcPr>
          <w:p w14:paraId="462C94C8"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Broadband plan</w:t>
            </w:r>
          </w:p>
        </w:tc>
        <w:tc>
          <w:tcPr>
            <w:tcW w:w="1415" w:type="dxa"/>
          </w:tcPr>
          <w:p w14:paraId="37548929" w14:textId="77777777" w:rsidR="00B2777C" w:rsidRPr="00D2273F" w:rsidRDefault="00DE6A52"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Broadband plan</w:t>
            </w:r>
          </w:p>
        </w:tc>
        <w:tc>
          <w:tcPr>
            <w:tcW w:w="1414" w:type="dxa"/>
          </w:tcPr>
          <w:p w14:paraId="411EAED4" w14:textId="77777777" w:rsidR="00B2777C"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w:t>
            </w:r>
          </w:p>
        </w:tc>
        <w:tc>
          <w:tcPr>
            <w:tcW w:w="1415" w:type="dxa"/>
          </w:tcPr>
          <w:p w14:paraId="5125D90D" w14:textId="77777777" w:rsidR="00B2777C"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Broadband plan</w:t>
            </w:r>
          </w:p>
        </w:tc>
        <w:tc>
          <w:tcPr>
            <w:tcW w:w="1415" w:type="dxa"/>
          </w:tcPr>
          <w:p w14:paraId="34049FFD" w14:textId="77777777" w:rsidR="00B2777C"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Broadband plan</w:t>
            </w:r>
          </w:p>
        </w:tc>
      </w:tr>
      <w:tr w:rsidR="003B6BC7" w:rsidRPr="00D2273F" w14:paraId="0E269AAA" w14:textId="77777777" w:rsidTr="00A06F56">
        <w:tc>
          <w:tcPr>
            <w:tcW w:w="1156" w:type="dxa"/>
          </w:tcPr>
          <w:p w14:paraId="6768073B"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Monthly charge</w:t>
            </w:r>
          </w:p>
        </w:tc>
        <w:tc>
          <w:tcPr>
            <w:tcW w:w="1252" w:type="dxa"/>
          </w:tcPr>
          <w:p w14:paraId="1CEA4F28" w14:textId="77777777" w:rsidR="003B6BC7" w:rsidRPr="00D2273F" w:rsidRDefault="003B6BC7" w:rsidP="00C01F1E">
            <w:pPr>
              <w:spacing w:before="0" w:beforeAutospacing="0" w:after="0" w:afterAutospacing="0"/>
              <w:rPr>
                <w:rFonts w:asciiTheme="minorHAnsi" w:hAnsiTheme="minorHAnsi" w:cstheme="minorHAnsi"/>
                <w:sz w:val="20"/>
                <w:szCs w:val="20"/>
              </w:rPr>
            </w:pPr>
          </w:p>
        </w:tc>
        <w:tc>
          <w:tcPr>
            <w:tcW w:w="1867" w:type="dxa"/>
          </w:tcPr>
          <w:p w14:paraId="63EB7A82"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$29.95</w:t>
            </w:r>
          </w:p>
        </w:tc>
        <w:tc>
          <w:tcPr>
            <w:tcW w:w="1413" w:type="dxa"/>
          </w:tcPr>
          <w:p w14:paraId="5BC7CA48"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$25</w:t>
            </w:r>
          </w:p>
        </w:tc>
        <w:tc>
          <w:tcPr>
            <w:tcW w:w="1413" w:type="dxa"/>
          </w:tcPr>
          <w:p w14:paraId="1AA80C11"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$22</w:t>
            </w:r>
          </w:p>
        </w:tc>
        <w:tc>
          <w:tcPr>
            <w:tcW w:w="1414" w:type="dxa"/>
          </w:tcPr>
          <w:p w14:paraId="3BE3AED5"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$0</w:t>
            </w:r>
          </w:p>
        </w:tc>
        <w:tc>
          <w:tcPr>
            <w:tcW w:w="1415" w:type="dxa"/>
          </w:tcPr>
          <w:p w14:paraId="28B7063C"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$10</w:t>
            </w:r>
          </w:p>
        </w:tc>
        <w:tc>
          <w:tcPr>
            <w:tcW w:w="1414" w:type="dxa"/>
          </w:tcPr>
          <w:p w14:paraId="1076F202" w14:textId="77777777" w:rsidR="003B6BC7" w:rsidRPr="00D2273F" w:rsidRDefault="003B6BC7" w:rsidP="00EA1FF8">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$24.95</w:t>
            </w:r>
          </w:p>
        </w:tc>
        <w:tc>
          <w:tcPr>
            <w:tcW w:w="1415" w:type="dxa"/>
          </w:tcPr>
          <w:p w14:paraId="3E2EF1C5" w14:textId="77777777" w:rsidR="003B6BC7" w:rsidRPr="00D2273F" w:rsidRDefault="003B6BC7" w:rsidP="00EA1FF8">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$5</w:t>
            </w:r>
          </w:p>
        </w:tc>
        <w:tc>
          <w:tcPr>
            <w:tcW w:w="1415" w:type="dxa"/>
          </w:tcPr>
          <w:p w14:paraId="29FDF181" w14:textId="77777777" w:rsidR="003B6BC7" w:rsidRPr="00D2273F" w:rsidRDefault="003B6BC7" w:rsidP="00EA1FF8">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$10</w:t>
            </w:r>
          </w:p>
        </w:tc>
      </w:tr>
      <w:tr w:rsidR="003B6BC7" w:rsidRPr="00D2273F" w14:paraId="440C0BA7" w14:textId="77777777" w:rsidTr="00A06F56">
        <w:tc>
          <w:tcPr>
            <w:tcW w:w="1156" w:type="dxa"/>
          </w:tcPr>
          <w:p w14:paraId="7A081318"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Installation charge</w:t>
            </w:r>
          </w:p>
        </w:tc>
        <w:tc>
          <w:tcPr>
            <w:tcW w:w="1252" w:type="dxa"/>
          </w:tcPr>
          <w:p w14:paraId="22D1676C" w14:textId="77777777" w:rsidR="003B6BC7" w:rsidRPr="00D2273F" w:rsidRDefault="003B6BC7" w:rsidP="00C01F1E">
            <w:pPr>
              <w:spacing w:before="0" w:beforeAutospacing="0" w:after="0" w:afterAutospacing="0"/>
              <w:rPr>
                <w:rFonts w:asciiTheme="minorHAnsi" w:hAnsiTheme="minorHAnsi" w:cstheme="minorHAnsi"/>
                <w:sz w:val="20"/>
                <w:szCs w:val="20"/>
              </w:rPr>
            </w:pPr>
          </w:p>
        </w:tc>
        <w:tc>
          <w:tcPr>
            <w:tcW w:w="1867" w:type="dxa"/>
          </w:tcPr>
          <w:p w14:paraId="56795CB2"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$99</w:t>
            </w:r>
          </w:p>
        </w:tc>
        <w:tc>
          <w:tcPr>
            <w:tcW w:w="1413" w:type="dxa"/>
          </w:tcPr>
          <w:p w14:paraId="08E5F6ED"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$0</w:t>
            </w:r>
          </w:p>
        </w:tc>
        <w:tc>
          <w:tcPr>
            <w:tcW w:w="1413" w:type="dxa"/>
          </w:tcPr>
          <w:p w14:paraId="793EA8E7"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$0</w:t>
            </w:r>
          </w:p>
        </w:tc>
        <w:tc>
          <w:tcPr>
            <w:tcW w:w="1414" w:type="dxa"/>
          </w:tcPr>
          <w:p w14:paraId="73E298B5"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$99.95 unless on contract</w:t>
            </w:r>
          </w:p>
        </w:tc>
        <w:tc>
          <w:tcPr>
            <w:tcW w:w="1415" w:type="dxa"/>
          </w:tcPr>
          <w:p w14:paraId="57093C15"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$99.95 unless on contract</w:t>
            </w:r>
          </w:p>
        </w:tc>
        <w:tc>
          <w:tcPr>
            <w:tcW w:w="1414" w:type="dxa"/>
          </w:tcPr>
          <w:p w14:paraId="1852D3DD"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 xml:space="preserve">$99-$339 </w:t>
            </w:r>
          </w:p>
        </w:tc>
        <w:tc>
          <w:tcPr>
            <w:tcW w:w="1415" w:type="dxa"/>
          </w:tcPr>
          <w:p w14:paraId="3C967DC8"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$0</w:t>
            </w:r>
          </w:p>
        </w:tc>
        <w:tc>
          <w:tcPr>
            <w:tcW w:w="1415" w:type="dxa"/>
          </w:tcPr>
          <w:p w14:paraId="746439D8"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$0</w:t>
            </w:r>
          </w:p>
        </w:tc>
      </w:tr>
      <w:tr w:rsidR="003B6BC7" w:rsidRPr="00D2273F" w14:paraId="52F52096" w14:textId="77777777" w:rsidTr="00A06F56">
        <w:tc>
          <w:tcPr>
            <w:tcW w:w="1156" w:type="dxa"/>
          </w:tcPr>
          <w:p w14:paraId="1D27ECFF"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Local calls</w:t>
            </w:r>
          </w:p>
        </w:tc>
        <w:tc>
          <w:tcPr>
            <w:tcW w:w="1252" w:type="dxa"/>
          </w:tcPr>
          <w:p w14:paraId="1FBBB89F" w14:textId="77777777" w:rsidR="003B6BC7" w:rsidRPr="00D2273F" w:rsidRDefault="003B6BC7" w:rsidP="00C01F1E">
            <w:pPr>
              <w:spacing w:before="0" w:beforeAutospacing="0" w:after="0" w:afterAutospacing="0"/>
              <w:rPr>
                <w:rFonts w:asciiTheme="minorHAnsi" w:hAnsiTheme="minorHAnsi" w:cstheme="minorHAnsi"/>
                <w:sz w:val="20"/>
                <w:szCs w:val="20"/>
              </w:rPr>
            </w:pPr>
          </w:p>
        </w:tc>
        <w:tc>
          <w:tcPr>
            <w:tcW w:w="1867" w:type="dxa"/>
          </w:tcPr>
          <w:p w14:paraId="7FA67843"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30c per call</w:t>
            </w:r>
          </w:p>
        </w:tc>
        <w:tc>
          <w:tcPr>
            <w:tcW w:w="1413" w:type="dxa"/>
          </w:tcPr>
          <w:p w14:paraId="30608DA3"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22c per call</w:t>
            </w:r>
          </w:p>
        </w:tc>
        <w:tc>
          <w:tcPr>
            <w:tcW w:w="1413" w:type="dxa"/>
            <w:vAlign w:val="bottom"/>
          </w:tcPr>
          <w:p w14:paraId="03268441"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30c per call</w:t>
            </w:r>
          </w:p>
        </w:tc>
        <w:tc>
          <w:tcPr>
            <w:tcW w:w="1414" w:type="dxa"/>
            <w:vAlign w:val="bottom"/>
          </w:tcPr>
          <w:p w14:paraId="77AC6383"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25c per call</w:t>
            </w:r>
          </w:p>
        </w:tc>
        <w:tc>
          <w:tcPr>
            <w:tcW w:w="1415" w:type="dxa"/>
          </w:tcPr>
          <w:p w14:paraId="2B7297BF"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Unlimited</w:t>
            </w:r>
          </w:p>
        </w:tc>
        <w:tc>
          <w:tcPr>
            <w:tcW w:w="1414" w:type="dxa"/>
            <w:vAlign w:val="bottom"/>
          </w:tcPr>
          <w:p w14:paraId="66344E3B"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25c per call</w:t>
            </w:r>
          </w:p>
        </w:tc>
        <w:tc>
          <w:tcPr>
            <w:tcW w:w="1415" w:type="dxa"/>
            <w:vAlign w:val="bottom"/>
          </w:tcPr>
          <w:p w14:paraId="7FAA1116"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10c per call</w:t>
            </w:r>
          </w:p>
        </w:tc>
        <w:tc>
          <w:tcPr>
            <w:tcW w:w="1415" w:type="dxa"/>
          </w:tcPr>
          <w:p w14:paraId="3A5E6929"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Unlimited</w:t>
            </w:r>
          </w:p>
        </w:tc>
      </w:tr>
      <w:tr w:rsidR="003B6BC7" w:rsidRPr="00D2273F" w14:paraId="4EF8C416" w14:textId="77777777" w:rsidTr="00A06F56">
        <w:tc>
          <w:tcPr>
            <w:tcW w:w="1156" w:type="dxa"/>
            <w:vMerge w:val="restart"/>
          </w:tcPr>
          <w:p w14:paraId="20EFFA67"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National calls to standard fixed lines</w:t>
            </w:r>
          </w:p>
        </w:tc>
        <w:tc>
          <w:tcPr>
            <w:tcW w:w="1252" w:type="dxa"/>
          </w:tcPr>
          <w:p w14:paraId="31660814"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Cap</w:t>
            </w:r>
          </w:p>
        </w:tc>
        <w:tc>
          <w:tcPr>
            <w:tcW w:w="1867" w:type="dxa"/>
            <w:vAlign w:val="bottom"/>
          </w:tcPr>
          <w:p w14:paraId="3250A5C2" w14:textId="62F31A80" w:rsidR="003B6BC7" w:rsidRPr="00D2273F" w:rsidRDefault="003B6BC7" w:rsidP="00D2273F">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w:t>
            </w:r>
            <w:r w:rsidR="00D2273F" w:rsidRPr="00D2273F">
              <w:rPr>
                <w:rFonts w:asciiTheme="minorHAnsi" w:hAnsiTheme="minorHAnsi" w:cstheme="minorHAnsi"/>
                <w:sz w:val="20"/>
                <w:szCs w:val="20"/>
              </w:rPr>
              <w:t>3 for the first 3 hours</w:t>
            </w:r>
            <w:r w:rsidRPr="00D2273F">
              <w:rPr>
                <w:rFonts w:asciiTheme="minorHAnsi" w:hAnsiTheme="minorHAnsi" w:cstheme="minorHAnsi"/>
                <w:sz w:val="20"/>
                <w:szCs w:val="20"/>
              </w:rPr>
              <w:t xml:space="preserve">, 7pm to </w:t>
            </w:r>
            <w:r w:rsidR="00D2273F" w:rsidRPr="00D2273F">
              <w:rPr>
                <w:rFonts w:asciiTheme="minorHAnsi" w:hAnsiTheme="minorHAnsi" w:cstheme="minorHAnsi"/>
                <w:sz w:val="20"/>
                <w:szCs w:val="20"/>
              </w:rPr>
              <w:t>12am</w:t>
            </w:r>
          </w:p>
        </w:tc>
        <w:tc>
          <w:tcPr>
            <w:tcW w:w="1413" w:type="dxa"/>
          </w:tcPr>
          <w:p w14:paraId="5AF3C9AF" w14:textId="234C7F70" w:rsidR="003B6BC7" w:rsidRPr="00D2273F" w:rsidRDefault="003B6BC7" w:rsidP="00D2273F">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$3 for the first 3 hours</w:t>
            </w:r>
          </w:p>
        </w:tc>
        <w:tc>
          <w:tcPr>
            <w:tcW w:w="1413" w:type="dxa"/>
            <w:vAlign w:val="bottom"/>
          </w:tcPr>
          <w:p w14:paraId="558D1FFB"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 for calls up to 1 hour</w:t>
            </w:r>
          </w:p>
        </w:tc>
        <w:tc>
          <w:tcPr>
            <w:tcW w:w="1414" w:type="dxa"/>
            <w:vAlign w:val="bottom"/>
          </w:tcPr>
          <w:p w14:paraId="2210BF1F"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 </w:t>
            </w:r>
          </w:p>
        </w:tc>
        <w:tc>
          <w:tcPr>
            <w:tcW w:w="1415" w:type="dxa"/>
            <w:vMerge w:val="restart"/>
            <w:vAlign w:val="center"/>
          </w:tcPr>
          <w:p w14:paraId="7780C10E" w14:textId="77777777" w:rsidR="003B6BC7" w:rsidRPr="00D2273F" w:rsidRDefault="003B6BC7" w:rsidP="00DE6A52">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unlimited</w:t>
            </w:r>
          </w:p>
        </w:tc>
        <w:tc>
          <w:tcPr>
            <w:tcW w:w="1414" w:type="dxa"/>
            <w:vAlign w:val="bottom"/>
          </w:tcPr>
          <w:p w14:paraId="217B2A27"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$1.98 for 1 hour</w:t>
            </w:r>
          </w:p>
        </w:tc>
        <w:tc>
          <w:tcPr>
            <w:tcW w:w="1415" w:type="dxa"/>
            <w:vAlign w:val="bottom"/>
          </w:tcPr>
          <w:p w14:paraId="0D0CDB95"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$1.98 for 1 hour</w:t>
            </w:r>
          </w:p>
        </w:tc>
        <w:tc>
          <w:tcPr>
            <w:tcW w:w="1415" w:type="dxa"/>
            <w:vMerge w:val="restart"/>
            <w:vAlign w:val="center"/>
          </w:tcPr>
          <w:p w14:paraId="4150AC8F" w14:textId="77777777" w:rsidR="003B6BC7" w:rsidRPr="00D2273F" w:rsidRDefault="003B6BC7" w:rsidP="003B6BC7">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Unlimited</w:t>
            </w:r>
          </w:p>
        </w:tc>
      </w:tr>
      <w:tr w:rsidR="003B6BC7" w:rsidRPr="00D2273F" w14:paraId="65A4C2D0" w14:textId="77777777" w:rsidTr="00A06F56">
        <w:tc>
          <w:tcPr>
            <w:tcW w:w="1156" w:type="dxa"/>
            <w:vMerge/>
          </w:tcPr>
          <w:p w14:paraId="38876D8A" w14:textId="77777777" w:rsidR="003B6BC7" w:rsidRPr="00D2273F" w:rsidRDefault="003B6BC7" w:rsidP="00C01F1E">
            <w:pPr>
              <w:spacing w:before="0" w:beforeAutospacing="0" w:after="0" w:afterAutospacing="0"/>
              <w:rPr>
                <w:rFonts w:asciiTheme="minorHAnsi" w:hAnsiTheme="minorHAnsi" w:cstheme="minorHAnsi"/>
                <w:b/>
                <w:sz w:val="20"/>
                <w:szCs w:val="20"/>
              </w:rPr>
            </w:pPr>
          </w:p>
        </w:tc>
        <w:tc>
          <w:tcPr>
            <w:tcW w:w="1252" w:type="dxa"/>
          </w:tcPr>
          <w:p w14:paraId="3E82100A"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Connection</w:t>
            </w:r>
          </w:p>
        </w:tc>
        <w:tc>
          <w:tcPr>
            <w:tcW w:w="1867" w:type="dxa"/>
            <w:vAlign w:val="bottom"/>
          </w:tcPr>
          <w:p w14:paraId="1EAE1F5C"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55c per call</w:t>
            </w:r>
          </w:p>
        </w:tc>
        <w:tc>
          <w:tcPr>
            <w:tcW w:w="1413" w:type="dxa"/>
          </w:tcPr>
          <w:p w14:paraId="18F5CA17"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55c per call</w:t>
            </w:r>
          </w:p>
        </w:tc>
        <w:tc>
          <w:tcPr>
            <w:tcW w:w="1413" w:type="dxa"/>
            <w:vAlign w:val="bottom"/>
          </w:tcPr>
          <w:p w14:paraId="28569AA4"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52c per call</w:t>
            </w:r>
          </w:p>
        </w:tc>
        <w:tc>
          <w:tcPr>
            <w:tcW w:w="1414" w:type="dxa"/>
            <w:vAlign w:val="bottom"/>
          </w:tcPr>
          <w:p w14:paraId="1D774798"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call</w:t>
            </w:r>
          </w:p>
        </w:tc>
        <w:tc>
          <w:tcPr>
            <w:tcW w:w="1415" w:type="dxa"/>
            <w:vMerge/>
          </w:tcPr>
          <w:p w14:paraId="040246AC" w14:textId="77777777" w:rsidR="003B6BC7" w:rsidRPr="00D2273F" w:rsidRDefault="003B6BC7" w:rsidP="00C01F1E">
            <w:pPr>
              <w:spacing w:before="0" w:beforeAutospacing="0" w:after="0" w:afterAutospacing="0"/>
              <w:rPr>
                <w:rFonts w:asciiTheme="minorHAnsi" w:hAnsiTheme="minorHAnsi" w:cstheme="minorHAnsi"/>
                <w:sz w:val="20"/>
                <w:szCs w:val="20"/>
              </w:rPr>
            </w:pPr>
          </w:p>
        </w:tc>
        <w:tc>
          <w:tcPr>
            <w:tcW w:w="1414" w:type="dxa"/>
            <w:vAlign w:val="bottom"/>
          </w:tcPr>
          <w:p w14:paraId="665DEDA7"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45c per call</w:t>
            </w:r>
          </w:p>
        </w:tc>
        <w:tc>
          <w:tcPr>
            <w:tcW w:w="1415" w:type="dxa"/>
            <w:vAlign w:val="bottom"/>
          </w:tcPr>
          <w:p w14:paraId="3C731036"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call</w:t>
            </w:r>
          </w:p>
        </w:tc>
        <w:tc>
          <w:tcPr>
            <w:tcW w:w="1415" w:type="dxa"/>
            <w:vMerge/>
          </w:tcPr>
          <w:p w14:paraId="2541BAB7" w14:textId="77777777" w:rsidR="003B6BC7" w:rsidRPr="00D2273F" w:rsidRDefault="003B6BC7" w:rsidP="00C01F1E">
            <w:pPr>
              <w:spacing w:before="0" w:beforeAutospacing="0" w:after="0" w:afterAutospacing="0"/>
              <w:rPr>
                <w:rFonts w:asciiTheme="minorHAnsi" w:hAnsiTheme="minorHAnsi" w:cstheme="minorHAnsi"/>
                <w:sz w:val="20"/>
                <w:szCs w:val="20"/>
              </w:rPr>
            </w:pPr>
          </w:p>
        </w:tc>
      </w:tr>
      <w:tr w:rsidR="003B6BC7" w:rsidRPr="00D2273F" w14:paraId="17752326" w14:textId="77777777" w:rsidTr="00A06F56">
        <w:tc>
          <w:tcPr>
            <w:tcW w:w="1156" w:type="dxa"/>
            <w:vMerge/>
          </w:tcPr>
          <w:p w14:paraId="7CD29893" w14:textId="77777777" w:rsidR="003B6BC7" w:rsidRPr="00D2273F" w:rsidRDefault="003B6BC7" w:rsidP="00C01F1E">
            <w:pPr>
              <w:spacing w:before="0" w:beforeAutospacing="0" w:after="0" w:afterAutospacing="0"/>
              <w:rPr>
                <w:rFonts w:asciiTheme="minorHAnsi" w:hAnsiTheme="minorHAnsi" w:cstheme="minorHAnsi"/>
                <w:b/>
                <w:sz w:val="20"/>
                <w:szCs w:val="20"/>
              </w:rPr>
            </w:pPr>
          </w:p>
        </w:tc>
        <w:tc>
          <w:tcPr>
            <w:tcW w:w="1252" w:type="dxa"/>
          </w:tcPr>
          <w:p w14:paraId="363438A3"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Calling</w:t>
            </w:r>
          </w:p>
        </w:tc>
        <w:tc>
          <w:tcPr>
            <w:tcW w:w="1867" w:type="dxa"/>
            <w:vAlign w:val="bottom"/>
          </w:tcPr>
          <w:p w14:paraId="0C6D9B03"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25c per minute</w:t>
            </w:r>
          </w:p>
        </w:tc>
        <w:tc>
          <w:tcPr>
            <w:tcW w:w="1413" w:type="dxa"/>
          </w:tcPr>
          <w:p w14:paraId="63E074BD"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25c per minute</w:t>
            </w:r>
          </w:p>
        </w:tc>
        <w:tc>
          <w:tcPr>
            <w:tcW w:w="1413" w:type="dxa"/>
            <w:vAlign w:val="bottom"/>
          </w:tcPr>
          <w:p w14:paraId="34EB6EC5"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28c per minute</w:t>
            </w:r>
          </w:p>
        </w:tc>
        <w:tc>
          <w:tcPr>
            <w:tcW w:w="1414" w:type="dxa"/>
            <w:vAlign w:val="bottom"/>
          </w:tcPr>
          <w:p w14:paraId="47055BED"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25c per minute</w:t>
            </w:r>
          </w:p>
        </w:tc>
        <w:tc>
          <w:tcPr>
            <w:tcW w:w="1415" w:type="dxa"/>
            <w:vMerge/>
          </w:tcPr>
          <w:p w14:paraId="33A45D34" w14:textId="77777777" w:rsidR="003B6BC7" w:rsidRPr="00D2273F" w:rsidRDefault="003B6BC7" w:rsidP="00C01F1E">
            <w:pPr>
              <w:spacing w:before="0" w:beforeAutospacing="0" w:after="0" w:afterAutospacing="0"/>
              <w:rPr>
                <w:rFonts w:asciiTheme="minorHAnsi" w:hAnsiTheme="minorHAnsi" w:cstheme="minorHAnsi"/>
                <w:sz w:val="20"/>
                <w:szCs w:val="20"/>
              </w:rPr>
            </w:pPr>
          </w:p>
        </w:tc>
        <w:tc>
          <w:tcPr>
            <w:tcW w:w="1414" w:type="dxa"/>
            <w:vAlign w:val="bottom"/>
          </w:tcPr>
          <w:p w14:paraId="43986005"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25c per minute</w:t>
            </w:r>
          </w:p>
        </w:tc>
        <w:tc>
          <w:tcPr>
            <w:tcW w:w="1415" w:type="dxa"/>
            <w:vAlign w:val="bottom"/>
          </w:tcPr>
          <w:p w14:paraId="47A86846"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25c per minute</w:t>
            </w:r>
          </w:p>
        </w:tc>
        <w:tc>
          <w:tcPr>
            <w:tcW w:w="1415" w:type="dxa"/>
            <w:vMerge/>
          </w:tcPr>
          <w:p w14:paraId="22B511B5" w14:textId="77777777" w:rsidR="003B6BC7" w:rsidRPr="00D2273F" w:rsidRDefault="003B6BC7" w:rsidP="00C01F1E">
            <w:pPr>
              <w:spacing w:before="0" w:beforeAutospacing="0" w:after="0" w:afterAutospacing="0"/>
              <w:rPr>
                <w:rFonts w:asciiTheme="minorHAnsi" w:hAnsiTheme="minorHAnsi" w:cstheme="minorHAnsi"/>
                <w:sz w:val="20"/>
                <w:szCs w:val="20"/>
              </w:rPr>
            </w:pPr>
          </w:p>
        </w:tc>
      </w:tr>
      <w:tr w:rsidR="003B6BC7" w:rsidRPr="00D2273F" w14:paraId="7F60C9F6" w14:textId="77777777" w:rsidTr="00A06F56">
        <w:tc>
          <w:tcPr>
            <w:tcW w:w="1156" w:type="dxa"/>
          </w:tcPr>
          <w:p w14:paraId="03D22CD8"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13 numbers</w:t>
            </w:r>
          </w:p>
        </w:tc>
        <w:tc>
          <w:tcPr>
            <w:tcW w:w="1252" w:type="dxa"/>
          </w:tcPr>
          <w:p w14:paraId="310F0B40" w14:textId="77777777" w:rsidR="003B6BC7" w:rsidRPr="00D2273F" w:rsidRDefault="003B6BC7" w:rsidP="00C01F1E">
            <w:pPr>
              <w:spacing w:before="0" w:beforeAutospacing="0" w:after="0" w:afterAutospacing="0"/>
              <w:rPr>
                <w:rFonts w:asciiTheme="minorHAnsi" w:hAnsiTheme="minorHAnsi" w:cstheme="minorHAnsi"/>
                <w:b/>
                <w:sz w:val="20"/>
                <w:szCs w:val="20"/>
              </w:rPr>
            </w:pPr>
          </w:p>
        </w:tc>
        <w:tc>
          <w:tcPr>
            <w:tcW w:w="1867" w:type="dxa"/>
          </w:tcPr>
          <w:p w14:paraId="292F533E" w14:textId="1CDA17ED" w:rsidR="003B6BC7" w:rsidRPr="00D2273F" w:rsidRDefault="003B6BC7" w:rsidP="00C64C62">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40c per call</w:t>
            </w:r>
          </w:p>
        </w:tc>
        <w:tc>
          <w:tcPr>
            <w:tcW w:w="1413" w:type="dxa"/>
          </w:tcPr>
          <w:p w14:paraId="179945D2" w14:textId="0445F851" w:rsidR="003B6BC7" w:rsidRPr="00D2273F" w:rsidRDefault="00D2273F"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40c per call</w:t>
            </w:r>
          </w:p>
        </w:tc>
        <w:tc>
          <w:tcPr>
            <w:tcW w:w="1413" w:type="dxa"/>
            <w:vAlign w:val="bottom"/>
          </w:tcPr>
          <w:p w14:paraId="6E184A06"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35c per call</w:t>
            </w:r>
          </w:p>
        </w:tc>
        <w:tc>
          <w:tcPr>
            <w:tcW w:w="1414" w:type="dxa"/>
            <w:vAlign w:val="bottom"/>
          </w:tcPr>
          <w:p w14:paraId="34DCC5FC"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30c per call</w:t>
            </w:r>
          </w:p>
        </w:tc>
        <w:tc>
          <w:tcPr>
            <w:tcW w:w="1415" w:type="dxa"/>
          </w:tcPr>
          <w:p w14:paraId="14A42D7D"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color w:val="000000"/>
                <w:sz w:val="20"/>
                <w:szCs w:val="20"/>
              </w:rPr>
              <w:t>30c per call</w:t>
            </w:r>
          </w:p>
        </w:tc>
        <w:tc>
          <w:tcPr>
            <w:tcW w:w="1414" w:type="dxa"/>
            <w:vAlign w:val="bottom"/>
          </w:tcPr>
          <w:p w14:paraId="7971DF2F"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40c per call</w:t>
            </w:r>
          </w:p>
        </w:tc>
        <w:tc>
          <w:tcPr>
            <w:tcW w:w="1415" w:type="dxa"/>
            <w:vAlign w:val="bottom"/>
          </w:tcPr>
          <w:p w14:paraId="208C18EB"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40c per call</w:t>
            </w:r>
          </w:p>
        </w:tc>
        <w:tc>
          <w:tcPr>
            <w:tcW w:w="1415" w:type="dxa"/>
          </w:tcPr>
          <w:p w14:paraId="39A4B92D" w14:textId="77777777" w:rsidR="003B6BC7" w:rsidRPr="00D2273F" w:rsidRDefault="003B6BC7" w:rsidP="00C01F1E">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40c per call</w:t>
            </w:r>
          </w:p>
        </w:tc>
      </w:tr>
      <w:tr w:rsidR="003B6BC7" w:rsidRPr="00D2273F" w14:paraId="60E46F1F" w14:textId="77777777" w:rsidTr="00A06F56">
        <w:tc>
          <w:tcPr>
            <w:tcW w:w="1156" w:type="dxa"/>
            <w:vMerge w:val="restart"/>
          </w:tcPr>
          <w:p w14:paraId="3F30E1AC"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Calls to Australian mobiles</w:t>
            </w:r>
          </w:p>
        </w:tc>
        <w:tc>
          <w:tcPr>
            <w:tcW w:w="1252" w:type="dxa"/>
          </w:tcPr>
          <w:p w14:paraId="514E4E56" w14:textId="77777777" w:rsidR="003B6BC7" w:rsidRPr="00D2273F" w:rsidRDefault="003B6BC7"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Cap</w:t>
            </w:r>
          </w:p>
        </w:tc>
        <w:tc>
          <w:tcPr>
            <w:tcW w:w="1867" w:type="dxa"/>
          </w:tcPr>
          <w:p w14:paraId="442024B0" w14:textId="1F766765" w:rsidR="003B6BC7" w:rsidRPr="00D2273F" w:rsidRDefault="00D2273F" w:rsidP="00D2273F">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Calls to Telstra mobiles $3 for the first 20 minutes, 7pm to 12am</w:t>
            </w:r>
          </w:p>
        </w:tc>
        <w:tc>
          <w:tcPr>
            <w:tcW w:w="1413" w:type="dxa"/>
          </w:tcPr>
          <w:p w14:paraId="202C5FE9" w14:textId="16D5905C" w:rsidR="003B6BC7" w:rsidRPr="00D2273F" w:rsidRDefault="00D2273F" w:rsidP="00A06F56">
            <w:pPr>
              <w:rPr>
                <w:rFonts w:asciiTheme="minorHAnsi" w:hAnsiTheme="minorHAnsi" w:cstheme="minorHAnsi"/>
                <w:sz w:val="20"/>
                <w:szCs w:val="20"/>
              </w:rPr>
            </w:pPr>
            <w:r w:rsidRPr="00D2273F">
              <w:rPr>
                <w:rFonts w:cs="Calibri"/>
                <w:color w:val="000000"/>
                <w:sz w:val="20"/>
                <w:szCs w:val="20"/>
              </w:rPr>
              <w:t>$3 for the first 20 minutes per call</w:t>
            </w:r>
          </w:p>
        </w:tc>
        <w:tc>
          <w:tcPr>
            <w:tcW w:w="1413" w:type="dxa"/>
            <w:vAlign w:val="bottom"/>
          </w:tcPr>
          <w:p w14:paraId="61683DAB"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 for calls up to 1 hour</w:t>
            </w:r>
          </w:p>
        </w:tc>
        <w:tc>
          <w:tcPr>
            <w:tcW w:w="1414" w:type="dxa"/>
            <w:vAlign w:val="bottom"/>
          </w:tcPr>
          <w:p w14:paraId="7712A2A8"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$2.48 up to 20 minutes per call</w:t>
            </w:r>
          </w:p>
        </w:tc>
        <w:tc>
          <w:tcPr>
            <w:tcW w:w="1415" w:type="dxa"/>
            <w:vMerge w:val="restart"/>
            <w:vAlign w:val="center"/>
          </w:tcPr>
          <w:p w14:paraId="20F7098F" w14:textId="77777777" w:rsidR="003B6BC7" w:rsidRPr="00D2273F" w:rsidRDefault="003B6BC7" w:rsidP="00DE6A52">
            <w:pPr>
              <w:spacing w:before="0" w:beforeAutospacing="0" w:after="0" w:afterAutospacing="0"/>
              <w:rPr>
                <w:rFonts w:asciiTheme="minorHAnsi" w:hAnsiTheme="minorHAnsi" w:cstheme="minorHAnsi"/>
                <w:sz w:val="20"/>
                <w:szCs w:val="20"/>
              </w:rPr>
            </w:pPr>
            <w:r w:rsidRPr="00D2273F">
              <w:rPr>
                <w:rFonts w:asciiTheme="minorHAnsi" w:hAnsiTheme="minorHAnsi" w:cstheme="minorHAnsi"/>
                <w:sz w:val="20"/>
                <w:szCs w:val="20"/>
              </w:rPr>
              <w:t>unlimited</w:t>
            </w:r>
          </w:p>
        </w:tc>
        <w:tc>
          <w:tcPr>
            <w:tcW w:w="1414" w:type="dxa"/>
            <w:vAlign w:val="bottom"/>
          </w:tcPr>
          <w:p w14:paraId="40367676"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$1.49 for 10 minutes</w:t>
            </w:r>
          </w:p>
        </w:tc>
        <w:tc>
          <w:tcPr>
            <w:tcW w:w="1415" w:type="dxa"/>
            <w:vAlign w:val="bottom"/>
          </w:tcPr>
          <w:p w14:paraId="046B5999"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$1.49 for 10 minutes</w:t>
            </w:r>
          </w:p>
        </w:tc>
        <w:tc>
          <w:tcPr>
            <w:tcW w:w="1415" w:type="dxa"/>
            <w:vAlign w:val="bottom"/>
          </w:tcPr>
          <w:p w14:paraId="2558F60F" w14:textId="77777777" w:rsidR="003B6BC7" w:rsidRPr="00D2273F" w:rsidRDefault="003B6BC7">
            <w:pPr>
              <w:rPr>
                <w:rFonts w:asciiTheme="minorHAnsi" w:hAnsiTheme="minorHAnsi" w:cstheme="minorHAnsi"/>
                <w:color w:val="000000"/>
                <w:sz w:val="20"/>
                <w:szCs w:val="20"/>
              </w:rPr>
            </w:pPr>
            <w:r w:rsidRPr="00D2273F">
              <w:rPr>
                <w:rFonts w:asciiTheme="minorHAnsi" w:hAnsiTheme="minorHAnsi" w:cstheme="minorHAnsi"/>
                <w:color w:val="000000"/>
                <w:sz w:val="20"/>
                <w:szCs w:val="20"/>
              </w:rPr>
              <w:t>$1.49 for 10 minutes</w:t>
            </w:r>
          </w:p>
        </w:tc>
      </w:tr>
      <w:tr w:rsidR="00D2273F" w:rsidRPr="00D2273F" w14:paraId="11030F78" w14:textId="77777777" w:rsidTr="00A06F56">
        <w:tc>
          <w:tcPr>
            <w:tcW w:w="1156" w:type="dxa"/>
            <w:vMerge/>
          </w:tcPr>
          <w:p w14:paraId="3687D1A7" w14:textId="77777777" w:rsidR="00D2273F" w:rsidRPr="00D2273F" w:rsidRDefault="00D2273F" w:rsidP="00C01F1E">
            <w:pPr>
              <w:spacing w:before="0" w:beforeAutospacing="0" w:after="0" w:afterAutospacing="0"/>
              <w:rPr>
                <w:rFonts w:asciiTheme="minorHAnsi" w:hAnsiTheme="minorHAnsi" w:cstheme="minorHAnsi"/>
                <w:sz w:val="20"/>
                <w:szCs w:val="20"/>
              </w:rPr>
            </w:pPr>
          </w:p>
        </w:tc>
        <w:tc>
          <w:tcPr>
            <w:tcW w:w="1252" w:type="dxa"/>
          </w:tcPr>
          <w:p w14:paraId="1382C1E5" w14:textId="77777777" w:rsidR="00D2273F" w:rsidRPr="00D2273F" w:rsidRDefault="00D2273F"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Connection</w:t>
            </w:r>
          </w:p>
        </w:tc>
        <w:tc>
          <w:tcPr>
            <w:tcW w:w="1867" w:type="dxa"/>
            <w:vAlign w:val="bottom"/>
          </w:tcPr>
          <w:p w14:paraId="1A5539F2" w14:textId="7F3F94D2" w:rsidR="00D2273F" w:rsidRPr="00D2273F" w:rsidRDefault="00D2273F" w:rsidP="00C01F1E">
            <w:pPr>
              <w:spacing w:before="0" w:beforeAutospacing="0" w:after="0" w:afterAutospacing="0"/>
              <w:rPr>
                <w:rFonts w:asciiTheme="minorHAnsi" w:hAnsiTheme="minorHAnsi" w:cstheme="minorHAnsi"/>
                <w:sz w:val="20"/>
                <w:szCs w:val="20"/>
              </w:rPr>
            </w:pPr>
            <w:r w:rsidRPr="00D2273F">
              <w:rPr>
                <w:rFonts w:cs="Calibri"/>
                <w:color w:val="000000"/>
                <w:sz w:val="20"/>
                <w:szCs w:val="20"/>
              </w:rPr>
              <w:t>55c per call</w:t>
            </w:r>
          </w:p>
        </w:tc>
        <w:tc>
          <w:tcPr>
            <w:tcW w:w="1413" w:type="dxa"/>
            <w:vAlign w:val="bottom"/>
          </w:tcPr>
          <w:p w14:paraId="529CC4E4" w14:textId="3DCB1571" w:rsidR="00D2273F" w:rsidRPr="00D2273F" w:rsidRDefault="00D2273F" w:rsidP="00C01F1E">
            <w:pPr>
              <w:spacing w:before="0" w:beforeAutospacing="0" w:after="0" w:afterAutospacing="0"/>
              <w:rPr>
                <w:rFonts w:asciiTheme="minorHAnsi" w:hAnsiTheme="minorHAnsi" w:cstheme="minorHAnsi"/>
                <w:sz w:val="20"/>
                <w:szCs w:val="20"/>
              </w:rPr>
            </w:pPr>
            <w:r w:rsidRPr="00D2273F">
              <w:rPr>
                <w:rFonts w:cs="Calibri"/>
                <w:color w:val="000000"/>
                <w:sz w:val="20"/>
                <w:szCs w:val="20"/>
              </w:rPr>
              <w:t>55c per call</w:t>
            </w:r>
          </w:p>
        </w:tc>
        <w:tc>
          <w:tcPr>
            <w:tcW w:w="1413" w:type="dxa"/>
            <w:vAlign w:val="bottom"/>
          </w:tcPr>
          <w:p w14:paraId="633A3FB5"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52c per call</w:t>
            </w:r>
          </w:p>
        </w:tc>
        <w:tc>
          <w:tcPr>
            <w:tcW w:w="1414" w:type="dxa"/>
            <w:vAlign w:val="bottom"/>
          </w:tcPr>
          <w:p w14:paraId="4CAAFDA3"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call</w:t>
            </w:r>
          </w:p>
        </w:tc>
        <w:tc>
          <w:tcPr>
            <w:tcW w:w="1415" w:type="dxa"/>
            <w:vMerge/>
          </w:tcPr>
          <w:p w14:paraId="56D12BDB" w14:textId="77777777" w:rsidR="00D2273F" w:rsidRPr="00D2273F" w:rsidRDefault="00D2273F" w:rsidP="00C01F1E">
            <w:pPr>
              <w:spacing w:before="0" w:beforeAutospacing="0" w:after="0" w:afterAutospacing="0"/>
              <w:rPr>
                <w:rFonts w:asciiTheme="minorHAnsi" w:hAnsiTheme="minorHAnsi" w:cstheme="minorHAnsi"/>
                <w:sz w:val="20"/>
                <w:szCs w:val="20"/>
              </w:rPr>
            </w:pPr>
          </w:p>
        </w:tc>
        <w:tc>
          <w:tcPr>
            <w:tcW w:w="1414" w:type="dxa"/>
            <w:vAlign w:val="bottom"/>
          </w:tcPr>
          <w:p w14:paraId="318C6200"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45c per call</w:t>
            </w:r>
          </w:p>
        </w:tc>
        <w:tc>
          <w:tcPr>
            <w:tcW w:w="1415" w:type="dxa"/>
            <w:vAlign w:val="bottom"/>
          </w:tcPr>
          <w:p w14:paraId="719873FC"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call</w:t>
            </w:r>
          </w:p>
        </w:tc>
        <w:tc>
          <w:tcPr>
            <w:tcW w:w="1415" w:type="dxa"/>
            <w:vAlign w:val="bottom"/>
          </w:tcPr>
          <w:p w14:paraId="00A69086"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call</w:t>
            </w:r>
          </w:p>
        </w:tc>
      </w:tr>
      <w:tr w:rsidR="00D2273F" w:rsidRPr="00D2273F" w14:paraId="72197E33" w14:textId="77777777" w:rsidTr="00A06F56">
        <w:tc>
          <w:tcPr>
            <w:tcW w:w="1156" w:type="dxa"/>
            <w:vMerge/>
          </w:tcPr>
          <w:p w14:paraId="3D751735" w14:textId="77777777" w:rsidR="00D2273F" w:rsidRPr="00D2273F" w:rsidRDefault="00D2273F" w:rsidP="00C01F1E">
            <w:pPr>
              <w:spacing w:before="0" w:beforeAutospacing="0" w:after="0" w:afterAutospacing="0"/>
              <w:rPr>
                <w:rFonts w:asciiTheme="minorHAnsi" w:hAnsiTheme="minorHAnsi" w:cstheme="minorHAnsi"/>
                <w:sz w:val="20"/>
                <w:szCs w:val="20"/>
              </w:rPr>
            </w:pPr>
          </w:p>
        </w:tc>
        <w:tc>
          <w:tcPr>
            <w:tcW w:w="1252" w:type="dxa"/>
          </w:tcPr>
          <w:p w14:paraId="50081C77" w14:textId="77777777" w:rsidR="00D2273F" w:rsidRPr="00D2273F" w:rsidRDefault="00D2273F" w:rsidP="00C01F1E">
            <w:pPr>
              <w:spacing w:before="0" w:beforeAutospacing="0" w:after="0" w:afterAutospacing="0"/>
              <w:rPr>
                <w:rFonts w:asciiTheme="minorHAnsi" w:hAnsiTheme="minorHAnsi" w:cstheme="minorHAnsi"/>
                <w:b/>
                <w:sz w:val="20"/>
                <w:szCs w:val="20"/>
              </w:rPr>
            </w:pPr>
            <w:r w:rsidRPr="00D2273F">
              <w:rPr>
                <w:rFonts w:asciiTheme="minorHAnsi" w:hAnsiTheme="minorHAnsi" w:cstheme="minorHAnsi"/>
                <w:b/>
                <w:sz w:val="20"/>
                <w:szCs w:val="20"/>
              </w:rPr>
              <w:t>Calling</w:t>
            </w:r>
          </w:p>
        </w:tc>
        <w:tc>
          <w:tcPr>
            <w:tcW w:w="1867" w:type="dxa"/>
            <w:vAlign w:val="bottom"/>
          </w:tcPr>
          <w:p w14:paraId="6238D90B" w14:textId="453D2EA1" w:rsidR="00D2273F" w:rsidRPr="00D2273F" w:rsidRDefault="00D2273F" w:rsidP="00C01F1E">
            <w:pPr>
              <w:spacing w:before="0" w:beforeAutospacing="0" w:after="0" w:afterAutospacing="0"/>
              <w:rPr>
                <w:rFonts w:asciiTheme="minorHAnsi" w:hAnsiTheme="minorHAnsi" w:cstheme="minorHAnsi"/>
                <w:sz w:val="20"/>
                <w:szCs w:val="20"/>
              </w:rPr>
            </w:pPr>
            <w:r w:rsidRPr="00D2273F">
              <w:rPr>
                <w:rFonts w:cs="Calibri"/>
                <w:color w:val="000000"/>
                <w:sz w:val="20"/>
                <w:szCs w:val="20"/>
              </w:rPr>
              <w:t>36c per minute</w:t>
            </w:r>
          </w:p>
        </w:tc>
        <w:tc>
          <w:tcPr>
            <w:tcW w:w="1413" w:type="dxa"/>
            <w:vAlign w:val="bottom"/>
          </w:tcPr>
          <w:p w14:paraId="39EB76B4" w14:textId="330260F9" w:rsidR="00D2273F" w:rsidRPr="00D2273F" w:rsidRDefault="00D2273F" w:rsidP="00C01F1E">
            <w:pPr>
              <w:spacing w:before="0" w:beforeAutospacing="0" w:after="0" w:afterAutospacing="0"/>
              <w:rPr>
                <w:rFonts w:asciiTheme="minorHAnsi" w:hAnsiTheme="minorHAnsi" w:cstheme="minorHAnsi"/>
                <w:sz w:val="20"/>
                <w:szCs w:val="20"/>
              </w:rPr>
            </w:pPr>
            <w:r w:rsidRPr="00D2273F">
              <w:rPr>
                <w:rFonts w:cs="Calibri"/>
                <w:color w:val="000000"/>
                <w:sz w:val="20"/>
                <w:szCs w:val="20"/>
              </w:rPr>
              <w:t>30c per minute</w:t>
            </w:r>
          </w:p>
        </w:tc>
        <w:tc>
          <w:tcPr>
            <w:tcW w:w="1413" w:type="dxa"/>
            <w:vAlign w:val="bottom"/>
          </w:tcPr>
          <w:p w14:paraId="1935ACF6"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28c per minute</w:t>
            </w:r>
          </w:p>
        </w:tc>
        <w:tc>
          <w:tcPr>
            <w:tcW w:w="1414" w:type="dxa"/>
            <w:vAlign w:val="bottom"/>
          </w:tcPr>
          <w:p w14:paraId="3B391D7A"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39c per minute</w:t>
            </w:r>
          </w:p>
        </w:tc>
        <w:tc>
          <w:tcPr>
            <w:tcW w:w="1415" w:type="dxa"/>
            <w:vMerge/>
          </w:tcPr>
          <w:p w14:paraId="192CAF6F" w14:textId="77777777" w:rsidR="00D2273F" w:rsidRPr="00D2273F" w:rsidRDefault="00D2273F" w:rsidP="00C01F1E">
            <w:pPr>
              <w:spacing w:before="0" w:beforeAutospacing="0" w:after="0" w:afterAutospacing="0"/>
              <w:rPr>
                <w:rFonts w:asciiTheme="minorHAnsi" w:hAnsiTheme="minorHAnsi" w:cstheme="minorHAnsi"/>
                <w:sz w:val="20"/>
                <w:szCs w:val="20"/>
              </w:rPr>
            </w:pPr>
          </w:p>
        </w:tc>
        <w:tc>
          <w:tcPr>
            <w:tcW w:w="1414" w:type="dxa"/>
            <w:vAlign w:val="bottom"/>
          </w:tcPr>
          <w:p w14:paraId="6252EE31"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37c per minute</w:t>
            </w:r>
          </w:p>
        </w:tc>
        <w:tc>
          <w:tcPr>
            <w:tcW w:w="1415" w:type="dxa"/>
            <w:vAlign w:val="bottom"/>
          </w:tcPr>
          <w:p w14:paraId="2288C8D6"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37c per minute</w:t>
            </w:r>
          </w:p>
        </w:tc>
        <w:tc>
          <w:tcPr>
            <w:tcW w:w="1415" w:type="dxa"/>
            <w:vAlign w:val="bottom"/>
          </w:tcPr>
          <w:p w14:paraId="748D76F5" w14:textId="77777777" w:rsidR="00D2273F" w:rsidRPr="00D2273F" w:rsidRDefault="00D2273F">
            <w:pPr>
              <w:rPr>
                <w:rFonts w:asciiTheme="minorHAnsi" w:hAnsiTheme="minorHAnsi" w:cstheme="minorHAnsi"/>
                <w:color w:val="000000"/>
                <w:sz w:val="20"/>
                <w:szCs w:val="20"/>
              </w:rPr>
            </w:pPr>
            <w:r w:rsidRPr="00D2273F">
              <w:rPr>
                <w:rFonts w:asciiTheme="minorHAnsi" w:hAnsiTheme="minorHAnsi" w:cstheme="minorHAnsi"/>
                <w:color w:val="000000"/>
                <w:sz w:val="20"/>
                <w:szCs w:val="20"/>
              </w:rPr>
              <w:t>37c per minute</w:t>
            </w:r>
          </w:p>
        </w:tc>
      </w:tr>
    </w:tbl>
    <w:p w14:paraId="570B6BA1" w14:textId="77777777" w:rsidR="00B2777C" w:rsidRDefault="003B6BC7" w:rsidP="003B6BC7">
      <w:pPr>
        <w:spacing w:before="0" w:beforeAutospacing="0" w:after="0" w:afterAutospacing="0"/>
      </w:pPr>
      <w:r>
        <w:t>Source: information compiled from company websites on 15 January 2019</w:t>
      </w:r>
    </w:p>
    <w:p w14:paraId="6C2CD820" w14:textId="77777777" w:rsidR="003B6BC7" w:rsidRDefault="003B6BC7" w:rsidP="00617B02">
      <w:pPr>
        <w:spacing w:before="0" w:beforeAutospacing="0" w:after="200" w:afterAutospacing="0" w:line="276" w:lineRule="auto"/>
        <w:sectPr w:rsidR="003B6BC7" w:rsidSect="00B2777C">
          <w:pgSz w:w="16838" w:h="11906" w:orient="landscape" w:code="9"/>
          <w:pgMar w:top="1440" w:right="1440" w:bottom="1440" w:left="1440" w:header="709" w:footer="0" w:gutter="0"/>
          <w:cols w:space="708"/>
          <w:titlePg/>
          <w:docGrid w:linePitch="360"/>
        </w:sectPr>
      </w:pPr>
    </w:p>
    <w:p w14:paraId="0F6C3F43" w14:textId="77476662" w:rsidR="00B06A67" w:rsidRDefault="00B06A67" w:rsidP="00617B02">
      <w:pPr>
        <w:spacing w:before="0" w:beforeAutospacing="0" w:after="200" w:afterAutospacing="0" w:line="276" w:lineRule="auto"/>
      </w:pPr>
      <w:r>
        <w:lastRenderedPageBreak/>
        <w:t xml:space="preserve">The current license condition requires Telstra to develop a policy and for the ACMA to approve it. Priority assistance requires a connection or reconnection of the standard telephone service within 24 hours in urban areas and within 48 hours outside urban areas. The policy also sets out examples of medically diagnosed conditions that may qualify </w:t>
      </w:r>
      <w:r w:rsidR="004C1802">
        <w:t xml:space="preserve">customers </w:t>
      </w:r>
      <w:r>
        <w:t>for the policy and the process to qualify.</w:t>
      </w:r>
    </w:p>
    <w:tbl>
      <w:tblPr>
        <w:tblStyle w:val="TableGrid"/>
        <w:tblW w:w="0" w:type="auto"/>
        <w:tblLook w:val="04A0" w:firstRow="1" w:lastRow="0" w:firstColumn="1" w:lastColumn="0" w:noHBand="0" w:noVBand="1"/>
      </w:tblPr>
      <w:tblGrid>
        <w:gridCol w:w="9242"/>
      </w:tblGrid>
      <w:tr w:rsidR="00A91CB5" w14:paraId="46D5125F" w14:textId="77777777" w:rsidTr="00A91CB5">
        <w:tc>
          <w:tcPr>
            <w:tcW w:w="9242" w:type="dxa"/>
          </w:tcPr>
          <w:p w14:paraId="46C39594" w14:textId="7F18B2D5" w:rsidR="00A91CB5" w:rsidRPr="00A91CB5" w:rsidRDefault="00A91CB5" w:rsidP="00617B02">
            <w:pPr>
              <w:spacing w:before="0" w:beforeAutospacing="0" w:after="200" w:afterAutospacing="0" w:line="276" w:lineRule="auto"/>
              <w:rPr>
                <w:b/>
              </w:rPr>
            </w:pPr>
            <w:r w:rsidRPr="00A91CB5">
              <w:rPr>
                <w:b/>
              </w:rPr>
              <w:t>Box</w:t>
            </w:r>
            <w:r w:rsidR="007A0555">
              <w:rPr>
                <w:b/>
              </w:rPr>
              <w:t xml:space="preserve"> 1</w:t>
            </w:r>
            <w:r w:rsidRPr="00A91CB5">
              <w:rPr>
                <w:b/>
              </w:rPr>
              <w:t>: Summary of Telstra’s Priority Assistance Policy</w:t>
            </w:r>
            <w:r w:rsidR="00C64C62">
              <w:rPr>
                <w:rStyle w:val="FootnoteReference"/>
              </w:rPr>
              <w:footnoteReference w:id="5"/>
            </w:r>
          </w:p>
          <w:p w14:paraId="75C520DE" w14:textId="77777777" w:rsidR="008900A3" w:rsidRDefault="008900A3" w:rsidP="008900A3">
            <w:r>
              <w:t>Telstra’s priority assistance service is available to customers with a diagnosed life-threatening medical condition whose life may be at risk if they don’t have access to a functioning phone line, and who have a Telstra fixed home service.</w:t>
            </w:r>
            <w:r w:rsidRPr="004B3B5F">
              <w:t xml:space="preserve"> </w:t>
            </w:r>
            <w:r>
              <w:t xml:space="preserve">Customers can also be registered as a priority customer if someone living in their home has a life-threatening medical condition. The policy outlines some eligible medical conditions, including people facing high risk of respiratory, cardiovascular, obstetric or neonatal emergencies, high risk of life threatening hypoglycaemia or epilepsy, high risk mental health disorders, technologically dependent patients who are at high risk and dependent patients who live alone, without support or in remote locations.  </w:t>
            </w:r>
          </w:p>
          <w:p w14:paraId="268AEE25" w14:textId="77777777" w:rsidR="008900A3" w:rsidRDefault="008900A3" w:rsidP="008900A3">
            <w:r>
              <w:t>In order to be eligible, customers must provide certification of their eligibility to receive priority assistance. Customers can apply by completing and returning the necessary application form to Telstra, with the policy outlining that Telstra will process all applications within 5 working days. Once registered for priority assistance, customers remain registered for up to three years, and will not be charged for this priority service.</w:t>
            </w:r>
          </w:p>
          <w:p w14:paraId="0E9B585B" w14:textId="0DA0BBE9" w:rsidR="008900A3" w:rsidRDefault="008900A3" w:rsidP="008900A3">
            <w:r>
              <w:t>The policy outlines that an interim service or an alternative service is to be provided to the customer if timeframes can’t be met. If a priority customer accepts an interim priority service, Telstra’s policy explains that they would supply this within 24 hours in urban and rural areas, or 48 hours in remote areas.</w:t>
            </w:r>
          </w:p>
          <w:p w14:paraId="584E16FF" w14:textId="6A559D61" w:rsidR="00A91CB5" w:rsidRDefault="008900A3" w:rsidP="008900A3">
            <w:r>
              <w:t>Telstra’s policy also details that it will respond to emergency medical requests from customers who have not registered for priority assistance on a case-by-case basis, and outlines the procedures it will follow in these incidents.</w:t>
            </w:r>
          </w:p>
        </w:tc>
      </w:tr>
    </w:tbl>
    <w:p w14:paraId="772EA944" w14:textId="77777777" w:rsidR="00B06A67" w:rsidRDefault="00B06A67" w:rsidP="00617B02">
      <w:pPr>
        <w:spacing w:before="0" w:beforeAutospacing="0" w:after="200" w:afterAutospacing="0" w:line="276" w:lineRule="auto"/>
      </w:pPr>
    </w:p>
    <w:p w14:paraId="6B0150E3" w14:textId="092FC048" w:rsidR="0039633D" w:rsidRDefault="00C215C6" w:rsidP="00617B02">
      <w:pPr>
        <w:spacing w:before="0" w:beforeAutospacing="0" w:after="200" w:afterAutospacing="0" w:line="276" w:lineRule="auto"/>
      </w:pPr>
      <w:r>
        <w:t>Despite the current arrangements for Telstra to provide priority assistance</w:t>
      </w:r>
      <w:r w:rsidR="00564077">
        <w:t xml:space="preserve"> within 24 hours for urban customers and within 48 for non-urban customers there are </w:t>
      </w:r>
      <w:r w:rsidR="0039633D">
        <w:t xml:space="preserve">significant numbers of </w:t>
      </w:r>
      <w:r w:rsidR="00564077">
        <w:t xml:space="preserve">cases where assistance takes longer. </w:t>
      </w:r>
      <w:r w:rsidR="0039633D">
        <w:t>The tables below show the proportion and volume of cases where Telstra misses the timeframes under its priority assistance policy.</w:t>
      </w:r>
    </w:p>
    <w:p w14:paraId="27F14791" w14:textId="7416E5D9" w:rsidR="0069363A" w:rsidRPr="004C1802" w:rsidRDefault="0069363A" w:rsidP="004C1802">
      <w:pPr>
        <w:keepNext/>
        <w:keepLines/>
        <w:spacing w:before="0" w:beforeAutospacing="0" w:after="0" w:afterAutospacing="0"/>
        <w:rPr>
          <w:b/>
        </w:rPr>
      </w:pPr>
      <w:r w:rsidRPr="004C1802">
        <w:rPr>
          <w:b/>
        </w:rPr>
        <w:lastRenderedPageBreak/>
        <w:t xml:space="preserve">Table 5: </w:t>
      </w:r>
      <w:r w:rsidR="004C1802">
        <w:rPr>
          <w:b/>
        </w:rPr>
        <w:t xml:space="preserve">Estimated </w:t>
      </w:r>
      <w:r w:rsidRPr="004C1802">
        <w:rPr>
          <w:b/>
        </w:rPr>
        <w:t>Telstra priority assistance connection requests not completed on time</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69363A" w14:paraId="54D343FC" w14:textId="77777777" w:rsidTr="0091371B">
        <w:tc>
          <w:tcPr>
            <w:tcW w:w="1026" w:type="dxa"/>
            <w:vAlign w:val="bottom"/>
          </w:tcPr>
          <w:p w14:paraId="1F6E727C" w14:textId="6B5DA941" w:rsidR="0069363A" w:rsidRDefault="0069363A" w:rsidP="004C1802">
            <w:pPr>
              <w:keepNext/>
              <w:keepLines/>
              <w:spacing w:before="0" w:beforeAutospacing="0" w:after="0" w:afterAutospacing="0"/>
            </w:pPr>
            <w:r>
              <w:rPr>
                <w:rFonts w:cs="Calibri"/>
                <w:color w:val="000000"/>
              </w:rPr>
              <w:t> </w:t>
            </w:r>
          </w:p>
        </w:tc>
        <w:tc>
          <w:tcPr>
            <w:tcW w:w="2054" w:type="dxa"/>
            <w:gridSpan w:val="2"/>
            <w:vAlign w:val="bottom"/>
          </w:tcPr>
          <w:p w14:paraId="61712071" w14:textId="38C7680A" w:rsidR="0069363A" w:rsidRPr="004C1802" w:rsidRDefault="0069363A" w:rsidP="004C1802">
            <w:pPr>
              <w:keepNext/>
              <w:keepLines/>
              <w:spacing w:before="0" w:beforeAutospacing="0" w:after="0" w:afterAutospacing="0"/>
              <w:jc w:val="center"/>
              <w:rPr>
                <w:b/>
              </w:rPr>
            </w:pPr>
            <w:r w:rsidRPr="004C1802">
              <w:rPr>
                <w:rFonts w:cs="Calibri"/>
                <w:b/>
                <w:color w:val="000000"/>
              </w:rPr>
              <w:t>National</w:t>
            </w:r>
          </w:p>
        </w:tc>
        <w:tc>
          <w:tcPr>
            <w:tcW w:w="2054" w:type="dxa"/>
            <w:gridSpan w:val="2"/>
            <w:vAlign w:val="bottom"/>
          </w:tcPr>
          <w:p w14:paraId="4B9AD107" w14:textId="0B60C351" w:rsidR="0069363A" w:rsidRPr="004C1802" w:rsidRDefault="0069363A" w:rsidP="004C1802">
            <w:pPr>
              <w:keepNext/>
              <w:keepLines/>
              <w:spacing w:before="0" w:beforeAutospacing="0" w:after="0" w:afterAutospacing="0"/>
              <w:rPr>
                <w:b/>
              </w:rPr>
            </w:pPr>
            <w:r w:rsidRPr="004C1802">
              <w:rPr>
                <w:rFonts w:cs="Calibri"/>
                <w:b/>
                <w:color w:val="000000"/>
              </w:rPr>
              <w:t>Urban</w:t>
            </w:r>
          </w:p>
        </w:tc>
        <w:tc>
          <w:tcPr>
            <w:tcW w:w="2054" w:type="dxa"/>
            <w:gridSpan w:val="2"/>
            <w:vAlign w:val="bottom"/>
          </w:tcPr>
          <w:p w14:paraId="188018C2" w14:textId="57DEF4CF" w:rsidR="0069363A" w:rsidRPr="004C1802" w:rsidRDefault="0069363A" w:rsidP="004C1802">
            <w:pPr>
              <w:keepNext/>
              <w:keepLines/>
              <w:spacing w:before="0" w:beforeAutospacing="0" w:after="0" w:afterAutospacing="0"/>
              <w:jc w:val="center"/>
              <w:rPr>
                <w:b/>
              </w:rPr>
            </w:pPr>
            <w:r w:rsidRPr="004C1802">
              <w:rPr>
                <w:rFonts w:cs="Calibri"/>
                <w:b/>
                <w:color w:val="000000"/>
              </w:rPr>
              <w:t>Rural</w:t>
            </w:r>
          </w:p>
        </w:tc>
        <w:tc>
          <w:tcPr>
            <w:tcW w:w="2054" w:type="dxa"/>
            <w:gridSpan w:val="2"/>
            <w:vAlign w:val="bottom"/>
          </w:tcPr>
          <w:p w14:paraId="637684D8" w14:textId="22CC596D" w:rsidR="0069363A" w:rsidRPr="004C1802" w:rsidRDefault="0069363A" w:rsidP="004C1802">
            <w:pPr>
              <w:keepNext/>
              <w:keepLines/>
              <w:spacing w:before="0" w:beforeAutospacing="0" w:after="0" w:afterAutospacing="0"/>
              <w:jc w:val="center"/>
              <w:rPr>
                <w:b/>
              </w:rPr>
            </w:pPr>
            <w:r w:rsidRPr="004C1802">
              <w:rPr>
                <w:rFonts w:cs="Calibri"/>
                <w:b/>
                <w:color w:val="000000"/>
              </w:rPr>
              <w:t>Remote</w:t>
            </w:r>
          </w:p>
        </w:tc>
      </w:tr>
      <w:tr w:rsidR="0069363A" w14:paraId="459C3220" w14:textId="77777777" w:rsidTr="004C1802">
        <w:tc>
          <w:tcPr>
            <w:tcW w:w="1026" w:type="dxa"/>
            <w:vAlign w:val="bottom"/>
          </w:tcPr>
          <w:p w14:paraId="47E3FB81" w14:textId="7EEE1FB5" w:rsidR="0069363A" w:rsidRDefault="0069363A" w:rsidP="004C1802">
            <w:pPr>
              <w:keepNext/>
              <w:keepLines/>
              <w:spacing w:before="0" w:beforeAutospacing="0" w:after="0" w:afterAutospacing="0"/>
            </w:pPr>
            <w:r>
              <w:rPr>
                <w:rFonts w:cs="Calibri"/>
                <w:color w:val="000000"/>
              </w:rPr>
              <w:t> </w:t>
            </w:r>
          </w:p>
        </w:tc>
        <w:tc>
          <w:tcPr>
            <w:tcW w:w="1027" w:type="dxa"/>
            <w:vAlign w:val="bottom"/>
          </w:tcPr>
          <w:p w14:paraId="10345F5B" w14:textId="10435B8B" w:rsidR="0069363A" w:rsidRPr="004C1802" w:rsidRDefault="0069363A" w:rsidP="004C1802">
            <w:pPr>
              <w:keepNext/>
              <w:keepLines/>
              <w:spacing w:before="0" w:beforeAutospacing="0" w:after="0" w:afterAutospacing="0"/>
              <w:jc w:val="center"/>
              <w:rPr>
                <w:b/>
              </w:rPr>
            </w:pPr>
            <w:r w:rsidRPr="004C1802">
              <w:rPr>
                <w:rFonts w:cs="Calibri"/>
                <w:b/>
                <w:color w:val="000000"/>
              </w:rPr>
              <w:t>%</w:t>
            </w:r>
          </w:p>
        </w:tc>
        <w:tc>
          <w:tcPr>
            <w:tcW w:w="1027" w:type="dxa"/>
            <w:vAlign w:val="bottom"/>
          </w:tcPr>
          <w:p w14:paraId="443AD138" w14:textId="031B8F7C" w:rsidR="0069363A" w:rsidRPr="004C1802" w:rsidRDefault="0069363A" w:rsidP="004C1802">
            <w:pPr>
              <w:keepNext/>
              <w:keepLines/>
              <w:spacing w:before="0" w:beforeAutospacing="0" w:after="0" w:afterAutospacing="0"/>
              <w:jc w:val="center"/>
              <w:rPr>
                <w:b/>
              </w:rPr>
            </w:pPr>
            <w:r w:rsidRPr="004C1802">
              <w:rPr>
                <w:rFonts w:cs="Calibri"/>
                <w:b/>
                <w:color w:val="000000"/>
              </w:rPr>
              <w:t>Volume</w:t>
            </w:r>
          </w:p>
        </w:tc>
        <w:tc>
          <w:tcPr>
            <w:tcW w:w="1027" w:type="dxa"/>
            <w:vAlign w:val="bottom"/>
          </w:tcPr>
          <w:p w14:paraId="1F791CCD" w14:textId="535C2D10" w:rsidR="0069363A" w:rsidRPr="004C1802" w:rsidRDefault="0069363A" w:rsidP="004C1802">
            <w:pPr>
              <w:keepNext/>
              <w:keepLines/>
              <w:spacing w:before="0" w:beforeAutospacing="0" w:after="0" w:afterAutospacing="0"/>
              <w:jc w:val="center"/>
              <w:rPr>
                <w:b/>
              </w:rPr>
            </w:pPr>
            <w:r w:rsidRPr="004C1802">
              <w:rPr>
                <w:rFonts w:cs="Calibri"/>
                <w:b/>
                <w:color w:val="000000"/>
              </w:rPr>
              <w:t>%</w:t>
            </w:r>
          </w:p>
        </w:tc>
        <w:tc>
          <w:tcPr>
            <w:tcW w:w="1027" w:type="dxa"/>
            <w:vAlign w:val="bottom"/>
          </w:tcPr>
          <w:p w14:paraId="04529495" w14:textId="12398E51" w:rsidR="0069363A" w:rsidRPr="004C1802" w:rsidRDefault="0069363A" w:rsidP="004C1802">
            <w:pPr>
              <w:keepNext/>
              <w:keepLines/>
              <w:spacing w:before="0" w:beforeAutospacing="0" w:after="0" w:afterAutospacing="0"/>
              <w:jc w:val="center"/>
              <w:rPr>
                <w:b/>
              </w:rPr>
            </w:pPr>
            <w:r w:rsidRPr="004C1802">
              <w:rPr>
                <w:rFonts w:cs="Calibri"/>
                <w:b/>
                <w:color w:val="000000"/>
              </w:rPr>
              <w:t>Volume</w:t>
            </w:r>
          </w:p>
        </w:tc>
        <w:tc>
          <w:tcPr>
            <w:tcW w:w="1027" w:type="dxa"/>
            <w:vAlign w:val="bottom"/>
          </w:tcPr>
          <w:p w14:paraId="6F1ABCC4" w14:textId="45157931" w:rsidR="0069363A" w:rsidRPr="004C1802" w:rsidRDefault="0069363A" w:rsidP="004C1802">
            <w:pPr>
              <w:keepNext/>
              <w:keepLines/>
              <w:spacing w:before="0" w:beforeAutospacing="0" w:after="0" w:afterAutospacing="0"/>
              <w:jc w:val="center"/>
              <w:rPr>
                <w:b/>
              </w:rPr>
            </w:pPr>
            <w:r w:rsidRPr="004C1802">
              <w:rPr>
                <w:rFonts w:cs="Calibri"/>
                <w:b/>
                <w:color w:val="000000"/>
              </w:rPr>
              <w:t>%</w:t>
            </w:r>
          </w:p>
        </w:tc>
        <w:tc>
          <w:tcPr>
            <w:tcW w:w="1027" w:type="dxa"/>
            <w:vAlign w:val="bottom"/>
          </w:tcPr>
          <w:p w14:paraId="6FC8A496" w14:textId="63D71661" w:rsidR="0069363A" w:rsidRPr="004C1802" w:rsidRDefault="0069363A" w:rsidP="004C1802">
            <w:pPr>
              <w:keepNext/>
              <w:keepLines/>
              <w:spacing w:before="0" w:beforeAutospacing="0" w:after="0" w:afterAutospacing="0"/>
              <w:jc w:val="center"/>
              <w:rPr>
                <w:b/>
              </w:rPr>
            </w:pPr>
            <w:r w:rsidRPr="004C1802">
              <w:rPr>
                <w:rFonts w:cs="Calibri"/>
                <w:b/>
                <w:color w:val="000000"/>
              </w:rPr>
              <w:t>Volume</w:t>
            </w:r>
          </w:p>
        </w:tc>
        <w:tc>
          <w:tcPr>
            <w:tcW w:w="1027" w:type="dxa"/>
            <w:vAlign w:val="bottom"/>
          </w:tcPr>
          <w:p w14:paraId="7F5EF238" w14:textId="4D826F50" w:rsidR="0069363A" w:rsidRPr="004C1802" w:rsidRDefault="0069363A" w:rsidP="004C1802">
            <w:pPr>
              <w:keepNext/>
              <w:keepLines/>
              <w:spacing w:before="0" w:beforeAutospacing="0" w:after="0" w:afterAutospacing="0"/>
              <w:jc w:val="center"/>
              <w:rPr>
                <w:b/>
              </w:rPr>
            </w:pPr>
            <w:r w:rsidRPr="004C1802">
              <w:rPr>
                <w:rFonts w:cs="Calibri"/>
                <w:b/>
                <w:color w:val="000000"/>
              </w:rPr>
              <w:t>%</w:t>
            </w:r>
          </w:p>
        </w:tc>
        <w:tc>
          <w:tcPr>
            <w:tcW w:w="1027" w:type="dxa"/>
            <w:vAlign w:val="bottom"/>
          </w:tcPr>
          <w:p w14:paraId="787F458D" w14:textId="1FF5355E" w:rsidR="0069363A" w:rsidRPr="004C1802" w:rsidRDefault="0069363A" w:rsidP="004C1802">
            <w:pPr>
              <w:keepNext/>
              <w:keepLines/>
              <w:spacing w:before="0" w:beforeAutospacing="0" w:after="0" w:afterAutospacing="0"/>
              <w:jc w:val="center"/>
              <w:rPr>
                <w:b/>
              </w:rPr>
            </w:pPr>
            <w:r w:rsidRPr="004C1802">
              <w:rPr>
                <w:rFonts w:cs="Calibri"/>
                <w:b/>
                <w:color w:val="000000"/>
              </w:rPr>
              <w:t>Volume</w:t>
            </w:r>
          </w:p>
        </w:tc>
      </w:tr>
      <w:tr w:rsidR="001C370E" w14:paraId="16F8B05E" w14:textId="77777777" w:rsidTr="004C1802">
        <w:tc>
          <w:tcPr>
            <w:tcW w:w="1026" w:type="dxa"/>
            <w:vAlign w:val="bottom"/>
          </w:tcPr>
          <w:p w14:paraId="143BD1DD" w14:textId="1D0D20CE" w:rsidR="001C370E" w:rsidRPr="004C1802" w:rsidRDefault="001C370E" w:rsidP="004C1802">
            <w:pPr>
              <w:keepNext/>
              <w:keepLines/>
              <w:spacing w:before="0" w:beforeAutospacing="0" w:after="0" w:afterAutospacing="0"/>
              <w:rPr>
                <w:b/>
              </w:rPr>
            </w:pPr>
            <w:r w:rsidRPr="004C1802">
              <w:rPr>
                <w:rFonts w:cs="Calibri"/>
                <w:b/>
                <w:color w:val="000000"/>
              </w:rPr>
              <w:t>2012-13</w:t>
            </w:r>
          </w:p>
        </w:tc>
        <w:tc>
          <w:tcPr>
            <w:tcW w:w="1027" w:type="dxa"/>
            <w:vAlign w:val="bottom"/>
          </w:tcPr>
          <w:p w14:paraId="55EED5C3" w14:textId="4BB1E449" w:rsidR="001C370E" w:rsidRDefault="001C370E" w:rsidP="004C1802">
            <w:pPr>
              <w:keepNext/>
              <w:keepLines/>
              <w:spacing w:before="0" w:beforeAutospacing="0" w:after="0" w:afterAutospacing="0"/>
              <w:jc w:val="center"/>
            </w:pPr>
            <w:r>
              <w:rPr>
                <w:rFonts w:cs="Calibri"/>
                <w:color w:val="000000"/>
              </w:rPr>
              <w:t>7.1</w:t>
            </w:r>
          </w:p>
        </w:tc>
        <w:tc>
          <w:tcPr>
            <w:tcW w:w="1027" w:type="dxa"/>
            <w:vAlign w:val="bottom"/>
          </w:tcPr>
          <w:p w14:paraId="468B88CF" w14:textId="5BCC14CE" w:rsidR="001C370E" w:rsidRDefault="001C370E" w:rsidP="004C1802">
            <w:pPr>
              <w:keepNext/>
              <w:keepLines/>
              <w:spacing w:before="0" w:beforeAutospacing="0" w:after="0" w:afterAutospacing="0"/>
              <w:jc w:val="center"/>
            </w:pPr>
            <w:r>
              <w:rPr>
                <w:rFonts w:cs="Calibri"/>
                <w:color w:val="000000"/>
              </w:rPr>
              <w:t>3,263</w:t>
            </w:r>
          </w:p>
        </w:tc>
        <w:tc>
          <w:tcPr>
            <w:tcW w:w="1027" w:type="dxa"/>
            <w:vAlign w:val="bottom"/>
          </w:tcPr>
          <w:p w14:paraId="720C4769" w14:textId="25D90DAA" w:rsidR="001C370E" w:rsidRDefault="001C370E" w:rsidP="004C1802">
            <w:pPr>
              <w:keepNext/>
              <w:keepLines/>
              <w:spacing w:before="0" w:beforeAutospacing="0" w:after="0" w:afterAutospacing="0"/>
              <w:jc w:val="center"/>
            </w:pPr>
            <w:r>
              <w:rPr>
                <w:rFonts w:cs="Calibri"/>
                <w:color w:val="000000"/>
              </w:rPr>
              <w:t>7.1</w:t>
            </w:r>
          </w:p>
        </w:tc>
        <w:tc>
          <w:tcPr>
            <w:tcW w:w="1027" w:type="dxa"/>
            <w:vAlign w:val="bottom"/>
          </w:tcPr>
          <w:p w14:paraId="5C1C7BA8" w14:textId="4F88F0B9" w:rsidR="001C370E" w:rsidRDefault="001C370E" w:rsidP="004C1802">
            <w:pPr>
              <w:keepNext/>
              <w:keepLines/>
              <w:spacing w:before="0" w:beforeAutospacing="0" w:after="0" w:afterAutospacing="0"/>
              <w:jc w:val="center"/>
            </w:pPr>
            <w:r>
              <w:rPr>
                <w:rFonts w:cs="Calibri"/>
                <w:color w:val="000000"/>
              </w:rPr>
              <w:t>2,487</w:t>
            </w:r>
          </w:p>
        </w:tc>
        <w:tc>
          <w:tcPr>
            <w:tcW w:w="1027" w:type="dxa"/>
            <w:vAlign w:val="bottom"/>
          </w:tcPr>
          <w:p w14:paraId="4BC0C741" w14:textId="194A00EF" w:rsidR="001C370E" w:rsidRDefault="001C370E" w:rsidP="004C1802">
            <w:pPr>
              <w:keepNext/>
              <w:keepLines/>
              <w:spacing w:before="0" w:beforeAutospacing="0" w:after="0" w:afterAutospacing="0"/>
              <w:jc w:val="center"/>
            </w:pPr>
            <w:r>
              <w:rPr>
                <w:rFonts w:cs="Calibri"/>
                <w:color w:val="000000"/>
              </w:rPr>
              <w:t>7.1</w:t>
            </w:r>
          </w:p>
        </w:tc>
        <w:tc>
          <w:tcPr>
            <w:tcW w:w="1027" w:type="dxa"/>
            <w:vAlign w:val="bottom"/>
          </w:tcPr>
          <w:p w14:paraId="3DA8DFAE" w14:textId="2BAC982E" w:rsidR="001C370E" w:rsidRDefault="001C370E" w:rsidP="004C1802">
            <w:pPr>
              <w:keepNext/>
              <w:keepLines/>
              <w:spacing w:before="0" w:beforeAutospacing="0" w:after="0" w:afterAutospacing="0"/>
              <w:jc w:val="center"/>
            </w:pPr>
            <w:r>
              <w:rPr>
                <w:rFonts w:cs="Calibri"/>
                <w:color w:val="000000"/>
              </w:rPr>
              <w:t>756</w:t>
            </w:r>
          </w:p>
        </w:tc>
        <w:tc>
          <w:tcPr>
            <w:tcW w:w="1027" w:type="dxa"/>
            <w:vAlign w:val="bottom"/>
          </w:tcPr>
          <w:p w14:paraId="1299F29A" w14:textId="7EB04BB8" w:rsidR="001C370E" w:rsidRDefault="001C370E" w:rsidP="004C1802">
            <w:pPr>
              <w:keepNext/>
              <w:keepLines/>
              <w:spacing w:before="0" w:beforeAutospacing="0" w:after="0" w:afterAutospacing="0"/>
              <w:jc w:val="center"/>
            </w:pPr>
            <w:r>
              <w:rPr>
                <w:rFonts w:cs="Calibri"/>
                <w:color w:val="000000"/>
              </w:rPr>
              <w:t>10.9</w:t>
            </w:r>
          </w:p>
        </w:tc>
        <w:tc>
          <w:tcPr>
            <w:tcW w:w="1027" w:type="dxa"/>
            <w:vAlign w:val="bottom"/>
          </w:tcPr>
          <w:p w14:paraId="36FCB000" w14:textId="11A1BC8B" w:rsidR="001C370E" w:rsidRDefault="001C370E" w:rsidP="004C1802">
            <w:pPr>
              <w:keepNext/>
              <w:keepLines/>
              <w:spacing w:before="0" w:beforeAutospacing="0" w:after="0" w:afterAutospacing="0"/>
              <w:jc w:val="center"/>
            </w:pPr>
            <w:r>
              <w:rPr>
                <w:rFonts w:cs="Calibri"/>
                <w:color w:val="000000"/>
              </w:rPr>
              <w:t>34</w:t>
            </w:r>
          </w:p>
        </w:tc>
      </w:tr>
      <w:tr w:rsidR="001C370E" w14:paraId="6C074322" w14:textId="77777777" w:rsidTr="004C1802">
        <w:tc>
          <w:tcPr>
            <w:tcW w:w="1026" w:type="dxa"/>
            <w:vAlign w:val="bottom"/>
          </w:tcPr>
          <w:p w14:paraId="5D92BABF" w14:textId="1ECFF199" w:rsidR="001C370E" w:rsidRPr="004C1802" w:rsidRDefault="001C370E" w:rsidP="004C1802">
            <w:pPr>
              <w:keepNext/>
              <w:keepLines/>
              <w:spacing w:before="0" w:beforeAutospacing="0" w:after="0" w:afterAutospacing="0"/>
              <w:rPr>
                <w:b/>
              </w:rPr>
            </w:pPr>
            <w:r w:rsidRPr="004C1802">
              <w:rPr>
                <w:rFonts w:cs="Calibri"/>
                <w:b/>
                <w:color w:val="000000"/>
              </w:rPr>
              <w:t>2013-14</w:t>
            </w:r>
          </w:p>
        </w:tc>
        <w:tc>
          <w:tcPr>
            <w:tcW w:w="1027" w:type="dxa"/>
            <w:vAlign w:val="bottom"/>
          </w:tcPr>
          <w:p w14:paraId="61131EDB" w14:textId="75049FAF" w:rsidR="001C370E" w:rsidRDefault="001C370E" w:rsidP="004C1802">
            <w:pPr>
              <w:keepNext/>
              <w:keepLines/>
              <w:spacing w:before="0" w:beforeAutospacing="0" w:after="0" w:afterAutospacing="0"/>
              <w:jc w:val="center"/>
            </w:pPr>
            <w:r>
              <w:rPr>
                <w:rFonts w:cs="Calibri"/>
                <w:color w:val="000000"/>
              </w:rPr>
              <w:t>6.8</w:t>
            </w:r>
          </w:p>
        </w:tc>
        <w:tc>
          <w:tcPr>
            <w:tcW w:w="1027" w:type="dxa"/>
            <w:vAlign w:val="bottom"/>
          </w:tcPr>
          <w:p w14:paraId="35939FDC" w14:textId="36BBC644" w:rsidR="001C370E" w:rsidRDefault="001C370E" w:rsidP="004C1802">
            <w:pPr>
              <w:keepNext/>
              <w:keepLines/>
              <w:spacing w:before="0" w:beforeAutospacing="0" w:after="0" w:afterAutospacing="0"/>
              <w:jc w:val="center"/>
            </w:pPr>
            <w:r>
              <w:rPr>
                <w:rFonts w:cs="Calibri"/>
                <w:color w:val="000000"/>
              </w:rPr>
              <w:t>2,530</w:t>
            </w:r>
          </w:p>
        </w:tc>
        <w:tc>
          <w:tcPr>
            <w:tcW w:w="1027" w:type="dxa"/>
            <w:vAlign w:val="bottom"/>
          </w:tcPr>
          <w:p w14:paraId="7B688EC3" w14:textId="323422B2" w:rsidR="001C370E" w:rsidRDefault="001C370E" w:rsidP="004C1802">
            <w:pPr>
              <w:keepNext/>
              <w:keepLines/>
              <w:spacing w:before="0" w:beforeAutospacing="0" w:after="0" w:afterAutospacing="0"/>
              <w:jc w:val="center"/>
            </w:pPr>
            <w:r>
              <w:rPr>
                <w:rFonts w:cs="Calibri"/>
                <w:color w:val="000000"/>
              </w:rPr>
              <w:t>6.7</w:t>
            </w:r>
          </w:p>
        </w:tc>
        <w:tc>
          <w:tcPr>
            <w:tcW w:w="1027" w:type="dxa"/>
            <w:vAlign w:val="bottom"/>
          </w:tcPr>
          <w:p w14:paraId="7539D8DB" w14:textId="1AF5B739" w:rsidR="001C370E" w:rsidRDefault="001C370E" w:rsidP="004C1802">
            <w:pPr>
              <w:keepNext/>
              <w:keepLines/>
              <w:spacing w:before="0" w:beforeAutospacing="0" w:after="0" w:afterAutospacing="0"/>
              <w:jc w:val="center"/>
            </w:pPr>
            <w:r>
              <w:rPr>
                <w:rFonts w:cs="Calibri"/>
                <w:color w:val="000000"/>
              </w:rPr>
              <w:t>1,937</w:t>
            </w:r>
          </w:p>
        </w:tc>
        <w:tc>
          <w:tcPr>
            <w:tcW w:w="1027" w:type="dxa"/>
            <w:vAlign w:val="bottom"/>
          </w:tcPr>
          <w:p w14:paraId="474139BA" w14:textId="3423FBF7" w:rsidR="001C370E" w:rsidRDefault="001C370E" w:rsidP="004C1802">
            <w:pPr>
              <w:keepNext/>
              <w:keepLines/>
              <w:spacing w:before="0" w:beforeAutospacing="0" w:after="0" w:afterAutospacing="0"/>
              <w:jc w:val="center"/>
            </w:pPr>
            <w:r>
              <w:rPr>
                <w:rFonts w:cs="Calibri"/>
                <w:color w:val="000000"/>
              </w:rPr>
              <w:t>7.1</w:t>
            </w:r>
          </w:p>
        </w:tc>
        <w:tc>
          <w:tcPr>
            <w:tcW w:w="1027" w:type="dxa"/>
            <w:vAlign w:val="bottom"/>
          </w:tcPr>
          <w:p w14:paraId="2C506B44" w14:textId="2597D180" w:rsidR="001C370E" w:rsidRDefault="001C370E" w:rsidP="004C1802">
            <w:pPr>
              <w:keepNext/>
              <w:keepLines/>
              <w:spacing w:before="0" w:beforeAutospacing="0" w:after="0" w:afterAutospacing="0"/>
              <w:jc w:val="center"/>
            </w:pPr>
            <w:r>
              <w:rPr>
                <w:rFonts w:cs="Calibri"/>
                <w:color w:val="000000"/>
              </w:rPr>
              <w:t>571</w:t>
            </w:r>
          </w:p>
        </w:tc>
        <w:tc>
          <w:tcPr>
            <w:tcW w:w="1027" w:type="dxa"/>
            <w:vAlign w:val="bottom"/>
          </w:tcPr>
          <w:p w14:paraId="242FC940" w14:textId="3EC343E8" w:rsidR="001C370E" w:rsidRDefault="001C370E" w:rsidP="004C1802">
            <w:pPr>
              <w:keepNext/>
              <w:keepLines/>
              <w:spacing w:before="0" w:beforeAutospacing="0" w:after="0" w:afterAutospacing="0"/>
              <w:jc w:val="center"/>
            </w:pPr>
            <w:r>
              <w:rPr>
                <w:rFonts w:cs="Calibri"/>
                <w:color w:val="000000"/>
              </w:rPr>
              <w:t>11.2</w:t>
            </w:r>
          </w:p>
        </w:tc>
        <w:tc>
          <w:tcPr>
            <w:tcW w:w="1027" w:type="dxa"/>
            <w:vAlign w:val="bottom"/>
          </w:tcPr>
          <w:p w14:paraId="584862E8" w14:textId="7B788255" w:rsidR="001C370E" w:rsidRDefault="001C370E" w:rsidP="004C1802">
            <w:pPr>
              <w:keepNext/>
              <w:keepLines/>
              <w:spacing w:before="0" w:beforeAutospacing="0" w:after="0" w:afterAutospacing="0"/>
              <w:jc w:val="center"/>
            </w:pPr>
            <w:r>
              <w:rPr>
                <w:rFonts w:cs="Calibri"/>
                <w:color w:val="000000"/>
              </w:rPr>
              <w:t>28</w:t>
            </w:r>
          </w:p>
        </w:tc>
      </w:tr>
      <w:tr w:rsidR="001C370E" w14:paraId="6DD0428B" w14:textId="77777777" w:rsidTr="004C1802">
        <w:tc>
          <w:tcPr>
            <w:tcW w:w="1026" w:type="dxa"/>
            <w:vAlign w:val="bottom"/>
          </w:tcPr>
          <w:p w14:paraId="6DA75BEC" w14:textId="64F507DE" w:rsidR="001C370E" w:rsidRPr="004C1802" w:rsidRDefault="001C370E" w:rsidP="004C1802">
            <w:pPr>
              <w:keepNext/>
              <w:keepLines/>
              <w:spacing w:before="0" w:beforeAutospacing="0" w:after="0" w:afterAutospacing="0"/>
              <w:rPr>
                <w:b/>
              </w:rPr>
            </w:pPr>
            <w:r w:rsidRPr="004C1802">
              <w:rPr>
                <w:rFonts w:cs="Calibri"/>
                <w:b/>
                <w:color w:val="000000"/>
              </w:rPr>
              <w:t>2014-15</w:t>
            </w:r>
          </w:p>
        </w:tc>
        <w:tc>
          <w:tcPr>
            <w:tcW w:w="1027" w:type="dxa"/>
            <w:vAlign w:val="bottom"/>
          </w:tcPr>
          <w:p w14:paraId="487E4E37" w14:textId="2D578F12" w:rsidR="001C370E" w:rsidRDefault="001C370E" w:rsidP="004C1802">
            <w:pPr>
              <w:keepNext/>
              <w:keepLines/>
              <w:spacing w:before="0" w:beforeAutospacing="0" w:after="0" w:afterAutospacing="0"/>
              <w:jc w:val="center"/>
            </w:pPr>
            <w:r>
              <w:rPr>
                <w:rFonts w:cs="Calibri"/>
                <w:color w:val="000000"/>
              </w:rPr>
              <w:t>7.6</w:t>
            </w:r>
          </w:p>
        </w:tc>
        <w:tc>
          <w:tcPr>
            <w:tcW w:w="1027" w:type="dxa"/>
            <w:vAlign w:val="bottom"/>
          </w:tcPr>
          <w:p w14:paraId="308B79F6" w14:textId="29D94C15" w:rsidR="001C370E" w:rsidRDefault="001C370E" w:rsidP="004C1802">
            <w:pPr>
              <w:keepNext/>
              <w:keepLines/>
              <w:spacing w:before="0" w:beforeAutospacing="0" w:after="0" w:afterAutospacing="0"/>
              <w:jc w:val="center"/>
            </w:pPr>
            <w:r>
              <w:rPr>
                <w:rFonts w:cs="Calibri"/>
                <w:color w:val="000000"/>
              </w:rPr>
              <w:t>2,812</w:t>
            </w:r>
          </w:p>
        </w:tc>
        <w:tc>
          <w:tcPr>
            <w:tcW w:w="1027" w:type="dxa"/>
            <w:vAlign w:val="bottom"/>
          </w:tcPr>
          <w:p w14:paraId="71D28E02" w14:textId="48B2A81B" w:rsidR="001C370E" w:rsidRDefault="001C370E" w:rsidP="004C1802">
            <w:pPr>
              <w:keepNext/>
              <w:keepLines/>
              <w:spacing w:before="0" w:beforeAutospacing="0" w:after="0" w:afterAutospacing="0"/>
              <w:jc w:val="center"/>
            </w:pPr>
            <w:r>
              <w:rPr>
                <w:rFonts w:cs="Calibri"/>
                <w:color w:val="000000"/>
              </w:rPr>
              <w:t>7.7</w:t>
            </w:r>
          </w:p>
        </w:tc>
        <w:tc>
          <w:tcPr>
            <w:tcW w:w="1027" w:type="dxa"/>
            <w:vAlign w:val="bottom"/>
          </w:tcPr>
          <w:p w14:paraId="359ED30C" w14:textId="46E7D035" w:rsidR="001C370E" w:rsidRDefault="001C370E" w:rsidP="004C1802">
            <w:pPr>
              <w:keepNext/>
              <w:keepLines/>
              <w:spacing w:before="0" w:beforeAutospacing="0" w:after="0" w:afterAutospacing="0"/>
              <w:jc w:val="center"/>
            </w:pPr>
            <w:r>
              <w:rPr>
                <w:rFonts w:cs="Calibri"/>
                <w:color w:val="000000"/>
              </w:rPr>
              <w:t>2,210</w:t>
            </w:r>
          </w:p>
        </w:tc>
        <w:tc>
          <w:tcPr>
            <w:tcW w:w="1027" w:type="dxa"/>
            <w:vAlign w:val="bottom"/>
          </w:tcPr>
          <w:p w14:paraId="291331A0" w14:textId="06E569D2" w:rsidR="001C370E" w:rsidRDefault="001C370E" w:rsidP="004C1802">
            <w:pPr>
              <w:keepNext/>
              <w:keepLines/>
              <w:spacing w:before="0" w:beforeAutospacing="0" w:after="0" w:afterAutospacing="0"/>
              <w:jc w:val="center"/>
            </w:pPr>
            <w:r>
              <w:rPr>
                <w:rFonts w:cs="Calibri"/>
                <w:color w:val="000000"/>
              </w:rPr>
              <w:t>7.4</w:t>
            </w:r>
          </w:p>
        </w:tc>
        <w:tc>
          <w:tcPr>
            <w:tcW w:w="1027" w:type="dxa"/>
            <w:vAlign w:val="bottom"/>
          </w:tcPr>
          <w:p w14:paraId="60639ECA" w14:textId="261CF952" w:rsidR="001C370E" w:rsidRDefault="001C370E" w:rsidP="004C1802">
            <w:pPr>
              <w:keepNext/>
              <w:keepLines/>
              <w:spacing w:before="0" w:beforeAutospacing="0" w:after="0" w:afterAutospacing="0"/>
              <w:jc w:val="center"/>
            </w:pPr>
            <w:r>
              <w:rPr>
                <w:rFonts w:cs="Calibri"/>
                <w:color w:val="000000"/>
              </w:rPr>
              <w:t>600</w:t>
            </w:r>
          </w:p>
        </w:tc>
        <w:tc>
          <w:tcPr>
            <w:tcW w:w="1027" w:type="dxa"/>
            <w:vAlign w:val="bottom"/>
          </w:tcPr>
          <w:p w14:paraId="68CF9927" w14:textId="41F9B91B" w:rsidR="001C370E" w:rsidRDefault="001C370E" w:rsidP="004C1802">
            <w:pPr>
              <w:keepNext/>
              <w:keepLines/>
              <w:spacing w:before="0" w:beforeAutospacing="0" w:after="0" w:afterAutospacing="0"/>
              <w:jc w:val="center"/>
            </w:pPr>
            <w:r>
              <w:rPr>
                <w:rFonts w:cs="Calibri"/>
                <w:color w:val="000000"/>
              </w:rPr>
              <w:t>6.9</w:t>
            </w:r>
          </w:p>
        </w:tc>
        <w:tc>
          <w:tcPr>
            <w:tcW w:w="1027" w:type="dxa"/>
            <w:vAlign w:val="bottom"/>
          </w:tcPr>
          <w:p w14:paraId="7F334AFA" w14:textId="23D44524" w:rsidR="001C370E" w:rsidRDefault="001C370E" w:rsidP="004C1802">
            <w:pPr>
              <w:keepNext/>
              <w:keepLines/>
              <w:spacing w:before="0" w:beforeAutospacing="0" w:after="0" w:afterAutospacing="0"/>
              <w:jc w:val="center"/>
            </w:pPr>
            <w:r>
              <w:rPr>
                <w:rFonts w:cs="Calibri"/>
                <w:color w:val="000000"/>
              </w:rPr>
              <w:t>13</w:t>
            </w:r>
          </w:p>
        </w:tc>
      </w:tr>
      <w:tr w:rsidR="001C370E" w14:paraId="6C3BFF00" w14:textId="77777777" w:rsidTr="004C1802">
        <w:tc>
          <w:tcPr>
            <w:tcW w:w="1026" w:type="dxa"/>
            <w:vAlign w:val="bottom"/>
          </w:tcPr>
          <w:p w14:paraId="6995B3B9" w14:textId="7F3E33E3" w:rsidR="001C370E" w:rsidRPr="004C1802" w:rsidRDefault="001C370E" w:rsidP="004C1802">
            <w:pPr>
              <w:keepNext/>
              <w:keepLines/>
              <w:spacing w:before="0" w:beforeAutospacing="0" w:after="0" w:afterAutospacing="0"/>
              <w:rPr>
                <w:b/>
              </w:rPr>
            </w:pPr>
            <w:r w:rsidRPr="004C1802">
              <w:rPr>
                <w:rFonts w:cs="Calibri"/>
                <w:b/>
                <w:color w:val="000000"/>
              </w:rPr>
              <w:t>2015-16</w:t>
            </w:r>
          </w:p>
        </w:tc>
        <w:tc>
          <w:tcPr>
            <w:tcW w:w="1027" w:type="dxa"/>
            <w:vAlign w:val="bottom"/>
          </w:tcPr>
          <w:p w14:paraId="2F1CA955" w14:textId="795D9F04" w:rsidR="001C370E" w:rsidRDefault="001C370E" w:rsidP="004C1802">
            <w:pPr>
              <w:keepNext/>
              <w:keepLines/>
              <w:spacing w:before="0" w:beforeAutospacing="0" w:after="0" w:afterAutospacing="0"/>
              <w:jc w:val="center"/>
            </w:pPr>
            <w:r>
              <w:rPr>
                <w:rFonts w:cs="Calibri"/>
                <w:color w:val="000000"/>
              </w:rPr>
              <w:t>9.2</w:t>
            </w:r>
          </w:p>
        </w:tc>
        <w:tc>
          <w:tcPr>
            <w:tcW w:w="1027" w:type="dxa"/>
            <w:vAlign w:val="bottom"/>
          </w:tcPr>
          <w:p w14:paraId="7998F5A5" w14:textId="7A952E86" w:rsidR="001C370E" w:rsidRDefault="001C370E" w:rsidP="004C1802">
            <w:pPr>
              <w:keepNext/>
              <w:keepLines/>
              <w:spacing w:before="0" w:beforeAutospacing="0" w:after="0" w:afterAutospacing="0"/>
              <w:jc w:val="center"/>
            </w:pPr>
            <w:r>
              <w:rPr>
                <w:rFonts w:cs="Calibri"/>
                <w:color w:val="000000"/>
              </w:rPr>
              <w:t>4,197</w:t>
            </w:r>
          </w:p>
        </w:tc>
        <w:tc>
          <w:tcPr>
            <w:tcW w:w="1027" w:type="dxa"/>
            <w:vAlign w:val="bottom"/>
          </w:tcPr>
          <w:p w14:paraId="7C14BDFD" w14:textId="11C982B8" w:rsidR="001C370E" w:rsidRDefault="001C370E" w:rsidP="004C1802">
            <w:pPr>
              <w:keepNext/>
              <w:keepLines/>
              <w:spacing w:before="0" w:beforeAutospacing="0" w:after="0" w:afterAutospacing="0"/>
              <w:jc w:val="center"/>
            </w:pPr>
            <w:r>
              <w:rPr>
                <w:rFonts w:cs="Calibri"/>
                <w:color w:val="000000"/>
              </w:rPr>
              <w:t>9.8</w:t>
            </w:r>
          </w:p>
        </w:tc>
        <w:tc>
          <w:tcPr>
            <w:tcW w:w="1027" w:type="dxa"/>
            <w:vAlign w:val="bottom"/>
          </w:tcPr>
          <w:p w14:paraId="42C98746" w14:textId="2DA8B774" w:rsidR="001C370E" w:rsidRDefault="001C370E" w:rsidP="004C1802">
            <w:pPr>
              <w:keepNext/>
              <w:keepLines/>
              <w:spacing w:before="0" w:beforeAutospacing="0" w:after="0" w:afterAutospacing="0"/>
              <w:jc w:val="center"/>
            </w:pPr>
            <w:r>
              <w:rPr>
                <w:rFonts w:cs="Calibri"/>
                <w:color w:val="000000"/>
              </w:rPr>
              <w:t>3,476</w:t>
            </w:r>
          </w:p>
        </w:tc>
        <w:tc>
          <w:tcPr>
            <w:tcW w:w="1027" w:type="dxa"/>
            <w:vAlign w:val="bottom"/>
          </w:tcPr>
          <w:p w14:paraId="485765B7" w14:textId="618E635B" w:rsidR="001C370E" w:rsidRDefault="001C370E" w:rsidP="004C1802">
            <w:pPr>
              <w:keepNext/>
              <w:keepLines/>
              <w:spacing w:before="0" w:beforeAutospacing="0" w:after="0" w:afterAutospacing="0"/>
              <w:jc w:val="center"/>
            </w:pPr>
            <w:r>
              <w:rPr>
                <w:rFonts w:cs="Calibri"/>
                <w:color w:val="000000"/>
              </w:rPr>
              <w:t>7.2</w:t>
            </w:r>
          </w:p>
        </w:tc>
        <w:tc>
          <w:tcPr>
            <w:tcW w:w="1027" w:type="dxa"/>
            <w:vAlign w:val="bottom"/>
          </w:tcPr>
          <w:p w14:paraId="5BE5FCCA" w14:textId="7B016338" w:rsidR="001C370E" w:rsidRDefault="001C370E" w:rsidP="004C1802">
            <w:pPr>
              <w:keepNext/>
              <w:keepLines/>
              <w:spacing w:before="0" w:beforeAutospacing="0" w:after="0" w:afterAutospacing="0"/>
              <w:jc w:val="center"/>
            </w:pPr>
            <w:r>
              <w:rPr>
                <w:rFonts w:cs="Calibri"/>
                <w:color w:val="000000"/>
              </w:rPr>
              <w:t>716</w:t>
            </w:r>
          </w:p>
        </w:tc>
        <w:tc>
          <w:tcPr>
            <w:tcW w:w="1027" w:type="dxa"/>
            <w:vAlign w:val="bottom"/>
          </w:tcPr>
          <w:p w14:paraId="211FAD06" w14:textId="13A835BC" w:rsidR="001C370E" w:rsidRDefault="001C370E" w:rsidP="004C1802">
            <w:pPr>
              <w:keepNext/>
              <w:keepLines/>
              <w:spacing w:before="0" w:beforeAutospacing="0" w:after="0" w:afterAutospacing="0"/>
              <w:jc w:val="center"/>
            </w:pPr>
            <w:r>
              <w:rPr>
                <w:rFonts w:cs="Calibri"/>
                <w:color w:val="000000"/>
              </w:rPr>
              <w:t>10.1</w:t>
            </w:r>
          </w:p>
        </w:tc>
        <w:tc>
          <w:tcPr>
            <w:tcW w:w="1027" w:type="dxa"/>
            <w:vAlign w:val="bottom"/>
          </w:tcPr>
          <w:p w14:paraId="573D7846" w14:textId="32926623" w:rsidR="001C370E" w:rsidRDefault="001C370E" w:rsidP="004C1802">
            <w:pPr>
              <w:keepNext/>
              <w:keepLines/>
              <w:spacing w:before="0" w:beforeAutospacing="0" w:after="0" w:afterAutospacing="0"/>
              <w:jc w:val="center"/>
            </w:pPr>
            <w:r>
              <w:rPr>
                <w:rFonts w:cs="Calibri"/>
                <w:color w:val="000000"/>
              </w:rPr>
              <w:t>20</w:t>
            </w:r>
          </w:p>
        </w:tc>
      </w:tr>
      <w:tr w:rsidR="001C370E" w14:paraId="79D43355" w14:textId="77777777" w:rsidTr="004C1802">
        <w:tc>
          <w:tcPr>
            <w:tcW w:w="1026" w:type="dxa"/>
            <w:vAlign w:val="bottom"/>
          </w:tcPr>
          <w:p w14:paraId="54B2A094" w14:textId="7AE6B6B2" w:rsidR="001C370E" w:rsidRPr="004C1802" w:rsidRDefault="001C370E" w:rsidP="004C1802">
            <w:pPr>
              <w:keepNext/>
              <w:keepLines/>
              <w:spacing w:before="0" w:beforeAutospacing="0" w:after="0" w:afterAutospacing="0"/>
              <w:rPr>
                <w:b/>
              </w:rPr>
            </w:pPr>
            <w:r w:rsidRPr="004C1802">
              <w:rPr>
                <w:rFonts w:cs="Calibri"/>
                <w:b/>
                <w:color w:val="000000"/>
              </w:rPr>
              <w:t>2016-17</w:t>
            </w:r>
          </w:p>
        </w:tc>
        <w:tc>
          <w:tcPr>
            <w:tcW w:w="1027" w:type="dxa"/>
            <w:vAlign w:val="bottom"/>
          </w:tcPr>
          <w:p w14:paraId="63C73816" w14:textId="04F7E217" w:rsidR="001C370E" w:rsidRDefault="001C370E" w:rsidP="004C1802">
            <w:pPr>
              <w:keepNext/>
              <w:keepLines/>
              <w:spacing w:before="0" w:beforeAutospacing="0" w:after="0" w:afterAutospacing="0"/>
              <w:jc w:val="center"/>
            </w:pPr>
            <w:r>
              <w:rPr>
                <w:rFonts w:cs="Calibri"/>
                <w:color w:val="000000"/>
              </w:rPr>
              <w:t>8.8</w:t>
            </w:r>
          </w:p>
        </w:tc>
        <w:tc>
          <w:tcPr>
            <w:tcW w:w="1027" w:type="dxa"/>
            <w:vAlign w:val="bottom"/>
          </w:tcPr>
          <w:p w14:paraId="6CBF9A87" w14:textId="5A3C747C" w:rsidR="001C370E" w:rsidRDefault="001C370E" w:rsidP="004C1802">
            <w:pPr>
              <w:keepNext/>
              <w:keepLines/>
              <w:spacing w:before="0" w:beforeAutospacing="0" w:after="0" w:afterAutospacing="0"/>
              <w:jc w:val="center"/>
            </w:pPr>
            <w:r>
              <w:rPr>
                <w:rFonts w:cs="Calibri"/>
                <w:color w:val="000000"/>
              </w:rPr>
              <w:t>3,820</w:t>
            </w:r>
          </w:p>
        </w:tc>
        <w:tc>
          <w:tcPr>
            <w:tcW w:w="1027" w:type="dxa"/>
            <w:vAlign w:val="bottom"/>
          </w:tcPr>
          <w:p w14:paraId="0D981486" w14:textId="26CF62BA" w:rsidR="001C370E" w:rsidRDefault="001C370E" w:rsidP="004C1802">
            <w:pPr>
              <w:keepNext/>
              <w:keepLines/>
              <w:spacing w:before="0" w:beforeAutospacing="0" w:after="0" w:afterAutospacing="0"/>
              <w:jc w:val="center"/>
            </w:pPr>
            <w:r>
              <w:rPr>
                <w:rFonts w:cs="Calibri"/>
                <w:color w:val="000000"/>
              </w:rPr>
              <w:t>8.8</w:t>
            </w:r>
          </w:p>
        </w:tc>
        <w:tc>
          <w:tcPr>
            <w:tcW w:w="1027" w:type="dxa"/>
            <w:vAlign w:val="bottom"/>
          </w:tcPr>
          <w:p w14:paraId="1E580650" w14:textId="31952DFB" w:rsidR="001C370E" w:rsidRDefault="001C370E" w:rsidP="004C1802">
            <w:pPr>
              <w:keepNext/>
              <w:keepLines/>
              <w:spacing w:before="0" w:beforeAutospacing="0" w:after="0" w:afterAutospacing="0"/>
              <w:jc w:val="center"/>
            </w:pPr>
            <w:r>
              <w:rPr>
                <w:rFonts w:cs="Calibri"/>
                <w:color w:val="000000"/>
              </w:rPr>
              <w:t>2,978</w:t>
            </w:r>
          </w:p>
        </w:tc>
        <w:tc>
          <w:tcPr>
            <w:tcW w:w="1027" w:type="dxa"/>
            <w:vAlign w:val="bottom"/>
          </w:tcPr>
          <w:p w14:paraId="31F6F64B" w14:textId="1A586B08" w:rsidR="001C370E" w:rsidRDefault="001C370E" w:rsidP="004C1802">
            <w:pPr>
              <w:keepNext/>
              <w:keepLines/>
              <w:spacing w:before="0" w:beforeAutospacing="0" w:after="0" w:afterAutospacing="0"/>
              <w:jc w:val="center"/>
            </w:pPr>
            <w:r>
              <w:rPr>
                <w:rFonts w:cs="Calibri"/>
                <w:color w:val="000000"/>
              </w:rPr>
              <w:t>8.7</w:t>
            </w:r>
          </w:p>
        </w:tc>
        <w:tc>
          <w:tcPr>
            <w:tcW w:w="1027" w:type="dxa"/>
            <w:vAlign w:val="bottom"/>
          </w:tcPr>
          <w:p w14:paraId="6A535CCE" w14:textId="4BE7C491" w:rsidR="001C370E" w:rsidRDefault="001C370E" w:rsidP="004C1802">
            <w:pPr>
              <w:keepNext/>
              <w:keepLines/>
              <w:spacing w:before="0" w:beforeAutospacing="0" w:after="0" w:afterAutospacing="0"/>
              <w:jc w:val="center"/>
            </w:pPr>
            <w:r>
              <w:rPr>
                <w:rFonts w:cs="Calibri"/>
                <w:color w:val="000000"/>
              </w:rPr>
              <w:t>818</w:t>
            </w:r>
          </w:p>
        </w:tc>
        <w:tc>
          <w:tcPr>
            <w:tcW w:w="1027" w:type="dxa"/>
            <w:vAlign w:val="bottom"/>
          </w:tcPr>
          <w:p w14:paraId="1B1C4891" w14:textId="070ADC03" w:rsidR="001C370E" w:rsidRDefault="001C370E" w:rsidP="004C1802">
            <w:pPr>
              <w:keepNext/>
              <w:keepLines/>
              <w:spacing w:before="0" w:beforeAutospacing="0" w:after="0" w:afterAutospacing="0"/>
              <w:jc w:val="center"/>
            </w:pPr>
            <w:r>
              <w:rPr>
                <w:rFonts w:cs="Calibri"/>
                <w:color w:val="000000"/>
              </w:rPr>
              <w:t>0.7</w:t>
            </w:r>
          </w:p>
        </w:tc>
        <w:tc>
          <w:tcPr>
            <w:tcW w:w="1027" w:type="dxa"/>
            <w:vAlign w:val="bottom"/>
          </w:tcPr>
          <w:p w14:paraId="2718B493" w14:textId="11F05CD1" w:rsidR="001C370E" w:rsidRDefault="001C370E" w:rsidP="004C1802">
            <w:pPr>
              <w:keepNext/>
              <w:keepLines/>
              <w:spacing w:before="0" w:beforeAutospacing="0" w:after="0" w:afterAutospacing="0"/>
              <w:jc w:val="center"/>
            </w:pPr>
            <w:r>
              <w:rPr>
                <w:rFonts w:cs="Calibri"/>
                <w:color w:val="000000"/>
              </w:rPr>
              <w:t>1</w:t>
            </w:r>
          </w:p>
        </w:tc>
      </w:tr>
    </w:tbl>
    <w:p w14:paraId="4112C182" w14:textId="6ACF78BC" w:rsidR="0069363A" w:rsidRDefault="0069363A" w:rsidP="004C1802">
      <w:pPr>
        <w:keepNext/>
        <w:keepLines/>
        <w:spacing w:before="0" w:beforeAutospacing="0" w:after="240" w:afterAutospacing="0"/>
      </w:pPr>
      <w:r>
        <w:t>Source: Calculated from ACMA Communications Report 2016/17</w:t>
      </w:r>
    </w:p>
    <w:p w14:paraId="26DFAC3C" w14:textId="2D7C9D4F" w:rsidR="0069363A" w:rsidRPr="00E60465" w:rsidRDefault="0069363A" w:rsidP="0069363A">
      <w:pPr>
        <w:keepNext/>
        <w:keepLines/>
        <w:spacing w:before="0" w:beforeAutospacing="0" w:after="0" w:afterAutospacing="0"/>
        <w:rPr>
          <w:b/>
        </w:rPr>
      </w:pPr>
      <w:r w:rsidRPr="00E60465">
        <w:rPr>
          <w:b/>
        </w:rPr>
        <w:t xml:space="preserve">Table </w:t>
      </w:r>
      <w:r>
        <w:rPr>
          <w:b/>
        </w:rPr>
        <w:t>6</w:t>
      </w:r>
      <w:r w:rsidRPr="00E60465">
        <w:rPr>
          <w:b/>
        </w:rPr>
        <w:t xml:space="preserve">: </w:t>
      </w:r>
      <w:r w:rsidR="004C1802">
        <w:rPr>
          <w:b/>
        </w:rPr>
        <w:t xml:space="preserve">Estimated </w:t>
      </w:r>
      <w:r w:rsidRPr="00E60465">
        <w:rPr>
          <w:b/>
        </w:rPr>
        <w:t xml:space="preserve">Telstra priority assistance </w:t>
      </w:r>
      <w:r>
        <w:rPr>
          <w:b/>
        </w:rPr>
        <w:t>fault repair</w:t>
      </w:r>
      <w:r w:rsidRPr="00E60465">
        <w:rPr>
          <w:b/>
        </w:rPr>
        <w:t xml:space="preserve"> requests not completed on time</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69363A" w14:paraId="501E6F26" w14:textId="77777777" w:rsidTr="0091371B">
        <w:tc>
          <w:tcPr>
            <w:tcW w:w="1026" w:type="dxa"/>
            <w:vAlign w:val="bottom"/>
          </w:tcPr>
          <w:p w14:paraId="6DDF3836" w14:textId="77777777" w:rsidR="0069363A" w:rsidRDefault="0069363A" w:rsidP="0091371B">
            <w:pPr>
              <w:keepNext/>
              <w:keepLines/>
              <w:spacing w:before="0" w:beforeAutospacing="0" w:after="0" w:afterAutospacing="0"/>
            </w:pPr>
            <w:r>
              <w:rPr>
                <w:rFonts w:cs="Calibri"/>
                <w:color w:val="000000"/>
              </w:rPr>
              <w:t> </w:t>
            </w:r>
          </w:p>
        </w:tc>
        <w:tc>
          <w:tcPr>
            <w:tcW w:w="2054" w:type="dxa"/>
            <w:gridSpan w:val="2"/>
            <w:vAlign w:val="bottom"/>
          </w:tcPr>
          <w:p w14:paraId="277C5539"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National</w:t>
            </w:r>
          </w:p>
        </w:tc>
        <w:tc>
          <w:tcPr>
            <w:tcW w:w="2054" w:type="dxa"/>
            <w:gridSpan w:val="2"/>
            <w:vAlign w:val="bottom"/>
          </w:tcPr>
          <w:p w14:paraId="67DE2ADF" w14:textId="77777777" w:rsidR="0069363A" w:rsidRPr="00E60465" w:rsidRDefault="0069363A" w:rsidP="0091371B">
            <w:pPr>
              <w:keepNext/>
              <w:keepLines/>
              <w:spacing w:before="0" w:beforeAutospacing="0" w:after="0" w:afterAutospacing="0"/>
              <w:rPr>
                <w:b/>
              </w:rPr>
            </w:pPr>
            <w:r w:rsidRPr="00E60465">
              <w:rPr>
                <w:rFonts w:cs="Calibri"/>
                <w:b/>
                <w:color w:val="000000"/>
              </w:rPr>
              <w:t>Urban</w:t>
            </w:r>
          </w:p>
        </w:tc>
        <w:tc>
          <w:tcPr>
            <w:tcW w:w="2054" w:type="dxa"/>
            <w:gridSpan w:val="2"/>
            <w:vAlign w:val="bottom"/>
          </w:tcPr>
          <w:p w14:paraId="511F8B92"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Rural</w:t>
            </w:r>
          </w:p>
        </w:tc>
        <w:tc>
          <w:tcPr>
            <w:tcW w:w="2054" w:type="dxa"/>
            <w:gridSpan w:val="2"/>
            <w:vAlign w:val="bottom"/>
          </w:tcPr>
          <w:p w14:paraId="423A42B8"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Remote</w:t>
            </w:r>
          </w:p>
        </w:tc>
      </w:tr>
      <w:tr w:rsidR="0069363A" w14:paraId="7325CF4E" w14:textId="77777777" w:rsidTr="0091371B">
        <w:tc>
          <w:tcPr>
            <w:tcW w:w="1026" w:type="dxa"/>
            <w:vAlign w:val="bottom"/>
          </w:tcPr>
          <w:p w14:paraId="3A9AEAA2" w14:textId="77777777" w:rsidR="0069363A" w:rsidRDefault="0069363A" w:rsidP="0091371B">
            <w:pPr>
              <w:keepNext/>
              <w:keepLines/>
              <w:spacing w:before="0" w:beforeAutospacing="0" w:after="0" w:afterAutospacing="0"/>
            </w:pPr>
            <w:r>
              <w:rPr>
                <w:rFonts w:cs="Calibri"/>
                <w:color w:val="000000"/>
              </w:rPr>
              <w:t> </w:t>
            </w:r>
          </w:p>
        </w:tc>
        <w:tc>
          <w:tcPr>
            <w:tcW w:w="1027" w:type="dxa"/>
            <w:vAlign w:val="bottom"/>
          </w:tcPr>
          <w:p w14:paraId="64281CEB"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w:t>
            </w:r>
          </w:p>
        </w:tc>
        <w:tc>
          <w:tcPr>
            <w:tcW w:w="1027" w:type="dxa"/>
            <w:vAlign w:val="bottom"/>
          </w:tcPr>
          <w:p w14:paraId="71EA5BEE"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Volume</w:t>
            </w:r>
          </w:p>
        </w:tc>
        <w:tc>
          <w:tcPr>
            <w:tcW w:w="1027" w:type="dxa"/>
            <w:vAlign w:val="bottom"/>
          </w:tcPr>
          <w:p w14:paraId="46D59D44"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w:t>
            </w:r>
          </w:p>
        </w:tc>
        <w:tc>
          <w:tcPr>
            <w:tcW w:w="1027" w:type="dxa"/>
            <w:vAlign w:val="bottom"/>
          </w:tcPr>
          <w:p w14:paraId="0BFF1173"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Volume</w:t>
            </w:r>
          </w:p>
        </w:tc>
        <w:tc>
          <w:tcPr>
            <w:tcW w:w="1027" w:type="dxa"/>
            <w:vAlign w:val="bottom"/>
          </w:tcPr>
          <w:p w14:paraId="534D10CA"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w:t>
            </w:r>
          </w:p>
        </w:tc>
        <w:tc>
          <w:tcPr>
            <w:tcW w:w="1027" w:type="dxa"/>
            <w:vAlign w:val="bottom"/>
          </w:tcPr>
          <w:p w14:paraId="4E89EF12"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Volume</w:t>
            </w:r>
          </w:p>
        </w:tc>
        <w:tc>
          <w:tcPr>
            <w:tcW w:w="1027" w:type="dxa"/>
            <w:vAlign w:val="bottom"/>
          </w:tcPr>
          <w:p w14:paraId="1CA56FA4"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w:t>
            </w:r>
          </w:p>
        </w:tc>
        <w:tc>
          <w:tcPr>
            <w:tcW w:w="1027" w:type="dxa"/>
            <w:vAlign w:val="bottom"/>
          </w:tcPr>
          <w:p w14:paraId="11B8A1D9" w14:textId="77777777" w:rsidR="0069363A" w:rsidRPr="00E60465" w:rsidRDefault="0069363A" w:rsidP="0091371B">
            <w:pPr>
              <w:keepNext/>
              <w:keepLines/>
              <w:spacing w:before="0" w:beforeAutospacing="0" w:after="0" w:afterAutospacing="0"/>
              <w:jc w:val="center"/>
              <w:rPr>
                <w:b/>
              </w:rPr>
            </w:pPr>
            <w:r w:rsidRPr="00E60465">
              <w:rPr>
                <w:rFonts w:cs="Calibri"/>
                <w:b/>
                <w:color w:val="000000"/>
              </w:rPr>
              <w:t>Volume</w:t>
            </w:r>
          </w:p>
        </w:tc>
      </w:tr>
      <w:tr w:rsidR="001C370E" w14:paraId="3D13302B" w14:textId="77777777" w:rsidTr="0091371B">
        <w:tc>
          <w:tcPr>
            <w:tcW w:w="1026" w:type="dxa"/>
            <w:vAlign w:val="bottom"/>
          </w:tcPr>
          <w:p w14:paraId="0C8EDC80" w14:textId="77777777" w:rsidR="001C370E" w:rsidRPr="00E60465" w:rsidRDefault="001C370E" w:rsidP="0091371B">
            <w:pPr>
              <w:keepNext/>
              <w:keepLines/>
              <w:spacing w:before="0" w:beforeAutospacing="0" w:after="0" w:afterAutospacing="0"/>
              <w:rPr>
                <w:b/>
              </w:rPr>
            </w:pPr>
            <w:r w:rsidRPr="00E60465">
              <w:rPr>
                <w:rFonts w:cs="Calibri"/>
                <w:b/>
                <w:color w:val="000000"/>
              </w:rPr>
              <w:t>2012-13</w:t>
            </w:r>
          </w:p>
        </w:tc>
        <w:tc>
          <w:tcPr>
            <w:tcW w:w="1027" w:type="dxa"/>
            <w:vAlign w:val="bottom"/>
          </w:tcPr>
          <w:p w14:paraId="5FADC309" w14:textId="34471D98" w:rsidR="001C370E" w:rsidRDefault="001C370E" w:rsidP="0091371B">
            <w:pPr>
              <w:keepNext/>
              <w:keepLines/>
              <w:spacing w:before="0" w:beforeAutospacing="0" w:after="0" w:afterAutospacing="0"/>
              <w:jc w:val="center"/>
            </w:pPr>
            <w:r>
              <w:rPr>
                <w:rFonts w:cs="Calibri"/>
                <w:color w:val="000000"/>
              </w:rPr>
              <w:t>4.5</w:t>
            </w:r>
          </w:p>
        </w:tc>
        <w:tc>
          <w:tcPr>
            <w:tcW w:w="1027" w:type="dxa"/>
            <w:vAlign w:val="bottom"/>
          </w:tcPr>
          <w:p w14:paraId="28201460" w14:textId="6E0BCB4D" w:rsidR="001C370E" w:rsidRDefault="001C370E" w:rsidP="0091371B">
            <w:pPr>
              <w:keepNext/>
              <w:keepLines/>
              <w:spacing w:before="0" w:beforeAutospacing="0" w:after="0" w:afterAutospacing="0"/>
              <w:jc w:val="center"/>
            </w:pPr>
            <w:r>
              <w:rPr>
                <w:rFonts w:cs="Calibri"/>
                <w:color w:val="000000"/>
              </w:rPr>
              <w:t>7,321</w:t>
            </w:r>
          </w:p>
        </w:tc>
        <w:tc>
          <w:tcPr>
            <w:tcW w:w="1027" w:type="dxa"/>
            <w:vAlign w:val="bottom"/>
          </w:tcPr>
          <w:p w14:paraId="71BA7420" w14:textId="290B2FFA" w:rsidR="001C370E" w:rsidRDefault="001C370E" w:rsidP="0091371B">
            <w:pPr>
              <w:keepNext/>
              <w:keepLines/>
              <w:spacing w:before="0" w:beforeAutospacing="0" w:after="0" w:afterAutospacing="0"/>
              <w:jc w:val="center"/>
            </w:pPr>
            <w:r>
              <w:rPr>
                <w:rFonts w:cs="Calibri"/>
                <w:color w:val="000000"/>
              </w:rPr>
              <w:t>3.4</w:t>
            </w:r>
          </w:p>
        </w:tc>
        <w:tc>
          <w:tcPr>
            <w:tcW w:w="1027" w:type="dxa"/>
            <w:vAlign w:val="bottom"/>
          </w:tcPr>
          <w:p w14:paraId="1905D3E2" w14:textId="7FA00962" w:rsidR="001C370E" w:rsidRDefault="001C370E" w:rsidP="0091371B">
            <w:pPr>
              <w:keepNext/>
              <w:keepLines/>
              <w:spacing w:before="0" w:beforeAutospacing="0" w:after="0" w:afterAutospacing="0"/>
              <w:jc w:val="center"/>
            </w:pPr>
            <w:r>
              <w:rPr>
                <w:rFonts w:cs="Calibri"/>
                <w:color w:val="000000"/>
              </w:rPr>
              <w:t>4,041</w:t>
            </w:r>
          </w:p>
        </w:tc>
        <w:tc>
          <w:tcPr>
            <w:tcW w:w="1027" w:type="dxa"/>
            <w:vAlign w:val="bottom"/>
          </w:tcPr>
          <w:p w14:paraId="0F9E39EE" w14:textId="22CDF105" w:rsidR="001C370E" w:rsidRDefault="001C370E" w:rsidP="0091371B">
            <w:pPr>
              <w:keepNext/>
              <w:keepLines/>
              <w:spacing w:before="0" w:beforeAutospacing="0" w:after="0" w:afterAutospacing="0"/>
              <w:jc w:val="center"/>
            </w:pPr>
            <w:r>
              <w:rPr>
                <w:rFonts w:cs="Calibri"/>
                <w:color w:val="000000"/>
              </w:rPr>
              <w:t>7.7</w:t>
            </w:r>
          </w:p>
        </w:tc>
        <w:tc>
          <w:tcPr>
            <w:tcW w:w="1027" w:type="dxa"/>
            <w:vAlign w:val="bottom"/>
          </w:tcPr>
          <w:p w14:paraId="4421151C" w14:textId="1C2D691A" w:rsidR="001C370E" w:rsidRDefault="001C370E" w:rsidP="0091371B">
            <w:pPr>
              <w:keepNext/>
              <w:keepLines/>
              <w:spacing w:before="0" w:beforeAutospacing="0" w:after="0" w:afterAutospacing="0"/>
              <w:jc w:val="center"/>
            </w:pPr>
            <w:r>
              <w:rPr>
                <w:rFonts w:cs="Calibri"/>
                <w:color w:val="000000"/>
              </w:rPr>
              <w:t>3,341</w:t>
            </w:r>
          </w:p>
        </w:tc>
        <w:tc>
          <w:tcPr>
            <w:tcW w:w="1027" w:type="dxa"/>
            <w:vAlign w:val="bottom"/>
          </w:tcPr>
          <w:p w14:paraId="4433AF1C" w14:textId="64D6EE30" w:rsidR="001C370E" w:rsidRDefault="001C370E" w:rsidP="0091371B">
            <w:pPr>
              <w:keepNext/>
              <w:keepLines/>
              <w:spacing w:before="0" w:beforeAutospacing="0" w:after="0" w:afterAutospacing="0"/>
              <w:jc w:val="center"/>
            </w:pPr>
            <w:r>
              <w:rPr>
                <w:rFonts w:cs="Calibri"/>
                <w:color w:val="000000"/>
              </w:rPr>
              <w:t>8</w:t>
            </w:r>
          </w:p>
        </w:tc>
        <w:tc>
          <w:tcPr>
            <w:tcW w:w="1027" w:type="dxa"/>
            <w:vAlign w:val="bottom"/>
          </w:tcPr>
          <w:p w14:paraId="0DD19A25" w14:textId="5A5B113A" w:rsidR="001C370E" w:rsidRDefault="001C370E" w:rsidP="0091371B">
            <w:pPr>
              <w:keepNext/>
              <w:keepLines/>
              <w:spacing w:before="0" w:beforeAutospacing="0" w:after="0" w:afterAutospacing="0"/>
              <w:jc w:val="center"/>
            </w:pPr>
            <w:r>
              <w:rPr>
                <w:rFonts w:cs="Calibri"/>
                <w:color w:val="000000"/>
              </w:rPr>
              <w:t>44</w:t>
            </w:r>
          </w:p>
        </w:tc>
      </w:tr>
      <w:tr w:rsidR="001C370E" w14:paraId="217AD209" w14:textId="77777777" w:rsidTr="0091371B">
        <w:tc>
          <w:tcPr>
            <w:tcW w:w="1026" w:type="dxa"/>
            <w:vAlign w:val="bottom"/>
          </w:tcPr>
          <w:p w14:paraId="242BBA57" w14:textId="77777777" w:rsidR="001C370E" w:rsidRPr="00E60465" w:rsidRDefault="001C370E" w:rsidP="0091371B">
            <w:pPr>
              <w:keepNext/>
              <w:keepLines/>
              <w:spacing w:before="0" w:beforeAutospacing="0" w:after="0" w:afterAutospacing="0"/>
              <w:rPr>
                <w:b/>
              </w:rPr>
            </w:pPr>
            <w:r w:rsidRPr="00E60465">
              <w:rPr>
                <w:rFonts w:cs="Calibri"/>
                <w:b/>
                <w:color w:val="000000"/>
              </w:rPr>
              <w:t>2013-14</w:t>
            </w:r>
          </w:p>
        </w:tc>
        <w:tc>
          <w:tcPr>
            <w:tcW w:w="1027" w:type="dxa"/>
            <w:vAlign w:val="bottom"/>
          </w:tcPr>
          <w:p w14:paraId="3C98517B" w14:textId="02BCBE1A" w:rsidR="001C370E" w:rsidRDefault="001C370E" w:rsidP="0091371B">
            <w:pPr>
              <w:keepNext/>
              <w:keepLines/>
              <w:spacing w:before="0" w:beforeAutospacing="0" w:after="0" w:afterAutospacing="0"/>
              <w:jc w:val="center"/>
            </w:pPr>
            <w:r>
              <w:rPr>
                <w:rFonts w:cs="Calibri"/>
                <w:color w:val="000000"/>
              </w:rPr>
              <w:t>4.9</w:t>
            </w:r>
          </w:p>
        </w:tc>
        <w:tc>
          <w:tcPr>
            <w:tcW w:w="1027" w:type="dxa"/>
            <w:vAlign w:val="bottom"/>
          </w:tcPr>
          <w:p w14:paraId="3A7AA62A" w14:textId="277DD291" w:rsidR="001C370E" w:rsidRDefault="001C370E" w:rsidP="0091371B">
            <w:pPr>
              <w:keepNext/>
              <w:keepLines/>
              <w:spacing w:before="0" w:beforeAutospacing="0" w:after="0" w:afterAutospacing="0"/>
              <w:jc w:val="center"/>
            </w:pPr>
            <w:r>
              <w:rPr>
                <w:rFonts w:cs="Calibri"/>
                <w:color w:val="000000"/>
              </w:rPr>
              <w:t>6,005</w:t>
            </w:r>
          </w:p>
        </w:tc>
        <w:tc>
          <w:tcPr>
            <w:tcW w:w="1027" w:type="dxa"/>
            <w:vAlign w:val="bottom"/>
          </w:tcPr>
          <w:p w14:paraId="0E4561DE" w14:textId="280712F8" w:rsidR="001C370E" w:rsidRDefault="001C370E" w:rsidP="0091371B">
            <w:pPr>
              <w:keepNext/>
              <w:keepLines/>
              <w:spacing w:before="0" w:beforeAutospacing="0" w:after="0" w:afterAutospacing="0"/>
              <w:jc w:val="center"/>
            </w:pPr>
            <w:r>
              <w:rPr>
                <w:rFonts w:cs="Calibri"/>
                <w:color w:val="000000"/>
              </w:rPr>
              <w:t>3.9</w:t>
            </w:r>
          </w:p>
        </w:tc>
        <w:tc>
          <w:tcPr>
            <w:tcW w:w="1027" w:type="dxa"/>
            <w:vAlign w:val="bottom"/>
          </w:tcPr>
          <w:p w14:paraId="16C83580" w14:textId="7A8B53AD" w:rsidR="001C370E" w:rsidRDefault="001C370E" w:rsidP="0091371B">
            <w:pPr>
              <w:keepNext/>
              <w:keepLines/>
              <w:spacing w:before="0" w:beforeAutospacing="0" w:after="0" w:afterAutospacing="0"/>
              <w:jc w:val="center"/>
            </w:pPr>
            <w:r>
              <w:rPr>
                <w:rFonts w:cs="Calibri"/>
                <w:color w:val="000000"/>
              </w:rPr>
              <w:t>3,620</w:t>
            </w:r>
          </w:p>
        </w:tc>
        <w:tc>
          <w:tcPr>
            <w:tcW w:w="1027" w:type="dxa"/>
            <w:vAlign w:val="bottom"/>
          </w:tcPr>
          <w:p w14:paraId="19B93DA7" w14:textId="407C235A" w:rsidR="001C370E" w:rsidRDefault="001C370E" w:rsidP="0091371B">
            <w:pPr>
              <w:keepNext/>
              <w:keepLines/>
              <w:spacing w:before="0" w:beforeAutospacing="0" w:after="0" w:afterAutospacing="0"/>
              <w:jc w:val="center"/>
            </w:pPr>
            <w:r>
              <w:rPr>
                <w:rFonts w:cs="Calibri"/>
                <w:color w:val="000000"/>
              </w:rPr>
              <w:t>7.9</w:t>
            </w:r>
          </w:p>
        </w:tc>
        <w:tc>
          <w:tcPr>
            <w:tcW w:w="1027" w:type="dxa"/>
            <w:vAlign w:val="bottom"/>
          </w:tcPr>
          <w:p w14:paraId="727EF473" w14:textId="3F9CFFC3" w:rsidR="001C370E" w:rsidRDefault="001C370E" w:rsidP="0091371B">
            <w:pPr>
              <w:keepNext/>
              <w:keepLines/>
              <w:spacing w:before="0" w:beforeAutospacing="0" w:after="0" w:afterAutospacing="0"/>
              <w:jc w:val="center"/>
            </w:pPr>
            <w:r>
              <w:rPr>
                <w:rFonts w:cs="Calibri"/>
                <w:color w:val="000000"/>
              </w:rPr>
              <w:t>2,315</w:t>
            </w:r>
          </w:p>
        </w:tc>
        <w:tc>
          <w:tcPr>
            <w:tcW w:w="1027" w:type="dxa"/>
            <w:vAlign w:val="bottom"/>
          </w:tcPr>
          <w:p w14:paraId="0B74D63E" w14:textId="53F32243" w:rsidR="001C370E" w:rsidRDefault="001C370E" w:rsidP="0091371B">
            <w:pPr>
              <w:keepNext/>
              <w:keepLines/>
              <w:spacing w:before="0" w:beforeAutospacing="0" w:after="0" w:afterAutospacing="0"/>
              <w:jc w:val="center"/>
            </w:pPr>
            <w:r>
              <w:rPr>
                <w:rFonts w:cs="Calibri"/>
                <w:color w:val="000000"/>
              </w:rPr>
              <w:t>9.1</w:t>
            </w:r>
          </w:p>
        </w:tc>
        <w:tc>
          <w:tcPr>
            <w:tcW w:w="1027" w:type="dxa"/>
            <w:vAlign w:val="bottom"/>
          </w:tcPr>
          <w:p w14:paraId="1C4BC2BF" w14:textId="201F7DAE" w:rsidR="001C370E" w:rsidRDefault="001C370E" w:rsidP="0091371B">
            <w:pPr>
              <w:keepNext/>
              <w:keepLines/>
              <w:spacing w:before="0" w:beforeAutospacing="0" w:after="0" w:afterAutospacing="0"/>
              <w:jc w:val="center"/>
            </w:pPr>
            <w:r>
              <w:rPr>
                <w:rFonts w:cs="Calibri"/>
                <w:color w:val="000000"/>
              </w:rPr>
              <w:t>39</w:t>
            </w:r>
          </w:p>
        </w:tc>
      </w:tr>
      <w:tr w:rsidR="001C370E" w14:paraId="45CC7FCC" w14:textId="77777777" w:rsidTr="0091371B">
        <w:tc>
          <w:tcPr>
            <w:tcW w:w="1026" w:type="dxa"/>
            <w:vAlign w:val="bottom"/>
          </w:tcPr>
          <w:p w14:paraId="7FD86308" w14:textId="77777777" w:rsidR="001C370E" w:rsidRPr="00E60465" w:rsidRDefault="001C370E" w:rsidP="0091371B">
            <w:pPr>
              <w:keepNext/>
              <w:keepLines/>
              <w:spacing w:before="0" w:beforeAutospacing="0" w:after="0" w:afterAutospacing="0"/>
              <w:rPr>
                <w:b/>
              </w:rPr>
            </w:pPr>
            <w:r w:rsidRPr="00E60465">
              <w:rPr>
                <w:rFonts w:cs="Calibri"/>
                <w:b/>
                <w:color w:val="000000"/>
              </w:rPr>
              <w:t>2014-15</w:t>
            </w:r>
          </w:p>
        </w:tc>
        <w:tc>
          <w:tcPr>
            <w:tcW w:w="1027" w:type="dxa"/>
            <w:vAlign w:val="bottom"/>
          </w:tcPr>
          <w:p w14:paraId="2B5C19DA" w14:textId="74FF4078" w:rsidR="001C370E" w:rsidRDefault="001C370E" w:rsidP="0091371B">
            <w:pPr>
              <w:keepNext/>
              <w:keepLines/>
              <w:spacing w:before="0" w:beforeAutospacing="0" w:after="0" w:afterAutospacing="0"/>
              <w:jc w:val="center"/>
            </w:pPr>
            <w:r>
              <w:rPr>
                <w:rFonts w:cs="Calibri"/>
                <w:color w:val="000000"/>
              </w:rPr>
              <w:t>5.4</w:t>
            </w:r>
          </w:p>
        </w:tc>
        <w:tc>
          <w:tcPr>
            <w:tcW w:w="1027" w:type="dxa"/>
            <w:vAlign w:val="bottom"/>
          </w:tcPr>
          <w:p w14:paraId="075881E9" w14:textId="1AC2B09B" w:rsidR="001C370E" w:rsidRDefault="001C370E" w:rsidP="0091371B">
            <w:pPr>
              <w:keepNext/>
              <w:keepLines/>
              <w:spacing w:before="0" w:beforeAutospacing="0" w:after="0" w:afterAutospacing="0"/>
              <w:jc w:val="center"/>
            </w:pPr>
            <w:r>
              <w:rPr>
                <w:rFonts w:cs="Calibri"/>
                <w:color w:val="000000"/>
              </w:rPr>
              <w:t>7,624</w:t>
            </w:r>
          </w:p>
        </w:tc>
        <w:tc>
          <w:tcPr>
            <w:tcW w:w="1027" w:type="dxa"/>
            <w:vAlign w:val="bottom"/>
          </w:tcPr>
          <w:p w14:paraId="697C8695" w14:textId="5A8001B5" w:rsidR="001C370E" w:rsidRDefault="001C370E" w:rsidP="0091371B">
            <w:pPr>
              <w:keepNext/>
              <w:keepLines/>
              <w:spacing w:before="0" w:beforeAutospacing="0" w:after="0" w:afterAutospacing="0"/>
              <w:jc w:val="center"/>
            </w:pPr>
            <w:r>
              <w:rPr>
                <w:rFonts w:cs="Calibri"/>
                <w:color w:val="000000"/>
              </w:rPr>
              <w:t>4.3</w:t>
            </w:r>
          </w:p>
        </w:tc>
        <w:tc>
          <w:tcPr>
            <w:tcW w:w="1027" w:type="dxa"/>
            <w:vAlign w:val="bottom"/>
          </w:tcPr>
          <w:p w14:paraId="6943F225" w14:textId="39972BF5" w:rsidR="001C370E" w:rsidRDefault="001C370E" w:rsidP="0091371B">
            <w:pPr>
              <w:keepNext/>
              <w:keepLines/>
              <w:spacing w:before="0" w:beforeAutospacing="0" w:after="0" w:afterAutospacing="0"/>
              <w:jc w:val="center"/>
            </w:pPr>
            <w:r>
              <w:rPr>
                <w:rFonts w:cs="Calibri"/>
                <w:color w:val="000000"/>
              </w:rPr>
              <w:t>4,619</w:t>
            </w:r>
          </w:p>
        </w:tc>
        <w:tc>
          <w:tcPr>
            <w:tcW w:w="1027" w:type="dxa"/>
            <w:vAlign w:val="bottom"/>
          </w:tcPr>
          <w:p w14:paraId="6EAD647C" w14:textId="3B1BAFE3" w:rsidR="001C370E" w:rsidRDefault="001C370E" w:rsidP="0091371B">
            <w:pPr>
              <w:keepNext/>
              <w:keepLines/>
              <w:spacing w:before="0" w:beforeAutospacing="0" w:after="0" w:afterAutospacing="0"/>
              <w:jc w:val="center"/>
            </w:pPr>
            <w:r>
              <w:rPr>
                <w:rFonts w:cs="Calibri"/>
                <w:color w:val="000000"/>
              </w:rPr>
              <w:t>8.9</w:t>
            </w:r>
          </w:p>
        </w:tc>
        <w:tc>
          <w:tcPr>
            <w:tcW w:w="1027" w:type="dxa"/>
            <w:vAlign w:val="bottom"/>
          </w:tcPr>
          <w:p w14:paraId="0CF4CA3B" w14:textId="5AE884A9" w:rsidR="001C370E" w:rsidRDefault="001C370E" w:rsidP="0091371B">
            <w:pPr>
              <w:keepNext/>
              <w:keepLines/>
              <w:spacing w:before="0" w:beforeAutospacing="0" w:after="0" w:afterAutospacing="0"/>
              <w:jc w:val="center"/>
            </w:pPr>
            <w:r>
              <w:rPr>
                <w:rFonts w:cs="Calibri"/>
                <w:color w:val="000000"/>
              </w:rPr>
              <w:t>2,965</w:t>
            </w:r>
          </w:p>
        </w:tc>
        <w:tc>
          <w:tcPr>
            <w:tcW w:w="1027" w:type="dxa"/>
            <w:vAlign w:val="bottom"/>
          </w:tcPr>
          <w:p w14:paraId="25FF038A" w14:textId="2AEA7259" w:rsidR="001C370E" w:rsidRDefault="001C370E" w:rsidP="0091371B">
            <w:pPr>
              <w:keepNext/>
              <w:keepLines/>
              <w:spacing w:before="0" w:beforeAutospacing="0" w:after="0" w:afterAutospacing="0"/>
              <w:jc w:val="center"/>
            </w:pPr>
            <w:r>
              <w:rPr>
                <w:rFonts w:cs="Calibri"/>
                <w:color w:val="000000"/>
              </w:rPr>
              <w:t>6</w:t>
            </w:r>
          </w:p>
        </w:tc>
        <w:tc>
          <w:tcPr>
            <w:tcW w:w="1027" w:type="dxa"/>
            <w:vAlign w:val="bottom"/>
          </w:tcPr>
          <w:p w14:paraId="43379143" w14:textId="28DE0ABC" w:rsidR="001C370E" w:rsidRDefault="001C370E" w:rsidP="0091371B">
            <w:pPr>
              <w:keepNext/>
              <w:keepLines/>
              <w:spacing w:before="0" w:beforeAutospacing="0" w:after="0" w:afterAutospacing="0"/>
              <w:jc w:val="center"/>
            </w:pPr>
            <w:r>
              <w:rPr>
                <w:rFonts w:cs="Calibri"/>
                <w:color w:val="000000"/>
              </w:rPr>
              <w:t>27</w:t>
            </w:r>
          </w:p>
        </w:tc>
      </w:tr>
      <w:tr w:rsidR="001C370E" w14:paraId="3D6D277B" w14:textId="77777777" w:rsidTr="0091371B">
        <w:tc>
          <w:tcPr>
            <w:tcW w:w="1026" w:type="dxa"/>
            <w:vAlign w:val="bottom"/>
          </w:tcPr>
          <w:p w14:paraId="514F8163" w14:textId="77777777" w:rsidR="001C370E" w:rsidRPr="00E60465" w:rsidRDefault="001C370E" w:rsidP="0091371B">
            <w:pPr>
              <w:keepNext/>
              <w:keepLines/>
              <w:spacing w:before="0" w:beforeAutospacing="0" w:after="0" w:afterAutospacing="0"/>
              <w:rPr>
                <w:b/>
              </w:rPr>
            </w:pPr>
            <w:r w:rsidRPr="00E60465">
              <w:rPr>
                <w:rFonts w:cs="Calibri"/>
                <w:b/>
                <w:color w:val="000000"/>
              </w:rPr>
              <w:t>2015-16</w:t>
            </w:r>
          </w:p>
        </w:tc>
        <w:tc>
          <w:tcPr>
            <w:tcW w:w="1027" w:type="dxa"/>
            <w:vAlign w:val="bottom"/>
          </w:tcPr>
          <w:p w14:paraId="7223895B" w14:textId="045994A8" w:rsidR="001C370E" w:rsidRDefault="001C370E" w:rsidP="0091371B">
            <w:pPr>
              <w:keepNext/>
              <w:keepLines/>
              <w:spacing w:before="0" w:beforeAutospacing="0" w:after="0" w:afterAutospacing="0"/>
              <w:jc w:val="center"/>
            </w:pPr>
            <w:r>
              <w:rPr>
                <w:rFonts w:cs="Calibri"/>
                <w:color w:val="000000"/>
              </w:rPr>
              <w:t>5.4</w:t>
            </w:r>
          </w:p>
        </w:tc>
        <w:tc>
          <w:tcPr>
            <w:tcW w:w="1027" w:type="dxa"/>
            <w:vAlign w:val="bottom"/>
          </w:tcPr>
          <w:p w14:paraId="58595275" w14:textId="1000DDCC" w:rsidR="001C370E" w:rsidRDefault="001C370E" w:rsidP="0091371B">
            <w:pPr>
              <w:keepNext/>
              <w:keepLines/>
              <w:spacing w:before="0" w:beforeAutospacing="0" w:after="0" w:afterAutospacing="0"/>
              <w:jc w:val="center"/>
            </w:pPr>
            <w:r>
              <w:rPr>
                <w:rFonts w:cs="Calibri"/>
                <w:color w:val="000000"/>
              </w:rPr>
              <w:t>7,285</w:t>
            </w:r>
          </w:p>
        </w:tc>
        <w:tc>
          <w:tcPr>
            <w:tcW w:w="1027" w:type="dxa"/>
            <w:vAlign w:val="bottom"/>
          </w:tcPr>
          <w:p w14:paraId="75BD29A4" w14:textId="7F4B8701" w:rsidR="001C370E" w:rsidRDefault="001C370E" w:rsidP="0091371B">
            <w:pPr>
              <w:keepNext/>
              <w:keepLines/>
              <w:spacing w:before="0" w:beforeAutospacing="0" w:after="0" w:afterAutospacing="0"/>
              <w:jc w:val="center"/>
            </w:pPr>
            <w:r>
              <w:rPr>
                <w:rFonts w:cs="Calibri"/>
                <w:color w:val="000000"/>
              </w:rPr>
              <w:t>4.7</w:t>
            </w:r>
          </w:p>
        </w:tc>
        <w:tc>
          <w:tcPr>
            <w:tcW w:w="1027" w:type="dxa"/>
            <w:vAlign w:val="bottom"/>
          </w:tcPr>
          <w:p w14:paraId="74F3824B" w14:textId="4D3DFF2F" w:rsidR="001C370E" w:rsidRDefault="001C370E" w:rsidP="0091371B">
            <w:pPr>
              <w:keepNext/>
              <w:keepLines/>
              <w:spacing w:before="0" w:beforeAutospacing="0" w:after="0" w:afterAutospacing="0"/>
              <w:jc w:val="center"/>
            </w:pPr>
            <w:r>
              <w:rPr>
                <w:rFonts w:cs="Calibri"/>
                <w:color w:val="000000"/>
              </w:rPr>
              <w:t>4,783</w:t>
            </w:r>
          </w:p>
        </w:tc>
        <w:tc>
          <w:tcPr>
            <w:tcW w:w="1027" w:type="dxa"/>
            <w:vAlign w:val="bottom"/>
          </w:tcPr>
          <w:p w14:paraId="3CDA71E7" w14:textId="14486A1E" w:rsidR="001C370E" w:rsidRDefault="001C370E" w:rsidP="0091371B">
            <w:pPr>
              <w:keepNext/>
              <w:keepLines/>
              <w:spacing w:before="0" w:beforeAutospacing="0" w:after="0" w:afterAutospacing="0"/>
              <w:jc w:val="center"/>
            </w:pPr>
            <w:r>
              <w:rPr>
                <w:rFonts w:cs="Calibri"/>
                <w:color w:val="000000"/>
              </w:rPr>
              <w:t>9.2</w:t>
            </w:r>
          </w:p>
        </w:tc>
        <w:tc>
          <w:tcPr>
            <w:tcW w:w="1027" w:type="dxa"/>
            <w:vAlign w:val="bottom"/>
          </w:tcPr>
          <w:p w14:paraId="23509219" w14:textId="7975DAEE" w:rsidR="001C370E" w:rsidRDefault="001C370E" w:rsidP="0091371B">
            <w:pPr>
              <w:keepNext/>
              <w:keepLines/>
              <w:spacing w:before="0" w:beforeAutospacing="0" w:after="0" w:afterAutospacing="0"/>
              <w:jc w:val="center"/>
            </w:pPr>
            <w:r>
              <w:rPr>
                <w:rFonts w:cs="Calibri"/>
                <w:color w:val="000000"/>
              </w:rPr>
              <w:t>3,008</w:t>
            </w:r>
          </w:p>
        </w:tc>
        <w:tc>
          <w:tcPr>
            <w:tcW w:w="1027" w:type="dxa"/>
            <w:vAlign w:val="bottom"/>
          </w:tcPr>
          <w:p w14:paraId="65018120" w14:textId="37067FE9" w:rsidR="001C370E" w:rsidRDefault="001C370E" w:rsidP="0091371B">
            <w:pPr>
              <w:keepNext/>
              <w:keepLines/>
              <w:spacing w:before="0" w:beforeAutospacing="0" w:after="0" w:afterAutospacing="0"/>
              <w:jc w:val="center"/>
            </w:pPr>
            <w:r>
              <w:rPr>
                <w:rFonts w:cs="Calibri"/>
                <w:color w:val="000000"/>
              </w:rPr>
              <w:t>9.9</w:t>
            </w:r>
          </w:p>
        </w:tc>
        <w:tc>
          <w:tcPr>
            <w:tcW w:w="1027" w:type="dxa"/>
            <w:vAlign w:val="bottom"/>
          </w:tcPr>
          <w:p w14:paraId="05C3A3BC" w14:textId="51324B74" w:rsidR="001C370E" w:rsidRDefault="001C370E" w:rsidP="0091371B">
            <w:pPr>
              <w:keepNext/>
              <w:keepLines/>
              <w:spacing w:before="0" w:beforeAutospacing="0" w:after="0" w:afterAutospacing="0"/>
              <w:jc w:val="center"/>
            </w:pPr>
            <w:r>
              <w:rPr>
                <w:rFonts w:cs="Calibri"/>
                <w:color w:val="000000"/>
              </w:rPr>
              <w:t>44</w:t>
            </w:r>
          </w:p>
        </w:tc>
      </w:tr>
      <w:tr w:rsidR="001C370E" w14:paraId="504A1C6B" w14:textId="77777777" w:rsidTr="0091371B">
        <w:tc>
          <w:tcPr>
            <w:tcW w:w="1026" w:type="dxa"/>
            <w:vAlign w:val="bottom"/>
          </w:tcPr>
          <w:p w14:paraId="1F907EC4" w14:textId="77777777" w:rsidR="001C370E" w:rsidRPr="00E60465" w:rsidRDefault="001C370E" w:rsidP="0091371B">
            <w:pPr>
              <w:keepNext/>
              <w:keepLines/>
              <w:spacing w:before="0" w:beforeAutospacing="0" w:after="0" w:afterAutospacing="0"/>
              <w:rPr>
                <w:b/>
              </w:rPr>
            </w:pPr>
            <w:r w:rsidRPr="00E60465">
              <w:rPr>
                <w:rFonts w:cs="Calibri"/>
                <w:b/>
                <w:color w:val="000000"/>
              </w:rPr>
              <w:t>2016-17</w:t>
            </w:r>
          </w:p>
        </w:tc>
        <w:tc>
          <w:tcPr>
            <w:tcW w:w="1027" w:type="dxa"/>
            <w:vAlign w:val="bottom"/>
          </w:tcPr>
          <w:p w14:paraId="055BD9F5" w14:textId="4AE548AC" w:rsidR="001C370E" w:rsidRDefault="001C370E" w:rsidP="0091371B">
            <w:pPr>
              <w:keepNext/>
              <w:keepLines/>
              <w:spacing w:before="0" w:beforeAutospacing="0" w:after="0" w:afterAutospacing="0"/>
              <w:jc w:val="center"/>
            </w:pPr>
            <w:r>
              <w:rPr>
                <w:rFonts w:cs="Calibri"/>
                <w:color w:val="000000"/>
              </w:rPr>
              <w:t>6.1</w:t>
            </w:r>
          </w:p>
        </w:tc>
        <w:tc>
          <w:tcPr>
            <w:tcW w:w="1027" w:type="dxa"/>
            <w:vAlign w:val="bottom"/>
          </w:tcPr>
          <w:p w14:paraId="2FC53AB0" w14:textId="7F7C506B" w:rsidR="001C370E" w:rsidRDefault="001C370E" w:rsidP="0091371B">
            <w:pPr>
              <w:keepNext/>
              <w:keepLines/>
              <w:spacing w:before="0" w:beforeAutospacing="0" w:after="0" w:afterAutospacing="0"/>
              <w:jc w:val="center"/>
            </w:pPr>
            <w:r>
              <w:rPr>
                <w:rFonts w:cs="Calibri"/>
                <w:color w:val="000000"/>
              </w:rPr>
              <w:t>6,656</w:t>
            </w:r>
          </w:p>
        </w:tc>
        <w:tc>
          <w:tcPr>
            <w:tcW w:w="1027" w:type="dxa"/>
            <w:vAlign w:val="bottom"/>
          </w:tcPr>
          <w:p w14:paraId="3C692BA2" w14:textId="508C02E1" w:rsidR="001C370E" w:rsidRDefault="001C370E" w:rsidP="0091371B">
            <w:pPr>
              <w:keepNext/>
              <w:keepLines/>
              <w:spacing w:before="0" w:beforeAutospacing="0" w:after="0" w:afterAutospacing="0"/>
              <w:jc w:val="center"/>
            </w:pPr>
            <w:r>
              <w:rPr>
                <w:rFonts w:cs="Calibri"/>
                <w:color w:val="000000"/>
              </w:rPr>
              <w:t>5.4</w:t>
            </w:r>
          </w:p>
        </w:tc>
        <w:tc>
          <w:tcPr>
            <w:tcW w:w="1027" w:type="dxa"/>
            <w:vAlign w:val="bottom"/>
          </w:tcPr>
          <w:p w14:paraId="29BBBA73" w14:textId="7FCA099D" w:rsidR="001C370E" w:rsidRDefault="001C370E" w:rsidP="0091371B">
            <w:pPr>
              <w:keepNext/>
              <w:keepLines/>
              <w:spacing w:before="0" w:beforeAutospacing="0" w:after="0" w:afterAutospacing="0"/>
              <w:jc w:val="center"/>
            </w:pPr>
            <w:r>
              <w:rPr>
                <w:rFonts w:cs="Calibri"/>
                <w:color w:val="000000"/>
              </w:rPr>
              <w:t>4,281</w:t>
            </w:r>
          </w:p>
        </w:tc>
        <w:tc>
          <w:tcPr>
            <w:tcW w:w="1027" w:type="dxa"/>
            <w:vAlign w:val="bottom"/>
          </w:tcPr>
          <w:p w14:paraId="21EC8407" w14:textId="16E7C624" w:rsidR="001C370E" w:rsidRDefault="001C370E" w:rsidP="0091371B">
            <w:pPr>
              <w:keepNext/>
              <w:keepLines/>
              <w:spacing w:before="0" w:beforeAutospacing="0" w:after="0" w:afterAutospacing="0"/>
              <w:jc w:val="center"/>
            </w:pPr>
            <w:r>
              <w:rPr>
                <w:rFonts w:cs="Calibri"/>
                <w:color w:val="000000"/>
              </w:rPr>
              <w:t>8.2</w:t>
            </w:r>
          </w:p>
        </w:tc>
        <w:tc>
          <w:tcPr>
            <w:tcW w:w="1027" w:type="dxa"/>
            <w:vAlign w:val="bottom"/>
          </w:tcPr>
          <w:p w14:paraId="0991C781" w14:textId="7295B0F4" w:rsidR="001C370E" w:rsidRDefault="001C370E" w:rsidP="0091371B">
            <w:pPr>
              <w:keepNext/>
              <w:keepLines/>
              <w:spacing w:before="0" w:beforeAutospacing="0" w:after="0" w:afterAutospacing="0"/>
              <w:jc w:val="center"/>
            </w:pPr>
            <w:r>
              <w:rPr>
                <w:rFonts w:cs="Calibri"/>
                <w:color w:val="000000"/>
              </w:rPr>
              <w:t>2,421</w:t>
            </w:r>
          </w:p>
        </w:tc>
        <w:tc>
          <w:tcPr>
            <w:tcW w:w="1027" w:type="dxa"/>
            <w:vAlign w:val="bottom"/>
          </w:tcPr>
          <w:p w14:paraId="389F53DD" w14:textId="2247CD2B" w:rsidR="001C370E" w:rsidRDefault="001C370E" w:rsidP="0091371B">
            <w:pPr>
              <w:keepNext/>
              <w:keepLines/>
              <w:spacing w:before="0" w:beforeAutospacing="0" w:after="0" w:afterAutospacing="0"/>
              <w:jc w:val="center"/>
            </w:pPr>
            <w:r>
              <w:rPr>
                <w:rFonts w:cs="Calibri"/>
                <w:color w:val="000000"/>
              </w:rPr>
              <w:t>8.2</w:t>
            </w:r>
          </w:p>
        </w:tc>
        <w:tc>
          <w:tcPr>
            <w:tcW w:w="1027" w:type="dxa"/>
            <w:vAlign w:val="bottom"/>
          </w:tcPr>
          <w:p w14:paraId="5361215F" w14:textId="2B38945B" w:rsidR="001C370E" w:rsidRDefault="001C370E" w:rsidP="0091371B">
            <w:pPr>
              <w:keepNext/>
              <w:keepLines/>
              <w:spacing w:before="0" w:beforeAutospacing="0" w:after="0" w:afterAutospacing="0"/>
              <w:jc w:val="center"/>
            </w:pPr>
            <w:r>
              <w:rPr>
                <w:rFonts w:cs="Calibri"/>
                <w:color w:val="000000"/>
              </w:rPr>
              <w:t>32</w:t>
            </w:r>
          </w:p>
        </w:tc>
      </w:tr>
    </w:tbl>
    <w:p w14:paraId="463105B8" w14:textId="77777777" w:rsidR="0069363A" w:rsidRDefault="0069363A" w:rsidP="0069363A">
      <w:pPr>
        <w:keepNext/>
        <w:keepLines/>
        <w:spacing w:before="0" w:beforeAutospacing="0" w:after="240" w:afterAutospacing="0"/>
      </w:pPr>
      <w:r>
        <w:t>Source: Calculated from ACMA Communications Report 2016/17</w:t>
      </w:r>
    </w:p>
    <w:p w14:paraId="67C4C3F8" w14:textId="25375003" w:rsidR="00C215C6" w:rsidRDefault="0069363A" w:rsidP="00617B02">
      <w:pPr>
        <w:spacing w:before="0" w:beforeAutospacing="0" w:after="200" w:afterAutospacing="0" w:line="276" w:lineRule="auto"/>
      </w:pPr>
      <w:r>
        <w:t xml:space="preserve">The problem with the reporting arrangements is that the figures above </w:t>
      </w:r>
      <w:r w:rsidR="0091371B">
        <w:t>only</w:t>
      </w:r>
      <w:r>
        <w:t xml:space="preserve"> show how many connections and repairs were not done within the timeframe – not how long they took. We hear stories that it can take much longer than the timeframe, which is distressing for customers. </w:t>
      </w:r>
      <w:r w:rsidR="00564077">
        <w:t xml:space="preserve">The case study below </w:t>
      </w:r>
      <w:r>
        <w:t xml:space="preserve">took weeks to get connected and </w:t>
      </w:r>
      <w:r w:rsidR="00564077">
        <w:t>highlights the distress and effort a customer had to endure. It is imperative that customers continue to have access to such a policy and that the penalties for non-compliance are higher than for mandatory connection and repair timeframes</w:t>
      </w:r>
      <w:r w:rsidR="00536EB8">
        <w:t xml:space="preserve"> in order to signify the seriousness of a breach</w:t>
      </w:r>
      <w:r w:rsidR="00564077">
        <w:t>.</w:t>
      </w:r>
    </w:p>
    <w:tbl>
      <w:tblPr>
        <w:tblStyle w:val="TableGrid"/>
        <w:tblW w:w="0" w:type="auto"/>
        <w:tblLook w:val="04A0" w:firstRow="1" w:lastRow="0" w:firstColumn="1" w:lastColumn="0" w:noHBand="0" w:noVBand="1"/>
      </w:tblPr>
      <w:tblGrid>
        <w:gridCol w:w="9242"/>
      </w:tblGrid>
      <w:tr w:rsidR="00564077" w14:paraId="11352942" w14:textId="77777777" w:rsidTr="00564077">
        <w:tc>
          <w:tcPr>
            <w:tcW w:w="9242" w:type="dxa"/>
          </w:tcPr>
          <w:p w14:paraId="3F7C726A" w14:textId="48C1A47C" w:rsidR="00564077" w:rsidRPr="008847E2" w:rsidRDefault="007A0555" w:rsidP="00617B02">
            <w:pPr>
              <w:spacing w:before="0" w:beforeAutospacing="0" w:after="200" w:afterAutospacing="0" w:line="276" w:lineRule="auto"/>
              <w:rPr>
                <w:b/>
              </w:rPr>
            </w:pPr>
            <w:r>
              <w:rPr>
                <w:b/>
              </w:rPr>
              <w:t xml:space="preserve">Box 2: </w:t>
            </w:r>
            <w:r w:rsidR="00564077" w:rsidRPr="008847E2">
              <w:rPr>
                <w:b/>
              </w:rPr>
              <w:t>Case study</w:t>
            </w:r>
            <w:r>
              <w:rPr>
                <w:b/>
              </w:rPr>
              <w:t xml:space="preserve"> -</w:t>
            </w:r>
            <w:r w:rsidR="00564077" w:rsidRPr="008847E2">
              <w:rPr>
                <w:b/>
              </w:rPr>
              <w:t xml:space="preserve"> </w:t>
            </w:r>
            <w:r>
              <w:rPr>
                <w:b/>
              </w:rPr>
              <w:t>d</w:t>
            </w:r>
            <w:r w:rsidR="00564077" w:rsidRPr="008847E2">
              <w:rPr>
                <w:b/>
              </w:rPr>
              <w:t>elayed priority assistance connection</w:t>
            </w:r>
          </w:p>
          <w:p w14:paraId="19609435" w14:textId="2127E90E" w:rsidR="00CA6469" w:rsidRDefault="00564077" w:rsidP="00617B02">
            <w:pPr>
              <w:spacing w:before="0" w:beforeAutospacing="0" w:after="200" w:afterAutospacing="0" w:line="276" w:lineRule="auto"/>
            </w:pPr>
            <w:r>
              <w:t>Lynda was a priority assistance customer</w:t>
            </w:r>
            <w:r w:rsidR="00CA6469">
              <w:t xml:space="preserve"> in Victoria</w:t>
            </w:r>
            <w:r>
              <w:t xml:space="preserve"> planning to move house. She notified Telstra two weeks prior to her scheduled move in date</w:t>
            </w:r>
            <w:r w:rsidR="00CA6469">
              <w:t>, which was the last week of January. Lynda contacted ACCAN 43 days after her move to say that her phone and internet w</w:t>
            </w:r>
            <w:r w:rsidR="00536EB8">
              <w:t>ere</w:t>
            </w:r>
            <w:r w:rsidR="00CA6469">
              <w:t xml:space="preserve"> still not connected. She said she called Telstra every day for the 43 day period and was told that her service had been cancelled and reordered 9 times for technical reasons.</w:t>
            </w:r>
            <w:r w:rsidR="008847E2">
              <w:t xml:space="preserve"> She was relying on a mobile phone that had intermittent coverage inside her home.</w:t>
            </w:r>
          </w:p>
          <w:p w14:paraId="513B0F25" w14:textId="65BF9C77" w:rsidR="008847E2" w:rsidRDefault="00CA6469" w:rsidP="00617B02">
            <w:pPr>
              <w:spacing w:before="0" w:beforeAutospacing="0" w:after="200" w:afterAutospacing="0" w:line="276" w:lineRule="auto"/>
            </w:pPr>
            <w:r>
              <w:t xml:space="preserve">ACCAN contacted </w:t>
            </w:r>
            <w:r w:rsidR="008847E2">
              <w:t xml:space="preserve">Telstra who said it was a problem with the nbn service. ACCAN then contacted nbn who said the order wasn’t made by Telstra until 16 February and nbn completed it on the same day. Nbn said that Telstra logged a service restoration request on 23 February but NBN said it completed remote testing </w:t>
            </w:r>
            <w:r w:rsidR="00B75292">
              <w:t xml:space="preserve">on that day </w:t>
            </w:r>
            <w:r w:rsidR="008847E2">
              <w:t>and informed Telstra there was no issue from nbn</w:t>
            </w:r>
            <w:r w:rsidR="00AC4D64">
              <w:t>’s</w:t>
            </w:r>
            <w:r w:rsidR="008847E2">
              <w:t xml:space="preserve"> end</w:t>
            </w:r>
            <w:r w:rsidR="00285771">
              <w:t xml:space="preserve"> so Telstra should perform on site testing</w:t>
            </w:r>
            <w:r w:rsidR="008847E2">
              <w:t xml:space="preserve">. ACCAN raised the issue with Telstra for investigation </w:t>
            </w:r>
            <w:r w:rsidR="00B75292">
              <w:t xml:space="preserve">and expedite </w:t>
            </w:r>
            <w:r w:rsidR="00285771">
              <w:t xml:space="preserve">the </w:t>
            </w:r>
            <w:r w:rsidR="00B75292">
              <w:t xml:space="preserve">connection </w:t>
            </w:r>
            <w:r w:rsidR="008847E2">
              <w:t>and was told the order failed with the nbn and the customer was offered a copper service</w:t>
            </w:r>
            <w:r w:rsidR="00285771">
              <w:t xml:space="preserve"> as an alternative</w:t>
            </w:r>
            <w:r w:rsidR="008847E2">
              <w:t>. ACCAN contacted Lynda to relay the information from nbn and Telstra. Lynda said she told Telstra to deal with her son because it had become too stressful and that no copper service was offered.</w:t>
            </w:r>
          </w:p>
          <w:p w14:paraId="790A0A2C" w14:textId="02E26F4E" w:rsidR="00564077" w:rsidRDefault="00CA6469" w:rsidP="00B75292">
            <w:pPr>
              <w:spacing w:before="0" w:beforeAutospacing="0" w:after="200" w:afterAutospacing="0" w:line="276" w:lineRule="auto"/>
            </w:pPr>
            <w:r>
              <w:t>Lynda was finally connected to the NBN by Telstra on 17 March</w:t>
            </w:r>
            <w:r w:rsidR="00B75292">
              <w:t xml:space="preserve">, about 7 weeks after her request. </w:t>
            </w:r>
            <w:r w:rsidR="00B75292">
              <w:lastRenderedPageBreak/>
              <w:t>The priority assistance policy is for customers in urban areas get connected within 24 hours</w:t>
            </w:r>
            <w:r w:rsidR="00285771">
              <w:t xml:space="preserve"> or offer an alternative service to be connected within the same timeframe</w:t>
            </w:r>
            <w:r>
              <w:t xml:space="preserve">. </w:t>
            </w:r>
          </w:p>
        </w:tc>
      </w:tr>
    </w:tbl>
    <w:p w14:paraId="6DAD3AC5" w14:textId="77777777" w:rsidR="00564077" w:rsidRDefault="00564077" w:rsidP="00617B02">
      <w:pPr>
        <w:spacing w:before="0" w:beforeAutospacing="0" w:after="200" w:afterAutospacing="0" w:line="276" w:lineRule="auto"/>
      </w:pPr>
    </w:p>
    <w:p w14:paraId="54207EFA" w14:textId="30A9C5A2" w:rsidR="008F293C" w:rsidRDefault="008F293C" w:rsidP="00617B02">
      <w:pPr>
        <w:spacing w:before="0" w:beforeAutospacing="0" w:after="200" w:afterAutospacing="0" w:line="276" w:lineRule="auto"/>
      </w:pPr>
      <w:r>
        <w:t xml:space="preserve">The Department’s proposal to require all providers </w:t>
      </w:r>
      <w:r w:rsidR="00151ED3">
        <w:t xml:space="preserve">to </w:t>
      </w:r>
      <w:r>
        <w:t xml:space="preserve">offer a backup or alternative service to customers </w:t>
      </w:r>
      <w:r w:rsidR="00041017">
        <w:t xml:space="preserve">with a </w:t>
      </w:r>
      <w:r>
        <w:t xml:space="preserve">diagnosed life threatening medical condition </w:t>
      </w:r>
      <w:r w:rsidR="00B80FD0">
        <w:t>is</w:t>
      </w:r>
      <w:r>
        <w:t xml:space="preserve"> a s</w:t>
      </w:r>
      <w:r w:rsidR="00B80FD0">
        <w:t>ubstantial</w:t>
      </w:r>
      <w:r>
        <w:t xml:space="preserve"> improvement for these customers in terms of service continuity and choice. </w:t>
      </w:r>
      <w:r w:rsidR="00C75211">
        <w:t>ACCAN recommends that the ACMA determine the parameters of the backup service, including the conditions for consumer access. T</w:t>
      </w:r>
      <w:r w:rsidR="00CD56FE">
        <w:t xml:space="preserve">his will ensure that there are </w:t>
      </w:r>
      <w:r w:rsidR="00C75211">
        <w:t xml:space="preserve">clear and standard criteria for RSPs to implement and </w:t>
      </w:r>
      <w:r w:rsidR="00041017">
        <w:t xml:space="preserve">ensure </w:t>
      </w:r>
      <w:r w:rsidR="00C75211">
        <w:t xml:space="preserve">consumers </w:t>
      </w:r>
      <w:r w:rsidR="00041017">
        <w:t>requiring</w:t>
      </w:r>
      <w:r w:rsidR="00C42FBB">
        <w:t xml:space="preserve"> continuous service</w:t>
      </w:r>
      <w:r w:rsidR="00041017">
        <w:t xml:space="preserve"> have a clear understanding of what level of service they will receive. </w:t>
      </w:r>
      <w:r w:rsidR="00B80FD0">
        <w:t>It will also prevent different definitions of customers with a medically diagnosed life-threatening condition and enable a public consultation process for determining the regulation.</w:t>
      </w:r>
    </w:p>
    <w:p w14:paraId="1C55256E" w14:textId="7992439E" w:rsidR="002138EC" w:rsidRDefault="00151ED3" w:rsidP="00617B02">
      <w:pPr>
        <w:spacing w:before="0" w:beforeAutospacing="0" w:after="200" w:afterAutospacing="0" w:line="276" w:lineRule="auto"/>
      </w:pPr>
      <w:r>
        <w:t>T</w:t>
      </w:r>
      <w:r w:rsidR="005B2C56">
        <w:t>here may be circumstances that an alternative service is not available for backup or the backup fails</w:t>
      </w:r>
      <w:r>
        <w:t xml:space="preserve"> such as mobile blackspots or network failures</w:t>
      </w:r>
      <w:r w:rsidR="005B2C56">
        <w:t xml:space="preserve">. In this regard, ACCAN recommends that customers with diagnosed life-threatening medical conditions </w:t>
      </w:r>
      <w:r w:rsidR="008E09E1">
        <w:t>continue to have access to prioritised connections and repair.</w:t>
      </w:r>
      <w:r w:rsidR="00564077">
        <w:t xml:space="preserve"> </w:t>
      </w:r>
    </w:p>
    <w:tbl>
      <w:tblPr>
        <w:tblStyle w:val="TableGrid"/>
        <w:tblW w:w="0" w:type="auto"/>
        <w:tblLook w:val="04A0" w:firstRow="1" w:lastRow="0" w:firstColumn="1" w:lastColumn="0" w:noHBand="0" w:noVBand="1"/>
      </w:tblPr>
      <w:tblGrid>
        <w:gridCol w:w="9242"/>
      </w:tblGrid>
      <w:tr w:rsidR="00107582" w14:paraId="55545113" w14:textId="77777777" w:rsidTr="00107582">
        <w:tc>
          <w:tcPr>
            <w:tcW w:w="9242" w:type="dxa"/>
          </w:tcPr>
          <w:p w14:paraId="1EB71E9F" w14:textId="07F2B17D" w:rsidR="00107582" w:rsidRPr="00C23848" w:rsidRDefault="00107582" w:rsidP="00C23848">
            <w:pPr>
              <w:keepNext/>
              <w:keepLines/>
              <w:spacing w:before="0" w:beforeAutospacing="0" w:after="200" w:afterAutospacing="0" w:line="276" w:lineRule="auto"/>
              <w:rPr>
                <w:b/>
              </w:rPr>
            </w:pPr>
            <w:r w:rsidRPr="00C23848">
              <w:rPr>
                <w:b/>
              </w:rPr>
              <w:t>Recommendation 3: Service for customers with a diagnosed life threatening medical condition</w:t>
            </w:r>
          </w:p>
          <w:p w14:paraId="27FA2725" w14:textId="77777777" w:rsidR="00107582" w:rsidRDefault="00107582" w:rsidP="004C1802">
            <w:pPr>
              <w:pStyle w:val="ListParagraph"/>
              <w:keepNext/>
              <w:keepLines/>
              <w:numPr>
                <w:ilvl w:val="0"/>
                <w:numId w:val="32"/>
              </w:numPr>
              <w:spacing w:before="0" w:beforeAutospacing="0" w:after="200" w:afterAutospacing="0" w:line="276" w:lineRule="auto"/>
            </w:pPr>
            <w:r>
              <w:t>Consumer safeguards recognize the importance of providing a backup service for customers with a diagnosed life threatening medical condition.</w:t>
            </w:r>
          </w:p>
          <w:p w14:paraId="55909BFE" w14:textId="77777777" w:rsidR="00107582" w:rsidRDefault="00107582" w:rsidP="004C1802">
            <w:pPr>
              <w:pStyle w:val="ListParagraph"/>
              <w:keepNext/>
              <w:keepLines/>
              <w:numPr>
                <w:ilvl w:val="0"/>
                <w:numId w:val="32"/>
              </w:numPr>
              <w:spacing w:before="0" w:beforeAutospacing="0" w:after="200" w:afterAutospacing="0" w:line="276" w:lineRule="auto"/>
            </w:pPr>
            <w:r>
              <w:t>Customers with a diagnosed life threatening medical condition get prioritised connection and repair: within 24 hours for urban customers and within 48 hours for non-urban.</w:t>
            </w:r>
          </w:p>
          <w:p w14:paraId="68290005" w14:textId="7630CCC4" w:rsidR="00107582" w:rsidRDefault="00C23848" w:rsidP="004C1802">
            <w:pPr>
              <w:pStyle w:val="ListParagraph"/>
              <w:keepNext/>
              <w:keepLines/>
              <w:numPr>
                <w:ilvl w:val="0"/>
                <w:numId w:val="32"/>
              </w:numPr>
              <w:spacing w:before="0" w:beforeAutospacing="0" w:after="200" w:afterAutospacing="0" w:line="276" w:lineRule="auto"/>
            </w:pPr>
            <w:r>
              <w:t xml:space="preserve">Higher penalties </w:t>
            </w:r>
            <w:r w:rsidR="00645370">
              <w:t xml:space="preserve">should apply </w:t>
            </w:r>
            <w:r>
              <w:t xml:space="preserve">for non-compliance than those for </w:t>
            </w:r>
            <w:r w:rsidR="00645370">
              <w:t xml:space="preserve">general </w:t>
            </w:r>
            <w:r>
              <w:t>mandatory connection and repair timeframes.</w:t>
            </w:r>
          </w:p>
          <w:p w14:paraId="2176602D" w14:textId="168FC304" w:rsidR="00C23848" w:rsidRDefault="00C23848" w:rsidP="004C1802">
            <w:pPr>
              <w:pStyle w:val="ListParagraph"/>
              <w:keepNext/>
              <w:keepLines/>
              <w:numPr>
                <w:ilvl w:val="0"/>
                <w:numId w:val="32"/>
              </w:numPr>
              <w:spacing w:before="0" w:beforeAutospacing="0" w:after="200" w:afterAutospacing="0" w:line="276" w:lineRule="auto"/>
            </w:pPr>
            <w:r>
              <w:t>The ACMA determine the parameters of the backup service for consumers with a diagnosed life threatening medical condition.</w:t>
            </w:r>
          </w:p>
        </w:tc>
      </w:tr>
    </w:tbl>
    <w:p w14:paraId="21A005F9" w14:textId="33164D77" w:rsidR="00A06F56" w:rsidRPr="003441E5" w:rsidRDefault="00A06F56" w:rsidP="00A06F56">
      <w:pPr>
        <w:pStyle w:val="Heading2"/>
      </w:pPr>
      <w:bookmarkStart w:id="12" w:name="_Toc535596212"/>
      <w:r>
        <w:t>Provider variance in connection and repair timeframes</w:t>
      </w:r>
      <w:bookmarkEnd w:id="12"/>
    </w:p>
    <w:p w14:paraId="5B33F4F9" w14:textId="77777777" w:rsidR="006666EE" w:rsidRDefault="005D0D3B" w:rsidP="006666EE">
      <w:pPr>
        <w:spacing w:before="0" w:beforeAutospacing="0" w:after="200" w:afterAutospacing="0" w:line="276" w:lineRule="auto"/>
      </w:pPr>
      <w:r>
        <w:t>The Department has suggested that industry could compete by offering different levels of reliability.</w:t>
      </w:r>
      <w:r w:rsidR="00D21C1B">
        <w:t xml:space="preserve"> It has asked:</w:t>
      </w:r>
    </w:p>
    <w:p w14:paraId="7349EA65" w14:textId="77777777" w:rsidR="0036009E" w:rsidRPr="005D0D3B" w:rsidRDefault="005D0D3B" w:rsidP="006666EE">
      <w:pPr>
        <w:spacing w:before="0" w:beforeAutospacing="0" w:after="200" w:afterAutospacing="0" w:line="276" w:lineRule="auto"/>
        <w:rPr>
          <w:i/>
        </w:rPr>
      </w:pPr>
      <w:r w:rsidRPr="005D0D3B">
        <w:rPr>
          <w:i/>
        </w:rPr>
        <w:t>“</w:t>
      </w:r>
      <w:r w:rsidR="0036009E" w:rsidRPr="005D0D3B">
        <w:rPr>
          <w:i/>
        </w:rPr>
        <w:t>Should providers be able to seek approval from the ACMA to offer services with different reliability timeframes on a product by product basis (which if approved would then become binding)? If so, what process and criteria would best support this?</w:t>
      </w:r>
      <w:r w:rsidRPr="005D0D3B">
        <w:rPr>
          <w:i/>
        </w:rPr>
        <w:t>”</w:t>
      </w:r>
    </w:p>
    <w:p w14:paraId="75B211C9" w14:textId="77777777" w:rsidR="00DB196E" w:rsidRDefault="00DB196E" w:rsidP="005D0D3B">
      <w:pPr>
        <w:spacing w:before="0" w:beforeAutospacing="0" w:after="200" w:afterAutospacing="0" w:line="276" w:lineRule="auto"/>
      </w:pPr>
      <w:r>
        <w:t>ACCAN does not support a</w:t>
      </w:r>
      <w:r w:rsidR="008B0D59">
        <w:t xml:space="preserve">ny </w:t>
      </w:r>
      <w:r w:rsidR="00885A20">
        <w:t>increases in the</w:t>
      </w:r>
      <w:r w:rsidR="008B0D59">
        <w:t xml:space="preserve"> maximum </w:t>
      </w:r>
      <w:r>
        <w:t xml:space="preserve">reliability timeframes. The purpose of reliability timeframes is to provide minimum safeguards available to all consumers for all fixed line products. </w:t>
      </w:r>
    </w:p>
    <w:p w14:paraId="4B6137D7" w14:textId="77777777" w:rsidR="008B0D59" w:rsidRDefault="008B0D59" w:rsidP="005D0D3B">
      <w:pPr>
        <w:spacing w:before="0" w:beforeAutospacing="0" w:after="200" w:afterAutospacing="0" w:line="276" w:lineRule="auto"/>
      </w:pPr>
      <w:r>
        <w:t>A minimum standard provides fair and equal access to all consumers. One standard is simple for retailers to communicate, and for consumers to understand their rights. Furthermore, it reduces the burden on the regulator to monitor and enforce the standard, increasing the likelihood of compliance.</w:t>
      </w:r>
    </w:p>
    <w:p w14:paraId="6BA81BA1" w14:textId="7B90CCBF" w:rsidR="0036009E" w:rsidRDefault="0036009E" w:rsidP="005D0D3B">
      <w:pPr>
        <w:spacing w:before="0" w:beforeAutospacing="0" w:after="200" w:afterAutospacing="0" w:line="276" w:lineRule="auto"/>
      </w:pPr>
      <w:r>
        <w:lastRenderedPageBreak/>
        <w:t xml:space="preserve">Enabling providers to submit products for approval to the ACMA </w:t>
      </w:r>
      <w:r w:rsidR="00A4604E">
        <w:t>would</w:t>
      </w:r>
      <w:r>
        <w:t xml:space="preserve"> create a tremendous amount of work for the ACMA and also subverts public consultation processes. Any reliability standards should be set following a public consultation process and making product by product determinations does not allow for this. </w:t>
      </w:r>
      <w:r w:rsidR="00885A20">
        <w:t xml:space="preserve">Moreover, product by product approvals tie </w:t>
      </w:r>
      <w:r>
        <w:t xml:space="preserve">up limited regulatory resources for industry benefit without knowing if consumers want lower standards. A </w:t>
      </w:r>
      <w:r w:rsidR="00151ED3">
        <w:t xml:space="preserve">single, </w:t>
      </w:r>
      <w:r>
        <w:t xml:space="preserve">minimum reliability standard and connection/repair timeframe should be </w:t>
      </w:r>
      <w:r w:rsidR="00151ED3">
        <w:t>maintained</w:t>
      </w:r>
      <w:r>
        <w:t>.</w:t>
      </w:r>
    </w:p>
    <w:tbl>
      <w:tblPr>
        <w:tblStyle w:val="TableGrid"/>
        <w:tblW w:w="0" w:type="auto"/>
        <w:tblLook w:val="04A0" w:firstRow="1" w:lastRow="0" w:firstColumn="1" w:lastColumn="0" w:noHBand="0" w:noVBand="1"/>
      </w:tblPr>
      <w:tblGrid>
        <w:gridCol w:w="9242"/>
      </w:tblGrid>
      <w:tr w:rsidR="00C23848" w14:paraId="5B4E44AF" w14:textId="77777777" w:rsidTr="00C23848">
        <w:tc>
          <w:tcPr>
            <w:tcW w:w="9242" w:type="dxa"/>
          </w:tcPr>
          <w:p w14:paraId="1FE97C32" w14:textId="7B90B245" w:rsidR="00C23848" w:rsidRDefault="00C23848" w:rsidP="005D0D3B">
            <w:pPr>
              <w:spacing w:before="0" w:beforeAutospacing="0" w:after="200" w:afterAutospacing="0" w:line="276" w:lineRule="auto"/>
            </w:pPr>
            <w:r w:rsidRPr="00C23848">
              <w:rPr>
                <w:b/>
              </w:rPr>
              <w:t>Recommendation 4</w:t>
            </w:r>
            <w:r>
              <w:t>: One set of maximum connection and repair timeframes to apply to all fixed line products without exception.</w:t>
            </w:r>
          </w:p>
        </w:tc>
      </w:tr>
    </w:tbl>
    <w:p w14:paraId="3ECC7374" w14:textId="77777777" w:rsidR="00862F8B" w:rsidRPr="003441E5" w:rsidRDefault="00862F8B" w:rsidP="00862F8B">
      <w:pPr>
        <w:pStyle w:val="Heading2"/>
      </w:pPr>
      <w:bookmarkStart w:id="13" w:name="_Toc535530140"/>
      <w:bookmarkStart w:id="14" w:name="_Toc535596213"/>
      <w:r>
        <w:t>Contract termination for frequent or recurring faults</w:t>
      </w:r>
      <w:bookmarkEnd w:id="13"/>
      <w:bookmarkEnd w:id="14"/>
    </w:p>
    <w:p w14:paraId="4475F412" w14:textId="77777777" w:rsidR="00D21C1B" w:rsidRDefault="00D21C1B" w:rsidP="00D21C1B">
      <w:pPr>
        <w:spacing w:before="0" w:beforeAutospacing="0" w:after="200" w:afterAutospacing="0" w:line="276" w:lineRule="auto"/>
      </w:pPr>
      <w:r>
        <w:t>The Department has asked:</w:t>
      </w:r>
    </w:p>
    <w:p w14:paraId="7C212297" w14:textId="77777777" w:rsidR="0036009E" w:rsidRPr="00D21C1B" w:rsidRDefault="00D21C1B" w:rsidP="00D21C1B">
      <w:pPr>
        <w:spacing w:before="0" w:beforeAutospacing="0" w:after="200" w:afterAutospacing="0" w:line="276" w:lineRule="auto"/>
        <w:rPr>
          <w:i/>
        </w:rPr>
      </w:pPr>
      <w:r w:rsidRPr="00D21C1B">
        <w:rPr>
          <w:i/>
        </w:rPr>
        <w:t>“</w:t>
      </w:r>
      <w:r w:rsidR="0036009E" w:rsidRPr="00D21C1B">
        <w:rPr>
          <w:i/>
        </w:rPr>
        <w:t>Should consumers be given the option to exit their service contract without penalty where frequent or recurring faults occur?</w:t>
      </w:r>
      <w:r w:rsidRPr="00D21C1B">
        <w:rPr>
          <w:i/>
        </w:rPr>
        <w:t>”</w:t>
      </w:r>
    </w:p>
    <w:p w14:paraId="1E38E2B5" w14:textId="1058EC0D" w:rsidR="0066600A" w:rsidRDefault="0066600A" w:rsidP="0066600A">
      <w:pPr>
        <w:spacing w:after="200" w:line="276" w:lineRule="auto"/>
      </w:pPr>
      <w:r>
        <w:rPr>
          <w:lang w:val="en-US"/>
        </w:rPr>
        <w:t xml:space="preserve">Currently under the Australian Consumer Law </w:t>
      </w:r>
      <w:r w:rsidR="00875F13">
        <w:rPr>
          <w:lang w:val="en-US"/>
        </w:rPr>
        <w:t xml:space="preserve">(ACL) </w:t>
      </w:r>
      <w:r>
        <w:rPr>
          <w:lang w:val="en-US"/>
        </w:rPr>
        <w:t xml:space="preserve">consumers have the right to exit a contract due to a major failure to comply with a statutory guarantee (under s 267 ACL). However, the current drafting of the legislation does not provide clear guidance under section 268 concerning whether minor recurring failures constitutes a major failure. As a result, Consumer Affairs Australia and New Zealand have proposed to clarify that multiple non-major failures can amount to a major failure. </w:t>
      </w:r>
      <w:r>
        <w:t>It argued that clarification would be consistent with the legislative intent and interpretation of regulators. However, this proposal was not picked up in the legislative amendments and so clarifying it specifically in the telecommunications framework is appropriate.</w:t>
      </w:r>
    </w:p>
    <w:p w14:paraId="075E0A28" w14:textId="3E70613C" w:rsidR="0066600A" w:rsidRDefault="0066600A" w:rsidP="0066600A">
      <w:pPr>
        <w:spacing w:after="200" w:line="276" w:lineRule="auto"/>
      </w:pPr>
      <w:r>
        <w:t xml:space="preserve">The statutory guarantees for services are also materially weaker than those for goods under the ACL and accordingly there is a need for a specific right for consumers to exit service contracts or they would have to sue under contract law. </w:t>
      </w:r>
      <w:r w:rsidR="00DE6F7A">
        <w:t>However, a key limitation of the right to exit the contract in telecommunications is that if the cause of the recurrent fault is the infrastructure provider</w:t>
      </w:r>
      <w:r w:rsidR="00A4604E">
        <w:t>,</w:t>
      </w:r>
      <w:r w:rsidR="00DE6F7A">
        <w:t xml:space="preserve"> changing retailers will not address it. In the presence of alternative networks, such as mobile or fixed wireless, the right to exit contracts may help with incentives to address recurring faults.</w:t>
      </w:r>
    </w:p>
    <w:tbl>
      <w:tblPr>
        <w:tblStyle w:val="TableGrid"/>
        <w:tblW w:w="0" w:type="auto"/>
        <w:tblLook w:val="04A0" w:firstRow="1" w:lastRow="0" w:firstColumn="1" w:lastColumn="0" w:noHBand="0" w:noVBand="1"/>
      </w:tblPr>
      <w:tblGrid>
        <w:gridCol w:w="9242"/>
      </w:tblGrid>
      <w:tr w:rsidR="00C23848" w14:paraId="31EE3D8E" w14:textId="77777777" w:rsidTr="00C23848">
        <w:tc>
          <w:tcPr>
            <w:tcW w:w="9242" w:type="dxa"/>
          </w:tcPr>
          <w:p w14:paraId="44E21FE4" w14:textId="77405373" w:rsidR="00C23848" w:rsidRDefault="00C23848" w:rsidP="00061819">
            <w:pPr>
              <w:spacing w:after="200" w:line="276" w:lineRule="auto"/>
            </w:pPr>
            <w:r w:rsidRPr="00061819">
              <w:rPr>
                <w:b/>
              </w:rPr>
              <w:t>Recommendation 5</w:t>
            </w:r>
            <w:r>
              <w:t>: Include a specific provision in the consumer safeguards instruments</w:t>
            </w:r>
            <w:r w:rsidR="00061819">
              <w:t xml:space="preserve"> that provide telecommunications customers the right to exit a contract without penalty on the grounds of recurrent faults.</w:t>
            </w:r>
            <w:r>
              <w:t xml:space="preserve"> </w:t>
            </w:r>
          </w:p>
        </w:tc>
      </w:tr>
    </w:tbl>
    <w:p w14:paraId="62E908FE" w14:textId="77777777" w:rsidR="00862F8B" w:rsidRPr="003441E5" w:rsidRDefault="00862F8B" w:rsidP="00862F8B">
      <w:pPr>
        <w:pStyle w:val="Heading2"/>
      </w:pPr>
      <w:bookmarkStart w:id="15" w:name="_Toc535530141"/>
      <w:bookmarkStart w:id="16" w:name="_Toc535596214"/>
      <w:r>
        <w:t>Incentives to repair faults quickly</w:t>
      </w:r>
      <w:bookmarkEnd w:id="15"/>
      <w:bookmarkEnd w:id="16"/>
    </w:p>
    <w:p w14:paraId="210AE406" w14:textId="02D28DD3" w:rsidR="00892427" w:rsidRDefault="00892427" w:rsidP="00892427">
      <w:pPr>
        <w:spacing w:before="0" w:beforeAutospacing="0" w:after="200" w:afterAutospacing="0" w:line="276" w:lineRule="auto"/>
      </w:pPr>
      <w:r>
        <w:t>The Department has proposed maximum timeframes for connections and repairs applicable to all providers and fixed line services</w:t>
      </w:r>
      <w:r w:rsidR="00262741">
        <w:t xml:space="preserve"> (discussed in section </w:t>
      </w:r>
      <w:r w:rsidR="00645370">
        <w:t>3</w:t>
      </w:r>
      <w:r w:rsidR="00262741">
        <w:t>.1)</w:t>
      </w:r>
      <w:r>
        <w:t xml:space="preserve">. It has proposed that significant penalties will apply for non-compliance. Under proposed standards, </w:t>
      </w:r>
      <w:r w:rsidR="00262741">
        <w:t>customer</w:t>
      </w:r>
      <w:r>
        <w:t xml:space="preserve">s will not be billed for any period where a </w:t>
      </w:r>
      <w:r w:rsidR="00645370">
        <w:t xml:space="preserve">customer does not have a working </w:t>
      </w:r>
      <w:r>
        <w:t>connection. If the maximum timeframes cannot be met, the provider must, until the issue is resolved, find another way to keep the c</w:t>
      </w:r>
      <w:r w:rsidR="00262741">
        <w:t>ustome</w:t>
      </w:r>
      <w:r>
        <w:t xml:space="preserve">r connected at no additional cost. If another party (such as the network provider) is responsible for a mandatory </w:t>
      </w:r>
      <w:r>
        <w:lastRenderedPageBreak/>
        <w:t xml:space="preserve">timeframe not being met, it will </w:t>
      </w:r>
      <w:r w:rsidR="00262741">
        <w:t>reimburse</w:t>
      </w:r>
      <w:r>
        <w:t xml:space="preserve"> the retailer the cost of providing any agreed backup or alter</w:t>
      </w:r>
      <w:r w:rsidR="00262741">
        <w:t>native</w:t>
      </w:r>
      <w:r>
        <w:t xml:space="preserve"> servi</w:t>
      </w:r>
      <w:r w:rsidR="00262741">
        <w:t>c</w:t>
      </w:r>
      <w:r>
        <w:t>e</w:t>
      </w:r>
      <w:r w:rsidR="00262741">
        <w:t>.</w:t>
      </w:r>
    </w:p>
    <w:p w14:paraId="39DA754C" w14:textId="77777777" w:rsidR="006666EE" w:rsidRDefault="00892427" w:rsidP="006666EE">
      <w:pPr>
        <w:spacing w:before="0" w:beforeAutospacing="0" w:after="200" w:afterAutospacing="0" w:line="276" w:lineRule="auto"/>
      </w:pPr>
      <w:r>
        <w:t>The Department has asked:</w:t>
      </w:r>
    </w:p>
    <w:p w14:paraId="0CD2CA84" w14:textId="77777777" w:rsidR="0036009E" w:rsidRPr="00892427" w:rsidRDefault="00892427" w:rsidP="00892427">
      <w:pPr>
        <w:spacing w:before="0" w:beforeAutospacing="0" w:after="200" w:afterAutospacing="0" w:line="276" w:lineRule="auto"/>
        <w:rPr>
          <w:i/>
        </w:rPr>
      </w:pPr>
      <w:r w:rsidRPr="00892427">
        <w:rPr>
          <w:i/>
        </w:rPr>
        <w:t>“</w:t>
      </w:r>
      <w:r w:rsidR="0036009E" w:rsidRPr="00892427">
        <w:rPr>
          <w:i/>
        </w:rPr>
        <w:t>How can industry best ensure consumers are not left without a working fixed connection for lengthy periods? What alternative service arrangements are reasonable?</w:t>
      </w:r>
      <w:r w:rsidRPr="00892427">
        <w:rPr>
          <w:i/>
        </w:rPr>
        <w:t>”</w:t>
      </w:r>
    </w:p>
    <w:p w14:paraId="0DAFDEA2" w14:textId="3E7AD80B" w:rsidR="00262741" w:rsidRDefault="00262741" w:rsidP="00892427">
      <w:pPr>
        <w:spacing w:before="0" w:beforeAutospacing="0" w:after="200" w:afterAutospacing="0" w:line="276" w:lineRule="auto"/>
      </w:pPr>
      <w:r>
        <w:t xml:space="preserve">Industry has the technological means to quickly connect or reconnect customers </w:t>
      </w:r>
      <w:r w:rsidR="00AD0339">
        <w:t xml:space="preserve">(or provide alternative arrangements) </w:t>
      </w:r>
      <w:r>
        <w:t xml:space="preserve">such that customers are never without a working fixed connection for lengthy periods. </w:t>
      </w:r>
      <w:r w:rsidR="0066600A">
        <w:t xml:space="preserve">However, doing so has costs. </w:t>
      </w:r>
      <w:r w:rsidR="00D32E61">
        <w:t>Consequently, i</w:t>
      </w:r>
      <w:r w:rsidR="0066600A">
        <w:t xml:space="preserve">ndustry will best ensure customers are not left without a working fixed connection for lengthy periods if it costs </w:t>
      </w:r>
      <w:r w:rsidR="00BE223E">
        <w:t xml:space="preserve">less to fix the connection than </w:t>
      </w:r>
      <w:r w:rsidR="0066600A">
        <w:t xml:space="preserve">to </w:t>
      </w:r>
      <w:r w:rsidR="00D32E61">
        <w:t>leave the connection not working.</w:t>
      </w:r>
    </w:p>
    <w:p w14:paraId="0A039E00" w14:textId="0EDED312" w:rsidR="008E09E1" w:rsidRDefault="00AD0339" w:rsidP="00892427">
      <w:pPr>
        <w:spacing w:before="0" w:beforeAutospacing="0" w:after="200" w:afterAutospacing="0" w:line="276" w:lineRule="auto"/>
      </w:pPr>
      <w:r>
        <w:t xml:space="preserve">Customers are often left without a working fixed connection for lengthy periods because to fix the connection is expected to incur significant costs (either directly through labour and materials or indirectly through diverting labour). </w:t>
      </w:r>
      <w:r w:rsidR="00651A0B">
        <w:t xml:space="preserve">ACCAN often hears from customers on Telstra’s legacy network of unrepaired faults that last weeks and even months. </w:t>
      </w:r>
      <w:r w:rsidR="00BE223E">
        <w:t>For example</w:t>
      </w:r>
      <w:r w:rsidR="00893CCB">
        <w:t xml:space="preserve">, </w:t>
      </w:r>
      <w:r w:rsidR="00875F13">
        <w:t>at the Isolated Children</w:t>
      </w:r>
      <w:r w:rsidR="00D21AA1">
        <w:t>’</w:t>
      </w:r>
      <w:r w:rsidR="00875F13">
        <w:t>s Parents Association (</w:t>
      </w:r>
      <w:r w:rsidR="00BE223E">
        <w:t>ICPA</w:t>
      </w:r>
      <w:r w:rsidR="00875F13">
        <w:t>)</w:t>
      </w:r>
      <w:r w:rsidR="00BE223E">
        <w:t xml:space="preserve"> </w:t>
      </w:r>
      <w:r w:rsidR="00765EA0">
        <w:t>F</w:t>
      </w:r>
      <w:r w:rsidR="00BE223E">
        <w:t xml:space="preserve">ederal </w:t>
      </w:r>
      <w:r w:rsidR="00765EA0">
        <w:t>C</w:t>
      </w:r>
      <w:r w:rsidR="00BE223E">
        <w:t xml:space="preserve">onference </w:t>
      </w:r>
      <w:r w:rsidR="00765EA0">
        <w:t xml:space="preserve">in 2018, delegates reported </w:t>
      </w:r>
      <w:r w:rsidR="00BE223E">
        <w:t>regular experience</w:t>
      </w:r>
      <w:r w:rsidR="00765EA0">
        <w:t>s of</w:t>
      </w:r>
      <w:r w:rsidR="00BE223E">
        <w:t xml:space="preserve"> two weeks a month without a phone service</w:t>
      </w:r>
      <w:r w:rsidR="00765EA0">
        <w:t>, and deep</w:t>
      </w:r>
      <w:r w:rsidR="00BE223E">
        <w:t xml:space="preserve"> concern</w:t>
      </w:r>
      <w:r w:rsidR="00765EA0">
        <w:t xml:space="preserve">s </w:t>
      </w:r>
      <w:r w:rsidR="00BE223E">
        <w:t xml:space="preserve">about maintenance of voice over </w:t>
      </w:r>
      <w:r w:rsidR="00765EA0">
        <w:t xml:space="preserve">Telstra’s </w:t>
      </w:r>
      <w:r w:rsidR="00875F13">
        <w:t>H</w:t>
      </w:r>
      <w:r w:rsidR="00765EA0">
        <w:t>C</w:t>
      </w:r>
      <w:r w:rsidR="00875F13">
        <w:t>RC</w:t>
      </w:r>
      <w:r w:rsidR="00765EA0">
        <w:t xml:space="preserve"> network based on experiences of delayed fault repairs due to </w:t>
      </w:r>
      <w:r w:rsidR="00BE223E">
        <w:t>parts that needed to be ordered by Telstra to address problems.</w:t>
      </w:r>
    </w:p>
    <w:p w14:paraId="5F76BFC4" w14:textId="5780C1B9" w:rsidR="00173020" w:rsidRPr="00173020" w:rsidRDefault="00173020" w:rsidP="00173020">
      <w:pPr>
        <w:spacing w:line="276" w:lineRule="auto"/>
        <w:rPr>
          <w:rFonts w:asciiTheme="minorHAnsi" w:hAnsiTheme="minorHAnsi" w:cstheme="minorHAnsi"/>
        </w:rPr>
      </w:pPr>
      <w:r w:rsidRPr="00173020">
        <w:rPr>
          <w:rFonts w:asciiTheme="minorHAnsi" w:hAnsiTheme="minorHAnsi" w:cstheme="minorHAnsi"/>
        </w:rPr>
        <w:t>These individual experiences are confirmed by the trends revealed in Telstra’s Network Reliability Framework figures</w:t>
      </w:r>
      <w:r w:rsidR="00645370">
        <w:rPr>
          <w:rFonts w:asciiTheme="minorHAnsi" w:hAnsiTheme="minorHAnsi" w:cstheme="minorHAnsi"/>
        </w:rPr>
        <w:t>. In</w:t>
      </w:r>
      <w:r w:rsidRPr="00173020">
        <w:rPr>
          <w:rFonts w:asciiTheme="minorHAnsi" w:hAnsiTheme="minorHAnsi" w:cstheme="minorHAnsi"/>
        </w:rPr>
        <w:t xml:space="preserve"> 2016-17</w:t>
      </w:r>
      <w:r w:rsidR="00645370">
        <w:rPr>
          <w:rFonts w:asciiTheme="minorHAnsi" w:hAnsiTheme="minorHAnsi" w:cstheme="minorHAnsi"/>
        </w:rPr>
        <w:t xml:space="preserve"> there was </w:t>
      </w:r>
      <w:r w:rsidRPr="00173020">
        <w:rPr>
          <w:rFonts w:asciiTheme="minorHAnsi" w:hAnsiTheme="minorHAnsi" w:cstheme="minorHAnsi"/>
        </w:rPr>
        <w:t xml:space="preserve">an increased duration of time taken to restore faulty services </w:t>
      </w:r>
      <w:r w:rsidR="00205E4A">
        <w:rPr>
          <w:rFonts w:asciiTheme="minorHAnsi" w:hAnsiTheme="minorHAnsi" w:cstheme="minorHAnsi"/>
        </w:rPr>
        <w:t xml:space="preserve">compared to the previous year </w:t>
      </w:r>
      <w:r w:rsidRPr="00173020">
        <w:rPr>
          <w:rFonts w:asciiTheme="minorHAnsi" w:hAnsiTheme="minorHAnsi" w:cstheme="minorHAnsi"/>
        </w:rPr>
        <w:t>– an average of 97 hours compared to an average of 76 hours in 2015-16. The average figures for non-urban areas are very concerning – 119 hours in 2016-17, compared to 90 hours in 2015-16.</w:t>
      </w:r>
      <w:r w:rsidRPr="00173020">
        <w:rPr>
          <w:rStyle w:val="FootnoteReference"/>
          <w:rFonts w:asciiTheme="minorHAnsi" w:hAnsiTheme="minorHAnsi" w:cstheme="minorHAnsi"/>
        </w:rPr>
        <w:footnoteReference w:id="6"/>
      </w:r>
    </w:p>
    <w:p w14:paraId="2EFC9491" w14:textId="7FD2A523" w:rsidR="00AD0339" w:rsidRDefault="00651A0B" w:rsidP="00892427">
      <w:pPr>
        <w:spacing w:before="0" w:beforeAutospacing="0" w:after="200" w:afterAutospacing="0" w:line="276" w:lineRule="auto"/>
      </w:pPr>
      <w:r>
        <w:t xml:space="preserve">The current CSG framework provides a quantifiable cost to Telstra of leaving a connection unrepaired. If a service connection or repair is delayed beyond the mandatory timeframe, customers are entitled to $14.52 per working day for the first five days and $48.40 for each working day </w:t>
      </w:r>
      <w:r w:rsidR="00D21AA1">
        <w:t>there</w:t>
      </w:r>
      <w:r>
        <w:t xml:space="preserve">after. These are significant costs and yet </w:t>
      </w:r>
      <w:r w:rsidR="00765EA0">
        <w:t>Telstra</w:t>
      </w:r>
      <w:r>
        <w:t xml:space="preserve"> </w:t>
      </w:r>
      <w:r w:rsidR="00BE223E">
        <w:t>pays millions annually with the amount increasing</w:t>
      </w:r>
      <w:r w:rsidR="00205E4A">
        <w:t xml:space="preserve"> substantially in the last two years</w:t>
      </w:r>
      <w:r w:rsidR="00BE223E">
        <w:t>, as shown in the table below.</w:t>
      </w:r>
    </w:p>
    <w:p w14:paraId="2FB9DDF3" w14:textId="0194BFEF" w:rsidR="00BE223E" w:rsidRPr="00BE223E" w:rsidRDefault="00BE223E" w:rsidP="00BE223E">
      <w:pPr>
        <w:keepLines/>
        <w:spacing w:before="0" w:beforeAutospacing="0" w:after="0" w:afterAutospacing="0" w:line="276" w:lineRule="auto"/>
        <w:rPr>
          <w:b/>
        </w:rPr>
      </w:pPr>
      <w:r w:rsidRPr="00BE223E">
        <w:rPr>
          <w:b/>
        </w:rPr>
        <w:t>Table</w:t>
      </w:r>
      <w:r w:rsidR="00D2273F">
        <w:rPr>
          <w:b/>
        </w:rPr>
        <w:t xml:space="preserve"> </w:t>
      </w:r>
      <w:r w:rsidR="0069363A">
        <w:rPr>
          <w:b/>
        </w:rPr>
        <w:t>7</w:t>
      </w:r>
      <w:r w:rsidRPr="00BE223E">
        <w:rPr>
          <w:b/>
        </w:rPr>
        <w:t xml:space="preserve">: Telstra CSG volume and payments information </w:t>
      </w:r>
    </w:p>
    <w:tbl>
      <w:tblPr>
        <w:tblStyle w:val="TableGrid"/>
        <w:tblW w:w="0" w:type="auto"/>
        <w:tblLook w:val="04A0" w:firstRow="1" w:lastRow="0" w:firstColumn="1" w:lastColumn="0" w:noHBand="0" w:noVBand="1"/>
      </w:tblPr>
      <w:tblGrid>
        <w:gridCol w:w="1366"/>
        <w:gridCol w:w="1353"/>
        <w:gridCol w:w="1353"/>
        <w:gridCol w:w="1353"/>
        <w:gridCol w:w="1354"/>
        <w:gridCol w:w="1354"/>
        <w:gridCol w:w="1109"/>
      </w:tblGrid>
      <w:tr w:rsidR="00BE223E" w14:paraId="02A95495" w14:textId="1BFDFB42" w:rsidTr="00BE223E">
        <w:tc>
          <w:tcPr>
            <w:tcW w:w="1366" w:type="dxa"/>
          </w:tcPr>
          <w:p w14:paraId="06332D81" w14:textId="08FD1B2C" w:rsidR="00BE223E" w:rsidRPr="00B14097" w:rsidRDefault="00BE223E" w:rsidP="00BE223E">
            <w:pPr>
              <w:keepLines/>
              <w:spacing w:before="0" w:beforeAutospacing="0" w:after="0" w:afterAutospacing="0"/>
              <w:rPr>
                <w:b/>
              </w:rPr>
            </w:pPr>
            <w:r w:rsidRPr="00B14097">
              <w:rPr>
                <w:b/>
              </w:rPr>
              <w:t>Year</w:t>
            </w:r>
          </w:p>
        </w:tc>
        <w:tc>
          <w:tcPr>
            <w:tcW w:w="1353" w:type="dxa"/>
          </w:tcPr>
          <w:p w14:paraId="746567A1" w14:textId="12A66BBF" w:rsidR="00BE223E" w:rsidRPr="00B14097" w:rsidRDefault="00BE223E" w:rsidP="00BE223E">
            <w:pPr>
              <w:keepLines/>
              <w:spacing w:before="0" w:beforeAutospacing="0" w:after="0" w:afterAutospacing="0"/>
              <w:rPr>
                <w:b/>
              </w:rPr>
            </w:pPr>
            <w:r w:rsidRPr="00B14097">
              <w:rPr>
                <w:b/>
              </w:rPr>
              <w:t>2011/12</w:t>
            </w:r>
          </w:p>
        </w:tc>
        <w:tc>
          <w:tcPr>
            <w:tcW w:w="1353" w:type="dxa"/>
          </w:tcPr>
          <w:p w14:paraId="71458D69" w14:textId="15803D2E" w:rsidR="00BE223E" w:rsidRPr="00B14097" w:rsidRDefault="00BE223E" w:rsidP="00BE223E">
            <w:pPr>
              <w:keepLines/>
              <w:spacing w:before="0" w:beforeAutospacing="0" w:after="0" w:afterAutospacing="0"/>
              <w:rPr>
                <w:b/>
              </w:rPr>
            </w:pPr>
            <w:r w:rsidRPr="00B14097">
              <w:rPr>
                <w:b/>
              </w:rPr>
              <w:t>2012/13</w:t>
            </w:r>
          </w:p>
        </w:tc>
        <w:tc>
          <w:tcPr>
            <w:tcW w:w="1353" w:type="dxa"/>
          </w:tcPr>
          <w:p w14:paraId="144EF400" w14:textId="73B7C96D" w:rsidR="00BE223E" w:rsidRPr="00B14097" w:rsidRDefault="00BE223E" w:rsidP="00BE223E">
            <w:pPr>
              <w:keepLines/>
              <w:spacing w:before="0" w:beforeAutospacing="0" w:after="0" w:afterAutospacing="0"/>
              <w:rPr>
                <w:b/>
              </w:rPr>
            </w:pPr>
            <w:r w:rsidRPr="00B14097">
              <w:rPr>
                <w:b/>
              </w:rPr>
              <w:t>2013/14</w:t>
            </w:r>
          </w:p>
        </w:tc>
        <w:tc>
          <w:tcPr>
            <w:tcW w:w="1354" w:type="dxa"/>
          </w:tcPr>
          <w:p w14:paraId="33F36B68" w14:textId="6CB751E2" w:rsidR="00BE223E" w:rsidRPr="00B14097" w:rsidRDefault="00BE223E" w:rsidP="00BE223E">
            <w:pPr>
              <w:keepLines/>
              <w:spacing w:before="0" w:beforeAutospacing="0" w:after="0" w:afterAutospacing="0"/>
              <w:rPr>
                <w:b/>
              </w:rPr>
            </w:pPr>
            <w:r w:rsidRPr="00B14097">
              <w:rPr>
                <w:b/>
              </w:rPr>
              <w:t>2014/15</w:t>
            </w:r>
          </w:p>
        </w:tc>
        <w:tc>
          <w:tcPr>
            <w:tcW w:w="1354" w:type="dxa"/>
          </w:tcPr>
          <w:p w14:paraId="1C6C5298" w14:textId="4FCD2B89" w:rsidR="00BE223E" w:rsidRPr="00B14097" w:rsidRDefault="00BE223E" w:rsidP="00BE223E">
            <w:pPr>
              <w:keepLines/>
              <w:spacing w:before="0" w:beforeAutospacing="0" w:after="0" w:afterAutospacing="0"/>
              <w:rPr>
                <w:b/>
              </w:rPr>
            </w:pPr>
            <w:r w:rsidRPr="00B14097">
              <w:rPr>
                <w:b/>
              </w:rPr>
              <w:t>2015/16</w:t>
            </w:r>
          </w:p>
        </w:tc>
        <w:tc>
          <w:tcPr>
            <w:tcW w:w="1109" w:type="dxa"/>
          </w:tcPr>
          <w:p w14:paraId="799CC447" w14:textId="3BCB9A50" w:rsidR="00BE223E" w:rsidRPr="00B14097" w:rsidRDefault="00BE223E" w:rsidP="00BE223E">
            <w:pPr>
              <w:keepLines/>
              <w:spacing w:before="0" w:beforeAutospacing="0" w:after="0" w:afterAutospacing="0"/>
              <w:rPr>
                <w:b/>
              </w:rPr>
            </w:pPr>
            <w:r w:rsidRPr="00B14097">
              <w:rPr>
                <w:b/>
              </w:rPr>
              <w:t>2016/17</w:t>
            </w:r>
          </w:p>
        </w:tc>
      </w:tr>
      <w:tr w:rsidR="00BE223E" w14:paraId="482F8831" w14:textId="0E22C591" w:rsidTr="00BE223E">
        <w:tc>
          <w:tcPr>
            <w:tcW w:w="1366" w:type="dxa"/>
          </w:tcPr>
          <w:p w14:paraId="351E96EB" w14:textId="71082552" w:rsidR="00BE223E" w:rsidRPr="00B14097" w:rsidRDefault="00BE223E" w:rsidP="00BE223E">
            <w:pPr>
              <w:keepLines/>
              <w:spacing w:before="0" w:beforeAutospacing="0" w:after="0" w:afterAutospacing="0"/>
              <w:rPr>
                <w:b/>
              </w:rPr>
            </w:pPr>
            <w:r w:rsidRPr="00B14097">
              <w:rPr>
                <w:b/>
              </w:rPr>
              <w:t>Volume</w:t>
            </w:r>
          </w:p>
        </w:tc>
        <w:tc>
          <w:tcPr>
            <w:tcW w:w="1353" w:type="dxa"/>
          </w:tcPr>
          <w:p w14:paraId="71909774" w14:textId="29192C2E" w:rsidR="00BE223E" w:rsidRDefault="00BE223E" w:rsidP="00BE223E">
            <w:pPr>
              <w:keepLines/>
              <w:spacing w:before="0" w:beforeAutospacing="0" w:after="0" w:afterAutospacing="0"/>
            </w:pPr>
            <w:r>
              <w:t>137, 348</w:t>
            </w:r>
          </w:p>
        </w:tc>
        <w:tc>
          <w:tcPr>
            <w:tcW w:w="1353" w:type="dxa"/>
          </w:tcPr>
          <w:p w14:paraId="530F2511" w14:textId="45C09C0E" w:rsidR="00BE223E" w:rsidRDefault="00BE223E" w:rsidP="00BE223E">
            <w:pPr>
              <w:keepLines/>
              <w:spacing w:before="0" w:beforeAutospacing="0" w:after="0" w:afterAutospacing="0"/>
            </w:pPr>
            <w:r>
              <w:t>143, 294</w:t>
            </w:r>
          </w:p>
        </w:tc>
        <w:tc>
          <w:tcPr>
            <w:tcW w:w="1353" w:type="dxa"/>
          </w:tcPr>
          <w:p w14:paraId="070DD49F" w14:textId="092F9989" w:rsidR="00BE223E" w:rsidRDefault="00BE223E" w:rsidP="00BE223E">
            <w:pPr>
              <w:keepLines/>
              <w:spacing w:before="0" w:beforeAutospacing="0" w:after="0" w:afterAutospacing="0"/>
            </w:pPr>
            <w:r>
              <w:t>106, 038</w:t>
            </w:r>
          </w:p>
        </w:tc>
        <w:tc>
          <w:tcPr>
            <w:tcW w:w="1354" w:type="dxa"/>
          </w:tcPr>
          <w:p w14:paraId="38A28A44" w14:textId="0221C516" w:rsidR="00BE223E" w:rsidRDefault="00BE223E" w:rsidP="00BE223E">
            <w:pPr>
              <w:keepLines/>
              <w:spacing w:before="0" w:beforeAutospacing="0" w:after="0" w:afterAutospacing="0"/>
            </w:pPr>
            <w:r>
              <w:t>56, 114</w:t>
            </w:r>
          </w:p>
        </w:tc>
        <w:tc>
          <w:tcPr>
            <w:tcW w:w="1354" w:type="dxa"/>
          </w:tcPr>
          <w:p w14:paraId="4E9F1683" w14:textId="649285D4" w:rsidR="00BE223E" w:rsidRDefault="00BE223E" w:rsidP="00BE223E">
            <w:pPr>
              <w:keepLines/>
              <w:spacing w:before="0" w:beforeAutospacing="0" w:after="0" w:afterAutospacing="0"/>
            </w:pPr>
            <w:r>
              <w:t>153, 310</w:t>
            </w:r>
          </w:p>
        </w:tc>
        <w:tc>
          <w:tcPr>
            <w:tcW w:w="1109" w:type="dxa"/>
          </w:tcPr>
          <w:p w14:paraId="67020332" w14:textId="6424EFA1" w:rsidR="00BE223E" w:rsidRDefault="00BE223E" w:rsidP="00BE223E">
            <w:pPr>
              <w:keepLines/>
              <w:spacing w:before="0" w:beforeAutospacing="0" w:after="0" w:afterAutospacing="0"/>
            </w:pPr>
            <w:r>
              <w:t>198, 514</w:t>
            </w:r>
          </w:p>
        </w:tc>
      </w:tr>
      <w:tr w:rsidR="00BE223E" w14:paraId="04610728" w14:textId="534185DB" w:rsidTr="00BE223E">
        <w:tc>
          <w:tcPr>
            <w:tcW w:w="1366" w:type="dxa"/>
          </w:tcPr>
          <w:p w14:paraId="62888927" w14:textId="26A3BD2B" w:rsidR="00BE223E" w:rsidRPr="00B14097" w:rsidRDefault="00BE223E" w:rsidP="00BE223E">
            <w:pPr>
              <w:keepLines/>
              <w:spacing w:before="0" w:beforeAutospacing="0" w:after="0" w:afterAutospacing="0"/>
              <w:rPr>
                <w:b/>
              </w:rPr>
            </w:pPr>
            <w:r w:rsidRPr="00B14097">
              <w:rPr>
                <w:b/>
              </w:rPr>
              <w:t xml:space="preserve">Total </w:t>
            </w:r>
          </w:p>
        </w:tc>
        <w:tc>
          <w:tcPr>
            <w:tcW w:w="1353" w:type="dxa"/>
          </w:tcPr>
          <w:p w14:paraId="2B0296B4" w14:textId="7809ED9E" w:rsidR="00BE223E" w:rsidRDefault="00BE223E" w:rsidP="00BE223E">
            <w:pPr>
              <w:keepLines/>
              <w:spacing w:before="0" w:beforeAutospacing="0" w:after="0" w:afterAutospacing="0"/>
            </w:pPr>
            <w:r>
              <w:t>$4.57m</w:t>
            </w:r>
          </w:p>
        </w:tc>
        <w:tc>
          <w:tcPr>
            <w:tcW w:w="1353" w:type="dxa"/>
          </w:tcPr>
          <w:p w14:paraId="1D5C42B2" w14:textId="2FEDC973" w:rsidR="00BE223E" w:rsidRDefault="00BE223E" w:rsidP="00BE223E">
            <w:pPr>
              <w:keepLines/>
              <w:spacing w:before="0" w:beforeAutospacing="0" w:after="0" w:afterAutospacing="0"/>
            </w:pPr>
            <w:r>
              <w:t>$6.14m</w:t>
            </w:r>
          </w:p>
        </w:tc>
        <w:tc>
          <w:tcPr>
            <w:tcW w:w="1353" w:type="dxa"/>
          </w:tcPr>
          <w:p w14:paraId="77776F31" w14:textId="50560EC7" w:rsidR="00BE223E" w:rsidRDefault="00BE223E" w:rsidP="00BE223E">
            <w:pPr>
              <w:keepLines/>
              <w:spacing w:before="0" w:beforeAutospacing="0" w:after="0" w:afterAutospacing="0"/>
            </w:pPr>
            <w:r>
              <w:t>$5.65m</w:t>
            </w:r>
          </w:p>
        </w:tc>
        <w:tc>
          <w:tcPr>
            <w:tcW w:w="1354" w:type="dxa"/>
          </w:tcPr>
          <w:p w14:paraId="3BF1A469" w14:textId="1081C582" w:rsidR="00BE223E" w:rsidRDefault="00BE223E" w:rsidP="00BE223E">
            <w:pPr>
              <w:keepLines/>
              <w:spacing w:before="0" w:beforeAutospacing="0" w:after="0" w:afterAutospacing="0"/>
            </w:pPr>
            <w:r>
              <w:t>$2.81m</w:t>
            </w:r>
          </w:p>
        </w:tc>
        <w:tc>
          <w:tcPr>
            <w:tcW w:w="1354" w:type="dxa"/>
          </w:tcPr>
          <w:p w14:paraId="403D227E" w14:textId="5D82BE34" w:rsidR="00BE223E" w:rsidRDefault="00BE223E" w:rsidP="00BE223E">
            <w:pPr>
              <w:keepLines/>
              <w:spacing w:before="0" w:beforeAutospacing="0" w:after="0" w:afterAutospacing="0"/>
            </w:pPr>
            <w:r>
              <w:t>$9.29m</w:t>
            </w:r>
          </w:p>
        </w:tc>
        <w:tc>
          <w:tcPr>
            <w:tcW w:w="1109" w:type="dxa"/>
          </w:tcPr>
          <w:p w14:paraId="13B90398" w14:textId="7BC7B0A5" w:rsidR="00BE223E" w:rsidRDefault="00BE223E" w:rsidP="00BE223E">
            <w:pPr>
              <w:keepLines/>
              <w:spacing w:before="0" w:beforeAutospacing="0" w:after="0" w:afterAutospacing="0"/>
            </w:pPr>
            <w:r>
              <w:t>$14.58m</w:t>
            </w:r>
          </w:p>
        </w:tc>
      </w:tr>
    </w:tbl>
    <w:p w14:paraId="2ADC3C7E" w14:textId="3AD0CE68" w:rsidR="00321597" w:rsidRDefault="00BE223E" w:rsidP="00BE223E">
      <w:pPr>
        <w:keepLines/>
        <w:spacing w:before="0" w:beforeAutospacing="0" w:after="200" w:afterAutospacing="0" w:line="276" w:lineRule="auto"/>
      </w:pPr>
      <w:r>
        <w:t>Source: ACMA Communications reports 2011/12 – 2016/17.</w:t>
      </w:r>
    </w:p>
    <w:p w14:paraId="5E0981FE" w14:textId="2152FAE2" w:rsidR="00651A0B" w:rsidRDefault="00651A0B" w:rsidP="00892427">
      <w:pPr>
        <w:spacing w:before="0" w:beforeAutospacing="0" w:after="200" w:afterAutospacing="0" w:line="276" w:lineRule="auto"/>
      </w:pPr>
      <w:r>
        <w:lastRenderedPageBreak/>
        <w:t xml:space="preserve">ACCAN considers that faults are left unrepaired because Telstra assesses the cost of fixing </w:t>
      </w:r>
      <w:r w:rsidR="00765EA0">
        <w:t>them</w:t>
      </w:r>
      <w:r>
        <w:t xml:space="preserve"> sooner as more expensive than potential compensation. This is likely because the compensation arrangements are too low, the probability of customers claiming compensation is low and the technology is expensive to maintain.</w:t>
      </w:r>
      <w:r w:rsidR="00FB2EEA">
        <w:t xml:space="preserve"> </w:t>
      </w:r>
      <w:r w:rsidR="001C5471">
        <w:t>In addition, with the migration to the NBN, increasingly CSG infrastructure services are being provided by NBN but it is not subject to the same requirements as Telstra</w:t>
      </w:r>
      <w:r w:rsidR="00D21AA1">
        <w:t>, pointing to the need for synchronised complementary obligations at a wholesale and retail level</w:t>
      </w:r>
      <w:r w:rsidR="001C5471">
        <w:t>.</w:t>
      </w:r>
    </w:p>
    <w:p w14:paraId="72C70904" w14:textId="3ED94D79" w:rsidR="00F35388" w:rsidRDefault="00FB2EEA" w:rsidP="00892427">
      <w:pPr>
        <w:spacing w:before="0" w:beforeAutospacing="0" w:after="200" w:afterAutospacing="0" w:line="276" w:lineRule="auto"/>
      </w:pPr>
      <w:r>
        <w:t>With the advent of new fixed-line networks, it is likely that maintenance costs are much less than on Telstra’s legacy network. Thus, industry will have the incentive to fix faults if the individual incentive is high enough</w:t>
      </w:r>
      <w:r w:rsidR="001C5471">
        <w:t xml:space="preserve"> and currently NBN faces limited incentive to quickly fix faults or make connections</w:t>
      </w:r>
      <w:r>
        <w:t>.</w:t>
      </w:r>
      <w:r w:rsidR="002B6C2B">
        <w:t xml:space="preserve"> Some faults though can be caused by retail service provider errors such as wrongful disconnection or the incorrect information being provided to the infrastructure provider. </w:t>
      </w:r>
      <w:r w:rsidR="00F35388">
        <w:t>Thus incentives need to be on both the infrastructure provider as well as the retailer, as highlighted in the case below.</w:t>
      </w:r>
    </w:p>
    <w:tbl>
      <w:tblPr>
        <w:tblStyle w:val="TableGrid"/>
        <w:tblW w:w="0" w:type="auto"/>
        <w:tblLook w:val="04A0" w:firstRow="1" w:lastRow="0" w:firstColumn="1" w:lastColumn="0" w:noHBand="0" w:noVBand="1"/>
      </w:tblPr>
      <w:tblGrid>
        <w:gridCol w:w="9242"/>
      </w:tblGrid>
      <w:tr w:rsidR="00F35388" w14:paraId="1B36F6B7" w14:textId="77777777" w:rsidTr="005515AA">
        <w:tc>
          <w:tcPr>
            <w:tcW w:w="9242" w:type="dxa"/>
          </w:tcPr>
          <w:p w14:paraId="4B2E3767" w14:textId="6B88C6C0" w:rsidR="00F35388" w:rsidRPr="002B6C2B" w:rsidRDefault="007A0555" w:rsidP="005515AA">
            <w:pPr>
              <w:spacing w:before="0" w:beforeAutospacing="0" w:after="200" w:afterAutospacing="0" w:line="276" w:lineRule="auto"/>
              <w:rPr>
                <w:b/>
              </w:rPr>
            </w:pPr>
            <w:r>
              <w:rPr>
                <w:b/>
              </w:rPr>
              <w:t xml:space="preserve">Box 3: </w:t>
            </w:r>
            <w:r w:rsidR="00F35388" w:rsidRPr="002B6C2B">
              <w:rPr>
                <w:b/>
              </w:rPr>
              <w:t>Case study</w:t>
            </w:r>
            <w:r>
              <w:rPr>
                <w:b/>
              </w:rPr>
              <w:t xml:space="preserve"> -w</w:t>
            </w:r>
            <w:r w:rsidR="00F35388" w:rsidRPr="002B6C2B">
              <w:rPr>
                <w:b/>
              </w:rPr>
              <w:t>rongful disconnection from NBN, delayed reconnection</w:t>
            </w:r>
          </w:p>
          <w:p w14:paraId="471034AC" w14:textId="4293F29D" w:rsidR="00F35388" w:rsidRDefault="00F35388" w:rsidP="005515AA">
            <w:pPr>
              <w:spacing w:before="0" w:beforeAutospacing="0" w:after="200" w:afterAutospacing="0" w:line="276" w:lineRule="auto"/>
            </w:pPr>
            <w:r>
              <w:t xml:space="preserve">Joy is a small business owner in WA </w:t>
            </w:r>
            <w:r w:rsidR="00432346">
              <w:t>who</w:t>
            </w:r>
            <w:r>
              <w:t xml:space="preserve"> has an nbn voice and broadband connection with Commander. On </w:t>
            </w:r>
            <w:r w:rsidR="00205E4A">
              <w:t xml:space="preserve">a Monday in </w:t>
            </w:r>
            <w:r>
              <w:t xml:space="preserve">November </w:t>
            </w:r>
            <w:r w:rsidR="00D21AA1">
              <w:t xml:space="preserve">2018, </w:t>
            </w:r>
            <w:r>
              <w:t xml:space="preserve">her phone and internet was cut off without explanation. </w:t>
            </w:r>
          </w:p>
          <w:p w14:paraId="53C1848C" w14:textId="6EAB0AF1" w:rsidR="00F35388" w:rsidRDefault="00F35388" w:rsidP="005515AA">
            <w:pPr>
              <w:spacing w:before="0" w:beforeAutospacing="0" w:after="200" w:afterAutospacing="0" w:line="276" w:lineRule="auto"/>
            </w:pPr>
            <w:r>
              <w:t>Joy contacted Commander and was told she had applied for a disconnection and so nbn disconnected the service. She then contacted nbn</w:t>
            </w:r>
            <w:r w:rsidR="00A06F56">
              <w:t xml:space="preserve"> and</w:t>
            </w:r>
            <w:r w:rsidR="00432346">
              <w:t xml:space="preserve"> </w:t>
            </w:r>
            <w:r w:rsidR="00A06F56">
              <w:t>it</w:t>
            </w:r>
            <w:r w:rsidR="00432346">
              <w:t xml:space="preserve"> advised</w:t>
            </w:r>
            <w:r>
              <w:t xml:space="preserve"> that it would not have disconnected without an order from the RSP. Joy contacted the TIO as well as ACCAN, then ultimately raised the issue with her local MP. She was reconnected about 10 days later </w:t>
            </w:r>
            <w:r w:rsidR="00875F13">
              <w:t>following</w:t>
            </w:r>
            <w:r>
              <w:t xml:space="preserve"> the local MP contacting NBN Co. During the 10 day period she called Commander one to two times a day to get reconnected. The case manager never followed up with her and she was not offered any compensation.</w:t>
            </w:r>
          </w:p>
          <w:p w14:paraId="4206D570" w14:textId="40CF531E" w:rsidR="00F35388" w:rsidRDefault="00F35388" w:rsidP="00205E4A">
            <w:pPr>
              <w:spacing w:before="0" w:beforeAutospacing="0" w:after="200" w:afterAutospacing="0" w:line="276" w:lineRule="auto"/>
            </w:pPr>
            <w:r>
              <w:t>During her disconnection, Joy diverted calls to her mobile. Managing the volume of calls on her personal mobile was difficult a</w:t>
            </w:r>
            <w:r w:rsidR="00205E4A">
              <w:t>t the same time she was trying to resolve the disconnection of the business lines</w:t>
            </w:r>
            <w:r>
              <w:t xml:space="preserve">. Online platforms she needed to run her business were inaccessible while the broadband connection was down. This caused a backlog in work that had to be completed manually while system access was down and then needed to be redone once system access was restored. </w:t>
            </w:r>
            <w:r w:rsidR="00205E4A">
              <w:t>ACCAN contacted Joy months later to discover she was still managing the backlog and other impacts on the business from the disconnection.</w:t>
            </w:r>
          </w:p>
        </w:tc>
      </w:tr>
    </w:tbl>
    <w:p w14:paraId="371A0E6C" w14:textId="77777777" w:rsidR="00F35388" w:rsidRDefault="00F35388" w:rsidP="00892427">
      <w:pPr>
        <w:spacing w:before="0" w:beforeAutospacing="0" w:after="200" w:afterAutospacing="0" w:line="276" w:lineRule="auto"/>
      </w:pPr>
    </w:p>
    <w:p w14:paraId="051A3879" w14:textId="01A8D493" w:rsidR="00F35388" w:rsidRDefault="00F35388" w:rsidP="00892427">
      <w:pPr>
        <w:spacing w:before="0" w:beforeAutospacing="0" w:after="200" w:afterAutospacing="0" w:line="276" w:lineRule="auto"/>
      </w:pPr>
      <w:r>
        <w:t>Currently retailers other than Telstra can ask customers to waive their rights to compensation under the CSG and most do. Thus the figures above do not represent the full picture of connection and repair ti</w:t>
      </w:r>
      <w:r w:rsidR="00875F13">
        <w:t>meframes, as the Department repor</w:t>
      </w:r>
      <w:r>
        <w:t xml:space="preserve">ts </w:t>
      </w:r>
      <w:r w:rsidR="00875F13">
        <w:t>that</w:t>
      </w:r>
      <w:r>
        <w:t xml:space="preserve"> 23% of customers with fixed voice services are not covered by the CSG. The case study below highlights the difficulties these customers face trying to get problems fixed and negotiating compensation.</w:t>
      </w:r>
    </w:p>
    <w:tbl>
      <w:tblPr>
        <w:tblStyle w:val="TableGrid"/>
        <w:tblW w:w="0" w:type="auto"/>
        <w:tblLook w:val="04A0" w:firstRow="1" w:lastRow="0" w:firstColumn="1" w:lastColumn="0" w:noHBand="0" w:noVBand="1"/>
      </w:tblPr>
      <w:tblGrid>
        <w:gridCol w:w="9242"/>
      </w:tblGrid>
      <w:tr w:rsidR="00F35388" w14:paraId="14668689" w14:textId="77777777" w:rsidTr="00F35388">
        <w:tc>
          <w:tcPr>
            <w:tcW w:w="9242" w:type="dxa"/>
          </w:tcPr>
          <w:p w14:paraId="3850D2E1" w14:textId="14734E2B" w:rsidR="00F35388" w:rsidRPr="0021166B" w:rsidRDefault="007A0555" w:rsidP="00892427">
            <w:pPr>
              <w:spacing w:before="0" w:beforeAutospacing="0" w:after="200" w:afterAutospacing="0" w:line="276" w:lineRule="auto"/>
              <w:rPr>
                <w:b/>
              </w:rPr>
            </w:pPr>
            <w:r>
              <w:rPr>
                <w:b/>
              </w:rPr>
              <w:t xml:space="preserve">Box 4: </w:t>
            </w:r>
            <w:r w:rsidR="00F35388" w:rsidRPr="0021166B">
              <w:rPr>
                <w:b/>
              </w:rPr>
              <w:t>Case study</w:t>
            </w:r>
            <w:r>
              <w:rPr>
                <w:b/>
              </w:rPr>
              <w:t xml:space="preserve"> -</w:t>
            </w:r>
            <w:r w:rsidR="00F35388" w:rsidRPr="0021166B">
              <w:rPr>
                <w:b/>
              </w:rPr>
              <w:t xml:space="preserve"> delayed fault repair for non CSG fixed line voice</w:t>
            </w:r>
          </w:p>
          <w:p w14:paraId="237D2E50" w14:textId="268A7F38" w:rsidR="00F35388" w:rsidRDefault="00F35388" w:rsidP="00875F13">
            <w:pPr>
              <w:spacing w:before="0" w:beforeAutospacing="0" w:after="200" w:afterAutospacing="0" w:line="276" w:lineRule="auto"/>
            </w:pPr>
            <w:r>
              <w:t xml:space="preserve">Greg has a fixed line voice service with My Republic. During a 16 week period he was unable to receive inbound calls. During the 16 week period he contacted My Republic over 20 times via chat, </w:t>
            </w:r>
            <w:r>
              <w:lastRenderedPageBreak/>
              <w:t xml:space="preserve">phone and email. My Republic never contacted him about a fault and only replied to two emails. </w:t>
            </w:r>
            <w:r w:rsidR="0021166B">
              <w:t>After a couple of weeks Greg contacted the TIO</w:t>
            </w:r>
            <w:r w:rsidR="00875F13">
              <w:t xml:space="preserve"> which eventually helped get his service working properly</w:t>
            </w:r>
            <w:r w:rsidR="0021166B">
              <w:t xml:space="preserve">. Once the service was fixed and working properly he asked about compensation. </w:t>
            </w:r>
            <w:r w:rsidR="00875F13">
              <w:t>Under the CSG Greg would be entitled to over $3000 however the retailer offered him $</w:t>
            </w:r>
            <w:r w:rsidR="00875F13" w:rsidRPr="00173020">
              <w:t>1</w:t>
            </w:r>
            <w:r w:rsidR="00173020" w:rsidRPr="00173020">
              <w:t>6</w:t>
            </w:r>
            <w:r w:rsidR="00875F13" w:rsidRPr="00173020">
              <w:t>0</w:t>
            </w:r>
            <w:r w:rsidR="00875F13">
              <w:t xml:space="preserve">, less than he paid in monthly service charges during the affected period. He has asked for </w:t>
            </w:r>
            <w:r w:rsidR="0021166B">
              <w:t xml:space="preserve">25% of the CSG entitlement </w:t>
            </w:r>
            <w:r w:rsidR="00173020">
              <w:t xml:space="preserve">($707) </w:t>
            </w:r>
            <w:r w:rsidR="0021166B">
              <w:t>given the time he spent trying to resolve the problem</w:t>
            </w:r>
            <w:r w:rsidR="00875F13">
              <w:t xml:space="preserve"> but </w:t>
            </w:r>
            <w:r w:rsidR="0021166B">
              <w:t xml:space="preserve">My Republic </w:t>
            </w:r>
            <w:r w:rsidR="00875F13">
              <w:t>has refused. Greg reported to ACCAN</w:t>
            </w:r>
            <w:r w:rsidR="0021166B">
              <w:t xml:space="preserve"> that he will pursue the matter in </w:t>
            </w:r>
            <w:r w:rsidR="00432346">
              <w:t xml:space="preserve">a </w:t>
            </w:r>
            <w:r w:rsidR="0021166B">
              <w:t>small claims court.</w:t>
            </w:r>
          </w:p>
        </w:tc>
      </w:tr>
    </w:tbl>
    <w:p w14:paraId="2EDF815C" w14:textId="77777777" w:rsidR="00F35388" w:rsidRDefault="00F35388" w:rsidP="00892427">
      <w:pPr>
        <w:spacing w:before="0" w:beforeAutospacing="0" w:after="200" w:afterAutospacing="0" w:line="276" w:lineRule="auto"/>
      </w:pPr>
    </w:p>
    <w:p w14:paraId="7F475B3F" w14:textId="1638718E" w:rsidR="0074631E" w:rsidRDefault="00173020" w:rsidP="0074631E">
      <w:pPr>
        <w:spacing w:before="0" w:beforeAutospacing="0" w:after="200" w:afterAutospacing="0" w:line="276" w:lineRule="auto"/>
      </w:pPr>
      <w:r>
        <w:t>The case study above, and others reported in this submission, highlight the loss to consumers in terms of time spent trying to resolve the</w:t>
      </w:r>
      <w:r w:rsidR="003C5F7E">
        <w:t xml:space="preserve">ir </w:t>
      </w:r>
      <w:r>
        <w:t xml:space="preserve"> telecommunications service</w:t>
      </w:r>
      <w:r w:rsidR="003C5F7E">
        <w:t xml:space="preserve"> issues</w:t>
      </w:r>
      <w:r>
        <w:t xml:space="preserve">. </w:t>
      </w:r>
      <w:r w:rsidR="0074631E">
        <w:t xml:space="preserve">As discussed in ACCAN’s submission </w:t>
      </w:r>
      <w:r w:rsidR="003C5F7E">
        <w:t xml:space="preserve">to </w:t>
      </w:r>
      <w:r w:rsidR="0074631E">
        <w:t xml:space="preserve"> </w:t>
      </w:r>
      <w:r w:rsidR="003C5F7E">
        <w:t>P</w:t>
      </w:r>
      <w:r w:rsidR="0074631E">
        <w:t>art A of th</w:t>
      </w:r>
      <w:r w:rsidR="003C5F7E">
        <w:t>e Consumer Safeguards</w:t>
      </w:r>
      <w:r w:rsidR="0074631E">
        <w:t xml:space="preserve"> review,</w:t>
      </w:r>
      <w:r w:rsidR="0074631E">
        <w:rPr>
          <w:rStyle w:val="FootnoteReference"/>
        </w:rPr>
        <w:footnoteReference w:id="7"/>
      </w:r>
      <w:r w:rsidR="0074631E">
        <w:t xml:space="preserve"> i</w:t>
      </w:r>
      <w:r w:rsidR="0074631E" w:rsidRPr="0074631E">
        <w:t>n the field of telecommunications, the quantification of the losses faced by consumers has been inadequate, which has led to underestimates of harm and in some instances a failure to regulate. ACCAN is developing further refined measures of the end user consumer losses attributable to market failure, however early estimates indicate that on a conservative basis consumer</w:t>
      </w:r>
      <w:r w:rsidR="0074631E">
        <w:t>s are facing detriment through:</w:t>
      </w:r>
    </w:p>
    <w:p w14:paraId="61522AB1" w14:textId="77777777" w:rsidR="0074631E" w:rsidRDefault="0074631E" w:rsidP="0074631E">
      <w:pPr>
        <w:pStyle w:val="ListParagraph"/>
        <w:numPr>
          <w:ilvl w:val="0"/>
          <w:numId w:val="10"/>
        </w:numPr>
        <w:spacing w:before="0" w:beforeAutospacing="0" w:after="200" w:afterAutospacing="0" w:line="276" w:lineRule="auto"/>
      </w:pPr>
      <w:r w:rsidRPr="0074631E">
        <w:t xml:space="preserve">Direct economic loss, in terms of forgone services or lower quality services; </w:t>
      </w:r>
    </w:p>
    <w:p w14:paraId="5E4342C5" w14:textId="2DD5C8ED" w:rsidR="0074631E" w:rsidRDefault="0074631E" w:rsidP="0074631E">
      <w:pPr>
        <w:pStyle w:val="ListParagraph"/>
        <w:numPr>
          <w:ilvl w:val="0"/>
          <w:numId w:val="10"/>
        </w:numPr>
        <w:spacing w:before="0" w:beforeAutospacing="0" w:after="200" w:afterAutospacing="0" w:line="276" w:lineRule="auto"/>
      </w:pPr>
      <w:r w:rsidRPr="0074631E">
        <w:t>For small businesses loss of income and commercial opportunities;</w:t>
      </w:r>
      <w:r>
        <w:t xml:space="preserve"> and</w:t>
      </w:r>
    </w:p>
    <w:p w14:paraId="05015BF6" w14:textId="556564B8" w:rsidR="0074631E" w:rsidRPr="0074631E" w:rsidRDefault="0074631E" w:rsidP="0074631E">
      <w:pPr>
        <w:pStyle w:val="ListParagraph"/>
        <w:numPr>
          <w:ilvl w:val="0"/>
          <w:numId w:val="10"/>
        </w:numPr>
        <w:spacing w:before="0" w:beforeAutospacing="0" w:after="200" w:afterAutospacing="0" w:line="276" w:lineRule="auto"/>
      </w:pPr>
      <w:r w:rsidRPr="0074631E">
        <w:t xml:space="preserve">For individuals seeking rectification or redress, wasted time. </w:t>
      </w:r>
    </w:p>
    <w:p w14:paraId="20319641" w14:textId="695FF8E9" w:rsidR="0074631E" w:rsidRPr="0074631E" w:rsidRDefault="0074631E" w:rsidP="0074631E">
      <w:pPr>
        <w:spacing w:before="0" w:beforeAutospacing="0" w:after="200" w:afterAutospacing="0" w:line="276" w:lineRule="auto"/>
      </w:pPr>
      <w:r w:rsidRPr="0074631E">
        <w:t>We have done some preliminary analysis of consumer loss in our submission on the proposed ACMA Line Testing Determination, where we estimated that the cost to consumers associated with loss of service due to disconnections was likely to be within a minimum range of between $3.6 to $5.5 million</w:t>
      </w:r>
      <w:r w:rsidR="003C5F7E">
        <w:t xml:space="preserve"> in the 2016-17 financial year</w:t>
      </w:r>
      <w:r w:rsidRPr="0074631E">
        <w:t>.</w:t>
      </w:r>
      <w:r w:rsidRPr="0074631E">
        <w:rPr>
          <w:vertAlign w:val="superscript"/>
        </w:rPr>
        <w:footnoteReference w:id="8"/>
      </w:r>
      <w:r w:rsidRPr="0074631E">
        <w:t xml:space="preserve">  </w:t>
      </w:r>
    </w:p>
    <w:p w14:paraId="74E600DD" w14:textId="77777777" w:rsidR="0074631E" w:rsidRPr="0074631E" w:rsidRDefault="0074631E" w:rsidP="0074631E">
      <w:pPr>
        <w:spacing w:before="0" w:beforeAutospacing="0" w:after="200" w:afterAutospacing="0" w:line="276" w:lineRule="auto"/>
      </w:pPr>
      <w:r w:rsidRPr="0074631E">
        <w:t>For small businesses the costs associated with disconnection or poor services can be significant, and significant losses can arise due to forgone revenue and income. The costs associated with problems switching over to the nbn alone have been estimated at an average of $9000, according to a recent NSW Business Chamber survey.</w:t>
      </w:r>
      <w:r w:rsidRPr="0074631E">
        <w:rPr>
          <w:vertAlign w:val="superscript"/>
        </w:rPr>
        <w:footnoteReference w:id="9"/>
      </w:r>
      <w:r w:rsidRPr="0074631E">
        <w:t xml:space="preserve"> Although a small sample, the results of the survey accord with the information ACCAN has received from consumers many of who have lost $3000-$4000 in income as a result of disconnections. </w:t>
      </w:r>
    </w:p>
    <w:p w14:paraId="495B0A75" w14:textId="77777777" w:rsidR="00FB2EEA" w:rsidRDefault="00651A0B" w:rsidP="00892427">
      <w:pPr>
        <w:spacing w:before="0" w:beforeAutospacing="0" w:after="200" w:afterAutospacing="0" w:line="276" w:lineRule="auto"/>
      </w:pPr>
      <w:r>
        <w:t xml:space="preserve">The Department has proposed that network providers and retailers are unable to charge for a service that is not working and that penalties will apply </w:t>
      </w:r>
      <w:r w:rsidR="00FB2EEA">
        <w:t xml:space="preserve">for non-compliance with mandatory timeframes. </w:t>
      </w:r>
      <w:r w:rsidR="002B7B6B">
        <w:t xml:space="preserve">With this arrangement, </w:t>
      </w:r>
      <w:r w:rsidR="00FB2EEA">
        <w:t xml:space="preserve">compensation available </w:t>
      </w:r>
      <w:r w:rsidR="002B7B6B">
        <w:t xml:space="preserve">for consumers </w:t>
      </w:r>
      <w:r w:rsidR="00FB2EEA">
        <w:t xml:space="preserve">will be significantly less than the current CSG. </w:t>
      </w:r>
      <w:r w:rsidR="002B7B6B">
        <w:t>For example</w:t>
      </w:r>
      <w:r w:rsidR="00FB2EEA">
        <w:t xml:space="preserve">, the monthly bill would need to be over $400 to reach the daily rate currently available for the first five days to residential consumers. </w:t>
      </w:r>
      <w:r w:rsidR="002B7B6B">
        <w:t>Consequently, it is likely that a “no bill” scenario will not provide sufficient incentive to fix individual faults and while penalties</w:t>
      </w:r>
      <w:r w:rsidR="00056F10">
        <w:t xml:space="preserve"> </w:t>
      </w:r>
      <w:r w:rsidR="0056569C">
        <w:t xml:space="preserve">and </w:t>
      </w:r>
      <w:r w:rsidR="0056569C">
        <w:lastRenderedPageBreak/>
        <w:t xml:space="preserve">public reporting </w:t>
      </w:r>
      <w:r w:rsidR="002B7B6B">
        <w:t xml:space="preserve">might </w:t>
      </w:r>
      <w:r w:rsidR="0056569C">
        <w:t>provide sufficient</w:t>
      </w:r>
      <w:r w:rsidR="002B7B6B">
        <w:t xml:space="preserve"> incentive</w:t>
      </w:r>
      <w:r w:rsidR="0056569C">
        <w:t>s</w:t>
      </w:r>
      <w:r w:rsidR="002B7B6B">
        <w:t xml:space="preserve">, </w:t>
      </w:r>
      <w:r w:rsidR="0056569C">
        <w:t>they</w:t>
      </w:r>
      <w:r w:rsidR="002B7B6B">
        <w:t xml:space="preserve"> provide no compensation to the individuals and small businesses that are affected.</w:t>
      </w:r>
    </w:p>
    <w:p w14:paraId="44AD1833" w14:textId="32CFB603" w:rsidR="002B45FF" w:rsidRDefault="002B45FF" w:rsidP="002B45FF">
      <w:pPr>
        <w:spacing w:before="0" w:beforeAutospacing="0" w:after="200" w:afterAutospacing="0" w:line="276" w:lineRule="auto"/>
      </w:pPr>
      <w:r>
        <w:t xml:space="preserve">At the same time, the Department has also proposed that alternative (or backup) services be provided to customers at the expense of the at fault party if a mandatory timeframe cannot be met. In theory this may amplify the incentive to comply with mandatory timeframes, however </w:t>
      </w:r>
      <w:r w:rsidR="00EF6323">
        <w:t xml:space="preserve">it may be difficult to uniformly apply </w:t>
      </w:r>
      <w:r>
        <w:t xml:space="preserve">in practice </w:t>
      </w:r>
      <w:r w:rsidR="00EF6323">
        <w:t>as n</w:t>
      </w:r>
      <w:r>
        <w:t>ot all RSPs have access to alternative service arrangements.</w:t>
      </w:r>
    </w:p>
    <w:p w14:paraId="3F86335F" w14:textId="5B38687D" w:rsidR="002B7B6B" w:rsidRDefault="002B7B6B" w:rsidP="00892427">
      <w:pPr>
        <w:spacing w:before="0" w:beforeAutospacing="0" w:after="200" w:afterAutospacing="0" w:line="276" w:lineRule="auto"/>
      </w:pPr>
      <w:r>
        <w:t>The Department’s proposal for mandatory timeframes with significant penalties for non-compliance is absolutely necessary.</w:t>
      </w:r>
      <w:r w:rsidR="00080F26">
        <w:t xml:space="preserve"> Telecommunications are essential services and consumers view </w:t>
      </w:r>
      <w:r w:rsidR="00432346">
        <w:t>them</w:t>
      </w:r>
      <w:r w:rsidR="00080F26">
        <w:t xml:space="preserve"> the same way they view </w:t>
      </w:r>
      <w:r w:rsidR="009E1FC9">
        <w:t xml:space="preserve">other </w:t>
      </w:r>
      <w:r w:rsidR="00080F26">
        <w:t xml:space="preserve">utilities. As stated by the Department, consumers expect it to be easy to get and stay connected so they can reliably use the services and applications they want. Telecommunications services thus warrant a regulatory framework akin to other essential services: with clear objectives on the role of providers and associated obligations with steep penalties for breaches. At the same time, the consumers that are directly affected by non-compliance </w:t>
      </w:r>
      <w:r w:rsidR="00684D0C">
        <w:t>require</w:t>
      </w:r>
      <w:r w:rsidR="00080F26">
        <w:t xml:space="preserve"> compensation </w:t>
      </w:r>
      <w:r w:rsidR="00684D0C">
        <w:t>in recognition of the significant damages that are incurred by the loss of an essential s</w:t>
      </w:r>
      <w:r w:rsidR="008E09E1">
        <w:t>ervice. Con</w:t>
      </w:r>
      <w:r w:rsidR="00684D0C">
        <w:t xml:space="preserve">sumers rely </w:t>
      </w:r>
      <w:r w:rsidR="008E09E1">
        <w:t>more</w:t>
      </w:r>
      <w:r w:rsidR="00684D0C">
        <w:t xml:space="preserve"> on fixed broadband and voice access now than at the time the CSG was introduced</w:t>
      </w:r>
      <w:r w:rsidR="008E09E1">
        <w:t>.</w:t>
      </w:r>
    </w:p>
    <w:p w14:paraId="1A6D8AFF" w14:textId="6EA71D59" w:rsidR="002B45FF" w:rsidRDefault="002B45FF" w:rsidP="00892427">
      <w:pPr>
        <w:spacing w:before="0" w:beforeAutospacing="0" w:after="200" w:afterAutospacing="0" w:line="276" w:lineRule="auto"/>
      </w:pPr>
      <w:r>
        <w:t>Thus, ACCAN recommends that the Department maintain the current CSG compensation amounts and direct the ACMA to conduct a review to determine an appropriate future compensation arrangement.</w:t>
      </w:r>
      <w:r w:rsidR="008E09E1">
        <w:t xml:space="preserve"> The existing CSG compensation amounts are for voice-only services so a review is necessary to determine what an appropriate level is for broadband as well as </w:t>
      </w:r>
      <w:r w:rsidR="006C0394">
        <w:t xml:space="preserve">to </w:t>
      </w:r>
      <w:r w:rsidR="008E09E1">
        <w:t>assess if the amounts for voice are appropriate for the current environment.</w:t>
      </w:r>
    </w:p>
    <w:p w14:paraId="777A170D" w14:textId="7B7D0C31" w:rsidR="00E71890" w:rsidRDefault="00E71890" w:rsidP="00892427">
      <w:pPr>
        <w:spacing w:before="0" w:beforeAutospacing="0" w:after="200" w:afterAutospacing="0" w:line="276" w:lineRule="auto"/>
      </w:pPr>
      <w:r>
        <w:t xml:space="preserve">Furthermore, payments for connections and repairs outside the maximum timeframes should be automatic by both the network provider and retail service provider. That is, if a wholesale network provider has connected a customer after the maximum timeframe it should automatically trigger a payment to be made against the retail service provider’s account. </w:t>
      </w:r>
      <w:r w:rsidR="00886D43">
        <w:t xml:space="preserve">Likewise, the retail service provider should automatically make a payment to the customer. </w:t>
      </w:r>
      <w:r w:rsidR="005E7E32">
        <w:t>Automatic compensation requires systems and processes for payments and will not rely on customers knowing their rights or being informed by a provider with no incentive to do so.</w:t>
      </w:r>
    </w:p>
    <w:tbl>
      <w:tblPr>
        <w:tblStyle w:val="TableGrid"/>
        <w:tblW w:w="0" w:type="auto"/>
        <w:tblLook w:val="04A0" w:firstRow="1" w:lastRow="0" w:firstColumn="1" w:lastColumn="0" w:noHBand="0" w:noVBand="1"/>
      </w:tblPr>
      <w:tblGrid>
        <w:gridCol w:w="9242"/>
      </w:tblGrid>
      <w:tr w:rsidR="00061819" w14:paraId="6FAE3BBA" w14:textId="77777777" w:rsidTr="00061819">
        <w:tc>
          <w:tcPr>
            <w:tcW w:w="9242" w:type="dxa"/>
          </w:tcPr>
          <w:p w14:paraId="0A364A6E" w14:textId="0078C5FB" w:rsidR="00061819" w:rsidRPr="00061819" w:rsidRDefault="00061819" w:rsidP="00892427">
            <w:pPr>
              <w:spacing w:before="0" w:beforeAutospacing="0" w:after="200" w:afterAutospacing="0" w:line="276" w:lineRule="auto"/>
              <w:rPr>
                <w:b/>
              </w:rPr>
            </w:pPr>
            <w:r w:rsidRPr="00061819">
              <w:rPr>
                <w:b/>
              </w:rPr>
              <w:t>Recommendation 6: Incentives to repair faults quickly</w:t>
            </w:r>
          </w:p>
          <w:p w14:paraId="3B92F134" w14:textId="77777777" w:rsidR="00061819" w:rsidRDefault="00061819" w:rsidP="00A06F56">
            <w:pPr>
              <w:pStyle w:val="ListParagraph"/>
              <w:numPr>
                <w:ilvl w:val="0"/>
                <w:numId w:val="28"/>
              </w:numPr>
              <w:spacing w:before="0" w:beforeAutospacing="0" w:after="200" w:afterAutospacing="0" w:line="276" w:lineRule="auto"/>
            </w:pPr>
            <w:r>
              <w:t>Customers receive automatic compensation for missed timeframes.</w:t>
            </w:r>
          </w:p>
          <w:p w14:paraId="123E70C4" w14:textId="77777777" w:rsidR="00061819" w:rsidRDefault="00061819" w:rsidP="00A06F56">
            <w:pPr>
              <w:pStyle w:val="ListParagraph"/>
              <w:numPr>
                <w:ilvl w:val="0"/>
                <w:numId w:val="28"/>
              </w:numPr>
              <w:spacing w:before="0" w:beforeAutospacing="0" w:after="200" w:afterAutospacing="0" w:line="276" w:lineRule="auto"/>
            </w:pPr>
            <w:r>
              <w:t>Compensation amounts be set initially at current CSG levels for voice and broadband services.</w:t>
            </w:r>
          </w:p>
          <w:p w14:paraId="46B382D0" w14:textId="7EB4DB89" w:rsidR="00061819" w:rsidRDefault="00061819" w:rsidP="00A06F56">
            <w:pPr>
              <w:pStyle w:val="ListParagraph"/>
              <w:numPr>
                <w:ilvl w:val="0"/>
                <w:numId w:val="28"/>
              </w:numPr>
              <w:spacing w:before="0" w:beforeAutospacing="0" w:after="200" w:afterAutospacing="0" w:line="276" w:lineRule="auto"/>
            </w:pPr>
            <w:r>
              <w:t>ACMA conduct a review to determine appropriate future compensation arrangements.</w:t>
            </w:r>
          </w:p>
        </w:tc>
      </w:tr>
    </w:tbl>
    <w:p w14:paraId="3E64DCAE" w14:textId="77777777" w:rsidR="0036009E" w:rsidRDefault="0036009E">
      <w:pPr>
        <w:pStyle w:val="Heading1"/>
      </w:pPr>
      <w:bookmarkStart w:id="17" w:name="_Toc535530142"/>
      <w:bookmarkStart w:id="18" w:name="_Toc535596215"/>
      <w:r>
        <w:lastRenderedPageBreak/>
        <w:t>Proposals 3 and 4: reliability reporting</w:t>
      </w:r>
      <w:bookmarkEnd w:id="17"/>
      <w:bookmarkEnd w:id="18"/>
    </w:p>
    <w:p w14:paraId="3E72DDC5" w14:textId="77777777" w:rsidR="00862F8B" w:rsidRPr="004A38E9" w:rsidRDefault="00862F8B" w:rsidP="00862F8B">
      <w:pPr>
        <w:pStyle w:val="Recommendation"/>
        <w:numPr>
          <w:ilvl w:val="0"/>
          <w:numId w:val="0"/>
        </w:numPr>
        <w:ind w:left="851"/>
        <w:rPr>
          <w:i/>
        </w:rPr>
      </w:pPr>
      <w:r w:rsidRPr="004A38E9">
        <w:rPr>
          <w:i/>
        </w:rPr>
        <w:t>Proposal</w:t>
      </w:r>
      <w:r w:rsidR="004A38E9">
        <w:rPr>
          <w:i/>
        </w:rPr>
        <w:t xml:space="preserve"> 3</w:t>
      </w:r>
      <w:r w:rsidRPr="004A38E9">
        <w:rPr>
          <w:i/>
        </w:rPr>
        <w:t xml:space="preserve"> </w:t>
      </w:r>
      <w:r w:rsidR="004A38E9">
        <w:rPr>
          <w:i/>
        </w:rPr>
        <w:t>–Network infrastructure providers that support the supply of retail services to consumers will be required to publish network reliability metrics and to report to the ACMA on network performance</w:t>
      </w:r>
      <w:r w:rsidRPr="004A38E9">
        <w:rPr>
          <w:i/>
        </w:rPr>
        <w:t>.</w:t>
      </w:r>
    </w:p>
    <w:p w14:paraId="57B2B13F" w14:textId="77777777" w:rsidR="00862F8B" w:rsidRPr="004A38E9" w:rsidRDefault="00862F8B" w:rsidP="00862F8B">
      <w:pPr>
        <w:pStyle w:val="Recommendation"/>
        <w:numPr>
          <w:ilvl w:val="0"/>
          <w:numId w:val="0"/>
        </w:numPr>
        <w:ind w:left="851"/>
        <w:rPr>
          <w:i/>
        </w:rPr>
      </w:pPr>
      <w:r w:rsidRPr="004A38E9">
        <w:rPr>
          <w:i/>
        </w:rPr>
        <w:t>Proposal</w:t>
      </w:r>
      <w:r w:rsidR="004A38E9">
        <w:rPr>
          <w:i/>
        </w:rPr>
        <w:t xml:space="preserve"> 4</w:t>
      </w:r>
      <w:r w:rsidRPr="004A38E9">
        <w:rPr>
          <w:i/>
        </w:rPr>
        <w:t xml:space="preserve"> – </w:t>
      </w:r>
      <w:r w:rsidR="004A38E9">
        <w:rPr>
          <w:i/>
        </w:rPr>
        <w:t>The ACMA will be responsible for the collection of data relating to fixed connections, repairs and appointments, with reporting obligations applying at both wholesale and retail level. The ACMA will publish the results.</w:t>
      </w:r>
    </w:p>
    <w:p w14:paraId="7D46A030" w14:textId="74AFB08C" w:rsidR="00321597" w:rsidRDefault="00321597" w:rsidP="00321597">
      <w:r>
        <w:t xml:space="preserve">ACCAN supports Proposals 3 and 4 regarding reliability reporting. Reporting reliability outcomes are a necessary part of consumer safeguards. Information for consumers promotes choice and encourages compliance among providers. Reliability reporting needs to </w:t>
      </w:r>
      <w:r w:rsidR="005B2C56">
        <w:t xml:space="preserve">be in place across all telecommunications networks and </w:t>
      </w:r>
      <w:r>
        <w:t xml:space="preserve">have sufficient detail to identify where problems are on which networks </w:t>
      </w:r>
      <w:r w:rsidR="00AD6460">
        <w:t>so that</w:t>
      </w:r>
      <w:r>
        <w:t xml:space="preserve"> the ACMA </w:t>
      </w:r>
      <w:r w:rsidR="00AD6460">
        <w:t>can</w:t>
      </w:r>
      <w:r>
        <w:t xml:space="preserve"> enforce compliance. </w:t>
      </w:r>
      <w:r w:rsidR="005B2C56">
        <w:t>Furthermore, reliability data needs to be available in an easy to understand format in order to drive network accountability.</w:t>
      </w:r>
    </w:p>
    <w:p w14:paraId="197C5DA2" w14:textId="77777777" w:rsidR="00321597" w:rsidRPr="00480469" w:rsidRDefault="00321597" w:rsidP="00321597">
      <w:r>
        <w:t>Below we set out our responses to each of the Department’s questions regarding Proposals 3 and 4 and ACCAN’s recommendations.</w:t>
      </w:r>
    </w:p>
    <w:p w14:paraId="5320BDA2" w14:textId="77777777" w:rsidR="00862F8B" w:rsidRPr="003441E5" w:rsidRDefault="00862F8B" w:rsidP="00862F8B">
      <w:pPr>
        <w:pStyle w:val="Heading2"/>
      </w:pPr>
      <w:bookmarkStart w:id="19" w:name="_Toc535530143"/>
      <w:bookmarkStart w:id="20" w:name="_Toc535596216"/>
      <w:r>
        <w:t>In</w:t>
      </w:r>
      <w:r w:rsidR="004A38E9">
        <w:t>formation for consumers</w:t>
      </w:r>
      <w:bookmarkEnd w:id="19"/>
      <w:bookmarkEnd w:id="20"/>
    </w:p>
    <w:p w14:paraId="2A17C905" w14:textId="77777777" w:rsidR="002E5DBA" w:rsidRDefault="002E5DBA" w:rsidP="002E5DBA">
      <w:pPr>
        <w:spacing w:before="0" w:beforeAutospacing="0" w:after="200" w:afterAutospacing="0" w:line="276" w:lineRule="auto"/>
      </w:pPr>
      <w:r>
        <w:t>The Department has proposed that network infrastructure providers that support the supply of retail services to consumers will be required to publish network reliability metrics and to report to the ACMA on network performance. The Department has asked:</w:t>
      </w:r>
    </w:p>
    <w:p w14:paraId="6D877E22" w14:textId="77777777" w:rsidR="0036009E" w:rsidRDefault="002E5DBA" w:rsidP="002E5DBA">
      <w:pPr>
        <w:spacing w:before="0" w:beforeAutospacing="0" w:after="200" w:afterAutospacing="0" w:line="276" w:lineRule="auto"/>
        <w:rPr>
          <w:i/>
        </w:rPr>
      </w:pPr>
      <w:r w:rsidRPr="002E5DBA">
        <w:rPr>
          <w:i/>
        </w:rPr>
        <w:t>“</w:t>
      </w:r>
      <w:r w:rsidR="0036009E" w:rsidRPr="002E5DBA">
        <w:rPr>
          <w:i/>
        </w:rPr>
        <w:t xml:space="preserve">What </w:t>
      </w:r>
      <w:r w:rsidR="004A38E9" w:rsidRPr="002E5DBA">
        <w:rPr>
          <w:i/>
        </w:rPr>
        <w:t>information on network reliability is most meaningful and valuable to consumers</w:t>
      </w:r>
      <w:r w:rsidR="0036009E" w:rsidRPr="002E5DBA">
        <w:rPr>
          <w:i/>
        </w:rPr>
        <w:t>?</w:t>
      </w:r>
      <w:r w:rsidRPr="002E5DBA">
        <w:rPr>
          <w:i/>
        </w:rPr>
        <w:t>”</w:t>
      </w:r>
    </w:p>
    <w:p w14:paraId="01FEDCD6" w14:textId="1314D197" w:rsidR="003D51DF" w:rsidRDefault="003D51DF" w:rsidP="005E494F">
      <w:r>
        <w:t>In our experience speaking with consumers, we understand that consumers are primarily concerned with whether a network is available at their home and whether it works as intended.</w:t>
      </w:r>
      <w:r w:rsidR="00D77EB1">
        <w:t xml:space="preserve"> That is, network reliability is most meaningful and valuable when it is understandable and local. Thus, network reliability information needs to be clearly and simply defined and standardi</w:t>
      </w:r>
      <w:r w:rsidR="00AD6460">
        <w:t>s</w:t>
      </w:r>
      <w:r w:rsidR="00D77EB1">
        <w:t>ed so that customers can easily compare networks or offers.</w:t>
      </w:r>
    </w:p>
    <w:tbl>
      <w:tblPr>
        <w:tblStyle w:val="TableGrid"/>
        <w:tblW w:w="0" w:type="auto"/>
        <w:tblLook w:val="04A0" w:firstRow="1" w:lastRow="0" w:firstColumn="1" w:lastColumn="0" w:noHBand="0" w:noVBand="1"/>
      </w:tblPr>
      <w:tblGrid>
        <w:gridCol w:w="9242"/>
      </w:tblGrid>
      <w:tr w:rsidR="00061819" w14:paraId="15708DB5" w14:textId="77777777" w:rsidTr="001876A4">
        <w:tc>
          <w:tcPr>
            <w:tcW w:w="9242" w:type="dxa"/>
          </w:tcPr>
          <w:p w14:paraId="1EC6CD82" w14:textId="77777777" w:rsidR="00061819" w:rsidRPr="00C67432" w:rsidRDefault="00061819" w:rsidP="001876A4">
            <w:pPr>
              <w:spacing w:before="0" w:beforeAutospacing="0" w:after="200" w:afterAutospacing="0" w:line="276" w:lineRule="auto"/>
              <w:rPr>
                <w:b/>
              </w:rPr>
            </w:pPr>
            <w:r>
              <w:rPr>
                <w:b/>
              </w:rPr>
              <w:t xml:space="preserve">Box 5: </w:t>
            </w:r>
            <w:r w:rsidRPr="00C67432">
              <w:rPr>
                <w:b/>
              </w:rPr>
              <w:t>Case study</w:t>
            </w:r>
            <w:r>
              <w:rPr>
                <w:b/>
              </w:rPr>
              <w:t xml:space="preserve"> -</w:t>
            </w:r>
            <w:r w:rsidRPr="00C67432">
              <w:rPr>
                <w:b/>
              </w:rPr>
              <w:t xml:space="preserve"> mobile phone planned service disruption not communicated to customer</w:t>
            </w:r>
          </w:p>
          <w:p w14:paraId="4BC6C320" w14:textId="41E9F967" w:rsidR="00061819" w:rsidRDefault="00061819" w:rsidP="001876A4">
            <w:r>
              <w:rPr>
                <w:rFonts w:cs="Calibri"/>
                <w:lang w:eastAsia="en-US"/>
              </w:rPr>
              <w:t xml:space="preserve">Annie has a mobile phone with a major telco (Optus) and lives in outer suburban Sydney. The telco knew where Annie lived and sent the phone to her address for the new service. When Annie got the phone it had some reception at home. About a year into the contract that reception at home went to none at all. The telco did not notify about any change to </w:t>
            </w:r>
            <w:r w:rsidR="006119C1">
              <w:rPr>
                <w:rFonts w:cs="Calibri"/>
                <w:lang w:eastAsia="en-US"/>
              </w:rPr>
              <w:t xml:space="preserve">the </w:t>
            </w:r>
            <w:r>
              <w:rPr>
                <w:rFonts w:cs="Calibri"/>
                <w:lang w:eastAsia="en-US"/>
              </w:rPr>
              <w:t xml:space="preserve">service. </w:t>
            </w:r>
          </w:p>
          <w:p w14:paraId="233886BB" w14:textId="77777777" w:rsidR="00061819" w:rsidRDefault="00061819" w:rsidP="001876A4">
            <w:r>
              <w:rPr>
                <w:rFonts w:cs="Calibri"/>
                <w:lang w:eastAsia="en-US"/>
              </w:rPr>
              <w:t>Annie kept using the phone outside home but became worried when there was still no reception at home weeks later. Annie then realised the term of the contract was soon going to be over and decided that she would cancel when the contract ended. Annie tried to find an email address to cancel and could not find one. Annie wanted to cancel in writing and could not call when at home as the mobile was her only phone.</w:t>
            </w:r>
          </w:p>
          <w:p w14:paraId="4A95812F" w14:textId="77777777" w:rsidR="00061819" w:rsidRDefault="00061819" w:rsidP="001876A4">
            <w:r>
              <w:rPr>
                <w:rFonts w:cs="Calibri"/>
                <w:lang w:eastAsia="en-US"/>
              </w:rPr>
              <w:lastRenderedPageBreak/>
              <w:t>Annie decided to send a letter by post to Optus cancelling the contract in writing and raising a dispute about the reception. Annie received an email response 2 weeks later dismissing her concerns and telling her to call a number about her reception issues.</w:t>
            </w:r>
          </w:p>
          <w:p w14:paraId="6489CC54" w14:textId="77777777" w:rsidR="00061819" w:rsidRDefault="00061819" w:rsidP="001876A4">
            <w:r>
              <w:rPr>
                <w:rFonts w:cs="Calibri"/>
                <w:lang w:eastAsia="en-US"/>
              </w:rPr>
              <w:t>A dispute was lodged with the TIO. Optus admitted that there had been work on the local mobile tower for some months and that this may have caused the reception issues. Annie received a partial refund on service fees but the phone contract was still not cancelled. Annie contacted Optus again and provided a copy of the sent cancellation notice and finally had the contract cancelled. Annie has now moved to another service provider and has reception at home.</w:t>
            </w:r>
          </w:p>
        </w:tc>
      </w:tr>
    </w:tbl>
    <w:p w14:paraId="296AA23C" w14:textId="77777777" w:rsidR="00D77EB1" w:rsidRDefault="00D77EB1" w:rsidP="005E494F">
      <w:r>
        <w:lastRenderedPageBreak/>
        <w:t>Thus, information that is the most meaningful and valuable to consumers should be able to answer a simple series of questions:</w:t>
      </w:r>
    </w:p>
    <w:p w14:paraId="7ADE9CE1" w14:textId="4E7A34B0" w:rsidR="00D77EB1" w:rsidRDefault="00D77EB1" w:rsidP="00826D4B">
      <w:pPr>
        <w:pStyle w:val="ListParagraph"/>
        <w:numPr>
          <w:ilvl w:val="0"/>
          <w:numId w:val="10"/>
        </w:numPr>
      </w:pPr>
      <w:r>
        <w:t xml:space="preserve">What </w:t>
      </w:r>
      <w:r w:rsidR="006119C1">
        <w:t xml:space="preserve">network </w:t>
      </w:r>
      <w:r w:rsidR="008E09E1">
        <w:t xml:space="preserve">technology </w:t>
      </w:r>
      <w:r>
        <w:t>can I get at my home?</w:t>
      </w:r>
    </w:p>
    <w:p w14:paraId="493566B6" w14:textId="0E690930" w:rsidR="00D77EB1" w:rsidRDefault="00D77EB1" w:rsidP="00826D4B">
      <w:pPr>
        <w:pStyle w:val="ListParagraph"/>
        <w:numPr>
          <w:ilvl w:val="0"/>
          <w:numId w:val="10"/>
        </w:numPr>
      </w:pPr>
      <w:r>
        <w:t xml:space="preserve">In the last quarter how many outages did people in my neighbourhood on this </w:t>
      </w:r>
      <w:r w:rsidR="006119C1">
        <w:t>network</w:t>
      </w:r>
      <w:r>
        <w:t xml:space="preserve"> experience? What was the average duration of those outages?</w:t>
      </w:r>
    </w:p>
    <w:p w14:paraId="20B24171" w14:textId="77777777" w:rsidR="001733F6" w:rsidRDefault="001733F6" w:rsidP="00826D4B">
      <w:pPr>
        <w:pStyle w:val="ListParagraph"/>
        <w:numPr>
          <w:ilvl w:val="0"/>
          <w:numId w:val="10"/>
        </w:numPr>
      </w:pPr>
      <w:r>
        <w:t>Are there any planned major service disruptions in the future?</w:t>
      </w:r>
    </w:p>
    <w:p w14:paraId="410A854E" w14:textId="20B94288" w:rsidR="00061819" w:rsidRDefault="00D77EB1" w:rsidP="00061819">
      <w:r>
        <w:t>This requires network reliability to be measured</w:t>
      </w:r>
      <w:r w:rsidR="00FB02D2">
        <w:t xml:space="preserve"> at the local level (eg suburb</w:t>
      </w:r>
      <w:r>
        <w:t xml:space="preserve">) </w:t>
      </w:r>
      <w:r w:rsidR="00FB02D2">
        <w:t>and be available to customers by simply providing their residential address. It should be in a useable and accessible format such as a searchable database online.</w:t>
      </w:r>
      <w:r w:rsidR="001733F6">
        <w:t xml:space="preserve"> This enables customers to make decisions regarding their service provider. For example, when choosing a mobile provider if a customer is only going to rely on a mobile service at home t</w:t>
      </w:r>
      <w:r w:rsidR="00AD6460">
        <w:t>hey</w:t>
      </w:r>
      <w:r w:rsidR="001733F6">
        <w:t xml:space="preserve"> need to know if there is coverage in the home. Further if there are planned interruptions in the forthcoming period they could choose to go with another provider, depending on how they value service at home. </w:t>
      </w:r>
    </w:p>
    <w:tbl>
      <w:tblPr>
        <w:tblStyle w:val="TableGrid"/>
        <w:tblW w:w="0" w:type="auto"/>
        <w:tblLook w:val="04A0" w:firstRow="1" w:lastRow="0" w:firstColumn="1" w:lastColumn="0" w:noHBand="0" w:noVBand="1"/>
      </w:tblPr>
      <w:tblGrid>
        <w:gridCol w:w="9242"/>
      </w:tblGrid>
      <w:tr w:rsidR="00061819" w14:paraId="5BEF2843" w14:textId="77777777" w:rsidTr="00061819">
        <w:tc>
          <w:tcPr>
            <w:tcW w:w="9242" w:type="dxa"/>
          </w:tcPr>
          <w:p w14:paraId="1D86EAEC" w14:textId="37B8C0BC" w:rsidR="00061819" w:rsidRDefault="00061819" w:rsidP="00061819">
            <w:r w:rsidRPr="00061819">
              <w:rPr>
                <w:b/>
              </w:rPr>
              <w:t>Recommendation 7</w:t>
            </w:r>
            <w:r>
              <w:t>: Network providers publish and report reliability information (including planned maintenance) by suburb and technology.</w:t>
            </w:r>
          </w:p>
        </w:tc>
      </w:tr>
    </w:tbl>
    <w:p w14:paraId="75A97D28" w14:textId="7B4FE5CB" w:rsidR="00C664FE" w:rsidRPr="003441E5" w:rsidRDefault="00E76016" w:rsidP="00C664FE">
      <w:pPr>
        <w:pStyle w:val="Heading2"/>
      </w:pPr>
      <w:bookmarkStart w:id="21" w:name="_Toc535530144"/>
      <w:bookmarkStart w:id="22" w:name="_Toc535596217"/>
      <w:r>
        <w:t>Publication of n</w:t>
      </w:r>
      <w:r w:rsidR="00C664FE">
        <w:t>etwork reliability data</w:t>
      </w:r>
      <w:bookmarkEnd w:id="21"/>
      <w:bookmarkEnd w:id="22"/>
    </w:p>
    <w:p w14:paraId="02335FB8" w14:textId="77777777" w:rsidR="00A25F3F" w:rsidRDefault="00A25F3F" w:rsidP="00A25F3F">
      <w:pPr>
        <w:spacing w:before="0" w:beforeAutospacing="0" w:after="200" w:afterAutospacing="0" w:line="276" w:lineRule="auto"/>
      </w:pPr>
      <w:r>
        <w:t>The Department has proposed that network infrastructure providers that support the supply of retail services to consumers will be required to publish network reliability metrics and to report to the ACMA on network performance. The Department has asked:</w:t>
      </w:r>
    </w:p>
    <w:p w14:paraId="07EBD6CF" w14:textId="77777777" w:rsidR="005E494F" w:rsidRPr="005E494F" w:rsidRDefault="005E494F" w:rsidP="005E494F">
      <w:pPr>
        <w:spacing w:before="0" w:beforeAutospacing="0" w:after="200" w:afterAutospacing="0" w:line="276" w:lineRule="auto"/>
        <w:rPr>
          <w:i/>
        </w:rPr>
      </w:pPr>
      <w:r w:rsidRPr="005E494F">
        <w:rPr>
          <w:i/>
        </w:rPr>
        <w:t>“How should network reliability information be made publicly available, and how often should providers be required to report to the ACMA?”</w:t>
      </w:r>
    </w:p>
    <w:p w14:paraId="7D9C892E" w14:textId="4DD11AEC" w:rsidR="0036009E" w:rsidRDefault="00080810" w:rsidP="005E494F">
      <w:pPr>
        <w:spacing w:before="0" w:beforeAutospacing="0" w:after="200" w:afterAutospacing="0" w:line="276" w:lineRule="auto"/>
      </w:pPr>
      <w:r>
        <w:t>Network reliability information should be made publicly available in the form of consolidated reports on the ACMA’s website</w:t>
      </w:r>
      <w:r w:rsidR="00507B8F">
        <w:t xml:space="preserve"> including excel files with data</w:t>
      </w:r>
      <w:r>
        <w:t>. Consumers should also be able to access local information in consumer facing portals such as on a website or by providing their address to a representative (in person or on the phone). Reports should be published quarterly.</w:t>
      </w:r>
    </w:p>
    <w:tbl>
      <w:tblPr>
        <w:tblStyle w:val="TableGrid"/>
        <w:tblW w:w="0" w:type="auto"/>
        <w:tblLook w:val="04A0" w:firstRow="1" w:lastRow="0" w:firstColumn="1" w:lastColumn="0" w:noHBand="0" w:noVBand="1"/>
      </w:tblPr>
      <w:tblGrid>
        <w:gridCol w:w="9242"/>
      </w:tblGrid>
      <w:tr w:rsidR="00061819" w14:paraId="01AF013C" w14:textId="77777777" w:rsidTr="00061819">
        <w:tc>
          <w:tcPr>
            <w:tcW w:w="9242" w:type="dxa"/>
          </w:tcPr>
          <w:p w14:paraId="4B61CAD4" w14:textId="6DA2F947" w:rsidR="00061819" w:rsidRDefault="00061819" w:rsidP="005E494F">
            <w:pPr>
              <w:spacing w:before="0" w:beforeAutospacing="0" w:after="200" w:afterAutospacing="0" w:line="276" w:lineRule="auto"/>
            </w:pPr>
            <w:r w:rsidRPr="00061819">
              <w:rPr>
                <w:b/>
              </w:rPr>
              <w:t>Recommendation 8</w:t>
            </w:r>
            <w:r>
              <w:t>: Network reliability information should be made public in consumer facing portals as well as consolidated reports published by the ACMA quarterly.</w:t>
            </w:r>
          </w:p>
        </w:tc>
      </w:tr>
    </w:tbl>
    <w:p w14:paraId="4EC0BAFC" w14:textId="77777777" w:rsidR="00C664FE" w:rsidRPr="003441E5" w:rsidRDefault="00C664FE" w:rsidP="00A06F56">
      <w:pPr>
        <w:pStyle w:val="Heading2"/>
        <w:keepLines/>
      </w:pPr>
      <w:bookmarkStart w:id="23" w:name="_Toc535530145"/>
      <w:bookmarkStart w:id="24" w:name="_Toc535596218"/>
      <w:r>
        <w:lastRenderedPageBreak/>
        <w:t>Communication with consumers</w:t>
      </w:r>
      <w:bookmarkEnd w:id="23"/>
      <w:bookmarkEnd w:id="24"/>
    </w:p>
    <w:p w14:paraId="52D23262" w14:textId="77777777" w:rsidR="005E494F" w:rsidRDefault="00A25F3F" w:rsidP="00A06F56">
      <w:pPr>
        <w:keepNext/>
        <w:keepLines/>
        <w:spacing w:before="0" w:beforeAutospacing="0" w:after="200" w:afterAutospacing="0" w:line="276" w:lineRule="auto"/>
      </w:pPr>
      <w:r>
        <w:t>The Department has asked:</w:t>
      </w:r>
    </w:p>
    <w:p w14:paraId="64E3B576" w14:textId="77777777" w:rsidR="0036009E" w:rsidRPr="005E494F" w:rsidRDefault="005E494F" w:rsidP="00A06F56">
      <w:pPr>
        <w:keepNext/>
        <w:keepLines/>
        <w:spacing w:before="0" w:beforeAutospacing="0" w:after="200" w:afterAutospacing="0" w:line="276" w:lineRule="auto"/>
        <w:rPr>
          <w:i/>
        </w:rPr>
      </w:pPr>
      <w:r w:rsidRPr="005E494F">
        <w:rPr>
          <w:i/>
        </w:rPr>
        <w:t>“</w:t>
      </w:r>
      <w:r w:rsidR="0036009E" w:rsidRPr="005E494F">
        <w:rPr>
          <w:i/>
        </w:rPr>
        <w:t>If and how should consumers be advised of major outages and timeframes for remediation?</w:t>
      </w:r>
      <w:r w:rsidRPr="005E494F">
        <w:rPr>
          <w:i/>
        </w:rPr>
        <w:t>”</w:t>
      </w:r>
    </w:p>
    <w:p w14:paraId="5FD308A5" w14:textId="77777777" w:rsidR="00C67432" w:rsidRDefault="00C67432" w:rsidP="001554EF">
      <w:pPr>
        <w:spacing w:before="0" w:beforeAutospacing="0" w:after="200" w:afterAutospacing="0" w:line="276" w:lineRule="auto"/>
      </w:pPr>
      <w:r>
        <w:t>It should be mandatory that service providers notify customers of outages. Notification enables customers to plan for the inconvenience and minimises frustration. For example, if there is going to be a planned outage for maintenance and the customer usually works from home, they can make alternative arrangements for that day such as going to the office, or a public library or other place with Wifi. The frustration customers can face when planned outages are not communicated is highlighted in the case study below.</w:t>
      </w:r>
      <w:r w:rsidR="001554EF">
        <w:t xml:space="preserve"> </w:t>
      </w:r>
    </w:p>
    <w:tbl>
      <w:tblPr>
        <w:tblStyle w:val="TableGrid"/>
        <w:tblW w:w="0" w:type="auto"/>
        <w:tblLook w:val="04A0" w:firstRow="1" w:lastRow="0" w:firstColumn="1" w:lastColumn="0" w:noHBand="0" w:noVBand="1"/>
      </w:tblPr>
      <w:tblGrid>
        <w:gridCol w:w="9242"/>
      </w:tblGrid>
      <w:tr w:rsidR="001554EF" w14:paraId="2125019A" w14:textId="77777777" w:rsidTr="001554EF">
        <w:tc>
          <w:tcPr>
            <w:tcW w:w="9242" w:type="dxa"/>
          </w:tcPr>
          <w:p w14:paraId="3DFF7A48" w14:textId="216E328E" w:rsidR="001554EF" w:rsidRPr="008B7A0C" w:rsidRDefault="007A0555" w:rsidP="001554EF">
            <w:pPr>
              <w:spacing w:before="0" w:beforeAutospacing="0" w:after="200" w:afterAutospacing="0" w:line="276" w:lineRule="auto"/>
              <w:rPr>
                <w:b/>
              </w:rPr>
            </w:pPr>
            <w:r>
              <w:rPr>
                <w:b/>
              </w:rPr>
              <w:t xml:space="preserve">Box 6: </w:t>
            </w:r>
            <w:r w:rsidR="001554EF" w:rsidRPr="008B7A0C">
              <w:rPr>
                <w:b/>
              </w:rPr>
              <w:t>Case study</w:t>
            </w:r>
            <w:r>
              <w:rPr>
                <w:b/>
              </w:rPr>
              <w:t xml:space="preserve"> – p</w:t>
            </w:r>
            <w:r w:rsidR="001554EF" w:rsidRPr="008B7A0C">
              <w:rPr>
                <w:b/>
              </w:rPr>
              <w:t>lanned HFC outages without sufficient information provided to customer</w:t>
            </w:r>
          </w:p>
          <w:p w14:paraId="0D02FBEB" w14:textId="1B963AF1" w:rsidR="001554EF" w:rsidRDefault="001554EF" w:rsidP="001554EF">
            <w:r>
              <w:rPr>
                <w:rFonts w:cs="Calibri"/>
                <w:lang w:eastAsia="en-US"/>
              </w:rPr>
              <w:t xml:space="preserve">Fran started to </w:t>
            </w:r>
            <w:r w:rsidR="008B7A0C">
              <w:rPr>
                <w:rFonts w:cs="Calibri"/>
                <w:lang w:eastAsia="en-US"/>
              </w:rPr>
              <w:t>experience issues with her HFC</w:t>
            </w:r>
            <w:r>
              <w:rPr>
                <w:rFonts w:cs="Calibri"/>
                <w:lang w:eastAsia="en-US"/>
              </w:rPr>
              <w:t xml:space="preserve"> internet connection in Sydney at around the time the NBN was being installed in her area. Fran never received any notification that there would be any problems. The problems during 4 months were recurring problems with the internet being out for hours then returning. Fran often checked the </w:t>
            </w:r>
            <w:r w:rsidR="00CB0DB4">
              <w:rPr>
                <w:rFonts w:cs="Calibri"/>
                <w:lang w:eastAsia="en-US"/>
              </w:rPr>
              <w:t>t</w:t>
            </w:r>
            <w:r>
              <w:rPr>
                <w:rFonts w:cs="Calibri"/>
                <w:lang w:eastAsia="en-US"/>
              </w:rPr>
              <w:t xml:space="preserve">elco web page for faults but there was usually nothing listed. Fran constantly rebooted her modem to check if the problem was with her own network. </w:t>
            </w:r>
          </w:p>
          <w:p w14:paraId="46871F17" w14:textId="77777777" w:rsidR="001554EF" w:rsidRDefault="001554EF" w:rsidP="001554EF">
            <w:r>
              <w:rPr>
                <w:rFonts w:cs="Calibri"/>
                <w:lang w:eastAsia="en-US"/>
              </w:rPr>
              <w:t>Fran works from home so the rolling disruptions with her internet were a major problem. It stopped her from working regularly. The telco did notify her in writing about disruptions for a 2 week period.</w:t>
            </w:r>
            <w:r w:rsidR="008B7A0C">
              <w:rPr>
                <w:rFonts w:cs="Calibri"/>
                <w:lang w:eastAsia="en-US"/>
              </w:rPr>
              <w:t xml:space="preserve"> However, t</w:t>
            </w:r>
            <w:r>
              <w:rPr>
                <w:rFonts w:cs="Calibri"/>
                <w:lang w:eastAsia="en-US"/>
              </w:rPr>
              <w:t xml:space="preserve">hey did not say when the disruptions would be </w:t>
            </w:r>
            <w:r w:rsidR="008B7A0C">
              <w:rPr>
                <w:rFonts w:cs="Calibri"/>
                <w:lang w:eastAsia="en-US"/>
              </w:rPr>
              <w:t xml:space="preserve">within that period </w:t>
            </w:r>
            <w:r>
              <w:rPr>
                <w:rFonts w:cs="Calibri"/>
                <w:lang w:eastAsia="en-US"/>
              </w:rPr>
              <w:t>or offer any refund for the lack of service.</w:t>
            </w:r>
          </w:p>
          <w:p w14:paraId="48C0A273" w14:textId="77777777" w:rsidR="001554EF" w:rsidRDefault="001554EF" w:rsidP="00507B8F">
            <w:pPr>
              <w:spacing w:after="240" w:afterAutospacing="0"/>
            </w:pPr>
            <w:r>
              <w:rPr>
                <w:rFonts w:cs="Calibri"/>
                <w:lang w:eastAsia="en-US"/>
              </w:rPr>
              <w:t>Fran signed up with another telco for the NBN as soon as it was available. Fran never received a refund for the constant disruptions</w:t>
            </w:r>
            <w:r w:rsidR="008B7A0C">
              <w:rPr>
                <w:rFonts w:cs="Calibri"/>
                <w:lang w:eastAsia="en-US"/>
              </w:rPr>
              <w:t xml:space="preserve"> from her HFC provider</w:t>
            </w:r>
            <w:r>
              <w:rPr>
                <w:rFonts w:cs="Calibri"/>
                <w:lang w:eastAsia="en-US"/>
              </w:rPr>
              <w:t>. Fran decided not to pursue a refund because of the difficulties in proving the extent of the disruptions. Fran had to send two online forms and two emails to get the former telco to cancel her service.</w:t>
            </w:r>
          </w:p>
        </w:tc>
      </w:tr>
    </w:tbl>
    <w:p w14:paraId="191FB5B4" w14:textId="77777777" w:rsidR="00507B8F" w:rsidRDefault="00507B8F" w:rsidP="00507B8F">
      <w:pPr>
        <w:spacing w:before="0" w:beforeAutospacing="0" w:after="200" w:afterAutospacing="0" w:line="276" w:lineRule="auto"/>
      </w:pPr>
    </w:p>
    <w:p w14:paraId="76B200A2" w14:textId="7ADECAC4" w:rsidR="00507B8F" w:rsidRDefault="00507B8F" w:rsidP="00507B8F">
      <w:pPr>
        <w:spacing w:before="0" w:beforeAutospacing="0" w:after="200" w:afterAutospacing="0" w:line="276" w:lineRule="auto"/>
      </w:pPr>
      <w:r>
        <w:t xml:space="preserve">Consumers should be advised in the usual way of communicating with their RSP (eg post, email or SMS) as well as post updates </w:t>
      </w:r>
      <w:r w:rsidR="006C63A6">
        <w:t xml:space="preserve">on provider apps and website, </w:t>
      </w:r>
      <w:r>
        <w:t>social media</w:t>
      </w:r>
      <w:r w:rsidR="006C63A6">
        <w:t xml:space="preserve"> or information hotline</w:t>
      </w:r>
      <w:r>
        <w:t xml:space="preserve">. However, if there are major outages that affect would affect customers’ ability to access usual communications, RSPs should report to local radio and media. </w:t>
      </w:r>
    </w:p>
    <w:p w14:paraId="25CF348C" w14:textId="1149B9EF" w:rsidR="00507B8F" w:rsidRDefault="00507B8F" w:rsidP="00507B8F">
      <w:pPr>
        <w:spacing w:before="0" w:beforeAutospacing="0" w:after="200" w:afterAutospacing="0" w:line="276" w:lineRule="auto"/>
      </w:pPr>
      <w:r>
        <w:t>Community targeted information is particularly important for those that have the least connections to technology. For example, an older customer that relies on a landline without mobile or the internet may not receive messages about their service. The best way to target these customers is through the post. Notifying hard to reach customers may also be possible by connecting with community and health service providers. For example, the RSP could notify a list of service providers in a community such that if there are home visits or interactions of any kind the providers will have information about the outage to share with the affected consumers.</w:t>
      </w:r>
    </w:p>
    <w:p w14:paraId="23BB3309" w14:textId="77777777" w:rsidR="00A91CB5" w:rsidRDefault="00477AB5" w:rsidP="00A91CB5">
      <w:pPr>
        <w:rPr>
          <w:lang w:eastAsia="en-US"/>
        </w:rPr>
      </w:pPr>
      <w:r>
        <w:rPr>
          <w:lang w:eastAsia="en-US"/>
        </w:rPr>
        <w:t>It should also be mandatory for service providers to offer email as a way of communicating with them. The email should be monitored and customers should be able to ask about their service or notify of service interruptions.</w:t>
      </w:r>
    </w:p>
    <w:tbl>
      <w:tblPr>
        <w:tblStyle w:val="TableGrid"/>
        <w:tblW w:w="0" w:type="auto"/>
        <w:tblLook w:val="04A0" w:firstRow="1" w:lastRow="0" w:firstColumn="1" w:lastColumn="0" w:noHBand="0" w:noVBand="1"/>
      </w:tblPr>
      <w:tblGrid>
        <w:gridCol w:w="9242"/>
      </w:tblGrid>
      <w:tr w:rsidR="00F8595E" w14:paraId="06CF9331" w14:textId="77777777" w:rsidTr="00F8595E">
        <w:tc>
          <w:tcPr>
            <w:tcW w:w="9242" w:type="dxa"/>
          </w:tcPr>
          <w:p w14:paraId="1630A891" w14:textId="44D69450" w:rsidR="00E76016" w:rsidRDefault="00F8595E" w:rsidP="00A91CB5">
            <w:pPr>
              <w:rPr>
                <w:b/>
              </w:rPr>
            </w:pPr>
            <w:r>
              <w:rPr>
                <w:b/>
              </w:rPr>
              <w:lastRenderedPageBreak/>
              <w:t xml:space="preserve">Recommendation 9: </w:t>
            </w:r>
            <w:r w:rsidR="00E76016">
              <w:rPr>
                <w:b/>
              </w:rPr>
              <w:t>Communication with customers</w:t>
            </w:r>
          </w:p>
          <w:p w14:paraId="061A9469" w14:textId="77777777" w:rsidR="00F8595E" w:rsidRDefault="00F8595E" w:rsidP="004C1802">
            <w:pPr>
              <w:pStyle w:val="ListParagraph"/>
              <w:numPr>
                <w:ilvl w:val="0"/>
                <w:numId w:val="29"/>
              </w:numPr>
            </w:pPr>
            <w:r>
              <w:t>Retailers notify customers of major outages and remediation timeframes via usual channels of communication as well as broadcast in local media when multiple platforms affected.</w:t>
            </w:r>
          </w:p>
          <w:p w14:paraId="169FAD7F" w14:textId="44BC2D7A" w:rsidR="00E76016" w:rsidRPr="00F8595E" w:rsidRDefault="00E76016" w:rsidP="004C1802">
            <w:pPr>
              <w:pStyle w:val="ListParagraph"/>
              <w:numPr>
                <w:ilvl w:val="0"/>
                <w:numId w:val="29"/>
              </w:numPr>
            </w:pPr>
            <w:r>
              <w:t>Retailers provide a monitored email for customer communication.</w:t>
            </w:r>
          </w:p>
        </w:tc>
      </w:tr>
    </w:tbl>
    <w:p w14:paraId="55DE8A59" w14:textId="77777777" w:rsidR="00C664FE" w:rsidRPr="00E76016" w:rsidRDefault="004A38E9" w:rsidP="00C664FE">
      <w:pPr>
        <w:pStyle w:val="Heading2"/>
      </w:pPr>
      <w:bookmarkStart w:id="25" w:name="_Toc535530146"/>
      <w:bookmarkStart w:id="26" w:name="_Toc535596219"/>
      <w:r w:rsidRPr="00E76016">
        <w:t>Industry data for ACMA reporting</w:t>
      </w:r>
      <w:bookmarkEnd w:id="25"/>
      <w:bookmarkEnd w:id="26"/>
    </w:p>
    <w:p w14:paraId="556E693F" w14:textId="77777777" w:rsidR="005E494F" w:rsidRDefault="001C48DE" w:rsidP="005E494F">
      <w:pPr>
        <w:spacing w:before="0" w:beforeAutospacing="0" w:after="200" w:afterAutospacing="0" w:line="276" w:lineRule="auto"/>
      </w:pPr>
      <w:r>
        <w:t>The Department has asked:</w:t>
      </w:r>
    </w:p>
    <w:p w14:paraId="07C88BD4" w14:textId="77777777" w:rsidR="005E494F" w:rsidRPr="005E494F" w:rsidRDefault="005E494F" w:rsidP="005E494F">
      <w:pPr>
        <w:spacing w:before="0" w:beforeAutospacing="0" w:after="200" w:afterAutospacing="0" w:line="276" w:lineRule="auto"/>
        <w:rPr>
          <w:i/>
        </w:rPr>
      </w:pPr>
      <w:r w:rsidRPr="005E494F">
        <w:rPr>
          <w:i/>
        </w:rPr>
        <w:t>“</w:t>
      </w:r>
      <w:r w:rsidR="0036009E" w:rsidRPr="005E494F">
        <w:rPr>
          <w:i/>
        </w:rPr>
        <w:t>What industry data should be provided to the ACMA for analysis and reporting, and how often should this be provided (for example, monthly, quarterly)?</w:t>
      </w:r>
      <w:r w:rsidRPr="005E494F">
        <w:rPr>
          <w:i/>
        </w:rPr>
        <w:t>”</w:t>
      </w:r>
    </w:p>
    <w:p w14:paraId="2E85FAC6" w14:textId="20E2B6FB" w:rsidR="0069363A" w:rsidRDefault="0069363A" w:rsidP="00877CCA">
      <w:pPr>
        <w:spacing w:before="0" w:beforeAutospacing="0" w:after="200" w:afterAutospacing="0" w:line="276" w:lineRule="auto"/>
      </w:pPr>
      <w:r>
        <w:t xml:space="preserve">Industry data </w:t>
      </w:r>
      <w:r w:rsidR="001510EC">
        <w:t>is a crucial aspect of a consumer protection regime. Whilst most data won’t be meaningful or useful to individual customers it is absolutely necessary for regulators, policy makers and advocates. It is the only way to monitor the effectiveness of the regime.</w:t>
      </w:r>
    </w:p>
    <w:p w14:paraId="3ACBE881" w14:textId="731F103A" w:rsidR="001876A4" w:rsidRDefault="00877CCA" w:rsidP="00877CCA">
      <w:pPr>
        <w:spacing w:before="0" w:beforeAutospacing="0" w:after="200" w:afterAutospacing="0" w:line="276" w:lineRule="auto"/>
      </w:pPr>
      <w:r>
        <w:t>The current arrangements</w:t>
      </w:r>
      <w:r w:rsidR="009C080C">
        <w:t xml:space="preserve"> </w:t>
      </w:r>
      <w:r w:rsidR="00652F7A">
        <w:t xml:space="preserve">are insufficient for determining how long connection and fault repairs take and how many customers are affected by lengthy outages. </w:t>
      </w:r>
      <w:r w:rsidR="001876A4">
        <w:t xml:space="preserve">Currently, </w:t>
      </w:r>
      <w:r w:rsidR="00652F7A">
        <w:t xml:space="preserve">averages are used by geographic area showing the number that meets the standard. Other information such as the number of connections, fault repairs and appointments requested is provided but with only total payments such that it is not known how far from the standard </w:t>
      </w:r>
      <w:r w:rsidR="001876A4">
        <w:t xml:space="preserve">benchmark </w:t>
      </w:r>
      <w:r w:rsidR="00652F7A">
        <w:t>these are</w:t>
      </w:r>
      <w:r w:rsidR="001876A4">
        <w:t xml:space="preserve"> (for example, whether a fault was repaired one week or four weeks over the CSG benchmark). </w:t>
      </w:r>
      <w:r w:rsidR="001510EC">
        <w:t>This information is reported by the ACMA and has been consolidate</w:t>
      </w:r>
      <w:r w:rsidR="005E1450">
        <w:t>d into</w:t>
      </w:r>
      <w:r w:rsidR="001510EC">
        <w:t xml:space="preserve"> table </w:t>
      </w:r>
      <w:r w:rsidR="005E1450">
        <w:t xml:space="preserve">8 </w:t>
      </w:r>
      <w:r w:rsidR="001510EC">
        <w:t>below.</w:t>
      </w:r>
    </w:p>
    <w:p w14:paraId="6E193201" w14:textId="6C01A605" w:rsidR="00FC5E59" w:rsidRDefault="005E1450" w:rsidP="00877CCA">
      <w:pPr>
        <w:spacing w:before="0" w:beforeAutospacing="0" w:after="200" w:afterAutospacing="0" w:line="276" w:lineRule="auto"/>
      </w:pPr>
      <w:r>
        <w:t>Under the Network Reliability Framework Telstra has to provide additional reporting on fault repair</w:t>
      </w:r>
      <w:r w:rsidR="00B050F1">
        <w:t xml:space="preserve"> on its copper network</w:t>
      </w:r>
      <w:r>
        <w:t xml:space="preserve">. </w:t>
      </w:r>
      <w:r w:rsidR="00FC5E59">
        <w:t>There are three levels of reporting:</w:t>
      </w:r>
    </w:p>
    <w:p w14:paraId="790D5815" w14:textId="77777777" w:rsidR="00FC5E59" w:rsidRDefault="00FC5E59" w:rsidP="004C1802">
      <w:pPr>
        <w:pStyle w:val="ListParagraph"/>
        <w:numPr>
          <w:ilvl w:val="0"/>
          <w:numId w:val="10"/>
        </w:numPr>
        <w:spacing w:before="0" w:beforeAutospacing="0" w:after="200" w:afterAutospacing="0" w:line="276" w:lineRule="auto"/>
      </w:pPr>
      <w:r>
        <w:t>Level 1—national and geographical area level, based on Telstra’s 44 field service areas (FSAs)</w:t>
      </w:r>
    </w:p>
    <w:p w14:paraId="429DF6E4" w14:textId="77777777" w:rsidR="00FC5E59" w:rsidRDefault="00FC5E59" w:rsidP="004C1802">
      <w:pPr>
        <w:pStyle w:val="ListParagraph"/>
        <w:numPr>
          <w:ilvl w:val="0"/>
          <w:numId w:val="10"/>
        </w:numPr>
        <w:spacing w:before="0" w:beforeAutospacing="0" w:after="200" w:afterAutospacing="0" w:line="276" w:lineRule="auto"/>
      </w:pPr>
      <w:r>
        <w:t>Level 2—local-level cable runs in disaggregated parts of the network</w:t>
      </w:r>
    </w:p>
    <w:p w14:paraId="5320026C" w14:textId="41156AE9" w:rsidR="00FC5E59" w:rsidRDefault="00FC5E59" w:rsidP="004C1802">
      <w:pPr>
        <w:pStyle w:val="ListParagraph"/>
        <w:numPr>
          <w:ilvl w:val="0"/>
          <w:numId w:val="10"/>
        </w:numPr>
        <w:spacing w:before="0" w:beforeAutospacing="0" w:after="200" w:afterAutospacing="0" w:line="276" w:lineRule="auto"/>
      </w:pPr>
      <w:r>
        <w:t>Level 3—individual service level that includes all Telstra services covered by the CSG Standard.</w:t>
      </w:r>
    </w:p>
    <w:p w14:paraId="100023F7" w14:textId="164B0C4C" w:rsidR="00FC5E59" w:rsidRDefault="00FC5E59" w:rsidP="00877CCA">
      <w:pPr>
        <w:spacing w:before="0" w:beforeAutospacing="0" w:after="200" w:afterAutospacing="0" w:line="276" w:lineRule="auto"/>
      </w:pPr>
      <w:r>
        <w:t xml:space="preserve">Level 1 has overall reliability levels with the ACMA reporting average time to repair fault levels. Level 2 requires Telstra to report on and undertake remediation work of the 40 poorest performing cables runs. The ACMA doesn’t report where these are located or the proportion </w:t>
      </w:r>
      <w:r w:rsidR="00B050F1">
        <w:t xml:space="preserve">that </w:t>
      </w:r>
      <w:r>
        <w:t xml:space="preserve">were identified in previous reporting periods (that is, remediation work incomplete or not addressed). Level 3 </w:t>
      </w:r>
      <w:r w:rsidR="0004453E">
        <w:t xml:space="preserve">relates to individual CSG services that experience either 3 faults in a rolling 60-day period or 4 faults in a rolling 365 day period. Telstra reported a slight increase in the number of services experiencing breaches of the 60-day threshold, with 27 breaches per month (on average) and a total of 320 for 2016–17. </w:t>
      </w:r>
    </w:p>
    <w:p w14:paraId="50FE8BC2" w14:textId="7F6F7E03" w:rsidR="001510EC" w:rsidRDefault="0004453E">
      <w:pPr>
        <w:spacing w:before="0" w:beforeAutospacing="0" w:after="200" w:afterAutospacing="0" w:line="276" w:lineRule="auto"/>
      </w:pPr>
      <w:r>
        <w:t>Thus</w:t>
      </w:r>
      <w:r w:rsidR="00B050F1">
        <w:t xml:space="preserve"> although the overall network performance </w:t>
      </w:r>
      <w:r>
        <w:t xml:space="preserve"> is known at an aggregate level</w:t>
      </w:r>
      <w:r w:rsidR="00B050F1">
        <w:t>,</w:t>
      </w:r>
      <w:r>
        <w:t xml:space="preserve"> we cannot see how faults (or breaches) are distributed between regions or the distribution of repair times. That is, how many customers experience repair times great</w:t>
      </w:r>
      <w:r w:rsidR="00B050F1">
        <w:t>er</w:t>
      </w:r>
      <w:r>
        <w:t xml:space="preserve"> than 1 week, 2 weeks, 3 weeks etc. </w:t>
      </w:r>
      <w:r w:rsidR="00F07FC4">
        <w:t>Therefore we believe more detailed reporting is warranted.</w:t>
      </w:r>
    </w:p>
    <w:p w14:paraId="407D30E9" w14:textId="6B280299" w:rsidR="005A75AA" w:rsidRDefault="001876A4" w:rsidP="00877CCA">
      <w:pPr>
        <w:spacing w:before="0" w:beforeAutospacing="0" w:after="200" w:afterAutospacing="0" w:line="276" w:lineRule="auto"/>
        <w:sectPr w:rsidR="005A75AA" w:rsidSect="00EB408A">
          <w:pgSz w:w="11906" w:h="16838" w:code="9"/>
          <w:pgMar w:top="1440" w:right="1440" w:bottom="1440" w:left="1440" w:header="709" w:footer="0" w:gutter="0"/>
          <w:cols w:space="708"/>
          <w:titlePg/>
          <w:docGrid w:linePitch="360"/>
        </w:sectPr>
      </w:pPr>
      <w:r>
        <w:lastRenderedPageBreak/>
        <w:t xml:space="preserve">We also have concerns about the </w:t>
      </w:r>
      <w:r w:rsidR="00507B8F">
        <w:t>impact of the</w:t>
      </w:r>
      <w:r w:rsidR="00B033CC">
        <w:t xml:space="preserve"> CSG</w:t>
      </w:r>
      <w:r w:rsidR="00507B8F">
        <w:t xml:space="preserve"> performance benchmark</w:t>
      </w:r>
      <w:r w:rsidR="00236A6A">
        <w:t xml:space="preserve">. Since the performance benchmark is set at </w:t>
      </w:r>
      <w:r w:rsidR="00507B8F">
        <w:t>90%</w:t>
      </w:r>
      <w:r w:rsidR="00236A6A">
        <w:t xml:space="preserve">, there is not much incentive </w:t>
      </w:r>
      <w:r>
        <w:t xml:space="preserve">for the industry </w:t>
      </w:r>
      <w:r w:rsidR="00236A6A">
        <w:t xml:space="preserve">to perform beyond that (other than </w:t>
      </w:r>
      <w:r>
        <w:t xml:space="preserve">with respect to </w:t>
      </w:r>
      <w:r w:rsidR="00236A6A">
        <w:t>individual CSG payments)</w:t>
      </w:r>
      <w:r w:rsidR="00507B8F">
        <w:t>.</w:t>
      </w:r>
      <w:r w:rsidR="00236A6A">
        <w:t xml:space="preserve"> </w:t>
      </w:r>
      <w:r w:rsidR="00F07FC4">
        <w:t xml:space="preserve">We believe performance targets should be set much higher with escalating incentives (or penalties) in addition to customer compensation. Table 9 </w:t>
      </w:r>
      <w:r w:rsidR="00236A6A">
        <w:t>below show</w:t>
      </w:r>
      <w:r w:rsidR="00F07FC4">
        <w:t>s</w:t>
      </w:r>
      <w:r w:rsidR="005A75AA">
        <w:t xml:space="preserve"> the calculated number of</w:t>
      </w:r>
      <w:r w:rsidR="009C080C" w:rsidRPr="00A06F56">
        <w:t xml:space="preserve"> connections </w:t>
      </w:r>
      <w:r w:rsidR="005A75AA">
        <w:t xml:space="preserve">and fault </w:t>
      </w:r>
      <w:r w:rsidR="00F8595E">
        <w:t>repairs</w:t>
      </w:r>
      <w:r w:rsidR="005A75AA">
        <w:t xml:space="preserve"> </w:t>
      </w:r>
      <w:r w:rsidR="005A75AA" w:rsidRPr="001876A4">
        <w:rPr>
          <w:b/>
        </w:rPr>
        <w:t>not</w:t>
      </w:r>
      <w:r w:rsidR="005A75AA">
        <w:t xml:space="preserve"> completed on time and missed </w:t>
      </w:r>
      <w:r w:rsidR="00F8595E">
        <w:t>appointments</w:t>
      </w:r>
      <w:r w:rsidR="005A75AA">
        <w:t>. This illustrates that despite all providers meeting the benchmarks</w:t>
      </w:r>
      <w:r>
        <w:t xml:space="preserve"> in the last reported year</w:t>
      </w:r>
      <w:r w:rsidR="005A75AA">
        <w:t xml:space="preserve">, the number of </w:t>
      </w:r>
      <w:r>
        <w:t>connections and fault repairs completed outside of the maximum timeframe is substantial</w:t>
      </w:r>
      <w:r w:rsidR="005A75AA">
        <w:t>.</w:t>
      </w:r>
    </w:p>
    <w:p w14:paraId="5E3E0E89" w14:textId="1A49360E" w:rsidR="001510EC" w:rsidRPr="00B30542" w:rsidRDefault="001510EC" w:rsidP="001510EC">
      <w:pPr>
        <w:spacing w:before="0" w:beforeAutospacing="0" w:after="0" w:afterAutospacing="0" w:line="276" w:lineRule="auto"/>
        <w:rPr>
          <w:b/>
        </w:rPr>
      </w:pPr>
      <w:r w:rsidRPr="00B30542">
        <w:rPr>
          <w:b/>
        </w:rPr>
        <w:lastRenderedPageBreak/>
        <w:t xml:space="preserve">Table </w:t>
      </w:r>
      <w:r>
        <w:rPr>
          <w:b/>
        </w:rPr>
        <w:t>8</w:t>
      </w:r>
      <w:r w:rsidRPr="00B30542">
        <w:rPr>
          <w:b/>
        </w:rPr>
        <w:t xml:space="preserve">: Volume of connections, fault repairs and appointments </w:t>
      </w:r>
      <w:r w:rsidR="005E1450">
        <w:rPr>
          <w:b/>
        </w:rPr>
        <w:t>made within</w:t>
      </w:r>
      <w:r w:rsidRPr="00B30542">
        <w:rPr>
          <w:b/>
        </w:rPr>
        <w:t xml:space="preserve"> the maximum CSG timeframes</w:t>
      </w:r>
      <w:r>
        <w:rPr>
          <w:b/>
        </w:rPr>
        <w:t>, 2016/17</w:t>
      </w:r>
    </w:p>
    <w:tbl>
      <w:tblPr>
        <w:tblStyle w:val="TableGrid"/>
        <w:tblW w:w="0" w:type="auto"/>
        <w:tblLook w:val="04A0" w:firstRow="1" w:lastRow="0" w:firstColumn="1" w:lastColumn="0" w:noHBand="0" w:noVBand="1"/>
      </w:tblPr>
      <w:tblGrid>
        <w:gridCol w:w="1172"/>
        <w:gridCol w:w="1171"/>
        <w:gridCol w:w="1283"/>
        <w:gridCol w:w="1264"/>
        <w:gridCol w:w="1313"/>
        <w:gridCol w:w="1524"/>
        <w:gridCol w:w="1391"/>
        <w:gridCol w:w="1280"/>
        <w:gridCol w:w="1282"/>
        <w:gridCol w:w="1314"/>
        <w:gridCol w:w="1180"/>
      </w:tblGrid>
      <w:tr w:rsidR="001510EC" w14:paraId="2E9B8540" w14:textId="77777777" w:rsidTr="0091371B">
        <w:tc>
          <w:tcPr>
            <w:tcW w:w="2343" w:type="dxa"/>
            <w:gridSpan w:val="2"/>
            <w:vMerge w:val="restart"/>
          </w:tcPr>
          <w:p w14:paraId="0DC093C9" w14:textId="77777777" w:rsidR="001510EC" w:rsidRPr="00A06F56" w:rsidRDefault="001510EC" w:rsidP="0091371B">
            <w:pPr>
              <w:spacing w:before="0" w:beforeAutospacing="0" w:after="0" w:afterAutospacing="0"/>
            </w:pPr>
          </w:p>
        </w:tc>
        <w:tc>
          <w:tcPr>
            <w:tcW w:w="3860" w:type="dxa"/>
            <w:gridSpan w:val="3"/>
          </w:tcPr>
          <w:p w14:paraId="2FF23CB8" w14:textId="77777777" w:rsidR="001510EC" w:rsidRPr="00B30542" w:rsidRDefault="001510EC" w:rsidP="0091371B">
            <w:pPr>
              <w:spacing w:before="0" w:beforeAutospacing="0" w:after="0" w:afterAutospacing="0"/>
              <w:jc w:val="center"/>
              <w:rPr>
                <w:b/>
              </w:rPr>
            </w:pPr>
            <w:r w:rsidRPr="00B30542">
              <w:rPr>
                <w:b/>
              </w:rPr>
              <w:t>Fault repairs</w:t>
            </w:r>
          </w:p>
        </w:tc>
        <w:tc>
          <w:tcPr>
            <w:tcW w:w="1524" w:type="dxa"/>
          </w:tcPr>
          <w:p w14:paraId="7B10293F" w14:textId="77777777" w:rsidR="001510EC" w:rsidRPr="00B30542" w:rsidRDefault="001510EC" w:rsidP="0091371B">
            <w:pPr>
              <w:spacing w:before="0" w:beforeAutospacing="0" w:after="0" w:afterAutospacing="0"/>
              <w:rPr>
                <w:b/>
              </w:rPr>
            </w:pPr>
            <w:r w:rsidRPr="00B30542">
              <w:rPr>
                <w:b/>
              </w:rPr>
              <w:t>Appointments</w:t>
            </w:r>
          </w:p>
        </w:tc>
        <w:tc>
          <w:tcPr>
            <w:tcW w:w="5267" w:type="dxa"/>
            <w:gridSpan w:val="4"/>
          </w:tcPr>
          <w:p w14:paraId="360B3DE3" w14:textId="77777777" w:rsidR="001510EC" w:rsidRPr="00EF7627" w:rsidRDefault="001510EC" w:rsidP="0091371B">
            <w:pPr>
              <w:spacing w:before="0" w:beforeAutospacing="0" w:after="0" w:afterAutospacing="0"/>
              <w:jc w:val="center"/>
              <w:rPr>
                <w:b/>
              </w:rPr>
            </w:pPr>
            <w:r w:rsidRPr="00EF7627">
              <w:rPr>
                <w:b/>
              </w:rPr>
              <w:t>New service connections</w:t>
            </w:r>
          </w:p>
        </w:tc>
        <w:tc>
          <w:tcPr>
            <w:tcW w:w="1180" w:type="dxa"/>
          </w:tcPr>
          <w:p w14:paraId="68520BCC" w14:textId="77777777" w:rsidR="001510EC" w:rsidRPr="00EF7627" w:rsidRDefault="001510EC" w:rsidP="0091371B">
            <w:pPr>
              <w:spacing w:before="0" w:beforeAutospacing="0" w:after="0" w:afterAutospacing="0"/>
              <w:rPr>
                <w:b/>
              </w:rPr>
            </w:pPr>
            <w:r w:rsidRPr="00EF7627">
              <w:rPr>
                <w:b/>
              </w:rPr>
              <w:t xml:space="preserve">In-place </w:t>
            </w:r>
            <w:r w:rsidRPr="00B30542">
              <w:rPr>
                <w:b/>
              </w:rPr>
              <w:t>service</w:t>
            </w:r>
          </w:p>
        </w:tc>
      </w:tr>
      <w:tr w:rsidR="001510EC" w14:paraId="479F0CA1" w14:textId="77777777" w:rsidTr="0091371B">
        <w:tc>
          <w:tcPr>
            <w:tcW w:w="2343" w:type="dxa"/>
            <w:gridSpan w:val="2"/>
            <w:vMerge/>
          </w:tcPr>
          <w:p w14:paraId="1F53B08F" w14:textId="77777777" w:rsidR="001510EC" w:rsidRDefault="001510EC" w:rsidP="0091371B">
            <w:pPr>
              <w:spacing w:before="0" w:beforeAutospacing="0" w:after="0" w:afterAutospacing="0"/>
            </w:pPr>
          </w:p>
        </w:tc>
        <w:tc>
          <w:tcPr>
            <w:tcW w:w="1283" w:type="dxa"/>
          </w:tcPr>
          <w:p w14:paraId="68A91C4A" w14:textId="77777777" w:rsidR="001510EC" w:rsidRPr="00A06F56" w:rsidRDefault="001510EC" w:rsidP="0091371B">
            <w:pPr>
              <w:spacing w:before="0" w:beforeAutospacing="0" w:after="0" w:afterAutospacing="0"/>
              <w:rPr>
                <w:b/>
              </w:rPr>
            </w:pPr>
            <w:r w:rsidRPr="00B30542">
              <w:rPr>
                <w:b/>
              </w:rPr>
              <w:t xml:space="preserve">Urban </w:t>
            </w:r>
          </w:p>
        </w:tc>
        <w:tc>
          <w:tcPr>
            <w:tcW w:w="1264" w:type="dxa"/>
          </w:tcPr>
          <w:p w14:paraId="3AAF2185" w14:textId="77777777" w:rsidR="001510EC" w:rsidRPr="00B30542" w:rsidRDefault="001510EC" w:rsidP="0091371B">
            <w:pPr>
              <w:spacing w:before="0" w:beforeAutospacing="0" w:after="0" w:afterAutospacing="0"/>
              <w:rPr>
                <w:b/>
              </w:rPr>
            </w:pPr>
            <w:r w:rsidRPr="00B30542">
              <w:rPr>
                <w:b/>
              </w:rPr>
              <w:t>Rural</w:t>
            </w:r>
          </w:p>
        </w:tc>
        <w:tc>
          <w:tcPr>
            <w:tcW w:w="1313" w:type="dxa"/>
          </w:tcPr>
          <w:p w14:paraId="6BA5AE9A" w14:textId="77777777" w:rsidR="001510EC" w:rsidRPr="00B30542" w:rsidRDefault="001510EC" w:rsidP="0091371B">
            <w:pPr>
              <w:spacing w:before="0" w:beforeAutospacing="0" w:after="0" w:afterAutospacing="0"/>
              <w:rPr>
                <w:b/>
              </w:rPr>
            </w:pPr>
            <w:r w:rsidRPr="00B30542">
              <w:rPr>
                <w:b/>
              </w:rPr>
              <w:t>Remote</w:t>
            </w:r>
          </w:p>
        </w:tc>
        <w:tc>
          <w:tcPr>
            <w:tcW w:w="1524" w:type="dxa"/>
          </w:tcPr>
          <w:p w14:paraId="4E282821" w14:textId="77777777" w:rsidR="001510EC" w:rsidRPr="00B30542" w:rsidRDefault="001510EC" w:rsidP="0091371B">
            <w:pPr>
              <w:spacing w:before="0" w:beforeAutospacing="0" w:after="0" w:afterAutospacing="0"/>
              <w:rPr>
                <w:b/>
              </w:rPr>
            </w:pPr>
            <w:r w:rsidRPr="00B30542">
              <w:rPr>
                <w:b/>
              </w:rPr>
              <w:t>All areas</w:t>
            </w:r>
          </w:p>
        </w:tc>
        <w:tc>
          <w:tcPr>
            <w:tcW w:w="1391" w:type="dxa"/>
          </w:tcPr>
          <w:p w14:paraId="75986043" w14:textId="77777777" w:rsidR="001510EC" w:rsidRPr="00EF7627" w:rsidRDefault="001510EC" w:rsidP="0091371B">
            <w:pPr>
              <w:spacing w:before="0" w:beforeAutospacing="0" w:after="0" w:afterAutospacing="0"/>
              <w:rPr>
                <w:b/>
              </w:rPr>
            </w:pPr>
            <w:r w:rsidRPr="00EF7627">
              <w:rPr>
                <w:b/>
              </w:rPr>
              <w:t>Urban</w:t>
            </w:r>
          </w:p>
        </w:tc>
        <w:tc>
          <w:tcPr>
            <w:tcW w:w="1280" w:type="dxa"/>
          </w:tcPr>
          <w:p w14:paraId="71B1E837" w14:textId="77777777" w:rsidR="001510EC" w:rsidRPr="00EF7627" w:rsidRDefault="001510EC" w:rsidP="0091371B">
            <w:pPr>
              <w:spacing w:before="0" w:beforeAutospacing="0" w:after="0" w:afterAutospacing="0"/>
              <w:rPr>
                <w:b/>
              </w:rPr>
            </w:pPr>
            <w:r w:rsidRPr="00EF7627">
              <w:rPr>
                <w:b/>
              </w:rPr>
              <w:t>Major rural</w:t>
            </w:r>
          </w:p>
        </w:tc>
        <w:tc>
          <w:tcPr>
            <w:tcW w:w="1282" w:type="dxa"/>
          </w:tcPr>
          <w:p w14:paraId="51268C2D" w14:textId="77777777" w:rsidR="001510EC" w:rsidRPr="00EF7627" w:rsidRDefault="001510EC" w:rsidP="0091371B">
            <w:pPr>
              <w:spacing w:before="0" w:beforeAutospacing="0" w:after="0" w:afterAutospacing="0"/>
              <w:rPr>
                <w:b/>
              </w:rPr>
            </w:pPr>
            <w:r w:rsidRPr="00EF7627">
              <w:rPr>
                <w:b/>
              </w:rPr>
              <w:t>Minor rural</w:t>
            </w:r>
          </w:p>
        </w:tc>
        <w:tc>
          <w:tcPr>
            <w:tcW w:w="1314" w:type="dxa"/>
          </w:tcPr>
          <w:p w14:paraId="4EDC8079" w14:textId="77777777" w:rsidR="001510EC" w:rsidRPr="00EF7627" w:rsidRDefault="001510EC" w:rsidP="0091371B">
            <w:pPr>
              <w:spacing w:before="0" w:beforeAutospacing="0" w:after="0" w:afterAutospacing="0"/>
              <w:rPr>
                <w:b/>
              </w:rPr>
            </w:pPr>
            <w:r w:rsidRPr="00EF7627">
              <w:rPr>
                <w:b/>
              </w:rPr>
              <w:t>Remote</w:t>
            </w:r>
          </w:p>
        </w:tc>
        <w:tc>
          <w:tcPr>
            <w:tcW w:w="1180" w:type="dxa"/>
          </w:tcPr>
          <w:p w14:paraId="7C3991E6" w14:textId="77777777" w:rsidR="001510EC" w:rsidRPr="00EF7627" w:rsidRDefault="001510EC" w:rsidP="0091371B">
            <w:pPr>
              <w:spacing w:before="0" w:beforeAutospacing="0" w:after="0" w:afterAutospacing="0"/>
              <w:rPr>
                <w:b/>
              </w:rPr>
            </w:pPr>
            <w:r w:rsidRPr="00EF7627">
              <w:rPr>
                <w:b/>
              </w:rPr>
              <w:t>All</w:t>
            </w:r>
            <w:r w:rsidRPr="00B30542">
              <w:rPr>
                <w:b/>
              </w:rPr>
              <w:t xml:space="preserve"> areas</w:t>
            </w:r>
          </w:p>
        </w:tc>
      </w:tr>
      <w:tr w:rsidR="005E1450" w14:paraId="14575461" w14:textId="77777777" w:rsidTr="0091371B">
        <w:tc>
          <w:tcPr>
            <w:tcW w:w="1172" w:type="dxa"/>
            <w:vMerge w:val="restart"/>
          </w:tcPr>
          <w:p w14:paraId="3BB461DE" w14:textId="77777777" w:rsidR="005E1450" w:rsidRPr="00A06F56" w:rsidRDefault="005E1450" w:rsidP="0091371B">
            <w:pPr>
              <w:spacing w:before="0" w:beforeAutospacing="0" w:after="0" w:afterAutospacing="0"/>
            </w:pPr>
            <w:r w:rsidRPr="00A06F56">
              <w:t>iiNet</w:t>
            </w:r>
          </w:p>
        </w:tc>
        <w:tc>
          <w:tcPr>
            <w:tcW w:w="1171" w:type="dxa"/>
          </w:tcPr>
          <w:p w14:paraId="121B5246" w14:textId="77777777" w:rsidR="005E1450" w:rsidRPr="00A06F56" w:rsidRDefault="005E1450" w:rsidP="0091371B">
            <w:pPr>
              <w:spacing w:before="0" w:beforeAutospacing="0" w:after="0" w:afterAutospacing="0"/>
            </w:pPr>
            <w:r w:rsidRPr="00A06F56">
              <w:t>%</w:t>
            </w:r>
          </w:p>
        </w:tc>
        <w:tc>
          <w:tcPr>
            <w:tcW w:w="1283" w:type="dxa"/>
            <w:vAlign w:val="center"/>
          </w:tcPr>
          <w:p w14:paraId="3D300BFD" w14:textId="1421E991" w:rsidR="005E1450" w:rsidRDefault="005E1450" w:rsidP="0091371B">
            <w:pPr>
              <w:spacing w:before="0" w:beforeAutospacing="0" w:after="0" w:afterAutospacing="0"/>
            </w:pPr>
            <w:r>
              <w:rPr>
                <w:rFonts w:ascii="Arial" w:hAnsi="Arial" w:cs="Arial"/>
                <w:color w:val="000000"/>
                <w:sz w:val="20"/>
                <w:szCs w:val="20"/>
              </w:rPr>
              <w:t>98.3</w:t>
            </w:r>
          </w:p>
        </w:tc>
        <w:tc>
          <w:tcPr>
            <w:tcW w:w="1264" w:type="dxa"/>
            <w:vAlign w:val="center"/>
          </w:tcPr>
          <w:p w14:paraId="7748CA77" w14:textId="41C70E41" w:rsidR="005E1450" w:rsidRDefault="005E1450" w:rsidP="0091371B">
            <w:pPr>
              <w:spacing w:before="0" w:beforeAutospacing="0" w:after="0" w:afterAutospacing="0"/>
            </w:pPr>
            <w:r>
              <w:rPr>
                <w:rFonts w:ascii="Arial" w:hAnsi="Arial" w:cs="Arial"/>
                <w:color w:val="000000"/>
                <w:sz w:val="20"/>
                <w:szCs w:val="20"/>
              </w:rPr>
              <w:t>97.8</w:t>
            </w:r>
          </w:p>
        </w:tc>
        <w:tc>
          <w:tcPr>
            <w:tcW w:w="1313" w:type="dxa"/>
            <w:vAlign w:val="center"/>
          </w:tcPr>
          <w:p w14:paraId="3E8C241A" w14:textId="5871576B" w:rsidR="005E1450" w:rsidRDefault="005E1450" w:rsidP="0091371B">
            <w:pPr>
              <w:spacing w:before="0" w:beforeAutospacing="0" w:after="0" w:afterAutospacing="0"/>
            </w:pPr>
            <w:r>
              <w:rPr>
                <w:rFonts w:ascii="Arial" w:hAnsi="Arial" w:cs="Arial"/>
                <w:color w:val="000000"/>
                <w:sz w:val="20"/>
                <w:szCs w:val="20"/>
              </w:rPr>
              <w:t>100</w:t>
            </w:r>
          </w:p>
        </w:tc>
        <w:tc>
          <w:tcPr>
            <w:tcW w:w="1524" w:type="dxa"/>
            <w:vAlign w:val="center"/>
          </w:tcPr>
          <w:p w14:paraId="2151D070" w14:textId="443F8E3D" w:rsidR="005E1450" w:rsidRDefault="005E1450" w:rsidP="0091371B">
            <w:pPr>
              <w:spacing w:before="0" w:beforeAutospacing="0" w:after="0" w:afterAutospacing="0"/>
            </w:pPr>
            <w:r>
              <w:rPr>
                <w:rFonts w:ascii="Arial" w:hAnsi="Arial" w:cs="Arial"/>
                <w:color w:val="000000"/>
                <w:sz w:val="20"/>
                <w:szCs w:val="20"/>
              </w:rPr>
              <w:t>100</w:t>
            </w:r>
          </w:p>
        </w:tc>
        <w:tc>
          <w:tcPr>
            <w:tcW w:w="1391" w:type="dxa"/>
            <w:vAlign w:val="center"/>
          </w:tcPr>
          <w:p w14:paraId="5AB62E1B" w14:textId="0A93FD29" w:rsidR="005E1450" w:rsidRDefault="005E1450" w:rsidP="0091371B">
            <w:pPr>
              <w:spacing w:before="0" w:beforeAutospacing="0" w:after="0" w:afterAutospacing="0"/>
            </w:pPr>
            <w:r>
              <w:rPr>
                <w:rFonts w:ascii="Arial" w:hAnsi="Arial" w:cs="Arial"/>
                <w:color w:val="000000"/>
                <w:sz w:val="20"/>
                <w:szCs w:val="20"/>
              </w:rPr>
              <w:t>95.6</w:t>
            </w:r>
          </w:p>
        </w:tc>
        <w:tc>
          <w:tcPr>
            <w:tcW w:w="1280" w:type="dxa"/>
            <w:vAlign w:val="center"/>
          </w:tcPr>
          <w:p w14:paraId="1A139E59" w14:textId="0E323FE1" w:rsidR="005E1450" w:rsidRDefault="005E1450" w:rsidP="0091371B">
            <w:pPr>
              <w:spacing w:before="0" w:beforeAutospacing="0" w:after="0" w:afterAutospacing="0"/>
            </w:pPr>
            <w:r>
              <w:rPr>
                <w:rFonts w:ascii="Arial" w:hAnsi="Arial" w:cs="Arial"/>
                <w:color w:val="000000"/>
                <w:sz w:val="20"/>
                <w:szCs w:val="20"/>
              </w:rPr>
              <w:t>98.7</w:t>
            </w:r>
          </w:p>
        </w:tc>
        <w:tc>
          <w:tcPr>
            <w:tcW w:w="1282" w:type="dxa"/>
            <w:vAlign w:val="center"/>
          </w:tcPr>
          <w:p w14:paraId="7DAE7C51" w14:textId="1ECD1A04" w:rsidR="005E1450" w:rsidRDefault="005E1450" w:rsidP="0091371B">
            <w:pPr>
              <w:spacing w:before="0" w:beforeAutospacing="0" w:after="0" w:afterAutospacing="0"/>
            </w:pPr>
            <w:r>
              <w:rPr>
                <w:rFonts w:ascii="Arial" w:hAnsi="Arial" w:cs="Arial"/>
                <w:color w:val="000000"/>
                <w:sz w:val="20"/>
                <w:szCs w:val="20"/>
              </w:rPr>
              <w:t>98.5</w:t>
            </w:r>
          </w:p>
        </w:tc>
        <w:tc>
          <w:tcPr>
            <w:tcW w:w="1314" w:type="dxa"/>
            <w:vAlign w:val="center"/>
          </w:tcPr>
          <w:p w14:paraId="29E43446" w14:textId="6B5FECEC" w:rsidR="005E1450" w:rsidRDefault="005E1450" w:rsidP="0091371B">
            <w:pPr>
              <w:spacing w:before="0" w:beforeAutospacing="0" w:after="0" w:afterAutospacing="0"/>
            </w:pPr>
            <w:r>
              <w:rPr>
                <w:rFonts w:ascii="Arial" w:hAnsi="Arial" w:cs="Arial"/>
                <w:color w:val="000000"/>
                <w:sz w:val="20"/>
                <w:szCs w:val="20"/>
              </w:rPr>
              <w:t>100</w:t>
            </w:r>
          </w:p>
        </w:tc>
        <w:tc>
          <w:tcPr>
            <w:tcW w:w="1180" w:type="dxa"/>
            <w:vAlign w:val="center"/>
          </w:tcPr>
          <w:p w14:paraId="32B63D38" w14:textId="597F4793" w:rsidR="005E1450" w:rsidRDefault="005E1450" w:rsidP="0091371B">
            <w:pPr>
              <w:spacing w:before="0" w:beforeAutospacing="0" w:after="0" w:afterAutospacing="0"/>
            </w:pPr>
            <w:r>
              <w:rPr>
                <w:rFonts w:ascii="Arial" w:hAnsi="Arial" w:cs="Arial"/>
                <w:color w:val="000000"/>
                <w:sz w:val="20"/>
                <w:szCs w:val="20"/>
              </w:rPr>
              <w:t>94.8</w:t>
            </w:r>
          </w:p>
        </w:tc>
      </w:tr>
      <w:tr w:rsidR="005E1450" w14:paraId="099F9688" w14:textId="77777777" w:rsidTr="0091371B">
        <w:tc>
          <w:tcPr>
            <w:tcW w:w="1172" w:type="dxa"/>
            <w:vMerge/>
          </w:tcPr>
          <w:p w14:paraId="754CC834" w14:textId="77777777" w:rsidR="005E1450" w:rsidRPr="00A06F56" w:rsidRDefault="005E1450" w:rsidP="0091371B">
            <w:pPr>
              <w:spacing w:before="0" w:beforeAutospacing="0" w:after="0" w:afterAutospacing="0"/>
            </w:pPr>
          </w:p>
        </w:tc>
        <w:tc>
          <w:tcPr>
            <w:tcW w:w="1171" w:type="dxa"/>
          </w:tcPr>
          <w:p w14:paraId="1DA97139" w14:textId="77777777" w:rsidR="005E1450" w:rsidRPr="00A06F56" w:rsidRDefault="005E1450" w:rsidP="0091371B">
            <w:pPr>
              <w:spacing w:before="0" w:beforeAutospacing="0" w:after="0" w:afterAutospacing="0"/>
            </w:pPr>
            <w:r w:rsidRPr="00A06F56">
              <w:t>No.</w:t>
            </w:r>
          </w:p>
        </w:tc>
        <w:tc>
          <w:tcPr>
            <w:tcW w:w="1283" w:type="dxa"/>
            <w:vAlign w:val="center"/>
          </w:tcPr>
          <w:p w14:paraId="086954A1" w14:textId="2A664B12" w:rsidR="005E1450" w:rsidRDefault="005E1450" w:rsidP="0091371B">
            <w:pPr>
              <w:spacing w:before="0" w:beforeAutospacing="0" w:after="0" w:afterAutospacing="0"/>
            </w:pPr>
            <w:r>
              <w:rPr>
                <w:rFonts w:ascii="Arial" w:hAnsi="Arial" w:cs="Arial"/>
                <w:color w:val="000000"/>
                <w:sz w:val="20"/>
                <w:szCs w:val="20"/>
              </w:rPr>
              <w:t>48,953</w:t>
            </w:r>
          </w:p>
        </w:tc>
        <w:tc>
          <w:tcPr>
            <w:tcW w:w="1264" w:type="dxa"/>
            <w:vAlign w:val="center"/>
          </w:tcPr>
          <w:p w14:paraId="4BE04B73" w14:textId="7E81D039" w:rsidR="005E1450" w:rsidRDefault="005E1450" w:rsidP="0091371B">
            <w:pPr>
              <w:spacing w:before="0" w:beforeAutospacing="0" w:after="0" w:afterAutospacing="0"/>
            </w:pPr>
            <w:r>
              <w:rPr>
                <w:rFonts w:ascii="Arial" w:hAnsi="Arial" w:cs="Arial"/>
                <w:color w:val="000000"/>
                <w:sz w:val="20"/>
                <w:szCs w:val="20"/>
              </w:rPr>
              <w:t>8,918</w:t>
            </w:r>
          </w:p>
        </w:tc>
        <w:tc>
          <w:tcPr>
            <w:tcW w:w="1313" w:type="dxa"/>
            <w:vAlign w:val="center"/>
          </w:tcPr>
          <w:p w14:paraId="76BB65FF" w14:textId="7F966767" w:rsidR="005E1450" w:rsidRDefault="005E1450" w:rsidP="0091371B">
            <w:pPr>
              <w:spacing w:before="0" w:beforeAutospacing="0" w:after="0" w:afterAutospacing="0"/>
            </w:pPr>
            <w:r>
              <w:rPr>
                <w:rFonts w:ascii="Arial" w:hAnsi="Arial" w:cs="Arial"/>
                <w:color w:val="000000"/>
                <w:sz w:val="20"/>
                <w:szCs w:val="20"/>
              </w:rPr>
              <w:t>43</w:t>
            </w:r>
          </w:p>
        </w:tc>
        <w:tc>
          <w:tcPr>
            <w:tcW w:w="1524" w:type="dxa"/>
            <w:vAlign w:val="center"/>
          </w:tcPr>
          <w:p w14:paraId="0E44E512" w14:textId="3F341EFE" w:rsidR="005E1450" w:rsidRDefault="005E1450" w:rsidP="0091371B">
            <w:pPr>
              <w:spacing w:before="0" w:beforeAutospacing="0" w:after="0" w:afterAutospacing="0"/>
            </w:pPr>
            <w:r>
              <w:rPr>
                <w:rFonts w:ascii="Arial" w:hAnsi="Arial" w:cs="Arial"/>
                <w:color w:val="000000"/>
                <w:sz w:val="20"/>
                <w:szCs w:val="20"/>
              </w:rPr>
              <w:t>36,545</w:t>
            </w:r>
          </w:p>
        </w:tc>
        <w:tc>
          <w:tcPr>
            <w:tcW w:w="1391" w:type="dxa"/>
            <w:vAlign w:val="center"/>
          </w:tcPr>
          <w:p w14:paraId="04149991" w14:textId="5DDFC5E3" w:rsidR="005E1450" w:rsidRDefault="005E1450" w:rsidP="0091371B">
            <w:pPr>
              <w:spacing w:before="0" w:beforeAutospacing="0" w:after="0" w:afterAutospacing="0"/>
            </w:pPr>
            <w:r>
              <w:rPr>
                <w:rFonts w:ascii="Arial" w:hAnsi="Arial" w:cs="Arial"/>
                <w:color w:val="000000"/>
                <w:sz w:val="20"/>
                <w:szCs w:val="20"/>
              </w:rPr>
              <w:t>37,109</w:t>
            </w:r>
          </w:p>
        </w:tc>
        <w:tc>
          <w:tcPr>
            <w:tcW w:w="1280" w:type="dxa"/>
            <w:vAlign w:val="center"/>
          </w:tcPr>
          <w:p w14:paraId="255401BB" w14:textId="555DFEB0" w:rsidR="005E1450" w:rsidRDefault="005E1450" w:rsidP="0091371B">
            <w:pPr>
              <w:spacing w:before="0" w:beforeAutospacing="0" w:after="0" w:afterAutospacing="0"/>
            </w:pPr>
            <w:r>
              <w:rPr>
                <w:rFonts w:ascii="Arial" w:hAnsi="Arial" w:cs="Arial"/>
                <w:color w:val="000000"/>
                <w:sz w:val="20"/>
                <w:szCs w:val="20"/>
              </w:rPr>
              <w:t>3,517</w:t>
            </w:r>
          </w:p>
        </w:tc>
        <w:tc>
          <w:tcPr>
            <w:tcW w:w="1282" w:type="dxa"/>
            <w:vAlign w:val="center"/>
          </w:tcPr>
          <w:p w14:paraId="22D3234D" w14:textId="3C269971" w:rsidR="005E1450" w:rsidRDefault="005E1450" w:rsidP="0091371B">
            <w:pPr>
              <w:spacing w:before="0" w:beforeAutospacing="0" w:after="0" w:afterAutospacing="0"/>
            </w:pPr>
            <w:r>
              <w:rPr>
                <w:rFonts w:ascii="Arial" w:hAnsi="Arial" w:cs="Arial"/>
                <w:color w:val="000000"/>
                <w:sz w:val="20"/>
                <w:szCs w:val="20"/>
              </w:rPr>
              <w:t>1,659</w:t>
            </w:r>
          </w:p>
        </w:tc>
        <w:tc>
          <w:tcPr>
            <w:tcW w:w="1314" w:type="dxa"/>
            <w:vAlign w:val="center"/>
          </w:tcPr>
          <w:p w14:paraId="18FDF593" w14:textId="41F679DC" w:rsidR="005E1450" w:rsidRDefault="005E1450" w:rsidP="0091371B">
            <w:pPr>
              <w:spacing w:before="0" w:beforeAutospacing="0" w:after="0" w:afterAutospacing="0"/>
            </w:pPr>
            <w:r>
              <w:rPr>
                <w:rFonts w:ascii="Arial" w:hAnsi="Arial" w:cs="Arial"/>
                <w:color w:val="000000"/>
                <w:sz w:val="20"/>
                <w:szCs w:val="20"/>
              </w:rPr>
              <w:t>46</w:t>
            </w:r>
          </w:p>
        </w:tc>
        <w:tc>
          <w:tcPr>
            <w:tcW w:w="1180" w:type="dxa"/>
            <w:vAlign w:val="center"/>
          </w:tcPr>
          <w:p w14:paraId="61C2CF82" w14:textId="5286634D" w:rsidR="005E1450" w:rsidRDefault="005E1450" w:rsidP="0091371B">
            <w:pPr>
              <w:spacing w:before="0" w:beforeAutospacing="0" w:after="0" w:afterAutospacing="0"/>
            </w:pPr>
            <w:r>
              <w:rPr>
                <w:rFonts w:ascii="Arial" w:hAnsi="Arial" w:cs="Arial"/>
                <w:color w:val="000000"/>
                <w:sz w:val="20"/>
                <w:szCs w:val="20"/>
              </w:rPr>
              <w:t>16,553</w:t>
            </w:r>
          </w:p>
        </w:tc>
      </w:tr>
      <w:tr w:rsidR="005E1450" w14:paraId="02C54AA3" w14:textId="77777777" w:rsidTr="0091371B">
        <w:tc>
          <w:tcPr>
            <w:tcW w:w="1172" w:type="dxa"/>
            <w:vMerge w:val="restart"/>
          </w:tcPr>
          <w:p w14:paraId="4A5E8CE3" w14:textId="77777777" w:rsidR="005E1450" w:rsidRPr="00A06F56" w:rsidRDefault="005E1450" w:rsidP="0091371B">
            <w:pPr>
              <w:spacing w:before="0" w:beforeAutospacing="0" w:after="0" w:afterAutospacing="0"/>
            </w:pPr>
            <w:r w:rsidRPr="00A06F56">
              <w:t>Optus</w:t>
            </w:r>
          </w:p>
        </w:tc>
        <w:tc>
          <w:tcPr>
            <w:tcW w:w="1171" w:type="dxa"/>
          </w:tcPr>
          <w:p w14:paraId="284FC41F" w14:textId="77777777" w:rsidR="005E1450" w:rsidRPr="00A06F56" w:rsidRDefault="005E1450" w:rsidP="0091371B">
            <w:pPr>
              <w:spacing w:before="0" w:beforeAutospacing="0" w:after="0" w:afterAutospacing="0"/>
            </w:pPr>
            <w:r w:rsidRPr="00A06F56">
              <w:t>%</w:t>
            </w:r>
          </w:p>
        </w:tc>
        <w:tc>
          <w:tcPr>
            <w:tcW w:w="1283" w:type="dxa"/>
            <w:vAlign w:val="center"/>
          </w:tcPr>
          <w:p w14:paraId="1723A312" w14:textId="058EEF08" w:rsidR="005E1450" w:rsidRDefault="005E1450" w:rsidP="0091371B">
            <w:pPr>
              <w:spacing w:before="0" w:beforeAutospacing="0" w:after="0" w:afterAutospacing="0"/>
            </w:pPr>
            <w:r>
              <w:rPr>
                <w:rFonts w:ascii="Arial" w:hAnsi="Arial" w:cs="Arial"/>
                <w:color w:val="000000"/>
                <w:sz w:val="20"/>
                <w:szCs w:val="20"/>
              </w:rPr>
              <w:t>96.2</w:t>
            </w:r>
          </w:p>
        </w:tc>
        <w:tc>
          <w:tcPr>
            <w:tcW w:w="1264" w:type="dxa"/>
            <w:vAlign w:val="center"/>
          </w:tcPr>
          <w:p w14:paraId="4D3399CB" w14:textId="35998386" w:rsidR="005E1450" w:rsidRDefault="005E1450" w:rsidP="0091371B">
            <w:pPr>
              <w:spacing w:before="0" w:beforeAutospacing="0" w:after="0" w:afterAutospacing="0"/>
            </w:pPr>
            <w:r>
              <w:rPr>
                <w:rFonts w:ascii="Arial" w:hAnsi="Arial" w:cs="Arial"/>
                <w:color w:val="000000"/>
                <w:sz w:val="20"/>
                <w:szCs w:val="20"/>
              </w:rPr>
              <w:t>95.8</w:t>
            </w:r>
          </w:p>
        </w:tc>
        <w:tc>
          <w:tcPr>
            <w:tcW w:w="1313" w:type="dxa"/>
            <w:vAlign w:val="center"/>
          </w:tcPr>
          <w:p w14:paraId="4F9FD9AF" w14:textId="7E48D7E9" w:rsidR="005E1450" w:rsidRDefault="005E1450" w:rsidP="0091371B">
            <w:pPr>
              <w:spacing w:before="0" w:beforeAutospacing="0" w:after="0" w:afterAutospacing="0"/>
            </w:pPr>
            <w:r>
              <w:rPr>
                <w:rFonts w:ascii="Arial" w:hAnsi="Arial" w:cs="Arial"/>
                <w:color w:val="000000"/>
                <w:sz w:val="20"/>
                <w:szCs w:val="20"/>
              </w:rPr>
              <w:t>NQCSP</w:t>
            </w:r>
          </w:p>
        </w:tc>
        <w:tc>
          <w:tcPr>
            <w:tcW w:w="1524" w:type="dxa"/>
            <w:vAlign w:val="center"/>
          </w:tcPr>
          <w:p w14:paraId="426EFFB7" w14:textId="7117722A" w:rsidR="005E1450" w:rsidRDefault="005E1450" w:rsidP="0091371B">
            <w:pPr>
              <w:spacing w:before="0" w:beforeAutospacing="0" w:after="0" w:afterAutospacing="0"/>
            </w:pPr>
            <w:r>
              <w:rPr>
                <w:rFonts w:ascii="Arial" w:hAnsi="Arial" w:cs="Arial"/>
                <w:color w:val="000000"/>
                <w:sz w:val="20"/>
                <w:szCs w:val="20"/>
              </w:rPr>
              <w:t>99.2</w:t>
            </w:r>
          </w:p>
        </w:tc>
        <w:tc>
          <w:tcPr>
            <w:tcW w:w="1391" w:type="dxa"/>
            <w:vAlign w:val="center"/>
          </w:tcPr>
          <w:p w14:paraId="3754F3F6" w14:textId="7376D6A9" w:rsidR="005E1450" w:rsidRDefault="005E1450" w:rsidP="0091371B">
            <w:pPr>
              <w:spacing w:before="0" w:beforeAutospacing="0" w:after="0" w:afterAutospacing="0"/>
            </w:pPr>
            <w:r>
              <w:rPr>
                <w:rFonts w:ascii="Arial" w:hAnsi="Arial" w:cs="Arial"/>
                <w:color w:val="000000"/>
                <w:sz w:val="20"/>
                <w:szCs w:val="20"/>
              </w:rPr>
              <w:t>98</w:t>
            </w:r>
          </w:p>
        </w:tc>
        <w:tc>
          <w:tcPr>
            <w:tcW w:w="1280" w:type="dxa"/>
            <w:vAlign w:val="center"/>
          </w:tcPr>
          <w:p w14:paraId="511FEE19" w14:textId="34410844" w:rsidR="005E1450" w:rsidRDefault="005E1450" w:rsidP="0091371B">
            <w:pPr>
              <w:spacing w:before="0" w:beforeAutospacing="0" w:after="0" w:afterAutospacing="0"/>
            </w:pPr>
            <w:r>
              <w:rPr>
                <w:rFonts w:ascii="Arial" w:hAnsi="Arial" w:cs="Arial"/>
                <w:color w:val="000000"/>
                <w:sz w:val="20"/>
                <w:szCs w:val="20"/>
              </w:rPr>
              <w:t>99.4</w:t>
            </w:r>
          </w:p>
        </w:tc>
        <w:tc>
          <w:tcPr>
            <w:tcW w:w="1282" w:type="dxa"/>
            <w:vAlign w:val="center"/>
          </w:tcPr>
          <w:p w14:paraId="50FE04BB" w14:textId="5C58D9AE" w:rsidR="005E1450" w:rsidRDefault="005E1450" w:rsidP="0091371B">
            <w:pPr>
              <w:spacing w:before="0" w:beforeAutospacing="0" w:after="0" w:afterAutospacing="0"/>
            </w:pPr>
            <w:r>
              <w:rPr>
                <w:rFonts w:ascii="Arial" w:hAnsi="Arial" w:cs="Arial"/>
                <w:color w:val="000000"/>
                <w:sz w:val="20"/>
                <w:szCs w:val="20"/>
              </w:rPr>
              <w:t>99.4</w:t>
            </w:r>
          </w:p>
        </w:tc>
        <w:tc>
          <w:tcPr>
            <w:tcW w:w="1314" w:type="dxa"/>
            <w:vAlign w:val="center"/>
          </w:tcPr>
          <w:p w14:paraId="3C0856FF" w14:textId="430CFF3A" w:rsidR="005E1450" w:rsidRDefault="005E1450" w:rsidP="0091371B">
            <w:pPr>
              <w:spacing w:before="0" w:beforeAutospacing="0" w:after="0" w:afterAutospacing="0"/>
            </w:pPr>
            <w:r>
              <w:rPr>
                <w:rFonts w:ascii="Arial" w:hAnsi="Arial" w:cs="Arial"/>
                <w:color w:val="000000"/>
                <w:sz w:val="20"/>
                <w:szCs w:val="20"/>
              </w:rPr>
              <w:t>NQCSP</w:t>
            </w:r>
          </w:p>
        </w:tc>
        <w:tc>
          <w:tcPr>
            <w:tcW w:w="1180" w:type="dxa"/>
            <w:vAlign w:val="center"/>
          </w:tcPr>
          <w:p w14:paraId="26FE3F0B" w14:textId="2388AEB9" w:rsidR="005E1450" w:rsidRDefault="005E1450" w:rsidP="0091371B">
            <w:pPr>
              <w:spacing w:before="0" w:beforeAutospacing="0" w:after="0" w:afterAutospacing="0"/>
            </w:pPr>
            <w:r>
              <w:rPr>
                <w:rFonts w:ascii="Arial" w:hAnsi="Arial" w:cs="Arial"/>
                <w:color w:val="000000"/>
                <w:sz w:val="20"/>
                <w:szCs w:val="20"/>
              </w:rPr>
              <w:t>n/a</w:t>
            </w:r>
          </w:p>
        </w:tc>
      </w:tr>
      <w:tr w:rsidR="005E1450" w14:paraId="11CA3BD9" w14:textId="77777777" w:rsidTr="0091371B">
        <w:tc>
          <w:tcPr>
            <w:tcW w:w="1172" w:type="dxa"/>
            <w:vMerge/>
          </w:tcPr>
          <w:p w14:paraId="65CD072F" w14:textId="77777777" w:rsidR="005E1450" w:rsidRPr="00A06F56" w:rsidRDefault="005E1450" w:rsidP="0091371B">
            <w:pPr>
              <w:spacing w:before="0" w:beforeAutospacing="0" w:after="0" w:afterAutospacing="0"/>
            </w:pPr>
          </w:p>
        </w:tc>
        <w:tc>
          <w:tcPr>
            <w:tcW w:w="1171" w:type="dxa"/>
          </w:tcPr>
          <w:p w14:paraId="05998A38" w14:textId="77777777" w:rsidR="005E1450" w:rsidRPr="00A06F56" w:rsidRDefault="005E1450" w:rsidP="0091371B">
            <w:pPr>
              <w:spacing w:before="0" w:beforeAutospacing="0" w:after="0" w:afterAutospacing="0"/>
            </w:pPr>
            <w:r w:rsidRPr="00A06F56">
              <w:t>No.</w:t>
            </w:r>
          </w:p>
        </w:tc>
        <w:tc>
          <w:tcPr>
            <w:tcW w:w="1283" w:type="dxa"/>
            <w:vAlign w:val="center"/>
          </w:tcPr>
          <w:p w14:paraId="6E583F49" w14:textId="7299924B" w:rsidR="005E1450" w:rsidRDefault="005E1450" w:rsidP="0091371B">
            <w:pPr>
              <w:spacing w:before="0" w:beforeAutospacing="0" w:after="0" w:afterAutospacing="0"/>
            </w:pPr>
            <w:r>
              <w:rPr>
                <w:rFonts w:ascii="Arial" w:hAnsi="Arial" w:cs="Arial"/>
                <w:color w:val="000000"/>
                <w:sz w:val="20"/>
                <w:szCs w:val="20"/>
              </w:rPr>
              <w:t>151,391</w:t>
            </w:r>
          </w:p>
        </w:tc>
        <w:tc>
          <w:tcPr>
            <w:tcW w:w="1264" w:type="dxa"/>
            <w:vAlign w:val="center"/>
          </w:tcPr>
          <w:p w14:paraId="4A80D585" w14:textId="5263DA76" w:rsidR="005E1450" w:rsidRDefault="005E1450" w:rsidP="0091371B">
            <w:pPr>
              <w:spacing w:before="0" w:beforeAutospacing="0" w:after="0" w:afterAutospacing="0"/>
            </w:pPr>
            <w:r>
              <w:rPr>
                <w:rFonts w:ascii="Arial" w:hAnsi="Arial" w:cs="Arial"/>
                <w:color w:val="000000"/>
                <w:sz w:val="20"/>
                <w:szCs w:val="20"/>
              </w:rPr>
              <w:t>1,169</w:t>
            </w:r>
          </w:p>
        </w:tc>
        <w:tc>
          <w:tcPr>
            <w:tcW w:w="1313" w:type="dxa"/>
            <w:vAlign w:val="center"/>
          </w:tcPr>
          <w:p w14:paraId="4B8C2ED9" w14:textId="0D291386" w:rsidR="005E1450" w:rsidRDefault="005E1450" w:rsidP="0091371B">
            <w:pPr>
              <w:spacing w:before="0" w:beforeAutospacing="0" w:after="0" w:afterAutospacing="0"/>
            </w:pPr>
            <w:r>
              <w:rPr>
                <w:rFonts w:ascii="Arial" w:hAnsi="Arial" w:cs="Arial"/>
                <w:color w:val="000000"/>
                <w:sz w:val="20"/>
                <w:szCs w:val="20"/>
              </w:rPr>
              <w:t>NQCSP</w:t>
            </w:r>
          </w:p>
        </w:tc>
        <w:tc>
          <w:tcPr>
            <w:tcW w:w="1524" w:type="dxa"/>
            <w:vAlign w:val="center"/>
          </w:tcPr>
          <w:p w14:paraId="5BEE2B5F" w14:textId="27A7D214" w:rsidR="005E1450" w:rsidRDefault="005E1450" w:rsidP="0091371B">
            <w:pPr>
              <w:spacing w:before="0" w:beforeAutospacing="0" w:after="0" w:afterAutospacing="0"/>
            </w:pPr>
            <w:r>
              <w:rPr>
                <w:rFonts w:ascii="Arial" w:hAnsi="Arial" w:cs="Arial"/>
                <w:color w:val="000000"/>
                <w:sz w:val="20"/>
                <w:szCs w:val="20"/>
              </w:rPr>
              <w:t>202,050</w:t>
            </w:r>
          </w:p>
        </w:tc>
        <w:tc>
          <w:tcPr>
            <w:tcW w:w="1391" w:type="dxa"/>
            <w:vAlign w:val="center"/>
          </w:tcPr>
          <w:p w14:paraId="5B02D4F8" w14:textId="1C93237F" w:rsidR="005E1450" w:rsidRDefault="005E1450" w:rsidP="0091371B">
            <w:pPr>
              <w:spacing w:before="0" w:beforeAutospacing="0" w:after="0" w:afterAutospacing="0"/>
            </w:pPr>
            <w:r>
              <w:rPr>
                <w:rFonts w:ascii="Arial" w:hAnsi="Arial" w:cs="Arial"/>
                <w:color w:val="000000"/>
                <w:sz w:val="20"/>
                <w:szCs w:val="20"/>
              </w:rPr>
              <w:t>304,374</w:t>
            </w:r>
          </w:p>
        </w:tc>
        <w:tc>
          <w:tcPr>
            <w:tcW w:w="1280" w:type="dxa"/>
            <w:vAlign w:val="center"/>
          </w:tcPr>
          <w:p w14:paraId="16B118CB" w14:textId="5882E5F0" w:rsidR="005E1450" w:rsidRDefault="005E1450" w:rsidP="0091371B">
            <w:pPr>
              <w:spacing w:before="0" w:beforeAutospacing="0" w:after="0" w:afterAutospacing="0"/>
            </w:pPr>
            <w:r>
              <w:rPr>
                <w:rFonts w:ascii="Arial" w:hAnsi="Arial" w:cs="Arial"/>
                <w:color w:val="000000"/>
                <w:sz w:val="20"/>
                <w:szCs w:val="20"/>
              </w:rPr>
              <w:t>3,160</w:t>
            </w:r>
          </w:p>
        </w:tc>
        <w:tc>
          <w:tcPr>
            <w:tcW w:w="1282" w:type="dxa"/>
            <w:vAlign w:val="center"/>
          </w:tcPr>
          <w:p w14:paraId="2310F066" w14:textId="3B864B99" w:rsidR="005E1450" w:rsidRDefault="005E1450" w:rsidP="0091371B">
            <w:pPr>
              <w:spacing w:before="0" w:beforeAutospacing="0" w:after="0" w:afterAutospacing="0"/>
            </w:pPr>
            <w:r>
              <w:rPr>
                <w:rFonts w:ascii="Arial" w:hAnsi="Arial" w:cs="Arial"/>
                <w:color w:val="000000"/>
                <w:sz w:val="20"/>
                <w:szCs w:val="20"/>
              </w:rPr>
              <w:t>1,246</w:t>
            </w:r>
          </w:p>
        </w:tc>
        <w:tc>
          <w:tcPr>
            <w:tcW w:w="1314" w:type="dxa"/>
            <w:vAlign w:val="center"/>
          </w:tcPr>
          <w:p w14:paraId="5BE34BED" w14:textId="1D0BD3B2" w:rsidR="005E1450" w:rsidRDefault="005E1450" w:rsidP="0091371B">
            <w:pPr>
              <w:spacing w:before="0" w:beforeAutospacing="0" w:after="0" w:afterAutospacing="0"/>
            </w:pPr>
            <w:r>
              <w:rPr>
                <w:rFonts w:ascii="Arial" w:hAnsi="Arial" w:cs="Arial"/>
                <w:color w:val="000000"/>
                <w:sz w:val="20"/>
                <w:szCs w:val="20"/>
              </w:rPr>
              <w:t>NQCSP</w:t>
            </w:r>
          </w:p>
        </w:tc>
        <w:tc>
          <w:tcPr>
            <w:tcW w:w="1180" w:type="dxa"/>
            <w:vAlign w:val="center"/>
          </w:tcPr>
          <w:p w14:paraId="39E498E4" w14:textId="46792435" w:rsidR="005E1450" w:rsidRDefault="005E1450" w:rsidP="0091371B">
            <w:pPr>
              <w:spacing w:before="0" w:beforeAutospacing="0" w:after="0" w:afterAutospacing="0"/>
            </w:pPr>
            <w:r>
              <w:rPr>
                <w:rFonts w:ascii="Arial" w:hAnsi="Arial" w:cs="Arial"/>
                <w:color w:val="000000"/>
                <w:sz w:val="20"/>
                <w:szCs w:val="20"/>
              </w:rPr>
              <w:t>n/a</w:t>
            </w:r>
          </w:p>
        </w:tc>
      </w:tr>
      <w:tr w:rsidR="005E1450" w14:paraId="2A18864E" w14:textId="77777777" w:rsidTr="0091371B">
        <w:tc>
          <w:tcPr>
            <w:tcW w:w="1172" w:type="dxa"/>
            <w:vMerge w:val="restart"/>
          </w:tcPr>
          <w:p w14:paraId="16669F38" w14:textId="77777777" w:rsidR="005E1450" w:rsidRPr="00A06F56" w:rsidRDefault="005E1450" w:rsidP="0091371B">
            <w:pPr>
              <w:spacing w:before="0" w:beforeAutospacing="0" w:after="0" w:afterAutospacing="0"/>
            </w:pPr>
            <w:r w:rsidRPr="00A06F56">
              <w:t>Dodo</w:t>
            </w:r>
          </w:p>
        </w:tc>
        <w:tc>
          <w:tcPr>
            <w:tcW w:w="1171" w:type="dxa"/>
          </w:tcPr>
          <w:p w14:paraId="79F6E156" w14:textId="77777777" w:rsidR="005E1450" w:rsidRPr="00A06F56" w:rsidRDefault="005E1450" w:rsidP="0091371B">
            <w:pPr>
              <w:spacing w:before="0" w:beforeAutospacing="0" w:after="0" w:afterAutospacing="0"/>
            </w:pPr>
            <w:r w:rsidRPr="00A06F56">
              <w:t>%</w:t>
            </w:r>
          </w:p>
        </w:tc>
        <w:tc>
          <w:tcPr>
            <w:tcW w:w="1283" w:type="dxa"/>
            <w:vAlign w:val="center"/>
          </w:tcPr>
          <w:p w14:paraId="0F2F90B6" w14:textId="7D10BFEE" w:rsidR="005E1450" w:rsidRDefault="005E1450" w:rsidP="0091371B">
            <w:pPr>
              <w:spacing w:before="0" w:beforeAutospacing="0" w:after="0" w:afterAutospacing="0"/>
            </w:pPr>
            <w:r>
              <w:rPr>
                <w:rFonts w:ascii="Arial" w:hAnsi="Arial" w:cs="Arial"/>
                <w:color w:val="000000"/>
                <w:sz w:val="20"/>
                <w:szCs w:val="20"/>
              </w:rPr>
              <w:t>100</w:t>
            </w:r>
          </w:p>
        </w:tc>
        <w:tc>
          <w:tcPr>
            <w:tcW w:w="1264" w:type="dxa"/>
            <w:vAlign w:val="center"/>
          </w:tcPr>
          <w:p w14:paraId="2ECF6252" w14:textId="45B1BF13" w:rsidR="005E1450" w:rsidRDefault="005E1450" w:rsidP="0091371B">
            <w:pPr>
              <w:spacing w:before="0" w:beforeAutospacing="0" w:after="0" w:afterAutospacing="0"/>
            </w:pPr>
            <w:r>
              <w:rPr>
                <w:rFonts w:ascii="Arial" w:hAnsi="Arial" w:cs="Arial"/>
                <w:color w:val="000000"/>
                <w:sz w:val="20"/>
                <w:szCs w:val="20"/>
              </w:rPr>
              <w:t>100</w:t>
            </w:r>
          </w:p>
        </w:tc>
        <w:tc>
          <w:tcPr>
            <w:tcW w:w="1313" w:type="dxa"/>
            <w:vAlign w:val="center"/>
          </w:tcPr>
          <w:p w14:paraId="64FBB336" w14:textId="35E3E254" w:rsidR="005E1450" w:rsidRDefault="005E1450" w:rsidP="0091371B">
            <w:pPr>
              <w:spacing w:before="0" w:beforeAutospacing="0" w:after="0" w:afterAutospacing="0"/>
            </w:pPr>
            <w:r>
              <w:rPr>
                <w:rFonts w:ascii="Arial" w:hAnsi="Arial" w:cs="Arial"/>
                <w:color w:val="000000"/>
                <w:sz w:val="20"/>
                <w:szCs w:val="20"/>
              </w:rPr>
              <w:t>NQCSP</w:t>
            </w:r>
          </w:p>
        </w:tc>
        <w:tc>
          <w:tcPr>
            <w:tcW w:w="1524" w:type="dxa"/>
            <w:vAlign w:val="center"/>
          </w:tcPr>
          <w:p w14:paraId="27170D23" w14:textId="648544D3" w:rsidR="005E1450" w:rsidRDefault="005E1450" w:rsidP="0091371B">
            <w:pPr>
              <w:spacing w:before="0" w:beforeAutospacing="0" w:after="0" w:afterAutospacing="0"/>
            </w:pPr>
            <w:r>
              <w:rPr>
                <w:rFonts w:ascii="Arial" w:hAnsi="Arial" w:cs="Arial"/>
                <w:color w:val="000000"/>
                <w:sz w:val="20"/>
                <w:szCs w:val="20"/>
              </w:rPr>
              <w:t>100</w:t>
            </w:r>
          </w:p>
        </w:tc>
        <w:tc>
          <w:tcPr>
            <w:tcW w:w="1391" w:type="dxa"/>
            <w:vAlign w:val="center"/>
          </w:tcPr>
          <w:p w14:paraId="3A5FCE7C" w14:textId="289C8B74" w:rsidR="005E1450" w:rsidRDefault="005E1450" w:rsidP="0091371B">
            <w:pPr>
              <w:spacing w:before="0" w:beforeAutospacing="0" w:after="0" w:afterAutospacing="0"/>
            </w:pPr>
            <w:r>
              <w:rPr>
                <w:rFonts w:ascii="Arial" w:hAnsi="Arial" w:cs="Arial"/>
                <w:color w:val="000000"/>
                <w:sz w:val="20"/>
                <w:szCs w:val="20"/>
              </w:rPr>
              <w:t>100</w:t>
            </w:r>
          </w:p>
        </w:tc>
        <w:tc>
          <w:tcPr>
            <w:tcW w:w="1280" w:type="dxa"/>
            <w:vAlign w:val="center"/>
          </w:tcPr>
          <w:p w14:paraId="08812B90" w14:textId="18E30A1D" w:rsidR="005E1450" w:rsidRDefault="005E1450" w:rsidP="0091371B">
            <w:pPr>
              <w:spacing w:before="0" w:beforeAutospacing="0" w:after="0" w:afterAutospacing="0"/>
            </w:pPr>
            <w:r>
              <w:rPr>
                <w:rFonts w:ascii="Arial" w:hAnsi="Arial" w:cs="Arial"/>
                <w:color w:val="000000"/>
                <w:sz w:val="20"/>
                <w:szCs w:val="20"/>
              </w:rPr>
              <w:t>100</w:t>
            </w:r>
          </w:p>
        </w:tc>
        <w:tc>
          <w:tcPr>
            <w:tcW w:w="1282" w:type="dxa"/>
            <w:vAlign w:val="center"/>
          </w:tcPr>
          <w:p w14:paraId="5E70F5D9" w14:textId="182409D3" w:rsidR="005E1450" w:rsidRDefault="005E1450" w:rsidP="0091371B">
            <w:pPr>
              <w:spacing w:before="0" w:beforeAutospacing="0" w:after="0" w:afterAutospacing="0"/>
            </w:pPr>
            <w:r>
              <w:rPr>
                <w:rFonts w:ascii="Arial" w:hAnsi="Arial" w:cs="Arial"/>
                <w:color w:val="000000"/>
                <w:sz w:val="20"/>
                <w:szCs w:val="20"/>
              </w:rPr>
              <w:t>100</w:t>
            </w:r>
          </w:p>
        </w:tc>
        <w:tc>
          <w:tcPr>
            <w:tcW w:w="1314" w:type="dxa"/>
            <w:vAlign w:val="center"/>
          </w:tcPr>
          <w:p w14:paraId="2E946B10" w14:textId="53CC0438" w:rsidR="005E1450" w:rsidRDefault="005E1450" w:rsidP="0091371B">
            <w:pPr>
              <w:spacing w:before="0" w:beforeAutospacing="0" w:after="0" w:afterAutospacing="0"/>
            </w:pPr>
            <w:r>
              <w:rPr>
                <w:rFonts w:ascii="Arial" w:hAnsi="Arial" w:cs="Arial"/>
                <w:color w:val="000000"/>
                <w:sz w:val="20"/>
                <w:szCs w:val="20"/>
              </w:rPr>
              <w:t>NQCSP</w:t>
            </w:r>
          </w:p>
        </w:tc>
        <w:tc>
          <w:tcPr>
            <w:tcW w:w="1180" w:type="dxa"/>
            <w:vAlign w:val="center"/>
          </w:tcPr>
          <w:p w14:paraId="0EDC0781" w14:textId="02A07E88" w:rsidR="005E1450" w:rsidRDefault="005E1450" w:rsidP="0091371B">
            <w:pPr>
              <w:spacing w:before="0" w:beforeAutospacing="0" w:after="0" w:afterAutospacing="0"/>
            </w:pPr>
            <w:r>
              <w:rPr>
                <w:rFonts w:ascii="Arial" w:hAnsi="Arial" w:cs="Arial"/>
                <w:color w:val="000000"/>
                <w:sz w:val="20"/>
                <w:szCs w:val="20"/>
              </w:rPr>
              <w:t>100</w:t>
            </w:r>
          </w:p>
        </w:tc>
      </w:tr>
      <w:tr w:rsidR="005E1450" w14:paraId="1F35F133" w14:textId="77777777" w:rsidTr="0091371B">
        <w:tc>
          <w:tcPr>
            <w:tcW w:w="1172" w:type="dxa"/>
            <w:vMerge/>
          </w:tcPr>
          <w:p w14:paraId="09E518C9" w14:textId="77777777" w:rsidR="005E1450" w:rsidRPr="00A06F56" w:rsidRDefault="005E1450" w:rsidP="0091371B">
            <w:pPr>
              <w:spacing w:before="0" w:beforeAutospacing="0" w:after="0" w:afterAutospacing="0"/>
            </w:pPr>
          </w:p>
        </w:tc>
        <w:tc>
          <w:tcPr>
            <w:tcW w:w="1171" w:type="dxa"/>
          </w:tcPr>
          <w:p w14:paraId="34F47E35" w14:textId="77777777" w:rsidR="005E1450" w:rsidRPr="00A06F56" w:rsidRDefault="005E1450" w:rsidP="0091371B">
            <w:pPr>
              <w:spacing w:before="0" w:beforeAutospacing="0" w:after="0" w:afterAutospacing="0"/>
            </w:pPr>
            <w:r w:rsidRPr="00A06F56">
              <w:t>No.</w:t>
            </w:r>
          </w:p>
        </w:tc>
        <w:tc>
          <w:tcPr>
            <w:tcW w:w="1283" w:type="dxa"/>
            <w:vAlign w:val="center"/>
          </w:tcPr>
          <w:p w14:paraId="229A9105" w14:textId="23EFF848" w:rsidR="005E1450" w:rsidRDefault="005E1450" w:rsidP="0091371B">
            <w:pPr>
              <w:spacing w:before="0" w:beforeAutospacing="0" w:after="0" w:afterAutospacing="0"/>
            </w:pPr>
            <w:r>
              <w:rPr>
                <w:rFonts w:ascii="Arial" w:hAnsi="Arial" w:cs="Arial"/>
                <w:color w:val="000000"/>
                <w:sz w:val="20"/>
                <w:szCs w:val="20"/>
              </w:rPr>
              <w:t>46,986</w:t>
            </w:r>
          </w:p>
        </w:tc>
        <w:tc>
          <w:tcPr>
            <w:tcW w:w="1264" w:type="dxa"/>
            <w:vAlign w:val="center"/>
          </w:tcPr>
          <w:p w14:paraId="1EBA3786" w14:textId="5B0D5EE2" w:rsidR="005E1450" w:rsidRDefault="005E1450" w:rsidP="0091371B">
            <w:pPr>
              <w:spacing w:before="0" w:beforeAutospacing="0" w:after="0" w:afterAutospacing="0"/>
            </w:pPr>
            <w:r>
              <w:rPr>
                <w:rFonts w:ascii="Arial" w:hAnsi="Arial" w:cs="Arial"/>
                <w:color w:val="000000"/>
                <w:sz w:val="20"/>
                <w:szCs w:val="20"/>
              </w:rPr>
              <w:t>11,667</w:t>
            </w:r>
          </w:p>
        </w:tc>
        <w:tc>
          <w:tcPr>
            <w:tcW w:w="1313" w:type="dxa"/>
            <w:vAlign w:val="center"/>
          </w:tcPr>
          <w:p w14:paraId="68F0C6D3" w14:textId="67694188" w:rsidR="005E1450" w:rsidRDefault="005E1450" w:rsidP="0091371B">
            <w:pPr>
              <w:spacing w:before="0" w:beforeAutospacing="0" w:after="0" w:afterAutospacing="0"/>
            </w:pPr>
            <w:r>
              <w:rPr>
                <w:rFonts w:ascii="Arial" w:hAnsi="Arial" w:cs="Arial"/>
                <w:color w:val="000000"/>
                <w:sz w:val="20"/>
                <w:szCs w:val="20"/>
              </w:rPr>
              <w:t>NQCSP</w:t>
            </w:r>
          </w:p>
        </w:tc>
        <w:tc>
          <w:tcPr>
            <w:tcW w:w="1524" w:type="dxa"/>
            <w:vAlign w:val="center"/>
          </w:tcPr>
          <w:p w14:paraId="780880DD" w14:textId="4EB34AB5" w:rsidR="005E1450" w:rsidRDefault="005E1450" w:rsidP="0091371B">
            <w:pPr>
              <w:spacing w:before="0" w:beforeAutospacing="0" w:after="0" w:afterAutospacing="0"/>
            </w:pPr>
            <w:r>
              <w:rPr>
                <w:rFonts w:ascii="Arial" w:hAnsi="Arial" w:cs="Arial"/>
                <w:color w:val="000000"/>
                <w:sz w:val="20"/>
                <w:szCs w:val="20"/>
              </w:rPr>
              <w:t>137,461</w:t>
            </w:r>
          </w:p>
        </w:tc>
        <w:tc>
          <w:tcPr>
            <w:tcW w:w="1391" w:type="dxa"/>
            <w:vAlign w:val="center"/>
          </w:tcPr>
          <w:p w14:paraId="794493EB" w14:textId="6BC9DD94" w:rsidR="005E1450" w:rsidRDefault="005E1450" w:rsidP="0091371B">
            <w:pPr>
              <w:spacing w:before="0" w:beforeAutospacing="0" w:after="0" w:afterAutospacing="0"/>
            </w:pPr>
            <w:r>
              <w:rPr>
                <w:rFonts w:ascii="Arial" w:hAnsi="Arial" w:cs="Arial"/>
                <w:color w:val="000000"/>
                <w:sz w:val="20"/>
                <w:szCs w:val="20"/>
              </w:rPr>
              <w:t>18,090</w:t>
            </w:r>
          </w:p>
        </w:tc>
        <w:tc>
          <w:tcPr>
            <w:tcW w:w="1280" w:type="dxa"/>
            <w:vAlign w:val="center"/>
          </w:tcPr>
          <w:p w14:paraId="56EBA551" w14:textId="3A7D2ECB" w:rsidR="005E1450" w:rsidRDefault="005E1450" w:rsidP="0091371B">
            <w:pPr>
              <w:spacing w:before="0" w:beforeAutospacing="0" w:after="0" w:afterAutospacing="0"/>
            </w:pPr>
            <w:r>
              <w:rPr>
                <w:rFonts w:ascii="Arial" w:hAnsi="Arial" w:cs="Arial"/>
                <w:color w:val="000000"/>
                <w:sz w:val="20"/>
                <w:szCs w:val="20"/>
              </w:rPr>
              <w:t>1,359</w:t>
            </w:r>
          </w:p>
        </w:tc>
        <w:tc>
          <w:tcPr>
            <w:tcW w:w="1282" w:type="dxa"/>
            <w:vAlign w:val="center"/>
          </w:tcPr>
          <w:p w14:paraId="2931F383" w14:textId="0CE2F77D" w:rsidR="005E1450" w:rsidRDefault="005E1450" w:rsidP="0091371B">
            <w:pPr>
              <w:spacing w:before="0" w:beforeAutospacing="0" w:after="0" w:afterAutospacing="0"/>
            </w:pPr>
            <w:r>
              <w:rPr>
                <w:rFonts w:ascii="Arial" w:hAnsi="Arial" w:cs="Arial"/>
                <w:color w:val="000000"/>
                <w:sz w:val="20"/>
                <w:szCs w:val="20"/>
              </w:rPr>
              <w:t>985</w:t>
            </w:r>
          </w:p>
        </w:tc>
        <w:tc>
          <w:tcPr>
            <w:tcW w:w="1314" w:type="dxa"/>
            <w:vAlign w:val="center"/>
          </w:tcPr>
          <w:p w14:paraId="7C57AF52" w14:textId="1A7398FF" w:rsidR="005E1450" w:rsidRDefault="005E1450" w:rsidP="0091371B">
            <w:pPr>
              <w:spacing w:before="0" w:beforeAutospacing="0" w:after="0" w:afterAutospacing="0"/>
            </w:pPr>
            <w:r>
              <w:rPr>
                <w:rFonts w:ascii="Arial" w:hAnsi="Arial" w:cs="Arial"/>
                <w:color w:val="000000"/>
                <w:sz w:val="20"/>
                <w:szCs w:val="20"/>
              </w:rPr>
              <w:t>NQCSP</w:t>
            </w:r>
          </w:p>
        </w:tc>
        <w:tc>
          <w:tcPr>
            <w:tcW w:w="1180" w:type="dxa"/>
            <w:vAlign w:val="center"/>
          </w:tcPr>
          <w:p w14:paraId="4AEDC89C" w14:textId="12E41A91" w:rsidR="005E1450" w:rsidRDefault="005E1450" w:rsidP="0091371B">
            <w:pPr>
              <w:spacing w:before="0" w:beforeAutospacing="0" w:after="0" w:afterAutospacing="0"/>
            </w:pPr>
            <w:r>
              <w:rPr>
                <w:rFonts w:ascii="Arial" w:hAnsi="Arial" w:cs="Arial"/>
                <w:color w:val="000000"/>
                <w:sz w:val="20"/>
                <w:szCs w:val="20"/>
              </w:rPr>
              <w:t>58,309</w:t>
            </w:r>
          </w:p>
        </w:tc>
      </w:tr>
      <w:tr w:rsidR="005E1450" w14:paraId="7C8EB21B" w14:textId="77777777" w:rsidTr="0091371B">
        <w:tc>
          <w:tcPr>
            <w:tcW w:w="1172" w:type="dxa"/>
            <w:vMerge w:val="restart"/>
          </w:tcPr>
          <w:p w14:paraId="7372F3E9" w14:textId="77777777" w:rsidR="005E1450" w:rsidRPr="00A06F56" w:rsidRDefault="005E1450" w:rsidP="0091371B">
            <w:pPr>
              <w:spacing w:before="0" w:beforeAutospacing="0" w:after="0" w:afterAutospacing="0"/>
            </w:pPr>
            <w:r w:rsidRPr="00A06F56">
              <w:t>Telstra</w:t>
            </w:r>
          </w:p>
        </w:tc>
        <w:tc>
          <w:tcPr>
            <w:tcW w:w="1171" w:type="dxa"/>
          </w:tcPr>
          <w:p w14:paraId="1C042F4D" w14:textId="77777777" w:rsidR="005E1450" w:rsidRPr="00A06F56" w:rsidRDefault="005E1450" w:rsidP="0091371B">
            <w:pPr>
              <w:spacing w:before="0" w:beforeAutospacing="0" w:after="0" w:afterAutospacing="0"/>
            </w:pPr>
            <w:r w:rsidRPr="00A06F56">
              <w:t>%</w:t>
            </w:r>
          </w:p>
        </w:tc>
        <w:tc>
          <w:tcPr>
            <w:tcW w:w="1283" w:type="dxa"/>
            <w:vAlign w:val="center"/>
          </w:tcPr>
          <w:p w14:paraId="679767F9" w14:textId="476A97DB" w:rsidR="005E1450" w:rsidRDefault="005E1450" w:rsidP="0091371B">
            <w:pPr>
              <w:spacing w:before="0" w:beforeAutospacing="0" w:after="0" w:afterAutospacing="0"/>
            </w:pPr>
            <w:r>
              <w:rPr>
                <w:rFonts w:ascii="Arial" w:hAnsi="Arial" w:cs="Arial"/>
                <w:color w:val="000000"/>
                <w:sz w:val="20"/>
                <w:szCs w:val="20"/>
              </w:rPr>
              <w:t>93.3</w:t>
            </w:r>
          </w:p>
        </w:tc>
        <w:tc>
          <w:tcPr>
            <w:tcW w:w="1264" w:type="dxa"/>
            <w:vAlign w:val="center"/>
          </w:tcPr>
          <w:p w14:paraId="367CB4D7" w14:textId="289F0F8C" w:rsidR="005E1450" w:rsidRDefault="005E1450" w:rsidP="0091371B">
            <w:pPr>
              <w:spacing w:before="0" w:beforeAutospacing="0" w:after="0" w:afterAutospacing="0"/>
            </w:pPr>
            <w:r>
              <w:rPr>
                <w:rFonts w:ascii="Arial" w:hAnsi="Arial" w:cs="Arial"/>
                <w:color w:val="000000"/>
                <w:sz w:val="20"/>
                <w:szCs w:val="20"/>
              </w:rPr>
              <w:t>92.1</w:t>
            </w:r>
          </w:p>
        </w:tc>
        <w:tc>
          <w:tcPr>
            <w:tcW w:w="1313" w:type="dxa"/>
            <w:vAlign w:val="center"/>
          </w:tcPr>
          <w:p w14:paraId="69327FD5" w14:textId="00160D3F" w:rsidR="005E1450" w:rsidRDefault="005E1450" w:rsidP="0091371B">
            <w:pPr>
              <w:spacing w:before="0" w:beforeAutospacing="0" w:after="0" w:afterAutospacing="0"/>
            </w:pPr>
            <w:r>
              <w:rPr>
                <w:rFonts w:ascii="Arial" w:hAnsi="Arial" w:cs="Arial"/>
                <w:color w:val="000000"/>
                <w:sz w:val="20"/>
                <w:szCs w:val="20"/>
              </w:rPr>
              <w:t>92.5</w:t>
            </w:r>
          </w:p>
        </w:tc>
        <w:tc>
          <w:tcPr>
            <w:tcW w:w="1524" w:type="dxa"/>
            <w:vAlign w:val="center"/>
          </w:tcPr>
          <w:p w14:paraId="515F0584" w14:textId="471C4DD2" w:rsidR="005E1450" w:rsidRDefault="005E1450" w:rsidP="0091371B">
            <w:pPr>
              <w:spacing w:before="0" w:beforeAutospacing="0" w:after="0" w:afterAutospacing="0"/>
            </w:pPr>
            <w:r>
              <w:rPr>
                <w:rFonts w:ascii="Arial" w:hAnsi="Arial" w:cs="Arial"/>
                <w:color w:val="000000"/>
                <w:sz w:val="20"/>
                <w:szCs w:val="20"/>
              </w:rPr>
              <w:t>96.2</w:t>
            </w:r>
          </w:p>
        </w:tc>
        <w:tc>
          <w:tcPr>
            <w:tcW w:w="1391" w:type="dxa"/>
            <w:vAlign w:val="center"/>
          </w:tcPr>
          <w:p w14:paraId="45636B73" w14:textId="377D6F75" w:rsidR="005E1450" w:rsidRDefault="005E1450" w:rsidP="0091371B">
            <w:pPr>
              <w:spacing w:before="0" w:beforeAutospacing="0" w:after="0" w:afterAutospacing="0"/>
            </w:pPr>
            <w:r>
              <w:rPr>
                <w:rFonts w:ascii="Arial" w:hAnsi="Arial" w:cs="Arial"/>
                <w:color w:val="000000"/>
                <w:sz w:val="20"/>
                <w:szCs w:val="20"/>
              </w:rPr>
              <w:t>94.4</w:t>
            </w:r>
          </w:p>
        </w:tc>
        <w:tc>
          <w:tcPr>
            <w:tcW w:w="1280" w:type="dxa"/>
            <w:vAlign w:val="center"/>
          </w:tcPr>
          <w:p w14:paraId="121DF418" w14:textId="758BFDB9" w:rsidR="005E1450" w:rsidRDefault="005E1450" w:rsidP="0091371B">
            <w:pPr>
              <w:spacing w:before="0" w:beforeAutospacing="0" w:after="0" w:afterAutospacing="0"/>
            </w:pPr>
            <w:r>
              <w:rPr>
                <w:rFonts w:ascii="Arial" w:hAnsi="Arial" w:cs="Arial"/>
                <w:color w:val="000000"/>
                <w:sz w:val="20"/>
                <w:szCs w:val="20"/>
              </w:rPr>
              <w:t>95</w:t>
            </w:r>
          </w:p>
        </w:tc>
        <w:tc>
          <w:tcPr>
            <w:tcW w:w="1282" w:type="dxa"/>
            <w:vAlign w:val="center"/>
          </w:tcPr>
          <w:p w14:paraId="222A03FA" w14:textId="6B866E19" w:rsidR="005E1450" w:rsidRDefault="005E1450" w:rsidP="0091371B">
            <w:pPr>
              <w:spacing w:before="0" w:beforeAutospacing="0" w:after="0" w:afterAutospacing="0"/>
            </w:pPr>
            <w:r>
              <w:rPr>
                <w:rFonts w:ascii="Arial" w:hAnsi="Arial" w:cs="Arial"/>
                <w:color w:val="000000"/>
                <w:sz w:val="20"/>
                <w:szCs w:val="20"/>
              </w:rPr>
              <w:t>94.1</w:t>
            </w:r>
          </w:p>
        </w:tc>
        <w:tc>
          <w:tcPr>
            <w:tcW w:w="1314" w:type="dxa"/>
            <w:vAlign w:val="center"/>
          </w:tcPr>
          <w:p w14:paraId="40E75DB2" w14:textId="2669CFD0" w:rsidR="005E1450" w:rsidRDefault="005E1450" w:rsidP="0091371B">
            <w:pPr>
              <w:spacing w:before="0" w:beforeAutospacing="0" w:after="0" w:afterAutospacing="0"/>
            </w:pPr>
            <w:r>
              <w:rPr>
                <w:rFonts w:ascii="Arial" w:hAnsi="Arial" w:cs="Arial"/>
                <w:color w:val="000000"/>
                <w:sz w:val="20"/>
                <w:szCs w:val="20"/>
              </w:rPr>
              <w:t>92.6</w:t>
            </w:r>
          </w:p>
        </w:tc>
        <w:tc>
          <w:tcPr>
            <w:tcW w:w="1180" w:type="dxa"/>
            <w:vAlign w:val="center"/>
          </w:tcPr>
          <w:p w14:paraId="07024145" w14:textId="3546B813" w:rsidR="005E1450" w:rsidRDefault="005E1450" w:rsidP="0091371B">
            <w:pPr>
              <w:spacing w:before="0" w:beforeAutospacing="0" w:after="0" w:afterAutospacing="0"/>
            </w:pPr>
            <w:r>
              <w:rPr>
                <w:rFonts w:ascii="Arial" w:hAnsi="Arial" w:cs="Arial"/>
                <w:color w:val="000000"/>
                <w:sz w:val="20"/>
                <w:szCs w:val="20"/>
              </w:rPr>
              <w:t>96.6</w:t>
            </w:r>
          </w:p>
        </w:tc>
      </w:tr>
      <w:tr w:rsidR="005E1450" w14:paraId="48D2F0FA" w14:textId="77777777" w:rsidTr="0091371B">
        <w:tc>
          <w:tcPr>
            <w:tcW w:w="1172" w:type="dxa"/>
            <w:vMerge/>
          </w:tcPr>
          <w:p w14:paraId="09539EF0" w14:textId="77777777" w:rsidR="005E1450" w:rsidRPr="00A06F56" w:rsidRDefault="005E1450" w:rsidP="0091371B">
            <w:pPr>
              <w:spacing w:before="0" w:beforeAutospacing="0" w:after="0" w:afterAutospacing="0"/>
            </w:pPr>
          </w:p>
        </w:tc>
        <w:tc>
          <w:tcPr>
            <w:tcW w:w="1171" w:type="dxa"/>
          </w:tcPr>
          <w:p w14:paraId="68050AAB" w14:textId="77777777" w:rsidR="005E1450" w:rsidRPr="00A06F56" w:rsidRDefault="005E1450" w:rsidP="0091371B">
            <w:pPr>
              <w:spacing w:before="0" w:beforeAutospacing="0" w:after="0" w:afterAutospacing="0"/>
            </w:pPr>
            <w:r w:rsidRPr="00A06F56">
              <w:t>No.</w:t>
            </w:r>
          </w:p>
        </w:tc>
        <w:tc>
          <w:tcPr>
            <w:tcW w:w="1283" w:type="dxa"/>
            <w:vAlign w:val="center"/>
          </w:tcPr>
          <w:p w14:paraId="247725C7" w14:textId="3C32399C" w:rsidR="005E1450" w:rsidRDefault="005E1450" w:rsidP="0091371B">
            <w:pPr>
              <w:spacing w:before="0" w:beforeAutospacing="0" w:after="0" w:afterAutospacing="0"/>
            </w:pPr>
            <w:r>
              <w:rPr>
                <w:rFonts w:ascii="Arial" w:hAnsi="Arial" w:cs="Arial"/>
                <w:color w:val="000000"/>
                <w:sz w:val="20"/>
                <w:szCs w:val="20"/>
              </w:rPr>
              <w:t>385,547</w:t>
            </w:r>
          </w:p>
        </w:tc>
        <w:tc>
          <w:tcPr>
            <w:tcW w:w="1264" w:type="dxa"/>
            <w:vAlign w:val="center"/>
          </w:tcPr>
          <w:p w14:paraId="09F10D1A" w14:textId="335B6970" w:rsidR="005E1450" w:rsidRDefault="005E1450" w:rsidP="0091371B">
            <w:pPr>
              <w:spacing w:before="0" w:beforeAutospacing="0" w:after="0" w:afterAutospacing="0"/>
            </w:pPr>
            <w:r>
              <w:rPr>
                <w:rFonts w:ascii="Arial" w:hAnsi="Arial" w:cs="Arial"/>
                <w:color w:val="000000"/>
                <w:sz w:val="20"/>
                <w:szCs w:val="20"/>
              </w:rPr>
              <w:t>128,627</w:t>
            </w:r>
          </w:p>
        </w:tc>
        <w:tc>
          <w:tcPr>
            <w:tcW w:w="1313" w:type="dxa"/>
            <w:vAlign w:val="center"/>
          </w:tcPr>
          <w:p w14:paraId="7F904EB2" w14:textId="026C0A03" w:rsidR="005E1450" w:rsidRDefault="005E1450" w:rsidP="0091371B">
            <w:pPr>
              <w:spacing w:before="0" w:beforeAutospacing="0" w:after="0" w:afterAutospacing="0"/>
            </w:pPr>
            <w:r>
              <w:rPr>
                <w:rFonts w:ascii="Arial" w:hAnsi="Arial" w:cs="Arial"/>
                <w:color w:val="000000"/>
                <w:sz w:val="20"/>
                <w:szCs w:val="20"/>
              </w:rPr>
              <w:t>2,229</w:t>
            </w:r>
          </w:p>
        </w:tc>
        <w:tc>
          <w:tcPr>
            <w:tcW w:w="1524" w:type="dxa"/>
            <w:vAlign w:val="center"/>
          </w:tcPr>
          <w:p w14:paraId="5E2801F7" w14:textId="0078CEBD" w:rsidR="005E1450" w:rsidRDefault="005E1450" w:rsidP="0091371B">
            <w:pPr>
              <w:spacing w:before="0" w:beforeAutospacing="0" w:after="0" w:afterAutospacing="0"/>
            </w:pPr>
            <w:r>
              <w:rPr>
                <w:rFonts w:ascii="Arial" w:hAnsi="Arial" w:cs="Arial"/>
                <w:color w:val="000000"/>
                <w:sz w:val="20"/>
                <w:szCs w:val="20"/>
              </w:rPr>
              <w:t>488,122</w:t>
            </w:r>
          </w:p>
        </w:tc>
        <w:tc>
          <w:tcPr>
            <w:tcW w:w="1391" w:type="dxa"/>
            <w:vAlign w:val="center"/>
          </w:tcPr>
          <w:p w14:paraId="3FE051F3" w14:textId="12A53ADE" w:rsidR="005E1450" w:rsidRDefault="005E1450" w:rsidP="0091371B">
            <w:pPr>
              <w:spacing w:before="0" w:beforeAutospacing="0" w:after="0" w:afterAutospacing="0"/>
            </w:pPr>
            <w:r>
              <w:rPr>
                <w:rFonts w:ascii="Arial" w:hAnsi="Arial" w:cs="Arial"/>
                <w:color w:val="000000"/>
                <w:sz w:val="20"/>
                <w:szCs w:val="20"/>
              </w:rPr>
              <w:t>223,538</w:t>
            </w:r>
          </w:p>
        </w:tc>
        <w:tc>
          <w:tcPr>
            <w:tcW w:w="1280" w:type="dxa"/>
            <w:vAlign w:val="center"/>
          </w:tcPr>
          <w:p w14:paraId="1BB49C5D" w14:textId="351568CC" w:rsidR="005E1450" w:rsidRDefault="005E1450" w:rsidP="0091371B">
            <w:pPr>
              <w:spacing w:before="0" w:beforeAutospacing="0" w:after="0" w:afterAutospacing="0"/>
            </w:pPr>
            <w:r>
              <w:rPr>
                <w:rFonts w:ascii="Arial" w:hAnsi="Arial" w:cs="Arial"/>
                <w:color w:val="000000"/>
                <w:sz w:val="20"/>
                <w:szCs w:val="20"/>
              </w:rPr>
              <w:t>23,062</w:t>
            </w:r>
          </w:p>
        </w:tc>
        <w:tc>
          <w:tcPr>
            <w:tcW w:w="1282" w:type="dxa"/>
            <w:vAlign w:val="center"/>
          </w:tcPr>
          <w:p w14:paraId="7ADF6164" w14:textId="7B64F181" w:rsidR="005E1450" w:rsidRDefault="005E1450" w:rsidP="0091371B">
            <w:pPr>
              <w:spacing w:before="0" w:beforeAutospacing="0" w:after="0" w:afterAutospacing="0"/>
            </w:pPr>
            <w:r>
              <w:rPr>
                <w:rFonts w:ascii="Arial" w:hAnsi="Arial" w:cs="Arial"/>
                <w:color w:val="000000"/>
                <w:sz w:val="20"/>
                <w:szCs w:val="20"/>
              </w:rPr>
              <w:t>11,517</w:t>
            </w:r>
          </w:p>
        </w:tc>
        <w:tc>
          <w:tcPr>
            <w:tcW w:w="1314" w:type="dxa"/>
            <w:vAlign w:val="center"/>
          </w:tcPr>
          <w:p w14:paraId="66A82FB6" w14:textId="77A64E6C" w:rsidR="005E1450" w:rsidRDefault="005E1450" w:rsidP="0091371B">
            <w:pPr>
              <w:spacing w:before="0" w:beforeAutospacing="0" w:after="0" w:afterAutospacing="0"/>
            </w:pPr>
            <w:r>
              <w:rPr>
                <w:rFonts w:ascii="Arial" w:hAnsi="Arial" w:cs="Arial"/>
                <w:color w:val="000000"/>
                <w:sz w:val="20"/>
                <w:szCs w:val="20"/>
              </w:rPr>
              <w:t>622</w:t>
            </w:r>
          </w:p>
        </w:tc>
        <w:tc>
          <w:tcPr>
            <w:tcW w:w="1180" w:type="dxa"/>
            <w:vAlign w:val="center"/>
          </w:tcPr>
          <w:p w14:paraId="5D3B5905" w14:textId="340ED48B" w:rsidR="005E1450" w:rsidRDefault="005E1450" w:rsidP="0091371B">
            <w:pPr>
              <w:spacing w:before="0" w:beforeAutospacing="0" w:after="0" w:afterAutospacing="0"/>
            </w:pPr>
            <w:r>
              <w:rPr>
                <w:rFonts w:ascii="Arial" w:hAnsi="Arial" w:cs="Arial"/>
                <w:color w:val="000000"/>
                <w:sz w:val="20"/>
                <w:szCs w:val="20"/>
              </w:rPr>
              <w:t>199,817</w:t>
            </w:r>
          </w:p>
        </w:tc>
      </w:tr>
    </w:tbl>
    <w:p w14:paraId="5F7390B1" w14:textId="77777777" w:rsidR="001510EC" w:rsidRDefault="001510EC" w:rsidP="001510EC">
      <w:pPr>
        <w:keepNext/>
        <w:keepLines/>
        <w:spacing w:before="0" w:beforeAutospacing="0" w:after="240" w:afterAutospacing="0" w:line="276" w:lineRule="auto"/>
      </w:pPr>
      <w:r>
        <w:t>Notes: NQCSP = not a qualifying CSP; Source: ACMA Communications Report, 2016/2017</w:t>
      </w:r>
    </w:p>
    <w:p w14:paraId="423FAE5D" w14:textId="7532C83C" w:rsidR="005A75AA" w:rsidRPr="00B30542" w:rsidRDefault="005A75AA" w:rsidP="00B30542">
      <w:pPr>
        <w:spacing w:before="0" w:beforeAutospacing="0" w:after="0" w:afterAutospacing="0" w:line="276" w:lineRule="auto"/>
        <w:rPr>
          <w:b/>
        </w:rPr>
      </w:pPr>
      <w:r w:rsidRPr="00B30542">
        <w:rPr>
          <w:b/>
        </w:rPr>
        <w:t xml:space="preserve">Table </w:t>
      </w:r>
      <w:r w:rsidR="001510EC">
        <w:rPr>
          <w:b/>
        </w:rPr>
        <w:t>9</w:t>
      </w:r>
      <w:r w:rsidRPr="00B30542">
        <w:rPr>
          <w:b/>
        </w:rPr>
        <w:t xml:space="preserve">: </w:t>
      </w:r>
      <w:r w:rsidR="004C1802">
        <w:rPr>
          <w:b/>
        </w:rPr>
        <w:t>Estimated v</w:t>
      </w:r>
      <w:r w:rsidRPr="00B30542">
        <w:rPr>
          <w:b/>
        </w:rPr>
        <w:t>olume of connections, fault repairs and appointments outside the maximum CSG timeframes</w:t>
      </w:r>
      <w:r w:rsidR="001876A4">
        <w:rPr>
          <w:b/>
        </w:rPr>
        <w:t>, 2016/17</w:t>
      </w:r>
      <w:r w:rsidR="00EC700D">
        <w:rPr>
          <w:rStyle w:val="FootnoteReference"/>
          <w:b/>
        </w:rPr>
        <w:footnoteReference w:id="10"/>
      </w:r>
    </w:p>
    <w:tbl>
      <w:tblPr>
        <w:tblStyle w:val="TableGrid"/>
        <w:tblW w:w="0" w:type="auto"/>
        <w:tblLook w:val="04A0" w:firstRow="1" w:lastRow="0" w:firstColumn="1" w:lastColumn="0" w:noHBand="0" w:noVBand="1"/>
      </w:tblPr>
      <w:tblGrid>
        <w:gridCol w:w="1172"/>
        <w:gridCol w:w="1171"/>
        <w:gridCol w:w="1283"/>
        <w:gridCol w:w="1264"/>
        <w:gridCol w:w="1313"/>
        <w:gridCol w:w="1524"/>
        <w:gridCol w:w="1391"/>
        <w:gridCol w:w="1280"/>
        <w:gridCol w:w="1282"/>
        <w:gridCol w:w="1314"/>
        <w:gridCol w:w="1180"/>
      </w:tblGrid>
      <w:tr w:rsidR="00EF7627" w14:paraId="65491290" w14:textId="77777777" w:rsidTr="00F8595E">
        <w:tc>
          <w:tcPr>
            <w:tcW w:w="2343" w:type="dxa"/>
            <w:gridSpan w:val="2"/>
            <w:vMerge w:val="restart"/>
          </w:tcPr>
          <w:p w14:paraId="77226B96" w14:textId="77777777" w:rsidR="00EF7627" w:rsidRPr="00A06F56" w:rsidRDefault="00EF7627" w:rsidP="00A06F56">
            <w:pPr>
              <w:spacing w:before="0" w:beforeAutospacing="0" w:after="0" w:afterAutospacing="0"/>
            </w:pPr>
          </w:p>
        </w:tc>
        <w:tc>
          <w:tcPr>
            <w:tcW w:w="3860" w:type="dxa"/>
            <w:gridSpan w:val="3"/>
          </w:tcPr>
          <w:p w14:paraId="6FF6A14E" w14:textId="388EB2E0" w:rsidR="005A75AA" w:rsidRPr="00B30542" w:rsidRDefault="005A75AA" w:rsidP="005A75AA">
            <w:pPr>
              <w:spacing w:before="0" w:beforeAutospacing="0" w:after="0" w:afterAutospacing="0"/>
              <w:jc w:val="center"/>
              <w:rPr>
                <w:b/>
              </w:rPr>
            </w:pPr>
            <w:r w:rsidRPr="00B30542">
              <w:rPr>
                <w:b/>
              </w:rPr>
              <w:t>Fault repairs</w:t>
            </w:r>
          </w:p>
        </w:tc>
        <w:tc>
          <w:tcPr>
            <w:tcW w:w="1524" w:type="dxa"/>
          </w:tcPr>
          <w:p w14:paraId="63972080" w14:textId="5571057A" w:rsidR="005A75AA" w:rsidRPr="00B30542" w:rsidRDefault="005A75AA" w:rsidP="005A75AA">
            <w:pPr>
              <w:spacing w:before="0" w:beforeAutospacing="0" w:after="0" w:afterAutospacing="0"/>
              <w:rPr>
                <w:b/>
              </w:rPr>
            </w:pPr>
            <w:r w:rsidRPr="00B30542">
              <w:rPr>
                <w:b/>
              </w:rPr>
              <w:t>Appointments</w:t>
            </w:r>
          </w:p>
        </w:tc>
        <w:tc>
          <w:tcPr>
            <w:tcW w:w="5267" w:type="dxa"/>
            <w:gridSpan w:val="4"/>
          </w:tcPr>
          <w:p w14:paraId="455AC269" w14:textId="561340CB" w:rsidR="00EF7627" w:rsidRPr="00EF7627" w:rsidRDefault="00EF7627" w:rsidP="00A06F56">
            <w:pPr>
              <w:spacing w:before="0" w:beforeAutospacing="0" w:after="0" w:afterAutospacing="0"/>
              <w:jc w:val="center"/>
              <w:rPr>
                <w:b/>
              </w:rPr>
            </w:pPr>
            <w:r w:rsidRPr="00EF7627">
              <w:rPr>
                <w:b/>
              </w:rPr>
              <w:t>New service connections</w:t>
            </w:r>
          </w:p>
        </w:tc>
        <w:tc>
          <w:tcPr>
            <w:tcW w:w="1180" w:type="dxa"/>
          </w:tcPr>
          <w:p w14:paraId="45E109FD" w14:textId="2587E11E" w:rsidR="00EF7627" w:rsidRPr="00EF7627" w:rsidRDefault="00EF7627" w:rsidP="00A06F56">
            <w:pPr>
              <w:spacing w:before="0" w:beforeAutospacing="0" w:after="0" w:afterAutospacing="0"/>
              <w:rPr>
                <w:b/>
              </w:rPr>
            </w:pPr>
            <w:r w:rsidRPr="00EF7627">
              <w:rPr>
                <w:b/>
              </w:rPr>
              <w:t xml:space="preserve">In-place </w:t>
            </w:r>
            <w:r w:rsidR="005A75AA" w:rsidRPr="00B30542">
              <w:rPr>
                <w:b/>
              </w:rPr>
              <w:t>service</w:t>
            </w:r>
          </w:p>
        </w:tc>
      </w:tr>
      <w:tr w:rsidR="00F8595E" w14:paraId="0945CB11" w14:textId="77777777" w:rsidTr="00F8595E">
        <w:tc>
          <w:tcPr>
            <w:tcW w:w="2343" w:type="dxa"/>
            <w:gridSpan w:val="2"/>
            <w:vMerge/>
          </w:tcPr>
          <w:p w14:paraId="3F5A0E7B" w14:textId="77777777" w:rsidR="009C080C" w:rsidRDefault="009C080C" w:rsidP="00A06F56">
            <w:pPr>
              <w:spacing w:before="0" w:beforeAutospacing="0" w:after="0" w:afterAutospacing="0"/>
            </w:pPr>
          </w:p>
        </w:tc>
        <w:tc>
          <w:tcPr>
            <w:tcW w:w="1283" w:type="dxa"/>
          </w:tcPr>
          <w:p w14:paraId="7CEA5B4C" w14:textId="77777777" w:rsidR="009C080C" w:rsidRPr="00A06F56" w:rsidRDefault="005A75AA" w:rsidP="00A06F56">
            <w:pPr>
              <w:spacing w:before="0" w:beforeAutospacing="0" w:after="0" w:afterAutospacing="0"/>
              <w:rPr>
                <w:b/>
              </w:rPr>
            </w:pPr>
            <w:r w:rsidRPr="00B30542">
              <w:rPr>
                <w:b/>
              </w:rPr>
              <w:t xml:space="preserve">Urban </w:t>
            </w:r>
          </w:p>
        </w:tc>
        <w:tc>
          <w:tcPr>
            <w:tcW w:w="1264" w:type="dxa"/>
          </w:tcPr>
          <w:p w14:paraId="21624C03" w14:textId="541C93BB" w:rsidR="005A75AA" w:rsidRPr="00B30542" w:rsidRDefault="005A75AA" w:rsidP="005A75AA">
            <w:pPr>
              <w:spacing w:before="0" w:beforeAutospacing="0" w:after="0" w:afterAutospacing="0"/>
              <w:rPr>
                <w:b/>
              </w:rPr>
            </w:pPr>
            <w:r w:rsidRPr="00B30542">
              <w:rPr>
                <w:b/>
              </w:rPr>
              <w:t>Rural</w:t>
            </w:r>
          </w:p>
        </w:tc>
        <w:tc>
          <w:tcPr>
            <w:tcW w:w="1313" w:type="dxa"/>
          </w:tcPr>
          <w:p w14:paraId="530AC4BD" w14:textId="675C5FF2" w:rsidR="005A75AA" w:rsidRPr="00B30542" w:rsidRDefault="005A75AA" w:rsidP="005A75AA">
            <w:pPr>
              <w:spacing w:before="0" w:beforeAutospacing="0" w:after="0" w:afterAutospacing="0"/>
              <w:rPr>
                <w:b/>
              </w:rPr>
            </w:pPr>
            <w:r w:rsidRPr="00B30542">
              <w:rPr>
                <w:b/>
              </w:rPr>
              <w:t>Remote</w:t>
            </w:r>
          </w:p>
        </w:tc>
        <w:tc>
          <w:tcPr>
            <w:tcW w:w="1524" w:type="dxa"/>
          </w:tcPr>
          <w:p w14:paraId="5F2A6298" w14:textId="6BEC0BCF" w:rsidR="005A75AA" w:rsidRPr="00B30542" w:rsidRDefault="005A75AA" w:rsidP="005A75AA">
            <w:pPr>
              <w:spacing w:before="0" w:beforeAutospacing="0" w:after="0" w:afterAutospacing="0"/>
              <w:rPr>
                <w:b/>
              </w:rPr>
            </w:pPr>
            <w:r w:rsidRPr="00B30542">
              <w:rPr>
                <w:b/>
              </w:rPr>
              <w:t>All areas</w:t>
            </w:r>
          </w:p>
        </w:tc>
        <w:tc>
          <w:tcPr>
            <w:tcW w:w="1391" w:type="dxa"/>
          </w:tcPr>
          <w:p w14:paraId="45BD71EA" w14:textId="2D4B5F4A" w:rsidR="009C080C" w:rsidRPr="00EF7627" w:rsidRDefault="00EF7627" w:rsidP="00A06F56">
            <w:pPr>
              <w:spacing w:before="0" w:beforeAutospacing="0" w:after="0" w:afterAutospacing="0"/>
              <w:rPr>
                <w:b/>
              </w:rPr>
            </w:pPr>
            <w:r w:rsidRPr="00EF7627">
              <w:rPr>
                <w:b/>
              </w:rPr>
              <w:t>Urban</w:t>
            </w:r>
          </w:p>
        </w:tc>
        <w:tc>
          <w:tcPr>
            <w:tcW w:w="1280" w:type="dxa"/>
          </w:tcPr>
          <w:p w14:paraId="0FC7E8DD" w14:textId="4E378693" w:rsidR="009C080C" w:rsidRPr="00EF7627" w:rsidRDefault="00EF7627" w:rsidP="00A06F56">
            <w:pPr>
              <w:spacing w:before="0" w:beforeAutospacing="0" w:after="0" w:afterAutospacing="0"/>
              <w:rPr>
                <w:b/>
              </w:rPr>
            </w:pPr>
            <w:r w:rsidRPr="00EF7627">
              <w:rPr>
                <w:b/>
              </w:rPr>
              <w:t>Major rural</w:t>
            </w:r>
          </w:p>
        </w:tc>
        <w:tc>
          <w:tcPr>
            <w:tcW w:w="1282" w:type="dxa"/>
          </w:tcPr>
          <w:p w14:paraId="033D2B60" w14:textId="07601BAC" w:rsidR="009C080C" w:rsidRPr="00EF7627" w:rsidRDefault="00EF7627" w:rsidP="00A06F56">
            <w:pPr>
              <w:spacing w:before="0" w:beforeAutospacing="0" w:after="0" w:afterAutospacing="0"/>
              <w:rPr>
                <w:b/>
              </w:rPr>
            </w:pPr>
            <w:r w:rsidRPr="00EF7627">
              <w:rPr>
                <w:b/>
              </w:rPr>
              <w:t>Minor rural</w:t>
            </w:r>
          </w:p>
        </w:tc>
        <w:tc>
          <w:tcPr>
            <w:tcW w:w="1314" w:type="dxa"/>
          </w:tcPr>
          <w:p w14:paraId="5CB5A11E" w14:textId="0D12400C" w:rsidR="009C080C" w:rsidRPr="00EF7627" w:rsidRDefault="00EF7627" w:rsidP="00A06F56">
            <w:pPr>
              <w:spacing w:before="0" w:beforeAutospacing="0" w:after="0" w:afterAutospacing="0"/>
              <w:rPr>
                <w:b/>
              </w:rPr>
            </w:pPr>
            <w:r w:rsidRPr="00EF7627">
              <w:rPr>
                <w:b/>
              </w:rPr>
              <w:t>Remote</w:t>
            </w:r>
          </w:p>
        </w:tc>
        <w:tc>
          <w:tcPr>
            <w:tcW w:w="1180" w:type="dxa"/>
          </w:tcPr>
          <w:p w14:paraId="3EF2F24A" w14:textId="102FC66F" w:rsidR="009C080C" w:rsidRPr="00EF7627" w:rsidRDefault="00EF7627" w:rsidP="00A06F56">
            <w:pPr>
              <w:spacing w:before="0" w:beforeAutospacing="0" w:after="0" w:afterAutospacing="0"/>
              <w:rPr>
                <w:b/>
              </w:rPr>
            </w:pPr>
            <w:r w:rsidRPr="00EF7627">
              <w:rPr>
                <w:b/>
              </w:rPr>
              <w:t>All</w:t>
            </w:r>
            <w:r w:rsidR="005A75AA" w:rsidRPr="00B30542">
              <w:rPr>
                <w:b/>
              </w:rPr>
              <w:t xml:space="preserve"> areas</w:t>
            </w:r>
          </w:p>
        </w:tc>
      </w:tr>
      <w:tr w:rsidR="00F8595E" w14:paraId="479FA665" w14:textId="5FB36FC2" w:rsidTr="00F8595E">
        <w:tc>
          <w:tcPr>
            <w:tcW w:w="1172" w:type="dxa"/>
            <w:vMerge w:val="restart"/>
          </w:tcPr>
          <w:p w14:paraId="558BF7E8" w14:textId="3C67EC0C" w:rsidR="00F8595E" w:rsidRPr="00A06F56" w:rsidRDefault="00F8595E" w:rsidP="00A06F56">
            <w:pPr>
              <w:spacing w:before="0" w:beforeAutospacing="0" w:after="0" w:afterAutospacing="0"/>
            </w:pPr>
            <w:r w:rsidRPr="00A06F56">
              <w:t>iiNet</w:t>
            </w:r>
          </w:p>
        </w:tc>
        <w:tc>
          <w:tcPr>
            <w:tcW w:w="1171" w:type="dxa"/>
          </w:tcPr>
          <w:p w14:paraId="75B269FA" w14:textId="4318581C" w:rsidR="00F8595E" w:rsidRPr="00A06F56" w:rsidRDefault="00F8595E" w:rsidP="00A06F56">
            <w:pPr>
              <w:spacing w:before="0" w:beforeAutospacing="0" w:after="0" w:afterAutospacing="0"/>
            </w:pPr>
            <w:r w:rsidRPr="00A06F56">
              <w:t>%</w:t>
            </w:r>
          </w:p>
        </w:tc>
        <w:tc>
          <w:tcPr>
            <w:tcW w:w="1283" w:type="dxa"/>
            <w:vAlign w:val="center"/>
          </w:tcPr>
          <w:p w14:paraId="58988ED6" w14:textId="7DBC6E8A" w:rsidR="00F8595E" w:rsidRDefault="00F8595E" w:rsidP="00A06F56">
            <w:pPr>
              <w:spacing w:before="0" w:beforeAutospacing="0" w:after="0" w:afterAutospacing="0"/>
            </w:pPr>
            <w:r>
              <w:rPr>
                <w:rFonts w:cs="Calibri"/>
                <w:color w:val="000000"/>
              </w:rPr>
              <w:t>1.7</w:t>
            </w:r>
          </w:p>
        </w:tc>
        <w:tc>
          <w:tcPr>
            <w:tcW w:w="1264" w:type="dxa"/>
            <w:vAlign w:val="center"/>
          </w:tcPr>
          <w:p w14:paraId="6FAC7AAF" w14:textId="40E98C96" w:rsidR="00F8595E" w:rsidRDefault="00F8595E" w:rsidP="00A06F56">
            <w:pPr>
              <w:spacing w:before="0" w:beforeAutospacing="0" w:after="0" w:afterAutospacing="0"/>
            </w:pPr>
            <w:r>
              <w:rPr>
                <w:rFonts w:cs="Calibri"/>
                <w:color w:val="000000"/>
              </w:rPr>
              <w:t>2.2</w:t>
            </w:r>
          </w:p>
        </w:tc>
        <w:tc>
          <w:tcPr>
            <w:tcW w:w="1313" w:type="dxa"/>
            <w:vAlign w:val="center"/>
          </w:tcPr>
          <w:p w14:paraId="46EB8EB3" w14:textId="5AC31D73" w:rsidR="00F8595E" w:rsidRDefault="00F8595E" w:rsidP="00A06F56">
            <w:pPr>
              <w:spacing w:before="0" w:beforeAutospacing="0" w:after="0" w:afterAutospacing="0"/>
            </w:pPr>
            <w:r>
              <w:rPr>
                <w:rFonts w:cs="Calibri"/>
                <w:color w:val="000000"/>
              </w:rPr>
              <w:t>0</w:t>
            </w:r>
          </w:p>
        </w:tc>
        <w:tc>
          <w:tcPr>
            <w:tcW w:w="1524" w:type="dxa"/>
            <w:vAlign w:val="center"/>
          </w:tcPr>
          <w:p w14:paraId="55CE3DEC" w14:textId="0A4D9F25" w:rsidR="00F8595E" w:rsidRDefault="00F8595E" w:rsidP="00A06F56">
            <w:pPr>
              <w:spacing w:before="0" w:beforeAutospacing="0" w:after="0" w:afterAutospacing="0"/>
            </w:pPr>
            <w:r>
              <w:rPr>
                <w:rFonts w:cs="Calibri"/>
                <w:color w:val="000000"/>
              </w:rPr>
              <w:t>0</w:t>
            </w:r>
          </w:p>
        </w:tc>
        <w:tc>
          <w:tcPr>
            <w:tcW w:w="1391" w:type="dxa"/>
            <w:vAlign w:val="center"/>
          </w:tcPr>
          <w:p w14:paraId="642A58DB" w14:textId="5EDF042A" w:rsidR="00F8595E" w:rsidRDefault="00F8595E" w:rsidP="00A06F56">
            <w:pPr>
              <w:spacing w:before="0" w:beforeAutospacing="0" w:after="0" w:afterAutospacing="0"/>
            </w:pPr>
            <w:r>
              <w:rPr>
                <w:rFonts w:cs="Calibri"/>
                <w:color w:val="000000"/>
              </w:rPr>
              <w:t>4.4</w:t>
            </w:r>
          </w:p>
        </w:tc>
        <w:tc>
          <w:tcPr>
            <w:tcW w:w="1280" w:type="dxa"/>
            <w:vAlign w:val="center"/>
          </w:tcPr>
          <w:p w14:paraId="7CC75773" w14:textId="2CAFA22A" w:rsidR="00F8595E" w:rsidRDefault="00F8595E" w:rsidP="005A75AA">
            <w:pPr>
              <w:spacing w:before="0" w:beforeAutospacing="0" w:after="0" w:afterAutospacing="0"/>
            </w:pPr>
            <w:r>
              <w:rPr>
                <w:rFonts w:cs="Calibri"/>
                <w:color w:val="000000"/>
              </w:rPr>
              <w:t>1.3</w:t>
            </w:r>
          </w:p>
        </w:tc>
        <w:tc>
          <w:tcPr>
            <w:tcW w:w="1282" w:type="dxa"/>
            <w:vAlign w:val="center"/>
          </w:tcPr>
          <w:p w14:paraId="0672CD2B" w14:textId="68ECF61A" w:rsidR="00F8595E" w:rsidRDefault="00F8595E" w:rsidP="005A75AA">
            <w:pPr>
              <w:spacing w:before="0" w:beforeAutospacing="0" w:after="0" w:afterAutospacing="0"/>
            </w:pPr>
            <w:r>
              <w:rPr>
                <w:rFonts w:cs="Calibri"/>
                <w:color w:val="000000"/>
              </w:rPr>
              <w:t>1.5</w:t>
            </w:r>
          </w:p>
        </w:tc>
        <w:tc>
          <w:tcPr>
            <w:tcW w:w="1314" w:type="dxa"/>
            <w:vAlign w:val="center"/>
          </w:tcPr>
          <w:p w14:paraId="7D359DCB" w14:textId="65AA4345" w:rsidR="00F8595E" w:rsidRDefault="00F8595E" w:rsidP="005A75AA">
            <w:pPr>
              <w:spacing w:before="0" w:beforeAutospacing="0" w:after="0" w:afterAutospacing="0"/>
            </w:pPr>
            <w:r>
              <w:rPr>
                <w:rFonts w:cs="Calibri"/>
                <w:color w:val="000000"/>
              </w:rPr>
              <w:t>0</w:t>
            </w:r>
          </w:p>
        </w:tc>
        <w:tc>
          <w:tcPr>
            <w:tcW w:w="1180" w:type="dxa"/>
            <w:vAlign w:val="center"/>
          </w:tcPr>
          <w:p w14:paraId="5C8A78E2" w14:textId="4FE3A99F" w:rsidR="00F8595E" w:rsidRDefault="00F8595E" w:rsidP="005A75AA">
            <w:pPr>
              <w:spacing w:before="0" w:beforeAutospacing="0" w:after="0" w:afterAutospacing="0"/>
            </w:pPr>
            <w:r>
              <w:rPr>
                <w:rFonts w:cs="Calibri"/>
                <w:color w:val="000000"/>
              </w:rPr>
              <w:t>5.2</w:t>
            </w:r>
          </w:p>
        </w:tc>
      </w:tr>
      <w:tr w:rsidR="00F8595E" w14:paraId="2594CFB1" w14:textId="3E5F1D0B" w:rsidTr="00F8595E">
        <w:tc>
          <w:tcPr>
            <w:tcW w:w="1172" w:type="dxa"/>
            <w:vMerge/>
          </w:tcPr>
          <w:p w14:paraId="52BF4C8D" w14:textId="77777777" w:rsidR="00F8595E" w:rsidRPr="00A06F56" w:rsidRDefault="00F8595E" w:rsidP="00A06F56">
            <w:pPr>
              <w:spacing w:before="0" w:beforeAutospacing="0" w:after="0" w:afterAutospacing="0"/>
            </w:pPr>
          </w:p>
        </w:tc>
        <w:tc>
          <w:tcPr>
            <w:tcW w:w="1171" w:type="dxa"/>
          </w:tcPr>
          <w:p w14:paraId="0FE8B197" w14:textId="17F90D14" w:rsidR="00F8595E" w:rsidRPr="00A06F56" w:rsidRDefault="00F8595E" w:rsidP="00A06F56">
            <w:pPr>
              <w:spacing w:before="0" w:beforeAutospacing="0" w:after="0" w:afterAutospacing="0"/>
            </w:pPr>
            <w:r w:rsidRPr="00A06F56">
              <w:t>No.</w:t>
            </w:r>
          </w:p>
        </w:tc>
        <w:tc>
          <w:tcPr>
            <w:tcW w:w="1283" w:type="dxa"/>
            <w:vAlign w:val="center"/>
          </w:tcPr>
          <w:p w14:paraId="6CF1A4B3" w14:textId="6BEF26C1" w:rsidR="00F8595E" w:rsidRDefault="00F8595E" w:rsidP="00A06F56">
            <w:pPr>
              <w:spacing w:before="0" w:beforeAutospacing="0" w:after="0" w:afterAutospacing="0"/>
            </w:pPr>
            <w:r>
              <w:rPr>
                <w:rFonts w:cs="Calibri"/>
                <w:color w:val="000000"/>
              </w:rPr>
              <w:t>847</w:t>
            </w:r>
          </w:p>
        </w:tc>
        <w:tc>
          <w:tcPr>
            <w:tcW w:w="1264" w:type="dxa"/>
            <w:vAlign w:val="center"/>
          </w:tcPr>
          <w:p w14:paraId="0D4865BC" w14:textId="50AEACD4" w:rsidR="00F8595E" w:rsidRDefault="00F8595E" w:rsidP="00A06F56">
            <w:pPr>
              <w:spacing w:before="0" w:beforeAutospacing="0" w:after="0" w:afterAutospacing="0"/>
            </w:pPr>
            <w:r>
              <w:rPr>
                <w:rFonts w:cs="Calibri"/>
                <w:color w:val="000000"/>
              </w:rPr>
              <w:t>201</w:t>
            </w:r>
          </w:p>
        </w:tc>
        <w:tc>
          <w:tcPr>
            <w:tcW w:w="1313" w:type="dxa"/>
            <w:vAlign w:val="center"/>
          </w:tcPr>
          <w:p w14:paraId="2D7396C5" w14:textId="58291E73" w:rsidR="00F8595E" w:rsidRDefault="00F8595E" w:rsidP="00A06F56">
            <w:pPr>
              <w:spacing w:before="0" w:beforeAutospacing="0" w:after="0" w:afterAutospacing="0"/>
            </w:pPr>
            <w:r>
              <w:rPr>
                <w:rFonts w:cs="Calibri"/>
                <w:color w:val="000000"/>
              </w:rPr>
              <w:t>0</w:t>
            </w:r>
          </w:p>
        </w:tc>
        <w:tc>
          <w:tcPr>
            <w:tcW w:w="1524" w:type="dxa"/>
            <w:vAlign w:val="center"/>
          </w:tcPr>
          <w:p w14:paraId="466BC341" w14:textId="3C820F06" w:rsidR="00F8595E" w:rsidRDefault="00F8595E" w:rsidP="00A06F56">
            <w:pPr>
              <w:spacing w:before="0" w:beforeAutospacing="0" w:after="0" w:afterAutospacing="0"/>
            </w:pPr>
            <w:r>
              <w:rPr>
                <w:rFonts w:cs="Calibri"/>
                <w:color w:val="000000"/>
              </w:rPr>
              <w:t>0</w:t>
            </w:r>
          </w:p>
        </w:tc>
        <w:tc>
          <w:tcPr>
            <w:tcW w:w="1391" w:type="dxa"/>
            <w:vAlign w:val="center"/>
          </w:tcPr>
          <w:p w14:paraId="2F2E7D97" w14:textId="64872C93" w:rsidR="00F8595E" w:rsidRDefault="00F8595E" w:rsidP="00A06F56">
            <w:pPr>
              <w:spacing w:before="0" w:beforeAutospacing="0" w:after="0" w:afterAutospacing="0"/>
            </w:pPr>
            <w:r>
              <w:rPr>
                <w:rFonts w:cs="Calibri"/>
                <w:color w:val="000000"/>
              </w:rPr>
              <w:t>1,708</w:t>
            </w:r>
          </w:p>
        </w:tc>
        <w:tc>
          <w:tcPr>
            <w:tcW w:w="1280" w:type="dxa"/>
            <w:vAlign w:val="center"/>
          </w:tcPr>
          <w:p w14:paraId="068F2CFC" w14:textId="30C5E39D" w:rsidR="00F8595E" w:rsidRDefault="00F8595E" w:rsidP="005A75AA">
            <w:pPr>
              <w:spacing w:before="0" w:beforeAutospacing="0" w:after="0" w:afterAutospacing="0"/>
            </w:pPr>
            <w:r>
              <w:rPr>
                <w:rFonts w:cs="Calibri"/>
                <w:color w:val="000000"/>
              </w:rPr>
              <w:t>46</w:t>
            </w:r>
          </w:p>
        </w:tc>
        <w:tc>
          <w:tcPr>
            <w:tcW w:w="1282" w:type="dxa"/>
            <w:vAlign w:val="center"/>
          </w:tcPr>
          <w:p w14:paraId="3DBD7A11" w14:textId="32B9BA34" w:rsidR="00F8595E" w:rsidRDefault="00F8595E" w:rsidP="005A75AA">
            <w:pPr>
              <w:spacing w:before="0" w:beforeAutospacing="0" w:after="0" w:afterAutospacing="0"/>
            </w:pPr>
            <w:r>
              <w:rPr>
                <w:rFonts w:cs="Calibri"/>
                <w:color w:val="000000"/>
              </w:rPr>
              <w:t>25</w:t>
            </w:r>
          </w:p>
        </w:tc>
        <w:tc>
          <w:tcPr>
            <w:tcW w:w="1314" w:type="dxa"/>
            <w:vAlign w:val="center"/>
          </w:tcPr>
          <w:p w14:paraId="2900B2B2" w14:textId="1A293143" w:rsidR="00F8595E" w:rsidRDefault="00F8595E" w:rsidP="005A75AA">
            <w:pPr>
              <w:spacing w:before="0" w:beforeAutospacing="0" w:after="0" w:afterAutospacing="0"/>
            </w:pPr>
            <w:r>
              <w:rPr>
                <w:rFonts w:cs="Calibri"/>
                <w:color w:val="000000"/>
              </w:rPr>
              <w:t>0</w:t>
            </w:r>
          </w:p>
        </w:tc>
        <w:tc>
          <w:tcPr>
            <w:tcW w:w="1180" w:type="dxa"/>
            <w:vAlign w:val="center"/>
          </w:tcPr>
          <w:p w14:paraId="57FF4710" w14:textId="39539F0C" w:rsidR="00F8595E" w:rsidRDefault="00F8595E" w:rsidP="005A75AA">
            <w:pPr>
              <w:spacing w:before="0" w:beforeAutospacing="0" w:after="0" w:afterAutospacing="0"/>
            </w:pPr>
            <w:r>
              <w:rPr>
                <w:rFonts w:cs="Calibri"/>
                <w:color w:val="000000"/>
              </w:rPr>
              <w:t>908</w:t>
            </w:r>
          </w:p>
        </w:tc>
      </w:tr>
      <w:tr w:rsidR="00F8595E" w14:paraId="7ECA7B59" w14:textId="235E2371" w:rsidTr="00F8595E">
        <w:tc>
          <w:tcPr>
            <w:tcW w:w="1172" w:type="dxa"/>
            <w:vMerge w:val="restart"/>
          </w:tcPr>
          <w:p w14:paraId="58F077DD" w14:textId="79D75349" w:rsidR="00F8595E" w:rsidRPr="00A06F56" w:rsidRDefault="00F8595E" w:rsidP="00A06F56">
            <w:pPr>
              <w:spacing w:before="0" w:beforeAutospacing="0" w:after="0" w:afterAutospacing="0"/>
            </w:pPr>
            <w:r w:rsidRPr="00A06F56">
              <w:t>Optus</w:t>
            </w:r>
          </w:p>
        </w:tc>
        <w:tc>
          <w:tcPr>
            <w:tcW w:w="1171" w:type="dxa"/>
          </w:tcPr>
          <w:p w14:paraId="1C334CD4" w14:textId="4877891D" w:rsidR="00F8595E" w:rsidRPr="00A06F56" w:rsidRDefault="00F8595E" w:rsidP="00A06F56">
            <w:pPr>
              <w:spacing w:before="0" w:beforeAutospacing="0" w:after="0" w:afterAutospacing="0"/>
            </w:pPr>
            <w:r w:rsidRPr="00A06F56">
              <w:t>%</w:t>
            </w:r>
          </w:p>
        </w:tc>
        <w:tc>
          <w:tcPr>
            <w:tcW w:w="1283" w:type="dxa"/>
            <w:vAlign w:val="center"/>
          </w:tcPr>
          <w:p w14:paraId="771717EF" w14:textId="580962AE" w:rsidR="00F8595E" w:rsidRDefault="00F8595E" w:rsidP="00A06F56">
            <w:pPr>
              <w:spacing w:before="0" w:beforeAutospacing="0" w:after="0" w:afterAutospacing="0"/>
            </w:pPr>
            <w:r>
              <w:rPr>
                <w:rFonts w:cs="Calibri"/>
                <w:color w:val="000000"/>
              </w:rPr>
              <w:t>3.8</w:t>
            </w:r>
          </w:p>
        </w:tc>
        <w:tc>
          <w:tcPr>
            <w:tcW w:w="1264" w:type="dxa"/>
            <w:vAlign w:val="center"/>
          </w:tcPr>
          <w:p w14:paraId="4BFE317F" w14:textId="7B1B8672" w:rsidR="00F8595E" w:rsidRDefault="00F8595E" w:rsidP="00A06F56">
            <w:pPr>
              <w:spacing w:before="0" w:beforeAutospacing="0" w:after="0" w:afterAutospacing="0"/>
            </w:pPr>
            <w:r>
              <w:rPr>
                <w:rFonts w:cs="Calibri"/>
                <w:color w:val="000000"/>
              </w:rPr>
              <w:t>4.2</w:t>
            </w:r>
          </w:p>
        </w:tc>
        <w:tc>
          <w:tcPr>
            <w:tcW w:w="1313" w:type="dxa"/>
            <w:vAlign w:val="center"/>
          </w:tcPr>
          <w:p w14:paraId="71BDB0C5" w14:textId="6A01D06D" w:rsidR="00F8595E" w:rsidRDefault="00F8595E" w:rsidP="00A06F56">
            <w:pPr>
              <w:spacing w:before="0" w:beforeAutospacing="0" w:after="0" w:afterAutospacing="0"/>
            </w:pPr>
            <w:r>
              <w:rPr>
                <w:rFonts w:cs="Calibri"/>
                <w:color w:val="000000"/>
              </w:rPr>
              <w:t>NQCSP</w:t>
            </w:r>
          </w:p>
        </w:tc>
        <w:tc>
          <w:tcPr>
            <w:tcW w:w="1524" w:type="dxa"/>
            <w:vAlign w:val="center"/>
          </w:tcPr>
          <w:p w14:paraId="15337B64" w14:textId="62A5DFF4" w:rsidR="00F8595E" w:rsidRDefault="00F8595E" w:rsidP="00A06F56">
            <w:pPr>
              <w:spacing w:before="0" w:beforeAutospacing="0" w:after="0" w:afterAutospacing="0"/>
            </w:pPr>
            <w:r>
              <w:rPr>
                <w:rFonts w:cs="Calibri"/>
                <w:color w:val="000000"/>
              </w:rPr>
              <w:t>0.8</w:t>
            </w:r>
          </w:p>
        </w:tc>
        <w:tc>
          <w:tcPr>
            <w:tcW w:w="1391" w:type="dxa"/>
            <w:vAlign w:val="center"/>
          </w:tcPr>
          <w:p w14:paraId="73116E89" w14:textId="108D853C" w:rsidR="00F8595E" w:rsidRDefault="00F8595E" w:rsidP="00A06F56">
            <w:pPr>
              <w:spacing w:before="0" w:beforeAutospacing="0" w:after="0" w:afterAutospacing="0"/>
            </w:pPr>
            <w:r>
              <w:rPr>
                <w:rFonts w:cs="Calibri"/>
                <w:color w:val="000000"/>
              </w:rPr>
              <w:t>2</w:t>
            </w:r>
          </w:p>
        </w:tc>
        <w:tc>
          <w:tcPr>
            <w:tcW w:w="1280" w:type="dxa"/>
            <w:vAlign w:val="center"/>
          </w:tcPr>
          <w:p w14:paraId="013D2915" w14:textId="203D105D" w:rsidR="00F8595E" w:rsidRDefault="00F8595E" w:rsidP="005A75AA">
            <w:pPr>
              <w:spacing w:before="0" w:beforeAutospacing="0" w:after="0" w:afterAutospacing="0"/>
            </w:pPr>
            <w:r>
              <w:rPr>
                <w:rFonts w:cs="Calibri"/>
                <w:color w:val="000000"/>
              </w:rPr>
              <w:t>0.6</w:t>
            </w:r>
          </w:p>
        </w:tc>
        <w:tc>
          <w:tcPr>
            <w:tcW w:w="1282" w:type="dxa"/>
            <w:vAlign w:val="center"/>
          </w:tcPr>
          <w:p w14:paraId="225DB86A" w14:textId="61A970C9" w:rsidR="00F8595E" w:rsidRDefault="00F8595E" w:rsidP="005A75AA">
            <w:pPr>
              <w:spacing w:before="0" w:beforeAutospacing="0" w:after="0" w:afterAutospacing="0"/>
            </w:pPr>
            <w:r>
              <w:rPr>
                <w:rFonts w:cs="Calibri"/>
                <w:color w:val="000000"/>
              </w:rPr>
              <w:t>0.6</w:t>
            </w:r>
          </w:p>
        </w:tc>
        <w:tc>
          <w:tcPr>
            <w:tcW w:w="1314" w:type="dxa"/>
            <w:vAlign w:val="center"/>
          </w:tcPr>
          <w:p w14:paraId="00786D51" w14:textId="3C58C748" w:rsidR="00F8595E" w:rsidRDefault="00F8595E" w:rsidP="005A75AA">
            <w:pPr>
              <w:spacing w:before="0" w:beforeAutospacing="0" w:after="0" w:afterAutospacing="0"/>
            </w:pPr>
            <w:r>
              <w:rPr>
                <w:rFonts w:ascii="Arial" w:hAnsi="Arial" w:cs="Arial"/>
                <w:color w:val="000000"/>
                <w:sz w:val="20"/>
                <w:szCs w:val="20"/>
              </w:rPr>
              <w:t>NQCSP</w:t>
            </w:r>
          </w:p>
        </w:tc>
        <w:tc>
          <w:tcPr>
            <w:tcW w:w="1180" w:type="dxa"/>
            <w:vAlign w:val="center"/>
          </w:tcPr>
          <w:p w14:paraId="3D5BDDE3" w14:textId="34E1DD17" w:rsidR="00F8595E" w:rsidRDefault="00F8595E" w:rsidP="005A75AA">
            <w:pPr>
              <w:spacing w:before="0" w:beforeAutospacing="0" w:after="0" w:afterAutospacing="0"/>
            </w:pPr>
            <w:r>
              <w:rPr>
                <w:rFonts w:ascii="Arial" w:hAnsi="Arial" w:cs="Arial"/>
                <w:color w:val="000000"/>
                <w:sz w:val="20"/>
                <w:szCs w:val="20"/>
              </w:rPr>
              <w:t>n/a</w:t>
            </w:r>
          </w:p>
        </w:tc>
      </w:tr>
      <w:tr w:rsidR="00F8595E" w14:paraId="1EA06B41" w14:textId="5EA4181C" w:rsidTr="00F8595E">
        <w:tc>
          <w:tcPr>
            <w:tcW w:w="1172" w:type="dxa"/>
            <w:vMerge/>
          </w:tcPr>
          <w:p w14:paraId="38EAEFA8" w14:textId="77777777" w:rsidR="00F8595E" w:rsidRPr="00A06F56" w:rsidRDefault="00F8595E" w:rsidP="00A06F56">
            <w:pPr>
              <w:spacing w:before="0" w:beforeAutospacing="0" w:after="0" w:afterAutospacing="0"/>
            </w:pPr>
          </w:p>
        </w:tc>
        <w:tc>
          <w:tcPr>
            <w:tcW w:w="1171" w:type="dxa"/>
          </w:tcPr>
          <w:p w14:paraId="27F8D048" w14:textId="2CD3F700" w:rsidR="00F8595E" w:rsidRPr="00A06F56" w:rsidRDefault="00F8595E" w:rsidP="00A06F56">
            <w:pPr>
              <w:spacing w:before="0" w:beforeAutospacing="0" w:after="0" w:afterAutospacing="0"/>
            </w:pPr>
            <w:r w:rsidRPr="00A06F56">
              <w:t>No.</w:t>
            </w:r>
          </w:p>
        </w:tc>
        <w:tc>
          <w:tcPr>
            <w:tcW w:w="1283" w:type="dxa"/>
            <w:vAlign w:val="center"/>
          </w:tcPr>
          <w:p w14:paraId="0F5B223E" w14:textId="57EB7D37" w:rsidR="00F8595E" w:rsidRDefault="00F8595E" w:rsidP="00A06F56">
            <w:pPr>
              <w:spacing w:before="0" w:beforeAutospacing="0" w:after="0" w:afterAutospacing="0"/>
            </w:pPr>
            <w:r>
              <w:rPr>
                <w:rFonts w:cs="Calibri"/>
                <w:color w:val="000000"/>
              </w:rPr>
              <w:t>5,980</w:t>
            </w:r>
          </w:p>
        </w:tc>
        <w:tc>
          <w:tcPr>
            <w:tcW w:w="1264" w:type="dxa"/>
            <w:vAlign w:val="center"/>
          </w:tcPr>
          <w:p w14:paraId="363D4DF6" w14:textId="002F9A39" w:rsidR="00F8595E" w:rsidRDefault="00F8595E" w:rsidP="00A06F56">
            <w:pPr>
              <w:spacing w:before="0" w:beforeAutospacing="0" w:after="0" w:afterAutospacing="0"/>
            </w:pPr>
            <w:r>
              <w:rPr>
                <w:rFonts w:cs="Calibri"/>
                <w:color w:val="000000"/>
              </w:rPr>
              <w:t>51</w:t>
            </w:r>
          </w:p>
        </w:tc>
        <w:tc>
          <w:tcPr>
            <w:tcW w:w="1313" w:type="dxa"/>
            <w:vAlign w:val="center"/>
          </w:tcPr>
          <w:p w14:paraId="68E49B00" w14:textId="3D3C3E1F" w:rsidR="00F8595E" w:rsidRDefault="00F8595E" w:rsidP="00A06F56">
            <w:pPr>
              <w:spacing w:before="0" w:beforeAutospacing="0" w:after="0" w:afterAutospacing="0"/>
            </w:pPr>
            <w:r>
              <w:rPr>
                <w:rFonts w:cs="Calibri"/>
                <w:color w:val="000000"/>
              </w:rPr>
              <w:t>NQCSP</w:t>
            </w:r>
          </w:p>
        </w:tc>
        <w:tc>
          <w:tcPr>
            <w:tcW w:w="1524" w:type="dxa"/>
            <w:vAlign w:val="center"/>
          </w:tcPr>
          <w:p w14:paraId="251B3787" w14:textId="4B27F4B1" w:rsidR="00F8595E" w:rsidRDefault="00F8595E" w:rsidP="00A06F56">
            <w:pPr>
              <w:spacing w:before="0" w:beforeAutospacing="0" w:after="0" w:afterAutospacing="0"/>
            </w:pPr>
            <w:r>
              <w:rPr>
                <w:rFonts w:cs="Calibri"/>
                <w:color w:val="000000"/>
              </w:rPr>
              <w:t>1,629</w:t>
            </w:r>
          </w:p>
        </w:tc>
        <w:tc>
          <w:tcPr>
            <w:tcW w:w="1391" w:type="dxa"/>
            <w:vAlign w:val="center"/>
          </w:tcPr>
          <w:p w14:paraId="202DF86F" w14:textId="56E312D3" w:rsidR="00F8595E" w:rsidRDefault="00F8595E" w:rsidP="00A06F56">
            <w:pPr>
              <w:spacing w:before="0" w:beforeAutospacing="0" w:after="0" w:afterAutospacing="0"/>
            </w:pPr>
            <w:r>
              <w:rPr>
                <w:rFonts w:cs="Calibri"/>
                <w:color w:val="000000"/>
              </w:rPr>
              <w:t>6,212</w:t>
            </w:r>
          </w:p>
        </w:tc>
        <w:tc>
          <w:tcPr>
            <w:tcW w:w="1280" w:type="dxa"/>
            <w:vAlign w:val="center"/>
          </w:tcPr>
          <w:p w14:paraId="62F87A1E" w14:textId="60561167" w:rsidR="00F8595E" w:rsidRDefault="00F8595E" w:rsidP="005A75AA">
            <w:pPr>
              <w:spacing w:before="0" w:beforeAutospacing="0" w:after="0" w:afterAutospacing="0"/>
            </w:pPr>
            <w:r>
              <w:rPr>
                <w:rFonts w:cs="Calibri"/>
                <w:color w:val="000000"/>
              </w:rPr>
              <w:t>19</w:t>
            </w:r>
          </w:p>
        </w:tc>
        <w:tc>
          <w:tcPr>
            <w:tcW w:w="1282" w:type="dxa"/>
            <w:vAlign w:val="center"/>
          </w:tcPr>
          <w:p w14:paraId="7171C4CF" w14:textId="60E673B5" w:rsidR="00F8595E" w:rsidRDefault="00F8595E" w:rsidP="005A75AA">
            <w:pPr>
              <w:spacing w:before="0" w:beforeAutospacing="0" w:after="0" w:afterAutospacing="0"/>
            </w:pPr>
            <w:r>
              <w:rPr>
                <w:rFonts w:cs="Calibri"/>
                <w:color w:val="000000"/>
              </w:rPr>
              <w:t>8</w:t>
            </w:r>
          </w:p>
        </w:tc>
        <w:tc>
          <w:tcPr>
            <w:tcW w:w="1314" w:type="dxa"/>
            <w:vAlign w:val="center"/>
          </w:tcPr>
          <w:p w14:paraId="34983954" w14:textId="03F1D80D" w:rsidR="00F8595E" w:rsidRDefault="00F8595E" w:rsidP="005A75AA">
            <w:pPr>
              <w:spacing w:before="0" w:beforeAutospacing="0" w:after="0" w:afterAutospacing="0"/>
            </w:pPr>
            <w:r>
              <w:rPr>
                <w:rFonts w:ascii="Arial" w:hAnsi="Arial" w:cs="Arial"/>
                <w:color w:val="000000"/>
                <w:sz w:val="20"/>
                <w:szCs w:val="20"/>
              </w:rPr>
              <w:t>NQCSP</w:t>
            </w:r>
          </w:p>
        </w:tc>
        <w:tc>
          <w:tcPr>
            <w:tcW w:w="1180" w:type="dxa"/>
            <w:vAlign w:val="center"/>
          </w:tcPr>
          <w:p w14:paraId="5467D578" w14:textId="6FFA1069" w:rsidR="00F8595E" w:rsidRDefault="00F8595E" w:rsidP="005A75AA">
            <w:pPr>
              <w:spacing w:before="0" w:beforeAutospacing="0" w:after="0" w:afterAutospacing="0"/>
            </w:pPr>
            <w:r>
              <w:rPr>
                <w:rFonts w:ascii="Arial" w:hAnsi="Arial" w:cs="Arial"/>
                <w:color w:val="000000"/>
                <w:sz w:val="20"/>
                <w:szCs w:val="20"/>
              </w:rPr>
              <w:t>n/a</w:t>
            </w:r>
          </w:p>
        </w:tc>
      </w:tr>
      <w:tr w:rsidR="00F8595E" w14:paraId="53CF956D" w14:textId="4EC26C53" w:rsidTr="00F8595E">
        <w:tc>
          <w:tcPr>
            <w:tcW w:w="1172" w:type="dxa"/>
            <w:vMerge w:val="restart"/>
          </w:tcPr>
          <w:p w14:paraId="0B3F678C" w14:textId="54A309EF" w:rsidR="00F8595E" w:rsidRPr="00A06F56" w:rsidRDefault="00F8595E" w:rsidP="00A06F56">
            <w:pPr>
              <w:spacing w:before="0" w:beforeAutospacing="0" w:after="0" w:afterAutospacing="0"/>
            </w:pPr>
            <w:r w:rsidRPr="00A06F56">
              <w:t>Dodo</w:t>
            </w:r>
          </w:p>
        </w:tc>
        <w:tc>
          <w:tcPr>
            <w:tcW w:w="1171" w:type="dxa"/>
          </w:tcPr>
          <w:p w14:paraId="1A740B8D" w14:textId="5AB79031" w:rsidR="00F8595E" w:rsidRPr="00A06F56" w:rsidRDefault="00F8595E" w:rsidP="00A06F56">
            <w:pPr>
              <w:spacing w:before="0" w:beforeAutospacing="0" w:after="0" w:afterAutospacing="0"/>
            </w:pPr>
            <w:r w:rsidRPr="00A06F56">
              <w:t>%</w:t>
            </w:r>
          </w:p>
        </w:tc>
        <w:tc>
          <w:tcPr>
            <w:tcW w:w="1283" w:type="dxa"/>
            <w:vAlign w:val="center"/>
          </w:tcPr>
          <w:p w14:paraId="70EBE1B5" w14:textId="675473FE" w:rsidR="00F8595E" w:rsidRDefault="00F8595E" w:rsidP="00A06F56">
            <w:pPr>
              <w:spacing w:before="0" w:beforeAutospacing="0" w:after="0" w:afterAutospacing="0"/>
            </w:pPr>
            <w:r>
              <w:rPr>
                <w:rFonts w:cs="Calibri"/>
                <w:color w:val="000000"/>
              </w:rPr>
              <w:t>0</w:t>
            </w:r>
          </w:p>
        </w:tc>
        <w:tc>
          <w:tcPr>
            <w:tcW w:w="1264" w:type="dxa"/>
            <w:vAlign w:val="center"/>
          </w:tcPr>
          <w:p w14:paraId="243ED384" w14:textId="2DF2CE09" w:rsidR="00F8595E" w:rsidRDefault="00F8595E" w:rsidP="00A06F56">
            <w:pPr>
              <w:spacing w:before="0" w:beforeAutospacing="0" w:after="0" w:afterAutospacing="0"/>
            </w:pPr>
            <w:r>
              <w:rPr>
                <w:rFonts w:cs="Calibri"/>
                <w:color w:val="000000"/>
              </w:rPr>
              <w:t>0</w:t>
            </w:r>
          </w:p>
        </w:tc>
        <w:tc>
          <w:tcPr>
            <w:tcW w:w="1313" w:type="dxa"/>
            <w:vAlign w:val="center"/>
          </w:tcPr>
          <w:p w14:paraId="1945450C" w14:textId="56D70549" w:rsidR="00F8595E" w:rsidRDefault="00F8595E" w:rsidP="00A06F56">
            <w:pPr>
              <w:spacing w:before="0" w:beforeAutospacing="0" w:after="0" w:afterAutospacing="0"/>
            </w:pPr>
            <w:r>
              <w:rPr>
                <w:rFonts w:cs="Calibri"/>
                <w:color w:val="000000"/>
              </w:rPr>
              <w:t>NQCSP</w:t>
            </w:r>
          </w:p>
        </w:tc>
        <w:tc>
          <w:tcPr>
            <w:tcW w:w="1524" w:type="dxa"/>
            <w:vAlign w:val="center"/>
          </w:tcPr>
          <w:p w14:paraId="1176ABE3" w14:textId="11F2AF71" w:rsidR="00F8595E" w:rsidRDefault="00F8595E" w:rsidP="00A06F56">
            <w:pPr>
              <w:spacing w:before="0" w:beforeAutospacing="0" w:after="0" w:afterAutospacing="0"/>
            </w:pPr>
            <w:r>
              <w:rPr>
                <w:rFonts w:cs="Calibri"/>
                <w:color w:val="000000"/>
              </w:rPr>
              <w:t>0</w:t>
            </w:r>
          </w:p>
        </w:tc>
        <w:tc>
          <w:tcPr>
            <w:tcW w:w="1391" w:type="dxa"/>
            <w:vAlign w:val="center"/>
          </w:tcPr>
          <w:p w14:paraId="10ACE4BB" w14:textId="26414770" w:rsidR="00F8595E" w:rsidRDefault="00F8595E" w:rsidP="00A06F56">
            <w:pPr>
              <w:spacing w:before="0" w:beforeAutospacing="0" w:after="0" w:afterAutospacing="0"/>
            </w:pPr>
            <w:r>
              <w:rPr>
                <w:rFonts w:cs="Calibri"/>
                <w:color w:val="000000"/>
              </w:rPr>
              <w:t>0</w:t>
            </w:r>
          </w:p>
        </w:tc>
        <w:tc>
          <w:tcPr>
            <w:tcW w:w="1280" w:type="dxa"/>
            <w:vAlign w:val="center"/>
          </w:tcPr>
          <w:p w14:paraId="56BEFA66" w14:textId="315E4ECF" w:rsidR="00F8595E" w:rsidRDefault="00F8595E" w:rsidP="005A75AA">
            <w:pPr>
              <w:spacing w:before="0" w:beforeAutospacing="0" w:after="0" w:afterAutospacing="0"/>
            </w:pPr>
            <w:r>
              <w:rPr>
                <w:rFonts w:cs="Calibri"/>
                <w:color w:val="000000"/>
              </w:rPr>
              <w:t>0</w:t>
            </w:r>
          </w:p>
        </w:tc>
        <w:tc>
          <w:tcPr>
            <w:tcW w:w="1282" w:type="dxa"/>
            <w:vAlign w:val="center"/>
          </w:tcPr>
          <w:p w14:paraId="7799023A" w14:textId="0A021ABE" w:rsidR="00F8595E" w:rsidRDefault="00F8595E" w:rsidP="005A75AA">
            <w:pPr>
              <w:spacing w:before="0" w:beforeAutospacing="0" w:after="0" w:afterAutospacing="0"/>
            </w:pPr>
            <w:r>
              <w:rPr>
                <w:rFonts w:cs="Calibri"/>
                <w:color w:val="000000"/>
              </w:rPr>
              <w:t>0</w:t>
            </w:r>
          </w:p>
        </w:tc>
        <w:tc>
          <w:tcPr>
            <w:tcW w:w="1314" w:type="dxa"/>
            <w:vAlign w:val="center"/>
          </w:tcPr>
          <w:p w14:paraId="43F76FD8" w14:textId="0DC89FB4" w:rsidR="00F8595E" w:rsidRDefault="00F8595E" w:rsidP="005A75AA">
            <w:pPr>
              <w:spacing w:before="0" w:beforeAutospacing="0" w:after="0" w:afterAutospacing="0"/>
            </w:pPr>
            <w:r>
              <w:rPr>
                <w:rFonts w:ascii="Arial" w:hAnsi="Arial" w:cs="Arial"/>
                <w:color w:val="000000"/>
                <w:sz w:val="20"/>
                <w:szCs w:val="20"/>
              </w:rPr>
              <w:t>NQCSP</w:t>
            </w:r>
          </w:p>
        </w:tc>
        <w:tc>
          <w:tcPr>
            <w:tcW w:w="1180" w:type="dxa"/>
            <w:vAlign w:val="center"/>
          </w:tcPr>
          <w:p w14:paraId="6439F506" w14:textId="64A3641A" w:rsidR="00F8595E" w:rsidRDefault="00F8595E" w:rsidP="005A75AA">
            <w:pPr>
              <w:spacing w:before="0" w:beforeAutospacing="0" w:after="0" w:afterAutospacing="0"/>
            </w:pPr>
            <w:r>
              <w:rPr>
                <w:rFonts w:cs="Calibri"/>
                <w:color w:val="000000"/>
              </w:rPr>
              <w:t>0</w:t>
            </w:r>
          </w:p>
        </w:tc>
      </w:tr>
      <w:tr w:rsidR="00F8595E" w14:paraId="523857D4" w14:textId="479CA583" w:rsidTr="00F8595E">
        <w:tc>
          <w:tcPr>
            <w:tcW w:w="1172" w:type="dxa"/>
            <w:vMerge/>
          </w:tcPr>
          <w:p w14:paraId="5DA458FA" w14:textId="77777777" w:rsidR="00F8595E" w:rsidRPr="00A06F56" w:rsidRDefault="00F8595E" w:rsidP="00A06F56">
            <w:pPr>
              <w:spacing w:before="0" w:beforeAutospacing="0" w:after="0" w:afterAutospacing="0"/>
            </w:pPr>
          </w:p>
        </w:tc>
        <w:tc>
          <w:tcPr>
            <w:tcW w:w="1171" w:type="dxa"/>
          </w:tcPr>
          <w:p w14:paraId="04F65B9F" w14:textId="4F2395CB" w:rsidR="00F8595E" w:rsidRPr="00A06F56" w:rsidRDefault="00F8595E" w:rsidP="00A06F56">
            <w:pPr>
              <w:spacing w:before="0" w:beforeAutospacing="0" w:after="0" w:afterAutospacing="0"/>
            </w:pPr>
            <w:r w:rsidRPr="00A06F56">
              <w:t>No.</w:t>
            </w:r>
          </w:p>
        </w:tc>
        <w:tc>
          <w:tcPr>
            <w:tcW w:w="1283" w:type="dxa"/>
            <w:vAlign w:val="center"/>
          </w:tcPr>
          <w:p w14:paraId="7A258C58" w14:textId="6B441D9F" w:rsidR="00F8595E" w:rsidRDefault="00F8595E" w:rsidP="00A06F56">
            <w:pPr>
              <w:spacing w:before="0" w:beforeAutospacing="0" w:after="0" w:afterAutospacing="0"/>
            </w:pPr>
            <w:r>
              <w:rPr>
                <w:rFonts w:cs="Calibri"/>
                <w:color w:val="000000"/>
              </w:rPr>
              <w:t>0</w:t>
            </w:r>
          </w:p>
        </w:tc>
        <w:tc>
          <w:tcPr>
            <w:tcW w:w="1264" w:type="dxa"/>
            <w:vAlign w:val="center"/>
          </w:tcPr>
          <w:p w14:paraId="0D8604E8" w14:textId="2F315759" w:rsidR="00F8595E" w:rsidRDefault="00F8595E" w:rsidP="00A06F56">
            <w:pPr>
              <w:spacing w:before="0" w:beforeAutospacing="0" w:after="0" w:afterAutospacing="0"/>
            </w:pPr>
            <w:r>
              <w:rPr>
                <w:rFonts w:cs="Calibri"/>
                <w:color w:val="000000"/>
              </w:rPr>
              <w:t>0</w:t>
            </w:r>
          </w:p>
        </w:tc>
        <w:tc>
          <w:tcPr>
            <w:tcW w:w="1313" w:type="dxa"/>
            <w:vAlign w:val="center"/>
          </w:tcPr>
          <w:p w14:paraId="6976F233" w14:textId="12F0AB1B" w:rsidR="00F8595E" w:rsidRDefault="00F8595E" w:rsidP="00A06F56">
            <w:pPr>
              <w:spacing w:before="0" w:beforeAutospacing="0" w:after="0" w:afterAutospacing="0"/>
            </w:pPr>
            <w:r>
              <w:rPr>
                <w:rFonts w:cs="Calibri"/>
                <w:color w:val="000000"/>
              </w:rPr>
              <w:t>NQCSP</w:t>
            </w:r>
          </w:p>
        </w:tc>
        <w:tc>
          <w:tcPr>
            <w:tcW w:w="1524" w:type="dxa"/>
            <w:vAlign w:val="center"/>
          </w:tcPr>
          <w:p w14:paraId="13367808" w14:textId="35E0E002" w:rsidR="00F8595E" w:rsidRDefault="00F8595E" w:rsidP="00A06F56">
            <w:pPr>
              <w:spacing w:before="0" w:beforeAutospacing="0" w:after="0" w:afterAutospacing="0"/>
            </w:pPr>
            <w:r>
              <w:rPr>
                <w:rFonts w:cs="Calibri"/>
                <w:color w:val="000000"/>
              </w:rPr>
              <w:t>0</w:t>
            </w:r>
          </w:p>
        </w:tc>
        <w:tc>
          <w:tcPr>
            <w:tcW w:w="1391" w:type="dxa"/>
            <w:vAlign w:val="center"/>
          </w:tcPr>
          <w:p w14:paraId="2BA774CB" w14:textId="0EFE8538" w:rsidR="00F8595E" w:rsidRDefault="00F8595E" w:rsidP="00A06F56">
            <w:pPr>
              <w:spacing w:before="0" w:beforeAutospacing="0" w:after="0" w:afterAutospacing="0"/>
            </w:pPr>
            <w:r>
              <w:rPr>
                <w:rFonts w:cs="Calibri"/>
                <w:color w:val="000000"/>
              </w:rPr>
              <w:t>0</w:t>
            </w:r>
          </w:p>
        </w:tc>
        <w:tc>
          <w:tcPr>
            <w:tcW w:w="1280" w:type="dxa"/>
            <w:vAlign w:val="center"/>
          </w:tcPr>
          <w:p w14:paraId="7780FEDB" w14:textId="55497CAD" w:rsidR="00F8595E" w:rsidRDefault="00F8595E" w:rsidP="005A75AA">
            <w:pPr>
              <w:spacing w:before="0" w:beforeAutospacing="0" w:after="0" w:afterAutospacing="0"/>
            </w:pPr>
            <w:r>
              <w:rPr>
                <w:rFonts w:cs="Calibri"/>
                <w:color w:val="000000"/>
              </w:rPr>
              <w:t>0</w:t>
            </w:r>
          </w:p>
        </w:tc>
        <w:tc>
          <w:tcPr>
            <w:tcW w:w="1282" w:type="dxa"/>
            <w:vAlign w:val="center"/>
          </w:tcPr>
          <w:p w14:paraId="2ABE08EC" w14:textId="7F40CFB0" w:rsidR="00F8595E" w:rsidRDefault="00F8595E" w:rsidP="005A75AA">
            <w:pPr>
              <w:spacing w:before="0" w:beforeAutospacing="0" w:after="0" w:afterAutospacing="0"/>
            </w:pPr>
            <w:r>
              <w:rPr>
                <w:rFonts w:cs="Calibri"/>
                <w:color w:val="000000"/>
              </w:rPr>
              <w:t>0</w:t>
            </w:r>
          </w:p>
        </w:tc>
        <w:tc>
          <w:tcPr>
            <w:tcW w:w="1314" w:type="dxa"/>
            <w:vAlign w:val="center"/>
          </w:tcPr>
          <w:p w14:paraId="57691130" w14:textId="746C80C8" w:rsidR="00F8595E" w:rsidRDefault="00F8595E" w:rsidP="005A75AA">
            <w:pPr>
              <w:spacing w:before="0" w:beforeAutospacing="0" w:after="0" w:afterAutospacing="0"/>
            </w:pPr>
            <w:r>
              <w:rPr>
                <w:rFonts w:ascii="Arial" w:hAnsi="Arial" w:cs="Arial"/>
                <w:color w:val="000000"/>
                <w:sz w:val="20"/>
                <w:szCs w:val="20"/>
              </w:rPr>
              <w:t>NQCSP</w:t>
            </w:r>
          </w:p>
        </w:tc>
        <w:tc>
          <w:tcPr>
            <w:tcW w:w="1180" w:type="dxa"/>
            <w:vAlign w:val="center"/>
          </w:tcPr>
          <w:p w14:paraId="45413130" w14:textId="01955D70" w:rsidR="00F8595E" w:rsidRDefault="00F8595E" w:rsidP="005A75AA">
            <w:pPr>
              <w:spacing w:before="0" w:beforeAutospacing="0" w:after="0" w:afterAutospacing="0"/>
            </w:pPr>
            <w:r>
              <w:rPr>
                <w:rFonts w:cs="Calibri"/>
                <w:color w:val="000000"/>
              </w:rPr>
              <w:t>0</w:t>
            </w:r>
          </w:p>
        </w:tc>
      </w:tr>
      <w:tr w:rsidR="00F8595E" w14:paraId="1C58B9A6" w14:textId="0A5B0B8D" w:rsidTr="00F8595E">
        <w:tc>
          <w:tcPr>
            <w:tcW w:w="1172" w:type="dxa"/>
            <w:vMerge w:val="restart"/>
          </w:tcPr>
          <w:p w14:paraId="333C49E5" w14:textId="3054DFBE" w:rsidR="00F8595E" w:rsidRPr="00A06F56" w:rsidRDefault="00F8595E" w:rsidP="00A06F56">
            <w:pPr>
              <w:spacing w:before="0" w:beforeAutospacing="0" w:after="0" w:afterAutospacing="0"/>
            </w:pPr>
            <w:r w:rsidRPr="00A06F56">
              <w:t>Telstra</w:t>
            </w:r>
          </w:p>
        </w:tc>
        <w:tc>
          <w:tcPr>
            <w:tcW w:w="1171" w:type="dxa"/>
          </w:tcPr>
          <w:p w14:paraId="2AEBB055" w14:textId="23367F77" w:rsidR="00F8595E" w:rsidRPr="00A06F56" w:rsidRDefault="00F8595E" w:rsidP="00A06F56">
            <w:pPr>
              <w:spacing w:before="0" w:beforeAutospacing="0" w:after="0" w:afterAutospacing="0"/>
            </w:pPr>
            <w:r w:rsidRPr="00A06F56">
              <w:t>%</w:t>
            </w:r>
          </w:p>
        </w:tc>
        <w:tc>
          <w:tcPr>
            <w:tcW w:w="1283" w:type="dxa"/>
            <w:vAlign w:val="center"/>
          </w:tcPr>
          <w:p w14:paraId="2ED87410" w14:textId="5A2E5100" w:rsidR="00F8595E" w:rsidRDefault="00F8595E" w:rsidP="00A06F56">
            <w:pPr>
              <w:spacing w:before="0" w:beforeAutospacing="0" w:after="0" w:afterAutospacing="0"/>
            </w:pPr>
            <w:r>
              <w:rPr>
                <w:rFonts w:cs="Calibri"/>
                <w:color w:val="000000"/>
              </w:rPr>
              <w:t>6.7</w:t>
            </w:r>
          </w:p>
        </w:tc>
        <w:tc>
          <w:tcPr>
            <w:tcW w:w="1264" w:type="dxa"/>
            <w:vAlign w:val="center"/>
          </w:tcPr>
          <w:p w14:paraId="40E952B8" w14:textId="3DE6597F" w:rsidR="00F8595E" w:rsidRDefault="00F8595E" w:rsidP="00A06F56">
            <w:pPr>
              <w:spacing w:before="0" w:beforeAutospacing="0" w:after="0" w:afterAutospacing="0"/>
            </w:pPr>
            <w:r>
              <w:rPr>
                <w:rFonts w:cs="Calibri"/>
                <w:color w:val="000000"/>
              </w:rPr>
              <w:t>7.9</w:t>
            </w:r>
          </w:p>
        </w:tc>
        <w:tc>
          <w:tcPr>
            <w:tcW w:w="1313" w:type="dxa"/>
            <w:vAlign w:val="center"/>
          </w:tcPr>
          <w:p w14:paraId="52172C91" w14:textId="4904430A" w:rsidR="00F8595E" w:rsidRDefault="00F8595E" w:rsidP="00A06F56">
            <w:pPr>
              <w:spacing w:before="0" w:beforeAutospacing="0" w:after="0" w:afterAutospacing="0"/>
            </w:pPr>
            <w:r>
              <w:rPr>
                <w:rFonts w:cs="Calibri"/>
                <w:color w:val="000000"/>
              </w:rPr>
              <w:t>7.5</w:t>
            </w:r>
          </w:p>
        </w:tc>
        <w:tc>
          <w:tcPr>
            <w:tcW w:w="1524" w:type="dxa"/>
            <w:vAlign w:val="center"/>
          </w:tcPr>
          <w:p w14:paraId="5E159AB4" w14:textId="438CB1AC" w:rsidR="00F8595E" w:rsidRDefault="00F8595E" w:rsidP="00A06F56">
            <w:pPr>
              <w:spacing w:before="0" w:beforeAutospacing="0" w:after="0" w:afterAutospacing="0"/>
            </w:pPr>
            <w:r>
              <w:rPr>
                <w:rFonts w:cs="Calibri"/>
                <w:color w:val="000000"/>
              </w:rPr>
              <w:t>3.8</w:t>
            </w:r>
          </w:p>
        </w:tc>
        <w:tc>
          <w:tcPr>
            <w:tcW w:w="1391" w:type="dxa"/>
            <w:vAlign w:val="center"/>
          </w:tcPr>
          <w:p w14:paraId="7DDCD808" w14:textId="0788E190" w:rsidR="00F8595E" w:rsidRDefault="00F8595E" w:rsidP="00A06F56">
            <w:pPr>
              <w:spacing w:before="0" w:beforeAutospacing="0" w:after="0" w:afterAutospacing="0"/>
            </w:pPr>
            <w:r>
              <w:rPr>
                <w:rFonts w:cs="Calibri"/>
                <w:color w:val="000000"/>
              </w:rPr>
              <w:t>5.6</w:t>
            </w:r>
          </w:p>
        </w:tc>
        <w:tc>
          <w:tcPr>
            <w:tcW w:w="1280" w:type="dxa"/>
            <w:vAlign w:val="center"/>
          </w:tcPr>
          <w:p w14:paraId="72E14A14" w14:textId="29420F21" w:rsidR="00F8595E" w:rsidRDefault="00F8595E" w:rsidP="005A75AA">
            <w:pPr>
              <w:spacing w:before="0" w:beforeAutospacing="0" w:after="0" w:afterAutospacing="0"/>
            </w:pPr>
            <w:r>
              <w:rPr>
                <w:rFonts w:cs="Calibri"/>
                <w:color w:val="000000"/>
              </w:rPr>
              <w:t>5</w:t>
            </w:r>
          </w:p>
        </w:tc>
        <w:tc>
          <w:tcPr>
            <w:tcW w:w="1282" w:type="dxa"/>
            <w:vAlign w:val="center"/>
          </w:tcPr>
          <w:p w14:paraId="47E3E0DE" w14:textId="664B3935" w:rsidR="00F8595E" w:rsidRDefault="00F8595E" w:rsidP="005A75AA">
            <w:pPr>
              <w:spacing w:before="0" w:beforeAutospacing="0" w:after="0" w:afterAutospacing="0"/>
            </w:pPr>
            <w:r>
              <w:rPr>
                <w:rFonts w:cs="Calibri"/>
                <w:color w:val="000000"/>
              </w:rPr>
              <w:t>5.9</w:t>
            </w:r>
          </w:p>
        </w:tc>
        <w:tc>
          <w:tcPr>
            <w:tcW w:w="1314" w:type="dxa"/>
            <w:vAlign w:val="center"/>
          </w:tcPr>
          <w:p w14:paraId="0C368B61" w14:textId="6EDE8662" w:rsidR="00F8595E" w:rsidRDefault="00F8595E" w:rsidP="005A75AA">
            <w:pPr>
              <w:spacing w:before="0" w:beforeAutospacing="0" w:after="0" w:afterAutospacing="0"/>
            </w:pPr>
            <w:r>
              <w:rPr>
                <w:rFonts w:cs="Calibri"/>
                <w:color w:val="000000"/>
              </w:rPr>
              <w:t>7.4</w:t>
            </w:r>
          </w:p>
        </w:tc>
        <w:tc>
          <w:tcPr>
            <w:tcW w:w="1180" w:type="dxa"/>
            <w:vAlign w:val="center"/>
          </w:tcPr>
          <w:p w14:paraId="238DBCD7" w14:textId="69D65F86" w:rsidR="00F8595E" w:rsidRDefault="00F8595E" w:rsidP="005A75AA">
            <w:pPr>
              <w:spacing w:before="0" w:beforeAutospacing="0" w:after="0" w:afterAutospacing="0"/>
            </w:pPr>
            <w:r>
              <w:rPr>
                <w:rFonts w:cs="Calibri"/>
                <w:color w:val="000000"/>
              </w:rPr>
              <w:t>3.4</w:t>
            </w:r>
          </w:p>
        </w:tc>
      </w:tr>
      <w:tr w:rsidR="00F8595E" w14:paraId="37D2E2D5" w14:textId="5585BFB9" w:rsidTr="00F8595E">
        <w:tc>
          <w:tcPr>
            <w:tcW w:w="1172" w:type="dxa"/>
            <w:vMerge/>
          </w:tcPr>
          <w:p w14:paraId="345FD2BD" w14:textId="77777777" w:rsidR="00F8595E" w:rsidRPr="00A06F56" w:rsidRDefault="00F8595E" w:rsidP="00A06F56">
            <w:pPr>
              <w:spacing w:before="0" w:beforeAutospacing="0" w:after="0" w:afterAutospacing="0"/>
            </w:pPr>
          </w:p>
        </w:tc>
        <w:tc>
          <w:tcPr>
            <w:tcW w:w="1171" w:type="dxa"/>
          </w:tcPr>
          <w:p w14:paraId="5B245B60" w14:textId="7CC4AF39" w:rsidR="00F8595E" w:rsidRPr="00A06F56" w:rsidRDefault="00F8595E" w:rsidP="00A06F56">
            <w:pPr>
              <w:spacing w:before="0" w:beforeAutospacing="0" w:after="0" w:afterAutospacing="0"/>
            </w:pPr>
            <w:r w:rsidRPr="00A06F56">
              <w:t>No.</w:t>
            </w:r>
          </w:p>
        </w:tc>
        <w:tc>
          <w:tcPr>
            <w:tcW w:w="1283" w:type="dxa"/>
            <w:vAlign w:val="center"/>
          </w:tcPr>
          <w:p w14:paraId="1CD24CFE" w14:textId="601B9688" w:rsidR="00F8595E" w:rsidRDefault="00F8595E" w:rsidP="00A06F56">
            <w:pPr>
              <w:spacing w:before="0" w:beforeAutospacing="0" w:after="0" w:afterAutospacing="0"/>
            </w:pPr>
            <w:r>
              <w:rPr>
                <w:rFonts w:cs="Calibri"/>
                <w:color w:val="000000"/>
              </w:rPr>
              <w:t>27,687</w:t>
            </w:r>
          </w:p>
        </w:tc>
        <w:tc>
          <w:tcPr>
            <w:tcW w:w="1264" w:type="dxa"/>
            <w:vAlign w:val="center"/>
          </w:tcPr>
          <w:p w14:paraId="4AE05AF4" w14:textId="1D6ACD1B" w:rsidR="00F8595E" w:rsidRDefault="00F8595E" w:rsidP="00A06F56">
            <w:pPr>
              <w:spacing w:before="0" w:beforeAutospacing="0" w:after="0" w:afterAutospacing="0"/>
            </w:pPr>
            <w:r>
              <w:rPr>
                <w:rFonts w:cs="Calibri"/>
                <w:color w:val="000000"/>
              </w:rPr>
              <w:t>11,033</w:t>
            </w:r>
          </w:p>
        </w:tc>
        <w:tc>
          <w:tcPr>
            <w:tcW w:w="1313" w:type="dxa"/>
            <w:vAlign w:val="center"/>
          </w:tcPr>
          <w:p w14:paraId="1C0E22B4" w14:textId="254B354A" w:rsidR="00F8595E" w:rsidRDefault="00F8595E" w:rsidP="00A06F56">
            <w:pPr>
              <w:spacing w:before="0" w:beforeAutospacing="0" w:after="0" w:afterAutospacing="0"/>
            </w:pPr>
            <w:r>
              <w:rPr>
                <w:rFonts w:cs="Calibri"/>
                <w:color w:val="000000"/>
              </w:rPr>
              <w:t>181</w:t>
            </w:r>
          </w:p>
        </w:tc>
        <w:tc>
          <w:tcPr>
            <w:tcW w:w="1524" w:type="dxa"/>
            <w:vAlign w:val="center"/>
          </w:tcPr>
          <w:p w14:paraId="6556019F" w14:textId="51481F5D" w:rsidR="00F8595E" w:rsidRDefault="00F8595E" w:rsidP="00A06F56">
            <w:pPr>
              <w:spacing w:before="0" w:beforeAutospacing="0" w:after="0" w:afterAutospacing="0"/>
            </w:pPr>
            <w:r>
              <w:rPr>
                <w:rFonts w:cs="Calibri"/>
                <w:color w:val="000000"/>
              </w:rPr>
              <w:t>19,281</w:t>
            </w:r>
          </w:p>
        </w:tc>
        <w:tc>
          <w:tcPr>
            <w:tcW w:w="1391" w:type="dxa"/>
            <w:vAlign w:val="center"/>
          </w:tcPr>
          <w:p w14:paraId="2F890D60" w14:textId="56E81790" w:rsidR="00F8595E" w:rsidRDefault="00F8595E" w:rsidP="00A06F56">
            <w:pPr>
              <w:spacing w:before="0" w:beforeAutospacing="0" w:after="0" w:afterAutospacing="0"/>
            </w:pPr>
            <w:r>
              <w:rPr>
                <w:rFonts w:cs="Calibri"/>
                <w:color w:val="000000"/>
              </w:rPr>
              <w:t>13,261</w:t>
            </w:r>
          </w:p>
        </w:tc>
        <w:tc>
          <w:tcPr>
            <w:tcW w:w="1280" w:type="dxa"/>
            <w:vAlign w:val="center"/>
          </w:tcPr>
          <w:p w14:paraId="6874116A" w14:textId="20DCD4EB" w:rsidR="00F8595E" w:rsidRDefault="00F8595E" w:rsidP="005A75AA">
            <w:pPr>
              <w:spacing w:before="0" w:beforeAutospacing="0" w:after="0" w:afterAutospacing="0"/>
            </w:pPr>
            <w:r>
              <w:rPr>
                <w:rFonts w:cs="Calibri"/>
                <w:color w:val="000000"/>
              </w:rPr>
              <w:t>1,214</w:t>
            </w:r>
          </w:p>
        </w:tc>
        <w:tc>
          <w:tcPr>
            <w:tcW w:w="1282" w:type="dxa"/>
            <w:vAlign w:val="center"/>
          </w:tcPr>
          <w:p w14:paraId="47CD00A6" w14:textId="52E0FA89" w:rsidR="00F8595E" w:rsidRDefault="00F8595E" w:rsidP="005A75AA">
            <w:pPr>
              <w:spacing w:before="0" w:beforeAutospacing="0" w:after="0" w:afterAutospacing="0"/>
            </w:pPr>
            <w:r>
              <w:rPr>
                <w:rFonts w:cs="Calibri"/>
                <w:color w:val="000000"/>
              </w:rPr>
              <w:t>722</w:t>
            </w:r>
          </w:p>
        </w:tc>
        <w:tc>
          <w:tcPr>
            <w:tcW w:w="1314" w:type="dxa"/>
            <w:vAlign w:val="center"/>
          </w:tcPr>
          <w:p w14:paraId="1E9EC4C9" w14:textId="1BF83855" w:rsidR="00F8595E" w:rsidRDefault="00F8595E" w:rsidP="005A75AA">
            <w:pPr>
              <w:spacing w:before="0" w:beforeAutospacing="0" w:after="0" w:afterAutospacing="0"/>
            </w:pPr>
            <w:r>
              <w:rPr>
                <w:rFonts w:cs="Calibri"/>
                <w:color w:val="000000"/>
              </w:rPr>
              <w:t>50</w:t>
            </w:r>
          </w:p>
        </w:tc>
        <w:tc>
          <w:tcPr>
            <w:tcW w:w="1180" w:type="dxa"/>
            <w:vAlign w:val="center"/>
          </w:tcPr>
          <w:p w14:paraId="4BF01CC0" w14:textId="1C95D133" w:rsidR="00F8595E" w:rsidRDefault="00F8595E" w:rsidP="005A75AA">
            <w:pPr>
              <w:spacing w:before="0" w:beforeAutospacing="0" w:after="0" w:afterAutospacing="0"/>
            </w:pPr>
            <w:r>
              <w:rPr>
                <w:rFonts w:cs="Calibri"/>
                <w:color w:val="000000"/>
              </w:rPr>
              <w:t>7,033</w:t>
            </w:r>
          </w:p>
        </w:tc>
      </w:tr>
    </w:tbl>
    <w:p w14:paraId="1DCA445F" w14:textId="38388F5F" w:rsidR="005A75AA" w:rsidRDefault="00EF7627" w:rsidP="004C1802">
      <w:pPr>
        <w:keepNext/>
        <w:keepLines/>
        <w:spacing w:before="0" w:beforeAutospacing="0" w:after="240" w:afterAutospacing="0" w:line="276" w:lineRule="auto"/>
      </w:pPr>
      <w:r>
        <w:t>Notes: NQCSP = not a qualifying CSP; Source: ACMA Communications Report, 2016/2017</w:t>
      </w:r>
    </w:p>
    <w:p w14:paraId="31878D16" w14:textId="77777777" w:rsidR="005A75AA" w:rsidRDefault="005A75AA" w:rsidP="00877CCA">
      <w:pPr>
        <w:spacing w:before="0" w:beforeAutospacing="0" w:after="200" w:afterAutospacing="0" w:line="276" w:lineRule="auto"/>
        <w:sectPr w:rsidR="005A75AA" w:rsidSect="005A75AA">
          <w:pgSz w:w="16838" w:h="11906" w:orient="landscape" w:code="9"/>
          <w:pgMar w:top="1440" w:right="1440" w:bottom="1440" w:left="1440" w:header="709" w:footer="0" w:gutter="0"/>
          <w:cols w:space="708"/>
          <w:titlePg/>
          <w:docGrid w:linePitch="360"/>
        </w:sectPr>
      </w:pPr>
    </w:p>
    <w:p w14:paraId="33A8F3BF" w14:textId="5D01307D" w:rsidR="00E562E4" w:rsidRDefault="00877CCA" w:rsidP="005E494F">
      <w:pPr>
        <w:spacing w:before="0" w:beforeAutospacing="0" w:after="200" w:afterAutospacing="0" w:line="276" w:lineRule="auto"/>
      </w:pPr>
      <w:r>
        <w:lastRenderedPageBreak/>
        <w:t>Accordingly, detailed i</w:t>
      </w:r>
      <w:r w:rsidR="00080810">
        <w:t xml:space="preserve">ndustry data should be provided </w:t>
      </w:r>
      <w:r>
        <w:t xml:space="preserve">on a monthly basis </w:t>
      </w:r>
      <w:r w:rsidR="00080810">
        <w:t>to the ACMA</w:t>
      </w:r>
      <w:r>
        <w:t>.</w:t>
      </w:r>
      <w:r w:rsidR="00F07FC4">
        <w:t xml:space="preserve"> Further</w:t>
      </w:r>
      <w:r w:rsidR="00B033CC">
        <w:t>,</w:t>
      </w:r>
      <w:r w:rsidR="00F07FC4">
        <w:t xml:space="preserve"> the ACMA should conduct a review to determine appropriate performance targets in consultation with the ACCC.</w:t>
      </w:r>
    </w:p>
    <w:p w14:paraId="4B5F38DB" w14:textId="14AD670E" w:rsidR="00526329" w:rsidRDefault="00526329" w:rsidP="005E494F">
      <w:pPr>
        <w:spacing w:before="0" w:beforeAutospacing="0" w:after="200" w:afterAutospacing="0" w:line="276" w:lineRule="auto"/>
      </w:pPr>
      <w:r>
        <w:t>ACCAN believes the</w:t>
      </w:r>
      <w:r w:rsidR="00B033CC">
        <w:t xml:space="preserve"> following </w:t>
      </w:r>
      <w:r>
        <w:t xml:space="preserve">metrics should be reported to the ACMA on a monthly basis: </w:t>
      </w:r>
    </w:p>
    <w:p w14:paraId="739BB4E9" w14:textId="06E212B1" w:rsidR="004F79BD" w:rsidRDefault="00E562E4" w:rsidP="005E494F">
      <w:pPr>
        <w:spacing w:before="0" w:beforeAutospacing="0" w:after="200" w:afterAutospacing="0" w:line="276" w:lineRule="auto"/>
      </w:pPr>
      <w:r>
        <w:t>C</w:t>
      </w:r>
      <w:r w:rsidR="004F79BD">
        <w:t>ustomer service guarantee metrics:</w:t>
      </w:r>
    </w:p>
    <w:p w14:paraId="37783645" w14:textId="77777777" w:rsidR="00080810" w:rsidRDefault="005E494F" w:rsidP="00826D4B">
      <w:pPr>
        <w:pStyle w:val="ListParagraph"/>
        <w:numPr>
          <w:ilvl w:val="0"/>
          <w:numId w:val="12"/>
        </w:numPr>
        <w:spacing w:before="0" w:beforeAutospacing="0" w:after="200" w:afterAutospacing="0" w:line="276" w:lineRule="auto"/>
      </w:pPr>
      <w:r>
        <w:t>Connections completed on time</w:t>
      </w:r>
      <w:r w:rsidR="00080810">
        <w:t>, by technology and area</w:t>
      </w:r>
    </w:p>
    <w:p w14:paraId="19C6D700" w14:textId="77777777" w:rsidR="00080810" w:rsidRDefault="001D76F1" w:rsidP="00826D4B">
      <w:pPr>
        <w:pStyle w:val="ListParagraph"/>
        <w:numPr>
          <w:ilvl w:val="0"/>
          <w:numId w:val="12"/>
        </w:numPr>
        <w:spacing w:before="0" w:beforeAutospacing="0" w:after="200" w:afterAutospacing="0" w:line="276" w:lineRule="auto"/>
      </w:pPr>
      <w:r>
        <w:t>Number</w:t>
      </w:r>
      <w:r w:rsidR="00080810">
        <w:t xml:space="preserve"> of delayed connections, by technology and area</w:t>
      </w:r>
      <w:r>
        <w:t>, and duration of delays</w:t>
      </w:r>
    </w:p>
    <w:p w14:paraId="7C32DDFC" w14:textId="77777777" w:rsidR="00080810" w:rsidRDefault="00080810" w:rsidP="00826D4B">
      <w:pPr>
        <w:pStyle w:val="ListParagraph"/>
        <w:numPr>
          <w:ilvl w:val="0"/>
          <w:numId w:val="12"/>
        </w:numPr>
        <w:spacing w:before="0" w:beforeAutospacing="0" w:after="200" w:afterAutospacing="0" w:line="276" w:lineRule="auto"/>
      </w:pPr>
      <w:r>
        <w:t>Payments for missed appointments</w:t>
      </w:r>
    </w:p>
    <w:p w14:paraId="467AF539" w14:textId="77777777" w:rsidR="00080810" w:rsidRDefault="00080810" w:rsidP="00826D4B">
      <w:pPr>
        <w:pStyle w:val="ListParagraph"/>
        <w:numPr>
          <w:ilvl w:val="0"/>
          <w:numId w:val="12"/>
        </w:numPr>
        <w:spacing w:before="0" w:beforeAutospacing="0" w:after="200" w:afterAutospacing="0" w:line="276" w:lineRule="auto"/>
      </w:pPr>
      <w:r>
        <w:t xml:space="preserve">Number of faults </w:t>
      </w:r>
      <w:r w:rsidR="004F79BD">
        <w:t xml:space="preserve">repaired on time </w:t>
      </w:r>
      <w:r>
        <w:t>by technology</w:t>
      </w:r>
      <w:r w:rsidR="004F79BD">
        <w:t xml:space="preserve"> and geography/area</w:t>
      </w:r>
    </w:p>
    <w:p w14:paraId="761E5C1A" w14:textId="77777777" w:rsidR="001D76F1" w:rsidRDefault="001D76F1" w:rsidP="00826D4B">
      <w:pPr>
        <w:pStyle w:val="ListParagraph"/>
        <w:numPr>
          <w:ilvl w:val="0"/>
          <w:numId w:val="12"/>
        </w:numPr>
        <w:spacing w:before="0" w:beforeAutospacing="0" w:after="200" w:afterAutospacing="0" w:line="276" w:lineRule="auto"/>
      </w:pPr>
      <w:r>
        <w:t>Number of fa</w:t>
      </w:r>
      <w:r w:rsidR="004F79BD">
        <w:t>ults not repaired on time</w:t>
      </w:r>
      <w:r>
        <w:t>, by technology and area</w:t>
      </w:r>
    </w:p>
    <w:p w14:paraId="05C04DD5" w14:textId="77777777" w:rsidR="001D76F1" w:rsidRDefault="001D76F1" w:rsidP="00826D4B">
      <w:pPr>
        <w:pStyle w:val="ListParagraph"/>
        <w:numPr>
          <w:ilvl w:val="0"/>
          <w:numId w:val="12"/>
        </w:numPr>
        <w:spacing w:before="0" w:beforeAutospacing="0" w:after="200" w:afterAutospacing="0" w:line="276" w:lineRule="auto"/>
      </w:pPr>
      <w:r>
        <w:t>Number and quantum of payments for delayed connections and delayed fault repairs</w:t>
      </w:r>
    </w:p>
    <w:p w14:paraId="3D768593" w14:textId="77777777" w:rsidR="004F79BD" w:rsidRDefault="004F79BD" w:rsidP="004C1802">
      <w:pPr>
        <w:spacing w:before="0" w:beforeAutospacing="0" w:after="200" w:afterAutospacing="0" w:line="276" w:lineRule="auto"/>
      </w:pPr>
      <w:r>
        <w:t xml:space="preserve">Reliability metrics: </w:t>
      </w:r>
    </w:p>
    <w:p w14:paraId="06EF1DCA" w14:textId="3A09BA13" w:rsidR="00080810" w:rsidRDefault="001E2BC8" w:rsidP="00826D4B">
      <w:pPr>
        <w:pStyle w:val="ListParagraph"/>
        <w:numPr>
          <w:ilvl w:val="0"/>
          <w:numId w:val="12"/>
        </w:numPr>
        <w:spacing w:before="0" w:beforeAutospacing="0" w:after="200" w:afterAutospacing="0" w:line="276" w:lineRule="auto"/>
      </w:pPr>
      <w:r>
        <w:t>D</w:t>
      </w:r>
      <w:r w:rsidR="00080810">
        <w:t>uration of outages by technology</w:t>
      </w:r>
    </w:p>
    <w:p w14:paraId="1E568981" w14:textId="77777777" w:rsidR="001D76F1" w:rsidRDefault="001D76F1" w:rsidP="00826D4B">
      <w:pPr>
        <w:pStyle w:val="ListParagraph"/>
        <w:numPr>
          <w:ilvl w:val="0"/>
          <w:numId w:val="12"/>
        </w:numPr>
        <w:spacing w:before="0" w:beforeAutospacing="0" w:after="200" w:afterAutospacing="0" w:line="276" w:lineRule="auto"/>
      </w:pPr>
      <w:r>
        <w:t>Number of times a customer’s supply is interrupted;</w:t>
      </w:r>
      <w:r w:rsidR="004F79BD">
        <w:t xml:space="preserve"> </w:t>
      </w:r>
    </w:p>
    <w:p w14:paraId="78E5D966" w14:textId="77777777" w:rsidR="001D76F1" w:rsidRDefault="004F79BD" w:rsidP="00826D4B">
      <w:pPr>
        <w:pStyle w:val="ListParagraph"/>
        <w:numPr>
          <w:ilvl w:val="0"/>
          <w:numId w:val="12"/>
        </w:numPr>
        <w:spacing w:before="0" w:beforeAutospacing="0" w:after="200" w:afterAutospacing="0" w:line="276" w:lineRule="auto"/>
      </w:pPr>
      <w:r>
        <w:t>D</w:t>
      </w:r>
      <w:r w:rsidR="001D76F1">
        <w:t>uration of each interruption</w:t>
      </w:r>
      <w:r>
        <w:t xml:space="preserve"> to supply;</w:t>
      </w:r>
    </w:p>
    <w:p w14:paraId="24D21F75" w14:textId="38B1CE37" w:rsidR="0056569C" w:rsidRDefault="0056569C" w:rsidP="00826D4B">
      <w:pPr>
        <w:pStyle w:val="ListParagraph"/>
        <w:numPr>
          <w:ilvl w:val="0"/>
          <w:numId w:val="12"/>
        </w:numPr>
        <w:spacing w:before="0" w:beforeAutospacing="0" w:after="200" w:afterAutospacing="0" w:line="276" w:lineRule="auto"/>
      </w:pPr>
      <w:r>
        <w:t>Distribution of interruptions by duration</w:t>
      </w:r>
      <w:r w:rsidR="008E09E1">
        <w:t xml:space="preserve"> (such that the time it takes to repair is known as well as the quantity of repairs performed in that timeframe)</w:t>
      </w:r>
      <w:r>
        <w:t>;</w:t>
      </w:r>
    </w:p>
    <w:p w14:paraId="2C0D99A8" w14:textId="77777777" w:rsidR="004F79BD" w:rsidRDefault="004F79BD" w:rsidP="00826D4B">
      <w:pPr>
        <w:pStyle w:val="ListParagraph"/>
        <w:numPr>
          <w:ilvl w:val="0"/>
          <w:numId w:val="12"/>
        </w:numPr>
        <w:spacing w:before="0" w:beforeAutospacing="0" w:after="200" w:afterAutospacing="0" w:line="276" w:lineRule="auto"/>
      </w:pPr>
      <w:r>
        <w:t xml:space="preserve">Number of momentary interruptions per customer </w:t>
      </w:r>
    </w:p>
    <w:tbl>
      <w:tblPr>
        <w:tblStyle w:val="TableGrid"/>
        <w:tblW w:w="0" w:type="auto"/>
        <w:tblLook w:val="04A0" w:firstRow="1" w:lastRow="0" w:firstColumn="1" w:lastColumn="0" w:noHBand="0" w:noVBand="1"/>
      </w:tblPr>
      <w:tblGrid>
        <w:gridCol w:w="9242"/>
      </w:tblGrid>
      <w:tr w:rsidR="00F8595E" w14:paraId="52F9A678" w14:textId="77777777" w:rsidTr="00F8595E">
        <w:tc>
          <w:tcPr>
            <w:tcW w:w="9242" w:type="dxa"/>
          </w:tcPr>
          <w:p w14:paraId="341C78C9" w14:textId="435285C5" w:rsidR="00F07FC4" w:rsidRDefault="00F8595E" w:rsidP="00F8595E">
            <w:pPr>
              <w:spacing w:before="0" w:beforeAutospacing="0" w:after="200" w:afterAutospacing="0" w:line="276" w:lineRule="auto"/>
            </w:pPr>
            <w:r w:rsidRPr="00F8595E">
              <w:rPr>
                <w:b/>
              </w:rPr>
              <w:t>Recommendation 10</w:t>
            </w:r>
            <w:r>
              <w:t xml:space="preserve">: </w:t>
            </w:r>
            <w:r w:rsidR="00F07FC4">
              <w:t>Industry data for ACMA reporting</w:t>
            </w:r>
          </w:p>
          <w:p w14:paraId="4E8234FE" w14:textId="77777777" w:rsidR="00F8595E" w:rsidRDefault="00F8595E" w:rsidP="004C1802">
            <w:pPr>
              <w:pStyle w:val="ListParagraph"/>
              <w:numPr>
                <w:ilvl w:val="0"/>
                <w:numId w:val="30"/>
              </w:numPr>
              <w:spacing w:before="0" w:beforeAutospacing="0" w:after="200" w:afterAutospacing="0" w:line="276" w:lineRule="auto"/>
            </w:pPr>
            <w:r>
              <w:t>Providers report reliability data as identified by ACCAN on a monthly basis to the ACMA.</w:t>
            </w:r>
          </w:p>
          <w:p w14:paraId="09FD3C29" w14:textId="7437CC29" w:rsidR="00F07FC4" w:rsidRDefault="00F07FC4" w:rsidP="004C1802">
            <w:pPr>
              <w:pStyle w:val="ListParagraph"/>
              <w:numPr>
                <w:ilvl w:val="0"/>
                <w:numId w:val="30"/>
              </w:numPr>
              <w:spacing w:before="0" w:beforeAutospacing="0" w:after="200" w:afterAutospacing="0" w:line="276" w:lineRule="auto"/>
            </w:pPr>
            <w:r>
              <w:t>The ACMA conduct a review in consultation with the ACCC to determine appropriate performance targets.</w:t>
            </w:r>
          </w:p>
        </w:tc>
      </w:tr>
    </w:tbl>
    <w:p w14:paraId="615CD006" w14:textId="77777777" w:rsidR="004A38E9" w:rsidRPr="003441E5" w:rsidRDefault="004A38E9" w:rsidP="004A38E9">
      <w:pPr>
        <w:pStyle w:val="Heading2"/>
      </w:pPr>
      <w:bookmarkStart w:id="27" w:name="_Toc535530147"/>
      <w:bookmarkStart w:id="28" w:name="_Toc535596220"/>
      <w:r>
        <w:t>Frequency of ACMA reporting</w:t>
      </w:r>
      <w:bookmarkEnd w:id="27"/>
      <w:bookmarkEnd w:id="28"/>
    </w:p>
    <w:p w14:paraId="40A556B0" w14:textId="77777777" w:rsidR="004A38E9" w:rsidRDefault="00FB02D2" w:rsidP="004A38E9">
      <w:pPr>
        <w:spacing w:before="0" w:beforeAutospacing="0" w:after="200" w:afterAutospacing="0" w:line="276" w:lineRule="auto"/>
      </w:pPr>
      <w:r>
        <w:t>The Department has asked:</w:t>
      </w:r>
    </w:p>
    <w:p w14:paraId="21FB75FB" w14:textId="77777777" w:rsidR="0036009E" w:rsidRPr="003D51DF" w:rsidRDefault="003D51DF" w:rsidP="003D51DF">
      <w:pPr>
        <w:spacing w:before="0" w:beforeAutospacing="0" w:after="200" w:afterAutospacing="0" w:line="276" w:lineRule="auto"/>
        <w:rPr>
          <w:i/>
        </w:rPr>
      </w:pPr>
      <w:r w:rsidRPr="003D51DF">
        <w:rPr>
          <w:i/>
        </w:rPr>
        <w:t>“</w:t>
      </w:r>
      <w:r w:rsidR="0036009E" w:rsidRPr="003D51DF">
        <w:rPr>
          <w:i/>
        </w:rPr>
        <w:t>How often should the ACMA publish reports and analysis (for example, monthly, quarterly or half yearly)?</w:t>
      </w:r>
      <w:r w:rsidRPr="003D51DF">
        <w:rPr>
          <w:i/>
        </w:rPr>
        <w:t>”</w:t>
      </w:r>
    </w:p>
    <w:p w14:paraId="27139EFA" w14:textId="0C80E614" w:rsidR="00F8595E" w:rsidRDefault="00FB02D2" w:rsidP="00F8595E">
      <w:pPr>
        <w:spacing w:before="0" w:beforeAutospacing="0" w:after="200" w:afterAutospacing="0" w:line="276" w:lineRule="auto"/>
      </w:pPr>
      <w:r>
        <w:t xml:space="preserve">ACCAN believes that </w:t>
      </w:r>
      <w:r w:rsidR="003D51DF">
        <w:t>quarterly</w:t>
      </w:r>
      <w:r>
        <w:t xml:space="preserve"> reporting is required to provide sufficient oversight.</w:t>
      </w:r>
    </w:p>
    <w:tbl>
      <w:tblPr>
        <w:tblStyle w:val="TableGrid"/>
        <w:tblW w:w="0" w:type="auto"/>
        <w:tblLook w:val="04A0" w:firstRow="1" w:lastRow="0" w:firstColumn="1" w:lastColumn="0" w:noHBand="0" w:noVBand="1"/>
      </w:tblPr>
      <w:tblGrid>
        <w:gridCol w:w="9242"/>
      </w:tblGrid>
      <w:tr w:rsidR="00F8595E" w14:paraId="7B9A59C5" w14:textId="77777777" w:rsidTr="001876A4">
        <w:tc>
          <w:tcPr>
            <w:tcW w:w="9242" w:type="dxa"/>
          </w:tcPr>
          <w:p w14:paraId="36C696F7" w14:textId="2F5E4E9E" w:rsidR="00F8595E" w:rsidRDefault="00F8595E" w:rsidP="00F8595E">
            <w:pPr>
              <w:spacing w:before="0" w:beforeAutospacing="0" w:after="200" w:afterAutospacing="0" w:line="276" w:lineRule="auto"/>
            </w:pPr>
            <w:r w:rsidRPr="00F8595E">
              <w:rPr>
                <w:b/>
              </w:rPr>
              <w:t>Recommendation 1</w:t>
            </w:r>
            <w:r>
              <w:rPr>
                <w:b/>
              </w:rPr>
              <w:t>1</w:t>
            </w:r>
            <w:r>
              <w:t>: ACMA publish reliability reports quarterly.</w:t>
            </w:r>
          </w:p>
        </w:tc>
      </w:tr>
    </w:tbl>
    <w:p w14:paraId="3387859F" w14:textId="77777777" w:rsidR="0036009E" w:rsidRDefault="0036009E" w:rsidP="0036009E">
      <w:pPr>
        <w:pStyle w:val="Heading1"/>
      </w:pPr>
      <w:bookmarkStart w:id="29" w:name="_Toc535530148"/>
      <w:bookmarkStart w:id="30" w:name="_Toc535596221"/>
      <w:r>
        <w:lastRenderedPageBreak/>
        <w:t>General issues for comment</w:t>
      </w:r>
      <w:bookmarkEnd w:id="29"/>
      <w:bookmarkEnd w:id="30"/>
    </w:p>
    <w:p w14:paraId="711DF84E" w14:textId="77777777" w:rsidR="004A38E9" w:rsidRPr="003441E5" w:rsidRDefault="004A38E9" w:rsidP="004A38E9">
      <w:pPr>
        <w:pStyle w:val="Heading2"/>
      </w:pPr>
      <w:bookmarkStart w:id="31" w:name="_Toc535530149"/>
      <w:bookmarkStart w:id="32" w:name="_Toc535596222"/>
      <w:r>
        <w:t>Adequacy of proposals</w:t>
      </w:r>
      <w:bookmarkEnd w:id="31"/>
      <w:bookmarkEnd w:id="32"/>
    </w:p>
    <w:p w14:paraId="25CBB67C" w14:textId="77777777" w:rsidR="003D51DF" w:rsidRDefault="002B6389" w:rsidP="003D51DF">
      <w:pPr>
        <w:spacing w:before="0" w:beforeAutospacing="0" w:after="200" w:afterAutospacing="0" w:line="276" w:lineRule="auto"/>
      </w:pPr>
      <w:r>
        <w:t>The Department has asked:</w:t>
      </w:r>
    </w:p>
    <w:p w14:paraId="132466FA" w14:textId="77777777" w:rsidR="0036009E" w:rsidRPr="003D51DF" w:rsidRDefault="003D51DF" w:rsidP="003D51DF">
      <w:pPr>
        <w:spacing w:before="0" w:beforeAutospacing="0" w:after="200" w:afterAutospacing="0" w:line="276" w:lineRule="auto"/>
        <w:rPr>
          <w:i/>
        </w:rPr>
      </w:pPr>
      <w:r w:rsidRPr="003D51DF">
        <w:rPr>
          <w:i/>
        </w:rPr>
        <w:t>“</w:t>
      </w:r>
      <w:r w:rsidR="0036009E" w:rsidRPr="003D51DF">
        <w:rPr>
          <w:i/>
        </w:rPr>
        <w:t>Do the proposals in this paper address the major issues of concern with the current framework for reliability of services? If not, what additional measures could be included?</w:t>
      </w:r>
      <w:r w:rsidRPr="003D51DF">
        <w:rPr>
          <w:i/>
        </w:rPr>
        <w:t>”</w:t>
      </w:r>
    </w:p>
    <w:p w14:paraId="768F3393" w14:textId="77777777" w:rsidR="002B6389" w:rsidRDefault="002B6389" w:rsidP="003D51DF">
      <w:pPr>
        <w:spacing w:before="0" w:beforeAutospacing="0" w:after="200" w:afterAutospacing="0" w:line="276" w:lineRule="auto"/>
      </w:pPr>
      <w:r>
        <w:t xml:space="preserve">The Department’s proposals address some of the major issues of concern with the current framework for reliability of services. Specifically, the proposals provide consumer protections for broadband and voice services offered by all providers with public reporting of compliance. </w:t>
      </w:r>
    </w:p>
    <w:p w14:paraId="6EBA756D" w14:textId="77777777" w:rsidR="00925C3F" w:rsidRDefault="002B6389" w:rsidP="003D51DF">
      <w:pPr>
        <w:spacing w:before="0" w:beforeAutospacing="0" w:after="200" w:afterAutospacing="0" w:line="276" w:lineRule="auto"/>
      </w:pPr>
      <w:r>
        <w:t>However, a key pillar of ACCAN’s policy position</w:t>
      </w:r>
      <w:r w:rsidR="00E562E4">
        <w:t xml:space="preserve"> “A Guarantee for the Future” i</w:t>
      </w:r>
      <w:r>
        <w:t>s the relationship between wholesale pricing and service quality. The proposal to introduce significant obligations on network infrastructure</w:t>
      </w:r>
      <w:r w:rsidR="00056313">
        <w:t xml:space="preserve"> providers will inevitably </w:t>
      </w:r>
      <w:r w:rsidR="00092770">
        <w:t>impo</w:t>
      </w:r>
      <w:r w:rsidR="00056313">
        <w:t>se</w:t>
      </w:r>
      <w:r>
        <w:t xml:space="preserve"> costs</w:t>
      </w:r>
      <w:r w:rsidR="00056313">
        <w:t xml:space="preserve"> on wholesale providers</w:t>
      </w:r>
      <w:r>
        <w:t xml:space="preserve">. </w:t>
      </w:r>
      <w:r w:rsidR="00056313">
        <w:t xml:space="preserve">Wholesale providers thus need to </w:t>
      </w:r>
      <w:r w:rsidR="00092770">
        <w:t>have the ability to recover those costs or will risk non-compliance. It is in the long term interests of end users for providers to recover the reasonable costs of providing reliable services</w:t>
      </w:r>
      <w:r>
        <w:t xml:space="preserve">. </w:t>
      </w:r>
      <w:r w:rsidR="00E562E4">
        <w:t>These compliance costs need to be considered as part of the broader wholesale pricing regime to ensure balanced and appropriate cost recovery and minimise the harm to consumers.</w:t>
      </w:r>
    </w:p>
    <w:p w14:paraId="0237CD83" w14:textId="77777777" w:rsidR="0036009E" w:rsidRDefault="00925C3F" w:rsidP="003D51DF">
      <w:pPr>
        <w:spacing w:before="0" w:beforeAutospacing="0" w:after="200" w:afterAutospacing="0" w:line="276" w:lineRule="auto"/>
      </w:pPr>
      <w:r>
        <w:t>ACCAN is aware of the ACCC’s review of NBN service standards and</w:t>
      </w:r>
      <w:r w:rsidR="004F79BD">
        <w:t xml:space="preserve"> is</w:t>
      </w:r>
      <w:r>
        <w:t xml:space="preserve"> participating in that consultation. It is imperative that the pricing framework take account of government and regulatory policy. Thus the ACCC should have the ability to set prices for the NBN by taking into account government objectives and policy.</w:t>
      </w:r>
    </w:p>
    <w:tbl>
      <w:tblPr>
        <w:tblStyle w:val="TableGrid"/>
        <w:tblW w:w="0" w:type="auto"/>
        <w:tblLook w:val="04A0" w:firstRow="1" w:lastRow="0" w:firstColumn="1" w:lastColumn="0" w:noHBand="0" w:noVBand="1"/>
      </w:tblPr>
      <w:tblGrid>
        <w:gridCol w:w="9242"/>
      </w:tblGrid>
      <w:tr w:rsidR="00DD578E" w14:paraId="0B7C921E" w14:textId="77777777" w:rsidTr="00DD578E">
        <w:tc>
          <w:tcPr>
            <w:tcW w:w="9242" w:type="dxa"/>
          </w:tcPr>
          <w:p w14:paraId="2D78B9CC" w14:textId="1DF97144" w:rsidR="00DD578E" w:rsidRDefault="00DD578E" w:rsidP="003D51DF">
            <w:pPr>
              <w:spacing w:before="0" w:beforeAutospacing="0" w:after="200" w:afterAutospacing="0" w:line="276" w:lineRule="auto"/>
            </w:pPr>
            <w:r>
              <w:t>Recommendation 12: Enable the ACCC to determine wholesale pricing with commercial agreements superseding only by exception and approval by the ACCC.</w:t>
            </w:r>
          </w:p>
        </w:tc>
      </w:tr>
    </w:tbl>
    <w:p w14:paraId="271C2243" w14:textId="77777777" w:rsidR="004A38E9" w:rsidRPr="003441E5" w:rsidRDefault="004A38E9" w:rsidP="004A38E9">
      <w:pPr>
        <w:pStyle w:val="Heading2"/>
      </w:pPr>
      <w:bookmarkStart w:id="33" w:name="_Toc535530150"/>
      <w:bookmarkStart w:id="34" w:name="_Toc535596223"/>
      <w:r>
        <w:t>Unintended consequences of the proposals</w:t>
      </w:r>
      <w:bookmarkEnd w:id="33"/>
      <w:bookmarkEnd w:id="34"/>
    </w:p>
    <w:p w14:paraId="7D5B3D5A" w14:textId="77777777" w:rsidR="003D51DF" w:rsidRDefault="00056313" w:rsidP="003D51DF">
      <w:pPr>
        <w:spacing w:before="0" w:beforeAutospacing="0" w:after="200" w:afterAutospacing="0" w:line="276" w:lineRule="auto"/>
      </w:pPr>
      <w:r>
        <w:t>The Department has asked:</w:t>
      </w:r>
    </w:p>
    <w:p w14:paraId="304D9DCF" w14:textId="77777777" w:rsidR="0036009E" w:rsidRPr="003D51DF" w:rsidRDefault="003D51DF" w:rsidP="003D51DF">
      <w:pPr>
        <w:spacing w:before="0" w:beforeAutospacing="0" w:after="200" w:afterAutospacing="0" w:line="276" w:lineRule="auto"/>
        <w:rPr>
          <w:i/>
        </w:rPr>
      </w:pPr>
      <w:r w:rsidRPr="003D51DF">
        <w:rPr>
          <w:i/>
        </w:rPr>
        <w:t>“</w:t>
      </w:r>
      <w:r w:rsidR="0036009E" w:rsidRPr="003D51DF">
        <w:rPr>
          <w:i/>
        </w:rPr>
        <w:t>Are there any unforeseen issues or unintended consequences of the proposals?</w:t>
      </w:r>
      <w:r w:rsidRPr="003D51DF">
        <w:rPr>
          <w:i/>
        </w:rPr>
        <w:t>”</w:t>
      </w:r>
    </w:p>
    <w:p w14:paraId="2CABC845" w14:textId="77777777" w:rsidR="005E494F" w:rsidRPr="00E47384" w:rsidRDefault="00056313" w:rsidP="006930FE">
      <w:pPr>
        <w:spacing w:before="0" w:beforeAutospacing="0" w:after="200" w:afterAutospacing="0" w:line="276" w:lineRule="auto"/>
      </w:pPr>
      <w:r>
        <w:t>ACCAN does not foresee any issues or unintended consequences of the proposals at this time</w:t>
      </w:r>
      <w:r w:rsidR="007A3A3B">
        <w:t>, subject to our recommendations</w:t>
      </w:r>
      <w:r w:rsidR="006930FE">
        <w:t>.</w:t>
      </w:r>
    </w:p>
    <w:p w14:paraId="552ED023" w14:textId="77777777" w:rsidR="004A38E9" w:rsidRPr="003441E5" w:rsidRDefault="004A38E9" w:rsidP="004A38E9">
      <w:pPr>
        <w:pStyle w:val="Heading2"/>
      </w:pPr>
      <w:bookmarkStart w:id="35" w:name="_Toc535530151"/>
      <w:bookmarkStart w:id="36" w:name="_Toc535596224"/>
      <w:r>
        <w:t>Implementation</w:t>
      </w:r>
      <w:bookmarkEnd w:id="35"/>
      <w:bookmarkEnd w:id="36"/>
    </w:p>
    <w:p w14:paraId="7FF3BD15" w14:textId="77777777" w:rsidR="004A38E9" w:rsidRDefault="00C51668" w:rsidP="003D51DF">
      <w:r>
        <w:t xml:space="preserve">The Department </w:t>
      </w:r>
      <w:r w:rsidR="00C533E9">
        <w:t>stated that its proposals would commence after the forecast completion of the NBN rollout in 2020</w:t>
      </w:r>
      <w:r>
        <w:t>. It has asked:</w:t>
      </w:r>
    </w:p>
    <w:p w14:paraId="44A9BDD3" w14:textId="77777777" w:rsidR="0036009E" w:rsidRPr="003D51DF" w:rsidRDefault="003D51DF" w:rsidP="003D51DF">
      <w:pPr>
        <w:spacing w:before="0" w:beforeAutospacing="0" w:after="200" w:afterAutospacing="0" w:line="276" w:lineRule="auto"/>
        <w:rPr>
          <w:i/>
        </w:rPr>
      </w:pPr>
      <w:r w:rsidRPr="003D51DF">
        <w:rPr>
          <w:i/>
        </w:rPr>
        <w:lastRenderedPageBreak/>
        <w:t>“</w:t>
      </w:r>
      <w:r w:rsidR="0036009E" w:rsidRPr="003D51DF">
        <w:rPr>
          <w:i/>
        </w:rPr>
        <w:t>What considerations should be taken into account in implementing the proposals outlined in this paper (based on forecast completion of the NBN rollout by 2020), including practical timeframes for implementation?</w:t>
      </w:r>
      <w:r w:rsidRPr="003D51DF">
        <w:rPr>
          <w:i/>
        </w:rPr>
        <w:t>”</w:t>
      </w:r>
    </w:p>
    <w:p w14:paraId="3EE41068" w14:textId="77777777" w:rsidR="00C06F2B" w:rsidRDefault="00C40902" w:rsidP="00C51668">
      <w:pPr>
        <w:spacing w:before="0" w:beforeAutospacing="0" w:after="200" w:afterAutospacing="0" w:line="276" w:lineRule="auto"/>
      </w:pPr>
      <w:r>
        <w:t xml:space="preserve">ACCAN encourages the Department to consider implementing the proposals prior to the forecast completion of the NBN rollout. </w:t>
      </w:r>
      <w:r w:rsidR="000B0516">
        <w:t>It is necessary and feasible for new rules to be in place by the end of 2019.</w:t>
      </w:r>
    </w:p>
    <w:p w14:paraId="4E564DEE" w14:textId="77777777" w:rsidR="00CC3613" w:rsidRDefault="00CC3613" w:rsidP="00CC3613">
      <w:pPr>
        <w:spacing w:before="0" w:beforeAutospacing="0" w:after="200" w:afterAutospacing="0" w:line="276" w:lineRule="auto"/>
      </w:pPr>
      <w:r>
        <w:t>In December 2017, the ACMA announced that it would make new rules to improve customer experience</w:t>
      </w:r>
      <w:r w:rsidR="00056313">
        <w:t>s</w:t>
      </w:r>
      <w:r>
        <w:t xml:space="preserve"> migrating to the NBN. It stated that its analysis for the three months to 30 June 2017</w:t>
      </w:r>
      <w:r w:rsidR="00056313">
        <w:t xml:space="preserve"> showed that</w:t>
      </w:r>
      <w:r>
        <w:t>:</w:t>
      </w:r>
      <w:r>
        <w:rPr>
          <w:rStyle w:val="FootnoteReference"/>
        </w:rPr>
        <w:footnoteReference w:id="11"/>
      </w:r>
    </w:p>
    <w:p w14:paraId="5FF88FBB" w14:textId="77777777" w:rsidR="00CC3613" w:rsidRDefault="00CC3613" w:rsidP="00826D4B">
      <w:pPr>
        <w:pStyle w:val="ListParagraph"/>
        <w:numPr>
          <w:ilvl w:val="0"/>
          <w:numId w:val="12"/>
        </w:numPr>
        <w:spacing w:before="0" w:beforeAutospacing="0" w:after="200" w:afterAutospacing="0" w:line="276" w:lineRule="auto"/>
      </w:pPr>
      <w:r>
        <w:t>55.7 per cent of all network-related complaints were about service quality (faults and speed);</w:t>
      </w:r>
    </w:p>
    <w:p w14:paraId="5DAEE4D4" w14:textId="77777777" w:rsidR="00CC3613" w:rsidRDefault="00CC3613" w:rsidP="00826D4B">
      <w:pPr>
        <w:pStyle w:val="ListParagraph"/>
        <w:numPr>
          <w:ilvl w:val="0"/>
          <w:numId w:val="12"/>
        </w:numPr>
        <w:spacing w:before="0" w:beforeAutospacing="0" w:after="200" w:afterAutospacing="0" w:line="276" w:lineRule="auto"/>
      </w:pPr>
      <w:r>
        <w:t xml:space="preserve">A further 44.3 per cent of network related complaints were about connection issues; </w:t>
      </w:r>
    </w:p>
    <w:p w14:paraId="198D8870" w14:textId="77777777" w:rsidR="00CC3613" w:rsidRDefault="00CC3613" w:rsidP="00826D4B">
      <w:pPr>
        <w:pStyle w:val="ListParagraph"/>
        <w:numPr>
          <w:ilvl w:val="0"/>
          <w:numId w:val="12"/>
        </w:numPr>
        <w:spacing w:before="0" w:beforeAutospacing="0" w:after="200" w:afterAutospacing="0" w:line="276" w:lineRule="auto"/>
      </w:pPr>
      <w:r>
        <w:t>On average, complaints about faults took up to 19 calendar days to resolve, whereas complaints about connection issues took up to 28 calendar days to resolve; and</w:t>
      </w:r>
    </w:p>
    <w:p w14:paraId="65B7E7FC" w14:textId="77777777" w:rsidR="00CC3613" w:rsidRDefault="00CC3613" w:rsidP="00826D4B">
      <w:pPr>
        <w:pStyle w:val="ListParagraph"/>
        <w:numPr>
          <w:ilvl w:val="0"/>
          <w:numId w:val="12"/>
        </w:numPr>
        <w:spacing w:before="0" w:beforeAutospacing="0" w:after="200" w:afterAutospacing="0" w:line="276" w:lineRule="auto"/>
      </w:pPr>
      <w:r>
        <w:t>On average, it took up to 45 calendar days for customers to have their old voice and data services moved across the network.</w:t>
      </w:r>
    </w:p>
    <w:p w14:paraId="5B4B8A55" w14:textId="791152AE" w:rsidR="000B589E" w:rsidRDefault="00507B8F" w:rsidP="00CC3613">
      <w:pPr>
        <w:spacing w:before="0" w:beforeAutospacing="0" w:after="200" w:afterAutospacing="0" w:line="276" w:lineRule="auto"/>
      </w:pPr>
      <w:r>
        <w:t>The ACMA</w:t>
      </w:r>
      <w:r w:rsidR="000B589E">
        <w:t xml:space="preserve"> consulted on the detail of the instruments and the new rules came into force in September 2018</w:t>
      </w:r>
      <w:r w:rsidR="002D461C">
        <w:t xml:space="preserve"> – less than one year from the initial announcement</w:t>
      </w:r>
      <w:r w:rsidR="000B589E">
        <w:t>. The new rules address the handling of complaints, information provided to customers and migrating to the NBN. Thus, the underlying network issues related to the first three of the points above were not addressed in the A</w:t>
      </w:r>
      <w:r w:rsidR="00D40F4C">
        <w:t>CMA</w:t>
      </w:r>
      <w:r w:rsidR="000B589E">
        <w:t xml:space="preserve"> new rules and standards</w:t>
      </w:r>
      <w:r w:rsidR="002D461C">
        <w:t>. This is the gap being addressed with this review.</w:t>
      </w:r>
      <w:r w:rsidR="000B0516">
        <w:t xml:space="preserve"> </w:t>
      </w:r>
    </w:p>
    <w:p w14:paraId="74BB8574" w14:textId="0FCED7C4" w:rsidR="00751D78" w:rsidRDefault="000B589E" w:rsidP="00CC3613">
      <w:pPr>
        <w:spacing w:before="0" w:beforeAutospacing="0" w:after="200" w:afterAutospacing="0" w:line="276" w:lineRule="auto"/>
      </w:pPr>
      <w:r>
        <w:t>There is a pressing need for reform as service outages and delays in connections and repairs continu</w:t>
      </w:r>
      <w:r w:rsidR="00751D78">
        <w:t>e to drive consumer complaints.</w:t>
      </w:r>
      <w:r w:rsidR="00056313">
        <w:t xml:space="preserve"> </w:t>
      </w:r>
      <w:r w:rsidR="00751D78">
        <w:t xml:space="preserve">The case below highlights the lack of consumer protections </w:t>
      </w:r>
      <w:r w:rsidR="007A3A3B">
        <w:t xml:space="preserve">that can leave consumers without services, </w:t>
      </w:r>
      <w:r w:rsidR="00751D78">
        <w:t xml:space="preserve">and the pressing need for widespread reforms, including </w:t>
      </w:r>
      <w:r w:rsidR="007A3A3B">
        <w:t xml:space="preserve">the passage of legislative reforms to create a new </w:t>
      </w:r>
      <w:r w:rsidR="00751D78">
        <w:t xml:space="preserve">universal service </w:t>
      </w:r>
      <w:r w:rsidR="007A3A3B">
        <w:t>broadband guarantee</w:t>
      </w:r>
      <w:r w:rsidR="00751D78">
        <w:t>.</w:t>
      </w:r>
    </w:p>
    <w:tbl>
      <w:tblPr>
        <w:tblStyle w:val="TableGrid"/>
        <w:tblW w:w="0" w:type="auto"/>
        <w:tblLook w:val="04A0" w:firstRow="1" w:lastRow="0" w:firstColumn="1" w:lastColumn="0" w:noHBand="0" w:noVBand="1"/>
      </w:tblPr>
      <w:tblGrid>
        <w:gridCol w:w="9242"/>
      </w:tblGrid>
      <w:tr w:rsidR="00751D78" w14:paraId="6A8E1253" w14:textId="77777777" w:rsidTr="00AC4D64">
        <w:tc>
          <w:tcPr>
            <w:tcW w:w="9242" w:type="dxa"/>
          </w:tcPr>
          <w:p w14:paraId="25CBADE7" w14:textId="7339FB4C" w:rsidR="00751D78" w:rsidRPr="005515AA" w:rsidRDefault="007A0555" w:rsidP="00AC4D64">
            <w:pPr>
              <w:spacing w:before="0" w:beforeAutospacing="0" w:after="200" w:afterAutospacing="0" w:line="276" w:lineRule="auto"/>
              <w:rPr>
                <w:b/>
              </w:rPr>
            </w:pPr>
            <w:r>
              <w:rPr>
                <w:b/>
              </w:rPr>
              <w:t xml:space="preserve">Box 7: </w:t>
            </w:r>
            <w:r w:rsidR="00751D78" w:rsidRPr="005515AA">
              <w:rPr>
                <w:b/>
              </w:rPr>
              <w:t>Case study</w:t>
            </w:r>
            <w:r>
              <w:rPr>
                <w:b/>
              </w:rPr>
              <w:t xml:space="preserve"> -</w:t>
            </w:r>
            <w:r w:rsidR="00751D78" w:rsidRPr="005515AA">
              <w:rPr>
                <w:b/>
              </w:rPr>
              <w:t xml:space="preserve"> new development delayed connection, no reliable alternative service available</w:t>
            </w:r>
          </w:p>
          <w:p w14:paraId="11DB4F7D" w14:textId="228EA131" w:rsidR="00751D78" w:rsidRDefault="00751D78" w:rsidP="00AC4D64">
            <w:pPr>
              <w:spacing w:before="0" w:beforeAutospacing="0" w:after="200" w:afterAutospacing="0" w:line="276" w:lineRule="auto"/>
            </w:pPr>
            <w:r>
              <w:t>In early March 2017 a group of residents in a new development in Victoria</w:t>
            </w:r>
            <w:r w:rsidR="00526329">
              <w:t xml:space="preserve"> (Belmond on Clyde)</w:t>
            </w:r>
            <w:r>
              <w:t xml:space="preserve"> contacted ACCAN about delayed connection to the </w:t>
            </w:r>
            <w:r w:rsidR="007A3A3B">
              <w:t>NBN</w:t>
            </w:r>
            <w:r>
              <w:t xml:space="preserve">. The residents were told that when they moved in during November 2016 that the </w:t>
            </w:r>
            <w:r w:rsidR="007A3A3B">
              <w:t>NBN</w:t>
            </w:r>
            <w:r>
              <w:t xml:space="preserve"> would be available from December 2016. The December 2016 timeframe was then delayed and ACCAN raised the issue with nbn</w:t>
            </w:r>
            <w:r w:rsidR="007A3A3B">
              <w:t xml:space="preserve"> Co</w:t>
            </w:r>
            <w:r>
              <w:t>.</w:t>
            </w:r>
          </w:p>
          <w:p w14:paraId="25851659" w14:textId="4092A668" w:rsidR="00751D78" w:rsidRDefault="00751D78" w:rsidP="00AC4D64">
            <w:pPr>
              <w:spacing w:before="0" w:beforeAutospacing="0" w:after="200" w:afterAutospacing="0" w:line="276" w:lineRule="auto"/>
            </w:pPr>
            <w:r>
              <w:t xml:space="preserve">There was no mobile coverage in </w:t>
            </w:r>
            <w:r w:rsidR="00507B8F">
              <w:t xml:space="preserve">the </w:t>
            </w:r>
            <w:r>
              <w:t xml:space="preserve">area. The lack of connection was very concerning for </w:t>
            </w:r>
            <w:r w:rsidR="007A3A3B">
              <w:t>residents</w:t>
            </w:r>
            <w:r>
              <w:t xml:space="preserve"> as some of them </w:t>
            </w:r>
            <w:r w:rsidR="00F4437D">
              <w:t xml:space="preserve">were </w:t>
            </w:r>
            <w:r>
              <w:t>run</w:t>
            </w:r>
            <w:r w:rsidR="00F4437D">
              <w:t>ning</w:t>
            </w:r>
            <w:r>
              <w:t xml:space="preserve"> small businesses and there </w:t>
            </w:r>
            <w:r w:rsidR="00F4437D">
              <w:t>we</w:t>
            </w:r>
            <w:r>
              <w:t>re elderly residents wh</w:t>
            </w:r>
            <w:r w:rsidR="00F4437D">
              <w:t>o were candidates</w:t>
            </w:r>
            <w:r>
              <w:t xml:space="preserve"> for priority assistance. The nbn address check </w:t>
            </w:r>
            <w:r w:rsidR="00507B8F">
              <w:t xml:space="preserve">online in March 2017 showed that the area </w:t>
            </w:r>
            <w:r w:rsidR="00507B8F">
              <w:lastRenderedPageBreak/>
              <w:t xml:space="preserve">was due for connection in </w:t>
            </w:r>
            <w:r>
              <w:t>July –December 2018.</w:t>
            </w:r>
          </w:p>
          <w:p w14:paraId="7DB7270D" w14:textId="1829C6E3" w:rsidR="00751D78" w:rsidRDefault="00751D78" w:rsidP="00AC4D64">
            <w:pPr>
              <w:spacing w:before="0" w:beforeAutospacing="0" w:after="200" w:afterAutospacing="0" w:line="276" w:lineRule="auto"/>
            </w:pPr>
            <w:r>
              <w:t xml:space="preserve">The only protection available for the consumers was the USO, which meant the consumers needed to order </w:t>
            </w:r>
            <w:r w:rsidR="00507B8F">
              <w:t xml:space="preserve">fixed line </w:t>
            </w:r>
            <w:r>
              <w:t>voice services with Telstra to trigger the obligation to connect them. There is</w:t>
            </w:r>
            <w:r w:rsidR="00F4437D">
              <w:t xml:space="preserve"> still</w:t>
            </w:r>
            <w:r>
              <w:t xml:space="preserve"> no corresponding obligation to provide the internet.</w:t>
            </w:r>
          </w:p>
          <w:p w14:paraId="76620BF0" w14:textId="0D384642" w:rsidR="00751D78" w:rsidRDefault="00751D78" w:rsidP="00AC4D64">
            <w:pPr>
              <w:spacing w:before="0" w:beforeAutospacing="0" w:after="200" w:afterAutospacing="0" w:line="276" w:lineRule="auto"/>
            </w:pPr>
            <w:r>
              <w:t xml:space="preserve">Following a community meeting hosted by a local MP in mid-March, Telstra offered a satellite phone for the same price as a fixed line connection. However, we understand that at least two residents returned the satellite phones as calls didn’t come through and sound quality was bad, so </w:t>
            </w:r>
            <w:r w:rsidR="00507B8F">
              <w:t xml:space="preserve">they </w:t>
            </w:r>
            <w:r>
              <w:t>didn’t want to pay $25 a month for an unusable service.</w:t>
            </w:r>
            <w:r w:rsidR="00620BB1" w:rsidDel="00620BB1">
              <w:rPr>
                <w:rStyle w:val="FootnoteReference"/>
              </w:rPr>
              <w:t xml:space="preserve"> </w:t>
            </w:r>
            <w:r>
              <w:rPr>
                <w:rStyle w:val="FootnoteReference"/>
              </w:rPr>
              <w:footnoteReference w:id="12"/>
            </w:r>
          </w:p>
          <w:p w14:paraId="2A70FDE2" w14:textId="77777777" w:rsidR="00751D78" w:rsidRDefault="00751D78" w:rsidP="00AC4D64">
            <w:pPr>
              <w:spacing w:before="0" w:beforeAutospacing="0" w:after="200" w:afterAutospacing="0" w:line="276" w:lineRule="auto"/>
            </w:pPr>
            <w:r>
              <w:t xml:space="preserve">The nbn was scheduled to be available in May to the residents. However, nbn managed to find a solution to connect customers using a nearby estate’s connection until the permanent one was complete. </w:t>
            </w:r>
          </w:p>
          <w:p w14:paraId="4BC89F24" w14:textId="42EC1377" w:rsidR="00751D78" w:rsidRDefault="00751D78" w:rsidP="00620BB1">
            <w:pPr>
              <w:spacing w:before="0" w:beforeAutospacing="0" w:after="200" w:afterAutospacing="0" w:line="276" w:lineRule="auto"/>
            </w:pPr>
            <w:r>
              <w:t>The residents had n</w:t>
            </w:r>
            <w:r w:rsidR="00DD578E">
              <w:t>either</w:t>
            </w:r>
            <w:r>
              <w:t xml:space="preserve"> fixed connections nor </w:t>
            </w:r>
            <w:r w:rsidR="00620BB1">
              <w:t>reliable</w:t>
            </w:r>
            <w:r>
              <w:t xml:space="preserve"> telecommunications services for nearly 5 months.</w:t>
            </w:r>
          </w:p>
        </w:tc>
      </w:tr>
    </w:tbl>
    <w:p w14:paraId="6761E9B8" w14:textId="77777777" w:rsidR="00751D78" w:rsidRDefault="00751D78" w:rsidP="00751D78">
      <w:pPr>
        <w:spacing w:before="0" w:beforeAutospacing="0" w:after="200" w:afterAutospacing="0" w:line="276" w:lineRule="auto"/>
      </w:pPr>
    </w:p>
    <w:p w14:paraId="5C26997B" w14:textId="22177B71" w:rsidR="00DD578E" w:rsidRDefault="000B589E" w:rsidP="00DD578E">
      <w:pPr>
        <w:spacing w:before="0" w:beforeAutospacing="0" w:after="200" w:afterAutospacing="0" w:line="276" w:lineRule="auto"/>
      </w:pPr>
      <w:r>
        <w:t xml:space="preserve">Telecommunications are essential services and consumers view </w:t>
      </w:r>
      <w:r w:rsidR="00D40F4C">
        <w:t xml:space="preserve">them in </w:t>
      </w:r>
      <w:r>
        <w:t xml:space="preserve">the same way they view other utilities. There has been inadequate regulation in telecommunications for far too long and it is entirely </w:t>
      </w:r>
      <w:r w:rsidR="00CC3613">
        <w:t xml:space="preserve">feasible for the ACMA to develop and implement rules to address service quality </w:t>
      </w:r>
      <w:r w:rsidR="00056313">
        <w:t xml:space="preserve">to be in place </w:t>
      </w:r>
      <w:r w:rsidR="00CC3613">
        <w:t>by the end of 2019.</w:t>
      </w:r>
    </w:p>
    <w:tbl>
      <w:tblPr>
        <w:tblStyle w:val="TableGrid"/>
        <w:tblW w:w="0" w:type="auto"/>
        <w:tblLook w:val="04A0" w:firstRow="1" w:lastRow="0" w:firstColumn="1" w:lastColumn="0" w:noHBand="0" w:noVBand="1"/>
      </w:tblPr>
      <w:tblGrid>
        <w:gridCol w:w="9242"/>
      </w:tblGrid>
      <w:tr w:rsidR="00DD578E" w14:paraId="1B7F6333" w14:textId="77777777" w:rsidTr="001876A4">
        <w:tc>
          <w:tcPr>
            <w:tcW w:w="9242" w:type="dxa"/>
          </w:tcPr>
          <w:p w14:paraId="4FDAE491" w14:textId="058C0B40" w:rsidR="00DD578E" w:rsidRDefault="00DD578E" w:rsidP="00DD578E">
            <w:pPr>
              <w:spacing w:before="0" w:beforeAutospacing="0" w:after="200" w:afterAutospacing="0" w:line="276" w:lineRule="auto"/>
            </w:pPr>
            <w:r w:rsidRPr="00F8595E">
              <w:rPr>
                <w:b/>
              </w:rPr>
              <w:t>Recommendation 1</w:t>
            </w:r>
            <w:r>
              <w:rPr>
                <w:b/>
              </w:rPr>
              <w:t>3</w:t>
            </w:r>
            <w:r>
              <w:t>: ACMA develop rules and standards to implement consumer safeguards for reliability with effect by 31 December 2019.</w:t>
            </w:r>
          </w:p>
        </w:tc>
      </w:tr>
    </w:tbl>
    <w:p w14:paraId="048D62E2" w14:textId="77777777" w:rsidR="004A38E9" w:rsidRPr="003441E5" w:rsidRDefault="004A38E9" w:rsidP="004A38E9">
      <w:pPr>
        <w:pStyle w:val="Heading2"/>
      </w:pPr>
      <w:bookmarkStart w:id="37" w:name="_Toc535530152"/>
      <w:bookmarkStart w:id="38" w:name="_Toc535596225"/>
      <w:r>
        <w:t>Other issues</w:t>
      </w:r>
      <w:bookmarkEnd w:id="37"/>
      <w:bookmarkEnd w:id="38"/>
    </w:p>
    <w:p w14:paraId="3F173BFD" w14:textId="77777777" w:rsidR="003D51DF" w:rsidRDefault="00487DD4" w:rsidP="003D51DF">
      <w:pPr>
        <w:spacing w:before="0" w:beforeAutospacing="0" w:after="200" w:afterAutospacing="0" w:line="276" w:lineRule="auto"/>
      </w:pPr>
      <w:r>
        <w:t>The Department has also asked:</w:t>
      </w:r>
    </w:p>
    <w:p w14:paraId="7965221D" w14:textId="77777777" w:rsidR="0036009E" w:rsidRDefault="003D51DF" w:rsidP="003D51DF">
      <w:pPr>
        <w:spacing w:before="0" w:beforeAutospacing="0" w:after="200" w:afterAutospacing="0" w:line="276" w:lineRule="auto"/>
        <w:rPr>
          <w:i/>
        </w:rPr>
      </w:pPr>
      <w:r w:rsidRPr="003D51DF">
        <w:rPr>
          <w:i/>
        </w:rPr>
        <w:t>“</w:t>
      </w:r>
      <w:r w:rsidR="0036009E" w:rsidRPr="003D51DF">
        <w:rPr>
          <w:i/>
        </w:rPr>
        <w:t>Are there any other issues that should be brought to the Government’s attention?</w:t>
      </w:r>
      <w:r w:rsidRPr="003D51DF">
        <w:rPr>
          <w:i/>
        </w:rPr>
        <w:t>”</w:t>
      </w:r>
    </w:p>
    <w:p w14:paraId="37DA9E22" w14:textId="60668CC8" w:rsidR="00C67432" w:rsidRDefault="00F81755" w:rsidP="00487DD4">
      <w:pPr>
        <w:spacing w:before="0" w:beforeAutospacing="0" w:after="200" w:afterAutospacing="0" w:line="276" w:lineRule="auto"/>
      </w:pPr>
      <w:r>
        <w:t xml:space="preserve">The current </w:t>
      </w:r>
      <w:r w:rsidR="00526329">
        <w:t>C</w:t>
      </w:r>
      <w:r>
        <w:t xml:space="preserve">ustomer </w:t>
      </w:r>
      <w:r w:rsidR="00526329">
        <w:t>S</w:t>
      </w:r>
      <w:r>
        <w:t xml:space="preserve">ervice </w:t>
      </w:r>
      <w:r w:rsidR="00526329">
        <w:t>G</w:t>
      </w:r>
      <w:r>
        <w:t>uarantee enables service providers to identify mass service disruptions for exemptions from the mandatory timeframes. ACCAN recognises that there will be times when extreme-weather or natural disasters will require additional time to connect and repair services</w:t>
      </w:r>
      <w:r w:rsidR="00C10BF7">
        <w:t>. Thus,</w:t>
      </w:r>
      <w:r>
        <w:t xml:space="preserve"> it is reasonable for providers to be exempt from the mandatory timeframes in such circum</w:t>
      </w:r>
      <w:r w:rsidR="00C10BF7">
        <w:t xml:space="preserve">stances. </w:t>
      </w:r>
    </w:p>
    <w:p w14:paraId="58F151E5" w14:textId="77777777" w:rsidR="00C10BF7" w:rsidRDefault="00C10BF7" w:rsidP="00487DD4">
      <w:pPr>
        <w:spacing w:before="0" w:beforeAutospacing="0" w:after="200" w:afterAutospacing="0" w:line="276" w:lineRule="auto"/>
      </w:pPr>
      <w:r>
        <w:t xml:space="preserve">However, ACCAN believes that it is necessary for there to be oversight in determining what circumstances there are exemptions to prevent abuse. The exemptions should be on an application </w:t>
      </w:r>
      <w:r>
        <w:lastRenderedPageBreak/>
        <w:t xml:space="preserve">basis and should only apply to the areas affected by the event. It is unacceptable for consumers in an unaffected area to be affected by extreme weather in another area. </w:t>
      </w:r>
    </w:p>
    <w:p w14:paraId="3CDFAC56" w14:textId="2AAEFF32" w:rsidR="00C10BF7" w:rsidRDefault="00C10BF7" w:rsidP="00487DD4">
      <w:pPr>
        <w:spacing w:before="0" w:beforeAutospacing="0" w:after="200" w:afterAutospacing="0" w:line="276" w:lineRule="auto"/>
      </w:pPr>
      <w:r>
        <w:t xml:space="preserve">Exemptions should enable providers to exclude extreme weather events from the calculation of performance benchmarks but not consumer compensation. That is, customers </w:t>
      </w:r>
      <w:r w:rsidR="00507B8F">
        <w:t>should</w:t>
      </w:r>
      <w:r>
        <w:t xml:space="preserve"> receive compensation based on the mandatory timeframes but a provider’s performance and penalties are excluded.</w:t>
      </w:r>
    </w:p>
    <w:tbl>
      <w:tblPr>
        <w:tblStyle w:val="TableGrid"/>
        <w:tblW w:w="0" w:type="auto"/>
        <w:tblLook w:val="04A0" w:firstRow="1" w:lastRow="0" w:firstColumn="1" w:lastColumn="0" w:noHBand="0" w:noVBand="1"/>
      </w:tblPr>
      <w:tblGrid>
        <w:gridCol w:w="9242"/>
      </w:tblGrid>
      <w:tr w:rsidR="00DD578E" w14:paraId="1A8C7ABE" w14:textId="77777777" w:rsidTr="00DD578E">
        <w:tc>
          <w:tcPr>
            <w:tcW w:w="9242" w:type="dxa"/>
          </w:tcPr>
          <w:p w14:paraId="68C64D33" w14:textId="660E700B" w:rsidR="00DD578E" w:rsidRDefault="00DD578E" w:rsidP="00487DD4">
            <w:pPr>
              <w:spacing w:before="0" w:beforeAutospacing="0" w:after="200" w:afterAutospacing="0" w:line="276" w:lineRule="auto"/>
            </w:pPr>
            <w:r w:rsidRPr="00DD578E">
              <w:rPr>
                <w:b/>
              </w:rPr>
              <w:t xml:space="preserve">Recommendation 14: </w:t>
            </w:r>
            <w:r>
              <w:t>Consumer safeguards include mass service disruption exemptions from affecting performance benchmarks and penalties on application only for affected areas. Exemptions should not apply to consumer compensation.</w:t>
            </w:r>
          </w:p>
        </w:tc>
      </w:tr>
    </w:tbl>
    <w:p w14:paraId="689842D5" w14:textId="77777777" w:rsidR="00DD578E" w:rsidRDefault="00DD578E" w:rsidP="00487DD4">
      <w:pPr>
        <w:spacing w:before="0" w:beforeAutospacing="0" w:after="200" w:afterAutospacing="0" w:line="276" w:lineRule="auto"/>
      </w:pPr>
    </w:p>
    <w:p w14:paraId="5E76659C" w14:textId="293294C2" w:rsidR="00EC700D" w:rsidRDefault="00EC700D" w:rsidP="00487DD4">
      <w:pPr>
        <w:spacing w:before="0" w:beforeAutospacing="0" w:after="200" w:afterAutospacing="0" w:line="276" w:lineRule="auto"/>
      </w:pPr>
    </w:p>
    <w:sectPr w:rsidR="00EC700D" w:rsidSect="00EB408A">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0C5B" w14:textId="77777777" w:rsidR="000117A5" w:rsidRDefault="000117A5" w:rsidP="00B14DFB">
      <w:r>
        <w:separator/>
      </w:r>
    </w:p>
  </w:endnote>
  <w:endnote w:type="continuationSeparator" w:id="0">
    <w:p w14:paraId="7F5E1985" w14:textId="77777777" w:rsidR="000117A5" w:rsidRDefault="000117A5" w:rsidP="00B14DFB">
      <w:r>
        <w:continuationSeparator/>
      </w:r>
    </w:p>
  </w:endnote>
  <w:endnote w:type="continuationNotice" w:id="1">
    <w:p w14:paraId="78C2027F" w14:textId="77777777" w:rsidR="000117A5" w:rsidRDefault="000117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1322" w14:textId="77777777" w:rsidR="00A01A4E" w:rsidRDefault="00A01A4E"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3F6027">
      <w:rPr>
        <w:noProof/>
      </w:rPr>
      <w:t>2</w:t>
    </w:r>
    <w:r w:rsidRPr="00C4251E">
      <w:rPr>
        <w:noProof/>
      </w:rPr>
      <w:fldChar w:fldCharType="end"/>
    </w:r>
  </w:p>
  <w:p w14:paraId="5E9DF8A9" w14:textId="77777777" w:rsidR="00A01A4E" w:rsidRPr="000F58CC" w:rsidRDefault="00A01A4E"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6020" w14:textId="77777777" w:rsidR="00A01A4E" w:rsidRDefault="00A01A4E" w:rsidP="00982C02">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3F6027">
      <w:rPr>
        <w:noProof/>
      </w:rPr>
      <w:t>28</w:t>
    </w:r>
    <w:r w:rsidRPr="00C4251E">
      <w:rPr>
        <w:noProof/>
      </w:rPr>
      <w:fldChar w:fldCharType="end"/>
    </w:r>
  </w:p>
  <w:p w14:paraId="133C8904" w14:textId="77777777" w:rsidR="00A01A4E" w:rsidRPr="00982C02" w:rsidRDefault="00A01A4E" w:rsidP="0098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732F" w14:textId="77777777" w:rsidR="000117A5" w:rsidRDefault="000117A5" w:rsidP="00B14DFB">
      <w:r>
        <w:separator/>
      </w:r>
    </w:p>
  </w:footnote>
  <w:footnote w:type="continuationSeparator" w:id="0">
    <w:p w14:paraId="56E91768" w14:textId="77777777" w:rsidR="000117A5" w:rsidRDefault="000117A5" w:rsidP="00B14DFB">
      <w:r>
        <w:continuationSeparator/>
      </w:r>
    </w:p>
  </w:footnote>
  <w:footnote w:type="continuationNotice" w:id="1">
    <w:p w14:paraId="2924C51B" w14:textId="77777777" w:rsidR="000117A5" w:rsidRDefault="000117A5">
      <w:pPr>
        <w:spacing w:before="0" w:after="0"/>
      </w:pPr>
    </w:p>
  </w:footnote>
  <w:footnote w:id="2">
    <w:p w14:paraId="61B25AB4" w14:textId="77777777" w:rsidR="00A01A4E" w:rsidRDefault="00A01A4E" w:rsidP="00440766">
      <w:pPr>
        <w:pStyle w:val="FootnoteText"/>
      </w:pPr>
      <w:r>
        <w:rPr>
          <w:rStyle w:val="FootnoteReference"/>
        </w:rPr>
        <w:footnoteRef/>
      </w:r>
      <w:r>
        <w:t xml:space="preserve"> See: </w:t>
      </w:r>
      <w:hyperlink r:id="rId1" w:history="1">
        <w:r w:rsidRPr="00127BC9">
          <w:rPr>
            <w:rStyle w:val="Hyperlink"/>
          </w:rPr>
          <w:t>https://accan.org.au/our-work/policy/1166-future-guarantee</w:t>
        </w:r>
      </w:hyperlink>
      <w:r>
        <w:t xml:space="preserve"> </w:t>
      </w:r>
    </w:p>
  </w:footnote>
  <w:footnote w:id="3">
    <w:p w14:paraId="6DB2680E" w14:textId="77777777" w:rsidR="00A01A4E" w:rsidRDefault="00A01A4E" w:rsidP="006C3C12">
      <w:pPr>
        <w:pStyle w:val="FootnoteText"/>
      </w:pPr>
      <w:r>
        <w:rPr>
          <w:rStyle w:val="FootnoteReference"/>
        </w:rPr>
        <w:footnoteRef/>
      </w:r>
      <w:r>
        <w:t xml:space="preserve"> ABS designation for significant town and city areas of 10,000 people or more.</w:t>
      </w:r>
    </w:p>
  </w:footnote>
  <w:footnote w:id="4">
    <w:p w14:paraId="57E37E76" w14:textId="20570401" w:rsidR="00A01A4E" w:rsidRDefault="00A01A4E">
      <w:pPr>
        <w:pStyle w:val="FootnoteText"/>
      </w:pPr>
      <w:r>
        <w:rPr>
          <w:rStyle w:val="FootnoteReference"/>
        </w:rPr>
        <w:footnoteRef/>
      </w:r>
      <w:r>
        <w:t xml:space="preserve"> Note that iPrimus currently has Priority Assistance customers (and reports to the ACMA), however it is no longer accepting new Priority Assistance customers. See </w:t>
      </w:r>
      <w:r w:rsidRPr="006A29F2">
        <w:t>https://www.iprimus.com.au/support/priority-assistance/</w:t>
      </w:r>
      <w:r>
        <w:t xml:space="preserve">. </w:t>
      </w:r>
    </w:p>
  </w:footnote>
  <w:footnote w:id="5">
    <w:p w14:paraId="07B8885B" w14:textId="77777777" w:rsidR="00A01A4E" w:rsidRPr="00503FDB" w:rsidRDefault="00A01A4E" w:rsidP="00C64C62">
      <w:pPr>
        <w:pStyle w:val="FootnoteText"/>
        <w:rPr>
          <w:lang w:val="en-US"/>
        </w:rPr>
      </w:pPr>
      <w:r>
        <w:rPr>
          <w:rStyle w:val="FootnoteReference"/>
        </w:rPr>
        <w:footnoteRef/>
      </w:r>
      <w:r>
        <w:t xml:space="preserve"> </w:t>
      </w:r>
      <w:r>
        <w:rPr>
          <w:lang w:val="en-US"/>
        </w:rPr>
        <w:t xml:space="preserve">Available: </w:t>
      </w:r>
      <w:hyperlink r:id="rId2" w:history="1">
        <w:r w:rsidRPr="00DB7CFA">
          <w:rPr>
            <w:rStyle w:val="Hyperlink"/>
            <w:lang w:val="en-US"/>
          </w:rPr>
          <w:t>https://www.telstra.com.au/content/dam/tcom/personal/consumer-advice/pdf/priority-assist-policy.pdf</w:t>
        </w:r>
      </w:hyperlink>
      <w:r>
        <w:rPr>
          <w:lang w:val="en-US"/>
        </w:rPr>
        <w:t xml:space="preserve"> </w:t>
      </w:r>
    </w:p>
  </w:footnote>
  <w:footnote w:id="6">
    <w:p w14:paraId="41E39ED1" w14:textId="3C190A12" w:rsidR="00A01A4E" w:rsidRDefault="00A01A4E" w:rsidP="00173020">
      <w:pPr>
        <w:pStyle w:val="Bibliography"/>
      </w:pPr>
      <w:r>
        <w:rPr>
          <w:rStyle w:val="FootnoteReference"/>
        </w:rPr>
        <w:footnoteRef/>
      </w:r>
      <w:r>
        <w:t xml:space="preserve"> ACMA, </w:t>
      </w:r>
      <w:r w:rsidRPr="005E0E98">
        <w:rPr>
          <w:rFonts w:ascii="Times New Roman" w:hAnsi="Times New Roman" w:cs="Times New Roman"/>
          <w:i/>
          <w:iCs/>
        </w:rPr>
        <w:t>Communications Report 2016-17</w:t>
      </w:r>
      <w:r w:rsidRPr="005E0E98">
        <w:rPr>
          <w:rFonts w:ascii="Times New Roman" w:hAnsi="Times New Roman" w:cs="Times New Roman"/>
        </w:rPr>
        <w:t xml:space="preserve">, </w:t>
      </w:r>
      <w:r>
        <w:rPr>
          <w:rFonts w:ascii="Times New Roman" w:hAnsi="Times New Roman" w:cs="Times New Roman"/>
        </w:rPr>
        <w:t>2017</w:t>
      </w:r>
      <w:r w:rsidRPr="005E0E98">
        <w:rPr>
          <w:rFonts w:ascii="Times New Roman" w:hAnsi="Times New Roman" w:cs="Times New Roman"/>
        </w:rPr>
        <w:t>.</w:t>
      </w:r>
    </w:p>
  </w:footnote>
  <w:footnote w:id="7">
    <w:p w14:paraId="1F30EE94" w14:textId="4C1495E1" w:rsidR="00A01A4E" w:rsidRPr="0074631E" w:rsidRDefault="00A01A4E">
      <w:pPr>
        <w:pStyle w:val="FootnoteText"/>
      </w:pPr>
      <w:r>
        <w:rPr>
          <w:rStyle w:val="FootnoteReference"/>
        </w:rPr>
        <w:footnoteRef/>
      </w:r>
      <w:r>
        <w:t xml:space="preserve"> ACCAN, </w:t>
      </w:r>
      <w:r>
        <w:rPr>
          <w:i/>
        </w:rPr>
        <w:t>Submission to the Consumer Safeguards Review - Part A: Redress and Complaints Handling</w:t>
      </w:r>
      <w:r>
        <w:t>, 2018.</w:t>
      </w:r>
    </w:p>
  </w:footnote>
  <w:footnote w:id="8">
    <w:p w14:paraId="36BC06D0" w14:textId="2F8F7F50" w:rsidR="00A01A4E" w:rsidRPr="000E79C0" w:rsidRDefault="00A01A4E" w:rsidP="0074631E">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ACCAN</w:t>
      </w:r>
      <w:r w:rsidRPr="000E79C0">
        <w:rPr>
          <w:rFonts w:ascii="Times New Roman" w:hAnsi="Times New Roman" w:cs="Times New Roman"/>
          <w:sz w:val="20"/>
          <w:szCs w:val="20"/>
        </w:rPr>
        <w:t xml:space="preserve">, </w:t>
      </w:r>
      <w:r w:rsidRPr="000E79C0">
        <w:rPr>
          <w:rFonts w:ascii="Times New Roman" w:hAnsi="Times New Roman" w:cs="Times New Roman"/>
          <w:i/>
          <w:iCs/>
          <w:sz w:val="20"/>
          <w:szCs w:val="20"/>
        </w:rPr>
        <w:t>Submission to the Telecommunications Service Provider (NBN Line Testing) Determination</w:t>
      </w:r>
      <w:r>
        <w:rPr>
          <w:rFonts w:ascii="Times New Roman" w:hAnsi="Times New Roman" w:cs="Times New Roman"/>
          <w:sz w:val="20"/>
          <w:szCs w:val="20"/>
        </w:rPr>
        <w:t>, 2018</w:t>
      </w:r>
      <w:r w:rsidRPr="000E79C0">
        <w:rPr>
          <w:rFonts w:ascii="Times New Roman" w:hAnsi="Times New Roman" w:cs="Times New Roman"/>
          <w:sz w:val="20"/>
          <w:szCs w:val="20"/>
        </w:rPr>
        <w:t>.</w:t>
      </w:r>
    </w:p>
  </w:footnote>
  <w:footnote w:id="9">
    <w:p w14:paraId="38C5E5DC" w14:textId="70A67A63" w:rsidR="00A01A4E" w:rsidRPr="000E79C0" w:rsidRDefault="00A01A4E" w:rsidP="0074631E">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Pr>
          <w:rFonts w:ascii="Times New Roman" w:hAnsi="Times New Roman" w:cs="Times New Roman"/>
          <w:sz w:val="20"/>
          <w:szCs w:val="20"/>
        </w:rPr>
        <w:t>. NSW Business Chamber</w:t>
      </w:r>
      <w:r w:rsidRPr="000E79C0">
        <w:rPr>
          <w:rFonts w:ascii="Times New Roman" w:hAnsi="Times New Roman" w:cs="Times New Roman"/>
          <w:sz w:val="20"/>
          <w:szCs w:val="20"/>
        </w:rPr>
        <w:t xml:space="preserve">, </w:t>
      </w:r>
      <w:r w:rsidRPr="000E79C0">
        <w:rPr>
          <w:rFonts w:ascii="Times New Roman" w:hAnsi="Times New Roman" w:cs="Times New Roman"/>
          <w:i/>
          <w:iCs/>
          <w:sz w:val="20"/>
          <w:szCs w:val="20"/>
        </w:rPr>
        <w:t>NBN and telecommunications survey</w:t>
      </w:r>
      <w:r>
        <w:rPr>
          <w:rFonts w:ascii="Times New Roman" w:hAnsi="Times New Roman" w:cs="Times New Roman"/>
          <w:sz w:val="20"/>
          <w:szCs w:val="20"/>
        </w:rPr>
        <w:t>, 2018</w:t>
      </w:r>
      <w:r w:rsidRPr="000E79C0">
        <w:rPr>
          <w:rFonts w:ascii="Times New Roman" w:hAnsi="Times New Roman" w:cs="Times New Roman"/>
          <w:sz w:val="20"/>
          <w:szCs w:val="20"/>
        </w:rPr>
        <w:t>.</w:t>
      </w:r>
    </w:p>
  </w:footnote>
  <w:footnote w:id="10">
    <w:p w14:paraId="07A7E0E4" w14:textId="4AE64CAC" w:rsidR="00A01A4E" w:rsidRDefault="00A01A4E">
      <w:pPr>
        <w:pStyle w:val="FootnoteText"/>
      </w:pPr>
      <w:r>
        <w:rPr>
          <w:rStyle w:val="FootnoteReference"/>
        </w:rPr>
        <w:footnoteRef/>
      </w:r>
      <w:r>
        <w:t xml:space="preserve"> Calculated using the inverse of the percentages and volumes from Table 8.</w:t>
      </w:r>
    </w:p>
  </w:footnote>
  <w:footnote w:id="11">
    <w:p w14:paraId="704ECAE2" w14:textId="77777777" w:rsidR="00A01A4E" w:rsidRDefault="00A01A4E" w:rsidP="00CC3613">
      <w:pPr>
        <w:pStyle w:val="FootnoteText"/>
      </w:pPr>
      <w:r>
        <w:rPr>
          <w:rStyle w:val="FootnoteReference"/>
        </w:rPr>
        <w:footnoteRef/>
      </w:r>
      <w:r>
        <w:t xml:space="preserve"> ACMA, Media Release, “ACMA imposes new rules to better protect consumers migrating to the NBN”, 21 December 2017.</w:t>
      </w:r>
    </w:p>
  </w:footnote>
  <w:footnote w:id="12">
    <w:p w14:paraId="32502371" w14:textId="77777777" w:rsidR="00A01A4E" w:rsidRDefault="00A01A4E" w:rsidP="00751D78">
      <w:pPr>
        <w:pStyle w:val="FootnoteText"/>
      </w:pPr>
      <w:r>
        <w:rPr>
          <w:rStyle w:val="FootnoteReference"/>
        </w:rPr>
        <w:footnoteRef/>
      </w:r>
      <w:r>
        <w:t xml:space="preserve"> Battersby, Lucy, “NBN finally steps in to save stranded Belmond estate after safety nets fail”, </w:t>
      </w:r>
      <w:r w:rsidRPr="00E16BE3">
        <w:rPr>
          <w:i/>
        </w:rPr>
        <w:t>Sydney Morning Herald</w:t>
      </w:r>
      <w:r>
        <w:t>, 28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A549" w14:textId="77777777" w:rsidR="00A01A4E" w:rsidRDefault="00A01A4E" w:rsidP="00E45E4C">
    <w:pPr>
      <w:pStyle w:val="Header"/>
      <w:jc w:val="right"/>
    </w:pPr>
    <w:r>
      <w:rPr>
        <w:noProof/>
        <w:lang w:eastAsia="en-AU"/>
      </w:rPr>
      <w:drawing>
        <wp:inline distT="0" distB="0" distL="0" distR="0" wp14:anchorId="04F6603A" wp14:editId="7AD653FA">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DB4C" w14:textId="77777777" w:rsidR="00A01A4E" w:rsidRDefault="00A01A4E" w:rsidP="00B14DFB">
    <w:pPr>
      <w:pStyle w:val="Header"/>
      <w:jc w:val="center"/>
    </w:pPr>
    <w:r>
      <w:rPr>
        <w:noProof/>
        <w:lang w:eastAsia="en-AU"/>
      </w:rPr>
      <w:drawing>
        <wp:inline distT="0" distB="0" distL="0" distR="0" wp14:anchorId="0B60A5E5" wp14:editId="15C8F046">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62200" w14:textId="211E2334" w:rsidR="00A01A4E" w:rsidRDefault="00A01A4E" w:rsidP="00982C02">
    <w:pPr>
      <w:pStyle w:val="Header"/>
      <w:jc w:val="right"/>
    </w:pPr>
    <w:r>
      <w:rPr>
        <w:noProof/>
        <w:lang w:eastAsia="en-AU"/>
      </w:rPr>
      <w:drawing>
        <wp:inline distT="0" distB="0" distL="0" distR="0" wp14:anchorId="1C3946C1" wp14:editId="5C5C0AD1">
          <wp:extent cx="678787" cy="296066"/>
          <wp:effectExtent l="0" t="0" r="7620" b="8890"/>
          <wp:docPr id="4" name="Picture 4"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36"/>
    <w:multiLevelType w:val="hybridMultilevel"/>
    <w:tmpl w:val="D1AE8F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B733EF"/>
    <w:multiLevelType w:val="hybridMultilevel"/>
    <w:tmpl w:val="1F30FBEC"/>
    <w:lvl w:ilvl="0" w:tplc="074EB49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05D97B0B"/>
    <w:multiLevelType w:val="hybridMultilevel"/>
    <w:tmpl w:val="920A16DA"/>
    <w:lvl w:ilvl="0" w:tplc="8DDE124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09C32C62"/>
    <w:multiLevelType w:val="hybridMultilevel"/>
    <w:tmpl w:val="ED1E48E4"/>
    <w:lvl w:ilvl="0" w:tplc="ECB6897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0E631411"/>
    <w:multiLevelType w:val="hybridMultilevel"/>
    <w:tmpl w:val="F2146DEA"/>
    <w:lvl w:ilvl="0" w:tplc="0FEC35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2A40D0"/>
    <w:multiLevelType w:val="hybridMultilevel"/>
    <w:tmpl w:val="61A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B0999"/>
    <w:multiLevelType w:val="hybridMultilevel"/>
    <w:tmpl w:val="EE84ED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2265BC"/>
    <w:multiLevelType w:val="hybridMultilevel"/>
    <w:tmpl w:val="BF3290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F72385"/>
    <w:multiLevelType w:val="hybridMultilevel"/>
    <w:tmpl w:val="9F04D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ED5B59"/>
    <w:multiLevelType w:val="hybridMultilevel"/>
    <w:tmpl w:val="BF3290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D036A0"/>
    <w:multiLevelType w:val="hybridMultilevel"/>
    <w:tmpl w:val="A518FF4C"/>
    <w:lvl w:ilvl="0" w:tplc="560687FC">
      <w:start w:val="1"/>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2">
    <w:nsid w:val="35F41370"/>
    <w:multiLevelType w:val="multilevel"/>
    <w:tmpl w:val="19F08240"/>
    <w:styleLink w:val="Recommendations"/>
    <w:lvl w:ilvl="0">
      <w:start w:val="1"/>
      <w:numFmt w:val="decimal"/>
      <w:pStyle w:val="Recommendation"/>
      <w:lvlText w:val="Recommendation %1:"/>
      <w:lvlJc w:val="left"/>
      <w:pPr>
        <w:ind w:left="2126"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nsid w:val="455B6FE5"/>
    <w:multiLevelType w:val="hybridMultilevel"/>
    <w:tmpl w:val="920A16DA"/>
    <w:lvl w:ilvl="0" w:tplc="8DDE124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49EA6082"/>
    <w:multiLevelType w:val="hybridMultilevel"/>
    <w:tmpl w:val="4DD2EBFC"/>
    <w:lvl w:ilvl="0" w:tplc="560687F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0516A"/>
    <w:multiLevelType w:val="hybridMultilevel"/>
    <w:tmpl w:val="20B296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A467144"/>
    <w:multiLevelType w:val="multilevel"/>
    <w:tmpl w:val="989E8E90"/>
    <w:numStyleLink w:val="Appendices"/>
  </w:abstractNum>
  <w:abstractNum w:abstractNumId="18">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6CF363F4"/>
    <w:multiLevelType w:val="hybridMultilevel"/>
    <w:tmpl w:val="EE84ED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F6F383A"/>
    <w:multiLevelType w:val="hybridMultilevel"/>
    <w:tmpl w:val="BF3290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2A2388"/>
    <w:multiLevelType w:val="hybridMultilevel"/>
    <w:tmpl w:val="1B40BA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3">
    <w:nsid w:val="78006FF9"/>
    <w:multiLevelType w:val="hybridMultilevel"/>
    <w:tmpl w:val="BF3290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F87089"/>
    <w:multiLevelType w:val="hybridMultilevel"/>
    <w:tmpl w:val="D9E01B44"/>
    <w:lvl w:ilvl="0" w:tplc="85C4444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7A8636F2"/>
    <w:multiLevelType w:val="hybridMultilevel"/>
    <w:tmpl w:val="0F1284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A24854"/>
    <w:multiLevelType w:val="hybridMultilevel"/>
    <w:tmpl w:val="9F04D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1"/>
  </w:num>
  <w:num w:numId="3">
    <w:abstractNumId w:val="11"/>
  </w:num>
  <w:num w:numId="4">
    <w:abstractNumId w:val="22"/>
  </w:num>
  <w:num w:numId="5">
    <w:abstractNumId w:val="16"/>
  </w:num>
  <w:num w:numId="6">
    <w:abstractNumId w:val="17"/>
  </w:num>
  <w:num w:numId="7">
    <w:abstractNumId w:val="18"/>
  </w:num>
  <w:num w:numId="8">
    <w:abstractNumId w:val="18"/>
  </w:num>
  <w:num w:numId="9">
    <w:abstractNumId w:val="12"/>
  </w:num>
  <w:num w:numId="10">
    <w:abstractNumId w:val="14"/>
  </w:num>
  <w:num w:numId="11">
    <w:abstractNumId w:val="12"/>
    <w:lvlOverride w:ilvl="0">
      <w:lvl w:ilvl="0">
        <w:start w:val="1"/>
        <w:numFmt w:val="decimal"/>
        <w:pStyle w:val="Recommendation"/>
        <w:lvlText w:val="Recommendation %1:"/>
        <w:lvlJc w:val="left"/>
        <w:pPr>
          <w:ind w:left="2126" w:firstLine="0"/>
        </w:pPr>
        <w:rPr>
          <w:rFonts w:hint="default"/>
          <w:b/>
        </w:rPr>
      </w:lvl>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24"/>
  </w:num>
  <w:num w:numId="17">
    <w:abstractNumId w:val="1"/>
  </w:num>
  <w:num w:numId="18">
    <w:abstractNumId w:val="4"/>
  </w:num>
  <w:num w:numId="19">
    <w:abstractNumId w:val="6"/>
  </w:num>
  <w:num w:numId="20">
    <w:abstractNumId w:val="9"/>
  </w:num>
  <w:num w:numId="21">
    <w:abstractNumId w:val="13"/>
  </w:num>
  <w:num w:numId="22">
    <w:abstractNumId w:val="19"/>
  </w:num>
  <w:num w:numId="23">
    <w:abstractNumId w:val="8"/>
  </w:num>
  <w:num w:numId="24">
    <w:abstractNumId w:val="25"/>
  </w:num>
  <w:num w:numId="25">
    <w:abstractNumId w:val="23"/>
  </w:num>
  <w:num w:numId="26">
    <w:abstractNumId w:val="20"/>
  </w:num>
  <w:num w:numId="27">
    <w:abstractNumId w:val="5"/>
  </w:num>
  <w:num w:numId="28">
    <w:abstractNumId w:val="26"/>
  </w:num>
  <w:num w:numId="29">
    <w:abstractNumId w:val="0"/>
  </w:num>
  <w:num w:numId="30">
    <w:abstractNumId w:val="21"/>
  </w:num>
  <w:num w:numId="31">
    <w:abstractNumId w:val="15"/>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02"/>
    <w:rsid w:val="00003E79"/>
    <w:rsid w:val="000117A5"/>
    <w:rsid w:val="00023BFE"/>
    <w:rsid w:val="00026EE2"/>
    <w:rsid w:val="00027253"/>
    <w:rsid w:val="00030D36"/>
    <w:rsid w:val="0003547C"/>
    <w:rsid w:val="00035C07"/>
    <w:rsid w:val="00037BDF"/>
    <w:rsid w:val="000406B5"/>
    <w:rsid w:val="00041017"/>
    <w:rsid w:val="00044213"/>
    <w:rsid w:val="0004453E"/>
    <w:rsid w:val="00047257"/>
    <w:rsid w:val="000558E3"/>
    <w:rsid w:val="00056313"/>
    <w:rsid w:val="00056F10"/>
    <w:rsid w:val="00061819"/>
    <w:rsid w:val="000722E6"/>
    <w:rsid w:val="00075B4A"/>
    <w:rsid w:val="00080810"/>
    <w:rsid w:val="00080F26"/>
    <w:rsid w:val="00086453"/>
    <w:rsid w:val="00092770"/>
    <w:rsid w:val="0009536D"/>
    <w:rsid w:val="000A71AA"/>
    <w:rsid w:val="000A7B6E"/>
    <w:rsid w:val="000B0516"/>
    <w:rsid w:val="000B589E"/>
    <w:rsid w:val="000D05E8"/>
    <w:rsid w:val="000D1BC2"/>
    <w:rsid w:val="000D51F4"/>
    <w:rsid w:val="000F4F1B"/>
    <w:rsid w:val="000F58CC"/>
    <w:rsid w:val="00100D9A"/>
    <w:rsid w:val="00107582"/>
    <w:rsid w:val="00115CCE"/>
    <w:rsid w:val="0014394A"/>
    <w:rsid w:val="00147A7F"/>
    <w:rsid w:val="001510EC"/>
    <w:rsid w:val="00151ED3"/>
    <w:rsid w:val="001554EF"/>
    <w:rsid w:val="00173020"/>
    <w:rsid w:val="001733F6"/>
    <w:rsid w:val="00183034"/>
    <w:rsid w:val="001876A4"/>
    <w:rsid w:val="0019022E"/>
    <w:rsid w:val="001A2D49"/>
    <w:rsid w:val="001A550C"/>
    <w:rsid w:val="001B05C7"/>
    <w:rsid w:val="001B15DA"/>
    <w:rsid w:val="001C28E7"/>
    <w:rsid w:val="001C370E"/>
    <w:rsid w:val="001C48DE"/>
    <w:rsid w:val="001C5471"/>
    <w:rsid w:val="001C6657"/>
    <w:rsid w:val="001D76F1"/>
    <w:rsid w:val="001E2BC8"/>
    <w:rsid w:val="00205E4A"/>
    <w:rsid w:val="002114FD"/>
    <w:rsid w:val="0021166B"/>
    <w:rsid w:val="002127F0"/>
    <w:rsid w:val="002138EC"/>
    <w:rsid w:val="00222712"/>
    <w:rsid w:val="00234042"/>
    <w:rsid w:val="00236A6A"/>
    <w:rsid w:val="00261433"/>
    <w:rsid w:val="00262741"/>
    <w:rsid w:val="00264ED2"/>
    <w:rsid w:val="00285771"/>
    <w:rsid w:val="0028758A"/>
    <w:rsid w:val="002A629E"/>
    <w:rsid w:val="002B45FF"/>
    <w:rsid w:val="002B56AB"/>
    <w:rsid w:val="002B6389"/>
    <w:rsid w:val="002B6C2B"/>
    <w:rsid w:val="002B7B6B"/>
    <w:rsid w:val="002C4AE8"/>
    <w:rsid w:val="002C7AD7"/>
    <w:rsid w:val="002D461C"/>
    <w:rsid w:val="002E4872"/>
    <w:rsid w:val="002E5DBA"/>
    <w:rsid w:val="002F1178"/>
    <w:rsid w:val="00303706"/>
    <w:rsid w:val="00321597"/>
    <w:rsid w:val="00330394"/>
    <w:rsid w:val="003441E5"/>
    <w:rsid w:val="00352E17"/>
    <w:rsid w:val="0036009E"/>
    <w:rsid w:val="0036351B"/>
    <w:rsid w:val="00370800"/>
    <w:rsid w:val="0039559E"/>
    <w:rsid w:val="0039633D"/>
    <w:rsid w:val="003B1499"/>
    <w:rsid w:val="003B6BC7"/>
    <w:rsid w:val="003C5F7E"/>
    <w:rsid w:val="003D51DF"/>
    <w:rsid w:val="003E6503"/>
    <w:rsid w:val="003E76C5"/>
    <w:rsid w:val="003F6027"/>
    <w:rsid w:val="003F6199"/>
    <w:rsid w:val="00400F75"/>
    <w:rsid w:val="00402E92"/>
    <w:rsid w:val="004213C2"/>
    <w:rsid w:val="004243B9"/>
    <w:rsid w:val="00432346"/>
    <w:rsid w:val="00437261"/>
    <w:rsid w:val="00440766"/>
    <w:rsid w:val="00447E1F"/>
    <w:rsid w:val="00450997"/>
    <w:rsid w:val="004552EA"/>
    <w:rsid w:val="00472BD0"/>
    <w:rsid w:val="00472C7E"/>
    <w:rsid w:val="00472CA7"/>
    <w:rsid w:val="00477AB5"/>
    <w:rsid w:val="00477BDB"/>
    <w:rsid w:val="00480469"/>
    <w:rsid w:val="00487DD4"/>
    <w:rsid w:val="004A01EB"/>
    <w:rsid w:val="004A38E9"/>
    <w:rsid w:val="004A55CC"/>
    <w:rsid w:val="004A791B"/>
    <w:rsid w:val="004B7462"/>
    <w:rsid w:val="004B7F7D"/>
    <w:rsid w:val="004C055B"/>
    <w:rsid w:val="004C1802"/>
    <w:rsid w:val="004C3886"/>
    <w:rsid w:val="004F2201"/>
    <w:rsid w:val="004F79BD"/>
    <w:rsid w:val="00507B8F"/>
    <w:rsid w:val="00511400"/>
    <w:rsid w:val="00517B9D"/>
    <w:rsid w:val="005234B6"/>
    <w:rsid w:val="005251CB"/>
    <w:rsid w:val="00526329"/>
    <w:rsid w:val="005326E3"/>
    <w:rsid w:val="00534502"/>
    <w:rsid w:val="005357F4"/>
    <w:rsid w:val="00536EB8"/>
    <w:rsid w:val="005402D1"/>
    <w:rsid w:val="00541F91"/>
    <w:rsid w:val="00542267"/>
    <w:rsid w:val="005515AA"/>
    <w:rsid w:val="00553427"/>
    <w:rsid w:val="00564077"/>
    <w:rsid w:val="0056569C"/>
    <w:rsid w:val="005820C9"/>
    <w:rsid w:val="005854FB"/>
    <w:rsid w:val="00592615"/>
    <w:rsid w:val="00593975"/>
    <w:rsid w:val="005A673E"/>
    <w:rsid w:val="005A67B2"/>
    <w:rsid w:val="005A75AA"/>
    <w:rsid w:val="005B2C56"/>
    <w:rsid w:val="005C2EBF"/>
    <w:rsid w:val="005D0D3B"/>
    <w:rsid w:val="005E1450"/>
    <w:rsid w:val="005E494F"/>
    <w:rsid w:val="005E7E32"/>
    <w:rsid w:val="00600F8E"/>
    <w:rsid w:val="006119C1"/>
    <w:rsid w:val="00613698"/>
    <w:rsid w:val="00617B02"/>
    <w:rsid w:val="00620BB1"/>
    <w:rsid w:val="00625643"/>
    <w:rsid w:val="00630D5F"/>
    <w:rsid w:val="00645370"/>
    <w:rsid w:val="00651A0B"/>
    <w:rsid w:val="00652F7A"/>
    <w:rsid w:val="00654E49"/>
    <w:rsid w:val="006578D7"/>
    <w:rsid w:val="0066600A"/>
    <w:rsid w:val="006666EE"/>
    <w:rsid w:val="0068267E"/>
    <w:rsid w:val="00684D0C"/>
    <w:rsid w:val="006930FE"/>
    <w:rsid w:val="0069363A"/>
    <w:rsid w:val="006A29F2"/>
    <w:rsid w:val="006C0394"/>
    <w:rsid w:val="006C3C12"/>
    <w:rsid w:val="006C4C1C"/>
    <w:rsid w:val="006C63A6"/>
    <w:rsid w:val="006C7C58"/>
    <w:rsid w:val="006D153D"/>
    <w:rsid w:val="006D4B09"/>
    <w:rsid w:val="006D714B"/>
    <w:rsid w:val="00703589"/>
    <w:rsid w:val="007066AF"/>
    <w:rsid w:val="00711EA1"/>
    <w:rsid w:val="00722CD3"/>
    <w:rsid w:val="0073437B"/>
    <w:rsid w:val="0074631E"/>
    <w:rsid w:val="007506AE"/>
    <w:rsid w:val="00751CDD"/>
    <w:rsid w:val="00751D78"/>
    <w:rsid w:val="007571FD"/>
    <w:rsid w:val="0076337E"/>
    <w:rsid w:val="007634E6"/>
    <w:rsid w:val="00765EA0"/>
    <w:rsid w:val="00772C7F"/>
    <w:rsid w:val="00786E00"/>
    <w:rsid w:val="00795719"/>
    <w:rsid w:val="007A0555"/>
    <w:rsid w:val="007A3A3B"/>
    <w:rsid w:val="007A3E1A"/>
    <w:rsid w:val="007D2C71"/>
    <w:rsid w:val="007D3F16"/>
    <w:rsid w:val="007D76E0"/>
    <w:rsid w:val="007F0737"/>
    <w:rsid w:val="008015B5"/>
    <w:rsid w:val="0081673F"/>
    <w:rsid w:val="00826D4B"/>
    <w:rsid w:val="008338A0"/>
    <w:rsid w:val="008353D4"/>
    <w:rsid w:val="00851095"/>
    <w:rsid w:val="008534CD"/>
    <w:rsid w:val="00862F8B"/>
    <w:rsid w:val="00871911"/>
    <w:rsid w:val="00874386"/>
    <w:rsid w:val="00875F13"/>
    <w:rsid w:val="00877CCA"/>
    <w:rsid w:val="008847E2"/>
    <w:rsid w:val="0088571C"/>
    <w:rsid w:val="00885A20"/>
    <w:rsid w:val="00886444"/>
    <w:rsid w:val="00886D43"/>
    <w:rsid w:val="008900A3"/>
    <w:rsid w:val="00892427"/>
    <w:rsid w:val="00893CCB"/>
    <w:rsid w:val="008A19E7"/>
    <w:rsid w:val="008B0D59"/>
    <w:rsid w:val="008B7A0C"/>
    <w:rsid w:val="008D7013"/>
    <w:rsid w:val="008E09E1"/>
    <w:rsid w:val="008E1CC4"/>
    <w:rsid w:val="008E55FB"/>
    <w:rsid w:val="008F293C"/>
    <w:rsid w:val="008F7E90"/>
    <w:rsid w:val="0090387D"/>
    <w:rsid w:val="0091371B"/>
    <w:rsid w:val="00925C3F"/>
    <w:rsid w:val="00927102"/>
    <w:rsid w:val="009357B3"/>
    <w:rsid w:val="00952447"/>
    <w:rsid w:val="00962545"/>
    <w:rsid w:val="00974C45"/>
    <w:rsid w:val="00981A34"/>
    <w:rsid w:val="00982C02"/>
    <w:rsid w:val="00987363"/>
    <w:rsid w:val="009A227B"/>
    <w:rsid w:val="009A793E"/>
    <w:rsid w:val="009C080C"/>
    <w:rsid w:val="009C61C5"/>
    <w:rsid w:val="009C64D0"/>
    <w:rsid w:val="009D5BBC"/>
    <w:rsid w:val="009E1FC9"/>
    <w:rsid w:val="009E36B6"/>
    <w:rsid w:val="009F0E48"/>
    <w:rsid w:val="009F2020"/>
    <w:rsid w:val="009F4B9D"/>
    <w:rsid w:val="009F5207"/>
    <w:rsid w:val="00A01A4E"/>
    <w:rsid w:val="00A022BC"/>
    <w:rsid w:val="00A03ACF"/>
    <w:rsid w:val="00A06F56"/>
    <w:rsid w:val="00A13B92"/>
    <w:rsid w:val="00A25F3F"/>
    <w:rsid w:val="00A4447D"/>
    <w:rsid w:val="00A4604E"/>
    <w:rsid w:val="00A54E6B"/>
    <w:rsid w:val="00A55148"/>
    <w:rsid w:val="00A615CC"/>
    <w:rsid w:val="00A64CDA"/>
    <w:rsid w:val="00A76D3F"/>
    <w:rsid w:val="00A776D9"/>
    <w:rsid w:val="00A91CB5"/>
    <w:rsid w:val="00A96349"/>
    <w:rsid w:val="00AA686C"/>
    <w:rsid w:val="00AC247A"/>
    <w:rsid w:val="00AC4D64"/>
    <w:rsid w:val="00AD032B"/>
    <w:rsid w:val="00AD0339"/>
    <w:rsid w:val="00AD57D1"/>
    <w:rsid w:val="00AD6460"/>
    <w:rsid w:val="00AE2840"/>
    <w:rsid w:val="00B02AEB"/>
    <w:rsid w:val="00B033CC"/>
    <w:rsid w:val="00B050F1"/>
    <w:rsid w:val="00B06A67"/>
    <w:rsid w:val="00B14097"/>
    <w:rsid w:val="00B14DFB"/>
    <w:rsid w:val="00B23283"/>
    <w:rsid w:val="00B25C78"/>
    <w:rsid w:val="00B2777C"/>
    <w:rsid w:val="00B30542"/>
    <w:rsid w:val="00B32399"/>
    <w:rsid w:val="00B37A66"/>
    <w:rsid w:val="00B40903"/>
    <w:rsid w:val="00B4140A"/>
    <w:rsid w:val="00B418A0"/>
    <w:rsid w:val="00B6508A"/>
    <w:rsid w:val="00B75292"/>
    <w:rsid w:val="00B80FD0"/>
    <w:rsid w:val="00B81A9A"/>
    <w:rsid w:val="00B87233"/>
    <w:rsid w:val="00BA5C36"/>
    <w:rsid w:val="00BB496C"/>
    <w:rsid w:val="00BC1969"/>
    <w:rsid w:val="00BC1CB3"/>
    <w:rsid w:val="00BC3760"/>
    <w:rsid w:val="00BC6AD8"/>
    <w:rsid w:val="00BE223E"/>
    <w:rsid w:val="00BF4E08"/>
    <w:rsid w:val="00BF754D"/>
    <w:rsid w:val="00C01F1E"/>
    <w:rsid w:val="00C02722"/>
    <w:rsid w:val="00C06F2B"/>
    <w:rsid w:val="00C10BF7"/>
    <w:rsid w:val="00C12182"/>
    <w:rsid w:val="00C172FA"/>
    <w:rsid w:val="00C215C6"/>
    <w:rsid w:val="00C23848"/>
    <w:rsid w:val="00C23B57"/>
    <w:rsid w:val="00C250D6"/>
    <w:rsid w:val="00C27CD6"/>
    <w:rsid w:val="00C40902"/>
    <w:rsid w:val="00C42FBB"/>
    <w:rsid w:val="00C51668"/>
    <w:rsid w:val="00C5319D"/>
    <w:rsid w:val="00C533E9"/>
    <w:rsid w:val="00C539B1"/>
    <w:rsid w:val="00C546DC"/>
    <w:rsid w:val="00C613FC"/>
    <w:rsid w:val="00C64C62"/>
    <w:rsid w:val="00C65667"/>
    <w:rsid w:val="00C664FE"/>
    <w:rsid w:val="00C66963"/>
    <w:rsid w:val="00C67432"/>
    <w:rsid w:val="00C75211"/>
    <w:rsid w:val="00C80714"/>
    <w:rsid w:val="00C85853"/>
    <w:rsid w:val="00C860BB"/>
    <w:rsid w:val="00C8668F"/>
    <w:rsid w:val="00C93318"/>
    <w:rsid w:val="00CA6469"/>
    <w:rsid w:val="00CB0DB4"/>
    <w:rsid w:val="00CB2074"/>
    <w:rsid w:val="00CC3613"/>
    <w:rsid w:val="00CD56FE"/>
    <w:rsid w:val="00CF5B31"/>
    <w:rsid w:val="00D138BE"/>
    <w:rsid w:val="00D17C22"/>
    <w:rsid w:val="00D21AA1"/>
    <w:rsid w:val="00D21C1B"/>
    <w:rsid w:val="00D2273F"/>
    <w:rsid w:val="00D32E61"/>
    <w:rsid w:val="00D34878"/>
    <w:rsid w:val="00D34BD8"/>
    <w:rsid w:val="00D3636E"/>
    <w:rsid w:val="00D40F4C"/>
    <w:rsid w:val="00D62BCE"/>
    <w:rsid w:val="00D76C0E"/>
    <w:rsid w:val="00D77EB1"/>
    <w:rsid w:val="00DA0A70"/>
    <w:rsid w:val="00DB196E"/>
    <w:rsid w:val="00DB6B4F"/>
    <w:rsid w:val="00DD578E"/>
    <w:rsid w:val="00DD7C1C"/>
    <w:rsid w:val="00DE6A52"/>
    <w:rsid w:val="00DE6F7A"/>
    <w:rsid w:val="00DF2349"/>
    <w:rsid w:val="00DF287A"/>
    <w:rsid w:val="00E05115"/>
    <w:rsid w:val="00E16211"/>
    <w:rsid w:val="00E16BE3"/>
    <w:rsid w:val="00E23BE5"/>
    <w:rsid w:val="00E30643"/>
    <w:rsid w:val="00E45E4C"/>
    <w:rsid w:val="00E47384"/>
    <w:rsid w:val="00E54047"/>
    <w:rsid w:val="00E54165"/>
    <w:rsid w:val="00E562E4"/>
    <w:rsid w:val="00E617D2"/>
    <w:rsid w:val="00E67958"/>
    <w:rsid w:val="00E71890"/>
    <w:rsid w:val="00E76016"/>
    <w:rsid w:val="00E81ECD"/>
    <w:rsid w:val="00E82F2F"/>
    <w:rsid w:val="00E8415E"/>
    <w:rsid w:val="00E84AA7"/>
    <w:rsid w:val="00E8505A"/>
    <w:rsid w:val="00E863EC"/>
    <w:rsid w:val="00E879CE"/>
    <w:rsid w:val="00EA1FF8"/>
    <w:rsid w:val="00EB06B7"/>
    <w:rsid w:val="00EB408A"/>
    <w:rsid w:val="00EC1696"/>
    <w:rsid w:val="00EC6567"/>
    <w:rsid w:val="00EC700D"/>
    <w:rsid w:val="00EE1CFF"/>
    <w:rsid w:val="00EE5C4D"/>
    <w:rsid w:val="00EF6323"/>
    <w:rsid w:val="00EF7627"/>
    <w:rsid w:val="00F0386F"/>
    <w:rsid w:val="00F07FC4"/>
    <w:rsid w:val="00F12A72"/>
    <w:rsid w:val="00F3291A"/>
    <w:rsid w:val="00F35388"/>
    <w:rsid w:val="00F43B24"/>
    <w:rsid w:val="00F4437D"/>
    <w:rsid w:val="00F50AEA"/>
    <w:rsid w:val="00F55000"/>
    <w:rsid w:val="00F55564"/>
    <w:rsid w:val="00F61950"/>
    <w:rsid w:val="00F627A6"/>
    <w:rsid w:val="00F700A7"/>
    <w:rsid w:val="00F73D07"/>
    <w:rsid w:val="00F77AEE"/>
    <w:rsid w:val="00F77AF4"/>
    <w:rsid w:val="00F81755"/>
    <w:rsid w:val="00F845B6"/>
    <w:rsid w:val="00F8595E"/>
    <w:rsid w:val="00F860D4"/>
    <w:rsid w:val="00F861D3"/>
    <w:rsid w:val="00F91DBB"/>
    <w:rsid w:val="00FB02D2"/>
    <w:rsid w:val="00FB2EEA"/>
    <w:rsid w:val="00FB42EE"/>
    <w:rsid w:val="00FB5D3E"/>
    <w:rsid w:val="00FC17EC"/>
    <w:rsid w:val="00FC5E59"/>
    <w:rsid w:val="00FC778A"/>
    <w:rsid w:val="00FD33F1"/>
    <w:rsid w:val="00FD6D9C"/>
    <w:rsid w:val="00FE6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E494F"/>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paragraph" w:styleId="Revision">
    <w:name w:val="Revision"/>
    <w:hidden/>
    <w:uiPriority w:val="99"/>
    <w:semiHidden/>
    <w:rsid w:val="00786E00"/>
    <w:rPr>
      <w:rFonts w:ascii="Calibri" w:eastAsiaTheme="minorEastAsia" w:hAnsi="Calibri"/>
      <w:lang w:eastAsia="en-AU"/>
    </w:rPr>
  </w:style>
  <w:style w:type="paragraph" w:customStyle="1" w:styleId="ACMANotes">
    <w:name w:val="ACMA_Notes"/>
    <w:qFormat/>
    <w:rsid w:val="00877CCA"/>
    <w:pPr>
      <w:spacing w:before="80"/>
    </w:pPr>
    <w:rPr>
      <w:rFonts w:ascii="Arial" w:eastAsia="Times New Roman" w:hAnsi="Arial" w:cs="Arial"/>
      <w:i/>
      <w:sz w:val="16"/>
      <w:szCs w:val="24"/>
      <w:lang w:eastAsia="en-AU"/>
    </w:rPr>
  </w:style>
  <w:style w:type="paragraph" w:customStyle="1" w:styleId="ACMAFigureHeader">
    <w:name w:val="ACMA_FigureHeader"/>
    <w:qFormat/>
    <w:rsid w:val="00877CCA"/>
    <w:pPr>
      <w:spacing w:after="160" w:line="240" w:lineRule="atLeast"/>
    </w:pPr>
    <w:rPr>
      <w:rFonts w:ascii="Arial" w:eastAsia="Times New Roman" w:hAnsi="Arial" w:cs="Times New Roman"/>
      <w:b/>
      <w:bCs/>
      <w:color w:val="323232"/>
      <w:sz w:val="20"/>
      <w:szCs w:val="20"/>
      <w:lang w:eastAsia="en-AU"/>
    </w:rPr>
  </w:style>
  <w:style w:type="table" w:customStyle="1" w:styleId="Commsreport2017">
    <w:name w:val="Comms report 2017"/>
    <w:basedOn w:val="TableNormal"/>
    <w:uiPriority w:val="99"/>
    <w:rsid w:val="00877CCA"/>
    <w:pPr>
      <w:keepNext/>
      <w:keepLines/>
      <w:spacing w:before="60" w:after="60"/>
      <w:jc w:val="right"/>
    </w:pPr>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wordWrap/>
        <w:spacing w:beforeLines="60" w:before="60" w:beforeAutospacing="0" w:afterLines="60" w:after="60" w:afterAutospacing="0"/>
      </w:pPr>
      <w:rPr>
        <w:rFonts w:ascii="Arial" w:hAnsi="Arial"/>
        <w:b w:val="0"/>
        <w:i w:val="0"/>
        <w:color w:val="FFFFFF" w:themeColor="background1"/>
        <w:sz w:val="18"/>
      </w:rPr>
      <w:tblPr/>
      <w:tcPr>
        <w:shd w:val="clear" w:color="auto" w:fill="37897E"/>
      </w:tcPr>
    </w:tblStylePr>
    <w:tblStylePr w:type="firstCol">
      <w:pPr>
        <w:jc w:val="left"/>
      </w:pPr>
      <w:rPr>
        <w:rFonts w:ascii="Arial" w:hAnsi="Arial"/>
        <w:color w:val="000000" w:themeColor="text1"/>
        <w:sz w:val="18"/>
      </w:rPr>
    </w:tblStylePr>
  </w:style>
  <w:style w:type="paragraph" w:customStyle="1" w:styleId="ACMANotesspaceafter">
    <w:name w:val="ACMA_Notes_space_after"/>
    <w:basedOn w:val="ACMANotes"/>
    <w:qFormat/>
    <w:rsid w:val="00877CCA"/>
    <w:pPr>
      <w:spacing w:after="240"/>
    </w:pPr>
  </w:style>
  <w:style w:type="paragraph" w:styleId="Bibliography">
    <w:name w:val="Bibliography"/>
    <w:basedOn w:val="Normal"/>
    <w:next w:val="Normal"/>
    <w:uiPriority w:val="37"/>
    <w:unhideWhenUsed/>
    <w:rsid w:val="00421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E494F"/>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paragraph" w:styleId="Revision">
    <w:name w:val="Revision"/>
    <w:hidden/>
    <w:uiPriority w:val="99"/>
    <w:semiHidden/>
    <w:rsid w:val="00786E00"/>
    <w:rPr>
      <w:rFonts w:ascii="Calibri" w:eastAsiaTheme="minorEastAsia" w:hAnsi="Calibri"/>
      <w:lang w:eastAsia="en-AU"/>
    </w:rPr>
  </w:style>
  <w:style w:type="paragraph" w:customStyle="1" w:styleId="ACMANotes">
    <w:name w:val="ACMA_Notes"/>
    <w:qFormat/>
    <w:rsid w:val="00877CCA"/>
    <w:pPr>
      <w:spacing w:before="80"/>
    </w:pPr>
    <w:rPr>
      <w:rFonts w:ascii="Arial" w:eastAsia="Times New Roman" w:hAnsi="Arial" w:cs="Arial"/>
      <w:i/>
      <w:sz w:val="16"/>
      <w:szCs w:val="24"/>
      <w:lang w:eastAsia="en-AU"/>
    </w:rPr>
  </w:style>
  <w:style w:type="paragraph" w:customStyle="1" w:styleId="ACMAFigureHeader">
    <w:name w:val="ACMA_FigureHeader"/>
    <w:qFormat/>
    <w:rsid w:val="00877CCA"/>
    <w:pPr>
      <w:spacing w:after="160" w:line="240" w:lineRule="atLeast"/>
    </w:pPr>
    <w:rPr>
      <w:rFonts w:ascii="Arial" w:eastAsia="Times New Roman" w:hAnsi="Arial" w:cs="Times New Roman"/>
      <w:b/>
      <w:bCs/>
      <w:color w:val="323232"/>
      <w:sz w:val="20"/>
      <w:szCs w:val="20"/>
      <w:lang w:eastAsia="en-AU"/>
    </w:rPr>
  </w:style>
  <w:style w:type="table" w:customStyle="1" w:styleId="Commsreport2017">
    <w:name w:val="Comms report 2017"/>
    <w:basedOn w:val="TableNormal"/>
    <w:uiPriority w:val="99"/>
    <w:rsid w:val="00877CCA"/>
    <w:pPr>
      <w:keepNext/>
      <w:keepLines/>
      <w:spacing w:before="60" w:after="60"/>
      <w:jc w:val="right"/>
    </w:pPr>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wordWrap/>
        <w:spacing w:beforeLines="60" w:before="60" w:beforeAutospacing="0" w:afterLines="60" w:after="60" w:afterAutospacing="0"/>
      </w:pPr>
      <w:rPr>
        <w:rFonts w:ascii="Arial" w:hAnsi="Arial"/>
        <w:b w:val="0"/>
        <w:i w:val="0"/>
        <w:color w:val="FFFFFF" w:themeColor="background1"/>
        <w:sz w:val="18"/>
      </w:rPr>
      <w:tblPr/>
      <w:tcPr>
        <w:shd w:val="clear" w:color="auto" w:fill="37897E"/>
      </w:tcPr>
    </w:tblStylePr>
    <w:tblStylePr w:type="firstCol">
      <w:pPr>
        <w:jc w:val="left"/>
      </w:pPr>
      <w:rPr>
        <w:rFonts w:ascii="Arial" w:hAnsi="Arial"/>
        <w:color w:val="000000" w:themeColor="text1"/>
        <w:sz w:val="18"/>
      </w:rPr>
    </w:tblStylePr>
  </w:style>
  <w:style w:type="paragraph" w:customStyle="1" w:styleId="ACMANotesspaceafter">
    <w:name w:val="ACMA_Notes_space_after"/>
    <w:basedOn w:val="ACMANotes"/>
    <w:qFormat/>
    <w:rsid w:val="00877CCA"/>
    <w:pPr>
      <w:spacing w:after="240"/>
    </w:pPr>
  </w:style>
  <w:style w:type="paragraph" w:styleId="Bibliography">
    <w:name w:val="Bibliography"/>
    <w:basedOn w:val="Normal"/>
    <w:next w:val="Normal"/>
    <w:uiPriority w:val="37"/>
    <w:unhideWhenUsed/>
    <w:rsid w:val="0042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34592135">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473521111">
      <w:bodyDiv w:val="1"/>
      <w:marLeft w:val="0"/>
      <w:marRight w:val="0"/>
      <w:marTop w:val="0"/>
      <w:marBottom w:val="0"/>
      <w:divBdr>
        <w:top w:val="none" w:sz="0" w:space="0" w:color="auto"/>
        <w:left w:val="none" w:sz="0" w:space="0" w:color="auto"/>
        <w:bottom w:val="none" w:sz="0" w:space="0" w:color="auto"/>
        <w:right w:val="none" w:sz="0" w:space="0" w:color="auto"/>
      </w:divBdr>
    </w:div>
    <w:div w:id="723792332">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934362017">
      <w:bodyDiv w:val="1"/>
      <w:marLeft w:val="0"/>
      <w:marRight w:val="0"/>
      <w:marTop w:val="0"/>
      <w:marBottom w:val="0"/>
      <w:divBdr>
        <w:top w:val="none" w:sz="0" w:space="0" w:color="auto"/>
        <w:left w:val="none" w:sz="0" w:space="0" w:color="auto"/>
        <w:bottom w:val="none" w:sz="0" w:space="0" w:color="auto"/>
        <w:right w:val="none" w:sz="0" w:space="0" w:color="auto"/>
      </w:divBdr>
    </w:div>
    <w:div w:id="964698851">
      <w:bodyDiv w:val="1"/>
      <w:marLeft w:val="0"/>
      <w:marRight w:val="0"/>
      <w:marTop w:val="0"/>
      <w:marBottom w:val="0"/>
      <w:divBdr>
        <w:top w:val="none" w:sz="0" w:space="0" w:color="auto"/>
        <w:left w:val="none" w:sz="0" w:space="0" w:color="auto"/>
        <w:bottom w:val="none" w:sz="0" w:space="0" w:color="auto"/>
        <w:right w:val="none" w:sz="0" w:space="0" w:color="auto"/>
      </w:divBdr>
    </w:div>
    <w:div w:id="1038898469">
      <w:bodyDiv w:val="1"/>
      <w:marLeft w:val="0"/>
      <w:marRight w:val="0"/>
      <w:marTop w:val="0"/>
      <w:marBottom w:val="0"/>
      <w:divBdr>
        <w:top w:val="none" w:sz="0" w:space="0" w:color="auto"/>
        <w:left w:val="none" w:sz="0" w:space="0" w:color="auto"/>
        <w:bottom w:val="none" w:sz="0" w:space="0" w:color="auto"/>
        <w:right w:val="none" w:sz="0" w:space="0" w:color="auto"/>
      </w:divBdr>
    </w:div>
    <w:div w:id="1067150016">
      <w:bodyDiv w:val="1"/>
      <w:marLeft w:val="0"/>
      <w:marRight w:val="0"/>
      <w:marTop w:val="0"/>
      <w:marBottom w:val="0"/>
      <w:divBdr>
        <w:top w:val="none" w:sz="0" w:space="0" w:color="auto"/>
        <w:left w:val="none" w:sz="0" w:space="0" w:color="auto"/>
        <w:bottom w:val="none" w:sz="0" w:space="0" w:color="auto"/>
        <w:right w:val="none" w:sz="0" w:space="0" w:color="auto"/>
      </w:divBdr>
    </w:div>
    <w:div w:id="1469274806">
      <w:bodyDiv w:val="1"/>
      <w:marLeft w:val="0"/>
      <w:marRight w:val="0"/>
      <w:marTop w:val="0"/>
      <w:marBottom w:val="0"/>
      <w:divBdr>
        <w:top w:val="none" w:sz="0" w:space="0" w:color="auto"/>
        <w:left w:val="none" w:sz="0" w:space="0" w:color="auto"/>
        <w:bottom w:val="none" w:sz="0" w:space="0" w:color="auto"/>
        <w:right w:val="none" w:sz="0" w:space="0" w:color="auto"/>
      </w:divBdr>
    </w:div>
    <w:div w:id="15783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lstra.com.au/content/dam/tcom/personal/consumer-advice/pdf/priority-assist-policy.pdf" TargetMode="External"/><Relationship Id="rId1" Type="http://schemas.openxmlformats.org/officeDocument/2006/relationships/hyperlink" Target="https://accan.org.au/our-work/policy/1166-future-guaran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DBC0-A2A3-440B-A2A6-7C3D26B0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0</TotalTime>
  <Pages>32</Pages>
  <Words>10298</Words>
  <Characters>58703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D'Souza</dc:creator>
  <cp:lastModifiedBy>Melyssa Troy</cp:lastModifiedBy>
  <cp:revision>2</cp:revision>
  <cp:lastPrinted>2019-01-21T04:34:00Z</cp:lastPrinted>
  <dcterms:created xsi:type="dcterms:W3CDTF">2019-01-23T05:27:00Z</dcterms:created>
  <dcterms:modified xsi:type="dcterms:W3CDTF">2019-01-23T05:27:00Z</dcterms:modified>
</cp:coreProperties>
</file>