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56938" w14:textId="77777777" w:rsidR="00C5300D" w:rsidRPr="002C5882" w:rsidRDefault="00C5300D" w:rsidP="00C5300D">
      <w:pPr>
        <w:pStyle w:val="Letterhead1"/>
        <w:jc w:val="center"/>
      </w:pPr>
      <w:bookmarkStart w:id="0" w:name="_Hlk95835868"/>
    </w:p>
    <w:p w14:paraId="3622691A" w14:textId="77777777" w:rsidR="00C5300D" w:rsidRDefault="00C5300D" w:rsidP="00C5300D">
      <w:pPr>
        <w:tabs>
          <w:tab w:val="left" w:pos="5070"/>
        </w:tabs>
        <w:rPr>
          <w:rFonts w:ascii="Gotham" w:hAnsi="Gotham"/>
          <w:b/>
          <w:bCs/>
          <w:lang w:val="en-US"/>
        </w:rPr>
      </w:pPr>
      <w:r>
        <w:rPr>
          <w:rFonts w:ascii="Gotham" w:hAnsi="Gotham"/>
          <w:b/>
          <w:bCs/>
          <w:lang w:val="en-US"/>
        </w:rPr>
        <w:tab/>
      </w:r>
    </w:p>
    <w:p w14:paraId="6126E987" w14:textId="77777777" w:rsidR="00C5300D" w:rsidRDefault="00C5300D" w:rsidP="00C5300D">
      <w:pPr>
        <w:tabs>
          <w:tab w:val="left" w:pos="3855"/>
        </w:tabs>
        <w:rPr>
          <w:rFonts w:ascii="Gotham" w:hAnsi="Gotham"/>
          <w:b/>
          <w:bCs/>
          <w:lang w:val="en-US"/>
        </w:rPr>
      </w:pPr>
    </w:p>
    <w:p w14:paraId="2CD9CD24" w14:textId="77777777" w:rsidR="00C5300D" w:rsidRDefault="00C5300D" w:rsidP="00C5300D">
      <w:pPr>
        <w:tabs>
          <w:tab w:val="left" w:pos="3855"/>
        </w:tabs>
        <w:rPr>
          <w:rFonts w:ascii="Gotham" w:hAnsi="Gotham"/>
          <w:b/>
          <w:bCs/>
          <w:lang w:val="en-US"/>
        </w:rPr>
      </w:pPr>
    </w:p>
    <w:p w14:paraId="3A9FA38A" w14:textId="77777777" w:rsidR="00C5300D" w:rsidRDefault="00C5300D" w:rsidP="00C5300D">
      <w:pPr>
        <w:tabs>
          <w:tab w:val="left" w:pos="3855"/>
        </w:tabs>
        <w:rPr>
          <w:rFonts w:ascii="Gotham" w:hAnsi="Gotham"/>
          <w:b/>
          <w:bCs/>
          <w:lang w:val="en-US"/>
        </w:rPr>
      </w:pPr>
    </w:p>
    <w:p w14:paraId="1951A739" w14:textId="77777777" w:rsidR="00C5300D" w:rsidRDefault="00C5300D" w:rsidP="00C5300D">
      <w:pPr>
        <w:tabs>
          <w:tab w:val="left" w:pos="3855"/>
        </w:tabs>
        <w:rPr>
          <w:rFonts w:ascii="Gotham" w:hAnsi="Gotham"/>
          <w:b/>
          <w:bCs/>
          <w:lang w:val="en-US"/>
        </w:rPr>
      </w:pPr>
    </w:p>
    <w:p w14:paraId="7BDE2FAF" w14:textId="77777777" w:rsidR="00C5300D" w:rsidRDefault="00C5300D" w:rsidP="00C5300D">
      <w:pPr>
        <w:tabs>
          <w:tab w:val="left" w:pos="3855"/>
        </w:tabs>
        <w:rPr>
          <w:rFonts w:ascii="Gotham" w:hAnsi="Gotham"/>
          <w:b/>
          <w:bCs/>
          <w:lang w:val="en-US"/>
        </w:rPr>
        <w:sectPr w:rsidR="00C5300D" w:rsidSect="002C7985">
          <w:headerReference w:type="even" r:id="rId11"/>
          <w:headerReference w:type="default" r:id="rId12"/>
          <w:footerReference w:type="default" r:id="rId13"/>
          <w:footerReference w:type="first" r:id="rId14"/>
          <w:pgSz w:w="11906" w:h="16838"/>
          <w:pgMar w:top="1418" w:right="1440" w:bottom="709" w:left="1440" w:header="454" w:footer="227" w:gutter="0"/>
          <w:cols w:space="708"/>
          <w:docGrid w:linePitch="360"/>
        </w:sectPr>
      </w:pPr>
    </w:p>
    <w:p w14:paraId="1BBE0DC3" w14:textId="77777777" w:rsidR="00281F9B" w:rsidRDefault="00281F9B" w:rsidP="00C5300D">
      <w:pPr>
        <w:tabs>
          <w:tab w:val="left" w:pos="3855"/>
        </w:tabs>
        <w:spacing w:after="120"/>
        <w:rPr>
          <w:rFonts w:ascii="Calibri" w:hAnsi="Calibri" w:cstheme="minorHAnsi"/>
          <w:b/>
          <w:color w:val="FFFFFF" w:themeColor="background1"/>
          <w:sz w:val="48"/>
          <w:szCs w:val="48"/>
          <w:lang w:val="en-US"/>
        </w:rPr>
      </w:pPr>
    </w:p>
    <w:p w14:paraId="29B7B71F" w14:textId="5C755155" w:rsidR="00202E5E" w:rsidRDefault="00606A3D" w:rsidP="00C5300D">
      <w:pPr>
        <w:tabs>
          <w:tab w:val="left" w:pos="3855"/>
        </w:tabs>
        <w:spacing w:after="120"/>
        <w:rPr>
          <w:rFonts w:ascii="Gotham" w:hAnsi="Gotham"/>
          <w:b/>
          <w:bCs/>
          <w:lang w:val="en-US"/>
        </w:rPr>
      </w:pPr>
      <w:r w:rsidRPr="00606A3D">
        <w:rPr>
          <w:rFonts w:ascii="Calibri" w:hAnsi="Calibri" w:cstheme="minorHAnsi"/>
          <w:b/>
          <w:color w:val="FFFFFF" w:themeColor="background1"/>
          <w:sz w:val="48"/>
          <w:szCs w:val="48"/>
          <w:lang w:val="en-US"/>
        </w:rPr>
        <w:t>Cyber Security Legislative Package 2024</w:t>
      </w:r>
    </w:p>
    <w:p w14:paraId="0D4D1444" w14:textId="3084A89C" w:rsidR="00281F9B" w:rsidRDefault="00281F9B" w:rsidP="00C5300D">
      <w:pPr>
        <w:tabs>
          <w:tab w:val="left" w:pos="3855"/>
        </w:tabs>
        <w:spacing w:after="120"/>
        <w:rPr>
          <w:rFonts w:ascii="Gotham" w:hAnsi="Gotham"/>
          <w:b/>
          <w:bCs/>
          <w:lang w:val="en-US"/>
        </w:rPr>
      </w:pPr>
    </w:p>
    <w:p w14:paraId="36D65B9E" w14:textId="77777777" w:rsidR="00F61689" w:rsidRDefault="00F61689" w:rsidP="00F61689">
      <w:pPr>
        <w:tabs>
          <w:tab w:val="left" w:pos="3855"/>
        </w:tabs>
        <w:spacing w:after="0"/>
        <w:rPr>
          <w:rFonts w:ascii="Gotham" w:hAnsi="Gotham"/>
          <w:b/>
          <w:bCs/>
          <w:lang w:val="en-US"/>
        </w:rPr>
      </w:pPr>
    </w:p>
    <w:p w14:paraId="12AA8E36" w14:textId="1AF815BB" w:rsidR="00C5300D" w:rsidRPr="00281F9B" w:rsidRDefault="008F7368" w:rsidP="00281F9B">
      <w:pPr>
        <w:pStyle w:val="DocDate"/>
        <w:rPr>
          <w:lang w:val="en-US"/>
        </w:rPr>
      </w:pPr>
      <w:r>
        <w:rPr>
          <w:lang w:val="en-US"/>
        </w:rPr>
        <w:t xml:space="preserve">25 October </w:t>
      </w:r>
      <w:r w:rsidR="00051CD8">
        <w:rPr>
          <w:lang w:val="en-US"/>
        </w:rPr>
        <w:t>2024</w:t>
      </w:r>
      <w:bookmarkEnd w:id="0"/>
    </w:p>
    <w:p w14:paraId="341E691C" w14:textId="2B1C8CB4" w:rsidR="00C5300D" w:rsidRPr="009555C0" w:rsidRDefault="00C5300D" w:rsidP="007406FE">
      <w:pPr>
        <w:pStyle w:val="Heading1"/>
        <w:tabs>
          <w:tab w:val="right" w:pos="9026"/>
        </w:tabs>
      </w:pPr>
      <w:bookmarkStart w:id="1" w:name="_Toc180656180"/>
      <w:r w:rsidRPr="009555C0">
        <w:t>Recommendations</w:t>
      </w:r>
      <w:bookmarkEnd w:id="1"/>
      <w:r w:rsidR="007406FE">
        <w:tab/>
      </w:r>
    </w:p>
    <w:p w14:paraId="0DB3398E" w14:textId="7FFA2283" w:rsidR="00C5300D" w:rsidRPr="008168A5" w:rsidRDefault="00C5300D" w:rsidP="00C5300D">
      <w:pPr>
        <w:pStyle w:val="Titlepagerecs"/>
        <w:shd w:val="clear" w:color="auto" w:fill="B3E8FA" w:themeFill="accent1" w:themeFillTint="66"/>
        <w:rPr>
          <w:rStyle w:val="Emphasis"/>
        </w:rPr>
      </w:pPr>
      <w:r w:rsidRPr="008168A5">
        <w:rPr>
          <w:rStyle w:val="Emphasis"/>
        </w:rPr>
        <w:t>This submission recommend</w:t>
      </w:r>
      <w:r w:rsidR="0070657E">
        <w:rPr>
          <w:rStyle w:val="Emphasis"/>
        </w:rPr>
        <w:t>s</w:t>
      </w:r>
      <w:r w:rsidRPr="008168A5">
        <w:rPr>
          <w:rStyle w:val="Emphasis"/>
        </w:rPr>
        <w:t xml:space="preserve"> that:</w:t>
      </w:r>
    </w:p>
    <w:p w14:paraId="2FB3C305" w14:textId="77777777" w:rsidR="00C5300D" w:rsidRPr="005C76F8" w:rsidRDefault="00C5300D" w:rsidP="00C5300D">
      <w:pPr>
        <w:spacing w:after="0"/>
        <w:contextualSpacing/>
        <w:rPr>
          <w:sz w:val="16"/>
          <w:szCs w:val="16"/>
        </w:rPr>
      </w:pPr>
    </w:p>
    <w:p w14:paraId="3C824D9F" w14:textId="666451BE" w:rsidR="00322270" w:rsidRPr="00B73AC8" w:rsidRDefault="000E3E59" w:rsidP="00A3040E">
      <w:pPr>
        <w:pStyle w:val="Titlepagerecs"/>
        <w:numPr>
          <w:ilvl w:val="0"/>
          <w:numId w:val="4"/>
        </w:numPr>
        <w:shd w:val="clear" w:color="auto" w:fill="B3E8FA" w:themeFill="accent1" w:themeFillTint="66"/>
        <w:tabs>
          <w:tab w:val="left" w:pos="1134"/>
        </w:tabs>
        <w:ind w:left="709" w:hanging="567"/>
      </w:pPr>
      <w:r w:rsidRPr="000E3E59">
        <w:rPr>
          <w:rStyle w:val="Emphasis"/>
        </w:rPr>
        <w:t xml:space="preserve">The Joint Committee revise the requirement that enforcement notices for connected device security standards be sent in a sequential order to allow the </w:t>
      </w:r>
      <w:r>
        <w:rPr>
          <w:rStyle w:val="Emphasis"/>
        </w:rPr>
        <w:t>S</w:t>
      </w:r>
      <w:r w:rsidRPr="000E3E59">
        <w:rPr>
          <w:rStyle w:val="Emphasis"/>
        </w:rPr>
        <w:t xml:space="preserve">ecretary to send stop and recall notices </w:t>
      </w:r>
      <w:r>
        <w:rPr>
          <w:rStyle w:val="Emphasis"/>
        </w:rPr>
        <w:t xml:space="preserve">in the first instance. </w:t>
      </w:r>
    </w:p>
    <w:p w14:paraId="1A6C3FC7" w14:textId="31FE16BF" w:rsidR="00C5300D" w:rsidRPr="005C76F8" w:rsidRDefault="00C5300D" w:rsidP="00C5300D">
      <w:pPr>
        <w:spacing w:after="0"/>
        <w:contextualSpacing/>
        <w:rPr>
          <w:sz w:val="16"/>
          <w:szCs w:val="16"/>
        </w:rPr>
      </w:pPr>
    </w:p>
    <w:p w14:paraId="43F1D326" w14:textId="28654BE4" w:rsidR="00C5300D" w:rsidRPr="008168A5" w:rsidRDefault="0070657E" w:rsidP="00EF659A">
      <w:pPr>
        <w:pStyle w:val="Titlepagerecs"/>
        <w:numPr>
          <w:ilvl w:val="0"/>
          <w:numId w:val="4"/>
        </w:numPr>
        <w:shd w:val="clear" w:color="auto" w:fill="B3E8FA" w:themeFill="accent1" w:themeFillTint="66"/>
        <w:tabs>
          <w:tab w:val="left" w:pos="1134"/>
        </w:tabs>
        <w:ind w:left="709" w:hanging="567"/>
        <w:rPr>
          <w:rStyle w:val="Emphasis"/>
        </w:rPr>
      </w:pPr>
      <w:r w:rsidRPr="0070657E">
        <w:rPr>
          <w:rStyle w:val="Emphasis"/>
        </w:rPr>
        <w:t xml:space="preserve">The </w:t>
      </w:r>
      <w:r>
        <w:rPr>
          <w:rStyle w:val="Emphasis"/>
        </w:rPr>
        <w:t xml:space="preserve">Cyber Security Bill 2024 </w:t>
      </w:r>
      <w:r w:rsidRPr="0070657E">
        <w:rPr>
          <w:rStyle w:val="Emphasis"/>
        </w:rPr>
        <w:t xml:space="preserve">be amended to require </w:t>
      </w:r>
      <w:r>
        <w:rPr>
          <w:rStyle w:val="Emphasis"/>
        </w:rPr>
        <w:t xml:space="preserve">the </w:t>
      </w:r>
      <w:r w:rsidR="000E05B6">
        <w:rPr>
          <w:rStyle w:val="Emphasis"/>
        </w:rPr>
        <w:t>Department of Home Affairs</w:t>
      </w:r>
      <w:r w:rsidR="003300D9">
        <w:rPr>
          <w:rStyle w:val="Emphasis"/>
        </w:rPr>
        <w:t xml:space="preserve"> </w:t>
      </w:r>
      <w:r w:rsidR="0006020F" w:rsidRPr="0006020F">
        <w:rPr>
          <w:rStyle w:val="Emphasis"/>
        </w:rPr>
        <w:t>establish a public register of compliance notices, stop notices and recall notices to improve transparency and consumer visibility of relevant connected devices</w:t>
      </w:r>
      <w:r w:rsidR="00EF659A">
        <w:rPr>
          <w:rStyle w:val="Emphasis"/>
        </w:rPr>
        <w:t>.</w:t>
      </w:r>
    </w:p>
    <w:p w14:paraId="2F3E20F6" w14:textId="77777777" w:rsidR="00C5300D" w:rsidRDefault="00C5300D" w:rsidP="00E03BB6">
      <w:pPr>
        <w:spacing w:after="0"/>
      </w:pPr>
    </w:p>
    <w:p w14:paraId="7D835421" w14:textId="77777777" w:rsidR="00C5300D" w:rsidRPr="009555C0" w:rsidRDefault="00C5300D" w:rsidP="008168A5">
      <w:pPr>
        <w:pStyle w:val="Heading1"/>
      </w:pPr>
      <w:bookmarkStart w:id="2" w:name="_Toc180656181"/>
      <w:r w:rsidRPr="009555C0">
        <w:t>About this submission</w:t>
      </w:r>
      <w:bookmarkEnd w:id="2"/>
    </w:p>
    <w:p w14:paraId="323F833B" w14:textId="1ED90D7D" w:rsidR="00C5300D" w:rsidRDefault="00C5300D" w:rsidP="00C5300D">
      <w:r>
        <w:t>The Australian Communications Consumer Action Network (</w:t>
      </w:r>
      <w:r w:rsidRPr="002E1189">
        <w:rPr>
          <w:b/>
          <w:bCs/>
        </w:rPr>
        <w:t>ACCAN</w:t>
      </w:r>
      <w:r>
        <w:t xml:space="preserve">) </w:t>
      </w:r>
      <w:r w:rsidR="008C1BC6">
        <w:t xml:space="preserve">thanks the </w:t>
      </w:r>
      <w:r w:rsidR="00A51D3A" w:rsidRPr="00A51D3A">
        <w:t>Parliamentary Joint Committee on Intelligence and Security</w:t>
      </w:r>
      <w:r w:rsidR="00A51D3A">
        <w:t xml:space="preserve"> (</w:t>
      </w:r>
      <w:r w:rsidR="00A51D3A" w:rsidRPr="002E1189">
        <w:rPr>
          <w:b/>
          <w:bCs/>
        </w:rPr>
        <w:t>the Joint Committee</w:t>
      </w:r>
      <w:r w:rsidR="00A51D3A">
        <w:t>)</w:t>
      </w:r>
      <w:r w:rsidR="008F64ED">
        <w:t xml:space="preserve"> for the opportunity to comment on the </w:t>
      </w:r>
      <w:r w:rsidR="004E72A5" w:rsidRPr="004E72A5">
        <w:t>Cyber Security Legislative Package 2024</w:t>
      </w:r>
      <w:r w:rsidR="004E72A5">
        <w:t xml:space="preserve"> (</w:t>
      </w:r>
      <w:r w:rsidR="004E72A5" w:rsidRPr="002E1189">
        <w:rPr>
          <w:b/>
          <w:bCs/>
        </w:rPr>
        <w:t>the Legislative Package</w:t>
      </w:r>
      <w:r w:rsidR="004E72A5">
        <w:t xml:space="preserve">). </w:t>
      </w:r>
      <w:r w:rsidR="00284810">
        <w:t xml:space="preserve">ACCAN’s comments </w:t>
      </w:r>
      <w:r w:rsidR="005A243E">
        <w:t xml:space="preserve">on the Legislative Package are restricted to the </w:t>
      </w:r>
      <w:r w:rsidR="00284810">
        <w:t>Cyber Security Bill 2024 (</w:t>
      </w:r>
      <w:r w:rsidR="00284810" w:rsidRPr="00284810">
        <w:rPr>
          <w:b/>
          <w:bCs/>
        </w:rPr>
        <w:t>The Bill</w:t>
      </w:r>
      <w:r w:rsidR="00284810">
        <w:t xml:space="preserve">). </w:t>
      </w:r>
    </w:p>
    <w:p w14:paraId="3B7BBD5B" w14:textId="77777777" w:rsidR="00785BA0" w:rsidRDefault="004E72A5" w:rsidP="00C5300D">
      <w:r w:rsidRPr="004E72A5">
        <w:t>The Cyber Security Legislative Package 2024 intends to implement seven initiatives under the 2023-2030 </w:t>
      </w:r>
      <w:r w:rsidRPr="004E72A5">
        <w:rPr>
          <w:i/>
          <w:iCs/>
        </w:rPr>
        <w:t>Australian Cyber Security Strategy</w:t>
      </w:r>
      <w:r w:rsidR="003818C7">
        <w:t>.</w:t>
      </w:r>
      <w:r w:rsidRPr="004E72A5">
        <w:t xml:space="preserve"> </w:t>
      </w:r>
      <w:r w:rsidR="003818C7">
        <w:t>The initiatives</w:t>
      </w:r>
      <w:r w:rsidR="003818C7" w:rsidRPr="004E72A5">
        <w:t xml:space="preserve"> </w:t>
      </w:r>
      <w:r w:rsidRPr="004E72A5">
        <w:t>aim to address legislative gaps to bring Australia in line with international best practice and help ensure Australia is on track to become a global leader in cyber security.</w:t>
      </w:r>
      <w:r w:rsidR="00037D02">
        <w:t xml:space="preserve"> In this submission, ACCAN provides the Joint Committee with recommendations to improve the cybersecurity of consumers using connected devices</w:t>
      </w:r>
      <w:r w:rsidR="005A243E">
        <w:t>, including Internet of Things (</w:t>
      </w:r>
      <w:r w:rsidR="005A243E" w:rsidRPr="002E1189">
        <w:rPr>
          <w:b/>
          <w:bCs/>
        </w:rPr>
        <w:t>IoT</w:t>
      </w:r>
      <w:r w:rsidR="005A243E">
        <w:t>) devices by improving the enforcement structures established under the Bill related to non-compliance with security standards for connected devices.</w:t>
      </w:r>
    </w:p>
    <w:p w14:paraId="499A310B" w14:textId="1E5D5078" w:rsidR="00C5300D" w:rsidRDefault="007C46A5" w:rsidP="00C5300D">
      <w:r>
        <w:t xml:space="preserve">ACCAN’s submission </w:t>
      </w:r>
      <w:r w:rsidR="009A74B8">
        <w:t>is</w:t>
      </w:r>
      <w:r>
        <w:t xml:space="preserve"> endorsed by </w:t>
      </w:r>
      <w:r w:rsidR="000E08B5">
        <w:t xml:space="preserve">the </w:t>
      </w:r>
      <w:r w:rsidR="00DC5FDB" w:rsidRPr="00DC5FDB">
        <w:t>Women’s Services Network (</w:t>
      </w:r>
      <w:r w:rsidR="00DC5FDB" w:rsidRPr="00DC5FDB">
        <w:rPr>
          <w:b/>
          <w:bCs/>
        </w:rPr>
        <w:t>WESNET</w:t>
      </w:r>
      <w:r w:rsidR="00DC5FDB" w:rsidRPr="00DC5FDB">
        <w:t>)</w:t>
      </w:r>
      <w:r w:rsidR="00DC5FDB">
        <w:t xml:space="preserve">. </w:t>
      </w:r>
      <w:r w:rsidR="00C5300D">
        <w:br w:type="page"/>
      </w:r>
    </w:p>
    <w:sdt>
      <w:sdtPr>
        <w:rPr>
          <w:rFonts w:eastAsiaTheme="minorEastAsia" w:cstheme="minorBidi"/>
          <w:b w:val="0"/>
          <w:color w:val="auto"/>
          <w:sz w:val="22"/>
          <w:szCs w:val="22"/>
          <w:lang w:val="en-AU" w:eastAsia="en-AU"/>
        </w:rPr>
        <w:id w:val="-1348175451"/>
        <w:docPartObj>
          <w:docPartGallery w:val="Table of Contents"/>
          <w:docPartUnique/>
        </w:docPartObj>
      </w:sdtPr>
      <w:sdtEndPr/>
      <w:sdtContent>
        <w:p w14:paraId="3B585F31" w14:textId="77777777" w:rsidR="00C5300D" w:rsidRDefault="00C5300D" w:rsidP="00C5300D">
          <w:pPr>
            <w:pStyle w:val="TOCHeading"/>
          </w:pPr>
          <w:r>
            <w:t>Contents</w:t>
          </w:r>
        </w:p>
        <w:p w14:paraId="13404E43" w14:textId="00D6880C" w:rsidR="009F3B95" w:rsidRDefault="00C5300D">
          <w:pPr>
            <w:pStyle w:val="TOC1"/>
            <w:tabs>
              <w:tab w:val="right" w:leader="dot" w:pos="9016"/>
            </w:tabs>
            <w:rPr>
              <w:noProof/>
              <w:kern w:val="2"/>
              <w:sz w:val="24"/>
              <w:szCs w:val="24"/>
              <w:lang w:val="en-US" w:eastAsia="en-US"/>
              <w14:ligatures w14:val="standardContextual"/>
            </w:rPr>
          </w:pPr>
          <w:r>
            <w:fldChar w:fldCharType="begin"/>
          </w:r>
          <w:r>
            <w:instrText xml:space="preserve"> TOC \o "1-3" \h \z \u </w:instrText>
          </w:r>
          <w:r>
            <w:fldChar w:fldCharType="separate"/>
          </w:r>
          <w:hyperlink w:anchor="_Toc180656180" w:history="1">
            <w:r w:rsidR="009F3B95" w:rsidRPr="006D7187">
              <w:rPr>
                <w:rStyle w:val="Hyperlink"/>
                <w:noProof/>
              </w:rPr>
              <w:t>Recommendations</w:t>
            </w:r>
            <w:r w:rsidR="009F3B95">
              <w:rPr>
                <w:noProof/>
                <w:webHidden/>
              </w:rPr>
              <w:tab/>
            </w:r>
            <w:r w:rsidR="009F3B95">
              <w:rPr>
                <w:noProof/>
                <w:webHidden/>
              </w:rPr>
              <w:fldChar w:fldCharType="begin"/>
            </w:r>
            <w:r w:rsidR="009F3B95">
              <w:rPr>
                <w:noProof/>
                <w:webHidden/>
              </w:rPr>
              <w:instrText xml:space="preserve"> PAGEREF _Toc180656180 \h </w:instrText>
            </w:r>
            <w:r w:rsidR="009F3B95">
              <w:rPr>
                <w:noProof/>
                <w:webHidden/>
              </w:rPr>
            </w:r>
            <w:r w:rsidR="009F3B95">
              <w:rPr>
                <w:noProof/>
                <w:webHidden/>
              </w:rPr>
              <w:fldChar w:fldCharType="separate"/>
            </w:r>
            <w:r w:rsidR="007E73AF">
              <w:rPr>
                <w:noProof/>
                <w:webHidden/>
              </w:rPr>
              <w:t>1</w:t>
            </w:r>
            <w:r w:rsidR="009F3B95">
              <w:rPr>
                <w:noProof/>
                <w:webHidden/>
              </w:rPr>
              <w:fldChar w:fldCharType="end"/>
            </w:r>
          </w:hyperlink>
        </w:p>
        <w:p w14:paraId="25071252" w14:textId="418B1F92" w:rsidR="009F3B95" w:rsidRDefault="009F3B95">
          <w:pPr>
            <w:pStyle w:val="TOC1"/>
            <w:tabs>
              <w:tab w:val="right" w:leader="dot" w:pos="9016"/>
            </w:tabs>
            <w:rPr>
              <w:noProof/>
              <w:kern w:val="2"/>
              <w:sz w:val="24"/>
              <w:szCs w:val="24"/>
              <w:lang w:val="en-US" w:eastAsia="en-US"/>
              <w14:ligatures w14:val="standardContextual"/>
            </w:rPr>
          </w:pPr>
          <w:hyperlink w:anchor="_Toc180656181" w:history="1">
            <w:r w:rsidRPr="006D7187">
              <w:rPr>
                <w:rStyle w:val="Hyperlink"/>
                <w:noProof/>
              </w:rPr>
              <w:t>About this submission</w:t>
            </w:r>
            <w:r>
              <w:rPr>
                <w:noProof/>
                <w:webHidden/>
              </w:rPr>
              <w:tab/>
            </w:r>
            <w:r>
              <w:rPr>
                <w:noProof/>
                <w:webHidden/>
              </w:rPr>
              <w:fldChar w:fldCharType="begin"/>
            </w:r>
            <w:r>
              <w:rPr>
                <w:noProof/>
                <w:webHidden/>
              </w:rPr>
              <w:instrText xml:space="preserve"> PAGEREF _Toc180656181 \h </w:instrText>
            </w:r>
            <w:r>
              <w:rPr>
                <w:noProof/>
                <w:webHidden/>
              </w:rPr>
            </w:r>
            <w:r>
              <w:rPr>
                <w:noProof/>
                <w:webHidden/>
              </w:rPr>
              <w:fldChar w:fldCharType="separate"/>
            </w:r>
            <w:r w:rsidR="007E73AF">
              <w:rPr>
                <w:noProof/>
                <w:webHidden/>
              </w:rPr>
              <w:t>1</w:t>
            </w:r>
            <w:r>
              <w:rPr>
                <w:noProof/>
                <w:webHidden/>
              </w:rPr>
              <w:fldChar w:fldCharType="end"/>
            </w:r>
          </w:hyperlink>
        </w:p>
        <w:p w14:paraId="1B568D30" w14:textId="6C94A640" w:rsidR="009F3B95" w:rsidRDefault="009F3B95">
          <w:pPr>
            <w:pStyle w:val="TOC1"/>
            <w:tabs>
              <w:tab w:val="right" w:leader="dot" w:pos="9016"/>
            </w:tabs>
            <w:rPr>
              <w:noProof/>
              <w:kern w:val="2"/>
              <w:sz w:val="24"/>
              <w:szCs w:val="24"/>
              <w:lang w:val="en-US" w:eastAsia="en-US"/>
              <w14:ligatures w14:val="standardContextual"/>
            </w:rPr>
          </w:pPr>
          <w:hyperlink w:anchor="_Toc180656182" w:history="1">
            <w:r w:rsidRPr="006D7187">
              <w:rPr>
                <w:rStyle w:val="Hyperlink"/>
                <w:noProof/>
              </w:rPr>
              <w:t>Introduction</w:t>
            </w:r>
            <w:r>
              <w:rPr>
                <w:noProof/>
                <w:webHidden/>
              </w:rPr>
              <w:tab/>
            </w:r>
            <w:r>
              <w:rPr>
                <w:noProof/>
                <w:webHidden/>
              </w:rPr>
              <w:fldChar w:fldCharType="begin"/>
            </w:r>
            <w:r>
              <w:rPr>
                <w:noProof/>
                <w:webHidden/>
              </w:rPr>
              <w:instrText xml:space="preserve"> PAGEREF _Toc180656182 \h </w:instrText>
            </w:r>
            <w:r>
              <w:rPr>
                <w:noProof/>
                <w:webHidden/>
              </w:rPr>
            </w:r>
            <w:r>
              <w:rPr>
                <w:noProof/>
                <w:webHidden/>
              </w:rPr>
              <w:fldChar w:fldCharType="separate"/>
            </w:r>
            <w:r w:rsidR="007E73AF">
              <w:rPr>
                <w:noProof/>
                <w:webHidden/>
              </w:rPr>
              <w:t>3</w:t>
            </w:r>
            <w:r>
              <w:rPr>
                <w:noProof/>
                <w:webHidden/>
              </w:rPr>
              <w:fldChar w:fldCharType="end"/>
            </w:r>
          </w:hyperlink>
        </w:p>
        <w:p w14:paraId="62732328" w14:textId="25606C22" w:rsidR="009F3B95" w:rsidRDefault="009F3B95">
          <w:pPr>
            <w:pStyle w:val="TOC1"/>
            <w:tabs>
              <w:tab w:val="right" w:leader="dot" w:pos="9016"/>
            </w:tabs>
            <w:rPr>
              <w:noProof/>
              <w:kern w:val="2"/>
              <w:sz w:val="24"/>
              <w:szCs w:val="24"/>
              <w:lang w:val="en-US" w:eastAsia="en-US"/>
              <w14:ligatures w14:val="standardContextual"/>
            </w:rPr>
          </w:pPr>
          <w:hyperlink w:anchor="_Toc180656183" w:history="1">
            <w:r w:rsidRPr="006D7187">
              <w:rPr>
                <w:rStyle w:val="Hyperlink"/>
                <w:noProof/>
              </w:rPr>
              <w:t>Risks to vulnerable consumers</w:t>
            </w:r>
            <w:r>
              <w:rPr>
                <w:noProof/>
                <w:webHidden/>
              </w:rPr>
              <w:tab/>
            </w:r>
            <w:r>
              <w:rPr>
                <w:noProof/>
                <w:webHidden/>
              </w:rPr>
              <w:fldChar w:fldCharType="begin"/>
            </w:r>
            <w:r>
              <w:rPr>
                <w:noProof/>
                <w:webHidden/>
              </w:rPr>
              <w:instrText xml:space="preserve"> PAGEREF _Toc180656183 \h </w:instrText>
            </w:r>
            <w:r>
              <w:rPr>
                <w:noProof/>
                <w:webHidden/>
              </w:rPr>
            </w:r>
            <w:r>
              <w:rPr>
                <w:noProof/>
                <w:webHidden/>
              </w:rPr>
              <w:fldChar w:fldCharType="separate"/>
            </w:r>
            <w:r w:rsidR="007E73AF">
              <w:rPr>
                <w:noProof/>
                <w:webHidden/>
              </w:rPr>
              <w:t>3</w:t>
            </w:r>
            <w:r>
              <w:rPr>
                <w:noProof/>
                <w:webHidden/>
              </w:rPr>
              <w:fldChar w:fldCharType="end"/>
            </w:r>
          </w:hyperlink>
        </w:p>
        <w:p w14:paraId="7618A2A0" w14:textId="32473567" w:rsidR="009F3B95" w:rsidRDefault="009F3B95">
          <w:pPr>
            <w:pStyle w:val="TOC1"/>
            <w:tabs>
              <w:tab w:val="right" w:leader="dot" w:pos="9016"/>
            </w:tabs>
            <w:rPr>
              <w:noProof/>
              <w:kern w:val="2"/>
              <w:sz w:val="24"/>
              <w:szCs w:val="24"/>
              <w:lang w:val="en-US" w:eastAsia="en-US"/>
              <w14:ligatures w14:val="standardContextual"/>
            </w:rPr>
          </w:pPr>
          <w:hyperlink w:anchor="_Toc180656184" w:history="1">
            <w:r w:rsidRPr="006D7187">
              <w:rPr>
                <w:rStyle w:val="Hyperlink"/>
                <w:noProof/>
              </w:rPr>
              <w:t>Recommendations - Enforcement</w:t>
            </w:r>
            <w:r>
              <w:rPr>
                <w:noProof/>
                <w:webHidden/>
              </w:rPr>
              <w:tab/>
            </w:r>
            <w:r>
              <w:rPr>
                <w:noProof/>
                <w:webHidden/>
              </w:rPr>
              <w:fldChar w:fldCharType="begin"/>
            </w:r>
            <w:r>
              <w:rPr>
                <w:noProof/>
                <w:webHidden/>
              </w:rPr>
              <w:instrText xml:space="preserve"> PAGEREF _Toc180656184 \h </w:instrText>
            </w:r>
            <w:r>
              <w:rPr>
                <w:noProof/>
                <w:webHidden/>
              </w:rPr>
            </w:r>
            <w:r>
              <w:rPr>
                <w:noProof/>
                <w:webHidden/>
              </w:rPr>
              <w:fldChar w:fldCharType="separate"/>
            </w:r>
            <w:r w:rsidR="007E73AF">
              <w:rPr>
                <w:noProof/>
                <w:webHidden/>
              </w:rPr>
              <w:t>5</w:t>
            </w:r>
            <w:r>
              <w:rPr>
                <w:noProof/>
                <w:webHidden/>
              </w:rPr>
              <w:fldChar w:fldCharType="end"/>
            </w:r>
          </w:hyperlink>
        </w:p>
        <w:p w14:paraId="2A23BFF3" w14:textId="3D00A5E0" w:rsidR="009F3B95" w:rsidRDefault="009F3B95">
          <w:pPr>
            <w:pStyle w:val="TOC3"/>
            <w:tabs>
              <w:tab w:val="right" w:leader="dot" w:pos="9016"/>
            </w:tabs>
            <w:rPr>
              <w:noProof/>
              <w:kern w:val="2"/>
              <w:sz w:val="24"/>
              <w:szCs w:val="24"/>
              <w:lang w:val="en-US" w:eastAsia="en-US"/>
              <w14:ligatures w14:val="standardContextual"/>
            </w:rPr>
          </w:pPr>
          <w:hyperlink w:anchor="_Toc180656185" w:history="1">
            <w:r w:rsidRPr="006D7187">
              <w:rPr>
                <w:rStyle w:val="Hyperlink"/>
                <w:noProof/>
              </w:rPr>
              <w:t>Section 17 – Compliance Notice</w:t>
            </w:r>
            <w:r>
              <w:rPr>
                <w:noProof/>
                <w:webHidden/>
              </w:rPr>
              <w:tab/>
            </w:r>
            <w:r>
              <w:rPr>
                <w:noProof/>
                <w:webHidden/>
              </w:rPr>
              <w:fldChar w:fldCharType="begin"/>
            </w:r>
            <w:r>
              <w:rPr>
                <w:noProof/>
                <w:webHidden/>
              </w:rPr>
              <w:instrText xml:space="preserve"> PAGEREF _Toc180656185 \h </w:instrText>
            </w:r>
            <w:r>
              <w:rPr>
                <w:noProof/>
                <w:webHidden/>
              </w:rPr>
            </w:r>
            <w:r>
              <w:rPr>
                <w:noProof/>
                <w:webHidden/>
              </w:rPr>
              <w:fldChar w:fldCharType="separate"/>
            </w:r>
            <w:r w:rsidR="007E73AF">
              <w:rPr>
                <w:noProof/>
                <w:webHidden/>
              </w:rPr>
              <w:t>5</w:t>
            </w:r>
            <w:r>
              <w:rPr>
                <w:noProof/>
                <w:webHidden/>
              </w:rPr>
              <w:fldChar w:fldCharType="end"/>
            </w:r>
          </w:hyperlink>
        </w:p>
        <w:p w14:paraId="38878F71" w14:textId="58070895" w:rsidR="009F3B95" w:rsidRDefault="009F3B95">
          <w:pPr>
            <w:pStyle w:val="TOC3"/>
            <w:tabs>
              <w:tab w:val="right" w:leader="dot" w:pos="9016"/>
            </w:tabs>
            <w:rPr>
              <w:noProof/>
              <w:kern w:val="2"/>
              <w:sz w:val="24"/>
              <w:szCs w:val="24"/>
              <w:lang w:val="en-US" w:eastAsia="en-US"/>
              <w14:ligatures w14:val="standardContextual"/>
            </w:rPr>
          </w:pPr>
          <w:hyperlink w:anchor="_Toc180656186" w:history="1">
            <w:r w:rsidRPr="006D7187">
              <w:rPr>
                <w:rStyle w:val="Hyperlink"/>
                <w:noProof/>
              </w:rPr>
              <w:t>Section 18 – Stop Notice</w:t>
            </w:r>
            <w:r>
              <w:rPr>
                <w:noProof/>
                <w:webHidden/>
              </w:rPr>
              <w:tab/>
            </w:r>
            <w:r>
              <w:rPr>
                <w:noProof/>
                <w:webHidden/>
              </w:rPr>
              <w:fldChar w:fldCharType="begin"/>
            </w:r>
            <w:r>
              <w:rPr>
                <w:noProof/>
                <w:webHidden/>
              </w:rPr>
              <w:instrText xml:space="preserve"> PAGEREF _Toc180656186 \h </w:instrText>
            </w:r>
            <w:r>
              <w:rPr>
                <w:noProof/>
                <w:webHidden/>
              </w:rPr>
            </w:r>
            <w:r>
              <w:rPr>
                <w:noProof/>
                <w:webHidden/>
              </w:rPr>
              <w:fldChar w:fldCharType="separate"/>
            </w:r>
            <w:r w:rsidR="007E73AF">
              <w:rPr>
                <w:noProof/>
                <w:webHidden/>
              </w:rPr>
              <w:t>5</w:t>
            </w:r>
            <w:r>
              <w:rPr>
                <w:noProof/>
                <w:webHidden/>
              </w:rPr>
              <w:fldChar w:fldCharType="end"/>
            </w:r>
          </w:hyperlink>
        </w:p>
        <w:p w14:paraId="4396A470" w14:textId="7A47AC65" w:rsidR="009F3B95" w:rsidRDefault="009F3B95">
          <w:pPr>
            <w:pStyle w:val="TOC3"/>
            <w:tabs>
              <w:tab w:val="right" w:leader="dot" w:pos="9016"/>
            </w:tabs>
            <w:rPr>
              <w:noProof/>
              <w:kern w:val="2"/>
              <w:sz w:val="24"/>
              <w:szCs w:val="24"/>
              <w:lang w:val="en-US" w:eastAsia="en-US"/>
              <w14:ligatures w14:val="standardContextual"/>
            </w:rPr>
          </w:pPr>
          <w:hyperlink w:anchor="_Toc180656187" w:history="1">
            <w:r w:rsidRPr="006D7187">
              <w:rPr>
                <w:rStyle w:val="Hyperlink"/>
                <w:noProof/>
              </w:rPr>
              <w:t>Section 19 – Recall Notice</w:t>
            </w:r>
            <w:r>
              <w:rPr>
                <w:noProof/>
                <w:webHidden/>
              </w:rPr>
              <w:tab/>
            </w:r>
            <w:r>
              <w:rPr>
                <w:noProof/>
                <w:webHidden/>
              </w:rPr>
              <w:fldChar w:fldCharType="begin"/>
            </w:r>
            <w:r>
              <w:rPr>
                <w:noProof/>
                <w:webHidden/>
              </w:rPr>
              <w:instrText xml:space="preserve"> PAGEREF _Toc180656187 \h </w:instrText>
            </w:r>
            <w:r>
              <w:rPr>
                <w:noProof/>
                <w:webHidden/>
              </w:rPr>
            </w:r>
            <w:r>
              <w:rPr>
                <w:noProof/>
                <w:webHidden/>
              </w:rPr>
              <w:fldChar w:fldCharType="separate"/>
            </w:r>
            <w:r w:rsidR="007E73AF">
              <w:rPr>
                <w:noProof/>
                <w:webHidden/>
              </w:rPr>
              <w:t>6</w:t>
            </w:r>
            <w:r>
              <w:rPr>
                <w:noProof/>
                <w:webHidden/>
              </w:rPr>
              <w:fldChar w:fldCharType="end"/>
            </w:r>
          </w:hyperlink>
        </w:p>
        <w:p w14:paraId="052F33FC" w14:textId="60A1955A" w:rsidR="009F3B95" w:rsidRDefault="009F3B95">
          <w:pPr>
            <w:pStyle w:val="TOC3"/>
            <w:tabs>
              <w:tab w:val="right" w:leader="dot" w:pos="9016"/>
            </w:tabs>
            <w:rPr>
              <w:noProof/>
              <w:kern w:val="2"/>
              <w:sz w:val="24"/>
              <w:szCs w:val="24"/>
              <w:lang w:val="en-US" w:eastAsia="en-US"/>
              <w14:ligatures w14:val="standardContextual"/>
            </w:rPr>
          </w:pPr>
          <w:hyperlink w:anchor="_Toc180656188" w:history="1">
            <w:r w:rsidRPr="006D7187">
              <w:rPr>
                <w:rStyle w:val="Hyperlink"/>
                <w:noProof/>
              </w:rPr>
              <w:t>Section 20 - Public notification of failure to comply with recall notice</w:t>
            </w:r>
            <w:r>
              <w:rPr>
                <w:noProof/>
                <w:webHidden/>
              </w:rPr>
              <w:tab/>
            </w:r>
            <w:r>
              <w:rPr>
                <w:noProof/>
                <w:webHidden/>
              </w:rPr>
              <w:fldChar w:fldCharType="begin"/>
            </w:r>
            <w:r>
              <w:rPr>
                <w:noProof/>
                <w:webHidden/>
              </w:rPr>
              <w:instrText xml:space="preserve"> PAGEREF _Toc180656188 \h </w:instrText>
            </w:r>
            <w:r>
              <w:rPr>
                <w:noProof/>
                <w:webHidden/>
              </w:rPr>
            </w:r>
            <w:r>
              <w:rPr>
                <w:noProof/>
                <w:webHidden/>
              </w:rPr>
              <w:fldChar w:fldCharType="separate"/>
            </w:r>
            <w:r w:rsidR="007E73AF">
              <w:rPr>
                <w:noProof/>
                <w:webHidden/>
              </w:rPr>
              <w:t>6</w:t>
            </w:r>
            <w:r>
              <w:rPr>
                <w:noProof/>
                <w:webHidden/>
              </w:rPr>
              <w:fldChar w:fldCharType="end"/>
            </w:r>
          </w:hyperlink>
        </w:p>
        <w:p w14:paraId="7EE9EF1C" w14:textId="341B9480" w:rsidR="009F3B95" w:rsidRDefault="009F3B95">
          <w:pPr>
            <w:pStyle w:val="TOC3"/>
            <w:tabs>
              <w:tab w:val="right" w:leader="dot" w:pos="9016"/>
            </w:tabs>
            <w:rPr>
              <w:noProof/>
              <w:kern w:val="2"/>
              <w:sz w:val="24"/>
              <w:szCs w:val="24"/>
              <w:lang w:val="en-US" w:eastAsia="en-US"/>
              <w14:ligatures w14:val="standardContextual"/>
            </w:rPr>
          </w:pPr>
          <w:hyperlink w:anchor="_Toc180656189" w:history="1">
            <w:r w:rsidRPr="006D7187">
              <w:rPr>
                <w:rStyle w:val="Hyperlink"/>
                <w:noProof/>
              </w:rPr>
              <w:t>Section 21 - Revocation and variation of notices given under this Part</w:t>
            </w:r>
            <w:r>
              <w:rPr>
                <w:noProof/>
                <w:webHidden/>
              </w:rPr>
              <w:tab/>
            </w:r>
            <w:r>
              <w:rPr>
                <w:noProof/>
                <w:webHidden/>
              </w:rPr>
              <w:fldChar w:fldCharType="begin"/>
            </w:r>
            <w:r>
              <w:rPr>
                <w:noProof/>
                <w:webHidden/>
              </w:rPr>
              <w:instrText xml:space="preserve"> PAGEREF _Toc180656189 \h </w:instrText>
            </w:r>
            <w:r>
              <w:rPr>
                <w:noProof/>
                <w:webHidden/>
              </w:rPr>
            </w:r>
            <w:r>
              <w:rPr>
                <w:noProof/>
                <w:webHidden/>
              </w:rPr>
              <w:fldChar w:fldCharType="separate"/>
            </w:r>
            <w:r w:rsidR="007E73AF">
              <w:rPr>
                <w:noProof/>
                <w:webHidden/>
              </w:rPr>
              <w:t>7</w:t>
            </w:r>
            <w:r>
              <w:rPr>
                <w:noProof/>
                <w:webHidden/>
              </w:rPr>
              <w:fldChar w:fldCharType="end"/>
            </w:r>
          </w:hyperlink>
        </w:p>
        <w:p w14:paraId="6F86F796" w14:textId="65B5FB5B" w:rsidR="009F3B95" w:rsidRDefault="009F3B95">
          <w:pPr>
            <w:pStyle w:val="TOC3"/>
            <w:tabs>
              <w:tab w:val="right" w:leader="dot" w:pos="9016"/>
            </w:tabs>
            <w:rPr>
              <w:noProof/>
              <w:kern w:val="2"/>
              <w:sz w:val="24"/>
              <w:szCs w:val="24"/>
              <w:lang w:val="en-US" w:eastAsia="en-US"/>
              <w14:ligatures w14:val="standardContextual"/>
            </w:rPr>
          </w:pPr>
          <w:hyperlink w:anchor="_Toc180656190" w:history="1">
            <w:r w:rsidRPr="006D7187">
              <w:rPr>
                <w:rStyle w:val="Hyperlink"/>
                <w:noProof/>
              </w:rPr>
              <w:t>The existing staged enforcement structure facilitates delayed responses to consumer harm</w:t>
            </w:r>
            <w:r>
              <w:rPr>
                <w:noProof/>
                <w:webHidden/>
              </w:rPr>
              <w:tab/>
            </w:r>
            <w:r>
              <w:rPr>
                <w:noProof/>
                <w:webHidden/>
              </w:rPr>
              <w:fldChar w:fldCharType="begin"/>
            </w:r>
            <w:r>
              <w:rPr>
                <w:noProof/>
                <w:webHidden/>
              </w:rPr>
              <w:instrText xml:space="preserve"> PAGEREF _Toc180656190 \h </w:instrText>
            </w:r>
            <w:r>
              <w:rPr>
                <w:noProof/>
                <w:webHidden/>
              </w:rPr>
            </w:r>
            <w:r>
              <w:rPr>
                <w:noProof/>
                <w:webHidden/>
              </w:rPr>
              <w:fldChar w:fldCharType="separate"/>
            </w:r>
            <w:r w:rsidR="007E73AF">
              <w:rPr>
                <w:noProof/>
                <w:webHidden/>
              </w:rPr>
              <w:t>7</w:t>
            </w:r>
            <w:r>
              <w:rPr>
                <w:noProof/>
                <w:webHidden/>
              </w:rPr>
              <w:fldChar w:fldCharType="end"/>
            </w:r>
          </w:hyperlink>
        </w:p>
        <w:p w14:paraId="27D51D6B" w14:textId="62EAC8BA" w:rsidR="009F3B95" w:rsidRDefault="009F3B95">
          <w:pPr>
            <w:pStyle w:val="TOC1"/>
            <w:tabs>
              <w:tab w:val="right" w:leader="dot" w:pos="9016"/>
            </w:tabs>
            <w:rPr>
              <w:noProof/>
              <w:kern w:val="2"/>
              <w:sz w:val="24"/>
              <w:szCs w:val="24"/>
              <w:lang w:val="en-US" w:eastAsia="en-US"/>
              <w14:ligatures w14:val="standardContextual"/>
            </w:rPr>
          </w:pPr>
          <w:hyperlink w:anchor="_Toc180656191" w:history="1">
            <w:r w:rsidRPr="006D7187">
              <w:rPr>
                <w:rStyle w:val="Hyperlink"/>
                <w:noProof/>
              </w:rPr>
              <w:t>Conclusion</w:t>
            </w:r>
            <w:r>
              <w:rPr>
                <w:noProof/>
                <w:webHidden/>
              </w:rPr>
              <w:tab/>
            </w:r>
            <w:r>
              <w:rPr>
                <w:noProof/>
                <w:webHidden/>
              </w:rPr>
              <w:fldChar w:fldCharType="begin"/>
            </w:r>
            <w:r>
              <w:rPr>
                <w:noProof/>
                <w:webHidden/>
              </w:rPr>
              <w:instrText xml:space="preserve"> PAGEREF _Toc180656191 \h </w:instrText>
            </w:r>
            <w:r>
              <w:rPr>
                <w:noProof/>
                <w:webHidden/>
              </w:rPr>
            </w:r>
            <w:r>
              <w:rPr>
                <w:noProof/>
                <w:webHidden/>
              </w:rPr>
              <w:fldChar w:fldCharType="separate"/>
            </w:r>
            <w:r w:rsidR="007E73AF">
              <w:rPr>
                <w:noProof/>
                <w:webHidden/>
              </w:rPr>
              <w:t>8</w:t>
            </w:r>
            <w:r>
              <w:rPr>
                <w:noProof/>
                <w:webHidden/>
              </w:rPr>
              <w:fldChar w:fldCharType="end"/>
            </w:r>
          </w:hyperlink>
        </w:p>
        <w:p w14:paraId="35B3D544" w14:textId="77F33EC0" w:rsidR="00B8702E" w:rsidRDefault="00C5300D" w:rsidP="00C5300D">
          <w:r>
            <w:rPr>
              <w:b/>
              <w:bCs/>
              <w:noProof/>
            </w:rPr>
            <w:fldChar w:fldCharType="end"/>
          </w:r>
        </w:p>
      </w:sdtContent>
    </w:sdt>
    <w:p w14:paraId="1295D639" w14:textId="1E2DF5EC" w:rsidR="00B8702E" w:rsidRDefault="00B8702E" w:rsidP="00C5300D"/>
    <w:p w14:paraId="7FDA4732" w14:textId="15E45910" w:rsidR="00C5300D" w:rsidRDefault="00C5300D" w:rsidP="00C5300D"/>
    <w:p w14:paraId="4BF5DA2A" w14:textId="496FD671" w:rsidR="00B8702E" w:rsidRDefault="00B8702E" w:rsidP="00C5300D"/>
    <w:p w14:paraId="7C57CF58" w14:textId="7A355D97" w:rsidR="00B8702E" w:rsidRDefault="00B8702E" w:rsidP="00C5300D"/>
    <w:p w14:paraId="14B785E9" w14:textId="6E53D9DA" w:rsidR="00B8702E" w:rsidRDefault="00B8702E" w:rsidP="00C5300D"/>
    <w:p w14:paraId="606EB837" w14:textId="56431B30" w:rsidR="00FB180E" w:rsidRDefault="00FB180E" w:rsidP="00C5300D"/>
    <w:p w14:paraId="18B70C31" w14:textId="22437ECB" w:rsidR="0006020F" w:rsidRDefault="00A67DA6" w:rsidP="00C5300D">
      <w:r>
        <w:rPr>
          <w:noProof/>
        </w:rPr>
        <w:drawing>
          <wp:anchor distT="0" distB="0" distL="114300" distR="114300" simplePos="0" relativeHeight="251658240" behindDoc="1" locked="0" layoutInCell="1" allowOverlap="1" wp14:anchorId="525B5BBE" wp14:editId="54D3ADAD">
            <wp:simplePos x="0" y="0"/>
            <wp:positionH relativeFrom="margin">
              <wp:align>center</wp:align>
            </wp:positionH>
            <wp:positionV relativeFrom="paragraph">
              <wp:posOffset>279400</wp:posOffset>
            </wp:positionV>
            <wp:extent cx="6670040" cy="3009900"/>
            <wp:effectExtent l="0" t="0" r="0" b="0"/>
            <wp:wrapTight wrapText="bothSides">
              <wp:wrapPolygon edited="0">
                <wp:start x="1049" y="0"/>
                <wp:lineTo x="617" y="410"/>
                <wp:lineTo x="0" y="1777"/>
                <wp:lineTo x="0" y="19003"/>
                <wp:lineTo x="62" y="20096"/>
                <wp:lineTo x="1049" y="21463"/>
                <wp:lineTo x="1357" y="21463"/>
                <wp:lineTo x="20173" y="21463"/>
                <wp:lineTo x="20481" y="21463"/>
                <wp:lineTo x="21407" y="20096"/>
                <wp:lineTo x="21530" y="18866"/>
                <wp:lineTo x="21530" y="1914"/>
                <wp:lineTo x="20790" y="273"/>
                <wp:lineTo x="20481" y="0"/>
                <wp:lineTo x="1049" y="0"/>
              </wp:wrapPolygon>
            </wp:wrapTight>
            <wp:docPr id="12570718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6">
                              <a14:imgEffect>
                                <a14:colorTemperature colorTemp="59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6670040" cy="3009900"/>
                    </a:xfrm>
                    <a:prstGeom prst="rect">
                      <a:avLst/>
                    </a:prstGeom>
                    <a:noFill/>
                  </pic:spPr>
                </pic:pic>
              </a:graphicData>
            </a:graphic>
            <wp14:sizeRelH relativeFrom="page">
              <wp14:pctWidth>0</wp14:pctWidth>
            </wp14:sizeRelH>
            <wp14:sizeRelV relativeFrom="page">
              <wp14:pctHeight>0</wp14:pctHeight>
            </wp14:sizeRelV>
          </wp:anchor>
        </w:drawing>
      </w:r>
    </w:p>
    <w:p w14:paraId="73EA4EFC" w14:textId="77777777" w:rsidR="00C5300D" w:rsidRDefault="00C5300D" w:rsidP="00C5300D">
      <w:pPr>
        <w:pStyle w:val="Heading1"/>
      </w:pPr>
      <w:bookmarkStart w:id="3" w:name="_Toc180656182"/>
      <w:r>
        <w:lastRenderedPageBreak/>
        <w:t>Introduction</w:t>
      </w:r>
      <w:bookmarkEnd w:id="3"/>
    </w:p>
    <w:p w14:paraId="0E177CF7" w14:textId="34BDBE2C" w:rsidR="00FC09C0" w:rsidRDefault="00FC09C0" w:rsidP="000F724E">
      <w:r>
        <w:t xml:space="preserve">Ensuring a fit-for-purpose regulatory framework for </w:t>
      </w:r>
      <w:r w:rsidR="007145D0">
        <w:t>the</w:t>
      </w:r>
      <w:r>
        <w:t xml:space="preserve"> enforcement of cybersecurity standards is critical to</w:t>
      </w:r>
      <w:r w:rsidR="00184D88">
        <w:t xml:space="preserve"> improving consumer confidence in </w:t>
      </w:r>
      <w:r w:rsidR="00780B9F">
        <w:t>relevant connectable products, including IoT devices</w:t>
      </w:r>
      <w:r w:rsidR="00184D88">
        <w:t xml:space="preserve">. </w:t>
      </w:r>
    </w:p>
    <w:p w14:paraId="2D73D0EE" w14:textId="4B2B3B53" w:rsidR="000F724E" w:rsidRDefault="000F724E" w:rsidP="000F724E">
      <w:r>
        <w:t>According to the .au Domain Administration (</w:t>
      </w:r>
      <w:r w:rsidRPr="00CC2CDC">
        <w:rPr>
          <w:b/>
          <w:bCs/>
        </w:rPr>
        <w:t>auDA</w:t>
      </w:r>
      <w:r>
        <w:t xml:space="preserve">)’s recent </w:t>
      </w:r>
      <w:r w:rsidRPr="00957A1D">
        <w:rPr>
          <w:i/>
          <w:iCs/>
        </w:rPr>
        <w:t>Digital Lives of Australians</w:t>
      </w:r>
      <w:r>
        <w:t xml:space="preserve"> report:</w:t>
      </w:r>
    </w:p>
    <w:p w14:paraId="4F231606" w14:textId="2731CB89" w:rsidR="000F724E" w:rsidRDefault="000F724E" w:rsidP="007E3E1D">
      <w:pPr>
        <w:pStyle w:val="ListParagraph"/>
        <w:numPr>
          <w:ilvl w:val="0"/>
          <w:numId w:val="8"/>
        </w:numPr>
      </w:pPr>
      <w:r>
        <w:t>64% of consumers and 55% of small businesses avoid online activity due to concerns about data security.</w:t>
      </w:r>
      <w:r>
        <w:rPr>
          <w:rStyle w:val="FootnoteReference"/>
        </w:rPr>
        <w:footnoteReference w:id="2"/>
      </w:r>
    </w:p>
    <w:p w14:paraId="1010BCAC" w14:textId="6651ACFC" w:rsidR="000F724E" w:rsidRDefault="000F724E" w:rsidP="007E3E1D">
      <w:pPr>
        <w:pStyle w:val="ListParagraph"/>
        <w:numPr>
          <w:ilvl w:val="0"/>
          <w:numId w:val="8"/>
        </w:numPr>
      </w:pPr>
      <w:r>
        <w:t xml:space="preserve">81% of consumers and 74% of small businesses </w:t>
      </w:r>
      <w:r w:rsidRPr="0069689B">
        <w:t>believe companies should do more to protect the personal information of customers from cyber-attacks</w:t>
      </w:r>
      <w:r>
        <w:t>.</w:t>
      </w:r>
      <w:r>
        <w:rPr>
          <w:rStyle w:val="FootnoteReference"/>
        </w:rPr>
        <w:footnoteReference w:id="3"/>
      </w:r>
    </w:p>
    <w:p w14:paraId="6D22D9D0" w14:textId="769534E0" w:rsidR="000F724E" w:rsidRDefault="000F724E" w:rsidP="007E3E1D">
      <w:pPr>
        <w:pStyle w:val="ListParagraph"/>
        <w:numPr>
          <w:ilvl w:val="0"/>
          <w:numId w:val="8"/>
        </w:numPr>
      </w:pPr>
      <w:r>
        <w:t>83% of consumers and 79% of small businesses feel failure to protect the personal information of customers should result in penalties.</w:t>
      </w:r>
      <w:r>
        <w:rPr>
          <w:rStyle w:val="FootnoteReference"/>
        </w:rPr>
        <w:footnoteReference w:id="4"/>
      </w:r>
    </w:p>
    <w:p w14:paraId="6D0AFDC4" w14:textId="707CDEC6" w:rsidR="000F724E" w:rsidRDefault="000F724E" w:rsidP="007E3E1D">
      <w:pPr>
        <w:pStyle w:val="ListParagraph"/>
        <w:numPr>
          <w:ilvl w:val="0"/>
          <w:numId w:val="8"/>
        </w:numPr>
      </w:pPr>
      <w:r>
        <w:t>13% of consumers and 24% of small businesses feel they have high capability with cyber security skills.</w:t>
      </w:r>
      <w:r>
        <w:rPr>
          <w:rStyle w:val="FootnoteReference"/>
        </w:rPr>
        <w:footnoteReference w:id="5"/>
      </w:r>
    </w:p>
    <w:p w14:paraId="0AAFE2CA" w14:textId="1C9C1223" w:rsidR="1BFB05C0" w:rsidRDefault="639B80A3" w:rsidP="00320E74">
      <w:r>
        <w:t xml:space="preserve">ACCAN </w:t>
      </w:r>
      <w:r w:rsidR="2D2F98C8">
        <w:t>supports the</w:t>
      </w:r>
      <w:r w:rsidR="378FC7B9">
        <w:t xml:space="preserve"> government</w:t>
      </w:r>
      <w:r w:rsidR="2D2F98C8">
        <w:t xml:space="preserve"> measures to </w:t>
      </w:r>
      <w:r w:rsidR="378FC7B9">
        <w:t>establis</w:t>
      </w:r>
      <w:r w:rsidR="2D2F98C8">
        <w:t>h</w:t>
      </w:r>
      <w:r>
        <w:t xml:space="preserve"> the most practical and comprehensive secure</w:t>
      </w:r>
      <w:r w:rsidR="66C0E9DE">
        <w:t>-</w:t>
      </w:r>
      <w:r>
        <w:t>by</w:t>
      </w:r>
      <w:r w:rsidR="66C0E9DE">
        <w:t>-</w:t>
      </w:r>
      <w:r>
        <w:t xml:space="preserve">design principles </w:t>
      </w:r>
      <w:r w:rsidR="442B1D9E">
        <w:t xml:space="preserve">to </w:t>
      </w:r>
      <w:r w:rsidR="3639F624">
        <w:t xml:space="preserve">protect consumers </w:t>
      </w:r>
      <w:r>
        <w:t>as the ‘complexity of security configuration should not be a customer problem’</w:t>
      </w:r>
      <w:r w:rsidR="54BF8A81">
        <w:t>, as consumers are</w:t>
      </w:r>
      <w:r>
        <w:t xml:space="preserve"> time</w:t>
      </w:r>
      <w:r w:rsidR="54BF8A81">
        <w:t>-</w:t>
      </w:r>
      <w:r>
        <w:t xml:space="preserve">poor and </w:t>
      </w:r>
      <w:r w:rsidR="54BF8A81">
        <w:t xml:space="preserve">there is </w:t>
      </w:r>
      <w:r>
        <w:t>limited digital literacy in the community.</w:t>
      </w:r>
      <w:r w:rsidR="000F724E">
        <w:rPr>
          <w:rStyle w:val="FootnoteReference"/>
        </w:rPr>
        <w:footnoteReference w:id="6"/>
      </w:r>
      <w:r>
        <w:t xml:space="preserve"> Consumers who are not confident in their digital skills and/or have limited digital ability should </w:t>
      </w:r>
      <w:r w:rsidR="55139D44">
        <w:t>be assured</w:t>
      </w:r>
      <w:r>
        <w:t xml:space="preserve"> that</w:t>
      </w:r>
      <w:r w:rsidRPr="00217B5D">
        <w:t xml:space="preserve"> the devices they purchase have sufficient cyber security protections</w:t>
      </w:r>
      <w:r>
        <w:t>. Better minimum standards</w:t>
      </w:r>
      <w:r w:rsidR="0EECC46B">
        <w:t xml:space="preserve"> combined with </w:t>
      </w:r>
      <w:r w:rsidR="39644408">
        <w:t xml:space="preserve">responsive enforcement </w:t>
      </w:r>
      <w:r w:rsidR="47436F41">
        <w:t>capabilities</w:t>
      </w:r>
      <w:r>
        <w:t xml:space="preserve"> would facilitate a more competitive and effective </w:t>
      </w:r>
      <w:r w:rsidR="3639F624">
        <w:t xml:space="preserve">connected </w:t>
      </w:r>
      <w:r>
        <w:t>device market</w:t>
      </w:r>
      <w:r w:rsidR="1AF579BA">
        <w:t>.</w:t>
      </w:r>
      <w:r>
        <w:t xml:space="preserve"> </w:t>
      </w:r>
      <w:r w:rsidR="1AF579BA">
        <w:t>C</w:t>
      </w:r>
      <w:r>
        <w:t>onsumers can place greater trust in devices they purchase, with the knowledge they are covered by mandatory, minimum regulations.</w:t>
      </w:r>
      <w:r w:rsidR="000F724E">
        <w:rPr>
          <w:rStyle w:val="FootnoteReference"/>
        </w:rPr>
        <w:footnoteReference w:id="7"/>
      </w:r>
    </w:p>
    <w:p w14:paraId="57774D5F" w14:textId="6CF339D2" w:rsidR="00C5300D" w:rsidRDefault="009F3B95" w:rsidP="00C5300D">
      <w:pPr>
        <w:pStyle w:val="Heading1"/>
      </w:pPr>
      <w:bookmarkStart w:id="4" w:name="_Toc180656183"/>
      <w:r>
        <w:t>Risks to vulnerable consumers</w:t>
      </w:r>
      <w:bookmarkEnd w:id="4"/>
    </w:p>
    <w:p w14:paraId="102E59FB" w14:textId="7EEA82D1" w:rsidR="00BF073E" w:rsidRDefault="16F8272B" w:rsidP="00C6718F">
      <w:r>
        <w:t xml:space="preserve">Standards and protections are essential to support the safety of consumers, particularly given the prevalence of technology-facilitated abuse in the community. </w:t>
      </w:r>
      <w:r w:rsidR="1D1012FF" w:rsidRPr="00FF3611">
        <w:t>‘Technology-facilitated abuse is estimated to involve 8% to 48% of all D</w:t>
      </w:r>
      <w:r w:rsidR="2FEE7AF5" w:rsidRPr="00FF3611">
        <w:t xml:space="preserve">omestic and </w:t>
      </w:r>
      <w:r w:rsidR="1D1012FF" w:rsidRPr="00FF3611">
        <w:t>F</w:t>
      </w:r>
      <w:r w:rsidR="7499E985" w:rsidRPr="00FF3611">
        <w:t xml:space="preserve">amily </w:t>
      </w:r>
      <w:r w:rsidR="1D1012FF" w:rsidRPr="00FF3611">
        <w:t>V</w:t>
      </w:r>
      <w:r w:rsidR="0D15CE61" w:rsidRPr="00FF3611">
        <w:t>iolence (DFV)</w:t>
      </w:r>
      <w:r w:rsidR="1D1012FF" w:rsidRPr="00FF3611">
        <w:t xml:space="preserve"> cases, with 27% of children in Australia experiencing technology-facilitated DFV.’</w:t>
      </w:r>
      <w:r w:rsidR="00FF3611">
        <w:rPr>
          <w:rStyle w:val="FootnoteReference"/>
        </w:rPr>
        <w:footnoteReference w:id="8"/>
      </w:r>
      <w:r w:rsidR="1D1012FF" w:rsidRPr="00FF3611">
        <w:t xml:space="preserve"> </w:t>
      </w:r>
      <w:r w:rsidR="732BC993">
        <w:t xml:space="preserve">A survey </w:t>
      </w:r>
      <w:r w:rsidR="65E34E20">
        <w:t xml:space="preserve">conducted by </w:t>
      </w:r>
      <w:r w:rsidR="0080088E">
        <w:t xml:space="preserve">WESNET </w:t>
      </w:r>
      <w:r w:rsidR="65E34E20">
        <w:t xml:space="preserve"> noted that t</w:t>
      </w:r>
      <w:r w:rsidR="65E34E20" w:rsidRPr="00AA6ED4">
        <w:t>he use of technology to monitor and track victim-survivors showed increases across all areas between 2015 and 2020.</w:t>
      </w:r>
      <w:r w:rsidR="00BF073E">
        <w:rPr>
          <w:rStyle w:val="FootnoteReference"/>
        </w:rPr>
        <w:footnoteReference w:id="9"/>
      </w:r>
      <w:r w:rsidR="732BC993">
        <w:t xml:space="preserve"> </w:t>
      </w:r>
      <w:r w:rsidR="732BC993" w:rsidRPr="00FF3611">
        <w:t>Additionally, 9</w:t>
      </w:r>
      <w:r w:rsidR="732BC993">
        <w:t>9</w:t>
      </w:r>
      <w:r w:rsidR="00690720">
        <w:t>%</w:t>
      </w:r>
      <w:r w:rsidR="732BC993" w:rsidRPr="00FF3611">
        <w:t xml:space="preserve"> of Australian domestic abuse support workers report they have clients who have experienced technology-facilitated abuse</w:t>
      </w:r>
      <w:r w:rsidR="732BC993">
        <w:t xml:space="preserve"> and stalking</w:t>
      </w:r>
      <w:r w:rsidR="732BC993" w:rsidRPr="00FF3611">
        <w:t>.</w:t>
      </w:r>
      <w:r w:rsidR="732BC993" w:rsidRPr="007D7D01">
        <w:rPr>
          <w:rStyle w:val="FootnoteReference"/>
        </w:rPr>
        <w:t xml:space="preserve"> </w:t>
      </w:r>
      <w:r w:rsidR="00322F75">
        <w:rPr>
          <w:rStyle w:val="FootnoteReference"/>
        </w:rPr>
        <w:footnoteReference w:id="10"/>
      </w:r>
      <w:r w:rsidR="0D5BF84F">
        <w:t xml:space="preserve"> </w:t>
      </w:r>
    </w:p>
    <w:p w14:paraId="32FE447F" w14:textId="77777777" w:rsidR="004250F8" w:rsidRDefault="004250F8" w:rsidP="00C6718F"/>
    <w:p w14:paraId="6EEC7AB4" w14:textId="002F55E1" w:rsidR="0069796E" w:rsidRDefault="0069796E" w:rsidP="00C6718F">
      <w:r>
        <w:lastRenderedPageBreak/>
        <w:t>WESNET’s survey noted</w:t>
      </w:r>
      <w:r w:rsidR="00175299">
        <w:t xml:space="preserve"> the increasing risk of T</w:t>
      </w:r>
      <w:r w:rsidR="00031054">
        <w:t>echnology Facilitated Coercive Control (</w:t>
      </w:r>
      <w:r w:rsidR="00031054" w:rsidRPr="00B73AC8">
        <w:rPr>
          <w:b/>
          <w:bCs/>
        </w:rPr>
        <w:t>T</w:t>
      </w:r>
      <w:r w:rsidR="00175299" w:rsidRPr="00B73AC8">
        <w:rPr>
          <w:b/>
          <w:bCs/>
        </w:rPr>
        <w:t>FCC</w:t>
      </w:r>
      <w:r w:rsidR="00031054">
        <w:t>)</w:t>
      </w:r>
      <w:r w:rsidR="00175299">
        <w:t xml:space="preserve"> to</w:t>
      </w:r>
      <w:r w:rsidR="00CD4E9A">
        <w:t xml:space="preserve"> vulnerable consumers. </w:t>
      </w:r>
    </w:p>
    <w:p w14:paraId="493D600C" w14:textId="36B560B9" w:rsidR="00175299" w:rsidRDefault="00F1613D" w:rsidP="00175299">
      <w:pPr>
        <w:pStyle w:val="ListParagraph"/>
        <w:numPr>
          <w:ilvl w:val="0"/>
          <w:numId w:val="11"/>
        </w:numPr>
      </w:pPr>
      <w:r>
        <w:t>‘</w:t>
      </w:r>
      <w:r w:rsidR="00175299" w:rsidRPr="00175299">
        <w:t>Respondents noted they were seeing GPS tracking apps used ‘all the time’ (16.2%) and ‘often’ (45.6%). This is a 131% and 75% increase respectively from 2015</w:t>
      </w:r>
      <w:r>
        <w:t>’</w:t>
      </w:r>
      <w:r w:rsidR="00CD4E9A">
        <w:t>.</w:t>
      </w:r>
      <w:r w:rsidR="00CD4E9A">
        <w:rPr>
          <w:rStyle w:val="FootnoteReference"/>
        </w:rPr>
        <w:footnoteReference w:id="11"/>
      </w:r>
    </w:p>
    <w:p w14:paraId="7CD58AEE" w14:textId="4E9AC5D3" w:rsidR="00175299" w:rsidRDefault="00F1613D" w:rsidP="00175299">
      <w:pPr>
        <w:pStyle w:val="ListParagraph"/>
        <w:numPr>
          <w:ilvl w:val="0"/>
          <w:numId w:val="11"/>
        </w:numPr>
      </w:pPr>
      <w:r>
        <w:t>‘</w:t>
      </w:r>
      <w:r w:rsidR="00000D9D" w:rsidRPr="00000D9D">
        <w:t>The use of technology to monitor and track victim-survivors showed increases across all areas between 2015 and 2020</w:t>
      </w:r>
      <w:r>
        <w:t>’</w:t>
      </w:r>
      <w:r w:rsidR="00000D9D">
        <w:t>.</w:t>
      </w:r>
      <w:r w:rsidR="00000D9D">
        <w:rPr>
          <w:rStyle w:val="FootnoteReference"/>
        </w:rPr>
        <w:footnoteReference w:id="12"/>
      </w:r>
    </w:p>
    <w:p w14:paraId="32DC88E0" w14:textId="796E525A" w:rsidR="00175299" w:rsidRDefault="6D85B25C" w:rsidP="008B16E7">
      <w:pPr>
        <w:pStyle w:val="ListParagraph"/>
        <w:numPr>
          <w:ilvl w:val="0"/>
          <w:numId w:val="11"/>
        </w:numPr>
      </w:pPr>
      <w:r>
        <w:t>‘</w:t>
      </w:r>
      <w:r w:rsidR="4C4A1B3A" w:rsidRPr="00C12391">
        <w:t>The developments in accessible digital technologies such as GPS enable the quick uptake by large numbers of perpetrators using the technologies to control and monitor women victim-survivors</w:t>
      </w:r>
      <w:r>
        <w:t>’</w:t>
      </w:r>
      <w:r w:rsidR="4C4A1B3A" w:rsidRPr="00C12391">
        <w:t>.</w:t>
      </w:r>
      <w:r w:rsidR="00C12391">
        <w:rPr>
          <w:rStyle w:val="FootnoteReference"/>
        </w:rPr>
        <w:footnoteReference w:id="13"/>
      </w:r>
    </w:p>
    <w:p w14:paraId="10AB95DB" w14:textId="77777777" w:rsidR="00B727CE" w:rsidRDefault="00FF3611" w:rsidP="007D7D01">
      <w:r w:rsidRPr="00FF3611">
        <w:t>If not securely protected, the granular data collected by</w:t>
      </w:r>
      <w:r w:rsidR="007D7D01">
        <w:t xml:space="preserve"> connected devices</w:t>
      </w:r>
      <w:r w:rsidRPr="00FF3611">
        <w:t>, including location data, can be used by abusers to perpetrate TFCC.</w:t>
      </w:r>
      <w:r w:rsidR="00C12CC7" w:rsidRPr="00C12CC7">
        <w:t xml:space="preserve"> It is critical that ‘the risk of tech</w:t>
      </w:r>
      <w:r w:rsidR="00C12CC7">
        <w:t xml:space="preserve"> </w:t>
      </w:r>
      <w:r w:rsidR="00C12CC7" w:rsidRPr="00C12CC7">
        <w:t>abuse be incorporated into risk assessments and safety planning processes’ of IoT device manufacturers</w:t>
      </w:r>
      <w:r w:rsidR="00C12CC7">
        <w:t>.</w:t>
      </w:r>
      <w:r w:rsidR="00C12CC7">
        <w:rPr>
          <w:rStyle w:val="FootnoteReference"/>
        </w:rPr>
        <w:footnoteReference w:id="14"/>
      </w:r>
      <w:r w:rsidR="00322F75">
        <w:t xml:space="preserve"> </w:t>
      </w:r>
      <w:r w:rsidR="00322F75" w:rsidRPr="00322F75">
        <w:t>Requiring</w:t>
      </w:r>
      <w:r w:rsidR="00322F75">
        <w:t xml:space="preserve"> connected</w:t>
      </w:r>
      <w:r w:rsidR="00322F75" w:rsidRPr="00322F75">
        <w:t xml:space="preserve"> device manufacturers to consider the consumer harm facilitated through their devices would help limit consumer vulnerabilities and improve consumer confidence in the IoT market.</w:t>
      </w:r>
      <w:r w:rsidR="00322F75">
        <w:rPr>
          <w:rStyle w:val="FootnoteReference"/>
        </w:rPr>
        <w:footnoteReference w:id="15"/>
      </w:r>
      <w:r w:rsidR="00322F75" w:rsidRPr="00322F75">
        <w:t xml:space="preserve"> </w:t>
      </w:r>
    </w:p>
    <w:p w14:paraId="3D15E2D8" w14:textId="11BCA308" w:rsidR="0069796E" w:rsidRDefault="00322F75" w:rsidP="007D7D01">
      <w:r w:rsidRPr="00322F75">
        <w:t>IoT devices are ‘inherently designed based on the assumptions that all of their users trust each other’ which may leave consumers vulnerable to avenues of abuse if device manufacturers do not account for the possibility of TFCC in the design and manufacture of their products</w:t>
      </w:r>
      <w:r>
        <w:t>.</w:t>
      </w:r>
      <w:r w:rsidR="009A749F">
        <w:rPr>
          <w:rStyle w:val="FootnoteReference"/>
        </w:rPr>
        <w:footnoteReference w:id="16"/>
      </w:r>
      <w:r>
        <w:t xml:space="preserve"> </w:t>
      </w:r>
    </w:p>
    <w:p w14:paraId="7854FB31" w14:textId="70746D48" w:rsidR="00247335" w:rsidRDefault="003A47F1" w:rsidP="00F97A64">
      <w:pPr>
        <w:rPr>
          <w:rFonts w:cstheme="minorHAnsi"/>
          <w:b/>
          <w:sz w:val="36"/>
          <w:szCs w:val="32"/>
        </w:rPr>
      </w:pPr>
      <w:r>
        <w:rPr>
          <w:rFonts w:cstheme="minorHAnsi"/>
          <w:b/>
          <w:sz w:val="36"/>
          <w:szCs w:val="32"/>
        </w:rPr>
        <w:t>Statement of Compliance o</w:t>
      </w:r>
      <w:r w:rsidRPr="00247335">
        <w:rPr>
          <w:rFonts w:cstheme="minorHAnsi"/>
          <w:b/>
          <w:sz w:val="36"/>
          <w:szCs w:val="32"/>
        </w:rPr>
        <w:t>bligation</w:t>
      </w:r>
      <w:r w:rsidR="00247335" w:rsidRPr="00247335">
        <w:rPr>
          <w:rFonts w:cstheme="minorHAnsi"/>
          <w:b/>
          <w:sz w:val="36"/>
          <w:szCs w:val="32"/>
        </w:rPr>
        <w:t xml:space="preserve"> </w:t>
      </w:r>
    </w:p>
    <w:p w14:paraId="435EFD85" w14:textId="46FF712E" w:rsidR="00620FEC" w:rsidRDefault="00F97A64" w:rsidP="00F97A64">
      <w:r>
        <w:t xml:space="preserve">Section 16 </w:t>
      </w:r>
      <w:r w:rsidR="00284810">
        <w:t xml:space="preserve">(3) of the </w:t>
      </w:r>
      <w:r w:rsidR="00A50BBB">
        <w:t xml:space="preserve">Bill </w:t>
      </w:r>
      <w:r w:rsidR="006444F7">
        <w:t xml:space="preserve">should be amended to require </w:t>
      </w:r>
      <w:r w:rsidR="003873E2">
        <w:t xml:space="preserve">that </w:t>
      </w:r>
      <w:r w:rsidR="00E91D4E">
        <w:t xml:space="preserve">entities that supply relevant connectable products in Australia must ensure that the statement of compliance </w:t>
      </w:r>
      <w:r w:rsidR="005C21B1" w:rsidRPr="005C21B1">
        <w:t>with the security standard for a class of relevant connectable product</w:t>
      </w:r>
      <w:r w:rsidR="005C21B1">
        <w:t xml:space="preserve"> is clearly provided to the customer upon purchase</w:t>
      </w:r>
      <w:r w:rsidR="00FD0E1F">
        <w:t xml:space="preserve">. </w:t>
      </w:r>
    </w:p>
    <w:p w14:paraId="2A9ABF6E" w14:textId="517B2730" w:rsidR="00A72B3D" w:rsidRDefault="0C5E93E6" w:rsidP="00F97A64">
      <w:r>
        <w:t>This may be achieved through</w:t>
      </w:r>
      <w:r w:rsidR="16096BBD">
        <w:t xml:space="preserve"> accessible</w:t>
      </w:r>
      <w:r>
        <w:t xml:space="preserve"> electronic or physical </w:t>
      </w:r>
      <w:r w:rsidR="115F9749">
        <w:t>means and</w:t>
      </w:r>
      <w:r>
        <w:t xml:space="preserve"> should </w:t>
      </w:r>
      <w:r w:rsidR="5598A14A">
        <w:t>prompt</w:t>
      </w:r>
      <w:r w:rsidR="16096BBD">
        <w:t xml:space="preserve"> </w:t>
      </w:r>
      <w:r w:rsidR="5598A14A">
        <w:t>consumers to the relevant and appropriate reporting pathways</w:t>
      </w:r>
      <w:r w:rsidR="4C9E52FD">
        <w:t>,</w:t>
      </w:r>
      <w:r w:rsidR="5598A14A">
        <w:t xml:space="preserve"> should they suspect that their relevant connectable product is no</w:t>
      </w:r>
      <w:r w:rsidR="7457B4FA">
        <w:t>n-</w:t>
      </w:r>
      <w:r w:rsidR="5598A14A">
        <w:t>compliant</w:t>
      </w:r>
      <w:r w:rsidR="7B017229">
        <w:t>.</w:t>
      </w:r>
      <w:r w:rsidR="12B6CAF5">
        <w:t xml:space="preserve"> </w:t>
      </w:r>
      <w:r w:rsidR="7457B4FA">
        <w:t>T</w:t>
      </w:r>
      <w:r w:rsidR="25BA0AAA">
        <w:t>his change will contribute to the ‘light touch’ regulatory system proposed by the Legislative package and improve consumer visibility and awareness of the</w:t>
      </w:r>
      <w:r w:rsidR="13263846">
        <w:t xml:space="preserve"> security standard framework.</w:t>
      </w:r>
      <w:r w:rsidR="005B1C17">
        <w:rPr>
          <w:rStyle w:val="FootnoteReference"/>
        </w:rPr>
        <w:footnoteReference w:id="17"/>
      </w:r>
    </w:p>
    <w:p w14:paraId="4E2B722E" w14:textId="77777777" w:rsidR="00320E74" w:rsidRDefault="00320E74" w:rsidP="00F97A64"/>
    <w:p w14:paraId="430F3968" w14:textId="77777777" w:rsidR="00320E74" w:rsidRDefault="00320E74" w:rsidP="00F97A64"/>
    <w:p w14:paraId="6936AAA5" w14:textId="77777777" w:rsidR="00320E74" w:rsidRDefault="00320E74" w:rsidP="00F97A64"/>
    <w:p w14:paraId="5F6BE773" w14:textId="666C97C4" w:rsidR="00297EC8" w:rsidRDefault="009F3B95" w:rsidP="00297EC8">
      <w:pPr>
        <w:pStyle w:val="Heading1"/>
      </w:pPr>
      <w:bookmarkStart w:id="5" w:name="_Toc180656184"/>
      <w:r>
        <w:lastRenderedPageBreak/>
        <w:t xml:space="preserve">Recommendations - </w:t>
      </w:r>
      <w:r w:rsidR="00297EC8" w:rsidRPr="00297EC8">
        <w:t>Enforcement</w:t>
      </w:r>
      <w:bookmarkEnd w:id="5"/>
      <w:r w:rsidR="00297EC8" w:rsidRPr="00297EC8">
        <w:t xml:space="preserve"> </w:t>
      </w:r>
    </w:p>
    <w:p w14:paraId="22D0DF4C" w14:textId="66D6A1D4" w:rsidR="00B231A7" w:rsidRPr="00670EA0" w:rsidRDefault="00B231A7" w:rsidP="0049102A">
      <w:pPr>
        <w:pStyle w:val="Heading3"/>
      </w:pPr>
      <w:bookmarkStart w:id="6" w:name="_Toc180656185"/>
      <w:r w:rsidRPr="00670EA0">
        <w:t xml:space="preserve">Section 17 </w:t>
      </w:r>
      <w:r w:rsidR="001F7966" w:rsidRPr="00670EA0">
        <w:t>– Compliance Notice</w:t>
      </w:r>
      <w:bookmarkEnd w:id="6"/>
    </w:p>
    <w:p w14:paraId="45E24D55" w14:textId="196495CD" w:rsidR="000C6EA2" w:rsidRDefault="00375C7A" w:rsidP="007519DA">
      <w:r>
        <w:t>Section 17(3) of the B</w:t>
      </w:r>
      <w:r w:rsidR="00047E20">
        <w:t>ill should be amended to better facilitate effective enforcement outcomes in response to non-compliance</w:t>
      </w:r>
      <w:r w:rsidR="00524C39">
        <w:t xml:space="preserve"> with security standards</w:t>
      </w:r>
      <w:r w:rsidR="00047E20">
        <w:t xml:space="preserve">. </w:t>
      </w:r>
    </w:p>
    <w:p w14:paraId="6EE60E76" w14:textId="0DBA79E0" w:rsidR="007519DA" w:rsidRPr="007519DA" w:rsidRDefault="00324A3E" w:rsidP="007519DA">
      <w:r>
        <w:t>ACCAN considers that Section 17(3) should be amended to (</w:t>
      </w:r>
      <w:r w:rsidRPr="000C6EA2">
        <w:rPr>
          <w:b/>
          <w:bCs/>
        </w:rPr>
        <w:t>changes in bold</w:t>
      </w:r>
      <w:r>
        <w:t>):</w:t>
      </w:r>
    </w:p>
    <w:p w14:paraId="3899CEBA" w14:textId="57C4C138" w:rsidR="0011241A" w:rsidRPr="0011241A" w:rsidRDefault="0011241A" w:rsidP="0011241A">
      <w:pPr>
        <w:ind w:firstLine="720"/>
      </w:pPr>
      <w:r w:rsidRPr="0011241A">
        <w:t>(3)</w:t>
      </w:r>
      <w:r>
        <w:t xml:space="preserve"> </w:t>
      </w:r>
      <w:r w:rsidRPr="0011241A">
        <w:t>Before giving the notice to the entity, the Secretary must:</w:t>
      </w:r>
    </w:p>
    <w:p w14:paraId="7F9C78ED" w14:textId="0482C577" w:rsidR="0011241A" w:rsidRPr="0011241A" w:rsidRDefault="0011241A" w:rsidP="0011241A">
      <w:r w:rsidRPr="0011241A">
        <w:tab/>
      </w:r>
      <w:r>
        <w:tab/>
      </w:r>
      <w:r w:rsidRPr="0011241A">
        <w:t>(a</w:t>
      </w:r>
      <w:r>
        <w:t xml:space="preserve">) </w:t>
      </w:r>
      <w:r w:rsidRPr="0011241A">
        <w:t>notify the entity that the Secretary intends to give the notice to the entity; and</w:t>
      </w:r>
    </w:p>
    <w:p w14:paraId="4EF8983B" w14:textId="12A6CC8B" w:rsidR="008B16E7" w:rsidRDefault="0011241A" w:rsidP="007C642A">
      <w:pPr>
        <w:ind w:left="1440"/>
      </w:pPr>
      <w:r w:rsidRPr="0011241A">
        <w:t>(b</w:t>
      </w:r>
      <w:r>
        <w:t xml:space="preserve">) </w:t>
      </w:r>
      <w:r w:rsidRPr="0011241A">
        <w:t xml:space="preserve">give the entity a specified period (which must not be shorter than </w:t>
      </w:r>
      <w:r w:rsidRPr="0011241A">
        <w:rPr>
          <w:b/>
          <w:bCs/>
        </w:rPr>
        <w:t>5</w:t>
      </w:r>
      <w:r w:rsidR="005974F0">
        <w:rPr>
          <w:b/>
          <w:bCs/>
        </w:rPr>
        <w:t xml:space="preserve"> business</w:t>
      </w:r>
      <w:r>
        <w:t xml:space="preserve"> </w:t>
      </w:r>
      <w:r w:rsidRPr="0011241A">
        <w:t>days) to make representations about the giving of the notice.</w:t>
      </w:r>
    </w:p>
    <w:p w14:paraId="7C9AD220" w14:textId="0075113F" w:rsidR="00B231A7" w:rsidRPr="00670EA0" w:rsidRDefault="00B231A7" w:rsidP="0049102A">
      <w:pPr>
        <w:pStyle w:val="Heading3"/>
      </w:pPr>
      <w:bookmarkStart w:id="7" w:name="_Toc180656186"/>
      <w:r w:rsidRPr="00670EA0">
        <w:t xml:space="preserve">Section 18 </w:t>
      </w:r>
      <w:r w:rsidR="001F7966" w:rsidRPr="00670EA0">
        <w:t>– Stop Notice</w:t>
      </w:r>
      <w:bookmarkEnd w:id="7"/>
    </w:p>
    <w:p w14:paraId="173FB2C8" w14:textId="49B643B1" w:rsidR="00B727CE" w:rsidRDefault="00402BD3" w:rsidP="00B50383">
      <w:r>
        <w:t xml:space="preserve">Section 18 of the Bill should be amended to facilitate </w:t>
      </w:r>
      <w:r w:rsidR="003012B2">
        <w:t>timel</w:t>
      </w:r>
      <w:r w:rsidR="00D26C2D">
        <w:t>ier</w:t>
      </w:r>
      <w:r w:rsidR="003012B2">
        <w:t xml:space="preserve"> responses to consumer harm </w:t>
      </w:r>
      <w:proofErr w:type="gramStart"/>
      <w:r w:rsidR="003012B2">
        <w:t>as a result of</w:t>
      </w:r>
      <w:proofErr w:type="gramEnd"/>
      <w:r w:rsidR="003012B2">
        <w:t xml:space="preserve"> non-compliance with </w:t>
      </w:r>
      <w:r w:rsidR="00102032">
        <w:t xml:space="preserve">connected device standards. </w:t>
      </w:r>
      <w:r w:rsidR="00B50383" w:rsidRPr="00B50383">
        <w:t xml:space="preserve">Requiring enforcement notices to be sent in </w:t>
      </w:r>
      <w:r w:rsidR="00F44237">
        <w:t>sequential</w:t>
      </w:r>
      <w:r w:rsidR="00F44237" w:rsidRPr="00B50383">
        <w:t xml:space="preserve"> </w:t>
      </w:r>
      <w:r w:rsidR="00B50383" w:rsidRPr="00B50383">
        <w:t xml:space="preserve">order risks allowing consumer harm </w:t>
      </w:r>
      <w:r w:rsidR="00D26C2D">
        <w:t xml:space="preserve">to continue before a </w:t>
      </w:r>
      <w:r w:rsidR="00B50383" w:rsidRPr="00B50383">
        <w:t>recall notice</w:t>
      </w:r>
      <w:r w:rsidR="00D26C2D">
        <w:t xml:space="preserve"> is eventually issued</w:t>
      </w:r>
      <w:r w:rsidR="00B50383" w:rsidRPr="00B50383">
        <w:t xml:space="preserve">. </w:t>
      </w:r>
    </w:p>
    <w:p w14:paraId="5BA3A180" w14:textId="394674D0" w:rsidR="00B231A7" w:rsidRDefault="00B50383" w:rsidP="00B50383">
      <w:r w:rsidRPr="00B50383">
        <w:t xml:space="preserve">In response to identified instances of consumer harm caused by non-compliance with mandatory security standards, ACCAN </w:t>
      </w:r>
      <w:r w:rsidR="003F2958">
        <w:t>recommends</w:t>
      </w:r>
      <w:r w:rsidR="003F2958" w:rsidRPr="00B50383">
        <w:t xml:space="preserve"> </w:t>
      </w:r>
      <w:r w:rsidRPr="00B50383">
        <w:t xml:space="preserve">that the Secretary should be </w:t>
      </w:r>
      <w:r w:rsidR="00B727CE">
        <w:t xml:space="preserve">given the authority to be </w:t>
      </w:r>
      <w:r w:rsidRPr="00B50383">
        <w:t xml:space="preserve">able to issue stop notices and recall notices without first issuing the prior notices required under the </w:t>
      </w:r>
      <w:r w:rsidR="00392A00">
        <w:t xml:space="preserve">Bill. </w:t>
      </w:r>
      <w:r w:rsidRPr="00B50383">
        <w:t xml:space="preserve">This would improve the </w:t>
      </w:r>
      <w:r w:rsidR="00392A00">
        <w:t>Secretary’s</w:t>
      </w:r>
      <w:r w:rsidRPr="00B50383">
        <w:t xml:space="preserve"> ability to effectively respond to currently unforeseen instances of significant consumer harm. </w:t>
      </w:r>
    </w:p>
    <w:p w14:paraId="6C91DBD6" w14:textId="29C1A5BF" w:rsidR="00392A00" w:rsidRDefault="00392A00" w:rsidP="00B50383">
      <w:r>
        <w:t>ACCAN considers that section 18 (1) of the Bill should be amended to (</w:t>
      </w:r>
      <w:r w:rsidRPr="00392A00">
        <w:rPr>
          <w:b/>
          <w:bCs/>
        </w:rPr>
        <w:t>changes in bold</w:t>
      </w:r>
      <w:r>
        <w:t>):</w:t>
      </w:r>
    </w:p>
    <w:p w14:paraId="0D27882F" w14:textId="5AE1B0E7" w:rsidR="00E25363" w:rsidRDefault="00E25363" w:rsidP="007E3E1D">
      <w:pPr>
        <w:pStyle w:val="ListParagraph"/>
        <w:numPr>
          <w:ilvl w:val="0"/>
          <w:numId w:val="6"/>
        </w:numPr>
      </w:pPr>
      <w:r>
        <w:t xml:space="preserve">The Secretary may give an entity that must comply with an obligation under section 15 or 16 a stop </w:t>
      </w:r>
      <w:proofErr w:type="gramStart"/>
      <w:r>
        <w:t>notice</w:t>
      </w:r>
      <w:proofErr w:type="gramEnd"/>
      <w:r>
        <w:t xml:space="preserve"> if:</w:t>
      </w:r>
    </w:p>
    <w:p w14:paraId="559256B7" w14:textId="600FE1D1" w:rsidR="00FA6024" w:rsidRPr="00167D6B" w:rsidRDefault="00FA6024" w:rsidP="00FA6024">
      <w:pPr>
        <w:ind w:left="1080"/>
        <w:rPr>
          <w:b/>
          <w:bCs/>
        </w:rPr>
      </w:pPr>
      <w:r w:rsidRPr="00167D6B">
        <w:rPr>
          <w:b/>
          <w:bCs/>
        </w:rPr>
        <w:t xml:space="preserve">(a) the </w:t>
      </w:r>
      <w:r w:rsidRPr="0032085D">
        <w:rPr>
          <w:b/>
          <w:bCs/>
        </w:rPr>
        <w:t>Secretary is reasonably satisfied</w:t>
      </w:r>
      <w:r w:rsidRPr="00167D6B">
        <w:rPr>
          <w:b/>
          <w:bCs/>
        </w:rPr>
        <w:t xml:space="preserve"> that the entity is not complying with the obligation; or</w:t>
      </w:r>
    </w:p>
    <w:p w14:paraId="0A781F88" w14:textId="7C0BBD14" w:rsidR="00EA7198" w:rsidRPr="00167D6B" w:rsidRDefault="00FA6024" w:rsidP="00EA7198">
      <w:pPr>
        <w:ind w:left="1080"/>
        <w:rPr>
          <w:b/>
          <w:bCs/>
        </w:rPr>
      </w:pPr>
      <w:r w:rsidRPr="00FA6024">
        <w:rPr>
          <w:b/>
          <w:bCs/>
        </w:rPr>
        <w:t>(b)</w:t>
      </w:r>
      <w:r w:rsidR="00033394" w:rsidRPr="00167D6B">
        <w:rPr>
          <w:b/>
          <w:bCs/>
        </w:rPr>
        <w:t xml:space="preserve"> </w:t>
      </w:r>
      <w:r w:rsidRPr="00FA6024">
        <w:rPr>
          <w:b/>
          <w:bCs/>
        </w:rPr>
        <w:t>is aware of information that suggests that the entity may not be complying with the obligation</w:t>
      </w:r>
      <w:r w:rsidR="00C53659" w:rsidRPr="00167D6B">
        <w:rPr>
          <w:b/>
          <w:bCs/>
        </w:rPr>
        <w:t>; or</w:t>
      </w:r>
    </w:p>
    <w:p w14:paraId="1B3BC4B0" w14:textId="45295BF0" w:rsidR="00B50383" w:rsidRDefault="00E25363" w:rsidP="00EA7198">
      <w:pPr>
        <w:ind w:left="1080"/>
      </w:pPr>
      <w:r w:rsidRPr="00167D6B">
        <w:rPr>
          <w:b/>
          <w:bCs/>
        </w:rPr>
        <w:t>(</w:t>
      </w:r>
      <w:r w:rsidR="00131808" w:rsidRPr="00167D6B">
        <w:rPr>
          <w:b/>
          <w:bCs/>
        </w:rPr>
        <w:t>c</w:t>
      </w:r>
      <w:r w:rsidRPr="00167D6B">
        <w:rPr>
          <w:b/>
          <w:bCs/>
        </w:rPr>
        <w:t>) the Secretary is reasonably satisfied that</w:t>
      </w:r>
      <w:r w:rsidR="00C53659" w:rsidRPr="00167D6B">
        <w:rPr>
          <w:b/>
          <w:bCs/>
        </w:rPr>
        <w:t xml:space="preserve"> </w:t>
      </w:r>
      <w:r w:rsidRPr="00167D6B">
        <w:rPr>
          <w:b/>
          <w:bCs/>
        </w:rPr>
        <w:t xml:space="preserve">actions taken by the entity to rectify </w:t>
      </w:r>
      <w:r w:rsidR="00167D6B" w:rsidRPr="00167D6B">
        <w:rPr>
          <w:b/>
          <w:bCs/>
        </w:rPr>
        <w:t>non-compliance</w:t>
      </w:r>
      <w:r w:rsidRPr="00167D6B">
        <w:rPr>
          <w:b/>
          <w:bCs/>
        </w:rPr>
        <w:t xml:space="preserve"> with the obligation (whether in accordance with the compliance notice or otherwise) are inadequate to rectify the </w:t>
      </w:r>
      <w:r w:rsidR="00167D6B" w:rsidRPr="00167D6B">
        <w:rPr>
          <w:b/>
          <w:bCs/>
        </w:rPr>
        <w:t>non-compliance</w:t>
      </w:r>
      <w:r w:rsidRPr="00167D6B">
        <w:rPr>
          <w:b/>
          <w:bCs/>
        </w:rPr>
        <w:t>.</w:t>
      </w:r>
    </w:p>
    <w:p w14:paraId="798CAE17" w14:textId="0F53CEE5" w:rsidR="00900700" w:rsidRDefault="00136BB7" w:rsidP="00E30CAC">
      <w:r w:rsidRPr="00136BB7">
        <w:t>ACCAN considers that Section 1</w:t>
      </w:r>
      <w:r>
        <w:t>8</w:t>
      </w:r>
      <w:r w:rsidRPr="00136BB7">
        <w:t>(3) should be amended to (</w:t>
      </w:r>
      <w:r w:rsidRPr="00136BB7">
        <w:rPr>
          <w:b/>
          <w:bCs/>
        </w:rPr>
        <w:t>changes in bold</w:t>
      </w:r>
      <w:r w:rsidRPr="00136BB7">
        <w:t>):</w:t>
      </w:r>
    </w:p>
    <w:p w14:paraId="07A51782" w14:textId="77777777" w:rsidR="00136BB7" w:rsidRPr="0011241A" w:rsidRDefault="00136BB7" w:rsidP="00136BB7">
      <w:pPr>
        <w:ind w:firstLine="720"/>
      </w:pPr>
      <w:r w:rsidRPr="0011241A">
        <w:t>(3)</w:t>
      </w:r>
      <w:r>
        <w:t xml:space="preserve"> </w:t>
      </w:r>
      <w:r w:rsidRPr="0011241A">
        <w:t>Before giving the notice to the entity, the Secretary must:</w:t>
      </w:r>
    </w:p>
    <w:p w14:paraId="6383837B" w14:textId="77777777" w:rsidR="00136BB7" w:rsidRPr="0011241A" w:rsidRDefault="00136BB7" w:rsidP="00136BB7">
      <w:r w:rsidRPr="0011241A">
        <w:tab/>
      </w:r>
      <w:r>
        <w:tab/>
      </w:r>
      <w:r w:rsidRPr="0011241A">
        <w:t>(a</w:t>
      </w:r>
      <w:r>
        <w:t xml:space="preserve">) </w:t>
      </w:r>
      <w:r w:rsidRPr="0011241A">
        <w:t>notify the entity that the Secretary intends to give the notice to the entity; and</w:t>
      </w:r>
    </w:p>
    <w:p w14:paraId="710FCEE3" w14:textId="3BB72E16" w:rsidR="00136BB7" w:rsidRDefault="00136BB7" w:rsidP="00B73AC8">
      <w:pPr>
        <w:ind w:left="1440"/>
      </w:pPr>
      <w:r w:rsidRPr="0011241A">
        <w:lastRenderedPageBreak/>
        <w:t>(b</w:t>
      </w:r>
      <w:r>
        <w:t xml:space="preserve">) </w:t>
      </w:r>
      <w:r w:rsidRPr="0011241A">
        <w:t xml:space="preserve">give the entity a specified period (which must not be shorter than </w:t>
      </w:r>
      <w:r w:rsidRPr="0011241A">
        <w:rPr>
          <w:b/>
          <w:bCs/>
        </w:rPr>
        <w:t>5</w:t>
      </w:r>
      <w:r w:rsidR="005974F0">
        <w:rPr>
          <w:b/>
          <w:bCs/>
        </w:rPr>
        <w:t xml:space="preserve"> business</w:t>
      </w:r>
      <w:r>
        <w:t xml:space="preserve"> </w:t>
      </w:r>
      <w:r w:rsidRPr="0011241A">
        <w:t>days) to make representations about the giving of the notice.</w:t>
      </w:r>
    </w:p>
    <w:p w14:paraId="6F87B064" w14:textId="09CE2D05" w:rsidR="00B231A7" w:rsidRPr="00670EA0" w:rsidRDefault="00B231A7" w:rsidP="0049102A">
      <w:pPr>
        <w:pStyle w:val="Heading3"/>
      </w:pPr>
      <w:bookmarkStart w:id="8" w:name="_Toc180656187"/>
      <w:r w:rsidRPr="00670EA0">
        <w:t>Sect</w:t>
      </w:r>
      <w:r w:rsidR="005557C5" w:rsidRPr="00670EA0">
        <w:t>ion 19</w:t>
      </w:r>
      <w:r w:rsidR="001F7966" w:rsidRPr="00670EA0">
        <w:t xml:space="preserve"> – Recall Notice</w:t>
      </w:r>
      <w:bookmarkEnd w:id="8"/>
    </w:p>
    <w:p w14:paraId="7209F38C" w14:textId="563C14F7" w:rsidR="00770491" w:rsidRDefault="00F56C68" w:rsidP="00770491">
      <w:r>
        <w:t>I</w:t>
      </w:r>
      <w:r w:rsidR="000E3217">
        <w:t>n</w:t>
      </w:r>
      <w:r>
        <w:t xml:space="preserve"> accordance with the above </w:t>
      </w:r>
      <w:r w:rsidR="008A2D81">
        <w:t>recommendation</w:t>
      </w:r>
      <w:r>
        <w:t xml:space="preserve">, </w:t>
      </w:r>
      <w:r w:rsidR="001D3953">
        <w:t>ACCAN considers that Section 19(3)</w:t>
      </w:r>
      <w:r w:rsidR="00CA0184">
        <w:t xml:space="preserve"> </w:t>
      </w:r>
      <w:r w:rsidR="006B1E71">
        <w:t>should be amended to (</w:t>
      </w:r>
      <w:r w:rsidR="006B1E71" w:rsidRPr="006B1E71">
        <w:rPr>
          <w:b/>
          <w:bCs/>
        </w:rPr>
        <w:t>changes in bold</w:t>
      </w:r>
      <w:r w:rsidR="006B1E71">
        <w:t>):</w:t>
      </w:r>
    </w:p>
    <w:p w14:paraId="11E72E49" w14:textId="54B0ABE8" w:rsidR="00770491" w:rsidRDefault="00770491" w:rsidP="007E3E1D">
      <w:pPr>
        <w:pStyle w:val="ListParagraph"/>
        <w:numPr>
          <w:ilvl w:val="0"/>
          <w:numId w:val="6"/>
        </w:numPr>
      </w:pPr>
      <w:r>
        <w:t>The Secretary may give an entity that must comply with an obligation under section 15 or 16 a recall notice if:</w:t>
      </w:r>
    </w:p>
    <w:p w14:paraId="6CE762E9" w14:textId="77777777" w:rsidR="00770491" w:rsidRPr="00167D6B" w:rsidRDefault="00770491" w:rsidP="00770491">
      <w:pPr>
        <w:ind w:left="1080"/>
        <w:rPr>
          <w:b/>
          <w:bCs/>
        </w:rPr>
      </w:pPr>
      <w:r w:rsidRPr="00167D6B">
        <w:rPr>
          <w:b/>
          <w:bCs/>
        </w:rPr>
        <w:t xml:space="preserve">(a) the </w:t>
      </w:r>
      <w:r w:rsidRPr="0032085D">
        <w:rPr>
          <w:b/>
          <w:bCs/>
        </w:rPr>
        <w:t>Secretary is reasonably satisfied</w:t>
      </w:r>
      <w:r w:rsidRPr="00167D6B">
        <w:rPr>
          <w:b/>
          <w:bCs/>
        </w:rPr>
        <w:t xml:space="preserve"> that the entity is not complying with the obligation; or</w:t>
      </w:r>
    </w:p>
    <w:p w14:paraId="03CA6DEC" w14:textId="77777777" w:rsidR="00770491" w:rsidRPr="00167D6B" w:rsidRDefault="00770491" w:rsidP="00770491">
      <w:pPr>
        <w:ind w:left="1080"/>
        <w:rPr>
          <w:b/>
          <w:bCs/>
        </w:rPr>
      </w:pPr>
      <w:r w:rsidRPr="00FA6024">
        <w:rPr>
          <w:b/>
          <w:bCs/>
        </w:rPr>
        <w:t>(b)</w:t>
      </w:r>
      <w:r w:rsidRPr="00167D6B">
        <w:rPr>
          <w:b/>
          <w:bCs/>
        </w:rPr>
        <w:t xml:space="preserve"> </w:t>
      </w:r>
      <w:r w:rsidRPr="00FA6024">
        <w:rPr>
          <w:b/>
          <w:bCs/>
        </w:rPr>
        <w:t>is aware of information that suggests that the entity may not be complying with the obligation</w:t>
      </w:r>
      <w:r w:rsidRPr="00167D6B">
        <w:rPr>
          <w:b/>
          <w:bCs/>
        </w:rPr>
        <w:t>; or</w:t>
      </w:r>
    </w:p>
    <w:p w14:paraId="186AC27E" w14:textId="58BC05A5" w:rsidR="00770491" w:rsidRPr="005557C5" w:rsidRDefault="00770491" w:rsidP="00013432">
      <w:pPr>
        <w:ind w:left="1080"/>
      </w:pPr>
      <w:r w:rsidRPr="00167D6B">
        <w:rPr>
          <w:b/>
          <w:bCs/>
        </w:rPr>
        <w:t>(c) the Secretary is reasonably satisfied that actions taken by the entity to rectify non-compliance with the obligation (whether in accordance with the compliance notice</w:t>
      </w:r>
      <w:r w:rsidR="009F3A8C">
        <w:rPr>
          <w:b/>
          <w:bCs/>
        </w:rPr>
        <w:t>, stop notice</w:t>
      </w:r>
      <w:r w:rsidRPr="00167D6B">
        <w:rPr>
          <w:b/>
          <w:bCs/>
        </w:rPr>
        <w:t xml:space="preserve"> or otherwise) are inadequate to rectify the non-compliance.</w:t>
      </w:r>
    </w:p>
    <w:p w14:paraId="37D00C18" w14:textId="5B3E11B1" w:rsidR="008F2EF3" w:rsidRDefault="008F2EF3" w:rsidP="008F2EF3">
      <w:r w:rsidRPr="00136BB7">
        <w:t>ACCAN considers that Section 1</w:t>
      </w:r>
      <w:r>
        <w:t>9</w:t>
      </w:r>
      <w:r w:rsidRPr="00136BB7">
        <w:t>(3) should be amended to (</w:t>
      </w:r>
      <w:r w:rsidRPr="00136BB7">
        <w:rPr>
          <w:b/>
          <w:bCs/>
        </w:rPr>
        <w:t>changes in bold</w:t>
      </w:r>
      <w:r w:rsidRPr="00136BB7">
        <w:t>):</w:t>
      </w:r>
    </w:p>
    <w:p w14:paraId="436CB7EE" w14:textId="77777777" w:rsidR="008F2EF3" w:rsidRPr="0011241A" w:rsidRDefault="008F2EF3" w:rsidP="008F2EF3">
      <w:pPr>
        <w:ind w:firstLine="720"/>
      </w:pPr>
      <w:r w:rsidRPr="0011241A">
        <w:t>(3)</w:t>
      </w:r>
      <w:r>
        <w:t xml:space="preserve"> </w:t>
      </w:r>
      <w:r w:rsidRPr="0011241A">
        <w:t>Before giving the notice to the entity, the Secretary must:</w:t>
      </w:r>
    </w:p>
    <w:p w14:paraId="3CD8FCAE" w14:textId="77777777" w:rsidR="008F2EF3" w:rsidRPr="0011241A" w:rsidRDefault="008F2EF3" w:rsidP="008F2EF3">
      <w:r w:rsidRPr="0011241A">
        <w:tab/>
      </w:r>
      <w:r>
        <w:tab/>
      </w:r>
      <w:r w:rsidRPr="0011241A">
        <w:t>(a</w:t>
      </w:r>
      <w:r>
        <w:t xml:space="preserve">) </w:t>
      </w:r>
      <w:r w:rsidRPr="0011241A">
        <w:t>notify the entity that the Secretary intends to give the notice to the entity; and</w:t>
      </w:r>
    </w:p>
    <w:p w14:paraId="44B3910A" w14:textId="3DA09055" w:rsidR="008F2EF3" w:rsidRDefault="008F2EF3" w:rsidP="008F2EF3">
      <w:pPr>
        <w:ind w:left="1440"/>
      </w:pPr>
      <w:r w:rsidRPr="0011241A">
        <w:t>(b</w:t>
      </w:r>
      <w:r>
        <w:t xml:space="preserve">) </w:t>
      </w:r>
      <w:r w:rsidRPr="0011241A">
        <w:t xml:space="preserve">give the entity a specified period (which must not be shorter than </w:t>
      </w:r>
      <w:r w:rsidRPr="0011241A">
        <w:rPr>
          <w:b/>
          <w:bCs/>
        </w:rPr>
        <w:t>5</w:t>
      </w:r>
      <w:r>
        <w:rPr>
          <w:b/>
          <w:bCs/>
        </w:rPr>
        <w:t xml:space="preserve"> business</w:t>
      </w:r>
      <w:r>
        <w:t xml:space="preserve"> </w:t>
      </w:r>
      <w:r w:rsidRPr="0011241A">
        <w:t>days) to make representations about the giving of the notice.</w:t>
      </w:r>
    </w:p>
    <w:p w14:paraId="7F489B12" w14:textId="6613E89E" w:rsidR="00013432" w:rsidRDefault="00013432" w:rsidP="00013432">
      <w:r>
        <w:t>These amendments</w:t>
      </w:r>
      <w:r w:rsidR="00AF272F">
        <w:t xml:space="preserve"> </w:t>
      </w:r>
      <w:r w:rsidR="00040C62">
        <w:t>should</w:t>
      </w:r>
      <w:r>
        <w:t xml:space="preserve"> </w:t>
      </w:r>
      <w:r w:rsidR="007C642A">
        <w:t xml:space="preserve">not prohibit </w:t>
      </w:r>
      <w:r>
        <w:t xml:space="preserve">an accelerated enforcement process in response to egregious harm </w:t>
      </w:r>
      <w:proofErr w:type="gramStart"/>
      <w:r>
        <w:t>as a result of</w:t>
      </w:r>
      <w:proofErr w:type="gramEnd"/>
      <w:r>
        <w:t xml:space="preserve"> non-compliance with</w:t>
      </w:r>
      <w:r w:rsidR="00903C31">
        <w:t xml:space="preserve"> </w:t>
      </w:r>
      <w:r>
        <w:t>security standards for</w:t>
      </w:r>
      <w:r w:rsidR="00903C31">
        <w:t xml:space="preserve"> relevant</w:t>
      </w:r>
      <w:r>
        <w:t xml:space="preserve"> connected devices. </w:t>
      </w:r>
    </w:p>
    <w:p w14:paraId="0B11C9E0" w14:textId="04E6A06E" w:rsidR="001F7966" w:rsidRPr="00670EA0" w:rsidRDefault="001F7966" w:rsidP="0049102A">
      <w:pPr>
        <w:pStyle w:val="Heading3"/>
      </w:pPr>
      <w:bookmarkStart w:id="9" w:name="_Toc180656188"/>
      <w:r w:rsidRPr="00670EA0">
        <w:t>Section 20 - Public notification of failure to comply with recall notice</w:t>
      </w:r>
      <w:bookmarkEnd w:id="9"/>
    </w:p>
    <w:p w14:paraId="6F398A31" w14:textId="24CFE904" w:rsidR="00A766CB" w:rsidRDefault="001629D4" w:rsidP="00013432">
      <w:r>
        <w:t xml:space="preserve">ACCAN </w:t>
      </w:r>
      <w:r w:rsidR="00693952">
        <w:t xml:space="preserve">recommends </w:t>
      </w:r>
      <w:r>
        <w:t>the D</w:t>
      </w:r>
      <w:r w:rsidR="00327160">
        <w:t>epartment of Home Affairs (</w:t>
      </w:r>
      <w:r w:rsidR="00327160" w:rsidRPr="00B73AC8">
        <w:rPr>
          <w:b/>
          <w:bCs/>
        </w:rPr>
        <w:t>DoHA</w:t>
      </w:r>
      <w:r w:rsidR="00327160">
        <w:t xml:space="preserve">) </w:t>
      </w:r>
      <w:r>
        <w:t>e</w:t>
      </w:r>
      <w:r w:rsidRPr="001629D4">
        <w:t xml:space="preserve">stablish a public register of compliance notices, stop notices and recall notices to improve transparency and consumer visibility of </w:t>
      </w:r>
      <w:r w:rsidR="00817868">
        <w:t xml:space="preserve">relevant </w:t>
      </w:r>
      <w:r w:rsidRPr="001629D4">
        <w:t xml:space="preserve">connected devices. </w:t>
      </w:r>
      <w:r w:rsidR="009D3EFD" w:rsidRPr="009D3EFD">
        <w:t xml:space="preserve">ACCAN would support the establishment of a public register of compliance notices, stop notices and recall notices to improve transparency and consumer visibility over the IoT device market. </w:t>
      </w:r>
    </w:p>
    <w:p w14:paraId="27ED7776" w14:textId="271F9729" w:rsidR="00425537" w:rsidRDefault="009D3EFD" w:rsidP="00013432">
      <w:r w:rsidRPr="009D3EFD">
        <w:t xml:space="preserve">Under the existing </w:t>
      </w:r>
      <w:r>
        <w:t>Legislative Package</w:t>
      </w:r>
      <w:r w:rsidRPr="009D3EFD">
        <w:t>, only recall notices may be published by the relevant Minister</w:t>
      </w:r>
      <w:r>
        <w:t>’s</w:t>
      </w:r>
      <w:r w:rsidRPr="009D3EFD">
        <w:t xml:space="preserve"> website. </w:t>
      </w:r>
      <w:r w:rsidR="00D130ED">
        <w:t>P</w:t>
      </w:r>
      <w:r w:rsidR="00817868">
        <w:t xml:space="preserve">roviding consumers with information on the compliance of </w:t>
      </w:r>
      <w:r w:rsidR="00E01FE6">
        <w:t>entities with security standards can facilitate consumers making educated purchasing decisions and avoiding entities who</w:t>
      </w:r>
      <w:r w:rsidR="006908F8">
        <w:t xml:space="preserve"> have demonstrated non-compliance with </w:t>
      </w:r>
      <w:r w:rsidR="00E01FE6">
        <w:t>security standards. This would assist in facilitating a market in which manufacturers are more likely to comply with security standards</w:t>
      </w:r>
      <w:r w:rsidR="001C14B0">
        <w:t xml:space="preserve">. </w:t>
      </w:r>
    </w:p>
    <w:p w14:paraId="05A98186" w14:textId="77777777" w:rsidR="00425537" w:rsidRDefault="00425537">
      <w:r>
        <w:br w:type="page"/>
      </w:r>
    </w:p>
    <w:p w14:paraId="327C1796" w14:textId="77777777" w:rsidR="0097307C" w:rsidRPr="00670EA0" w:rsidRDefault="0097307C" w:rsidP="00E03BB6">
      <w:pPr>
        <w:pStyle w:val="Heading3"/>
        <w:spacing w:before="0" w:beforeAutospacing="0"/>
      </w:pPr>
      <w:bookmarkStart w:id="10" w:name="_Toc180656189"/>
      <w:r w:rsidRPr="00670EA0">
        <w:lastRenderedPageBreak/>
        <w:t>Section 21 - Revocation and variation of notices given under this Part</w:t>
      </w:r>
      <w:bookmarkEnd w:id="10"/>
    </w:p>
    <w:p w14:paraId="5DA1A032" w14:textId="77777777" w:rsidR="0097307C" w:rsidRDefault="0097307C" w:rsidP="0097307C">
      <w:pPr>
        <w:rPr>
          <w:lang w:val="en-US" w:eastAsia="en-US"/>
        </w:rPr>
      </w:pPr>
      <w:r>
        <w:rPr>
          <w:lang w:val="en-US" w:eastAsia="en-US"/>
        </w:rPr>
        <w:t>ACCAN considers that section 21(2) be amended to (</w:t>
      </w:r>
      <w:r w:rsidRPr="00FD7E18">
        <w:rPr>
          <w:b/>
          <w:bCs/>
          <w:lang w:val="en-US" w:eastAsia="en-US"/>
        </w:rPr>
        <w:t>changes in bold</w:t>
      </w:r>
      <w:r>
        <w:rPr>
          <w:lang w:val="en-US" w:eastAsia="en-US"/>
        </w:rPr>
        <w:t xml:space="preserve">): </w:t>
      </w:r>
    </w:p>
    <w:p w14:paraId="1C8B7BAD" w14:textId="77777777" w:rsidR="0097307C" w:rsidRPr="001A1BC3" w:rsidRDefault="0097307C" w:rsidP="0097307C">
      <w:pPr>
        <w:ind w:firstLine="720"/>
        <w:rPr>
          <w:lang w:eastAsia="en-US"/>
        </w:rPr>
      </w:pPr>
      <w:r w:rsidRPr="001A1BC3">
        <w:rPr>
          <w:lang w:eastAsia="en-US"/>
        </w:rPr>
        <w:t>(2)</w:t>
      </w:r>
      <w:r>
        <w:rPr>
          <w:lang w:eastAsia="en-US"/>
        </w:rPr>
        <w:t xml:space="preserve"> </w:t>
      </w:r>
      <w:r w:rsidRPr="001A1BC3">
        <w:rPr>
          <w:lang w:eastAsia="en-US"/>
        </w:rPr>
        <w:t>Before giving the notice to the entity under subsection (1), the Secretary must:</w:t>
      </w:r>
    </w:p>
    <w:p w14:paraId="2E1469B3" w14:textId="77777777" w:rsidR="0097307C" w:rsidRPr="001A1BC3" w:rsidRDefault="0097307C" w:rsidP="0097307C">
      <w:pPr>
        <w:rPr>
          <w:lang w:eastAsia="en-US"/>
        </w:rPr>
      </w:pPr>
      <w:r w:rsidRPr="001A1BC3">
        <w:rPr>
          <w:lang w:eastAsia="en-US"/>
        </w:rPr>
        <w:tab/>
      </w:r>
      <w:r>
        <w:rPr>
          <w:lang w:eastAsia="en-US"/>
        </w:rPr>
        <w:tab/>
      </w:r>
      <w:r w:rsidRPr="001A1BC3">
        <w:rPr>
          <w:lang w:eastAsia="en-US"/>
        </w:rPr>
        <w:t>(a)</w:t>
      </w:r>
      <w:r>
        <w:rPr>
          <w:lang w:eastAsia="en-US"/>
        </w:rPr>
        <w:t xml:space="preserve"> </w:t>
      </w:r>
      <w:r w:rsidRPr="001A1BC3">
        <w:rPr>
          <w:lang w:eastAsia="en-US"/>
        </w:rPr>
        <w:t>notify the entity that the Secretary intends to give the notice to the entity; and</w:t>
      </w:r>
    </w:p>
    <w:p w14:paraId="194DAA41" w14:textId="63DB9858" w:rsidR="0097307C" w:rsidRDefault="0097307C" w:rsidP="0097307C">
      <w:pPr>
        <w:ind w:left="1440"/>
        <w:rPr>
          <w:lang w:eastAsia="en-US"/>
        </w:rPr>
      </w:pPr>
      <w:r w:rsidRPr="001A1BC3">
        <w:rPr>
          <w:lang w:eastAsia="en-US"/>
        </w:rPr>
        <w:t>(b)</w:t>
      </w:r>
      <w:r>
        <w:rPr>
          <w:lang w:eastAsia="en-US"/>
        </w:rPr>
        <w:t xml:space="preserve"> </w:t>
      </w:r>
      <w:r w:rsidRPr="001A1BC3">
        <w:rPr>
          <w:lang w:eastAsia="en-US"/>
        </w:rPr>
        <w:t xml:space="preserve">give the entity a specified period (which must not be shorter than </w:t>
      </w:r>
      <w:r w:rsidRPr="001A1BC3">
        <w:rPr>
          <w:b/>
          <w:bCs/>
          <w:lang w:eastAsia="en-US"/>
        </w:rPr>
        <w:t>5 business</w:t>
      </w:r>
      <w:r w:rsidRPr="001A1BC3">
        <w:rPr>
          <w:lang w:eastAsia="en-US"/>
        </w:rPr>
        <w:t xml:space="preserve"> days) to make representations about the giving of the notice.</w:t>
      </w:r>
    </w:p>
    <w:p w14:paraId="58E18A09" w14:textId="63E29F29" w:rsidR="00970340" w:rsidRPr="00670EA0" w:rsidRDefault="00405920" w:rsidP="00405920">
      <w:pPr>
        <w:pStyle w:val="Heading3"/>
      </w:pPr>
      <w:bookmarkStart w:id="11" w:name="_Toc180656190"/>
      <w:r w:rsidRPr="00670EA0">
        <w:t>The existing staged enforcement structure facilitates delayed responses to consumer harm</w:t>
      </w:r>
      <w:bookmarkEnd w:id="11"/>
      <w:r w:rsidRPr="00670EA0">
        <w:t xml:space="preserve"> </w:t>
      </w:r>
    </w:p>
    <w:p w14:paraId="044DF296" w14:textId="4B514132" w:rsidR="005145F5" w:rsidRDefault="00005056" w:rsidP="00B75144">
      <w:r>
        <w:t xml:space="preserve">To </w:t>
      </w:r>
      <w:r w:rsidR="007C642A">
        <w:t xml:space="preserve">provide further context </w:t>
      </w:r>
      <w:r w:rsidR="007C642A" w:rsidRPr="007C642A">
        <w:t>for ACCAN’s recommendations, we have set out the steps required</w:t>
      </w:r>
      <w:r w:rsidR="007C642A">
        <w:t xml:space="preserve"> </w:t>
      </w:r>
      <w:r>
        <w:t>u</w:t>
      </w:r>
      <w:r w:rsidR="00191676">
        <w:t xml:space="preserve">nder the </w:t>
      </w:r>
      <w:r w:rsidR="00D14361">
        <w:t>current</w:t>
      </w:r>
      <w:r w:rsidR="00191676">
        <w:t xml:space="preserve"> </w:t>
      </w:r>
      <w:r w:rsidR="005145F5">
        <w:t>framework</w:t>
      </w:r>
      <w:r w:rsidR="007C642A">
        <w:t xml:space="preserve"> </w:t>
      </w:r>
      <w:r w:rsidR="00D36B0F">
        <w:t>to</w:t>
      </w:r>
      <w:r w:rsidR="00A20563">
        <w:t xml:space="preserve"> recall</w:t>
      </w:r>
      <w:r w:rsidR="005145F5">
        <w:t xml:space="preserve"> a </w:t>
      </w:r>
      <w:r w:rsidR="00405920">
        <w:t xml:space="preserve">relevant connected device that exposes </w:t>
      </w:r>
      <w:r w:rsidR="005145F5">
        <w:t>consumers to significant harm</w:t>
      </w:r>
      <w:r w:rsidR="007C642A">
        <w:t xml:space="preserve">. These steps include:  </w:t>
      </w:r>
    </w:p>
    <w:p w14:paraId="29AFA056" w14:textId="162C592E" w:rsidR="005145F5" w:rsidRDefault="00421B0B" w:rsidP="007E3E1D">
      <w:pPr>
        <w:pStyle w:val="ListParagraph"/>
        <w:numPr>
          <w:ilvl w:val="0"/>
          <w:numId w:val="7"/>
        </w:numPr>
      </w:pPr>
      <w:r>
        <w:t>Examination</w:t>
      </w:r>
      <w:r w:rsidR="0010035C">
        <w:t xml:space="preserve"> and testing</w:t>
      </w:r>
      <w:r>
        <w:t xml:space="preserve"> of the relevant security standards by the Secretary or </w:t>
      </w:r>
      <w:r w:rsidR="005F3D70">
        <w:t xml:space="preserve">consumer reporting of cybersecurity vulnerabilities leads to the </w:t>
      </w:r>
      <w:r w:rsidR="00D14361">
        <w:t>S</w:t>
      </w:r>
      <w:r w:rsidR="005F3D70">
        <w:t xml:space="preserve">ecretary </w:t>
      </w:r>
      <w:r w:rsidR="001812EB">
        <w:t xml:space="preserve">being </w:t>
      </w:r>
      <w:r w:rsidR="001812EB" w:rsidRPr="001812EB">
        <w:t xml:space="preserve">reasonably satisfied that </w:t>
      </w:r>
      <w:r w:rsidR="0010035C">
        <w:t>an</w:t>
      </w:r>
      <w:r w:rsidR="001812EB" w:rsidRPr="001812EB">
        <w:t xml:space="preserve"> entity is not complying with the obligation</w:t>
      </w:r>
      <w:r w:rsidR="0010035C">
        <w:t xml:space="preserve">s in relation to </w:t>
      </w:r>
      <w:r w:rsidR="00D14361">
        <w:t xml:space="preserve">a relevant connected products’ security </w:t>
      </w:r>
      <w:proofErr w:type="gramStart"/>
      <w:r w:rsidR="00D14361">
        <w:t>standards</w:t>
      </w:r>
      <w:proofErr w:type="gramEnd"/>
      <w:r w:rsidR="00D14361">
        <w:t xml:space="preserve">. </w:t>
      </w:r>
      <w:r w:rsidR="001812EB">
        <w:t xml:space="preserve"> </w:t>
      </w:r>
    </w:p>
    <w:p w14:paraId="6AE4CCBA" w14:textId="1FDC3080" w:rsidR="001812EB" w:rsidRDefault="001812EB" w:rsidP="007E3E1D">
      <w:pPr>
        <w:pStyle w:val="ListParagraph"/>
        <w:numPr>
          <w:ilvl w:val="0"/>
          <w:numId w:val="7"/>
        </w:numPr>
      </w:pPr>
      <w:r>
        <w:t xml:space="preserve">The </w:t>
      </w:r>
      <w:r w:rsidR="00D14361">
        <w:t>S</w:t>
      </w:r>
      <w:r>
        <w:t xml:space="preserve">ecretary intends to give a compliance notice to the entity </w:t>
      </w:r>
      <w:r w:rsidR="00970340">
        <w:t xml:space="preserve">and must wait a </w:t>
      </w:r>
      <w:r w:rsidR="00970340" w:rsidRPr="00373A3A">
        <w:rPr>
          <w:i/>
          <w:iCs/>
        </w:rPr>
        <w:t>minimum</w:t>
      </w:r>
      <w:r w:rsidR="00970340">
        <w:t xml:space="preserve"> of 10 days to allow the entity to make representations about the giving of the notice. </w:t>
      </w:r>
    </w:p>
    <w:p w14:paraId="373650C9" w14:textId="5D3D6322" w:rsidR="00410724" w:rsidRDefault="00410724" w:rsidP="007E3E1D">
      <w:pPr>
        <w:pStyle w:val="ListParagraph"/>
        <w:numPr>
          <w:ilvl w:val="0"/>
          <w:numId w:val="7"/>
        </w:numPr>
      </w:pPr>
      <w:r>
        <w:t xml:space="preserve">Following the </w:t>
      </w:r>
      <w:r w:rsidR="00402E9F">
        <w:t xml:space="preserve">issuing of a </w:t>
      </w:r>
      <w:r>
        <w:t xml:space="preserve">compliance notice, the entity may </w:t>
      </w:r>
      <w:r w:rsidR="0003040E">
        <w:t>present false compliance with the previous issued compliance notice</w:t>
      </w:r>
      <w:r w:rsidR="00D33B8A">
        <w:t xml:space="preserve">, requiring the </w:t>
      </w:r>
      <w:r w:rsidR="00785307">
        <w:t xml:space="preserve">Secretary </w:t>
      </w:r>
      <w:r w:rsidR="00D33B8A">
        <w:t xml:space="preserve">to </w:t>
      </w:r>
      <w:r w:rsidR="00402E9F">
        <w:t xml:space="preserve">examine the entity’s compliance with the notice or consumer reporting to indicate non-compliance. </w:t>
      </w:r>
    </w:p>
    <w:p w14:paraId="79223F40" w14:textId="0394D93F" w:rsidR="00CE5B7D" w:rsidRPr="00CE5B7D" w:rsidRDefault="00D81F00" w:rsidP="007E3E1D">
      <w:pPr>
        <w:pStyle w:val="ListParagraph"/>
        <w:numPr>
          <w:ilvl w:val="0"/>
          <w:numId w:val="7"/>
        </w:numPr>
      </w:pPr>
      <w:r>
        <w:t xml:space="preserve">Once </w:t>
      </w:r>
      <w:r w:rsidR="00402E9F">
        <w:t>the</w:t>
      </w:r>
      <w:r w:rsidR="00402E9F" w:rsidRPr="00402E9F">
        <w:t xml:space="preserve"> </w:t>
      </w:r>
      <w:r w:rsidR="00785307">
        <w:t>S</w:t>
      </w:r>
      <w:r w:rsidR="00785307" w:rsidRPr="00402E9F">
        <w:t xml:space="preserve">ecretary </w:t>
      </w:r>
      <w:r>
        <w:t>is</w:t>
      </w:r>
      <w:r w:rsidRPr="00402E9F">
        <w:t xml:space="preserve"> </w:t>
      </w:r>
      <w:r w:rsidR="00402E9F" w:rsidRPr="00402E9F">
        <w:t xml:space="preserve">reasonably satisfied that an entity is not complying with the obligations </w:t>
      </w:r>
      <w:r w:rsidR="00402E9F">
        <w:t>of the</w:t>
      </w:r>
      <w:r w:rsidR="00373A3A">
        <w:t xml:space="preserve"> </w:t>
      </w:r>
      <w:r w:rsidR="00CE5B7D">
        <w:t xml:space="preserve">compliance notice, the </w:t>
      </w:r>
      <w:r w:rsidR="00785307">
        <w:t xml:space="preserve">Secretary </w:t>
      </w:r>
      <w:r w:rsidR="00CE5B7D">
        <w:t xml:space="preserve">must </w:t>
      </w:r>
      <w:r w:rsidR="00CE5B7D" w:rsidRPr="00CE5B7D">
        <w:t xml:space="preserve">wait a </w:t>
      </w:r>
      <w:r w:rsidR="00CE5B7D" w:rsidRPr="00CE5B7D">
        <w:rPr>
          <w:i/>
          <w:iCs/>
        </w:rPr>
        <w:t>minimum</w:t>
      </w:r>
      <w:r w:rsidR="00CE5B7D" w:rsidRPr="00CE5B7D">
        <w:t xml:space="preserve"> of 10 days to allow the entity to make representations </w:t>
      </w:r>
      <w:r w:rsidR="000470B7">
        <w:t xml:space="preserve">before issuing the stop notice. </w:t>
      </w:r>
    </w:p>
    <w:p w14:paraId="498DE1C4" w14:textId="005F0594" w:rsidR="00C26FDD" w:rsidRPr="00C26FDD" w:rsidRDefault="00C26FDD" w:rsidP="007E3E1D">
      <w:pPr>
        <w:pStyle w:val="ListParagraph"/>
        <w:numPr>
          <w:ilvl w:val="0"/>
          <w:numId w:val="7"/>
        </w:numPr>
      </w:pPr>
      <w:r w:rsidRPr="00C26FDD">
        <w:t xml:space="preserve">Following the issuing of a </w:t>
      </w:r>
      <w:r>
        <w:t>stop</w:t>
      </w:r>
      <w:r w:rsidRPr="00C26FDD">
        <w:t xml:space="preserve"> notice, the entity may present false compliance with the </w:t>
      </w:r>
      <w:r>
        <w:t>stop notice</w:t>
      </w:r>
      <w:r w:rsidRPr="00C26FDD">
        <w:t xml:space="preserve">, requiring the </w:t>
      </w:r>
      <w:r w:rsidR="00785307">
        <w:t>S</w:t>
      </w:r>
      <w:r w:rsidR="00785307" w:rsidRPr="00C26FDD">
        <w:t xml:space="preserve">ecretary </w:t>
      </w:r>
      <w:r w:rsidRPr="00C26FDD">
        <w:t>to examine the entity’s compliance with the notice</w:t>
      </w:r>
      <w:r>
        <w:t xml:space="preserve">. </w:t>
      </w:r>
    </w:p>
    <w:p w14:paraId="350D277E" w14:textId="051135C7" w:rsidR="00443B38" w:rsidRPr="00443B38" w:rsidRDefault="00443B38" w:rsidP="007E3E1D">
      <w:pPr>
        <w:pStyle w:val="ListParagraph"/>
        <w:numPr>
          <w:ilvl w:val="0"/>
          <w:numId w:val="7"/>
        </w:numPr>
      </w:pPr>
      <w:r w:rsidRPr="00443B38">
        <w:t xml:space="preserve">Following the </w:t>
      </w:r>
      <w:r w:rsidR="00112CAD">
        <w:t>S</w:t>
      </w:r>
      <w:r w:rsidRPr="00443B38">
        <w:t xml:space="preserve">ecretary being reasonably satisfied that an entity is not complying with the obligations of the </w:t>
      </w:r>
      <w:r>
        <w:t>stop notice</w:t>
      </w:r>
      <w:r w:rsidRPr="00443B38">
        <w:t xml:space="preserve">, the </w:t>
      </w:r>
      <w:r w:rsidR="00555280">
        <w:t>S</w:t>
      </w:r>
      <w:r w:rsidR="00555280" w:rsidRPr="00443B38">
        <w:t xml:space="preserve">ecretary </w:t>
      </w:r>
      <w:r w:rsidRPr="00443B38">
        <w:t xml:space="preserve">must wait a </w:t>
      </w:r>
      <w:r w:rsidRPr="00E03BB6">
        <w:rPr>
          <w:i/>
          <w:iCs/>
        </w:rPr>
        <w:t>minimum</w:t>
      </w:r>
      <w:r w:rsidRPr="00443B38">
        <w:t xml:space="preserve"> of 10 days to allow the entity to make representations before issuing the </w:t>
      </w:r>
      <w:r>
        <w:t>recall</w:t>
      </w:r>
      <w:r w:rsidRPr="00443B38">
        <w:t xml:space="preserve"> notice. </w:t>
      </w:r>
    </w:p>
    <w:p w14:paraId="719CA35F" w14:textId="77777777" w:rsidR="002038FB" w:rsidRDefault="00F35000" w:rsidP="007E3E1D">
      <w:pPr>
        <w:pStyle w:val="ListParagraph"/>
        <w:numPr>
          <w:ilvl w:val="0"/>
          <w:numId w:val="7"/>
        </w:numPr>
      </w:pPr>
      <w:r w:rsidRPr="00F35000">
        <w:t xml:space="preserve">If an entity fails to comply with a recall notice, the Minister may publish information </w:t>
      </w:r>
      <w:r>
        <w:t>on the i</w:t>
      </w:r>
      <w:r w:rsidR="0054744B">
        <w:t xml:space="preserve">dentity of the </w:t>
      </w:r>
      <w:r w:rsidR="003C3B4F">
        <w:t>entity</w:t>
      </w:r>
      <w:r w:rsidR="0054744B">
        <w:t xml:space="preserve">, details of the product and the risks posed by the product relating to the non-compliance on the Department’s website. </w:t>
      </w:r>
    </w:p>
    <w:p w14:paraId="459333BA" w14:textId="709F716E" w:rsidR="00356016" w:rsidRDefault="002038FB" w:rsidP="00C5300D">
      <w:r>
        <w:t>In ACCAN’s view, i</w:t>
      </w:r>
      <w:r w:rsidR="003C3B4F">
        <w:t xml:space="preserve">t is only at point </w:t>
      </w:r>
      <w:r w:rsidR="00F76DFA">
        <w:t>seven</w:t>
      </w:r>
      <w:r>
        <w:t xml:space="preserve"> </w:t>
      </w:r>
      <w:r w:rsidR="003C3B4F">
        <w:t xml:space="preserve">that consumers </w:t>
      </w:r>
      <w:r w:rsidR="00E80718">
        <w:t xml:space="preserve">may </w:t>
      </w:r>
      <w:r w:rsidR="003C3B4F">
        <w:t xml:space="preserve">have any visibility </w:t>
      </w:r>
      <w:r w:rsidR="00B11294">
        <w:t xml:space="preserve">that the devices used in their homes may be insecure and a threat to their wellbeing. </w:t>
      </w:r>
      <w:r w:rsidR="00D36B0F">
        <w:t>Th</w:t>
      </w:r>
      <w:r w:rsidR="00F44237">
        <w:t>e proposed framework’s</w:t>
      </w:r>
      <w:r w:rsidR="00D36B0F">
        <w:t xml:space="preserve"> process is time consuming, administratively intensive and unnecessarily delays responses to </w:t>
      </w:r>
      <w:r w:rsidR="00112CAD">
        <w:t xml:space="preserve">possibly </w:t>
      </w:r>
      <w:r w:rsidR="00D36B0F">
        <w:t>egregious consumer harm</w:t>
      </w:r>
      <w:r w:rsidR="00356016">
        <w:t>.</w:t>
      </w:r>
    </w:p>
    <w:p w14:paraId="345EDB86" w14:textId="00A7D0C9" w:rsidR="00C5300D" w:rsidRDefault="00356016" w:rsidP="00C5300D">
      <w:r>
        <w:t>A</w:t>
      </w:r>
      <w:r w:rsidR="00D36B0F">
        <w:t xml:space="preserve">mending the </w:t>
      </w:r>
      <w:r w:rsidR="009730CA">
        <w:t xml:space="preserve">Bill to facilitate accelerated issuing of </w:t>
      </w:r>
      <w:r w:rsidR="00A579E9">
        <w:t xml:space="preserve">stop and </w:t>
      </w:r>
      <w:r w:rsidR="009730CA">
        <w:t xml:space="preserve">recall notices </w:t>
      </w:r>
      <w:r w:rsidR="00A579E9">
        <w:t>can more effectively facilitate a</w:t>
      </w:r>
      <w:r w:rsidR="00F671A9">
        <w:t>ppropriate</w:t>
      </w:r>
      <w:r w:rsidR="00A579E9">
        <w:t xml:space="preserve"> responses to instances of significant consumer harm</w:t>
      </w:r>
      <w:r w:rsidR="00F671A9">
        <w:t xml:space="preserve">. </w:t>
      </w:r>
      <w:r w:rsidR="00107AD8">
        <w:t>ACCAN’s experience</w:t>
      </w:r>
      <w:r w:rsidR="00F671A9">
        <w:t xml:space="preserve"> </w:t>
      </w:r>
      <w:r w:rsidR="00496901">
        <w:t>with respect to</w:t>
      </w:r>
      <w:r w:rsidR="00F671A9">
        <w:t xml:space="preserve"> </w:t>
      </w:r>
      <w:r w:rsidR="000653DA">
        <w:t>consumer protections in</w:t>
      </w:r>
      <w:r w:rsidR="00496901">
        <w:t xml:space="preserve"> the</w:t>
      </w:r>
      <w:r w:rsidR="000653DA">
        <w:t xml:space="preserve"> telecommunications sector</w:t>
      </w:r>
      <w:r w:rsidR="00496901">
        <w:t xml:space="preserve"> has demonstrated that </w:t>
      </w:r>
      <w:r w:rsidR="000653DA">
        <w:t xml:space="preserve">a staged enforcement approach </w:t>
      </w:r>
      <w:r w:rsidR="00493BB9">
        <w:t xml:space="preserve">produces ineffective, delayed responses </w:t>
      </w:r>
      <w:r w:rsidR="005B5552">
        <w:t>to significant consumer harm</w:t>
      </w:r>
      <w:r w:rsidR="00493BB9">
        <w:t xml:space="preserve">, and risks ongoing </w:t>
      </w:r>
      <w:r w:rsidR="00C01548">
        <w:t xml:space="preserve">harms to consumer wellbeing. </w:t>
      </w:r>
      <w:r w:rsidR="00460CA0">
        <w:t xml:space="preserve"> </w:t>
      </w:r>
    </w:p>
    <w:p w14:paraId="36187F05" w14:textId="77777777" w:rsidR="00C5300D" w:rsidRPr="00BA3ED5" w:rsidRDefault="00C5300D" w:rsidP="00C5300D">
      <w:pPr>
        <w:pStyle w:val="Heading1"/>
      </w:pPr>
      <w:bookmarkStart w:id="12" w:name="_Toc180656191"/>
      <w:r>
        <w:lastRenderedPageBreak/>
        <w:t>Conclusion</w:t>
      </w:r>
      <w:bookmarkEnd w:id="12"/>
    </w:p>
    <w:p w14:paraId="3B48263B" w14:textId="073EEAAB" w:rsidR="00DE6EA4" w:rsidRDefault="00DB50C7" w:rsidP="00C5300D">
      <w:r>
        <w:t xml:space="preserve">ACCAN supports amending the Bill to improve the responsiveness of the enforcement structure proposed by the </w:t>
      </w:r>
      <w:r w:rsidR="0097307C">
        <w:t xml:space="preserve">Joint </w:t>
      </w:r>
      <w:r>
        <w:t xml:space="preserve">Committee. </w:t>
      </w:r>
      <w:r w:rsidR="00C01548">
        <w:t xml:space="preserve">However, </w:t>
      </w:r>
      <w:r w:rsidR="007A35C8">
        <w:t xml:space="preserve">ACCAN’s longstanding experience in supporting consumer protections in the telecommunications sector suggests that the current approach, without significant revisions, will only provide superficial protections for consumers, while </w:t>
      </w:r>
      <w:r w:rsidR="00B95A26">
        <w:t xml:space="preserve">potentially allowing consumer harms, including </w:t>
      </w:r>
      <w:r w:rsidR="004A2666">
        <w:t>TFCC</w:t>
      </w:r>
      <w:r w:rsidR="00B95A26">
        <w:t xml:space="preserve">, to continue. </w:t>
      </w:r>
    </w:p>
    <w:p w14:paraId="093F6AB7" w14:textId="4101548F" w:rsidR="00A73D5D" w:rsidRDefault="00DE6EA4" w:rsidP="00C5300D">
      <w:r>
        <w:t xml:space="preserve">Therefore, </w:t>
      </w:r>
      <w:r w:rsidR="00DB50C7">
        <w:t xml:space="preserve">ACCAN urges the </w:t>
      </w:r>
      <w:r w:rsidR="007A35C8">
        <w:t xml:space="preserve">Joint Committee </w:t>
      </w:r>
      <w:r>
        <w:t>to</w:t>
      </w:r>
      <w:r w:rsidR="00A73D5D">
        <w:t>:</w:t>
      </w:r>
    </w:p>
    <w:p w14:paraId="7460BC9C" w14:textId="77777777" w:rsidR="007854C1" w:rsidRDefault="00690720" w:rsidP="007854C1">
      <w:pPr>
        <w:pStyle w:val="ListParagraph"/>
        <w:numPr>
          <w:ilvl w:val="0"/>
          <w:numId w:val="13"/>
        </w:numPr>
        <w:rPr>
          <w:iCs/>
        </w:rPr>
      </w:pPr>
      <w:r>
        <w:rPr>
          <w:iCs/>
        </w:rPr>
        <w:t>Revise</w:t>
      </w:r>
      <w:r w:rsidRPr="00690720">
        <w:rPr>
          <w:iCs/>
        </w:rPr>
        <w:t xml:space="preserve"> the requirement that enforcement notices for connected device security standards be sent in a sequential order to allow the Secretary to send stop and recall notices in the first instance. </w:t>
      </w:r>
    </w:p>
    <w:p w14:paraId="79BE9D50" w14:textId="6A1D64D6" w:rsidR="007854C1" w:rsidRPr="007854C1" w:rsidRDefault="007854C1" w:rsidP="007854C1">
      <w:pPr>
        <w:pStyle w:val="ListParagraph"/>
        <w:numPr>
          <w:ilvl w:val="0"/>
          <w:numId w:val="13"/>
        </w:numPr>
        <w:rPr>
          <w:iCs/>
        </w:rPr>
      </w:pPr>
      <w:r>
        <w:t>E</w:t>
      </w:r>
      <w:r w:rsidRPr="007854C1">
        <w:t>stablish a public register of compliance notices, stop notices and recall notices to improve transparency and consumer visibility of relevant connected devices.</w:t>
      </w:r>
    </w:p>
    <w:p w14:paraId="180D8E6F" w14:textId="7CAC5FEF" w:rsidR="00494A22" w:rsidRDefault="00B95A26" w:rsidP="00C5300D">
      <w:r>
        <w:t xml:space="preserve">Adopting these measures will ensure the Bill provides much greater protections to consumers, especially those </w:t>
      </w:r>
      <w:r w:rsidR="00EA25A1">
        <w:t xml:space="preserve">in vulnerable circumstances, while also adopting best practice regulation </w:t>
      </w:r>
      <w:r w:rsidR="00F51476">
        <w:t xml:space="preserve">and </w:t>
      </w:r>
      <w:r w:rsidR="004C1775">
        <w:t xml:space="preserve">helping to ensure Australia becomes a global leader in cyber security. </w:t>
      </w:r>
      <w:r w:rsidR="00F51476">
        <w:t xml:space="preserve"> </w:t>
      </w:r>
    </w:p>
    <w:p w14:paraId="68012A2A" w14:textId="527A964B" w:rsidR="007148B3" w:rsidRDefault="007148B3" w:rsidP="00C5300D">
      <w:r w:rsidRPr="007148B3">
        <w:t xml:space="preserve">We thank the Committee for the opportunity to comment on the </w:t>
      </w:r>
      <w:r>
        <w:t>Legislative Package</w:t>
      </w:r>
      <w:r w:rsidRPr="007148B3">
        <w:t xml:space="preserve">. Should you wish to discuss any of the issues raised in this submission further, please do not hesitate to contact </w:t>
      </w:r>
      <w:r>
        <w:t xml:space="preserve">Con Gouskos, Policy Adviser, at </w:t>
      </w:r>
      <w:hyperlink r:id="rId17" w:history="1">
        <w:r w:rsidRPr="004A7D68">
          <w:rPr>
            <w:rStyle w:val="Hyperlink"/>
          </w:rPr>
          <w:t>con.gouskos@accan.org.au</w:t>
        </w:r>
      </w:hyperlink>
      <w:r w:rsidR="00690720">
        <w:rPr>
          <w:rStyle w:val="Hyperlink"/>
        </w:rPr>
        <w:t xml:space="preserve">. </w:t>
      </w:r>
      <w:r>
        <w:t xml:space="preserve"> </w:t>
      </w:r>
    </w:p>
    <w:p w14:paraId="13096187" w14:textId="27D965A9" w:rsidR="00DC13F4" w:rsidRPr="00C5300D" w:rsidRDefault="00C5300D" w:rsidP="00C041DB">
      <w:pPr>
        <w:pStyle w:val="FundingAcknowledgement"/>
      </w:pPr>
      <w:r w:rsidRPr="006C7432">
        <w:t xml:space="preserve">The Australian Communications Consumer </w:t>
      </w:r>
      <w:r w:rsidRPr="00A44854">
        <w:t>Action</w:t>
      </w:r>
      <w:r w:rsidRPr="006C7432">
        <w:t xml:space="preserve"> Network (ACCAN) is Australia’s peak communication consumer organisation.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F86EF4">
        <w:t xml:space="preserve"> </w:t>
      </w:r>
      <w:r>
        <w:t xml:space="preserve">ACCAN is committed to reconciliation that acknowledges Australia’s past and values the unique culture and heritage of Aboriginal and Torres Strait Islander peoples. </w:t>
      </w:r>
      <w:hyperlink r:id="rId18" w:history="1">
        <w:r>
          <w:rPr>
            <w:rStyle w:val="Hyperlink"/>
          </w:rPr>
          <w:t>Read our RAP</w:t>
        </w:r>
      </w:hyperlink>
      <w:r>
        <w:rPr>
          <w:rStyle w:val="Hyperlink"/>
        </w:rPr>
        <w:t>.</w:t>
      </w:r>
    </w:p>
    <w:sectPr w:rsidR="00DC13F4" w:rsidRPr="00C5300D" w:rsidSect="00583E0A">
      <w:headerReference w:type="default" r:id="rId19"/>
      <w:footerReference w:type="default" r:id="rId20"/>
      <w:type w:val="continuous"/>
      <w:pgSz w:w="11906" w:h="16838"/>
      <w:pgMar w:top="1418" w:right="1440" w:bottom="1276"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AEB32" w14:textId="77777777" w:rsidR="00F25EC3" w:rsidRDefault="00F25EC3">
      <w:pPr>
        <w:spacing w:after="0" w:line="240" w:lineRule="auto"/>
      </w:pPr>
      <w:r>
        <w:separator/>
      </w:r>
    </w:p>
  </w:endnote>
  <w:endnote w:type="continuationSeparator" w:id="0">
    <w:p w14:paraId="35251297" w14:textId="77777777" w:rsidR="00F25EC3" w:rsidRDefault="00F25EC3">
      <w:pPr>
        <w:spacing w:after="0" w:line="240" w:lineRule="auto"/>
      </w:pPr>
      <w:r>
        <w:continuationSeparator/>
      </w:r>
    </w:p>
  </w:endnote>
  <w:endnote w:type="continuationNotice" w:id="1">
    <w:p w14:paraId="42B6E4E3" w14:textId="77777777" w:rsidR="00F25EC3" w:rsidRDefault="00F25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panose1 w:val="02000604040000020004"/>
    <w:charset w:val="00"/>
    <w:family w:val="auto"/>
    <w:pitch w:val="variable"/>
    <w:sig w:usb0="800000A7" w:usb1="00000000" w:usb2="00000000" w:usb3="00000000" w:csb0="00000009" w:csb1="00000000"/>
  </w:font>
  <w:font w:name="Gotham Black">
    <w:altName w:val="Calibri"/>
    <w:panose1 w:val="020006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F2554" w14:textId="7C08146B" w:rsidR="00C5300D" w:rsidRDefault="00C5300D" w:rsidP="005C76F8">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1" behindDoc="1" locked="0" layoutInCell="1" allowOverlap="1" wp14:anchorId="45ABB8C4" wp14:editId="6C3C7056">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0;margin-top:18.35pt;width:594.75pt;height: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06C5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62D6EC85" w14:textId="0F82E644" w:rsidR="00A82344" w:rsidRPr="00C5300D" w:rsidRDefault="00D03FB9"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D041" w14:textId="77777777" w:rsidR="00C5300D" w:rsidRDefault="00C5300D">
    <w:pPr>
      <w:pStyle w:val="Footer"/>
    </w:pPr>
    <w:r>
      <w:t>NAME OF THE SUBMISSION IN CAPS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B6EA7" w14:textId="77777777" w:rsidR="00A82344" w:rsidRDefault="00A82344" w:rsidP="005C76F8">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2" behindDoc="1" locked="0" layoutInCell="1" allowOverlap="1" wp14:anchorId="1766F2FE" wp14:editId="6384B8D6">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0;margin-top:18.35pt;width:594.75pt;height:5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19552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0370BF49" w14:textId="77777777" w:rsidR="00A82344" w:rsidRPr="00C5300D" w:rsidRDefault="00D03FB9"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0C38F" w14:textId="77777777" w:rsidR="00F25EC3" w:rsidRDefault="00F25EC3">
      <w:pPr>
        <w:spacing w:after="0" w:line="240" w:lineRule="auto"/>
      </w:pPr>
      <w:r>
        <w:separator/>
      </w:r>
    </w:p>
  </w:footnote>
  <w:footnote w:type="continuationSeparator" w:id="0">
    <w:p w14:paraId="2D274174" w14:textId="77777777" w:rsidR="00F25EC3" w:rsidRDefault="00F25EC3">
      <w:pPr>
        <w:spacing w:after="0" w:line="240" w:lineRule="auto"/>
      </w:pPr>
      <w:r>
        <w:continuationSeparator/>
      </w:r>
    </w:p>
  </w:footnote>
  <w:footnote w:type="continuationNotice" w:id="1">
    <w:p w14:paraId="5DADFEA6" w14:textId="77777777" w:rsidR="00F25EC3" w:rsidRDefault="00F25EC3">
      <w:pPr>
        <w:spacing w:after="0" w:line="240" w:lineRule="auto"/>
      </w:pPr>
    </w:p>
  </w:footnote>
  <w:footnote w:id="2">
    <w:p w14:paraId="568FDE0C" w14:textId="02756CD6" w:rsidR="000F724E" w:rsidRPr="00F401A9" w:rsidRDefault="000F724E" w:rsidP="000F724E">
      <w:pPr>
        <w:pStyle w:val="FootnoteText"/>
        <w:rPr>
          <w:sz w:val="16"/>
          <w:szCs w:val="16"/>
        </w:rPr>
      </w:pPr>
      <w:r w:rsidRPr="00F401A9">
        <w:rPr>
          <w:rStyle w:val="FootnoteReference"/>
          <w:sz w:val="16"/>
          <w:szCs w:val="16"/>
        </w:rPr>
        <w:footnoteRef/>
      </w:r>
      <w:r w:rsidRPr="00F401A9">
        <w:rPr>
          <w:sz w:val="16"/>
          <w:szCs w:val="16"/>
        </w:rPr>
        <w:t xml:space="preserve"> auDA</w:t>
      </w:r>
      <w:r w:rsidR="00277D40">
        <w:rPr>
          <w:sz w:val="16"/>
          <w:szCs w:val="16"/>
        </w:rPr>
        <w:t>,</w:t>
      </w:r>
      <w:r w:rsidRPr="00F401A9">
        <w:rPr>
          <w:sz w:val="16"/>
          <w:szCs w:val="16"/>
        </w:rPr>
        <w:t xml:space="preserve"> Digital Lives of Australians 2024</w:t>
      </w:r>
      <w:r w:rsidR="00E30179">
        <w:rPr>
          <w:sz w:val="16"/>
          <w:szCs w:val="16"/>
        </w:rPr>
        <w:t xml:space="preserve"> </w:t>
      </w:r>
      <w:r w:rsidR="00014C33">
        <w:rPr>
          <w:sz w:val="16"/>
          <w:szCs w:val="16"/>
        </w:rPr>
        <w:t>(Report</w:t>
      </w:r>
      <w:r w:rsidR="00277D40">
        <w:rPr>
          <w:sz w:val="16"/>
          <w:szCs w:val="16"/>
        </w:rPr>
        <w:t xml:space="preserve">, </w:t>
      </w:r>
      <w:r w:rsidR="00014C33">
        <w:rPr>
          <w:sz w:val="16"/>
          <w:szCs w:val="16"/>
        </w:rPr>
        <w:t>2024)</w:t>
      </w:r>
      <w:r w:rsidR="00277D40">
        <w:rPr>
          <w:sz w:val="16"/>
          <w:szCs w:val="16"/>
        </w:rPr>
        <w:t xml:space="preserve"> </w:t>
      </w:r>
      <w:r w:rsidRPr="00F401A9">
        <w:rPr>
          <w:sz w:val="16"/>
          <w:szCs w:val="16"/>
        </w:rPr>
        <w:t>6</w:t>
      </w:r>
      <w:r w:rsidR="00277D40">
        <w:rPr>
          <w:sz w:val="16"/>
          <w:szCs w:val="16"/>
        </w:rPr>
        <w:t>.</w:t>
      </w:r>
      <w:r w:rsidRPr="00F401A9">
        <w:rPr>
          <w:sz w:val="16"/>
          <w:szCs w:val="16"/>
        </w:rPr>
        <w:t xml:space="preserve"> </w:t>
      </w:r>
      <w:r>
        <w:rPr>
          <w:sz w:val="16"/>
          <w:szCs w:val="16"/>
        </w:rPr>
        <w:t xml:space="preserve">Available at: </w:t>
      </w:r>
      <w:hyperlink r:id="rId1" w:history="1">
        <w:r w:rsidRPr="004B1892">
          <w:rPr>
            <w:rStyle w:val="Hyperlink"/>
            <w:sz w:val="16"/>
            <w:szCs w:val="16"/>
          </w:rPr>
          <w:t>https://www.auda.org.au/news-events-insights/reporting/research-reports/digital-lives-australians-2024</w:t>
        </w:r>
      </w:hyperlink>
      <w:r>
        <w:rPr>
          <w:sz w:val="16"/>
          <w:szCs w:val="16"/>
        </w:rPr>
        <w:t xml:space="preserve">. </w:t>
      </w:r>
    </w:p>
  </w:footnote>
  <w:footnote w:id="3">
    <w:p w14:paraId="68464DC5" w14:textId="77777777" w:rsidR="000F724E" w:rsidRPr="00F401A9" w:rsidRDefault="000F724E" w:rsidP="000F724E">
      <w:pPr>
        <w:pStyle w:val="FootnoteText"/>
        <w:rPr>
          <w:sz w:val="16"/>
          <w:szCs w:val="16"/>
        </w:rPr>
      </w:pPr>
      <w:r w:rsidRPr="00F401A9">
        <w:rPr>
          <w:rStyle w:val="FootnoteReference"/>
          <w:sz w:val="16"/>
          <w:szCs w:val="16"/>
        </w:rPr>
        <w:footnoteRef/>
      </w:r>
      <w:r w:rsidRPr="00F401A9">
        <w:rPr>
          <w:sz w:val="16"/>
          <w:szCs w:val="16"/>
        </w:rPr>
        <w:t xml:space="preserve"> Ibid. </w:t>
      </w:r>
    </w:p>
  </w:footnote>
  <w:footnote w:id="4">
    <w:p w14:paraId="6C226F7B" w14:textId="77777777" w:rsidR="000F724E" w:rsidRPr="00F401A9" w:rsidRDefault="000F724E" w:rsidP="000F724E">
      <w:pPr>
        <w:pStyle w:val="FootnoteText"/>
        <w:rPr>
          <w:sz w:val="16"/>
          <w:szCs w:val="16"/>
        </w:rPr>
      </w:pPr>
      <w:r w:rsidRPr="00F401A9">
        <w:rPr>
          <w:rStyle w:val="FootnoteReference"/>
          <w:sz w:val="16"/>
          <w:szCs w:val="16"/>
        </w:rPr>
        <w:footnoteRef/>
      </w:r>
      <w:r w:rsidRPr="00F401A9">
        <w:rPr>
          <w:sz w:val="16"/>
          <w:szCs w:val="16"/>
        </w:rPr>
        <w:t xml:space="preserve"> Ibid.</w:t>
      </w:r>
    </w:p>
  </w:footnote>
  <w:footnote w:id="5">
    <w:p w14:paraId="001BB7A0" w14:textId="77777777" w:rsidR="000F724E" w:rsidRPr="00F401A9" w:rsidRDefault="000F724E" w:rsidP="000F724E">
      <w:pPr>
        <w:pStyle w:val="FootnoteText"/>
        <w:rPr>
          <w:sz w:val="16"/>
          <w:szCs w:val="16"/>
        </w:rPr>
      </w:pPr>
      <w:r w:rsidRPr="00F401A9">
        <w:rPr>
          <w:rStyle w:val="FootnoteReference"/>
          <w:sz w:val="16"/>
          <w:szCs w:val="16"/>
        </w:rPr>
        <w:footnoteRef/>
      </w:r>
      <w:r w:rsidRPr="00F401A9">
        <w:rPr>
          <w:sz w:val="16"/>
          <w:szCs w:val="16"/>
        </w:rPr>
        <w:t xml:space="preserve"> Ibid. </w:t>
      </w:r>
    </w:p>
  </w:footnote>
  <w:footnote w:id="6">
    <w:p w14:paraId="7D7873D3" w14:textId="36385C32" w:rsidR="000F724E" w:rsidRPr="00F401A9" w:rsidRDefault="000F724E" w:rsidP="000F724E">
      <w:pPr>
        <w:pStyle w:val="FootnoteText"/>
        <w:rPr>
          <w:sz w:val="16"/>
          <w:szCs w:val="16"/>
        </w:rPr>
      </w:pPr>
      <w:r w:rsidRPr="00F401A9">
        <w:rPr>
          <w:rStyle w:val="FootnoteReference"/>
          <w:sz w:val="16"/>
          <w:szCs w:val="16"/>
        </w:rPr>
        <w:footnoteRef/>
      </w:r>
      <w:r w:rsidRPr="00F401A9">
        <w:rPr>
          <w:sz w:val="16"/>
          <w:szCs w:val="16"/>
        </w:rPr>
        <w:t xml:space="preserve"> ACCAN</w:t>
      </w:r>
      <w:r w:rsidR="00FA67AD">
        <w:rPr>
          <w:sz w:val="16"/>
          <w:szCs w:val="16"/>
        </w:rPr>
        <w:t>,</w:t>
      </w:r>
      <w:r w:rsidRPr="00F401A9">
        <w:rPr>
          <w:sz w:val="16"/>
          <w:szCs w:val="16"/>
        </w:rPr>
        <w:t xml:space="preserve"> 2023-2030 Australian Cyber Security Strategy: Legislative Reforms Consultation Paper</w:t>
      </w:r>
      <w:r w:rsidR="00FA67AD">
        <w:rPr>
          <w:sz w:val="16"/>
          <w:szCs w:val="16"/>
        </w:rPr>
        <w:t xml:space="preserve"> (Submission, 2024) 4. </w:t>
      </w:r>
      <w:r>
        <w:rPr>
          <w:sz w:val="16"/>
          <w:szCs w:val="16"/>
        </w:rPr>
        <w:t xml:space="preserve">Available at: </w:t>
      </w:r>
      <w:hyperlink r:id="rId2" w:history="1">
        <w:r w:rsidRPr="004B1892">
          <w:rPr>
            <w:rStyle w:val="Hyperlink"/>
            <w:sz w:val="16"/>
            <w:szCs w:val="16"/>
          </w:rPr>
          <w:t>https://accan.org.au/accans-work/submissions/2278-cyber-security-strategy-23-30</w:t>
        </w:r>
      </w:hyperlink>
      <w:r>
        <w:rPr>
          <w:sz w:val="16"/>
          <w:szCs w:val="16"/>
        </w:rPr>
        <w:t xml:space="preserve">. </w:t>
      </w:r>
    </w:p>
  </w:footnote>
  <w:footnote w:id="7">
    <w:p w14:paraId="1100536D" w14:textId="07325D0B" w:rsidR="000F724E" w:rsidRPr="00F401A9" w:rsidRDefault="000F724E" w:rsidP="000F724E">
      <w:pPr>
        <w:pStyle w:val="FootnoteText"/>
        <w:rPr>
          <w:sz w:val="16"/>
          <w:szCs w:val="16"/>
        </w:rPr>
      </w:pPr>
      <w:r w:rsidRPr="00F401A9">
        <w:rPr>
          <w:rStyle w:val="FootnoteReference"/>
          <w:sz w:val="16"/>
          <w:szCs w:val="16"/>
        </w:rPr>
        <w:footnoteRef/>
      </w:r>
      <w:r w:rsidRPr="00F401A9">
        <w:rPr>
          <w:sz w:val="16"/>
          <w:szCs w:val="16"/>
        </w:rPr>
        <w:t xml:space="preserve"> </w:t>
      </w:r>
      <w:r w:rsidR="00FA67AD">
        <w:rPr>
          <w:sz w:val="16"/>
          <w:szCs w:val="16"/>
        </w:rPr>
        <w:t xml:space="preserve">Ibid. </w:t>
      </w:r>
    </w:p>
  </w:footnote>
  <w:footnote w:id="8">
    <w:p w14:paraId="20D547AE" w14:textId="7A16DCCB" w:rsidR="00FF3611" w:rsidRPr="007D7D01" w:rsidRDefault="00FF3611" w:rsidP="007D7D01">
      <w:pPr>
        <w:pStyle w:val="FootnoteText"/>
        <w:rPr>
          <w:sz w:val="16"/>
          <w:szCs w:val="16"/>
        </w:rPr>
      </w:pPr>
      <w:r w:rsidRPr="007D7D01">
        <w:rPr>
          <w:rStyle w:val="FootnoteReference"/>
          <w:sz w:val="16"/>
          <w:szCs w:val="16"/>
        </w:rPr>
        <w:footnoteRef/>
      </w:r>
      <w:r w:rsidRPr="007D7D01">
        <w:rPr>
          <w:sz w:val="16"/>
          <w:szCs w:val="16"/>
        </w:rPr>
        <w:t xml:space="preserve"> </w:t>
      </w:r>
      <w:r w:rsidR="007D7D01" w:rsidRPr="007D7D01">
        <w:rPr>
          <w:sz w:val="16"/>
          <w:szCs w:val="16"/>
        </w:rPr>
        <w:t>ACCAN. Domestic and Family Violence Policy Position</w:t>
      </w:r>
      <w:r w:rsidR="00FA67AD">
        <w:rPr>
          <w:sz w:val="16"/>
          <w:szCs w:val="16"/>
        </w:rPr>
        <w:t xml:space="preserve"> (Policy Position, 2023)</w:t>
      </w:r>
      <w:r w:rsidR="006B0C3F">
        <w:rPr>
          <w:sz w:val="16"/>
          <w:szCs w:val="16"/>
        </w:rPr>
        <w:t xml:space="preserve"> 1.</w:t>
      </w:r>
      <w:r w:rsidR="007D7D01" w:rsidRPr="007D7D01">
        <w:rPr>
          <w:sz w:val="16"/>
          <w:szCs w:val="16"/>
        </w:rPr>
        <w:t xml:space="preserve"> Available at: </w:t>
      </w:r>
      <w:hyperlink r:id="rId3" w:history="1">
        <w:r w:rsidR="007D7D01" w:rsidRPr="007D7D01">
          <w:rPr>
            <w:rStyle w:val="Hyperlink"/>
            <w:sz w:val="16"/>
            <w:szCs w:val="16"/>
          </w:rPr>
          <w:t>https://accan.org.au/accans-work/policy-positions/2253-domestic-and-family-violence</w:t>
        </w:r>
      </w:hyperlink>
      <w:r w:rsidR="007D7D01" w:rsidRPr="007D7D01">
        <w:rPr>
          <w:sz w:val="16"/>
          <w:szCs w:val="16"/>
        </w:rPr>
        <w:t xml:space="preserve">. </w:t>
      </w:r>
    </w:p>
  </w:footnote>
  <w:footnote w:id="9">
    <w:p w14:paraId="45DC47C9" w14:textId="77777777" w:rsidR="00BF073E" w:rsidRDefault="00BF073E" w:rsidP="00BF073E">
      <w:pPr>
        <w:pStyle w:val="FootnoteText"/>
      </w:pPr>
      <w:r w:rsidRPr="007D7D01">
        <w:rPr>
          <w:rStyle w:val="FootnoteReference"/>
          <w:sz w:val="16"/>
          <w:szCs w:val="16"/>
        </w:rPr>
        <w:footnoteRef/>
      </w:r>
      <w:r w:rsidRPr="007D7D01">
        <w:rPr>
          <w:sz w:val="16"/>
          <w:szCs w:val="16"/>
        </w:rPr>
        <w:t xml:space="preserve"> Ibid p.3.</w:t>
      </w:r>
      <w:r>
        <w:t xml:space="preserve"> </w:t>
      </w:r>
    </w:p>
  </w:footnote>
  <w:footnote w:id="10">
    <w:p w14:paraId="7611D1E7" w14:textId="4AF234D8" w:rsidR="00322F75" w:rsidRPr="007D7D01" w:rsidRDefault="00322F75" w:rsidP="00322F75">
      <w:pPr>
        <w:pStyle w:val="FootnoteText"/>
        <w:rPr>
          <w:sz w:val="16"/>
          <w:szCs w:val="16"/>
        </w:rPr>
      </w:pPr>
      <w:r w:rsidRPr="007D7D01">
        <w:rPr>
          <w:rStyle w:val="FootnoteReference"/>
          <w:sz w:val="16"/>
          <w:szCs w:val="16"/>
        </w:rPr>
        <w:footnoteRef/>
      </w:r>
      <w:r w:rsidRPr="007D7D01">
        <w:rPr>
          <w:sz w:val="16"/>
          <w:szCs w:val="16"/>
        </w:rPr>
        <w:t xml:space="preserve"> </w:t>
      </w:r>
      <w:r w:rsidR="00BE4D32" w:rsidRPr="00BE4D32">
        <w:rPr>
          <w:sz w:val="16"/>
          <w:szCs w:val="16"/>
        </w:rPr>
        <w:t xml:space="preserve">Woodlock, D., Bentley, K., Schulze, D., Mahoney, N., Chung, D., and </w:t>
      </w:r>
      <w:proofErr w:type="spellStart"/>
      <w:r w:rsidR="00BE4D32" w:rsidRPr="00BE4D32">
        <w:rPr>
          <w:sz w:val="16"/>
          <w:szCs w:val="16"/>
        </w:rPr>
        <w:t>Pracilio</w:t>
      </w:r>
      <w:proofErr w:type="spellEnd"/>
      <w:r w:rsidR="00BE4D32" w:rsidRPr="00BE4D32">
        <w:rPr>
          <w:sz w:val="16"/>
          <w:szCs w:val="16"/>
        </w:rPr>
        <w:t xml:space="preserve">, A., (2020). Second National Survey of Technology Abuse and Domestic Violence in Australia. </w:t>
      </w:r>
      <w:r w:rsidR="00BE4D32">
        <w:rPr>
          <w:sz w:val="16"/>
          <w:szCs w:val="16"/>
        </w:rPr>
        <w:t xml:space="preserve">2. </w:t>
      </w:r>
      <w:r w:rsidR="00BE4D32" w:rsidRPr="00BE4D32">
        <w:rPr>
          <w:sz w:val="16"/>
          <w:szCs w:val="16"/>
        </w:rPr>
        <w:t>WESNET.</w:t>
      </w:r>
    </w:p>
  </w:footnote>
  <w:footnote w:id="11">
    <w:p w14:paraId="7899043A" w14:textId="48E223F3" w:rsidR="00CD4E9A" w:rsidRPr="00000D9D" w:rsidRDefault="00CD4E9A">
      <w:pPr>
        <w:pStyle w:val="FootnoteText"/>
        <w:rPr>
          <w:sz w:val="16"/>
          <w:szCs w:val="16"/>
        </w:rPr>
      </w:pPr>
      <w:r w:rsidRPr="00000D9D">
        <w:rPr>
          <w:rStyle w:val="FootnoteReference"/>
          <w:sz w:val="16"/>
          <w:szCs w:val="16"/>
        </w:rPr>
        <w:footnoteRef/>
      </w:r>
      <w:r w:rsidRPr="00000D9D">
        <w:rPr>
          <w:sz w:val="16"/>
          <w:szCs w:val="16"/>
        </w:rPr>
        <w:t xml:space="preserve"> </w:t>
      </w:r>
      <w:r w:rsidR="00386279" w:rsidRPr="00BE4D32">
        <w:rPr>
          <w:sz w:val="16"/>
          <w:szCs w:val="16"/>
        </w:rPr>
        <w:t xml:space="preserve">Woodlock, D., Bentley, K., Schulze, D., Mahoney, N., Chung, D., and </w:t>
      </w:r>
      <w:proofErr w:type="spellStart"/>
      <w:r w:rsidR="00386279" w:rsidRPr="00BE4D32">
        <w:rPr>
          <w:sz w:val="16"/>
          <w:szCs w:val="16"/>
        </w:rPr>
        <w:t>Pracilio</w:t>
      </w:r>
      <w:proofErr w:type="spellEnd"/>
      <w:r w:rsidR="00386279" w:rsidRPr="00BE4D32">
        <w:rPr>
          <w:sz w:val="16"/>
          <w:szCs w:val="16"/>
        </w:rPr>
        <w:t xml:space="preserve">, A., (2020). Second National Survey of Technology Abuse and Domestic Violence in Australia. </w:t>
      </w:r>
      <w:r w:rsidR="00386279">
        <w:rPr>
          <w:sz w:val="16"/>
          <w:szCs w:val="16"/>
        </w:rPr>
        <w:t xml:space="preserve">19. </w:t>
      </w:r>
      <w:r w:rsidR="00386279" w:rsidRPr="00BE4D32">
        <w:rPr>
          <w:sz w:val="16"/>
          <w:szCs w:val="16"/>
        </w:rPr>
        <w:t>WESNET.</w:t>
      </w:r>
    </w:p>
  </w:footnote>
  <w:footnote w:id="12">
    <w:p w14:paraId="42386D29" w14:textId="623245A1" w:rsidR="00000D9D" w:rsidRDefault="00000D9D">
      <w:pPr>
        <w:pStyle w:val="FootnoteText"/>
      </w:pPr>
      <w:r w:rsidRPr="00000D9D">
        <w:rPr>
          <w:rStyle w:val="FootnoteReference"/>
          <w:sz w:val="16"/>
          <w:szCs w:val="16"/>
        </w:rPr>
        <w:footnoteRef/>
      </w:r>
      <w:r w:rsidRPr="00000D9D">
        <w:rPr>
          <w:sz w:val="16"/>
          <w:szCs w:val="16"/>
        </w:rPr>
        <w:t xml:space="preserve"> Ibid p.24. </w:t>
      </w:r>
    </w:p>
  </w:footnote>
  <w:footnote w:id="13">
    <w:p w14:paraId="346FC6C2" w14:textId="5A95101C" w:rsidR="00C12391" w:rsidRDefault="00C12391">
      <w:pPr>
        <w:pStyle w:val="FootnoteText"/>
      </w:pPr>
      <w:r w:rsidRPr="00664C75">
        <w:rPr>
          <w:rStyle w:val="FootnoteReference"/>
          <w:sz w:val="16"/>
          <w:szCs w:val="16"/>
        </w:rPr>
        <w:footnoteRef/>
      </w:r>
      <w:r w:rsidRPr="00664C75">
        <w:rPr>
          <w:sz w:val="16"/>
          <w:szCs w:val="16"/>
        </w:rPr>
        <w:t xml:space="preserve"> Ibid p.24. </w:t>
      </w:r>
    </w:p>
  </w:footnote>
  <w:footnote w:id="14">
    <w:p w14:paraId="40388914" w14:textId="268A072F" w:rsidR="00C12CC7" w:rsidRDefault="00C12CC7">
      <w:pPr>
        <w:pStyle w:val="FootnoteText"/>
      </w:pPr>
      <w:r w:rsidRPr="00C12CC7">
        <w:rPr>
          <w:rStyle w:val="FootnoteReference"/>
          <w:sz w:val="16"/>
          <w:szCs w:val="16"/>
        </w:rPr>
        <w:footnoteRef/>
      </w:r>
      <w:r w:rsidRPr="00C12CC7">
        <w:rPr>
          <w:sz w:val="16"/>
          <w:szCs w:val="16"/>
        </w:rPr>
        <w:t xml:space="preserve"> Tanczer, L, Lopez Neira, I, Parkin, S, Patel, T, </w:t>
      </w:r>
      <w:proofErr w:type="spellStart"/>
      <w:r w:rsidRPr="00C12CC7">
        <w:rPr>
          <w:sz w:val="16"/>
          <w:szCs w:val="16"/>
        </w:rPr>
        <w:t>Danezis</w:t>
      </w:r>
      <w:proofErr w:type="spellEnd"/>
      <w:r w:rsidRPr="00C12CC7">
        <w:rPr>
          <w:sz w:val="16"/>
          <w:szCs w:val="16"/>
        </w:rPr>
        <w:t xml:space="preserve"> . 2018. Gender and IoT Research Report</w:t>
      </w:r>
      <w:r w:rsidR="00526508">
        <w:rPr>
          <w:sz w:val="16"/>
          <w:szCs w:val="16"/>
        </w:rPr>
        <w:t xml:space="preserve"> (Report, 2018) 6.</w:t>
      </w:r>
      <w:r w:rsidRPr="00C12CC7">
        <w:rPr>
          <w:sz w:val="16"/>
          <w:szCs w:val="16"/>
        </w:rPr>
        <w:t xml:space="preserve"> Available at: </w:t>
      </w:r>
      <w:hyperlink r:id="rId4" w:anchor="Research" w:history="1">
        <w:r w:rsidRPr="00C12CC7">
          <w:rPr>
            <w:rStyle w:val="Hyperlink"/>
            <w:sz w:val="16"/>
            <w:szCs w:val="16"/>
          </w:rPr>
          <w:t>https://www.ucl.ac.uk/computer-science/research/research-groups/gender-and-tech/gender-and-iot#Research</w:t>
        </w:r>
      </w:hyperlink>
      <w:r w:rsidRPr="00C12CC7">
        <w:rPr>
          <w:sz w:val="16"/>
          <w:szCs w:val="16"/>
        </w:rPr>
        <w:t xml:space="preserve">. </w:t>
      </w:r>
    </w:p>
  </w:footnote>
  <w:footnote w:id="15">
    <w:p w14:paraId="409B34A5" w14:textId="57C703D5" w:rsidR="00322F75" w:rsidRPr="00B73AC8" w:rsidRDefault="00322F75">
      <w:pPr>
        <w:pStyle w:val="FootnoteText"/>
        <w:rPr>
          <w:sz w:val="16"/>
          <w:szCs w:val="16"/>
        </w:rPr>
      </w:pPr>
      <w:r w:rsidRPr="00322F75">
        <w:rPr>
          <w:rStyle w:val="FootnoteReference"/>
          <w:sz w:val="16"/>
          <w:szCs w:val="16"/>
        </w:rPr>
        <w:footnoteRef/>
      </w:r>
      <w:r w:rsidRPr="00322F75">
        <w:rPr>
          <w:sz w:val="16"/>
          <w:szCs w:val="16"/>
        </w:rPr>
        <w:t xml:space="preserve"> </w:t>
      </w:r>
      <w:r w:rsidR="00526508" w:rsidRPr="00F401A9">
        <w:rPr>
          <w:sz w:val="16"/>
          <w:szCs w:val="16"/>
        </w:rPr>
        <w:t>ACCAN</w:t>
      </w:r>
      <w:r w:rsidR="00526508">
        <w:rPr>
          <w:sz w:val="16"/>
          <w:szCs w:val="16"/>
        </w:rPr>
        <w:t>,</w:t>
      </w:r>
      <w:r w:rsidR="00526508" w:rsidRPr="00F401A9">
        <w:rPr>
          <w:sz w:val="16"/>
          <w:szCs w:val="16"/>
        </w:rPr>
        <w:t xml:space="preserve"> 2023-2030 Australian Cyber Security Strategy: Legislative Reforms Consultation Paper</w:t>
      </w:r>
      <w:r w:rsidR="00526508">
        <w:rPr>
          <w:sz w:val="16"/>
          <w:szCs w:val="16"/>
        </w:rPr>
        <w:t xml:space="preserve"> (Submission, 2024) 4. Available at: </w:t>
      </w:r>
      <w:hyperlink r:id="rId5" w:history="1">
        <w:r w:rsidR="00526508" w:rsidRPr="004B1892">
          <w:rPr>
            <w:rStyle w:val="Hyperlink"/>
            <w:sz w:val="16"/>
            <w:szCs w:val="16"/>
          </w:rPr>
          <w:t>https://accan.org.au/accans-work/submissions/2278-cyber-security-strategy-23-30</w:t>
        </w:r>
      </w:hyperlink>
      <w:r w:rsidR="00526508">
        <w:rPr>
          <w:sz w:val="16"/>
          <w:szCs w:val="16"/>
        </w:rPr>
        <w:t xml:space="preserve">. </w:t>
      </w:r>
    </w:p>
  </w:footnote>
  <w:footnote w:id="16">
    <w:p w14:paraId="0CC7155F" w14:textId="7F6E4D22" w:rsidR="009A749F" w:rsidRDefault="009A749F">
      <w:pPr>
        <w:pStyle w:val="FootnoteText"/>
      </w:pPr>
      <w:r>
        <w:rPr>
          <w:rStyle w:val="FootnoteReference"/>
        </w:rPr>
        <w:footnoteRef/>
      </w:r>
      <w:r>
        <w:t xml:space="preserve"> </w:t>
      </w:r>
      <w:r w:rsidR="00526508" w:rsidRPr="00C12CC7">
        <w:rPr>
          <w:sz w:val="16"/>
          <w:szCs w:val="16"/>
        </w:rPr>
        <w:t xml:space="preserve">Tanczer, L, Lopez Neira, I, Parkin, S, Patel, T, </w:t>
      </w:r>
      <w:proofErr w:type="spellStart"/>
      <w:r w:rsidR="00526508" w:rsidRPr="00C12CC7">
        <w:rPr>
          <w:sz w:val="16"/>
          <w:szCs w:val="16"/>
        </w:rPr>
        <w:t>Danezis</w:t>
      </w:r>
      <w:proofErr w:type="spellEnd"/>
      <w:r w:rsidR="00526508" w:rsidRPr="00C12CC7">
        <w:rPr>
          <w:sz w:val="16"/>
          <w:szCs w:val="16"/>
        </w:rPr>
        <w:t xml:space="preserve"> . 2018. Gender and IoT Research Report</w:t>
      </w:r>
      <w:r w:rsidR="00526508">
        <w:rPr>
          <w:sz w:val="16"/>
          <w:szCs w:val="16"/>
        </w:rPr>
        <w:t xml:space="preserve"> (Report, 2018) 4.</w:t>
      </w:r>
      <w:r w:rsidR="00526508" w:rsidRPr="00C12CC7">
        <w:rPr>
          <w:sz w:val="16"/>
          <w:szCs w:val="16"/>
        </w:rPr>
        <w:t xml:space="preserve"> Available at: </w:t>
      </w:r>
      <w:hyperlink r:id="rId6" w:anchor="Research" w:history="1">
        <w:r w:rsidR="00526508" w:rsidRPr="00C12CC7">
          <w:rPr>
            <w:rStyle w:val="Hyperlink"/>
            <w:sz w:val="16"/>
            <w:szCs w:val="16"/>
          </w:rPr>
          <w:t>https://www.ucl.ac.uk/computer-science/research/research-groups/gender-and-tech/gender-and-iot#Research</w:t>
        </w:r>
      </w:hyperlink>
      <w:r w:rsidR="00526508" w:rsidRPr="00C12CC7">
        <w:rPr>
          <w:sz w:val="16"/>
          <w:szCs w:val="16"/>
        </w:rPr>
        <w:t>.</w:t>
      </w:r>
    </w:p>
  </w:footnote>
  <w:footnote w:id="17">
    <w:p w14:paraId="1D8847B2" w14:textId="2591DCC5" w:rsidR="005B1C17" w:rsidRDefault="005B1C17">
      <w:pPr>
        <w:pStyle w:val="FootnoteText"/>
      </w:pPr>
      <w:r w:rsidRPr="00524C39">
        <w:rPr>
          <w:rStyle w:val="FootnoteReference"/>
          <w:sz w:val="16"/>
          <w:szCs w:val="16"/>
        </w:rPr>
        <w:footnoteRef/>
      </w:r>
      <w:r w:rsidRPr="00524C39">
        <w:rPr>
          <w:sz w:val="16"/>
          <w:szCs w:val="16"/>
        </w:rPr>
        <w:t xml:space="preserve"> </w:t>
      </w:r>
      <w:r w:rsidR="00F54AC4" w:rsidRPr="00524C39">
        <w:rPr>
          <w:sz w:val="16"/>
          <w:szCs w:val="16"/>
        </w:rPr>
        <w:t>Explanatory Memorandum</w:t>
      </w:r>
      <w:r w:rsidR="00657722">
        <w:rPr>
          <w:sz w:val="16"/>
          <w:szCs w:val="16"/>
        </w:rPr>
        <w:t>, Cyber Security Bill</w:t>
      </w:r>
      <w:r w:rsidR="009F3B95">
        <w:rPr>
          <w:sz w:val="16"/>
          <w:szCs w:val="16"/>
        </w:rPr>
        <w:t xml:space="preserve"> 2024 (Cth) </w:t>
      </w:r>
      <w:r w:rsidR="00524C39" w:rsidRPr="00524C39">
        <w:rPr>
          <w:sz w:val="16"/>
          <w:szCs w:val="16"/>
        </w:rPr>
        <w:t xml:space="preserve">124. </w:t>
      </w:r>
      <w:r w:rsidR="009F3B95">
        <w:rPr>
          <w:sz w:val="16"/>
          <w:szCs w:val="16"/>
        </w:rPr>
        <w:t xml:space="preserve">Available at: </w:t>
      </w:r>
      <w:hyperlink r:id="rId7" w:history="1">
        <w:r w:rsidR="009F3B95" w:rsidRPr="009F3B95">
          <w:rPr>
            <w:rStyle w:val="Hyperlink"/>
            <w:sz w:val="16"/>
            <w:szCs w:val="16"/>
          </w:rPr>
          <w:t>https://www.aph.gov.au/Parliamentary_Business/Committees/Joint/Intelligence_and_Security/CyberSecurityPackage</w:t>
        </w:r>
      </w:hyperlink>
      <w:r w:rsidR="00524C39" w:rsidRPr="00524C39">
        <w:rPr>
          <w:sz w:val="16"/>
          <w:szCs w:val="16"/>
        </w:rPr>
        <w:t>.</w:t>
      </w:r>
      <w:r w:rsidR="00524C3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70AB" w14:textId="77777777" w:rsidR="00C5300D" w:rsidRDefault="00C5300D">
    <w:pPr>
      <w:pStyle w:val="Header"/>
    </w:pPr>
  </w:p>
  <w:p w14:paraId="4625313A" w14:textId="77777777" w:rsidR="00C5300D"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53C6B" w14:textId="77777777" w:rsidR="00C5300D" w:rsidRPr="00AD3EFC" w:rsidRDefault="00C5300D" w:rsidP="00E53277">
    <w:pPr>
      <w:pStyle w:val="Letterhead2"/>
      <w:ind w:firstLine="0"/>
    </w:pPr>
    <w:r>
      <w:rPr>
        <w:noProof/>
      </w:rPr>
      <w:drawing>
        <wp:anchor distT="0" distB="0" distL="114300" distR="114300" simplePos="0" relativeHeight="251658240" behindDoc="1" locked="0" layoutInCell="1" allowOverlap="1" wp14:anchorId="028AE188" wp14:editId="3E762623">
          <wp:simplePos x="0" y="0"/>
          <wp:positionH relativeFrom="page">
            <wp:align>left</wp:align>
          </wp:positionH>
          <wp:positionV relativeFrom="paragraph">
            <wp:posOffset>-288290</wp:posOffset>
          </wp:positionV>
          <wp:extent cx="7672936" cy="4387186"/>
          <wp:effectExtent l="0" t="0" r="4445" b="0"/>
          <wp:wrapNone/>
          <wp:docPr id="10080810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E562" w14:textId="40DA37AD" w:rsidR="00C5300D" w:rsidRPr="00AD3EFC"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73F7D"/>
    <w:multiLevelType w:val="hybridMultilevel"/>
    <w:tmpl w:val="A69674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E224572"/>
    <w:multiLevelType w:val="hybridMultilevel"/>
    <w:tmpl w:val="EB84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B1BB0"/>
    <w:multiLevelType w:val="hybridMultilevel"/>
    <w:tmpl w:val="C28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4" w15:restartNumberingAfterBreak="0">
    <w:nsid w:val="3063763A"/>
    <w:multiLevelType w:val="hybridMultilevel"/>
    <w:tmpl w:val="5E52CA3E"/>
    <w:lvl w:ilvl="0" w:tplc="06C658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7C5FB2"/>
    <w:multiLevelType w:val="multilevel"/>
    <w:tmpl w:val="6AFEEB4C"/>
    <w:numStyleLink w:val="Bullets"/>
  </w:abstractNum>
  <w:abstractNum w:abstractNumId="6"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7" w15:restartNumberingAfterBreak="0">
    <w:nsid w:val="3CC920FE"/>
    <w:multiLevelType w:val="hybridMultilevel"/>
    <w:tmpl w:val="C56A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67575"/>
    <w:multiLevelType w:val="hybridMultilevel"/>
    <w:tmpl w:val="16449A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4E7F6F"/>
    <w:multiLevelType w:val="hybridMultilevel"/>
    <w:tmpl w:val="1F54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E47"/>
    <w:multiLevelType w:val="hybridMultilevel"/>
    <w:tmpl w:val="E8A23B94"/>
    <w:lvl w:ilvl="0" w:tplc="95660E8E">
      <w:start w:val="1"/>
      <w:numFmt w:val="bullet"/>
      <w:lvlText w:val=""/>
      <w:lvlJc w:val="left"/>
      <w:pPr>
        <w:ind w:left="6400" w:hanging="360"/>
      </w:pPr>
      <w:rPr>
        <w:rFonts w:ascii="Symbol" w:hAnsi="Symbol" w:hint="default"/>
      </w:rPr>
    </w:lvl>
    <w:lvl w:ilvl="1" w:tplc="04090003" w:tentative="1">
      <w:start w:val="1"/>
      <w:numFmt w:val="bullet"/>
      <w:lvlText w:val="o"/>
      <w:lvlJc w:val="left"/>
      <w:pPr>
        <w:ind w:left="7120" w:hanging="360"/>
      </w:pPr>
      <w:rPr>
        <w:rFonts w:ascii="Courier New" w:hAnsi="Courier New" w:cs="Courier New" w:hint="default"/>
      </w:rPr>
    </w:lvl>
    <w:lvl w:ilvl="2" w:tplc="04090005" w:tentative="1">
      <w:start w:val="1"/>
      <w:numFmt w:val="bullet"/>
      <w:lvlText w:val=""/>
      <w:lvlJc w:val="left"/>
      <w:pPr>
        <w:ind w:left="7840" w:hanging="360"/>
      </w:pPr>
      <w:rPr>
        <w:rFonts w:ascii="Wingdings" w:hAnsi="Wingdings" w:hint="default"/>
      </w:rPr>
    </w:lvl>
    <w:lvl w:ilvl="3" w:tplc="04090001" w:tentative="1">
      <w:start w:val="1"/>
      <w:numFmt w:val="bullet"/>
      <w:lvlText w:val=""/>
      <w:lvlJc w:val="left"/>
      <w:pPr>
        <w:ind w:left="8560" w:hanging="360"/>
      </w:pPr>
      <w:rPr>
        <w:rFonts w:ascii="Symbol" w:hAnsi="Symbol" w:hint="default"/>
      </w:rPr>
    </w:lvl>
    <w:lvl w:ilvl="4" w:tplc="04090003" w:tentative="1">
      <w:start w:val="1"/>
      <w:numFmt w:val="bullet"/>
      <w:lvlText w:val="o"/>
      <w:lvlJc w:val="left"/>
      <w:pPr>
        <w:ind w:left="9280" w:hanging="360"/>
      </w:pPr>
      <w:rPr>
        <w:rFonts w:ascii="Courier New" w:hAnsi="Courier New" w:cs="Courier New" w:hint="default"/>
      </w:rPr>
    </w:lvl>
    <w:lvl w:ilvl="5" w:tplc="04090005" w:tentative="1">
      <w:start w:val="1"/>
      <w:numFmt w:val="bullet"/>
      <w:lvlText w:val=""/>
      <w:lvlJc w:val="left"/>
      <w:pPr>
        <w:ind w:left="10000" w:hanging="360"/>
      </w:pPr>
      <w:rPr>
        <w:rFonts w:ascii="Wingdings" w:hAnsi="Wingdings" w:hint="default"/>
      </w:rPr>
    </w:lvl>
    <w:lvl w:ilvl="6" w:tplc="04090001" w:tentative="1">
      <w:start w:val="1"/>
      <w:numFmt w:val="bullet"/>
      <w:lvlText w:val=""/>
      <w:lvlJc w:val="left"/>
      <w:pPr>
        <w:ind w:left="10720" w:hanging="360"/>
      </w:pPr>
      <w:rPr>
        <w:rFonts w:ascii="Symbol" w:hAnsi="Symbol" w:hint="default"/>
      </w:rPr>
    </w:lvl>
    <w:lvl w:ilvl="7" w:tplc="04090003" w:tentative="1">
      <w:start w:val="1"/>
      <w:numFmt w:val="bullet"/>
      <w:lvlText w:val="o"/>
      <w:lvlJc w:val="left"/>
      <w:pPr>
        <w:ind w:left="11440" w:hanging="360"/>
      </w:pPr>
      <w:rPr>
        <w:rFonts w:ascii="Courier New" w:hAnsi="Courier New" w:cs="Courier New" w:hint="default"/>
      </w:rPr>
    </w:lvl>
    <w:lvl w:ilvl="8" w:tplc="04090005" w:tentative="1">
      <w:start w:val="1"/>
      <w:numFmt w:val="bullet"/>
      <w:lvlText w:val=""/>
      <w:lvlJc w:val="left"/>
      <w:pPr>
        <w:ind w:left="12160" w:hanging="360"/>
      </w:pPr>
      <w:rPr>
        <w:rFonts w:ascii="Wingdings" w:hAnsi="Wingdings" w:hint="default"/>
      </w:rPr>
    </w:lvl>
  </w:abstractNum>
  <w:abstractNum w:abstractNumId="11" w15:restartNumberingAfterBreak="0">
    <w:nsid w:val="7D0C0024"/>
    <w:multiLevelType w:val="hybridMultilevel"/>
    <w:tmpl w:val="48321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870307"/>
    <w:multiLevelType w:val="hybridMultilevel"/>
    <w:tmpl w:val="E5885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592771">
    <w:abstractNumId w:val="3"/>
  </w:num>
  <w:num w:numId="2" w16cid:durableId="1705908320">
    <w:abstractNumId w:val="5"/>
  </w:num>
  <w:num w:numId="3" w16cid:durableId="195047647">
    <w:abstractNumId w:val="6"/>
  </w:num>
  <w:num w:numId="4" w16cid:durableId="2068332300">
    <w:abstractNumId w:val="10"/>
  </w:num>
  <w:num w:numId="5" w16cid:durableId="774249687">
    <w:abstractNumId w:val="1"/>
  </w:num>
  <w:num w:numId="6" w16cid:durableId="110174836">
    <w:abstractNumId w:val="4"/>
  </w:num>
  <w:num w:numId="7" w16cid:durableId="955797712">
    <w:abstractNumId w:val="12"/>
  </w:num>
  <w:num w:numId="8" w16cid:durableId="582295754">
    <w:abstractNumId w:val="0"/>
  </w:num>
  <w:num w:numId="9" w16cid:durableId="676082502">
    <w:abstractNumId w:val="7"/>
  </w:num>
  <w:num w:numId="10" w16cid:durableId="1209880653">
    <w:abstractNumId w:val="9"/>
  </w:num>
  <w:num w:numId="11" w16cid:durableId="819033803">
    <w:abstractNumId w:val="2"/>
  </w:num>
  <w:num w:numId="12" w16cid:durableId="814641519">
    <w:abstractNumId w:val="8"/>
  </w:num>
  <w:num w:numId="13" w16cid:durableId="64863517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81"/>
    <w:rsid w:val="00000D9D"/>
    <w:rsid w:val="00002592"/>
    <w:rsid w:val="00002A84"/>
    <w:rsid w:val="000039D9"/>
    <w:rsid w:val="00005056"/>
    <w:rsid w:val="00006849"/>
    <w:rsid w:val="00006AAB"/>
    <w:rsid w:val="00006C00"/>
    <w:rsid w:val="0001160C"/>
    <w:rsid w:val="000130E1"/>
    <w:rsid w:val="00013432"/>
    <w:rsid w:val="00014C33"/>
    <w:rsid w:val="00014CA0"/>
    <w:rsid w:val="00014E08"/>
    <w:rsid w:val="000156DA"/>
    <w:rsid w:val="0001711C"/>
    <w:rsid w:val="0001751C"/>
    <w:rsid w:val="00017FF5"/>
    <w:rsid w:val="00020140"/>
    <w:rsid w:val="0002144A"/>
    <w:rsid w:val="00021558"/>
    <w:rsid w:val="0002178D"/>
    <w:rsid w:val="000217FD"/>
    <w:rsid w:val="000218CC"/>
    <w:rsid w:val="00021EEE"/>
    <w:rsid w:val="00022392"/>
    <w:rsid w:val="00022D35"/>
    <w:rsid w:val="00023701"/>
    <w:rsid w:val="000244D8"/>
    <w:rsid w:val="00024E5A"/>
    <w:rsid w:val="00025032"/>
    <w:rsid w:val="0002577C"/>
    <w:rsid w:val="00025FC3"/>
    <w:rsid w:val="0003040E"/>
    <w:rsid w:val="00030D26"/>
    <w:rsid w:val="00031054"/>
    <w:rsid w:val="00031DE1"/>
    <w:rsid w:val="00032441"/>
    <w:rsid w:val="00033394"/>
    <w:rsid w:val="000341DA"/>
    <w:rsid w:val="000345B4"/>
    <w:rsid w:val="000362DE"/>
    <w:rsid w:val="000374B5"/>
    <w:rsid w:val="00037D02"/>
    <w:rsid w:val="00040C62"/>
    <w:rsid w:val="00040E6E"/>
    <w:rsid w:val="0004166C"/>
    <w:rsid w:val="00043833"/>
    <w:rsid w:val="00043D1D"/>
    <w:rsid w:val="00044434"/>
    <w:rsid w:val="0004526C"/>
    <w:rsid w:val="000463D9"/>
    <w:rsid w:val="000470B7"/>
    <w:rsid w:val="00047137"/>
    <w:rsid w:val="00047E20"/>
    <w:rsid w:val="00051CD8"/>
    <w:rsid w:val="00052737"/>
    <w:rsid w:val="00052787"/>
    <w:rsid w:val="00052D56"/>
    <w:rsid w:val="000530BA"/>
    <w:rsid w:val="00053BD5"/>
    <w:rsid w:val="000553A9"/>
    <w:rsid w:val="00056A12"/>
    <w:rsid w:val="00056D71"/>
    <w:rsid w:val="000576D9"/>
    <w:rsid w:val="00057A92"/>
    <w:rsid w:val="00057DD5"/>
    <w:rsid w:val="0006020F"/>
    <w:rsid w:val="00061D64"/>
    <w:rsid w:val="00062A46"/>
    <w:rsid w:val="00063DD0"/>
    <w:rsid w:val="000653DA"/>
    <w:rsid w:val="00066C39"/>
    <w:rsid w:val="00066CD4"/>
    <w:rsid w:val="00067AF1"/>
    <w:rsid w:val="00072C5D"/>
    <w:rsid w:val="0007428C"/>
    <w:rsid w:val="00074521"/>
    <w:rsid w:val="00075C32"/>
    <w:rsid w:val="00077240"/>
    <w:rsid w:val="0008068C"/>
    <w:rsid w:val="00083F4B"/>
    <w:rsid w:val="000840C2"/>
    <w:rsid w:val="00086136"/>
    <w:rsid w:val="00086378"/>
    <w:rsid w:val="000876AF"/>
    <w:rsid w:val="00090534"/>
    <w:rsid w:val="00090606"/>
    <w:rsid w:val="0009245D"/>
    <w:rsid w:val="000946F5"/>
    <w:rsid w:val="00095278"/>
    <w:rsid w:val="00096F06"/>
    <w:rsid w:val="0009715B"/>
    <w:rsid w:val="000A0BAD"/>
    <w:rsid w:val="000A0DE3"/>
    <w:rsid w:val="000A3806"/>
    <w:rsid w:val="000A3FBC"/>
    <w:rsid w:val="000A41A1"/>
    <w:rsid w:val="000A4520"/>
    <w:rsid w:val="000A71C0"/>
    <w:rsid w:val="000B11EF"/>
    <w:rsid w:val="000B1725"/>
    <w:rsid w:val="000B2023"/>
    <w:rsid w:val="000B259A"/>
    <w:rsid w:val="000B2847"/>
    <w:rsid w:val="000B2C45"/>
    <w:rsid w:val="000B6F92"/>
    <w:rsid w:val="000B7682"/>
    <w:rsid w:val="000B7E6D"/>
    <w:rsid w:val="000C231C"/>
    <w:rsid w:val="000C463F"/>
    <w:rsid w:val="000C4CA3"/>
    <w:rsid w:val="000C5BAA"/>
    <w:rsid w:val="000C6173"/>
    <w:rsid w:val="000C6EA2"/>
    <w:rsid w:val="000C7431"/>
    <w:rsid w:val="000D17E4"/>
    <w:rsid w:val="000D18A2"/>
    <w:rsid w:val="000D29C7"/>
    <w:rsid w:val="000D3F85"/>
    <w:rsid w:val="000D5255"/>
    <w:rsid w:val="000D67CC"/>
    <w:rsid w:val="000D6C9F"/>
    <w:rsid w:val="000E05B6"/>
    <w:rsid w:val="000E0632"/>
    <w:rsid w:val="000E08B5"/>
    <w:rsid w:val="000E0A5E"/>
    <w:rsid w:val="000E1593"/>
    <w:rsid w:val="000E2A17"/>
    <w:rsid w:val="000E3217"/>
    <w:rsid w:val="000E3E59"/>
    <w:rsid w:val="000E5CAE"/>
    <w:rsid w:val="000E624D"/>
    <w:rsid w:val="000E6D72"/>
    <w:rsid w:val="000F0991"/>
    <w:rsid w:val="000F21D4"/>
    <w:rsid w:val="000F3349"/>
    <w:rsid w:val="000F3856"/>
    <w:rsid w:val="000F724E"/>
    <w:rsid w:val="000F764C"/>
    <w:rsid w:val="0010035C"/>
    <w:rsid w:val="00102032"/>
    <w:rsid w:val="00102BED"/>
    <w:rsid w:val="00103999"/>
    <w:rsid w:val="00103DAC"/>
    <w:rsid w:val="001045E1"/>
    <w:rsid w:val="00104DAD"/>
    <w:rsid w:val="00106AEC"/>
    <w:rsid w:val="001074C6"/>
    <w:rsid w:val="00107AD8"/>
    <w:rsid w:val="00107D6F"/>
    <w:rsid w:val="001116BE"/>
    <w:rsid w:val="00111F02"/>
    <w:rsid w:val="0011241A"/>
    <w:rsid w:val="00112CAD"/>
    <w:rsid w:val="00113465"/>
    <w:rsid w:val="001136E0"/>
    <w:rsid w:val="00113AE0"/>
    <w:rsid w:val="00114641"/>
    <w:rsid w:val="00117684"/>
    <w:rsid w:val="001217E2"/>
    <w:rsid w:val="001217FD"/>
    <w:rsid w:val="00121D47"/>
    <w:rsid w:val="00122DD1"/>
    <w:rsid w:val="001248B3"/>
    <w:rsid w:val="00124F88"/>
    <w:rsid w:val="00125060"/>
    <w:rsid w:val="00125DE2"/>
    <w:rsid w:val="00126183"/>
    <w:rsid w:val="0012626F"/>
    <w:rsid w:val="0012636E"/>
    <w:rsid w:val="0012663D"/>
    <w:rsid w:val="001270D6"/>
    <w:rsid w:val="001275E7"/>
    <w:rsid w:val="00130E70"/>
    <w:rsid w:val="00131808"/>
    <w:rsid w:val="00132365"/>
    <w:rsid w:val="00132C91"/>
    <w:rsid w:val="00133505"/>
    <w:rsid w:val="00133C7D"/>
    <w:rsid w:val="00134BAC"/>
    <w:rsid w:val="00135818"/>
    <w:rsid w:val="00135C01"/>
    <w:rsid w:val="00135DF6"/>
    <w:rsid w:val="00136BB7"/>
    <w:rsid w:val="00136E66"/>
    <w:rsid w:val="00137C51"/>
    <w:rsid w:val="00142ADF"/>
    <w:rsid w:val="0014315C"/>
    <w:rsid w:val="0014505C"/>
    <w:rsid w:val="00145394"/>
    <w:rsid w:val="00145587"/>
    <w:rsid w:val="00145E74"/>
    <w:rsid w:val="00146383"/>
    <w:rsid w:val="00147139"/>
    <w:rsid w:val="00150873"/>
    <w:rsid w:val="0015138F"/>
    <w:rsid w:val="001514F8"/>
    <w:rsid w:val="0015159F"/>
    <w:rsid w:val="00151EAB"/>
    <w:rsid w:val="00152E08"/>
    <w:rsid w:val="001531E7"/>
    <w:rsid w:val="0015376F"/>
    <w:rsid w:val="001537A7"/>
    <w:rsid w:val="0015542A"/>
    <w:rsid w:val="001562DE"/>
    <w:rsid w:val="00156F50"/>
    <w:rsid w:val="001605C9"/>
    <w:rsid w:val="001617F8"/>
    <w:rsid w:val="00161B2B"/>
    <w:rsid w:val="001623E5"/>
    <w:rsid w:val="001629D4"/>
    <w:rsid w:val="00163200"/>
    <w:rsid w:val="00163B56"/>
    <w:rsid w:val="00163FA1"/>
    <w:rsid w:val="00167714"/>
    <w:rsid w:val="00167D6B"/>
    <w:rsid w:val="001700B2"/>
    <w:rsid w:val="0017083D"/>
    <w:rsid w:val="00171821"/>
    <w:rsid w:val="00172EA2"/>
    <w:rsid w:val="001730E0"/>
    <w:rsid w:val="0017468C"/>
    <w:rsid w:val="00175299"/>
    <w:rsid w:val="001754ED"/>
    <w:rsid w:val="00175B17"/>
    <w:rsid w:val="001766A1"/>
    <w:rsid w:val="00177907"/>
    <w:rsid w:val="00177B5D"/>
    <w:rsid w:val="001812EB"/>
    <w:rsid w:val="001828D8"/>
    <w:rsid w:val="00184D88"/>
    <w:rsid w:val="00184E49"/>
    <w:rsid w:val="00185442"/>
    <w:rsid w:val="00187AF9"/>
    <w:rsid w:val="00190012"/>
    <w:rsid w:val="0019031E"/>
    <w:rsid w:val="00191676"/>
    <w:rsid w:val="00191FE1"/>
    <w:rsid w:val="00192E53"/>
    <w:rsid w:val="0019340F"/>
    <w:rsid w:val="00193DB9"/>
    <w:rsid w:val="0019461C"/>
    <w:rsid w:val="001948E0"/>
    <w:rsid w:val="00194B7F"/>
    <w:rsid w:val="0019567C"/>
    <w:rsid w:val="00195C4A"/>
    <w:rsid w:val="00196FE2"/>
    <w:rsid w:val="00197FA0"/>
    <w:rsid w:val="001A0171"/>
    <w:rsid w:val="001A1BC3"/>
    <w:rsid w:val="001A2736"/>
    <w:rsid w:val="001A2BA5"/>
    <w:rsid w:val="001A3380"/>
    <w:rsid w:val="001A5600"/>
    <w:rsid w:val="001A5738"/>
    <w:rsid w:val="001A5ACB"/>
    <w:rsid w:val="001A60E4"/>
    <w:rsid w:val="001A772D"/>
    <w:rsid w:val="001B0581"/>
    <w:rsid w:val="001B0DED"/>
    <w:rsid w:val="001B1813"/>
    <w:rsid w:val="001B47C4"/>
    <w:rsid w:val="001B4F92"/>
    <w:rsid w:val="001B5856"/>
    <w:rsid w:val="001B5FB2"/>
    <w:rsid w:val="001B63DD"/>
    <w:rsid w:val="001B6438"/>
    <w:rsid w:val="001C14B0"/>
    <w:rsid w:val="001C2391"/>
    <w:rsid w:val="001C3C4F"/>
    <w:rsid w:val="001C40D8"/>
    <w:rsid w:val="001C4264"/>
    <w:rsid w:val="001C59DD"/>
    <w:rsid w:val="001C6667"/>
    <w:rsid w:val="001C672F"/>
    <w:rsid w:val="001C67EA"/>
    <w:rsid w:val="001C7748"/>
    <w:rsid w:val="001D2405"/>
    <w:rsid w:val="001D3953"/>
    <w:rsid w:val="001D4B06"/>
    <w:rsid w:val="001D5C22"/>
    <w:rsid w:val="001D64B9"/>
    <w:rsid w:val="001D6F9E"/>
    <w:rsid w:val="001D7014"/>
    <w:rsid w:val="001D7A1B"/>
    <w:rsid w:val="001E1AE7"/>
    <w:rsid w:val="001E3CC3"/>
    <w:rsid w:val="001E7889"/>
    <w:rsid w:val="001F013B"/>
    <w:rsid w:val="001F0E87"/>
    <w:rsid w:val="001F35FB"/>
    <w:rsid w:val="001F3911"/>
    <w:rsid w:val="001F7374"/>
    <w:rsid w:val="001F75D2"/>
    <w:rsid w:val="001F77F6"/>
    <w:rsid w:val="001F7966"/>
    <w:rsid w:val="001F7EB1"/>
    <w:rsid w:val="0020028A"/>
    <w:rsid w:val="00200982"/>
    <w:rsid w:val="00202CEB"/>
    <w:rsid w:val="00202E5E"/>
    <w:rsid w:val="002038F3"/>
    <w:rsid w:val="002038FB"/>
    <w:rsid w:val="002077C1"/>
    <w:rsid w:val="00207BED"/>
    <w:rsid w:val="00207EC8"/>
    <w:rsid w:val="00211174"/>
    <w:rsid w:val="00211375"/>
    <w:rsid w:val="002118F3"/>
    <w:rsid w:val="0021296C"/>
    <w:rsid w:val="00213850"/>
    <w:rsid w:val="002140FC"/>
    <w:rsid w:val="0021413E"/>
    <w:rsid w:val="00215005"/>
    <w:rsid w:val="0021558D"/>
    <w:rsid w:val="00216E8C"/>
    <w:rsid w:val="00221EE2"/>
    <w:rsid w:val="00223840"/>
    <w:rsid w:val="002258EE"/>
    <w:rsid w:val="002340E9"/>
    <w:rsid w:val="002366E4"/>
    <w:rsid w:val="002377B5"/>
    <w:rsid w:val="002412A0"/>
    <w:rsid w:val="002435D2"/>
    <w:rsid w:val="002446C4"/>
    <w:rsid w:val="00244FE0"/>
    <w:rsid w:val="00245265"/>
    <w:rsid w:val="00247335"/>
    <w:rsid w:val="002507D1"/>
    <w:rsid w:val="002515B9"/>
    <w:rsid w:val="00251782"/>
    <w:rsid w:val="00251939"/>
    <w:rsid w:val="002520EE"/>
    <w:rsid w:val="00252148"/>
    <w:rsid w:val="00252E5E"/>
    <w:rsid w:val="0025365E"/>
    <w:rsid w:val="0025383A"/>
    <w:rsid w:val="002557C5"/>
    <w:rsid w:val="0025604E"/>
    <w:rsid w:val="002567BC"/>
    <w:rsid w:val="00260153"/>
    <w:rsid w:val="0026030A"/>
    <w:rsid w:val="00260397"/>
    <w:rsid w:val="00261500"/>
    <w:rsid w:val="00261658"/>
    <w:rsid w:val="00261BA9"/>
    <w:rsid w:val="0026420E"/>
    <w:rsid w:val="00265636"/>
    <w:rsid w:val="0026652F"/>
    <w:rsid w:val="0026705E"/>
    <w:rsid w:val="0027168A"/>
    <w:rsid w:val="00271720"/>
    <w:rsid w:val="002718A5"/>
    <w:rsid w:val="002719DA"/>
    <w:rsid w:val="00272512"/>
    <w:rsid w:val="00272A5A"/>
    <w:rsid w:val="00272B6D"/>
    <w:rsid w:val="00274126"/>
    <w:rsid w:val="00274E04"/>
    <w:rsid w:val="00275427"/>
    <w:rsid w:val="00275D16"/>
    <w:rsid w:val="002767A3"/>
    <w:rsid w:val="00276F66"/>
    <w:rsid w:val="002778FE"/>
    <w:rsid w:val="00277BA3"/>
    <w:rsid w:val="00277D40"/>
    <w:rsid w:val="002801B4"/>
    <w:rsid w:val="00280451"/>
    <w:rsid w:val="00280E17"/>
    <w:rsid w:val="00281129"/>
    <w:rsid w:val="00281259"/>
    <w:rsid w:val="00281CE2"/>
    <w:rsid w:val="00281F9B"/>
    <w:rsid w:val="00281FF9"/>
    <w:rsid w:val="002824CB"/>
    <w:rsid w:val="00282A01"/>
    <w:rsid w:val="00284810"/>
    <w:rsid w:val="0028661C"/>
    <w:rsid w:val="0028734E"/>
    <w:rsid w:val="002904FB"/>
    <w:rsid w:val="0029251A"/>
    <w:rsid w:val="00293B97"/>
    <w:rsid w:val="00294208"/>
    <w:rsid w:val="002963FA"/>
    <w:rsid w:val="002964B0"/>
    <w:rsid w:val="00296FA3"/>
    <w:rsid w:val="00297EC8"/>
    <w:rsid w:val="002A1728"/>
    <w:rsid w:val="002A4CBF"/>
    <w:rsid w:val="002A61AB"/>
    <w:rsid w:val="002A6483"/>
    <w:rsid w:val="002B0920"/>
    <w:rsid w:val="002B143B"/>
    <w:rsid w:val="002B3011"/>
    <w:rsid w:val="002B330B"/>
    <w:rsid w:val="002B3821"/>
    <w:rsid w:val="002B429F"/>
    <w:rsid w:val="002B432D"/>
    <w:rsid w:val="002C0AE1"/>
    <w:rsid w:val="002C18F0"/>
    <w:rsid w:val="002C21D2"/>
    <w:rsid w:val="002C2375"/>
    <w:rsid w:val="002C30D3"/>
    <w:rsid w:val="002C58B8"/>
    <w:rsid w:val="002C7985"/>
    <w:rsid w:val="002C7A42"/>
    <w:rsid w:val="002C7F9B"/>
    <w:rsid w:val="002D0309"/>
    <w:rsid w:val="002D0E21"/>
    <w:rsid w:val="002D1707"/>
    <w:rsid w:val="002D18C5"/>
    <w:rsid w:val="002D7ACE"/>
    <w:rsid w:val="002E1189"/>
    <w:rsid w:val="002E1A64"/>
    <w:rsid w:val="002E1ACA"/>
    <w:rsid w:val="002E225B"/>
    <w:rsid w:val="002E348A"/>
    <w:rsid w:val="002E4DF3"/>
    <w:rsid w:val="002E4FFE"/>
    <w:rsid w:val="002E5AFB"/>
    <w:rsid w:val="002E74A4"/>
    <w:rsid w:val="002F089B"/>
    <w:rsid w:val="002F0F8D"/>
    <w:rsid w:val="002F1108"/>
    <w:rsid w:val="002F1EFA"/>
    <w:rsid w:val="002F292E"/>
    <w:rsid w:val="002F2ADF"/>
    <w:rsid w:val="002F425A"/>
    <w:rsid w:val="002F48F3"/>
    <w:rsid w:val="002F580F"/>
    <w:rsid w:val="002F5E8C"/>
    <w:rsid w:val="002F604C"/>
    <w:rsid w:val="002F6143"/>
    <w:rsid w:val="002F7679"/>
    <w:rsid w:val="003012B2"/>
    <w:rsid w:val="00301A71"/>
    <w:rsid w:val="00301D3A"/>
    <w:rsid w:val="003025AF"/>
    <w:rsid w:val="00302A8F"/>
    <w:rsid w:val="00302D3C"/>
    <w:rsid w:val="003065DD"/>
    <w:rsid w:val="00307E68"/>
    <w:rsid w:val="00310CBD"/>
    <w:rsid w:val="003113F6"/>
    <w:rsid w:val="0031147C"/>
    <w:rsid w:val="003134D9"/>
    <w:rsid w:val="00316094"/>
    <w:rsid w:val="0031654A"/>
    <w:rsid w:val="00317E1B"/>
    <w:rsid w:val="0032085D"/>
    <w:rsid w:val="00320E74"/>
    <w:rsid w:val="0032136A"/>
    <w:rsid w:val="00322270"/>
    <w:rsid w:val="00322F75"/>
    <w:rsid w:val="00324A3E"/>
    <w:rsid w:val="00327160"/>
    <w:rsid w:val="003300D9"/>
    <w:rsid w:val="003318CF"/>
    <w:rsid w:val="00333F12"/>
    <w:rsid w:val="00333FFA"/>
    <w:rsid w:val="00334E37"/>
    <w:rsid w:val="003367F5"/>
    <w:rsid w:val="00336BC3"/>
    <w:rsid w:val="00336F1E"/>
    <w:rsid w:val="003403FD"/>
    <w:rsid w:val="00340A76"/>
    <w:rsid w:val="003437B0"/>
    <w:rsid w:val="00343BF7"/>
    <w:rsid w:val="00343CDD"/>
    <w:rsid w:val="003444A4"/>
    <w:rsid w:val="00347170"/>
    <w:rsid w:val="00350633"/>
    <w:rsid w:val="00351C15"/>
    <w:rsid w:val="00351F70"/>
    <w:rsid w:val="003521C8"/>
    <w:rsid w:val="00352642"/>
    <w:rsid w:val="003532F3"/>
    <w:rsid w:val="00355F77"/>
    <w:rsid w:val="00356016"/>
    <w:rsid w:val="00360559"/>
    <w:rsid w:val="00360987"/>
    <w:rsid w:val="00364A72"/>
    <w:rsid w:val="003658B2"/>
    <w:rsid w:val="003661CC"/>
    <w:rsid w:val="00370BF8"/>
    <w:rsid w:val="00372F65"/>
    <w:rsid w:val="00373A3A"/>
    <w:rsid w:val="003742A1"/>
    <w:rsid w:val="003753FF"/>
    <w:rsid w:val="00375A9F"/>
    <w:rsid w:val="00375C7A"/>
    <w:rsid w:val="003818C7"/>
    <w:rsid w:val="00381C48"/>
    <w:rsid w:val="00383369"/>
    <w:rsid w:val="0038397D"/>
    <w:rsid w:val="00385F48"/>
    <w:rsid w:val="00386279"/>
    <w:rsid w:val="003867A2"/>
    <w:rsid w:val="00386C98"/>
    <w:rsid w:val="003873E2"/>
    <w:rsid w:val="00392A00"/>
    <w:rsid w:val="00392A72"/>
    <w:rsid w:val="0039416E"/>
    <w:rsid w:val="00396D37"/>
    <w:rsid w:val="003A0471"/>
    <w:rsid w:val="003A1858"/>
    <w:rsid w:val="003A22CB"/>
    <w:rsid w:val="003A2485"/>
    <w:rsid w:val="003A2700"/>
    <w:rsid w:val="003A284A"/>
    <w:rsid w:val="003A3682"/>
    <w:rsid w:val="003A4429"/>
    <w:rsid w:val="003A47F1"/>
    <w:rsid w:val="003A504A"/>
    <w:rsid w:val="003B0198"/>
    <w:rsid w:val="003B37B3"/>
    <w:rsid w:val="003B4F26"/>
    <w:rsid w:val="003B4F60"/>
    <w:rsid w:val="003C1118"/>
    <w:rsid w:val="003C3084"/>
    <w:rsid w:val="003C334E"/>
    <w:rsid w:val="003C3577"/>
    <w:rsid w:val="003C3B4F"/>
    <w:rsid w:val="003C530F"/>
    <w:rsid w:val="003C6711"/>
    <w:rsid w:val="003C7349"/>
    <w:rsid w:val="003C7551"/>
    <w:rsid w:val="003D1CDF"/>
    <w:rsid w:val="003D2F73"/>
    <w:rsid w:val="003D5727"/>
    <w:rsid w:val="003D5997"/>
    <w:rsid w:val="003D7C36"/>
    <w:rsid w:val="003D7DCC"/>
    <w:rsid w:val="003E0713"/>
    <w:rsid w:val="003E1E8F"/>
    <w:rsid w:val="003E2DAA"/>
    <w:rsid w:val="003E3C79"/>
    <w:rsid w:val="003E3D2C"/>
    <w:rsid w:val="003E4BC6"/>
    <w:rsid w:val="003E57DE"/>
    <w:rsid w:val="003E5B17"/>
    <w:rsid w:val="003F0C05"/>
    <w:rsid w:val="003F0FC3"/>
    <w:rsid w:val="003F2958"/>
    <w:rsid w:val="003F3D95"/>
    <w:rsid w:val="003F3FBD"/>
    <w:rsid w:val="003F4C65"/>
    <w:rsid w:val="003F6F31"/>
    <w:rsid w:val="003F74E3"/>
    <w:rsid w:val="003F78BC"/>
    <w:rsid w:val="004007B2"/>
    <w:rsid w:val="00401182"/>
    <w:rsid w:val="00401520"/>
    <w:rsid w:val="00401C2C"/>
    <w:rsid w:val="00401C68"/>
    <w:rsid w:val="0040204B"/>
    <w:rsid w:val="00402BD3"/>
    <w:rsid w:val="00402E9F"/>
    <w:rsid w:val="00403105"/>
    <w:rsid w:val="00405151"/>
    <w:rsid w:val="0040544A"/>
    <w:rsid w:val="0040553A"/>
    <w:rsid w:val="00405920"/>
    <w:rsid w:val="00410724"/>
    <w:rsid w:val="004112F5"/>
    <w:rsid w:val="00411D5B"/>
    <w:rsid w:val="00413565"/>
    <w:rsid w:val="00413FDC"/>
    <w:rsid w:val="0041565C"/>
    <w:rsid w:val="004159EE"/>
    <w:rsid w:val="004205D1"/>
    <w:rsid w:val="00421B0B"/>
    <w:rsid w:val="00421E34"/>
    <w:rsid w:val="004250F8"/>
    <w:rsid w:val="00425537"/>
    <w:rsid w:val="00426E45"/>
    <w:rsid w:val="00430604"/>
    <w:rsid w:val="00430BB2"/>
    <w:rsid w:val="00431DB3"/>
    <w:rsid w:val="00432683"/>
    <w:rsid w:val="0043310D"/>
    <w:rsid w:val="00433638"/>
    <w:rsid w:val="00434C0C"/>
    <w:rsid w:val="00435029"/>
    <w:rsid w:val="004405D5"/>
    <w:rsid w:val="004431B1"/>
    <w:rsid w:val="00443B38"/>
    <w:rsid w:val="00443D19"/>
    <w:rsid w:val="004459D2"/>
    <w:rsid w:val="00445BB7"/>
    <w:rsid w:val="00445D76"/>
    <w:rsid w:val="00446931"/>
    <w:rsid w:val="00451585"/>
    <w:rsid w:val="004523A4"/>
    <w:rsid w:val="004528C4"/>
    <w:rsid w:val="004532F8"/>
    <w:rsid w:val="00453DC0"/>
    <w:rsid w:val="00455428"/>
    <w:rsid w:val="00456C63"/>
    <w:rsid w:val="00456C80"/>
    <w:rsid w:val="004572B8"/>
    <w:rsid w:val="004572E4"/>
    <w:rsid w:val="00457A53"/>
    <w:rsid w:val="00460421"/>
    <w:rsid w:val="00460AB8"/>
    <w:rsid w:val="00460CA0"/>
    <w:rsid w:val="00461876"/>
    <w:rsid w:val="00461AA6"/>
    <w:rsid w:val="00463596"/>
    <w:rsid w:val="004652AC"/>
    <w:rsid w:val="00467840"/>
    <w:rsid w:val="0046785E"/>
    <w:rsid w:val="00470338"/>
    <w:rsid w:val="00470B4F"/>
    <w:rsid w:val="00472A35"/>
    <w:rsid w:val="00474494"/>
    <w:rsid w:val="0047590B"/>
    <w:rsid w:val="00480FFA"/>
    <w:rsid w:val="0048163E"/>
    <w:rsid w:val="004818FF"/>
    <w:rsid w:val="00484120"/>
    <w:rsid w:val="00485226"/>
    <w:rsid w:val="00487898"/>
    <w:rsid w:val="00487E7D"/>
    <w:rsid w:val="00487EC4"/>
    <w:rsid w:val="0049102A"/>
    <w:rsid w:val="00491F05"/>
    <w:rsid w:val="004925B4"/>
    <w:rsid w:val="00492DA2"/>
    <w:rsid w:val="00493666"/>
    <w:rsid w:val="00493BB9"/>
    <w:rsid w:val="00494A22"/>
    <w:rsid w:val="00494F02"/>
    <w:rsid w:val="0049502E"/>
    <w:rsid w:val="00495F38"/>
    <w:rsid w:val="00496901"/>
    <w:rsid w:val="004969CF"/>
    <w:rsid w:val="00497F47"/>
    <w:rsid w:val="004A2324"/>
    <w:rsid w:val="004A2666"/>
    <w:rsid w:val="004A3908"/>
    <w:rsid w:val="004A5421"/>
    <w:rsid w:val="004A5558"/>
    <w:rsid w:val="004A5580"/>
    <w:rsid w:val="004A59D4"/>
    <w:rsid w:val="004A5E82"/>
    <w:rsid w:val="004A631E"/>
    <w:rsid w:val="004A6815"/>
    <w:rsid w:val="004A6866"/>
    <w:rsid w:val="004A6F23"/>
    <w:rsid w:val="004B0BBF"/>
    <w:rsid w:val="004B1FEC"/>
    <w:rsid w:val="004B2773"/>
    <w:rsid w:val="004B3545"/>
    <w:rsid w:val="004B3625"/>
    <w:rsid w:val="004B4C09"/>
    <w:rsid w:val="004B7A5E"/>
    <w:rsid w:val="004C04CB"/>
    <w:rsid w:val="004C05D3"/>
    <w:rsid w:val="004C09B2"/>
    <w:rsid w:val="004C175A"/>
    <w:rsid w:val="004C1775"/>
    <w:rsid w:val="004C1D42"/>
    <w:rsid w:val="004C21EA"/>
    <w:rsid w:val="004C2BD6"/>
    <w:rsid w:val="004C413F"/>
    <w:rsid w:val="004C475D"/>
    <w:rsid w:val="004C49E2"/>
    <w:rsid w:val="004C6001"/>
    <w:rsid w:val="004C644B"/>
    <w:rsid w:val="004C6BEC"/>
    <w:rsid w:val="004C74D4"/>
    <w:rsid w:val="004C7926"/>
    <w:rsid w:val="004D01B3"/>
    <w:rsid w:val="004D0981"/>
    <w:rsid w:val="004D1EC9"/>
    <w:rsid w:val="004D22D6"/>
    <w:rsid w:val="004D2713"/>
    <w:rsid w:val="004D34AA"/>
    <w:rsid w:val="004D39C5"/>
    <w:rsid w:val="004D39EE"/>
    <w:rsid w:val="004D4D1C"/>
    <w:rsid w:val="004D4D32"/>
    <w:rsid w:val="004D4D8A"/>
    <w:rsid w:val="004D5E91"/>
    <w:rsid w:val="004E144C"/>
    <w:rsid w:val="004E1F91"/>
    <w:rsid w:val="004E2FD7"/>
    <w:rsid w:val="004E5143"/>
    <w:rsid w:val="004E54E8"/>
    <w:rsid w:val="004E72A5"/>
    <w:rsid w:val="004F0426"/>
    <w:rsid w:val="004F0512"/>
    <w:rsid w:val="004F0DF9"/>
    <w:rsid w:val="004F16E4"/>
    <w:rsid w:val="004F404A"/>
    <w:rsid w:val="004F4BCB"/>
    <w:rsid w:val="004F4E15"/>
    <w:rsid w:val="004F53E8"/>
    <w:rsid w:val="004F6069"/>
    <w:rsid w:val="004F6EB5"/>
    <w:rsid w:val="004F757D"/>
    <w:rsid w:val="004F78EF"/>
    <w:rsid w:val="00500C39"/>
    <w:rsid w:val="0050401D"/>
    <w:rsid w:val="00505946"/>
    <w:rsid w:val="00507159"/>
    <w:rsid w:val="00507602"/>
    <w:rsid w:val="00510BCD"/>
    <w:rsid w:val="00510D4B"/>
    <w:rsid w:val="00511326"/>
    <w:rsid w:val="00511465"/>
    <w:rsid w:val="0051223B"/>
    <w:rsid w:val="0051227E"/>
    <w:rsid w:val="00512C16"/>
    <w:rsid w:val="0051315D"/>
    <w:rsid w:val="005145F5"/>
    <w:rsid w:val="00514874"/>
    <w:rsid w:val="00514ED6"/>
    <w:rsid w:val="00515C21"/>
    <w:rsid w:val="00516672"/>
    <w:rsid w:val="005172A4"/>
    <w:rsid w:val="00523A77"/>
    <w:rsid w:val="00524C39"/>
    <w:rsid w:val="00525A81"/>
    <w:rsid w:val="00526508"/>
    <w:rsid w:val="00531161"/>
    <w:rsid w:val="005311E7"/>
    <w:rsid w:val="00533CCD"/>
    <w:rsid w:val="00533D81"/>
    <w:rsid w:val="005401FE"/>
    <w:rsid w:val="00540A91"/>
    <w:rsid w:val="005415AD"/>
    <w:rsid w:val="00542492"/>
    <w:rsid w:val="005424F9"/>
    <w:rsid w:val="005428CD"/>
    <w:rsid w:val="00543965"/>
    <w:rsid w:val="00544CE4"/>
    <w:rsid w:val="0054584B"/>
    <w:rsid w:val="00545E34"/>
    <w:rsid w:val="0054744B"/>
    <w:rsid w:val="00552B60"/>
    <w:rsid w:val="0055356F"/>
    <w:rsid w:val="00554E89"/>
    <w:rsid w:val="00555280"/>
    <w:rsid w:val="0055560B"/>
    <w:rsid w:val="005557C5"/>
    <w:rsid w:val="005559F4"/>
    <w:rsid w:val="00557D9A"/>
    <w:rsid w:val="00560159"/>
    <w:rsid w:val="0056134B"/>
    <w:rsid w:val="00561E5E"/>
    <w:rsid w:val="005623FF"/>
    <w:rsid w:val="00562D0F"/>
    <w:rsid w:val="00563EA6"/>
    <w:rsid w:val="00565E28"/>
    <w:rsid w:val="00566935"/>
    <w:rsid w:val="0056696B"/>
    <w:rsid w:val="00566EB6"/>
    <w:rsid w:val="00567464"/>
    <w:rsid w:val="00571665"/>
    <w:rsid w:val="00571A94"/>
    <w:rsid w:val="00574AFF"/>
    <w:rsid w:val="00574C2C"/>
    <w:rsid w:val="0057560A"/>
    <w:rsid w:val="00576D4A"/>
    <w:rsid w:val="005770BF"/>
    <w:rsid w:val="0058019C"/>
    <w:rsid w:val="0058243E"/>
    <w:rsid w:val="00583783"/>
    <w:rsid w:val="00583E0A"/>
    <w:rsid w:val="00586F0A"/>
    <w:rsid w:val="005870DC"/>
    <w:rsid w:val="005874B1"/>
    <w:rsid w:val="0058767E"/>
    <w:rsid w:val="00587E39"/>
    <w:rsid w:val="00593916"/>
    <w:rsid w:val="00593AF7"/>
    <w:rsid w:val="005946B9"/>
    <w:rsid w:val="005948E8"/>
    <w:rsid w:val="00594C44"/>
    <w:rsid w:val="005974F0"/>
    <w:rsid w:val="00597CFD"/>
    <w:rsid w:val="005A1699"/>
    <w:rsid w:val="005A23CC"/>
    <w:rsid w:val="005A243E"/>
    <w:rsid w:val="005A2642"/>
    <w:rsid w:val="005A5745"/>
    <w:rsid w:val="005A5EEB"/>
    <w:rsid w:val="005A6986"/>
    <w:rsid w:val="005A6B52"/>
    <w:rsid w:val="005A71B8"/>
    <w:rsid w:val="005A7E55"/>
    <w:rsid w:val="005B048D"/>
    <w:rsid w:val="005B091B"/>
    <w:rsid w:val="005B0A64"/>
    <w:rsid w:val="005B1C17"/>
    <w:rsid w:val="005B3823"/>
    <w:rsid w:val="005B3D95"/>
    <w:rsid w:val="005B5552"/>
    <w:rsid w:val="005B7A51"/>
    <w:rsid w:val="005B7B2B"/>
    <w:rsid w:val="005C21B1"/>
    <w:rsid w:val="005C3340"/>
    <w:rsid w:val="005C44CB"/>
    <w:rsid w:val="005C496A"/>
    <w:rsid w:val="005C6417"/>
    <w:rsid w:val="005C64CC"/>
    <w:rsid w:val="005C65A8"/>
    <w:rsid w:val="005C6875"/>
    <w:rsid w:val="005C6B55"/>
    <w:rsid w:val="005C7F21"/>
    <w:rsid w:val="005D0514"/>
    <w:rsid w:val="005D0532"/>
    <w:rsid w:val="005D1DC9"/>
    <w:rsid w:val="005D3A52"/>
    <w:rsid w:val="005E0929"/>
    <w:rsid w:val="005E1D01"/>
    <w:rsid w:val="005E1D95"/>
    <w:rsid w:val="005E2627"/>
    <w:rsid w:val="005E28DD"/>
    <w:rsid w:val="005E423E"/>
    <w:rsid w:val="005E57B7"/>
    <w:rsid w:val="005F3D70"/>
    <w:rsid w:val="005F5F10"/>
    <w:rsid w:val="005F7AF4"/>
    <w:rsid w:val="005F7DF4"/>
    <w:rsid w:val="0060129D"/>
    <w:rsid w:val="006016D9"/>
    <w:rsid w:val="0060206F"/>
    <w:rsid w:val="00604233"/>
    <w:rsid w:val="00604680"/>
    <w:rsid w:val="00604C10"/>
    <w:rsid w:val="006059A8"/>
    <w:rsid w:val="0060609A"/>
    <w:rsid w:val="00606A3D"/>
    <w:rsid w:val="00607B43"/>
    <w:rsid w:val="00610157"/>
    <w:rsid w:val="006104FE"/>
    <w:rsid w:val="00610888"/>
    <w:rsid w:val="006116A6"/>
    <w:rsid w:val="00612473"/>
    <w:rsid w:val="00612652"/>
    <w:rsid w:val="006130C8"/>
    <w:rsid w:val="0061685B"/>
    <w:rsid w:val="00616A50"/>
    <w:rsid w:val="00616D29"/>
    <w:rsid w:val="00616D2F"/>
    <w:rsid w:val="00620895"/>
    <w:rsid w:val="00620FEC"/>
    <w:rsid w:val="00623803"/>
    <w:rsid w:val="00625E70"/>
    <w:rsid w:val="00625FE1"/>
    <w:rsid w:val="00626120"/>
    <w:rsid w:val="00626BB2"/>
    <w:rsid w:val="0062761A"/>
    <w:rsid w:val="00627840"/>
    <w:rsid w:val="00632708"/>
    <w:rsid w:val="006331D4"/>
    <w:rsid w:val="00633E41"/>
    <w:rsid w:val="00635094"/>
    <w:rsid w:val="0063541B"/>
    <w:rsid w:val="006365CB"/>
    <w:rsid w:val="00636CB2"/>
    <w:rsid w:val="0063714D"/>
    <w:rsid w:val="00637267"/>
    <w:rsid w:val="0063746C"/>
    <w:rsid w:val="0064170A"/>
    <w:rsid w:val="006417CE"/>
    <w:rsid w:val="006422C6"/>
    <w:rsid w:val="00642477"/>
    <w:rsid w:val="0064256A"/>
    <w:rsid w:val="0064428D"/>
    <w:rsid w:val="006444F7"/>
    <w:rsid w:val="00644B9E"/>
    <w:rsid w:val="0064568C"/>
    <w:rsid w:val="00646957"/>
    <w:rsid w:val="006474A4"/>
    <w:rsid w:val="006501BE"/>
    <w:rsid w:val="006538CE"/>
    <w:rsid w:val="0065393B"/>
    <w:rsid w:val="00654303"/>
    <w:rsid w:val="006545DD"/>
    <w:rsid w:val="006549C2"/>
    <w:rsid w:val="00654DC5"/>
    <w:rsid w:val="00655941"/>
    <w:rsid w:val="00655CA6"/>
    <w:rsid w:val="00657722"/>
    <w:rsid w:val="006608AE"/>
    <w:rsid w:val="00662263"/>
    <w:rsid w:val="006628BD"/>
    <w:rsid w:val="00664339"/>
    <w:rsid w:val="00664C75"/>
    <w:rsid w:val="00665366"/>
    <w:rsid w:val="0066764F"/>
    <w:rsid w:val="006702C9"/>
    <w:rsid w:val="00670EA0"/>
    <w:rsid w:val="00671DFD"/>
    <w:rsid w:val="00672B90"/>
    <w:rsid w:val="006747FE"/>
    <w:rsid w:val="00677A56"/>
    <w:rsid w:val="00680E33"/>
    <w:rsid w:val="0068607D"/>
    <w:rsid w:val="006860F1"/>
    <w:rsid w:val="00690720"/>
    <w:rsid w:val="006908F8"/>
    <w:rsid w:val="00691D88"/>
    <w:rsid w:val="00691F58"/>
    <w:rsid w:val="00692275"/>
    <w:rsid w:val="00693952"/>
    <w:rsid w:val="00693CC5"/>
    <w:rsid w:val="0069548A"/>
    <w:rsid w:val="00696D38"/>
    <w:rsid w:val="0069796E"/>
    <w:rsid w:val="0069798D"/>
    <w:rsid w:val="006A1876"/>
    <w:rsid w:val="006A1E4D"/>
    <w:rsid w:val="006A2265"/>
    <w:rsid w:val="006A46CD"/>
    <w:rsid w:val="006A4B35"/>
    <w:rsid w:val="006A4D2B"/>
    <w:rsid w:val="006A4D3B"/>
    <w:rsid w:val="006A5C89"/>
    <w:rsid w:val="006A64C5"/>
    <w:rsid w:val="006A7027"/>
    <w:rsid w:val="006B0C3F"/>
    <w:rsid w:val="006B1AE9"/>
    <w:rsid w:val="006B1AEB"/>
    <w:rsid w:val="006B1E71"/>
    <w:rsid w:val="006B3BBD"/>
    <w:rsid w:val="006B4C6B"/>
    <w:rsid w:val="006B4CD6"/>
    <w:rsid w:val="006B514F"/>
    <w:rsid w:val="006B554C"/>
    <w:rsid w:val="006B6387"/>
    <w:rsid w:val="006B7377"/>
    <w:rsid w:val="006C0196"/>
    <w:rsid w:val="006C10EB"/>
    <w:rsid w:val="006C1F0B"/>
    <w:rsid w:val="006C2FCF"/>
    <w:rsid w:val="006C35F9"/>
    <w:rsid w:val="006C50CB"/>
    <w:rsid w:val="006C583E"/>
    <w:rsid w:val="006C5BBE"/>
    <w:rsid w:val="006C6BB6"/>
    <w:rsid w:val="006C74DF"/>
    <w:rsid w:val="006D2014"/>
    <w:rsid w:val="006D2F9C"/>
    <w:rsid w:val="006D5F32"/>
    <w:rsid w:val="006D6A6A"/>
    <w:rsid w:val="006D6F63"/>
    <w:rsid w:val="006D75E8"/>
    <w:rsid w:val="006E0712"/>
    <w:rsid w:val="006E08E3"/>
    <w:rsid w:val="006E191F"/>
    <w:rsid w:val="006E19C6"/>
    <w:rsid w:val="006E23C6"/>
    <w:rsid w:val="006E2DE3"/>
    <w:rsid w:val="006E3E42"/>
    <w:rsid w:val="006E5AA7"/>
    <w:rsid w:val="006E5C2B"/>
    <w:rsid w:val="006E7206"/>
    <w:rsid w:val="006F0890"/>
    <w:rsid w:val="006F17DC"/>
    <w:rsid w:val="006F26D3"/>
    <w:rsid w:val="006F27D4"/>
    <w:rsid w:val="006F3841"/>
    <w:rsid w:val="006F44DE"/>
    <w:rsid w:val="006F709F"/>
    <w:rsid w:val="00700250"/>
    <w:rsid w:val="0070230F"/>
    <w:rsid w:val="007039D9"/>
    <w:rsid w:val="00704288"/>
    <w:rsid w:val="00705139"/>
    <w:rsid w:val="007062F9"/>
    <w:rsid w:val="0070657E"/>
    <w:rsid w:val="00710551"/>
    <w:rsid w:val="00710D00"/>
    <w:rsid w:val="007122C9"/>
    <w:rsid w:val="00712A05"/>
    <w:rsid w:val="007145D0"/>
    <w:rsid w:val="007148B3"/>
    <w:rsid w:val="0071501B"/>
    <w:rsid w:val="007170D3"/>
    <w:rsid w:val="00717226"/>
    <w:rsid w:val="00717B54"/>
    <w:rsid w:val="00717E2E"/>
    <w:rsid w:val="007201E3"/>
    <w:rsid w:val="0072075F"/>
    <w:rsid w:val="0072184D"/>
    <w:rsid w:val="00725546"/>
    <w:rsid w:val="00730BA6"/>
    <w:rsid w:val="0073168A"/>
    <w:rsid w:val="007318C0"/>
    <w:rsid w:val="007333F2"/>
    <w:rsid w:val="007350AC"/>
    <w:rsid w:val="00735194"/>
    <w:rsid w:val="00735690"/>
    <w:rsid w:val="00735EB8"/>
    <w:rsid w:val="00736640"/>
    <w:rsid w:val="00736FBA"/>
    <w:rsid w:val="007406FE"/>
    <w:rsid w:val="00741E8F"/>
    <w:rsid w:val="00741F5C"/>
    <w:rsid w:val="00743E4F"/>
    <w:rsid w:val="0074488D"/>
    <w:rsid w:val="00744A39"/>
    <w:rsid w:val="0074570E"/>
    <w:rsid w:val="0074602B"/>
    <w:rsid w:val="0074612C"/>
    <w:rsid w:val="00746385"/>
    <w:rsid w:val="007506E9"/>
    <w:rsid w:val="007519DA"/>
    <w:rsid w:val="00753797"/>
    <w:rsid w:val="00753C18"/>
    <w:rsid w:val="00754322"/>
    <w:rsid w:val="00756D28"/>
    <w:rsid w:val="007613E7"/>
    <w:rsid w:val="0076399D"/>
    <w:rsid w:val="007646C0"/>
    <w:rsid w:val="0076578C"/>
    <w:rsid w:val="00765FF0"/>
    <w:rsid w:val="00766226"/>
    <w:rsid w:val="0076624E"/>
    <w:rsid w:val="0076626B"/>
    <w:rsid w:val="007665E0"/>
    <w:rsid w:val="00766DF4"/>
    <w:rsid w:val="00767F5D"/>
    <w:rsid w:val="00770491"/>
    <w:rsid w:val="00770954"/>
    <w:rsid w:val="00771053"/>
    <w:rsid w:val="00773DEE"/>
    <w:rsid w:val="00774248"/>
    <w:rsid w:val="00774BCF"/>
    <w:rsid w:val="00774F71"/>
    <w:rsid w:val="007750ED"/>
    <w:rsid w:val="00775B87"/>
    <w:rsid w:val="007760DA"/>
    <w:rsid w:val="007766CF"/>
    <w:rsid w:val="00776964"/>
    <w:rsid w:val="00780B9F"/>
    <w:rsid w:val="007818A2"/>
    <w:rsid w:val="0078296B"/>
    <w:rsid w:val="00783517"/>
    <w:rsid w:val="0078393C"/>
    <w:rsid w:val="00783EB8"/>
    <w:rsid w:val="00785307"/>
    <w:rsid w:val="007854C1"/>
    <w:rsid w:val="00785A4C"/>
    <w:rsid w:val="00785BA0"/>
    <w:rsid w:val="00786BD6"/>
    <w:rsid w:val="007879CC"/>
    <w:rsid w:val="007908C5"/>
    <w:rsid w:val="007908C9"/>
    <w:rsid w:val="00792D73"/>
    <w:rsid w:val="00793530"/>
    <w:rsid w:val="00793940"/>
    <w:rsid w:val="007944BC"/>
    <w:rsid w:val="007A009C"/>
    <w:rsid w:val="007A061F"/>
    <w:rsid w:val="007A1BEB"/>
    <w:rsid w:val="007A1C9E"/>
    <w:rsid w:val="007A2591"/>
    <w:rsid w:val="007A317B"/>
    <w:rsid w:val="007A32A1"/>
    <w:rsid w:val="007A35C8"/>
    <w:rsid w:val="007A497A"/>
    <w:rsid w:val="007A4B52"/>
    <w:rsid w:val="007A5D36"/>
    <w:rsid w:val="007A5DFB"/>
    <w:rsid w:val="007A5EB3"/>
    <w:rsid w:val="007A68A1"/>
    <w:rsid w:val="007A69CE"/>
    <w:rsid w:val="007A77F8"/>
    <w:rsid w:val="007B20AD"/>
    <w:rsid w:val="007B33BA"/>
    <w:rsid w:val="007B3B7B"/>
    <w:rsid w:val="007B4532"/>
    <w:rsid w:val="007B538B"/>
    <w:rsid w:val="007B66E2"/>
    <w:rsid w:val="007C1AE7"/>
    <w:rsid w:val="007C1BB5"/>
    <w:rsid w:val="007C46A5"/>
    <w:rsid w:val="007C4901"/>
    <w:rsid w:val="007C4F07"/>
    <w:rsid w:val="007C642A"/>
    <w:rsid w:val="007C6C91"/>
    <w:rsid w:val="007C7B9D"/>
    <w:rsid w:val="007C7D9B"/>
    <w:rsid w:val="007C7E27"/>
    <w:rsid w:val="007C7FF9"/>
    <w:rsid w:val="007D16B8"/>
    <w:rsid w:val="007D3B68"/>
    <w:rsid w:val="007D4CC8"/>
    <w:rsid w:val="007D5DEF"/>
    <w:rsid w:val="007D608B"/>
    <w:rsid w:val="007D7D01"/>
    <w:rsid w:val="007E015B"/>
    <w:rsid w:val="007E0E9D"/>
    <w:rsid w:val="007E24B6"/>
    <w:rsid w:val="007E2B22"/>
    <w:rsid w:val="007E3E1D"/>
    <w:rsid w:val="007E4966"/>
    <w:rsid w:val="007E4A9C"/>
    <w:rsid w:val="007E4C53"/>
    <w:rsid w:val="007E52CD"/>
    <w:rsid w:val="007E56E3"/>
    <w:rsid w:val="007E63FD"/>
    <w:rsid w:val="007E73AF"/>
    <w:rsid w:val="007F0547"/>
    <w:rsid w:val="007F2DE0"/>
    <w:rsid w:val="007F4E7A"/>
    <w:rsid w:val="007F5130"/>
    <w:rsid w:val="0080088E"/>
    <w:rsid w:val="00802234"/>
    <w:rsid w:val="0080238C"/>
    <w:rsid w:val="00802B08"/>
    <w:rsid w:val="0080352B"/>
    <w:rsid w:val="00804674"/>
    <w:rsid w:val="008052C7"/>
    <w:rsid w:val="008101F0"/>
    <w:rsid w:val="00810E6A"/>
    <w:rsid w:val="00812754"/>
    <w:rsid w:val="00813AC5"/>
    <w:rsid w:val="00814A88"/>
    <w:rsid w:val="00814BC9"/>
    <w:rsid w:val="0081573E"/>
    <w:rsid w:val="008168A5"/>
    <w:rsid w:val="0081707B"/>
    <w:rsid w:val="00817868"/>
    <w:rsid w:val="00821C2A"/>
    <w:rsid w:val="008227D4"/>
    <w:rsid w:val="008238FA"/>
    <w:rsid w:val="008242B5"/>
    <w:rsid w:val="00824D07"/>
    <w:rsid w:val="00825AB6"/>
    <w:rsid w:val="008264FA"/>
    <w:rsid w:val="00826E14"/>
    <w:rsid w:val="0083016D"/>
    <w:rsid w:val="008302FB"/>
    <w:rsid w:val="008303C1"/>
    <w:rsid w:val="008303F2"/>
    <w:rsid w:val="00832250"/>
    <w:rsid w:val="00832E35"/>
    <w:rsid w:val="00833ECB"/>
    <w:rsid w:val="00834584"/>
    <w:rsid w:val="00834A8D"/>
    <w:rsid w:val="00835606"/>
    <w:rsid w:val="008357CB"/>
    <w:rsid w:val="00836216"/>
    <w:rsid w:val="00836C74"/>
    <w:rsid w:val="008375E6"/>
    <w:rsid w:val="00837D81"/>
    <w:rsid w:val="00840080"/>
    <w:rsid w:val="00840AEE"/>
    <w:rsid w:val="00840BDC"/>
    <w:rsid w:val="00841742"/>
    <w:rsid w:val="00844347"/>
    <w:rsid w:val="00844A10"/>
    <w:rsid w:val="00851529"/>
    <w:rsid w:val="008515B6"/>
    <w:rsid w:val="00853438"/>
    <w:rsid w:val="00853459"/>
    <w:rsid w:val="008538EC"/>
    <w:rsid w:val="00853DCF"/>
    <w:rsid w:val="008547DB"/>
    <w:rsid w:val="00854C94"/>
    <w:rsid w:val="00855F03"/>
    <w:rsid w:val="00856044"/>
    <w:rsid w:val="00856867"/>
    <w:rsid w:val="00856F7D"/>
    <w:rsid w:val="0086084B"/>
    <w:rsid w:val="00861923"/>
    <w:rsid w:val="0086232B"/>
    <w:rsid w:val="00862505"/>
    <w:rsid w:val="00862C0A"/>
    <w:rsid w:val="008633A2"/>
    <w:rsid w:val="0086493C"/>
    <w:rsid w:val="00865249"/>
    <w:rsid w:val="0086638F"/>
    <w:rsid w:val="008667DF"/>
    <w:rsid w:val="00867C92"/>
    <w:rsid w:val="00867EE6"/>
    <w:rsid w:val="00867F02"/>
    <w:rsid w:val="0087194E"/>
    <w:rsid w:val="00874291"/>
    <w:rsid w:val="00874C05"/>
    <w:rsid w:val="00876875"/>
    <w:rsid w:val="00876AD1"/>
    <w:rsid w:val="00876B06"/>
    <w:rsid w:val="00877710"/>
    <w:rsid w:val="00877DE4"/>
    <w:rsid w:val="00880915"/>
    <w:rsid w:val="008813B1"/>
    <w:rsid w:val="00881ADF"/>
    <w:rsid w:val="008822D6"/>
    <w:rsid w:val="00882492"/>
    <w:rsid w:val="00882A26"/>
    <w:rsid w:val="00882F81"/>
    <w:rsid w:val="008833DD"/>
    <w:rsid w:val="00883444"/>
    <w:rsid w:val="0088458A"/>
    <w:rsid w:val="00884979"/>
    <w:rsid w:val="008861A0"/>
    <w:rsid w:val="00886CED"/>
    <w:rsid w:val="00886F38"/>
    <w:rsid w:val="0088720C"/>
    <w:rsid w:val="00890F30"/>
    <w:rsid w:val="0089151C"/>
    <w:rsid w:val="008952EF"/>
    <w:rsid w:val="00897497"/>
    <w:rsid w:val="0089767D"/>
    <w:rsid w:val="00897989"/>
    <w:rsid w:val="00897A5C"/>
    <w:rsid w:val="008A2443"/>
    <w:rsid w:val="008A2D81"/>
    <w:rsid w:val="008A32D2"/>
    <w:rsid w:val="008A7B54"/>
    <w:rsid w:val="008A7DB4"/>
    <w:rsid w:val="008B0D8F"/>
    <w:rsid w:val="008B11E4"/>
    <w:rsid w:val="008B1343"/>
    <w:rsid w:val="008B16E7"/>
    <w:rsid w:val="008B1C8C"/>
    <w:rsid w:val="008B2703"/>
    <w:rsid w:val="008B30FD"/>
    <w:rsid w:val="008B6761"/>
    <w:rsid w:val="008B7AE8"/>
    <w:rsid w:val="008C1BC6"/>
    <w:rsid w:val="008C2072"/>
    <w:rsid w:val="008C54AB"/>
    <w:rsid w:val="008C5728"/>
    <w:rsid w:val="008C69B1"/>
    <w:rsid w:val="008C6D00"/>
    <w:rsid w:val="008C6EBC"/>
    <w:rsid w:val="008D04EA"/>
    <w:rsid w:val="008D05C2"/>
    <w:rsid w:val="008D0810"/>
    <w:rsid w:val="008D1174"/>
    <w:rsid w:val="008D1CCE"/>
    <w:rsid w:val="008D28EA"/>
    <w:rsid w:val="008D3059"/>
    <w:rsid w:val="008D3281"/>
    <w:rsid w:val="008D3323"/>
    <w:rsid w:val="008D4538"/>
    <w:rsid w:val="008D6210"/>
    <w:rsid w:val="008D710D"/>
    <w:rsid w:val="008E0C63"/>
    <w:rsid w:val="008E1744"/>
    <w:rsid w:val="008E1EBD"/>
    <w:rsid w:val="008E6279"/>
    <w:rsid w:val="008E638F"/>
    <w:rsid w:val="008E77D0"/>
    <w:rsid w:val="008F05C4"/>
    <w:rsid w:val="008F13EC"/>
    <w:rsid w:val="008F2ED5"/>
    <w:rsid w:val="008F2EF3"/>
    <w:rsid w:val="008F56F4"/>
    <w:rsid w:val="008F64ED"/>
    <w:rsid w:val="008F7368"/>
    <w:rsid w:val="008F7808"/>
    <w:rsid w:val="008F78DC"/>
    <w:rsid w:val="00900700"/>
    <w:rsid w:val="009010D2"/>
    <w:rsid w:val="00902659"/>
    <w:rsid w:val="009037D9"/>
    <w:rsid w:val="00903C31"/>
    <w:rsid w:val="009047CE"/>
    <w:rsid w:val="00905305"/>
    <w:rsid w:val="009107B6"/>
    <w:rsid w:val="00912373"/>
    <w:rsid w:val="00916033"/>
    <w:rsid w:val="00916598"/>
    <w:rsid w:val="00916859"/>
    <w:rsid w:val="00916AA4"/>
    <w:rsid w:val="00916BAD"/>
    <w:rsid w:val="00917B48"/>
    <w:rsid w:val="00921417"/>
    <w:rsid w:val="00921CCF"/>
    <w:rsid w:val="009236CD"/>
    <w:rsid w:val="00923CA6"/>
    <w:rsid w:val="00923CC1"/>
    <w:rsid w:val="00924089"/>
    <w:rsid w:val="00924097"/>
    <w:rsid w:val="009249BD"/>
    <w:rsid w:val="00924C5F"/>
    <w:rsid w:val="009311E3"/>
    <w:rsid w:val="0093282D"/>
    <w:rsid w:val="0093361E"/>
    <w:rsid w:val="0093372D"/>
    <w:rsid w:val="00934D3C"/>
    <w:rsid w:val="00936E8E"/>
    <w:rsid w:val="0093790D"/>
    <w:rsid w:val="00940C92"/>
    <w:rsid w:val="00940F7C"/>
    <w:rsid w:val="00943519"/>
    <w:rsid w:val="00944218"/>
    <w:rsid w:val="009448F7"/>
    <w:rsid w:val="00944A3A"/>
    <w:rsid w:val="00944EDD"/>
    <w:rsid w:val="00947239"/>
    <w:rsid w:val="00947F30"/>
    <w:rsid w:val="00951DFC"/>
    <w:rsid w:val="00952200"/>
    <w:rsid w:val="00952F45"/>
    <w:rsid w:val="00952FAD"/>
    <w:rsid w:val="00953837"/>
    <w:rsid w:val="00953E57"/>
    <w:rsid w:val="00955576"/>
    <w:rsid w:val="009555C0"/>
    <w:rsid w:val="00955677"/>
    <w:rsid w:val="00957A69"/>
    <w:rsid w:val="00957A90"/>
    <w:rsid w:val="0096028D"/>
    <w:rsid w:val="0096083B"/>
    <w:rsid w:val="00961507"/>
    <w:rsid w:val="009636E5"/>
    <w:rsid w:val="00963722"/>
    <w:rsid w:val="00964685"/>
    <w:rsid w:val="0096714F"/>
    <w:rsid w:val="00970340"/>
    <w:rsid w:val="00970429"/>
    <w:rsid w:val="00971442"/>
    <w:rsid w:val="0097307C"/>
    <w:rsid w:val="009730CA"/>
    <w:rsid w:val="009762A1"/>
    <w:rsid w:val="00976CF0"/>
    <w:rsid w:val="009774D0"/>
    <w:rsid w:val="00977753"/>
    <w:rsid w:val="009819B7"/>
    <w:rsid w:val="00981F3D"/>
    <w:rsid w:val="009825CA"/>
    <w:rsid w:val="0098297B"/>
    <w:rsid w:val="00983D15"/>
    <w:rsid w:val="00985CFE"/>
    <w:rsid w:val="00991452"/>
    <w:rsid w:val="0099331F"/>
    <w:rsid w:val="009940F3"/>
    <w:rsid w:val="00995301"/>
    <w:rsid w:val="009953D2"/>
    <w:rsid w:val="00995413"/>
    <w:rsid w:val="0099570E"/>
    <w:rsid w:val="00995B6D"/>
    <w:rsid w:val="00997D9E"/>
    <w:rsid w:val="009A004F"/>
    <w:rsid w:val="009A466E"/>
    <w:rsid w:val="009A54BB"/>
    <w:rsid w:val="009A749F"/>
    <w:rsid w:val="009A74B8"/>
    <w:rsid w:val="009A7891"/>
    <w:rsid w:val="009B0CD4"/>
    <w:rsid w:val="009B2B83"/>
    <w:rsid w:val="009B354B"/>
    <w:rsid w:val="009B4C71"/>
    <w:rsid w:val="009B596A"/>
    <w:rsid w:val="009B61A1"/>
    <w:rsid w:val="009C094B"/>
    <w:rsid w:val="009C0C6D"/>
    <w:rsid w:val="009C3225"/>
    <w:rsid w:val="009C354B"/>
    <w:rsid w:val="009C385D"/>
    <w:rsid w:val="009C3F77"/>
    <w:rsid w:val="009C57ED"/>
    <w:rsid w:val="009C6CCE"/>
    <w:rsid w:val="009D1AE9"/>
    <w:rsid w:val="009D3283"/>
    <w:rsid w:val="009D3634"/>
    <w:rsid w:val="009D3EFD"/>
    <w:rsid w:val="009D6E1B"/>
    <w:rsid w:val="009E0FA4"/>
    <w:rsid w:val="009E1508"/>
    <w:rsid w:val="009E20BB"/>
    <w:rsid w:val="009E22EE"/>
    <w:rsid w:val="009E2F5F"/>
    <w:rsid w:val="009E4C32"/>
    <w:rsid w:val="009E5234"/>
    <w:rsid w:val="009F111A"/>
    <w:rsid w:val="009F15A4"/>
    <w:rsid w:val="009F2767"/>
    <w:rsid w:val="009F2A5A"/>
    <w:rsid w:val="009F396B"/>
    <w:rsid w:val="009F3A8C"/>
    <w:rsid w:val="009F3B95"/>
    <w:rsid w:val="009F4086"/>
    <w:rsid w:val="009F45E2"/>
    <w:rsid w:val="009F524B"/>
    <w:rsid w:val="009F5E7B"/>
    <w:rsid w:val="00A00AE9"/>
    <w:rsid w:val="00A012C4"/>
    <w:rsid w:val="00A02416"/>
    <w:rsid w:val="00A03B0E"/>
    <w:rsid w:val="00A03EA6"/>
    <w:rsid w:val="00A04187"/>
    <w:rsid w:val="00A05861"/>
    <w:rsid w:val="00A0796F"/>
    <w:rsid w:val="00A07FE1"/>
    <w:rsid w:val="00A10851"/>
    <w:rsid w:val="00A10C55"/>
    <w:rsid w:val="00A12F33"/>
    <w:rsid w:val="00A13212"/>
    <w:rsid w:val="00A13884"/>
    <w:rsid w:val="00A139FE"/>
    <w:rsid w:val="00A13A47"/>
    <w:rsid w:val="00A164D9"/>
    <w:rsid w:val="00A166FF"/>
    <w:rsid w:val="00A20563"/>
    <w:rsid w:val="00A2058A"/>
    <w:rsid w:val="00A2085B"/>
    <w:rsid w:val="00A25492"/>
    <w:rsid w:val="00A263E5"/>
    <w:rsid w:val="00A268B1"/>
    <w:rsid w:val="00A26C5C"/>
    <w:rsid w:val="00A278B5"/>
    <w:rsid w:val="00A3040E"/>
    <w:rsid w:val="00A30BF5"/>
    <w:rsid w:val="00A323BF"/>
    <w:rsid w:val="00A32BF4"/>
    <w:rsid w:val="00A33725"/>
    <w:rsid w:val="00A33D37"/>
    <w:rsid w:val="00A3427A"/>
    <w:rsid w:val="00A369C3"/>
    <w:rsid w:val="00A36CF4"/>
    <w:rsid w:val="00A376FC"/>
    <w:rsid w:val="00A4056F"/>
    <w:rsid w:val="00A42142"/>
    <w:rsid w:val="00A43170"/>
    <w:rsid w:val="00A43E3D"/>
    <w:rsid w:val="00A4540B"/>
    <w:rsid w:val="00A45A61"/>
    <w:rsid w:val="00A506AA"/>
    <w:rsid w:val="00A50BBB"/>
    <w:rsid w:val="00A51D3A"/>
    <w:rsid w:val="00A52CFF"/>
    <w:rsid w:val="00A53835"/>
    <w:rsid w:val="00A53FB5"/>
    <w:rsid w:val="00A5458B"/>
    <w:rsid w:val="00A55CF5"/>
    <w:rsid w:val="00A564A7"/>
    <w:rsid w:val="00A579E9"/>
    <w:rsid w:val="00A61E23"/>
    <w:rsid w:val="00A62CEC"/>
    <w:rsid w:val="00A62E89"/>
    <w:rsid w:val="00A63027"/>
    <w:rsid w:val="00A631DC"/>
    <w:rsid w:val="00A6377E"/>
    <w:rsid w:val="00A64D8D"/>
    <w:rsid w:val="00A65930"/>
    <w:rsid w:val="00A67DA6"/>
    <w:rsid w:val="00A71705"/>
    <w:rsid w:val="00A72482"/>
    <w:rsid w:val="00A72B3D"/>
    <w:rsid w:val="00A72DB0"/>
    <w:rsid w:val="00A73092"/>
    <w:rsid w:val="00A73C9E"/>
    <w:rsid w:val="00A73D5D"/>
    <w:rsid w:val="00A753EA"/>
    <w:rsid w:val="00A75E47"/>
    <w:rsid w:val="00A7607E"/>
    <w:rsid w:val="00A766CB"/>
    <w:rsid w:val="00A80C2A"/>
    <w:rsid w:val="00A8138B"/>
    <w:rsid w:val="00A82344"/>
    <w:rsid w:val="00A83589"/>
    <w:rsid w:val="00A8659F"/>
    <w:rsid w:val="00A87AD9"/>
    <w:rsid w:val="00A918BD"/>
    <w:rsid w:val="00A91F46"/>
    <w:rsid w:val="00A944B5"/>
    <w:rsid w:val="00A959B6"/>
    <w:rsid w:val="00A95CC8"/>
    <w:rsid w:val="00A97440"/>
    <w:rsid w:val="00A97D21"/>
    <w:rsid w:val="00AA1622"/>
    <w:rsid w:val="00AA321A"/>
    <w:rsid w:val="00AA6ED4"/>
    <w:rsid w:val="00AA7049"/>
    <w:rsid w:val="00AA778F"/>
    <w:rsid w:val="00AA7A37"/>
    <w:rsid w:val="00AA7A8D"/>
    <w:rsid w:val="00AA7CFA"/>
    <w:rsid w:val="00AB0507"/>
    <w:rsid w:val="00AB2331"/>
    <w:rsid w:val="00AB24DC"/>
    <w:rsid w:val="00AB2EB2"/>
    <w:rsid w:val="00AB2F69"/>
    <w:rsid w:val="00AB3C1D"/>
    <w:rsid w:val="00AB3E2C"/>
    <w:rsid w:val="00AB5623"/>
    <w:rsid w:val="00AB61AF"/>
    <w:rsid w:val="00AC1C2D"/>
    <w:rsid w:val="00AC2A44"/>
    <w:rsid w:val="00AC3E74"/>
    <w:rsid w:val="00AC5611"/>
    <w:rsid w:val="00AC5921"/>
    <w:rsid w:val="00AC601E"/>
    <w:rsid w:val="00AC70A7"/>
    <w:rsid w:val="00AC7448"/>
    <w:rsid w:val="00AC745A"/>
    <w:rsid w:val="00AD1278"/>
    <w:rsid w:val="00AD1349"/>
    <w:rsid w:val="00AD2DC0"/>
    <w:rsid w:val="00AD2E81"/>
    <w:rsid w:val="00AD3EFC"/>
    <w:rsid w:val="00AD7546"/>
    <w:rsid w:val="00AE02B9"/>
    <w:rsid w:val="00AE24A6"/>
    <w:rsid w:val="00AE3A9B"/>
    <w:rsid w:val="00AE3F40"/>
    <w:rsid w:val="00AE466D"/>
    <w:rsid w:val="00AE4F32"/>
    <w:rsid w:val="00AE6859"/>
    <w:rsid w:val="00AE6DEC"/>
    <w:rsid w:val="00AE75D5"/>
    <w:rsid w:val="00AF01B5"/>
    <w:rsid w:val="00AF0DAA"/>
    <w:rsid w:val="00AF21FB"/>
    <w:rsid w:val="00AF24BE"/>
    <w:rsid w:val="00AF272F"/>
    <w:rsid w:val="00AF2E24"/>
    <w:rsid w:val="00AF49BE"/>
    <w:rsid w:val="00AF4BF3"/>
    <w:rsid w:val="00AF53F1"/>
    <w:rsid w:val="00AF675C"/>
    <w:rsid w:val="00AF74DA"/>
    <w:rsid w:val="00B003CF"/>
    <w:rsid w:val="00B0172B"/>
    <w:rsid w:val="00B01F19"/>
    <w:rsid w:val="00B03442"/>
    <w:rsid w:val="00B042CB"/>
    <w:rsid w:val="00B04EBB"/>
    <w:rsid w:val="00B05A40"/>
    <w:rsid w:val="00B05CAC"/>
    <w:rsid w:val="00B0759E"/>
    <w:rsid w:val="00B105DD"/>
    <w:rsid w:val="00B11294"/>
    <w:rsid w:val="00B112AF"/>
    <w:rsid w:val="00B11868"/>
    <w:rsid w:val="00B11940"/>
    <w:rsid w:val="00B137FD"/>
    <w:rsid w:val="00B1522F"/>
    <w:rsid w:val="00B15CCC"/>
    <w:rsid w:val="00B2146E"/>
    <w:rsid w:val="00B21BA6"/>
    <w:rsid w:val="00B21FC8"/>
    <w:rsid w:val="00B231A7"/>
    <w:rsid w:val="00B2338C"/>
    <w:rsid w:val="00B2547C"/>
    <w:rsid w:val="00B25E8C"/>
    <w:rsid w:val="00B269FC"/>
    <w:rsid w:val="00B30C5E"/>
    <w:rsid w:val="00B3107E"/>
    <w:rsid w:val="00B31ABF"/>
    <w:rsid w:val="00B3271C"/>
    <w:rsid w:val="00B34792"/>
    <w:rsid w:val="00B356F6"/>
    <w:rsid w:val="00B36401"/>
    <w:rsid w:val="00B3653C"/>
    <w:rsid w:val="00B3663E"/>
    <w:rsid w:val="00B42FF3"/>
    <w:rsid w:val="00B4329B"/>
    <w:rsid w:val="00B45BE3"/>
    <w:rsid w:val="00B46C24"/>
    <w:rsid w:val="00B47285"/>
    <w:rsid w:val="00B47D72"/>
    <w:rsid w:val="00B50383"/>
    <w:rsid w:val="00B503BF"/>
    <w:rsid w:val="00B516F8"/>
    <w:rsid w:val="00B520F1"/>
    <w:rsid w:val="00B610A5"/>
    <w:rsid w:val="00B61927"/>
    <w:rsid w:val="00B61FDA"/>
    <w:rsid w:val="00B633E6"/>
    <w:rsid w:val="00B640FC"/>
    <w:rsid w:val="00B64A95"/>
    <w:rsid w:val="00B652E8"/>
    <w:rsid w:val="00B65ADE"/>
    <w:rsid w:val="00B67B32"/>
    <w:rsid w:val="00B7090A"/>
    <w:rsid w:val="00B727CE"/>
    <w:rsid w:val="00B73256"/>
    <w:rsid w:val="00B73AC8"/>
    <w:rsid w:val="00B73C34"/>
    <w:rsid w:val="00B73EF4"/>
    <w:rsid w:val="00B75144"/>
    <w:rsid w:val="00B755AA"/>
    <w:rsid w:val="00B756A9"/>
    <w:rsid w:val="00B76659"/>
    <w:rsid w:val="00B76EF3"/>
    <w:rsid w:val="00B773F7"/>
    <w:rsid w:val="00B777AA"/>
    <w:rsid w:val="00B77B33"/>
    <w:rsid w:val="00B77F38"/>
    <w:rsid w:val="00B828ED"/>
    <w:rsid w:val="00B84A76"/>
    <w:rsid w:val="00B86830"/>
    <w:rsid w:val="00B868F3"/>
    <w:rsid w:val="00B8702E"/>
    <w:rsid w:val="00B9041F"/>
    <w:rsid w:val="00B90F18"/>
    <w:rsid w:val="00B9178F"/>
    <w:rsid w:val="00B91FBC"/>
    <w:rsid w:val="00B92EFC"/>
    <w:rsid w:val="00B93215"/>
    <w:rsid w:val="00B939F0"/>
    <w:rsid w:val="00B95199"/>
    <w:rsid w:val="00B95A26"/>
    <w:rsid w:val="00B9659C"/>
    <w:rsid w:val="00B9753A"/>
    <w:rsid w:val="00BA35C0"/>
    <w:rsid w:val="00BA3ED5"/>
    <w:rsid w:val="00BA4AB0"/>
    <w:rsid w:val="00BA7930"/>
    <w:rsid w:val="00BA7DA2"/>
    <w:rsid w:val="00BB00FD"/>
    <w:rsid w:val="00BB1641"/>
    <w:rsid w:val="00BB26D9"/>
    <w:rsid w:val="00BB2A36"/>
    <w:rsid w:val="00BB7A95"/>
    <w:rsid w:val="00BC14D5"/>
    <w:rsid w:val="00BC1851"/>
    <w:rsid w:val="00BC1E7F"/>
    <w:rsid w:val="00BC253D"/>
    <w:rsid w:val="00BC33D1"/>
    <w:rsid w:val="00BC38F7"/>
    <w:rsid w:val="00BC4F49"/>
    <w:rsid w:val="00BC5BEE"/>
    <w:rsid w:val="00BC5E7A"/>
    <w:rsid w:val="00BD15C1"/>
    <w:rsid w:val="00BD345F"/>
    <w:rsid w:val="00BD42C5"/>
    <w:rsid w:val="00BD4329"/>
    <w:rsid w:val="00BD6678"/>
    <w:rsid w:val="00BD71A1"/>
    <w:rsid w:val="00BE0C81"/>
    <w:rsid w:val="00BE0ED3"/>
    <w:rsid w:val="00BE109F"/>
    <w:rsid w:val="00BE1D4A"/>
    <w:rsid w:val="00BE2D70"/>
    <w:rsid w:val="00BE3C24"/>
    <w:rsid w:val="00BE4682"/>
    <w:rsid w:val="00BE4AA1"/>
    <w:rsid w:val="00BE4D32"/>
    <w:rsid w:val="00BE57BB"/>
    <w:rsid w:val="00BE5E0B"/>
    <w:rsid w:val="00BE5EF2"/>
    <w:rsid w:val="00BF073E"/>
    <w:rsid w:val="00BF1DD0"/>
    <w:rsid w:val="00BF4837"/>
    <w:rsid w:val="00BF5423"/>
    <w:rsid w:val="00BF6213"/>
    <w:rsid w:val="00BF7077"/>
    <w:rsid w:val="00BF79E2"/>
    <w:rsid w:val="00C01548"/>
    <w:rsid w:val="00C021BA"/>
    <w:rsid w:val="00C039C6"/>
    <w:rsid w:val="00C03CDF"/>
    <w:rsid w:val="00C041A3"/>
    <w:rsid w:val="00C041DB"/>
    <w:rsid w:val="00C078EA"/>
    <w:rsid w:val="00C10481"/>
    <w:rsid w:val="00C113A9"/>
    <w:rsid w:val="00C1217A"/>
    <w:rsid w:val="00C12391"/>
    <w:rsid w:val="00C12544"/>
    <w:rsid w:val="00C12CC7"/>
    <w:rsid w:val="00C12F64"/>
    <w:rsid w:val="00C14CA4"/>
    <w:rsid w:val="00C14CE3"/>
    <w:rsid w:val="00C14EDF"/>
    <w:rsid w:val="00C155FA"/>
    <w:rsid w:val="00C16675"/>
    <w:rsid w:val="00C169E4"/>
    <w:rsid w:val="00C2132B"/>
    <w:rsid w:val="00C216CB"/>
    <w:rsid w:val="00C2269B"/>
    <w:rsid w:val="00C22C46"/>
    <w:rsid w:val="00C22CAE"/>
    <w:rsid w:val="00C23144"/>
    <w:rsid w:val="00C23A94"/>
    <w:rsid w:val="00C24A8E"/>
    <w:rsid w:val="00C24F4F"/>
    <w:rsid w:val="00C25F47"/>
    <w:rsid w:val="00C26FDD"/>
    <w:rsid w:val="00C30B67"/>
    <w:rsid w:val="00C33115"/>
    <w:rsid w:val="00C33692"/>
    <w:rsid w:val="00C409A3"/>
    <w:rsid w:val="00C41CCA"/>
    <w:rsid w:val="00C42B24"/>
    <w:rsid w:val="00C44118"/>
    <w:rsid w:val="00C4427A"/>
    <w:rsid w:val="00C446F4"/>
    <w:rsid w:val="00C47BB2"/>
    <w:rsid w:val="00C513C2"/>
    <w:rsid w:val="00C51C1A"/>
    <w:rsid w:val="00C52CDF"/>
    <w:rsid w:val="00C5300D"/>
    <w:rsid w:val="00C531F6"/>
    <w:rsid w:val="00C53659"/>
    <w:rsid w:val="00C54340"/>
    <w:rsid w:val="00C609FE"/>
    <w:rsid w:val="00C60DFD"/>
    <w:rsid w:val="00C61DE3"/>
    <w:rsid w:val="00C64C9B"/>
    <w:rsid w:val="00C668A5"/>
    <w:rsid w:val="00C66D4E"/>
    <w:rsid w:val="00C6718F"/>
    <w:rsid w:val="00C7027D"/>
    <w:rsid w:val="00C70BD6"/>
    <w:rsid w:val="00C7196B"/>
    <w:rsid w:val="00C72A64"/>
    <w:rsid w:val="00C73ADC"/>
    <w:rsid w:val="00C7435F"/>
    <w:rsid w:val="00C74C7C"/>
    <w:rsid w:val="00C74D4D"/>
    <w:rsid w:val="00C83CC1"/>
    <w:rsid w:val="00C90987"/>
    <w:rsid w:val="00C911E5"/>
    <w:rsid w:val="00C92155"/>
    <w:rsid w:val="00C923D4"/>
    <w:rsid w:val="00C92D36"/>
    <w:rsid w:val="00C9358A"/>
    <w:rsid w:val="00C944AE"/>
    <w:rsid w:val="00C94D36"/>
    <w:rsid w:val="00C965A4"/>
    <w:rsid w:val="00C967DE"/>
    <w:rsid w:val="00C96A20"/>
    <w:rsid w:val="00C96A35"/>
    <w:rsid w:val="00C9781D"/>
    <w:rsid w:val="00C97CEC"/>
    <w:rsid w:val="00CA0184"/>
    <w:rsid w:val="00CA2742"/>
    <w:rsid w:val="00CA2E4E"/>
    <w:rsid w:val="00CA4583"/>
    <w:rsid w:val="00CA6773"/>
    <w:rsid w:val="00CB04D9"/>
    <w:rsid w:val="00CB0C3A"/>
    <w:rsid w:val="00CB1342"/>
    <w:rsid w:val="00CB1B03"/>
    <w:rsid w:val="00CB1B60"/>
    <w:rsid w:val="00CB1C53"/>
    <w:rsid w:val="00CB1EDF"/>
    <w:rsid w:val="00CB22F5"/>
    <w:rsid w:val="00CB2FCD"/>
    <w:rsid w:val="00CB3240"/>
    <w:rsid w:val="00CB529E"/>
    <w:rsid w:val="00CB64E5"/>
    <w:rsid w:val="00CB6F86"/>
    <w:rsid w:val="00CB7C02"/>
    <w:rsid w:val="00CC01BC"/>
    <w:rsid w:val="00CC0FB0"/>
    <w:rsid w:val="00CC283B"/>
    <w:rsid w:val="00CC3862"/>
    <w:rsid w:val="00CC5390"/>
    <w:rsid w:val="00CC7176"/>
    <w:rsid w:val="00CC73A0"/>
    <w:rsid w:val="00CC7F94"/>
    <w:rsid w:val="00CD034D"/>
    <w:rsid w:val="00CD0BB5"/>
    <w:rsid w:val="00CD0D19"/>
    <w:rsid w:val="00CD2776"/>
    <w:rsid w:val="00CD2EA0"/>
    <w:rsid w:val="00CD3B08"/>
    <w:rsid w:val="00CD3C90"/>
    <w:rsid w:val="00CD3E57"/>
    <w:rsid w:val="00CD4E9A"/>
    <w:rsid w:val="00CD56D3"/>
    <w:rsid w:val="00CD6D13"/>
    <w:rsid w:val="00CD70CC"/>
    <w:rsid w:val="00CD7813"/>
    <w:rsid w:val="00CE0303"/>
    <w:rsid w:val="00CE1C66"/>
    <w:rsid w:val="00CE20A7"/>
    <w:rsid w:val="00CE3A9C"/>
    <w:rsid w:val="00CE4EF2"/>
    <w:rsid w:val="00CE567C"/>
    <w:rsid w:val="00CE5B7D"/>
    <w:rsid w:val="00CE644F"/>
    <w:rsid w:val="00CE64B0"/>
    <w:rsid w:val="00CE6D8D"/>
    <w:rsid w:val="00CF02B0"/>
    <w:rsid w:val="00CF0438"/>
    <w:rsid w:val="00CF1822"/>
    <w:rsid w:val="00CF3621"/>
    <w:rsid w:val="00CF457D"/>
    <w:rsid w:val="00CF4B43"/>
    <w:rsid w:val="00CF6428"/>
    <w:rsid w:val="00CF6E51"/>
    <w:rsid w:val="00CF7985"/>
    <w:rsid w:val="00D02932"/>
    <w:rsid w:val="00D02EBC"/>
    <w:rsid w:val="00D0323E"/>
    <w:rsid w:val="00D03FB9"/>
    <w:rsid w:val="00D0588B"/>
    <w:rsid w:val="00D059A5"/>
    <w:rsid w:val="00D06041"/>
    <w:rsid w:val="00D10484"/>
    <w:rsid w:val="00D108C9"/>
    <w:rsid w:val="00D1125C"/>
    <w:rsid w:val="00D128D1"/>
    <w:rsid w:val="00D130ED"/>
    <w:rsid w:val="00D13843"/>
    <w:rsid w:val="00D14361"/>
    <w:rsid w:val="00D15B26"/>
    <w:rsid w:val="00D15F20"/>
    <w:rsid w:val="00D20DA2"/>
    <w:rsid w:val="00D21C56"/>
    <w:rsid w:val="00D2295D"/>
    <w:rsid w:val="00D23195"/>
    <w:rsid w:val="00D26C2D"/>
    <w:rsid w:val="00D278DF"/>
    <w:rsid w:val="00D31167"/>
    <w:rsid w:val="00D328E5"/>
    <w:rsid w:val="00D32BC7"/>
    <w:rsid w:val="00D33B8A"/>
    <w:rsid w:val="00D33FB6"/>
    <w:rsid w:val="00D3584B"/>
    <w:rsid w:val="00D364C5"/>
    <w:rsid w:val="00D36B0F"/>
    <w:rsid w:val="00D377AC"/>
    <w:rsid w:val="00D40603"/>
    <w:rsid w:val="00D4079C"/>
    <w:rsid w:val="00D418F0"/>
    <w:rsid w:val="00D449CF"/>
    <w:rsid w:val="00D45735"/>
    <w:rsid w:val="00D46488"/>
    <w:rsid w:val="00D466ED"/>
    <w:rsid w:val="00D476A0"/>
    <w:rsid w:val="00D50777"/>
    <w:rsid w:val="00D516F3"/>
    <w:rsid w:val="00D520BA"/>
    <w:rsid w:val="00D560F9"/>
    <w:rsid w:val="00D5651E"/>
    <w:rsid w:val="00D57128"/>
    <w:rsid w:val="00D611C0"/>
    <w:rsid w:val="00D61427"/>
    <w:rsid w:val="00D6249B"/>
    <w:rsid w:val="00D632FE"/>
    <w:rsid w:val="00D643C6"/>
    <w:rsid w:val="00D65181"/>
    <w:rsid w:val="00D66732"/>
    <w:rsid w:val="00D71BCD"/>
    <w:rsid w:val="00D72AD7"/>
    <w:rsid w:val="00D73A63"/>
    <w:rsid w:val="00D747CD"/>
    <w:rsid w:val="00D74943"/>
    <w:rsid w:val="00D804DB"/>
    <w:rsid w:val="00D80B77"/>
    <w:rsid w:val="00D81165"/>
    <w:rsid w:val="00D81F00"/>
    <w:rsid w:val="00D85024"/>
    <w:rsid w:val="00D857BC"/>
    <w:rsid w:val="00D870AE"/>
    <w:rsid w:val="00D876D2"/>
    <w:rsid w:val="00D876D8"/>
    <w:rsid w:val="00D90774"/>
    <w:rsid w:val="00D9136A"/>
    <w:rsid w:val="00D9325C"/>
    <w:rsid w:val="00D9379F"/>
    <w:rsid w:val="00D93A19"/>
    <w:rsid w:val="00D951B6"/>
    <w:rsid w:val="00D95B0C"/>
    <w:rsid w:val="00D96114"/>
    <w:rsid w:val="00D97344"/>
    <w:rsid w:val="00D9760A"/>
    <w:rsid w:val="00DA0352"/>
    <w:rsid w:val="00DA1129"/>
    <w:rsid w:val="00DA23F0"/>
    <w:rsid w:val="00DA2614"/>
    <w:rsid w:val="00DA609A"/>
    <w:rsid w:val="00DA7FA9"/>
    <w:rsid w:val="00DB4E2B"/>
    <w:rsid w:val="00DB4F7A"/>
    <w:rsid w:val="00DB50C7"/>
    <w:rsid w:val="00DB54C1"/>
    <w:rsid w:val="00DB7E65"/>
    <w:rsid w:val="00DC0061"/>
    <w:rsid w:val="00DC00C7"/>
    <w:rsid w:val="00DC0E05"/>
    <w:rsid w:val="00DC13F4"/>
    <w:rsid w:val="00DC26A8"/>
    <w:rsid w:val="00DC27A8"/>
    <w:rsid w:val="00DC33DC"/>
    <w:rsid w:val="00DC42A5"/>
    <w:rsid w:val="00DC5330"/>
    <w:rsid w:val="00DC5FDB"/>
    <w:rsid w:val="00DC7670"/>
    <w:rsid w:val="00DC775D"/>
    <w:rsid w:val="00DC7933"/>
    <w:rsid w:val="00DC7A00"/>
    <w:rsid w:val="00DD3063"/>
    <w:rsid w:val="00DD316E"/>
    <w:rsid w:val="00DD33C5"/>
    <w:rsid w:val="00DD3656"/>
    <w:rsid w:val="00DD3E93"/>
    <w:rsid w:val="00DD4E1A"/>
    <w:rsid w:val="00DD5568"/>
    <w:rsid w:val="00DD6989"/>
    <w:rsid w:val="00DE1615"/>
    <w:rsid w:val="00DE1D94"/>
    <w:rsid w:val="00DE30BE"/>
    <w:rsid w:val="00DE3D95"/>
    <w:rsid w:val="00DE4759"/>
    <w:rsid w:val="00DE4C7C"/>
    <w:rsid w:val="00DE4D64"/>
    <w:rsid w:val="00DE6C9D"/>
    <w:rsid w:val="00DE6EA4"/>
    <w:rsid w:val="00DF23B0"/>
    <w:rsid w:val="00DF270E"/>
    <w:rsid w:val="00DF307A"/>
    <w:rsid w:val="00DF3462"/>
    <w:rsid w:val="00DF4638"/>
    <w:rsid w:val="00DF54FF"/>
    <w:rsid w:val="00DF553B"/>
    <w:rsid w:val="00DF5B00"/>
    <w:rsid w:val="00DF6CA7"/>
    <w:rsid w:val="00DF70EB"/>
    <w:rsid w:val="00DF7833"/>
    <w:rsid w:val="00E005ED"/>
    <w:rsid w:val="00E01F00"/>
    <w:rsid w:val="00E01FE6"/>
    <w:rsid w:val="00E022A6"/>
    <w:rsid w:val="00E02886"/>
    <w:rsid w:val="00E02B15"/>
    <w:rsid w:val="00E03BB6"/>
    <w:rsid w:val="00E0457B"/>
    <w:rsid w:val="00E05439"/>
    <w:rsid w:val="00E071C0"/>
    <w:rsid w:val="00E07A3F"/>
    <w:rsid w:val="00E11ED4"/>
    <w:rsid w:val="00E11FE2"/>
    <w:rsid w:val="00E12124"/>
    <w:rsid w:val="00E12419"/>
    <w:rsid w:val="00E13111"/>
    <w:rsid w:val="00E146A8"/>
    <w:rsid w:val="00E17DAA"/>
    <w:rsid w:val="00E20943"/>
    <w:rsid w:val="00E217A3"/>
    <w:rsid w:val="00E21CE0"/>
    <w:rsid w:val="00E24814"/>
    <w:rsid w:val="00E24979"/>
    <w:rsid w:val="00E24C5D"/>
    <w:rsid w:val="00E25363"/>
    <w:rsid w:val="00E25A9C"/>
    <w:rsid w:val="00E261B9"/>
    <w:rsid w:val="00E30179"/>
    <w:rsid w:val="00E30CAC"/>
    <w:rsid w:val="00E312DB"/>
    <w:rsid w:val="00E31D87"/>
    <w:rsid w:val="00E32D59"/>
    <w:rsid w:val="00E331C5"/>
    <w:rsid w:val="00E33DD9"/>
    <w:rsid w:val="00E35BA2"/>
    <w:rsid w:val="00E36BE4"/>
    <w:rsid w:val="00E4018F"/>
    <w:rsid w:val="00E40C2C"/>
    <w:rsid w:val="00E413C8"/>
    <w:rsid w:val="00E41E07"/>
    <w:rsid w:val="00E45D9C"/>
    <w:rsid w:val="00E46C64"/>
    <w:rsid w:val="00E5238D"/>
    <w:rsid w:val="00E523A4"/>
    <w:rsid w:val="00E53277"/>
    <w:rsid w:val="00E53F99"/>
    <w:rsid w:val="00E546A4"/>
    <w:rsid w:val="00E55AF0"/>
    <w:rsid w:val="00E56259"/>
    <w:rsid w:val="00E56349"/>
    <w:rsid w:val="00E5719C"/>
    <w:rsid w:val="00E62487"/>
    <w:rsid w:val="00E62649"/>
    <w:rsid w:val="00E62752"/>
    <w:rsid w:val="00E62DFF"/>
    <w:rsid w:val="00E63612"/>
    <w:rsid w:val="00E63938"/>
    <w:rsid w:val="00E646A0"/>
    <w:rsid w:val="00E6481B"/>
    <w:rsid w:val="00E65DC5"/>
    <w:rsid w:val="00E70AEE"/>
    <w:rsid w:val="00E71183"/>
    <w:rsid w:val="00E7255A"/>
    <w:rsid w:val="00E746BB"/>
    <w:rsid w:val="00E762D0"/>
    <w:rsid w:val="00E767A3"/>
    <w:rsid w:val="00E76EC1"/>
    <w:rsid w:val="00E80718"/>
    <w:rsid w:val="00E80FBC"/>
    <w:rsid w:val="00E81349"/>
    <w:rsid w:val="00E843E3"/>
    <w:rsid w:val="00E848B8"/>
    <w:rsid w:val="00E84BEE"/>
    <w:rsid w:val="00E84FF3"/>
    <w:rsid w:val="00E8765E"/>
    <w:rsid w:val="00E87BD3"/>
    <w:rsid w:val="00E9075C"/>
    <w:rsid w:val="00E916F4"/>
    <w:rsid w:val="00E91CBC"/>
    <w:rsid w:val="00E91D4E"/>
    <w:rsid w:val="00E92252"/>
    <w:rsid w:val="00E944A1"/>
    <w:rsid w:val="00E970B1"/>
    <w:rsid w:val="00E9787B"/>
    <w:rsid w:val="00E97B54"/>
    <w:rsid w:val="00E97DDF"/>
    <w:rsid w:val="00EA0136"/>
    <w:rsid w:val="00EA0AB5"/>
    <w:rsid w:val="00EA0AF6"/>
    <w:rsid w:val="00EA25A1"/>
    <w:rsid w:val="00EA3214"/>
    <w:rsid w:val="00EA38F4"/>
    <w:rsid w:val="00EA3A0D"/>
    <w:rsid w:val="00EA691A"/>
    <w:rsid w:val="00EA7198"/>
    <w:rsid w:val="00EB0736"/>
    <w:rsid w:val="00EB0B3D"/>
    <w:rsid w:val="00EB0FB9"/>
    <w:rsid w:val="00EB32C1"/>
    <w:rsid w:val="00EB344B"/>
    <w:rsid w:val="00EB5AB6"/>
    <w:rsid w:val="00EB6D04"/>
    <w:rsid w:val="00EB74B3"/>
    <w:rsid w:val="00EB7C7A"/>
    <w:rsid w:val="00EC079D"/>
    <w:rsid w:val="00EC2EE8"/>
    <w:rsid w:val="00EC3020"/>
    <w:rsid w:val="00EC34BC"/>
    <w:rsid w:val="00EC3981"/>
    <w:rsid w:val="00EC450B"/>
    <w:rsid w:val="00EC4CC7"/>
    <w:rsid w:val="00EC54B4"/>
    <w:rsid w:val="00EC6919"/>
    <w:rsid w:val="00EC7219"/>
    <w:rsid w:val="00EC7341"/>
    <w:rsid w:val="00EC7AD7"/>
    <w:rsid w:val="00ED03E7"/>
    <w:rsid w:val="00ED1737"/>
    <w:rsid w:val="00ED1B62"/>
    <w:rsid w:val="00ED2F0F"/>
    <w:rsid w:val="00ED40D5"/>
    <w:rsid w:val="00ED607C"/>
    <w:rsid w:val="00ED7F0F"/>
    <w:rsid w:val="00EE1941"/>
    <w:rsid w:val="00EE233B"/>
    <w:rsid w:val="00EE28B1"/>
    <w:rsid w:val="00EE2AC2"/>
    <w:rsid w:val="00EE37D7"/>
    <w:rsid w:val="00EE709B"/>
    <w:rsid w:val="00EF1554"/>
    <w:rsid w:val="00EF1C9B"/>
    <w:rsid w:val="00EF1E11"/>
    <w:rsid w:val="00EF2B1E"/>
    <w:rsid w:val="00EF3A6D"/>
    <w:rsid w:val="00EF438F"/>
    <w:rsid w:val="00EF4587"/>
    <w:rsid w:val="00EF4BCA"/>
    <w:rsid w:val="00EF54D8"/>
    <w:rsid w:val="00EF57AC"/>
    <w:rsid w:val="00EF5BCF"/>
    <w:rsid w:val="00EF659A"/>
    <w:rsid w:val="00EF7A5E"/>
    <w:rsid w:val="00EF7B2A"/>
    <w:rsid w:val="00F02122"/>
    <w:rsid w:val="00F02B49"/>
    <w:rsid w:val="00F0681B"/>
    <w:rsid w:val="00F06869"/>
    <w:rsid w:val="00F07E74"/>
    <w:rsid w:val="00F120E2"/>
    <w:rsid w:val="00F12CA4"/>
    <w:rsid w:val="00F13516"/>
    <w:rsid w:val="00F13CEA"/>
    <w:rsid w:val="00F13F32"/>
    <w:rsid w:val="00F1403F"/>
    <w:rsid w:val="00F14193"/>
    <w:rsid w:val="00F155C9"/>
    <w:rsid w:val="00F1613D"/>
    <w:rsid w:val="00F17468"/>
    <w:rsid w:val="00F17485"/>
    <w:rsid w:val="00F17A6A"/>
    <w:rsid w:val="00F17C73"/>
    <w:rsid w:val="00F2040F"/>
    <w:rsid w:val="00F20AE5"/>
    <w:rsid w:val="00F20D1C"/>
    <w:rsid w:val="00F2110A"/>
    <w:rsid w:val="00F22D09"/>
    <w:rsid w:val="00F230DD"/>
    <w:rsid w:val="00F23629"/>
    <w:rsid w:val="00F25B08"/>
    <w:rsid w:val="00F25EC3"/>
    <w:rsid w:val="00F27564"/>
    <w:rsid w:val="00F319BF"/>
    <w:rsid w:val="00F322F0"/>
    <w:rsid w:val="00F3257F"/>
    <w:rsid w:val="00F32E57"/>
    <w:rsid w:val="00F35000"/>
    <w:rsid w:val="00F3521B"/>
    <w:rsid w:val="00F410C6"/>
    <w:rsid w:val="00F42AEB"/>
    <w:rsid w:val="00F42FC4"/>
    <w:rsid w:val="00F44049"/>
    <w:rsid w:val="00F441BE"/>
    <w:rsid w:val="00F44237"/>
    <w:rsid w:val="00F455EF"/>
    <w:rsid w:val="00F45BDC"/>
    <w:rsid w:val="00F46FF4"/>
    <w:rsid w:val="00F47A31"/>
    <w:rsid w:val="00F47D10"/>
    <w:rsid w:val="00F51476"/>
    <w:rsid w:val="00F52965"/>
    <w:rsid w:val="00F53641"/>
    <w:rsid w:val="00F54354"/>
    <w:rsid w:val="00F54AC4"/>
    <w:rsid w:val="00F56C68"/>
    <w:rsid w:val="00F61689"/>
    <w:rsid w:val="00F64C59"/>
    <w:rsid w:val="00F6592D"/>
    <w:rsid w:val="00F671A9"/>
    <w:rsid w:val="00F71C7C"/>
    <w:rsid w:val="00F72F58"/>
    <w:rsid w:val="00F73E54"/>
    <w:rsid w:val="00F749EB"/>
    <w:rsid w:val="00F76DFA"/>
    <w:rsid w:val="00F80474"/>
    <w:rsid w:val="00F8307D"/>
    <w:rsid w:val="00F8431A"/>
    <w:rsid w:val="00F84BFF"/>
    <w:rsid w:val="00F84D57"/>
    <w:rsid w:val="00F86B82"/>
    <w:rsid w:val="00F86EF4"/>
    <w:rsid w:val="00F87CA1"/>
    <w:rsid w:val="00F91180"/>
    <w:rsid w:val="00F9170F"/>
    <w:rsid w:val="00F922AA"/>
    <w:rsid w:val="00F9507F"/>
    <w:rsid w:val="00F97A64"/>
    <w:rsid w:val="00F97FC7"/>
    <w:rsid w:val="00FA12B7"/>
    <w:rsid w:val="00FA17B2"/>
    <w:rsid w:val="00FA18A7"/>
    <w:rsid w:val="00FA34CC"/>
    <w:rsid w:val="00FA4F7B"/>
    <w:rsid w:val="00FA5CF6"/>
    <w:rsid w:val="00FA6024"/>
    <w:rsid w:val="00FA67AD"/>
    <w:rsid w:val="00FA686F"/>
    <w:rsid w:val="00FB180E"/>
    <w:rsid w:val="00FB1EFD"/>
    <w:rsid w:val="00FB275D"/>
    <w:rsid w:val="00FB3FB5"/>
    <w:rsid w:val="00FB4689"/>
    <w:rsid w:val="00FB48C1"/>
    <w:rsid w:val="00FB5A5C"/>
    <w:rsid w:val="00FB61EF"/>
    <w:rsid w:val="00FB6FA8"/>
    <w:rsid w:val="00FC09C0"/>
    <w:rsid w:val="00FC255F"/>
    <w:rsid w:val="00FC2678"/>
    <w:rsid w:val="00FC2F1B"/>
    <w:rsid w:val="00FC3F9B"/>
    <w:rsid w:val="00FC501F"/>
    <w:rsid w:val="00FC6EE1"/>
    <w:rsid w:val="00FD0863"/>
    <w:rsid w:val="00FD0E1F"/>
    <w:rsid w:val="00FD18B2"/>
    <w:rsid w:val="00FD3357"/>
    <w:rsid w:val="00FD3AF2"/>
    <w:rsid w:val="00FD7D0C"/>
    <w:rsid w:val="00FD7E18"/>
    <w:rsid w:val="00FE0AFB"/>
    <w:rsid w:val="00FE2A3B"/>
    <w:rsid w:val="00FE2BB4"/>
    <w:rsid w:val="00FE2F7F"/>
    <w:rsid w:val="00FE3CC6"/>
    <w:rsid w:val="00FE4B13"/>
    <w:rsid w:val="00FE5691"/>
    <w:rsid w:val="00FE6DD3"/>
    <w:rsid w:val="00FE7420"/>
    <w:rsid w:val="00FE7A1F"/>
    <w:rsid w:val="00FE7EE3"/>
    <w:rsid w:val="00FF0DD5"/>
    <w:rsid w:val="00FF0F9B"/>
    <w:rsid w:val="00FF2A83"/>
    <w:rsid w:val="00FF3611"/>
    <w:rsid w:val="00FF3C5C"/>
    <w:rsid w:val="00FF5DD5"/>
    <w:rsid w:val="00FF688C"/>
    <w:rsid w:val="00FF7819"/>
    <w:rsid w:val="00FF7DB3"/>
    <w:rsid w:val="00FF7EE4"/>
    <w:rsid w:val="01FDD292"/>
    <w:rsid w:val="03343D49"/>
    <w:rsid w:val="03ABFBC1"/>
    <w:rsid w:val="03FB6761"/>
    <w:rsid w:val="04A842DD"/>
    <w:rsid w:val="05115472"/>
    <w:rsid w:val="07A5CA34"/>
    <w:rsid w:val="0879D5AE"/>
    <w:rsid w:val="08C96EF0"/>
    <w:rsid w:val="0B20F9A4"/>
    <w:rsid w:val="0C5E93E6"/>
    <w:rsid w:val="0CD6C8E2"/>
    <w:rsid w:val="0D15CE61"/>
    <w:rsid w:val="0D1B25FC"/>
    <w:rsid w:val="0D458C1C"/>
    <w:rsid w:val="0D5BF84F"/>
    <w:rsid w:val="0E0CDA7D"/>
    <w:rsid w:val="0EECC46B"/>
    <w:rsid w:val="0EF774F8"/>
    <w:rsid w:val="10B9CCE1"/>
    <w:rsid w:val="10F646EA"/>
    <w:rsid w:val="115F9749"/>
    <w:rsid w:val="1174DE1E"/>
    <w:rsid w:val="118E25D2"/>
    <w:rsid w:val="12B6CAF5"/>
    <w:rsid w:val="13263846"/>
    <w:rsid w:val="14B88DC5"/>
    <w:rsid w:val="153FD142"/>
    <w:rsid w:val="16096BBD"/>
    <w:rsid w:val="16400262"/>
    <w:rsid w:val="168BB1CA"/>
    <w:rsid w:val="16DD5E9A"/>
    <w:rsid w:val="16F8272B"/>
    <w:rsid w:val="190D0892"/>
    <w:rsid w:val="1985E77A"/>
    <w:rsid w:val="1A9E3202"/>
    <w:rsid w:val="1AF579BA"/>
    <w:rsid w:val="1BFB05C0"/>
    <w:rsid w:val="1D1012FF"/>
    <w:rsid w:val="1D415E47"/>
    <w:rsid w:val="1D9EDDA9"/>
    <w:rsid w:val="1F86CAFA"/>
    <w:rsid w:val="214B9DC9"/>
    <w:rsid w:val="2302CB33"/>
    <w:rsid w:val="240ED094"/>
    <w:rsid w:val="246FF141"/>
    <w:rsid w:val="25BA0AAA"/>
    <w:rsid w:val="26A87E29"/>
    <w:rsid w:val="270BE237"/>
    <w:rsid w:val="289D53CC"/>
    <w:rsid w:val="292F0F01"/>
    <w:rsid w:val="298EAEB0"/>
    <w:rsid w:val="299E2144"/>
    <w:rsid w:val="2A81308F"/>
    <w:rsid w:val="2AE38681"/>
    <w:rsid w:val="2B081428"/>
    <w:rsid w:val="2B3B09B8"/>
    <w:rsid w:val="2B9EEE33"/>
    <w:rsid w:val="2BFBABBE"/>
    <w:rsid w:val="2CF1DEE6"/>
    <w:rsid w:val="2CF63441"/>
    <w:rsid w:val="2D2F98C8"/>
    <w:rsid w:val="2D960BA9"/>
    <w:rsid w:val="2FEE7AF5"/>
    <w:rsid w:val="300921B9"/>
    <w:rsid w:val="3014E9D1"/>
    <w:rsid w:val="30DC9912"/>
    <w:rsid w:val="3152AA26"/>
    <w:rsid w:val="31987144"/>
    <w:rsid w:val="3207DC7F"/>
    <w:rsid w:val="320C096E"/>
    <w:rsid w:val="3345A429"/>
    <w:rsid w:val="3365DF7D"/>
    <w:rsid w:val="338AD733"/>
    <w:rsid w:val="33C629ED"/>
    <w:rsid w:val="33CD418D"/>
    <w:rsid w:val="348624F1"/>
    <w:rsid w:val="3639F624"/>
    <w:rsid w:val="369DDED0"/>
    <w:rsid w:val="371064C4"/>
    <w:rsid w:val="378FC7B9"/>
    <w:rsid w:val="39644408"/>
    <w:rsid w:val="39788F36"/>
    <w:rsid w:val="3BEFD102"/>
    <w:rsid w:val="3D31C50C"/>
    <w:rsid w:val="403065AA"/>
    <w:rsid w:val="40B91A68"/>
    <w:rsid w:val="40FA4FF1"/>
    <w:rsid w:val="427DDFBE"/>
    <w:rsid w:val="42A044BE"/>
    <w:rsid w:val="42E39FD1"/>
    <w:rsid w:val="43FBFF56"/>
    <w:rsid w:val="43FFB094"/>
    <w:rsid w:val="442B1D9E"/>
    <w:rsid w:val="44A4249E"/>
    <w:rsid w:val="45101BF9"/>
    <w:rsid w:val="455AA853"/>
    <w:rsid w:val="464B9401"/>
    <w:rsid w:val="4691BB2B"/>
    <w:rsid w:val="46DFF84C"/>
    <w:rsid w:val="47436F41"/>
    <w:rsid w:val="4C4A1B3A"/>
    <w:rsid w:val="4C9E52FD"/>
    <w:rsid w:val="4CC560BF"/>
    <w:rsid w:val="4D04151A"/>
    <w:rsid w:val="4D54D746"/>
    <w:rsid w:val="4E0EF0D1"/>
    <w:rsid w:val="4E412C67"/>
    <w:rsid w:val="4F4DC1C5"/>
    <w:rsid w:val="4F5AD084"/>
    <w:rsid w:val="4F5D6062"/>
    <w:rsid w:val="4FF5D099"/>
    <w:rsid w:val="530391B2"/>
    <w:rsid w:val="5348577F"/>
    <w:rsid w:val="5441D815"/>
    <w:rsid w:val="54BF8A81"/>
    <w:rsid w:val="55139D44"/>
    <w:rsid w:val="5598A14A"/>
    <w:rsid w:val="575579AB"/>
    <w:rsid w:val="58679F10"/>
    <w:rsid w:val="59C908CE"/>
    <w:rsid w:val="5B6B783E"/>
    <w:rsid w:val="5BCA9AF6"/>
    <w:rsid w:val="5DDEE69A"/>
    <w:rsid w:val="5DF1BB0F"/>
    <w:rsid w:val="5EE16208"/>
    <w:rsid w:val="5FB826F7"/>
    <w:rsid w:val="601A1D0B"/>
    <w:rsid w:val="63232560"/>
    <w:rsid w:val="6339AB16"/>
    <w:rsid w:val="639B80A3"/>
    <w:rsid w:val="63F757F1"/>
    <w:rsid w:val="64551E2C"/>
    <w:rsid w:val="6495636B"/>
    <w:rsid w:val="65E34E20"/>
    <w:rsid w:val="66C0E9DE"/>
    <w:rsid w:val="679146BB"/>
    <w:rsid w:val="686C4CBA"/>
    <w:rsid w:val="69C36EF6"/>
    <w:rsid w:val="6A310B7F"/>
    <w:rsid w:val="6A5C6F67"/>
    <w:rsid w:val="6A61E10E"/>
    <w:rsid w:val="6AF90B25"/>
    <w:rsid w:val="6C9DD8CB"/>
    <w:rsid w:val="6CB88AED"/>
    <w:rsid w:val="6D249D3F"/>
    <w:rsid w:val="6D85B25C"/>
    <w:rsid w:val="6E9F620F"/>
    <w:rsid w:val="6F99D76B"/>
    <w:rsid w:val="703110F8"/>
    <w:rsid w:val="70DB41FD"/>
    <w:rsid w:val="70DE2D26"/>
    <w:rsid w:val="712F303C"/>
    <w:rsid w:val="72B7E760"/>
    <w:rsid w:val="732BC993"/>
    <w:rsid w:val="73AD4C73"/>
    <w:rsid w:val="73D1BFF7"/>
    <w:rsid w:val="73DAC2B2"/>
    <w:rsid w:val="7457B4FA"/>
    <w:rsid w:val="7499E985"/>
    <w:rsid w:val="7601EEAE"/>
    <w:rsid w:val="7633D172"/>
    <w:rsid w:val="775121DD"/>
    <w:rsid w:val="77FD9B55"/>
    <w:rsid w:val="79C8B336"/>
    <w:rsid w:val="79D4427B"/>
    <w:rsid w:val="7B017229"/>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CC1D"/>
  <w15:docId w15:val="{0E066A63-47C5-42E6-A1D6-A53D3D25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BA3ED5"/>
    <w:pPr>
      <w:outlineLvl w:val="1"/>
    </w:pPr>
    <w:rPr>
      <w:rFonts w:cstheme="minorHAnsi"/>
      <w:b/>
      <w:sz w:val="24"/>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1"/>
      </w:numPr>
    </w:pPr>
  </w:style>
  <w:style w:type="paragraph" w:customStyle="1" w:styleId="Bulletlist1">
    <w:name w:val="Bullet list 1"/>
    <w:basedOn w:val="Normal"/>
    <w:link w:val="Bulletlist1Char"/>
    <w:qFormat/>
    <w:rsid w:val="0004526C"/>
    <w:pPr>
      <w:numPr>
        <w:numId w:val="2"/>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BA3ED5"/>
    <w:rPr>
      <w:rFonts w:eastAsiaTheme="minorEastAsia" w:cstheme="minorHAnsi"/>
      <w:b/>
      <w:sz w:val="24"/>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 w:type="paragraph" w:styleId="TOC3">
    <w:name w:val="toc 3"/>
    <w:basedOn w:val="Normal"/>
    <w:next w:val="Normal"/>
    <w:autoRedefine/>
    <w:uiPriority w:val="39"/>
    <w:unhideWhenUsed/>
    <w:rsid w:val="000F724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7565707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57694493">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can.org.au/about-us/reporting/reconcilitiation-action-pla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n.gouskos@accan.org.au"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ccan.org.au/accans-work/policy-positions/2253-domestic-and-family-violence" TargetMode="External"/><Relationship Id="rId7" Type="http://schemas.openxmlformats.org/officeDocument/2006/relationships/hyperlink" Target="https://www.aph.gov.au/Parliamentary_Business/Committees/Joint/Intelligence_and_Security/CyberSecurityPackage" TargetMode="External"/><Relationship Id="rId2" Type="http://schemas.openxmlformats.org/officeDocument/2006/relationships/hyperlink" Target="https://accan.org.au/accans-work/submissions/2278-cyber-security-strategy-23-30" TargetMode="External"/><Relationship Id="rId1" Type="http://schemas.openxmlformats.org/officeDocument/2006/relationships/hyperlink" Target="https://www.auda.org.au/news-events-insights/reporting/research-reports/digital-lives-australians-2024" TargetMode="External"/><Relationship Id="rId6" Type="http://schemas.openxmlformats.org/officeDocument/2006/relationships/hyperlink" Target="https://www.ucl.ac.uk/computer-science/research/research-groups/gender-and-tech/gender-and-iot" TargetMode="External"/><Relationship Id="rId5" Type="http://schemas.openxmlformats.org/officeDocument/2006/relationships/hyperlink" Target="https://accan.org.au/accans-work/submissions/2278-cyber-security-strategy-23-30" TargetMode="External"/><Relationship Id="rId4" Type="http://schemas.openxmlformats.org/officeDocument/2006/relationships/hyperlink" Target="https://www.ucl.ac.uk/computer-science/research/research-groups/gender-and-tech/gender-and-i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2730B-996A-4139-B5FD-CDA55A1B7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3.xml><?xml version="1.0" encoding="utf-8"?>
<ds:datastoreItem xmlns:ds="http://schemas.openxmlformats.org/officeDocument/2006/customXml" ds:itemID="{122F4F94-1AF4-4521-991E-7AE5BA2A5212}">
  <ds:schemaRefs>
    <ds:schemaRef ds:uri="http://purl.org/dc/terms/"/>
    <ds:schemaRef ds:uri="http://purl.org/dc/dcmitype/"/>
    <ds:schemaRef ds:uri="http://schemas.microsoft.com/office/2006/documentManagement/types"/>
    <ds:schemaRef ds:uri="25af2f0e-673d-4721-b64c-73e7c4e9e0c5"/>
    <ds:schemaRef ds:uri="http://www.w3.org/XML/1998/namespace"/>
    <ds:schemaRef ds:uri="http://purl.org/dc/elements/1.1/"/>
    <ds:schemaRef ds:uri="2afa1a33-c191-48ee-b288-192490d33fe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6C21FB9-1321-4B4B-A22E-45DA56E9F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Kininmonth</dc:creator>
  <cp:keywords/>
  <cp:lastModifiedBy>Richard Van Der Male</cp:lastModifiedBy>
  <cp:revision>472</cp:revision>
  <cp:lastPrinted>2024-10-27T22:11:00Z</cp:lastPrinted>
  <dcterms:created xsi:type="dcterms:W3CDTF">2024-10-14T00:11:00Z</dcterms:created>
  <dcterms:modified xsi:type="dcterms:W3CDTF">2024-10-27T23:14:00Z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0x010100B3E4A5C17F963D4A81626FBA9D0C3C6E</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MarkAsFinal">
    <vt:bool>true</vt:bool>
  </property>
</Properties>
</file>