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0E07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5CB9EC4E" wp14:editId="63AB5768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4" behindDoc="0" locked="0" layoutInCell="1" allowOverlap="1" wp14:anchorId="3F452046" wp14:editId="59F4020F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00FFD11F" wp14:editId="7106334D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15EB1526" wp14:editId="769721B4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1" behindDoc="0" locked="0" layoutInCell="1" allowOverlap="1" wp14:anchorId="1EF4DA7F" wp14:editId="326F0764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D13D006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2C2059D6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02330B2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87B4537" wp14:editId="5C1B5088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519A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</w:p>
    <w:p w14:paraId="11100139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2E0B9231" w14:textId="7CE5358B" w:rsidR="00576D4A" w:rsidRDefault="00664339" w:rsidP="00CB1C53">
      <w:pPr>
        <w:tabs>
          <w:tab w:val="right" w:pos="9026"/>
        </w:tabs>
        <w:rPr>
          <w:rStyle w:val="DocDateChar"/>
        </w:rPr>
      </w:pPr>
      <w:r>
        <w:rPr>
          <w:rStyle w:val="DocLabelChar"/>
        </w:rPr>
        <w:t>Submission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776492">
        <w:rPr>
          <w:rStyle w:val="DocDateChar"/>
        </w:rPr>
        <w:t>6 May 2024</w:t>
      </w:r>
    </w:p>
    <w:p w14:paraId="7F9A4208" w14:textId="77777777" w:rsidR="00776492" w:rsidRDefault="00776492" w:rsidP="00776492">
      <w:pPr>
        <w:spacing w:after="0"/>
      </w:pPr>
      <w:r>
        <w:t>Spectrum Licensing Policy Section</w:t>
      </w:r>
    </w:p>
    <w:p w14:paraId="26BCAE6A" w14:textId="7119A546" w:rsidR="007438D5" w:rsidRDefault="00776492" w:rsidP="00776492">
      <w:pPr>
        <w:spacing w:after="0"/>
      </w:pPr>
      <w:r>
        <w:t>Australian Communications and Media Authority</w:t>
      </w:r>
    </w:p>
    <w:p w14:paraId="3F3FBEFF" w14:textId="7F9EB150" w:rsidR="001A3EF6" w:rsidRDefault="004B2E9A" w:rsidP="00EB00CB">
      <w:pPr>
        <w:spacing w:before="240"/>
        <w:jc w:val="center"/>
        <w:rPr>
          <w:b/>
          <w:bCs/>
        </w:rPr>
      </w:pPr>
      <w:r w:rsidRPr="004B2E9A">
        <w:rPr>
          <w:b/>
          <w:bCs/>
        </w:rPr>
        <w:t xml:space="preserve">Re: </w:t>
      </w:r>
      <w:r w:rsidR="00FC616F" w:rsidRPr="00FC616F">
        <w:rPr>
          <w:b/>
          <w:bCs/>
        </w:rPr>
        <w:t>Draft Five-year spectrum outlook 2024–29</w:t>
      </w:r>
    </w:p>
    <w:p w14:paraId="699DFA61" w14:textId="18A195AD" w:rsidR="00127420" w:rsidRDefault="00127420" w:rsidP="00626306">
      <w:r w:rsidRPr="00127420">
        <w:t>The Australian Communications Consumer Action Network (</w:t>
      </w:r>
      <w:r w:rsidRPr="00127420">
        <w:rPr>
          <w:b/>
          <w:bCs/>
        </w:rPr>
        <w:t>ACCAN</w:t>
      </w:r>
      <w:r w:rsidRPr="00127420">
        <w:t xml:space="preserve">) thanks the </w:t>
      </w:r>
      <w:r w:rsidR="00776492">
        <w:t>Australian Communications and Media Authority (</w:t>
      </w:r>
      <w:r w:rsidR="00776492" w:rsidRPr="00776492">
        <w:rPr>
          <w:b/>
          <w:bCs/>
        </w:rPr>
        <w:t>ACMA</w:t>
      </w:r>
      <w:r w:rsidR="00776492">
        <w:t xml:space="preserve">) </w:t>
      </w:r>
      <w:r w:rsidRPr="00127420">
        <w:t xml:space="preserve">for the opportunity to provide feedback on the </w:t>
      </w:r>
      <w:r w:rsidR="00626306">
        <w:t>Five-year spectrum outlook 2024–29 and 2024–25 work program Consultation Paper (</w:t>
      </w:r>
      <w:r w:rsidR="00626306" w:rsidRPr="002552CE">
        <w:rPr>
          <w:b/>
          <w:bCs/>
        </w:rPr>
        <w:t>the Consultation Paper</w:t>
      </w:r>
      <w:r w:rsidR="00626306">
        <w:t xml:space="preserve">). </w:t>
      </w:r>
    </w:p>
    <w:p w14:paraId="0B809672" w14:textId="2F18E88B" w:rsidR="001A3EF6" w:rsidRDefault="001A3EF6" w:rsidP="00C74C7C">
      <w:r w:rsidRPr="001A3EF6">
        <w:t>ACCAN is the peak body that represents consumers on communications issues including telecommunications, broadband, and emerging new services. ACCAN provides a strong unified voice to industry and government as consumers work towards communications services that are trusted, inclusive and available for all.</w:t>
      </w:r>
    </w:p>
    <w:p w14:paraId="258ECD49" w14:textId="6CFE023F" w:rsidR="00F36D77" w:rsidRDefault="00652343" w:rsidP="00C74C7C">
      <w:r>
        <w:t xml:space="preserve">The framework for planning and allocating spectrum underpins the efficient delivery of communications services in the interests of consumers, small </w:t>
      </w:r>
      <w:r w:rsidR="005345F9">
        <w:t>businesses,</w:t>
      </w:r>
      <w:r>
        <w:t xml:space="preserve"> and the broader community</w:t>
      </w:r>
      <w:r w:rsidR="00EA7C46">
        <w:t xml:space="preserve"> as end users of spectrum</w:t>
      </w:r>
      <w:r>
        <w:t xml:space="preserve">. </w:t>
      </w:r>
      <w:r w:rsidR="00C779F3">
        <w:t>Fit-for-purpose planning and allocation frameworks are critical to ensuring the interests of the public are effectively promoted through the allocation of finite spectrum resources in the public interest.</w:t>
      </w:r>
    </w:p>
    <w:p w14:paraId="4543A351" w14:textId="41A8320F" w:rsidR="005466C3" w:rsidRDefault="00916E55" w:rsidP="00C74C7C">
      <w:r>
        <w:t xml:space="preserve">ACCAN supports the </w:t>
      </w:r>
      <w:r w:rsidR="00B61AB7">
        <w:t>ACMA’s Public Interest Criteria (</w:t>
      </w:r>
      <w:r w:rsidR="00B61AB7" w:rsidRPr="00174651">
        <w:rPr>
          <w:b/>
          <w:bCs/>
        </w:rPr>
        <w:t>PIC</w:t>
      </w:r>
      <w:r w:rsidR="00B61AB7">
        <w:t>)</w:t>
      </w:r>
      <w:r w:rsidR="00EA7C46">
        <w:t xml:space="preserve"> </w:t>
      </w:r>
      <w:r w:rsidR="00A1709C">
        <w:t>and would encourage the ACMA to establish a review process where there is evidence of changing optimal use, to explore</w:t>
      </w:r>
      <w:r w:rsidR="00A1709C" w:rsidRPr="00020368">
        <w:t xml:space="preserve"> the </w:t>
      </w:r>
      <w:r w:rsidR="00A1709C">
        <w:t>adoption</w:t>
      </w:r>
      <w:r w:rsidR="00A1709C" w:rsidRPr="00020368">
        <w:t xml:space="preserve"> of </w:t>
      </w:r>
      <w:r w:rsidR="00A1709C">
        <w:t>shorter-term</w:t>
      </w:r>
      <w:r w:rsidR="00A1709C" w:rsidRPr="00020368">
        <w:t xml:space="preserve"> spectrum licences</w:t>
      </w:r>
      <w:r w:rsidR="00A1709C">
        <w:t>.</w:t>
      </w:r>
      <w:r w:rsidR="00A1709C">
        <w:rPr>
          <w:rStyle w:val="FootnoteReference"/>
        </w:rPr>
        <w:footnoteReference w:id="2"/>
      </w:r>
      <w:r w:rsidR="00A1709C">
        <w:t xml:space="preserve"> </w:t>
      </w:r>
      <w:r w:rsidR="008B10EC">
        <w:t xml:space="preserve">Using </w:t>
      </w:r>
      <w:r w:rsidR="00E87D35">
        <w:t xml:space="preserve">shorter spectrum licences would allow the </w:t>
      </w:r>
      <w:r w:rsidR="00A1709C">
        <w:t xml:space="preserve">ACMA </w:t>
      </w:r>
      <w:r w:rsidR="00E87D35">
        <w:t xml:space="preserve">greater flexibility and option value in planning future spectrum </w:t>
      </w:r>
      <w:r w:rsidR="00607AFA">
        <w:t xml:space="preserve">allocations. </w:t>
      </w:r>
      <w:r w:rsidR="003B03E0">
        <w:t>They</w:t>
      </w:r>
      <w:r w:rsidR="0096337D">
        <w:t xml:space="preserve"> would also ensure greater cooperation with the </w:t>
      </w:r>
      <w:r w:rsidR="000F0EDF">
        <w:t>PIC</w:t>
      </w:r>
      <w:r w:rsidR="00EB073A">
        <w:t xml:space="preserve"> </w:t>
      </w:r>
      <w:r w:rsidR="0096337D">
        <w:t xml:space="preserve">as purchasers of </w:t>
      </w:r>
      <w:r w:rsidR="00894366">
        <w:t>shorter-term</w:t>
      </w:r>
      <w:r w:rsidR="0096337D">
        <w:t xml:space="preserve"> spectrum licences </w:t>
      </w:r>
      <w:r w:rsidR="000D3E83">
        <w:t xml:space="preserve">would be more likely </w:t>
      </w:r>
      <w:r w:rsidR="006A6FE3">
        <w:t>to utilise spectrum</w:t>
      </w:r>
      <w:r w:rsidR="000D3E83">
        <w:t xml:space="preserve"> during this time </w:t>
      </w:r>
      <w:r w:rsidR="006A6FE3">
        <w:t>and seek renewal</w:t>
      </w:r>
      <w:r w:rsidR="006D2F1D">
        <w:t xml:space="preserve"> effectively</w:t>
      </w:r>
      <w:r w:rsidR="006A6FE3">
        <w:t>.</w:t>
      </w:r>
      <w:r w:rsidR="006A6FE3">
        <w:rPr>
          <w:rStyle w:val="FootnoteReference"/>
        </w:rPr>
        <w:footnoteReference w:id="3"/>
      </w:r>
      <w:r w:rsidR="005F31AB">
        <w:t xml:space="preserve"> </w:t>
      </w:r>
    </w:p>
    <w:p w14:paraId="4AE19B1B" w14:textId="6C953FB0" w:rsidR="00020368" w:rsidRDefault="004E31C1" w:rsidP="00C74C7C">
      <w:r>
        <w:t xml:space="preserve">ACCAN considers that more flexible </w:t>
      </w:r>
      <w:r w:rsidR="002856E4">
        <w:t>licensing</w:t>
      </w:r>
      <w:r>
        <w:t xml:space="preserve"> periods would </w:t>
      </w:r>
      <w:r w:rsidR="00D14384">
        <w:t xml:space="preserve">promote </w:t>
      </w:r>
      <w:r>
        <w:t xml:space="preserve">more effective </w:t>
      </w:r>
      <w:r w:rsidR="00961795">
        <w:t>use</w:t>
      </w:r>
      <w:r>
        <w:t xml:space="preserve"> of the available spectrum</w:t>
      </w:r>
      <w:r w:rsidR="002856E4">
        <w:t xml:space="preserve">. </w:t>
      </w:r>
      <w:r w:rsidR="00764115">
        <w:t>More</w:t>
      </w:r>
      <w:r w:rsidR="0076580D">
        <w:t xml:space="preserve"> flexibility </w:t>
      </w:r>
      <w:r w:rsidR="00D469D6">
        <w:t xml:space="preserve">in </w:t>
      </w:r>
      <w:r w:rsidR="00653AE9">
        <w:t xml:space="preserve">spectrum licences would </w:t>
      </w:r>
      <w:r w:rsidR="003E4885">
        <w:t>decrease the barriers to entry</w:t>
      </w:r>
      <w:r w:rsidR="00B310B7">
        <w:t xml:space="preserve"> </w:t>
      </w:r>
      <w:r w:rsidR="003C4A48">
        <w:t xml:space="preserve">of the market </w:t>
      </w:r>
      <w:r w:rsidR="00B310B7">
        <w:t>and allow licen</w:t>
      </w:r>
      <w:r w:rsidR="0097182B">
        <w:t>sees</w:t>
      </w:r>
      <w:r w:rsidR="00B310B7">
        <w:t xml:space="preserve"> to</w:t>
      </w:r>
      <w:r w:rsidR="00113711">
        <w:t xml:space="preserve"> </w:t>
      </w:r>
      <w:r w:rsidR="002C0F6F">
        <w:t>respond more adequately</w:t>
      </w:r>
      <w:r w:rsidR="00B310B7">
        <w:t xml:space="preserve"> to changing market conditions.</w:t>
      </w:r>
      <w:r w:rsidR="00EA0C50">
        <w:t xml:space="preserve"> </w:t>
      </w:r>
      <w:r w:rsidR="005F31AB">
        <w:t>ACCAN supports the ACMA’s consideration that ‘</w:t>
      </w:r>
      <w:r w:rsidR="004D2201">
        <w:t xml:space="preserve">where there is evidence of </w:t>
      </w:r>
      <w:r w:rsidR="00CA556E">
        <w:t xml:space="preserve">changing optimal use, </w:t>
      </w:r>
      <w:r w:rsidR="00595404">
        <w:t>it may be necessary to amend the arrangements to enable a new use or support an existing use’.</w:t>
      </w:r>
      <w:r w:rsidR="004A575D">
        <w:rPr>
          <w:rStyle w:val="FootnoteReference"/>
        </w:rPr>
        <w:footnoteReference w:id="4"/>
      </w:r>
      <w:r w:rsidR="00595404">
        <w:t xml:space="preserve"> In this instance, ACCAN would support the ACMA exploring the amendment of </w:t>
      </w:r>
      <w:r w:rsidR="004A575D">
        <w:t xml:space="preserve">licence conditions in response to relevant externalities. </w:t>
      </w:r>
    </w:p>
    <w:p w14:paraId="678B0F53" w14:textId="77777777" w:rsidR="002F2F4E" w:rsidRDefault="002F2F4E" w:rsidP="00C74C7C"/>
    <w:p w14:paraId="5F30EF4D" w14:textId="60821C1E" w:rsidR="000F0EDF" w:rsidRDefault="00763DA1" w:rsidP="00C74C7C">
      <w:r>
        <w:lastRenderedPageBreak/>
        <w:t xml:space="preserve">ACCAN members and stakeholders have noted that </w:t>
      </w:r>
      <w:r w:rsidR="00633EC7">
        <w:t xml:space="preserve">while spectrum </w:t>
      </w:r>
      <w:r w:rsidR="004D5AD9">
        <w:t xml:space="preserve">planning and allocation </w:t>
      </w:r>
      <w:r w:rsidR="004E1451">
        <w:t xml:space="preserve">significantly </w:t>
      </w:r>
      <w:r w:rsidR="00633EC7">
        <w:t>impact</w:t>
      </w:r>
      <w:r w:rsidR="004E1451">
        <w:t>s</w:t>
      </w:r>
      <w:r w:rsidR="00633EC7">
        <w:t xml:space="preserve"> end users</w:t>
      </w:r>
      <w:r w:rsidR="004E1451">
        <w:t>’ lives</w:t>
      </w:r>
      <w:r w:rsidR="00633EC7">
        <w:t xml:space="preserve">, </w:t>
      </w:r>
      <w:r>
        <w:t>the</w:t>
      </w:r>
      <w:r w:rsidR="004D5AD9">
        <w:t xml:space="preserve">se </w:t>
      </w:r>
      <w:r w:rsidR="005345F9">
        <w:t>processes can</w:t>
      </w:r>
      <w:r w:rsidR="67FA39A8">
        <w:t xml:space="preserve"> be </w:t>
      </w:r>
      <w:r w:rsidR="004516A4">
        <w:t>difficult to e</w:t>
      </w:r>
      <w:r w:rsidR="002D53BE">
        <w:t xml:space="preserve">ffectively engage with. </w:t>
      </w:r>
      <w:r w:rsidR="006E12D9">
        <w:t>Engagement on spectrum is understandably difficult for many consumer cohorts</w:t>
      </w:r>
      <w:r w:rsidR="004D5AD9">
        <w:t xml:space="preserve"> due </w:t>
      </w:r>
      <w:r w:rsidR="00501286">
        <w:t xml:space="preserve">to the technical nature of </w:t>
      </w:r>
      <w:r w:rsidR="004D5AD9">
        <w:t>the spectrum</w:t>
      </w:r>
      <w:r w:rsidR="00501286">
        <w:t xml:space="preserve">. </w:t>
      </w:r>
      <w:r w:rsidR="002D53BE">
        <w:t>To address this</w:t>
      </w:r>
      <w:r w:rsidR="00407AE9">
        <w:t xml:space="preserve">, </w:t>
      </w:r>
      <w:r w:rsidR="00501286">
        <w:t>ACCAN would support the ACMA giving further consideration towards ensuring that their engagement strategies fully capture consumer experiences as end users of spectrum.</w:t>
      </w:r>
    </w:p>
    <w:p w14:paraId="43F2E2D9" w14:textId="64703556" w:rsidR="00B92A8B" w:rsidRDefault="000F6131" w:rsidP="00C74C7C">
      <w:r>
        <w:t>ACCAN supports the ACMA</w:t>
      </w:r>
      <w:r w:rsidR="00C94F87">
        <w:t>’s</w:t>
      </w:r>
      <w:r>
        <w:t xml:space="preserve"> changes to the expiring spectrum licences workplan detailed in the Consultation Paper and welcomes further engagement with the ACMA on the topic of expiring spectrum licences.</w:t>
      </w:r>
      <w:r>
        <w:rPr>
          <w:rStyle w:val="FootnoteReference"/>
        </w:rPr>
        <w:footnoteReference w:id="5"/>
      </w:r>
      <w:r w:rsidR="00184FE1">
        <w:t xml:space="preserve"> </w:t>
      </w:r>
      <w:r w:rsidR="00B92A8B">
        <w:t xml:space="preserve">ACCAN welcomed the </w:t>
      </w:r>
      <w:r w:rsidR="003B2334">
        <w:t>publication</w:t>
      </w:r>
      <w:r w:rsidR="00B92A8B">
        <w:t xml:space="preserve"> of the ACMA’s </w:t>
      </w:r>
      <w:r w:rsidR="00303F0F">
        <w:t>‘</w:t>
      </w:r>
      <w:r w:rsidR="009D5DD0">
        <w:t xml:space="preserve">Expiring spectrum licences - </w:t>
      </w:r>
      <w:r w:rsidR="00303F0F" w:rsidRPr="00303F0F">
        <w:t>Finalised framework and response to submissions</w:t>
      </w:r>
      <w:r w:rsidR="00303F0F">
        <w:t>’ and will</w:t>
      </w:r>
      <w:r w:rsidR="009D5DD0">
        <w:t xml:space="preserve"> provide comment </w:t>
      </w:r>
      <w:r w:rsidR="00813CAD">
        <w:t>as part of our response to the current ‘</w:t>
      </w:r>
      <w:r w:rsidR="00813CAD" w:rsidRPr="00813CAD">
        <w:t>Expiring spectrum licences (stage 2) – information gathering, and views on uses of frequency bands and alternative licence conditions</w:t>
      </w:r>
      <w:r w:rsidR="00C94F87">
        <w:t>’</w:t>
      </w:r>
      <w:r w:rsidR="00813CAD">
        <w:t xml:space="preserve"> consultation.</w:t>
      </w:r>
    </w:p>
    <w:p w14:paraId="5085C610" w14:textId="52CC3F15" w:rsidR="0039516E" w:rsidRDefault="5EE81AFE" w:rsidP="00C74C7C">
      <w:r>
        <w:t xml:space="preserve">Further, </w:t>
      </w:r>
      <w:r w:rsidR="003A48B3">
        <w:t xml:space="preserve">ACCAN supports the </w:t>
      </w:r>
      <w:r w:rsidR="00D52E31">
        <w:t xml:space="preserve">introduction of a ‘reply comment period’ for future </w:t>
      </w:r>
      <w:r w:rsidR="00040DF2">
        <w:t>consultations.</w:t>
      </w:r>
      <w:r w:rsidR="00040DF2">
        <w:rPr>
          <w:rStyle w:val="FootnoteReference"/>
        </w:rPr>
        <w:footnoteReference w:id="6"/>
      </w:r>
      <w:r w:rsidR="00DF3EED">
        <w:t xml:space="preserve"> </w:t>
      </w:r>
      <w:r w:rsidR="00200E4A">
        <w:t>E</w:t>
      </w:r>
      <w:r w:rsidR="00DF3EED">
        <w:t>xpanding the</w:t>
      </w:r>
      <w:r w:rsidR="00716111">
        <w:t xml:space="preserve"> avenues for participation present in the spectrum consultation process</w:t>
      </w:r>
      <w:r w:rsidR="00DF3EED">
        <w:t xml:space="preserve"> will contribute to a more open</w:t>
      </w:r>
      <w:r w:rsidR="00284A70">
        <w:t xml:space="preserve"> spectrum</w:t>
      </w:r>
      <w:r w:rsidR="00DF3EED">
        <w:t xml:space="preserve"> policy process</w:t>
      </w:r>
      <w:r w:rsidR="00B52486">
        <w:t xml:space="preserve">. We agree with the Consultation Paper’s position that a reply comment period may </w:t>
      </w:r>
      <w:r w:rsidR="00040DF2">
        <w:t>‘</w:t>
      </w:r>
      <w:r w:rsidR="00DF3EED">
        <w:t>decreas</w:t>
      </w:r>
      <w:r w:rsidR="00B52486">
        <w:t>e the responsibility of the regulator to test assertions and opinions</w:t>
      </w:r>
      <w:r w:rsidR="00040DF2">
        <w:t>’</w:t>
      </w:r>
      <w:r w:rsidR="00B0460C">
        <w:t xml:space="preserve">, allowing a more diverse discourse on perspectives </w:t>
      </w:r>
      <w:r w:rsidR="00716111">
        <w:t>related to</w:t>
      </w:r>
      <w:r w:rsidR="00B0460C">
        <w:t xml:space="preserve"> the regulation of spectrum.</w:t>
      </w:r>
      <w:r w:rsidR="00040DF2">
        <w:rPr>
          <w:rStyle w:val="FootnoteReference"/>
        </w:rPr>
        <w:footnoteReference w:id="7"/>
      </w:r>
      <w:r w:rsidR="00040DF2">
        <w:t xml:space="preserve"> </w:t>
      </w:r>
      <w:r w:rsidR="00F85FA1">
        <w:t>This would support the ACMA’s PIC</w:t>
      </w:r>
      <w:r w:rsidR="00322BFA">
        <w:t xml:space="preserve"> which facilitates </w:t>
      </w:r>
      <w:r w:rsidR="00F85FA1">
        <w:t>competition amongst prospective licensees</w:t>
      </w:r>
      <w:r w:rsidR="00716111">
        <w:t>.</w:t>
      </w:r>
      <w:r w:rsidR="00126EC3">
        <w:rPr>
          <w:rStyle w:val="FootnoteReference"/>
        </w:rPr>
        <w:footnoteReference w:id="8"/>
      </w:r>
      <w:r w:rsidR="00716111">
        <w:t xml:space="preserve"> </w:t>
      </w:r>
    </w:p>
    <w:p w14:paraId="59578D74" w14:textId="4D3196A9" w:rsidR="00B134F4" w:rsidRDefault="006E2F2D" w:rsidP="00C74C7C">
      <w:r>
        <w:t xml:space="preserve">ACCAN considers that encouraging prospective licensees to formally respond to the submissions of other prospective licensees </w:t>
      </w:r>
      <w:r w:rsidR="008175DD">
        <w:t xml:space="preserve">is </w:t>
      </w:r>
      <w:r>
        <w:t xml:space="preserve">an effective pathway to facilitating the PIC through formal consultation processes. </w:t>
      </w:r>
      <w:r w:rsidR="00821EA4">
        <w:t>Undertaking a</w:t>
      </w:r>
      <w:r w:rsidR="004E5CE7">
        <w:t xml:space="preserve"> reply comment period which encourages submitters to confidentially provide feedback to the ACMA </w:t>
      </w:r>
      <w:r w:rsidR="00821EA4">
        <w:t xml:space="preserve">would </w:t>
      </w:r>
      <w:r w:rsidR="00DF1EF6">
        <w:t>improve the competitive outcomes of the licence allocation</w:t>
      </w:r>
      <w:r w:rsidR="00F85580">
        <w:t xml:space="preserve">. </w:t>
      </w:r>
    </w:p>
    <w:p w14:paraId="74A79605" w14:textId="7E5FFAA6" w:rsidR="004F240D" w:rsidRDefault="00EF4EE2" w:rsidP="00C74C7C">
      <w:r w:rsidRPr="00EF4EE2">
        <w:t xml:space="preserve">We thank the </w:t>
      </w:r>
      <w:r w:rsidR="00800BA8">
        <w:t>ACMA fo</w:t>
      </w:r>
      <w:r w:rsidRPr="00EF4EE2">
        <w:t xml:space="preserve">r the opportunity to comment on the </w:t>
      </w:r>
      <w:r w:rsidR="00800BA8">
        <w:t>Consultation Paper</w:t>
      </w:r>
      <w:r w:rsidRPr="00EF4EE2">
        <w:t xml:space="preserve">. Should you wish to discuss any of the issues raised in this submission further, please do not hesitate to contact me at: </w:t>
      </w:r>
      <w:hyperlink r:id="rId21" w:history="1">
        <w:r w:rsidRPr="009C74CC">
          <w:rPr>
            <w:rStyle w:val="Hyperlink"/>
          </w:rPr>
          <w:t>con.gouskos@accan.org.au</w:t>
        </w:r>
      </w:hyperlink>
      <w:r w:rsidRPr="00EF4EE2">
        <w:t>.</w:t>
      </w:r>
    </w:p>
    <w:p w14:paraId="7830EC13" w14:textId="4D4A3E70" w:rsidR="00EF4EE2" w:rsidRDefault="00EF4EE2" w:rsidP="00C74C7C">
      <w:r>
        <w:t xml:space="preserve">Yours sincerely, </w:t>
      </w:r>
    </w:p>
    <w:p w14:paraId="3A36F9F2" w14:textId="111DE547" w:rsidR="00AE6DEC" w:rsidRPr="00A263E5" w:rsidRDefault="00EF4EE2" w:rsidP="0091780A">
      <w:pPr>
        <w:spacing w:after="0" w:line="240" w:lineRule="auto"/>
      </w:pPr>
      <w:r>
        <w:t>Con Gouskos</w:t>
      </w:r>
    </w:p>
    <w:p w14:paraId="174741CF" w14:textId="012F34D5" w:rsidR="00AE6DEC" w:rsidRDefault="00EF4EE2" w:rsidP="0091780A">
      <w:pPr>
        <w:spacing w:after="0" w:line="240" w:lineRule="auto"/>
      </w:pPr>
      <w:r>
        <w:t xml:space="preserve">Policy </w:t>
      </w:r>
      <w:r w:rsidR="00507E34">
        <w:t xml:space="preserve">Adviser </w:t>
      </w:r>
    </w:p>
    <w:p w14:paraId="20593B5E" w14:textId="77777777" w:rsidR="00D52F25" w:rsidRPr="00A263E5" w:rsidRDefault="00D52F25" w:rsidP="0091780A">
      <w:pPr>
        <w:spacing w:after="0" w:line="240" w:lineRule="auto"/>
      </w:pPr>
    </w:p>
    <w:p w14:paraId="23B47359" w14:textId="15C8F18C" w:rsidR="00DC13F4" w:rsidRDefault="00BA4AB0" w:rsidP="005471BA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  <w:r w:rsidR="00F2638F">
        <w:t xml:space="preserve"> </w:t>
      </w:r>
      <w:r w:rsidR="007A2389">
        <w:t xml:space="preserve">ACCAN is committed to reconciliation that acknowledges Australia’s past and values the unique culture and heritage of Aboriginal and Torres Strait Islander peoples.  </w:t>
      </w:r>
      <w:hyperlink r:id="rId22" w:history="1">
        <w:r w:rsidR="007A2389">
          <w:rPr>
            <w:rStyle w:val="Hyperlink"/>
          </w:rPr>
          <w:t>Read our RAP</w:t>
        </w:r>
      </w:hyperlink>
    </w:p>
    <w:sectPr w:rsidR="00DC13F4" w:rsidSect="008E7219">
      <w:headerReference w:type="default" r:id="rId23"/>
      <w:footerReference w:type="default" r:id="rId24"/>
      <w:footerReference w:type="first" r:id="rId25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B0FF4" w14:textId="77777777" w:rsidR="008E7219" w:rsidRDefault="008E7219">
      <w:pPr>
        <w:spacing w:after="0" w:line="240" w:lineRule="auto"/>
      </w:pPr>
      <w:r>
        <w:separator/>
      </w:r>
    </w:p>
  </w:endnote>
  <w:endnote w:type="continuationSeparator" w:id="0">
    <w:p w14:paraId="53ED4810" w14:textId="77777777" w:rsidR="008E7219" w:rsidRDefault="008E7219">
      <w:pPr>
        <w:spacing w:after="0" w:line="240" w:lineRule="auto"/>
      </w:pPr>
      <w:r>
        <w:continuationSeparator/>
      </w:r>
    </w:p>
  </w:endnote>
  <w:endnote w:type="continuationNotice" w:id="1">
    <w:p w14:paraId="7E00C907" w14:textId="77777777" w:rsidR="008E7219" w:rsidRDefault="008E72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CE8850-1723-4AEA-8AD4-9B6F34B24216}"/>
    <w:embedBold r:id="rId2" w:fontKey="{789F5230-0C53-4E36-B71E-7838A6FB5AA9}"/>
    <w:embedItalic r:id="rId3" w:fontKey="{2A895A52-8460-4F11-9C04-F869378B675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B975648-367C-406A-BC4A-628FF1C3938A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88B91F72-5000-4064-BA60-9E0C461D3EE1}"/>
    <w:embedBoldItalic r:id="rId6" w:fontKey="{2CC2F7C5-4A8D-4793-BA17-5F87308E92F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734B9BE2-D640-4794-A775-C4B60AD94844}"/>
    <w:embedBoldItalic r:id="rId8" w:fontKey="{B3075C78-B935-46C3-BBC8-16BD2F2CFF22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492412D-F1B2-4A60-87FC-45EE0F16AC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14:paraId="32313D05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2536057"/>
      <w:docPartObj>
        <w:docPartGallery w:val="Page Numbers (Bottom of Page)"/>
        <w:docPartUnique/>
      </w:docPartObj>
    </w:sdtPr>
    <w:sdtEndPr/>
    <w:sdtContent>
      <w:p w14:paraId="3681DB1B" w14:textId="77777777" w:rsidR="00D560F9" w:rsidRPr="00A72DB0" w:rsidRDefault="00D560F9" w:rsidP="009236CD">
        <w:pPr>
          <w:pStyle w:val="Letterhead1"/>
        </w:pPr>
        <w:r w:rsidRPr="00A72DB0">
          <w:rPr>
            <w:color w:val="2B579A"/>
            <w:shd w:val="clear" w:color="auto" w:fill="E6E6E6"/>
          </w:rPr>
          <w:fldChar w:fldCharType="begin"/>
        </w:r>
        <w:r w:rsidRPr="00A72DB0">
          <w:instrText xml:space="preserve"> PAGE   \* MERGEFORMAT </w:instrText>
        </w:r>
        <w:r w:rsidRPr="00A72DB0">
          <w:rPr>
            <w:color w:val="2B579A"/>
            <w:shd w:val="clear" w:color="auto" w:fill="E6E6E6"/>
          </w:rPr>
          <w:fldChar w:fldCharType="separate"/>
        </w:r>
        <w:r w:rsidRPr="00A72DB0">
          <w:t>2</w:t>
        </w:r>
        <w:r w:rsidRPr="00A72DB0">
          <w:rPr>
            <w:color w:val="2B579A"/>
            <w:shd w:val="clear" w:color="auto" w:fill="E6E6E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6E21C3" w14:textId="77777777" w:rsidR="008E7219" w:rsidRDefault="008E7219">
      <w:pPr>
        <w:spacing w:after="0" w:line="240" w:lineRule="auto"/>
      </w:pPr>
      <w:r>
        <w:separator/>
      </w:r>
    </w:p>
  </w:footnote>
  <w:footnote w:type="continuationSeparator" w:id="0">
    <w:p w14:paraId="280651DD" w14:textId="77777777" w:rsidR="008E7219" w:rsidRDefault="008E7219">
      <w:pPr>
        <w:spacing w:after="0" w:line="240" w:lineRule="auto"/>
      </w:pPr>
      <w:r>
        <w:continuationSeparator/>
      </w:r>
    </w:p>
  </w:footnote>
  <w:footnote w:type="continuationNotice" w:id="1">
    <w:p w14:paraId="530C91A9" w14:textId="77777777" w:rsidR="008E7219" w:rsidRDefault="008E7219">
      <w:pPr>
        <w:spacing w:after="0" w:line="240" w:lineRule="auto"/>
      </w:pPr>
    </w:p>
  </w:footnote>
  <w:footnote w:id="2">
    <w:p w14:paraId="72ACA0FF" w14:textId="77777777" w:rsidR="00A1709C" w:rsidRPr="008964D6" w:rsidRDefault="00A1709C" w:rsidP="00A1709C">
      <w:pPr>
        <w:pStyle w:val="FootnoteText"/>
        <w:rPr>
          <w:sz w:val="16"/>
          <w:szCs w:val="16"/>
        </w:rPr>
      </w:pPr>
      <w:r w:rsidRPr="008964D6">
        <w:rPr>
          <w:rStyle w:val="FootnoteReference"/>
          <w:sz w:val="16"/>
          <w:szCs w:val="16"/>
        </w:rPr>
        <w:footnoteRef/>
      </w:r>
      <w:r w:rsidRPr="008964D6">
        <w:rPr>
          <w:sz w:val="16"/>
          <w:szCs w:val="16"/>
        </w:rPr>
        <w:t xml:space="preserve"> ACMA</w:t>
      </w:r>
      <w:r>
        <w:rPr>
          <w:sz w:val="16"/>
          <w:szCs w:val="16"/>
        </w:rPr>
        <w:t xml:space="preserve">, </w:t>
      </w:r>
      <w:r w:rsidRPr="00777878">
        <w:rPr>
          <w:i/>
          <w:iCs/>
          <w:sz w:val="16"/>
          <w:szCs w:val="16"/>
        </w:rPr>
        <w:t>Draft Five-year spectrum outlook 2024-29</w:t>
      </w:r>
      <w:r>
        <w:rPr>
          <w:sz w:val="16"/>
          <w:szCs w:val="16"/>
        </w:rPr>
        <w:t xml:space="preserve"> (Consultation Paper, March 2024) 9. </w:t>
      </w:r>
    </w:p>
  </w:footnote>
  <w:footnote w:id="3">
    <w:p w14:paraId="71EC71E2" w14:textId="107E6048" w:rsidR="006A6FE3" w:rsidRPr="008964D6" w:rsidRDefault="006A6FE3" w:rsidP="00953638">
      <w:pPr>
        <w:pStyle w:val="FootnoteText"/>
        <w:rPr>
          <w:sz w:val="16"/>
          <w:szCs w:val="16"/>
        </w:rPr>
      </w:pPr>
      <w:r w:rsidRPr="008964D6">
        <w:rPr>
          <w:rStyle w:val="FootnoteReference"/>
          <w:sz w:val="16"/>
          <w:szCs w:val="16"/>
        </w:rPr>
        <w:footnoteRef/>
      </w:r>
      <w:r w:rsidRPr="008964D6">
        <w:rPr>
          <w:sz w:val="16"/>
          <w:szCs w:val="16"/>
        </w:rPr>
        <w:t xml:space="preserve"> ACCAN’s </w:t>
      </w:r>
      <w:r w:rsidR="00D1418A">
        <w:rPr>
          <w:sz w:val="16"/>
          <w:szCs w:val="16"/>
        </w:rPr>
        <w:t xml:space="preserve">previous submission on </w:t>
      </w:r>
      <w:r w:rsidR="0043737A">
        <w:rPr>
          <w:sz w:val="16"/>
          <w:szCs w:val="16"/>
        </w:rPr>
        <w:t xml:space="preserve">expiring spectrum licences supports </w:t>
      </w:r>
      <w:r w:rsidR="00144952" w:rsidRPr="008964D6">
        <w:rPr>
          <w:sz w:val="16"/>
          <w:szCs w:val="16"/>
        </w:rPr>
        <w:t>the ACMA limiting the use of licensing terms in excess of 10 years.</w:t>
      </w:r>
      <w:r w:rsidR="00992556">
        <w:rPr>
          <w:sz w:val="16"/>
          <w:szCs w:val="16"/>
        </w:rPr>
        <w:t xml:space="preserve"> See,</w:t>
      </w:r>
      <w:r w:rsidR="00144952" w:rsidRPr="008964D6">
        <w:rPr>
          <w:sz w:val="16"/>
          <w:szCs w:val="16"/>
        </w:rPr>
        <w:t xml:space="preserve"> ACCAN</w:t>
      </w:r>
      <w:r w:rsidR="005006B6">
        <w:rPr>
          <w:sz w:val="16"/>
          <w:szCs w:val="16"/>
        </w:rPr>
        <w:t xml:space="preserve">, </w:t>
      </w:r>
      <w:r w:rsidR="00D572BF">
        <w:rPr>
          <w:sz w:val="16"/>
          <w:szCs w:val="16"/>
        </w:rPr>
        <w:t>‘</w:t>
      </w:r>
      <w:r w:rsidR="005006B6">
        <w:rPr>
          <w:sz w:val="16"/>
          <w:szCs w:val="16"/>
        </w:rPr>
        <w:t>Proposed approach to expiring spectrum licences</w:t>
      </w:r>
      <w:r w:rsidR="00D572BF">
        <w:rPr>
          <w:sz w:val="16"/>
          <w:szCs w:val="16"/>
        </w:rPr>
        <w:t xml:space="preserve">’ (Submission to </w:t>
      </w:r>
      <w:r w:rsidR="00123AE4">
        <w:rPr>
          <w:sz w:val="16"/>
          <w:szCs w:val="16"/>
        </w:rPr>
        <w:t>ACMA</w:t>
      </w:r>
      <w:r w:rsidR="00953638">
        <w:rPr>
          <w:sz w:val="16"/>
          <w:szCs w:val="16"/>
        </w:rPr>
        <w:t>, 7 August 2023) 2.</w:t>
      </w:r>
      <w:r w:rsidRPr="008964D6">
        <w:rPr>
          <w:sz w:val="16"/>
          <w:szCs w:val="16"/>
        </w:rPr>
        <w:t xml:space="preserve"> </w:t>
      </w:r>
    </w:p>
  </w:footnote>
  <w:footnote w:id="4">
    <w:p w14:paraId="0DE5F826" w14:textId="5B405A8F" w:rsidR="004A575D" w:rsidRDefault="004A575D">
      <w:pPr>
        <w:pStyle w:val="FootnoteText"/>
      </w:pPr>
      <w:r w:rsidRPr="008964D6">
        <w:rPr>
          <w:rStyle w:val="FootnoteReference"/>
          <w:sz w:val="16"/>
          <w:szCs w:val="16"/>
        </w:rPr>
        <w:footnoteRef/>
      </w:r>
      <w:r w:rsidRPr="008964D6">
        <w:rPr>
          <w:sz w:val="16"/>
          <w:szCs w:val="16"/>
        </w:rPr>
        <w:t xml:space="preserve"> </w:t>
      </w:r>
      <w:r w:rsidR="00EB00CB">
        <w:rPr>
          <w:sz w:val="16"/>
          <w:szCs w:val="16"/>
        </w:rPr>
        <w:t>Ibid</w:t>
      </w:r>
      <w:r w:rsidR="00DA5F86">
        <w:rPr>
          <w:sz w:val="16"/>
          <w:szCs w:val="16"/>
        </w:rPr>
        <w:t xml:space="preserve"> </w:t>
      </w:r>
      <w:r w:rsidR="00EB00CB">
        <w:rPr>
          <w:sz w:val="16"/>
          <w:szCs w:val="16"/>
        </w:rPr>
        <w:t xml:space="preserve">9. </w:t>
      </w:r>
    </w:p>
  </w:footnote>
  <w:footnote w:id="5">
    <w:p w14:paraId="46FC29F6" w14:textId="4A70E4D1" w:rsidR="000F6131" w:rsidRPr="00393078" w:rsidRDefault="000F6131">
      <w:pPr>
        <w:pStyle w:val="FootnoteText"/>
        <w:rPr>
          <w:sz w:val="16"/>
          <w:szCs w:val="16"/>
        </w:rPr>
      </w:pPr>
      <w:r w:rsidRPr="00393078">
        <w:rPr>
          <w:rStyle w:val="FootnoteReference"/>
          <w:sz w:val="16"/>
          <w:szCs w:val="16"/>
        </w:rPr>
        <w:footnoteRef/>
      </w:r>
      <w:r w:rsidRPr="00393078">
        <w:rPr>
          <w:sz w:val="16"/>
          <w:szCs w:val="16"/>
        </w:rPr>
        <w:t xml:space="preserve"> </w:t>
      </w:r>
      <w:r w:rsidR="00334778" w:rsidRPr="00393078">
        <w:rPr>
          <w:sz w:val="16"/>
          <w:szCs w:val="16"/>
        </w:rPr>
        <w:t xml:space="preserve">ACMA, </w:t>
      </w:r>
      <w:r w:rsidR="00334778" w:rsidRPr="00393078">
        <w:rPr>
          <w:i/>
          <w:iCs/>
          <w:sz w:val="16"/>
          <w:szCs w:val="16"/>
        </w:rPr>
        <w:t>Draft Five-year spectrum outlook 2024-29</w:t>
      </w:r>
      <w:r w:rsidR="00334778" w:rsidRPr="00393078">
        <w:rPr>
          <w:sz w:val="16"/>
          <w:szCs w:val="16"/>
        </w:rPr>
        <w:t xml:space="preserve"> (Consultation Paper, March 2024) </w:t>
      </w:r>
      <w:r w:rsidR="00123AE4" w:rsidRPr="00393078">
        <w:rPr>
          <w:sz w:val="16"/>
          <w:szCs w:val="16"/>
        </w:rPr>
        <w:t>65</w:t>
      </w:r>
      <w:r w:rsidR="00334778" w:rsidRPr="00393078">
        <w:rPr>
          <w:sz w:val="16"/>
          <w:szCs w:val="16"/>
        </w:rPr>
        <w:t xml:space="preserve">. </w:t>
      </w:r>
    </w:p>
  </w:footnote>
  <w:footnote w:id="6">
    <w:p w14:paraId="644FB38B" w14:textId="680706BB" w:rsidR="00040DF2" w:rsidRPr="00393078" w:rsidRDefault="00040DF2">
      <w:pPr>
        <w:pStyle w:val="FootnoteText"/>
        <w:rPr>
          <w:sz w:val="16"/>
          <w:szCs w:val="16"/>
        </w:rPr>
      </w:pPr>
      <w:r w:rsidRPr="00393078">
        <w:rPr>
          <w:rStyle w:val="FootnoteReference"/>
          <w:sz w:val="16"/>
          <w:szCs w:val="16"/>
        </w:rPr>
        <w:footnoteRef/>
      </w:r>
      <w:r w:rsidRPr="00393078">
        <w:rPr>
          <w:sz w:val="16"/>
          <w:szCs w:val="16"/>
        </w:rPr>
        <w:t xml:space="preserve"> </w:t>
      </w:r>
      <w:r w:rsidR="006E12F7" w:rsidRPr="00393078">
        <w:rPr>
          <w:sz w:val="16"/>
          <w:szCs w:val="16"/>
        </w:rPr>
        <w:t>Ibid</w:t>
      </w:r>
      <w:r w:rsidR="00123AE4" w:rsidRPr="00393078">
        <w:rPr>
          <w:sz w:val="16"/>
          <w:szCs w:val="16"/>
        </w:rPr>
        <w:t xml:space="preserve"> </w:t>
      </w:r>
      <w:r w:rsidR="006E12F7" w:rsidRPr="00393078">
        <w:rPr>
          <w:sz w:val="16"/>
          <w:szCs w:val="16"/>
        </w:rPr>
        <w:t xml:space="preserve">79. </w:t>
      </w:r>
      <w:r w:rsidR="00EB00CB" w:rsidRPr="00393078">
        <w:rPr>
          <w:sz w:val="16"/>
          <w:szCs w:val="16"/>
        </w:rPr>
        <w:t xml:space="preserve"> </w:t>
      </w:r>
    </w:p>
  </w:footnote>
  <w:footnote w:id="7">
    <w:p w14:paraId="0B1EB495" w14:textId="709A27D8" w:rsidR="00040DF2" w:rsidRPr="00393078" w:rsidRDefault="00040DF2">
      <w:pPr>
        <w:pStyle w:val="FootnoteText"/>
        <w:rPr>
          <w:sz w:val="16"/>
          <w:szCs w:val="16"/>
        </w:rPr>
      </w:pPr>
      <w:r w:rsidRPr="00393078">
        <w:rPr>
          <w:rStyle w:val="FootnoteReference"/>
          <w:sz w:val="16"/>
          <w:szCs w:val="16"/>
        </w:rPr>
        <w:footnoteRef/>
      </w:r>
      <w:r w:rsidRPr="00393078">
        <w:rPr>
          <w:sz w:val="16"/>
          <w:szCs w:val="16"/>
        </w:rPr>
        <w:t xml:space="preserve"> </w:t>
      </w:r>
      <w:r w:rsidR="006E12F7" w:rsidRPr="00393078">
        <w:rPr>
          <w:sz w:val="16"/>
          <w:szCs w:val="16"/>
        </w:rPr>
        <w:t>Ibid</w:t>
      </w:r>
      <w:r w:rsidR="00123AE4" w:rsidRPr="00393078">
        <w:rPr>
          <w:sz w:val="16"/>
          <w:szCs w:val="16"/>
        </w:rPr>
        <w:t xml:space="preserve"> </w:t>
      </w:r>
      <w:r w:rsidR="006E12F7" w:rsidRPr="00393078">
        <w:rPr>
          <w:sz w:val="16"/>
          <w:szCs w:val="16"/>
        </w:rPr>
        <w:t xml:space="preserve">79. </w:t>
      </w:r>
      <w:r w:rsidR="00EB00CB" w:rsidRPr="00393078">
        <w:rPr>
          <w:sz w:val="16"/>
          <w:szCs w:val="16"/>
        </w:rPr>
        <w:t xml:space="preserve"> </w:t>
      </w:r>
    </w:p>
  </w:footnote>
  <w:footnote w:id="8">
    <w:p w14:paraId="4D9F77F9" w14:textId="64F78998" w:rsidR="00126EC3" w:rsidRDefault="00126EC3">
      <w:pPr>
        <w:pStyle w:val="FootnoteText"/>
      </w:pPr>
      <w:r w:rsidRPr="00393078">
        <w:rPr>
          <w:rStyle w:val="FootnoteReference"/>
          <w:sz w:val="16"/>
          <w:szCs w:val="16"/>
        </w:rPr>
        <w:footnoteRef/>
      </w:r>
      <w:r w:rsidRPr="00393078">
        <w:rPr>
          <w:sz w:val="16"/>
          <w:szCs w:val="16"/>
        </w:rPr>
        <w:t xml:space="preserve"> </w:t>
      </w:r>
      <w:r w:rsidR="006E12F7" w:rsidRPr="00393078">
        <w:rPr>
          <w:sz w:val="16"/>
          <w:szCs w:val="16"/>
        </w:rPr>
        <w:t>Ibid</w:t>
      </w:r>
      <w:r w:rsidR="00123AE4" w:rsidRPr="00393078">
        <w:rPr>
          <w:sz w:val="16"/>
          <w:szCs w:val="16"/>
        </w:rPr>
        <w:t xml:space="preserve"> </w:t>
      </w:r>
      <w:r w:rsidR="006E12F7" w:rsidRPr="00393078">
        <w:rPr>
          <w:sz w:val="16"/>
          <w:szCs w:val="16"/>
        </w:rPr>
        <w:t>65.</w:t>
      </w:r>
      <w:r w:rsidR="006E12F7">
        <w:rPr>
          <w:sz w:val="16"/>
          <w:szCs w:val="16"/>
        </w:rPr>
        <w:t xml:space="preserve"> </w:t>
      </w:r>
      <w:r w:rsidR="00EB00CB">
        <w:rPr>
          <w:sz w:val="16"/>
          <w:szCs w:val="16"/>
        </w:rPr>
        <w:t xml:space="preserve"> </w:t>
      </w:r>
      <w:r w:rsidRPr="00126EC3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B88D3" w14:textId="77777777" w:rsidR="00200982" w:rsidRPr="00AD3EFC" w:rsidRDefault="00AD3EFC" w:rsidP="00CB1B60">
    <w:pPr>
      <w:pStyle w:val="Letterhead2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2B8309B4" wp14:editId="5D18057F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D97C16F" wp14:editId="41E4B988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1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1AD29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079170F9"/>
    <w:multiLevelType w:val="hybridMultilevel"/>
    <w:tmpl w:val="A9A0D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00294"/>
    <w:multiLevelType w:val="hybridMultilevel"/>
    <w:tmpl w:val="03841E2C"/>
    <w:lvl w:ilvl="0" w:tplc="C1C42364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37C5FB2"/>
    <w:multiLevelType w:val="multilevel"/>
    <w:tmpl w:val="6AFEEB4C"/>
    <w:numStyleLink w:val="Bullets"/>
  </w:abstractNum>
  <w:abstractNum w:abstractNumId="13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374C28B3"/>
    <w:multiLevelType w:val="hybridMultilevel"/>
    <w:tmpl w:val="ED406E76"/>
    <w:lvl w:ilvl="0" w:tplc="45E49D0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6"/>
  </w:num>
  <w:num w:numId="2" w16cid:durableId="1309937645">
    <w:abstractNumId w:val="19"/>
  </w:num>
  <w:num w:numId="3" w16cid:durableId="1363020806">
    <w:abstractNumId w:val="14"/>
  </w:num>
  <w:num w:numId="4" w16cid:durableId="239025159">
    <w:abstractNumId w:val="9"/>
  </w:num>
  <w:num w:numId="5" w16cid:durableId="2094617308">
    <w:abstractNumId w:val="0"/>
  </w:num>
  <w:num w:numId="6" w16cid:durableId="986864448">
    <w:abstractNumId w:val="31"/>
  </w:num>
  <w:num w:numId="7" w16cid:durableId="204946168">
    <w:abstractNumId w:val="4"/>
  </w:num>
  <w:num w:numId="8" w16cid:durableId="455099623">
    <w:abstractNumId w:val="24"/>
  </w:num>
  <w:num w:numId="9" w16cid:durableId="1137186840">
    <w:abstractNumId w:val="29"/>
  </w:num>
  <w:num w:numId="10" w16cid:durableId="777330096">
    <w:abstractNumId w:val="8"/>
  </w:num>
  <w:num w:numId="11" w16cid:durableId="1249999174">
    <w:abstractNumId w:val="33"/>
  </w:num>
  <w:num w:numId="12" w16cid:durableId="557977458">
    <w:abstractNumId w:val="11"/>
  </w:num>
  <w:num w:numId="13" w16cid:durableId="1941254348">
    <w:abstractNumId w:val="27"/>
  </w:num>
  <w:num w:numId="14" w16cid:durableId="906915118">
    <w:abstractNumId w:val="30"/>
  </w:num>
  <w:num w:numId="15" w16cid:durableId="1170877089">
    <w:abstractNumId w:val="22"/>
  </w:num>
  <w:num w:numId="16" w16cid:durableId="146635364">
    <w:abstractNumId w:val="18"/>
  </w:num>
  <w:num w:numId="17" w16cid:durableId="1411393860">
    <w:abstractNumId w:val="16"/>
  </w:num>
  <w:num w:numId="18" w16cid:durableId="654381262">
    <w:abstractNumId w:val="25"/>
  </w:num>
  <w:num w:numId="19" w16cid:durableId="226838686">
    <w:abstractNumId w:val="20"/>
  </w:num>
  <w:num w:numId="20" w16cid:durableId="480970995">
    <w:abstractNumId w:val="17"/>
  </w:num>
  <w:num w:numId="21" w16cid:durableId="1312520820">
    <w:abstractNumId w:val="35"/>
  </w:num>
  <w:num w:numId="22" w16cid:durableId="1253125788">
    <w:abstractNumId w:val="32"/>
  </w:num>
  <w:num w:numId="23" w16cid:durableId="699430088">
    <w:abstractNumId w:val="28"/>
  </w:num>
  <w:num w:numId="24" w16cid:durableId="351348626">
    <w:abstractNumId w:val="23"/>
  </w:num>
  <w:num w:numId="25" w16cid:durableId="1908613085">
    <w:abstractNumId w:val="5"/>
  </w:num>
  <w:num w:numId="26" w16cid:durableId="706226158">
    <w:abstractNumId w:val="7"/>
  </w:num>
  <w:num w:numId="27" w16cid:durableId="1278414560">
    <w:abstractNumId w:val="6"/>
  </w:num>
  <w:num w:numId="28" w16cid:durableId="758254510">
    <w:abstractNumId w:val="21"/>
  </w:num>
  <w:num w:numId="29" w16cid:durableId="473834808">
    <w:abstractNumId w:val="3"/>
  </w:num>
  <w:num w:numId="30" w16cid:durableId="1203983130">
    <w:abstractNumId w:val="34"/>
  </w:num>
  <w:num w:numId="31" w16cid:durableId="1014308645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10"/>
  </w:num>
  <w:num w:numId="34" w16cid:durableId="1705908320">
    <w:abstractNumId w:val="12"/>
  </w:num>
  <w:num w:numId="35" w16cid:durableId="2495120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3"/>
  </w:num>
  <w:num w:numId="37" w16cid:durableId="1281185398">
    <w:abstractNumId w:val="15"/>
  </w:num>
  <w:num w:numId="38" w16cid:durableId="1461803360">
    <w:abstractNumId w:val="1"/>
  </w:num>
  <w:num w:numId="39" w16cid:durableId="10370453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9E0"/>
    <w:rsid w:val="00002592"/>
    <w:rsid w:val="00002A84"/>
    <w:rsid w:val="000039D9"/>
    <w:rsid w:val="00005664"/>
    <w:rsid w:val="00006849"/>
    <w:rsid w:val="00006C00"/>
    <w:rsid w:val="000130E1"/>
    <w:rsid w:val="00014E08"/>
    <w:rsid w:val="00015E75"/>
    <w:rsid w:val="0001751C"/>
    <w:rsid w:val="00017FF5"/>
    <w:rsid w:val="00020140"/>
    <w:rsid w:val="00020368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3351"/>
    <w:rsid w:val="000341DA"/>
    <w:rsid w:val="000345B4"/>
    <w:rsid w:val="000362DE"/>
    <w:rsid w:val="00040DF2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442D"/>
    <w:rsid w:val="00065456"/>
    <w:rsid w:val="00065F2F"/>
    <w:rsid w:val="00066C39"/>
    <w:rsid w:val="00066CD4"/>
    <w:rsid w:val="0007155A"/>
    <w:rsid w:val="00072C5D"/>
    <w:rsid w:val="00074521"/>
    <w:rsid w:val="00075C32"/>
    <w:rsid w:val="00076B23"/>
    <w:rsid w:val="00077240"/>
    <w:rsid w:val="0008068C"/>
    <w:rsid w:val="00082969"/>
    <w:rsid w:val="00082DF9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A650C"/>
    <w:rsid w:val="000B11EF"/>
    <w:rsid w:val="000B1A78"/>
    <w:rsid w:val="000B2023"/>
    <w:rsid w:val="000B2C45"/>
    <w:rsid w:val="000B7682"/>
    <w:rsid w:val="000C07F4"/>
    <w:rsid w:val="000C0CE3"/>
    <w:rsid w:val="000C231C"/>
    <w:rsid w:val="000C4027"/>
    <w:rsid w:val="000C463F"/>
    <w:rsid w:val="000C5BAA"/>
    <w:rsid w:val="000C7431"/>
    <w:rsid w:val="000C7E8B"/>
    <w:rsid w:val="000D17E4"/>
    <w:rsid w:val="000D18A2"/>
    <w:rsid w:val="000D3E83"/>
    <w:rsid w:val="000D3F85"/>
    <w:rsid w:val="000D5255"/>
    <w:rsid w:val="000D67CC"/>
    <w:rsid w:val="000D6C9F"/>
    <w:rsid w:val="000E0A5E"/>
    <w:rsid w:val="000E1593"/>
    <w:rsid w:val="000E2A17"/>
    <w:rsid w:val="000E2B80"/>
    <w:rsid w:val="000E5CAE"/>
    <w:rsid w:val="000E624D"/>
    <w:rsid w:val="000F0991"/>
    <w:rsid w:val="000F0EDF"/>
    <w:rsid w:val="000F21D4"/>
    <w:rsid w:val="000F3349"/>
    <w:rsid w:val="000F3856"/>
    <w:rsid w:val="000F55EA"/>
    <w:rsid w:val="000F6131"/>
    <w:rsid w:val="000F764C"/>
    <w:rsid w:val="00103999"/>
    <w:rsid w:val="00103DAC"/>
    <w:rsid w:val="00104DAD"/>
    <w:rsid w:val="001050E4"/>
    <w:rsid w:val="00106AEC"/>
    <w:rsid w:val="00111F02"/>
    <w:rsid w:val="00113465"/>
    <w:rsid w:val="00113711"/>
    <w:rsid w:val="0011395F"/>
    <w:rsid w:val="00113AE0"/>
    <w:rsid w:val="001217E2"/>
    <w:rsid w:val="001217FD"/>
    <w:rsid w:val="00121D47"/>
    <w:rsid w:val="00122DD1"/>
    <w:rsid w:val="00123AE4"/>
    <w:rsid w:val="00124F88"/>
    <w:rsid w:val="00125060"/>
    <w:rsid w:val="00126183"/>
    <w:rsid w:val="0012626F"/>
    <w:rsid w:val="0012636E"/>
    <w:rsid w:val="0012663D"/>
    <w:rsid w:val="00126EC3"/>
    <w:rsid w:val="001270D6"/>
    <w:rsid w:val="00127420"/>
    <w:rsid w:val="001275E7"/>
    <w:rsid w:val="001302CA"/>
    <w:rsid w:val="00130BA9"/>
    <w:rsid w:val="00130E70"/>
    <w:rsid w:val="00132365"/>
    <w:rsid w:val="00134BAC"/>
    <w:rsid w:val="00135C01"/>
    <w:rsid w:val="00136E66"/>
    <w:rsid w:val="00137C51"/>
    <w:rsid w:val="00144952"/>
    <w:rsid w:val="00145394"/>
    <w:rsid w:val="001464AA"/>
    <w:rsid w:val="00147139"/>
    <w:rsid w:val="00150873"/>
    <w:rsid w:val="001514F8"/>
    <w:rsid w:val="0015159F"/>
    <w:rsid w:val="00151EAB"/>
    <w:rsid w:val="001521B0"/>
    <w:rsid w:val="001531E7"/>
    <w:rsid w:val="00153309"/>
    <w:rsid w:val="001537A7"/>
    <w:rsid w:val="001605C9"/>
    <w:rsid w:val="001607EA"/>
    <w:rsid w:val="001617F8"/>
    <w:rsid w:val="00161B2B"/>
    <w:rsid w:val="001623E5"/>
    <w:rsid w:val="00163200"/>
    <w:rsid w:val="00163B56"/>
    <w:rsid w:val="001655A2"/>
    <w:rsid w:val="001662E0"/>
    <w:rsid w:val="00167714"/>
    <w:rsid w:val="0017083D"/>
    <w:rsid w:val="00171821"/>
    <w:rsid w:val="00172EA2"/>
    <w:rsid w:val="001730E0"/>
    <w:rsid w:val="00174651"/>
    <w:rsid w:val="001754ED"/>
    <w:rsid w:val="001766A1"/>
    <w:rsid w:val="001828D8"/>
    <w:rsid w:val="00184FE1"/>
    <w:rsid w:val="00185442"/>
    <w:rsid w:val="00186E89"/>
    <w:rsid w:val="0019340F"/>
    <w:rsid w:val="00193DB9"/>
    <w:rsid w:val="0019461C"/>
    <w:rsid w:val="001948E0"/>
    <w:rsid w:val="00195323"/>
    <w:rsid w:val="0019567C"/>
    <w:rsid w:val="00196FE2"/>
    <w:rsid w:val="001A0171"/>
    <w:rsid w:val="001A2736"/>
    <w:rsid w:val="001A2BA5"/>
    <w:rsid w:val="001A3380"/>
    <w:rsid w:val="001A3EF6"/>
    <w:rsid w:val="001A40FF"/>
    <w:rsid w:val="001A5738"/>
    <w:rsid w:val="001A5ACB"/>
    <w:rsid w:val="001A60E4"/>
    <w:rsid w:val="001A73AD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3FD1"/>
    <w:rsid w:val="001D5C22"/>
    <w:rsid w:val="001D6BAB"/>
    <w:rsid w:val="001D6F9E"/>
    <w:rsid w:val="001D7A1B"/>
    <w:rsid w:val="001E1AE7"/>
    <w:rsid w:val="001E3CC3"/>
    <w:rsid w:val="001E4B68"/>
    <w:rsid w:val="001E6836"/>
    <w:rsid w:val="001E7889"/>
    <w:rsid w:val="001F013B"/>
    <w:rsid w:val="001F3911"/>
    <w:rsid w:val="001F7374"/>
    <w:rsid w:val="001F77F6"/>
    <w:rsid w:val="0020028A"/>
    <w:rsid w:val="00200982"/>
    <w:rsid w:val="00200E4A"/>
    <w:rsid w:val="00207BED"/>
    <w:rsid w:val="00207CAA"/>
    <w:rsid w:val="00207EC8"/>
    <w:rsid w:val="00211174"/>
    <w:rsid w:val="002118F3"/>
    <w:rsid w:val="00213211"/>
    <w:rsid w:val="002140FC"/>
    <w:rsid w:val="0021413E"/>
    <w:rsid w:val="0021558D"/>
    <w:rsid w:val="0022349B"/>
    <w:rsid w:val="00230C69"/>
    <w:rsid w:val="002366E4"/>
    <w:rsid w:val="002368E1"/>
    <w:rsid w:val="00237D88"/>
    <w:rsid w:val="0024025D"/>
    <w:rsid w:val="002412A0"/>
    <w:rsid w:val="002443C7"/>
    <w:rsid w:val="002446C4"/>
    <w:rsid w:val="00244FE0"/>
    <w:rsid w:val="00245265"/>
    <w:rsid w:val="00251782"/>
    <w:rsid w:val="00252148"/>
    <w:rsid w:val="00252E5E"/>
    <w:rsid w:val="002552CE"/>
    <w:rsid w:val="002567BC"/>
    <w:rsid w:val="0026030A"/>
    <w:rsid w:val="00260397"/>
    <w:rsid w:val="00261658"/>
    <w:rsid w:val="00261BA9"/>
    <w:rsid w:val="0026420E"/>
    <w:rsid w:val="00265CB6"/>
    <w:rsid w:val="0026652F"/>
    <w:rsid w:val="0026705E"/>
    <w:rsid w:val="0027168A"/>
    <w:rsid w:val="002718A5"/>
    <w:rsid w:val="00272512"/>
    <w:rsid w:val="00272A25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40CC"/>
    <w:rsid w:val="00284A70"/>
    <w:rsid w:val="002855A8"/>
    <w:rsid w:val="002856E4"/>
    <w:rsid w:val="00287059"/>
    <w:rsid w:val="0028734E"/>
    <w:rsid w:val="00294208"/>
    <w:rsid w:val="00296D2D"/>
    <w:rsid w:val="00296FA3"/>
    <w:rsid w:val="002A1728"/>
    <w:rsid w:val="002A465A"/>
    <w:rsid w:val="002A5374"/>
    <w:rsid w:val="002A6483"/>
    <w:rsid w:val="002B0920"/>
    <w:rsid w:val="002B429F"/>
    <w:rsid w:val="002C0F6F"/>
    <w:rsid w:val="002C21D2"/>
    <w:rsid w:val="002C30D3"/>
    <w:rsid w:val="002C3167"/>
    <w:rsid w:val="002C58B8"/>
    <w:rsid w:val="002C7F9B"/>
    <w:rsid w:val="002D0309"/>
    <w:rsid w:val="002D0E21"/>
    <w:rsid w:val="002D1707"/>
    <w:rsid w:val="002D18C5"/>
    <w:rsid w:val="002D4F77"/>
    <w:rsid w:val="002D53BE"/>
    <w:rsid w:val="002D7ACE"/>
    <w:rsid w:val="002E1A64"/>
    <w:rsid w:val="002E225B"/>
    <w:rsid w:val="002E489E"/>
    <w:rsid w:val="002E4FFE"/>
    <w:rsid w:val="002E5AFB"/>
    <w:rsid w:val="002F03FD"/>
    <w:rsid w:val="002F1EFA"/>
    <w:rsid w:val="002F292E"/>
    <w:rsid w:val="002F2ADF"/>
    <w:rsid w:val="002F2F4E"/>
    <w:rsid w:val="002F48F3"/>
    <w:rsid w:val="00301A71"/>
    <w:rsid w:val="00301D3A"/>
    <w:rsid w:val="003025AF"/>
    <w:rsid w:val="00302A8F"/>
    <w:rsid w:val="00302D3C"/>
    <w:rsid w:val="00303F0F"/>
    <w:rsid w:val="003065DD"/>
    <w:rsid w:val="00310CBD"/>
    <w:rsid w:val="003113F6"/>
    <w:rsid w:val="003134D9"/>
    <w:rsid w:val="0031654A"/>
    <w:rsid w:val="00317E1B"/>
    <w:rsid w:val="0032136A"/>
    <w:rsid w:val="00322BFA"/>
    <w:rsid w:val="00330B32"/>
    <w:rsid w:val="00333F12"/>
    <w:rsid w:val="00334778"/>
    <w:rsid w:val="003367F5"/>
    <w:rsid w:val="00336BC3"/>
    <w:rsid w:val="00336F1E"/>
    <w:rsid w:val="003403FD"/>
    <w:rsid w:val="00340A76"/>
    <w:rsid w:val="003415A4"/>
    <w:rsid w:val="003437B0"/>
    <w:rsid w:val="00343CDD"/>
    <w:rsid w:val="003444A4"/>
    <w:rsid w:val="00351C15"/>
    <w:rsid w:val="00351F70"/>
    <w:rsid w:val="003521C8"/>
    <w:rsid w:val="00352C0E"/>
    <w:rsid w:val="003532F3"/>
    <w:rsid w:val="00356C4F"/>
    <w:rsid w:val="00360559"/>
    <w:rsid w:val="00360987"/>
    <w:rsid w:val="00364A72"/>
    <w:rsid w:val="00370BF8"/>
    <w:rsid w:val="00372F65"/>
    <w:rsid w:val="003742A1"/>
    <w:rsid w:val="003753FF"/>
    <w:rsid w:val="003765B4"/>
    <w:rsid w:val="00381C48"/>
    <w:rsid w:val="00383369"/>
    <w:rsid w:val="00386766"/>
    <w:rsid w:val="00386C98"/>
    <w:rsid w:val="0038769F"/>
    <w:rsid w:val="00393078"/>
    <w:rsid w:val="0039416E"/>
    <w:rsid w:val="0039516E"/>
    <w:rsid w:val="00396517"/>
    <w:rsid w:val="003A0471"/>
    <w:rsid w:val="003A22CB"/>
    <w:rsid w:val="003A2485"/>
    <w:rsid w:val="003A48B3"/>
    <w:rsid w:val="003A504A"/>
    <w:rsid w:val="003A65C0"/>
    <w:rsid w:val="003B0198"/>
    <w:rsid w:val="003B03E0"/>
    <w:rsid w:val="003B2334"/>
    <w:rsid w:val="003B4F26"/>
    <w:rsid w:val="003B4F60"/>
    <w:rsid w:val="003C0CA7"/>
    <w:rsid w:val="003C1118"/>
    <w:rsid w:val="003C3084"/>
    <w:rsid w:val="003C30A8"/>
    <w:rsid w:val="003C3577"/>
    <w:rsid w:val="003C4A48"/>
    <w:rsid w:val="003C530F"/>
    <w:rsid w:val="003C6711"/>
    <w:rsid w:val="003C7551"/>
    <w:rsid w:val="003C76A1"/>
    <w:rsid w:val="003D2F73"/>
    <w:rsid w:val="003D5727"/>
    <w:rsid w:val="003D5997"/>
    <w:rsid w:val="003D7C36"/>
    <w:rsid w:val="003D7DCC"/>
    <w:rsid w:val="003E0713"/>
    <w:rsid w:val="003E2DAA"/>
    <w:rsid w:val="003E3D2C"/>
    <w:rsid w:val="003E4885"/>
    <w:rsid w:val="003E57DE"/>
    <w:rsid w:val="003F0FC3"/>
    <w:rsid w:val="003F3FBD"/>
    <w:rsid w:val="003F6530"/>
    <w:rsid w:val="003F74E3"/>
    <w:rsid w:val="00400649"/>
    <w:rsid w:val="00401C2C"/>
    <w:rsid w:val="0040204B"/>
    <w:rsid w:val="00403105"/>
    <w:rsid w:val="00403948"/>
    <w:rsid w:val="00405151"/>
    <w:rsid w:val="0040544A"/>
    <w:rsid w:val="0040553A"/>
    <w:rsid w:val="00406CAA"/>
    <w:rsid w:val="00407AE9"/>
    <w:rsid w:val="004112F5"/>
    <w:rsid w:val="00413565"/>
    <w:rsid w:val="00414BD0"/>
    <w:rsid w:val="004205D1"/>
    <w:rsid w:val="004224FA"/>
    <w:rsid w:val="00426E45"/>
    <w:rsid w:val="00431DB3"/>
    <w:rsid w:val="00432683"/>
    <w:rsid w:val="0043310D"/>
    <w:rsid w:val="00434C0C"/>
    <w:rsid w:val="00435029"/>
    <w:rsid w:val="0043737A"/>
    <w:rsid w:val="004405D5"/>
    <w:rsid w:val="00442E91"/>
    <w:rsid w:val="004431B1"/>
    <w:rsid w:val="00443D19"/>
    <w:rsid w:val="004459D2"/>
    <w:rsid w:val="00445BB7"/>
    <w:rsid w:val="00445D76"/>
    <w:rsid w:val="00451585"/>
    <w:rsid w:val="004516A4"/>
    <w:rsid w:val="004523A4"/>
    <w:rsid w:val="004528C4"/>
    <w:rsid w:val="004528EF"/>
    <w:rsid w:val="004532F8"/>
    <w:rsid w:val="00453DC0"/>
    <w:rsid w:val="00455428"/>
    <w:rsid w:val="00456C63"/>
    <w:rsid w:val="00456C80"/>
    <w:rsid w:val="004572B8"/>
    <w:rsid w:val="00457A53"/>
    <w:rsid w:val="00460AB8"/>
    <w:rsid w:val="00461450"/>
    <w:rsid w:val="00461876"/>
    <w:rsid w:val="00461AA6"/>
    <w:rsid w:val="004652AC"/>
    <w:rsid w:val="00467840"/>
    <w:rsid w:val="00470338"/>
    <w:rsid w:val="00470B4F"/>
    <w:rsid w:val="00472A35"/>
    <w:rsid w:val="004732A9"/>
    <w:rsid w:val="00480FFA"/>
    <w:rsid w:val="0048163E"/>
    <w:rsid w:val="00484120"/>
    <w:rsid w:val="00485226"/>
    <w:rsid w:val="0048765E"/>
    <w:rsid w:val="00487E7D"/>
    <w:rsid w:val="00487EC4"/>
    <w:rsid w:val="00491F05"/>
    <w:rsid w:val="00492DA2"/>
    <w:rsid w:val="00493666"/>
    <w:rsid w:val="0049502E"/>
    <w:rsid w:val="004969CF"/>
    <w:rsid w:val="00497F47"/>
    <w:rsid w:val="004A3489"/>
    <w:rsid w:val="004A3908"/>
    <w:rsid w:val="004A3B98"/>
    <w:rsid w:val="004A5421"/>
    <w:rsid w:val="004A575D"/>
    <w:rsid w:val="004A59D4"/>
    <w:rsid w:val="004A5E82"/>
    <w:rsid w:val="004A631E"/>
    <w:rsid w:val="004A6815"/>
    <w:rsid w:val="004A6866"/>
    <w:rsid w:val="004A6F23"/>
    <w:rsid w:val="004B0BBF"/>
    <w:rsid w:val="004B2773"/>
    <w:rsid w:val="004B2E9A"/>
    <w:rsid w:val="004B47D4"/>
    <w:rsid w:val="004B7A5E"/>
    <w:rsid w:val="004C04CB"/>
    <w:rsid w:val="004C09B2"/>
    <w:rsid w:val="004C175A"/>
    <w:rsid w:val="004C29F3"/>
    <w:rsid w:val="004C49E2"/>
    <w:rsid w:val="004C50FD"/>
    <w:rsid w:val="004C6001"/>
    <w:rsid w:val="004C644B"/>
    <w:rsid w:val="004D01B3"/>
    <w:rsid w:val="004D1EC9"/>
    <w:rsid w:val="004D2201"/>
    <w:rsid w:val="004D34AA"/>
    <w:rsid w:val="004D39C5"/>
    <w:rsid w:val="004D4D1C"/>
    <w:rsid w:val="004D4D32"/>
    <w:rsid w:val="004D4D8A"/>
    <w:rsid w:val="004D5AD9"/>
    <w:rsid w:val="004D6097"/>
    <w:rsid w:val="004E0018"/>
    <w:rsid w:val="004E0A18"/>
    <w:rsid w:val="004E144C"/>
    <w:rsid w:val="004E1451"/>
    <w:rsid w:val="004E2FD7"/>
    <w:rsid w:val="004E31C1"/>
    <w:rsid w:val="004E5143"/>
    <w:rsid w:val="004E54E8"/>
    <w:rsid w:val="004E551F"/>
    <w:rsid w:val="004E5CE7"/>
    <w:rsid w:val="004F0426"/>
    <w:rsid w:val="004F0512"/>
    <w:rsid w:val="004F16E4"/>
    <w:rsid w:val="004F240D"/>
    <w:rsid w:val="004F4BCB"/>
    <w:rsid w:val="004F4E15"/>
    <w:rsid w:val="004F53E8"/>
    <w:rsid w:val="004F757D"/>
    <w:rsid w:val="005006B6"/>
    <w:rsid w:val="00500C39"/>
    <w:rsid w:val="00501286"/>
    <w:rsid w:val="0050401D"/>
    <w:rsid w:val="005068E0"/>
    <w:rsid w:val="00507159"/>
    <w:rsid w:val="00507E34"/>
    <w:rsid w:val="00510D4B"/>
    <w:rsid w:val="00511326"/>
    <w:rsid w:val="00511465"/>
    <w:rsid w:val="005115E0"/>
    <w:rsid w:val="0051223B"/>
    <w:rsid w:val="0051227E"/>
    <w:rsid w:val="00512BFB"/>
    <w:rsid w:val="00512C16"/>
    <w:rsid w:val="0051315D"/>
    <w:rsid w:val="00514E50"/>
    <w:rsid w:val="005172A4"/>
    <w:rsid w:val="00520D4C"/>
    <w:rsid w:val="00523A77"/>
    <w:rsid w:val="00531161"/>
    <w:rsid w:val="00533CCD"/>
    <w:rsid w:val="00533F94"/>
    <w:rsid w:val="005345F9"/>
    <w:rsid w:val="005361F1"/>
    <w:rsid w:val="005401FE"/>
    <w:rsid w:val="00540A91"/>
    <w:rsid w:val="005415AD"/>
    <w:rsid w:val="00542492"/>
    <w:rsid w:val="005424F9"/>
    <w:rsid w:val="005428CD"/>
    <w:rsid w:val="00544CE4"/>
    <w:rsid w:val="0054584B"/>
    <w:rsid w:val="005466C3"/>
    <w:rsid w:val="005471BA"/>
    <w:rsid w:val="00552B60"/>
    <w:rsid w:val="00554E89"/>
    <w:rsid w:val="005559F4"/>
    <w:rsid w:val="00556951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4AFF"/>
    <w:rsid w:val="00576C01"/>
    <w:rsid w:val="00576D4A"/>
    <w:rsid w:val="005770BF"/>
    <w:rsid w:val="0058019C"/>
    <w:rsid w:val="005870DC"/>
    <w:rsid w:val="00587E39"/>
    <w:rsid w:val="00590B85"/>
    <w:rsid w:val="005926A4"/>
    <w:rsid w:val="00593AF7"/>
    <w:rsid w:val="005946B9"/>
    <w:rsid w:val="005948E8"/>
    <w:rsid w:val="00594C44"/>
    <w:rsid w:val="00595404"/>
    <w:rsid w:val="00597F7C"/>
    <w:rsid w:val="005A23CC"/>
    <w:rsid w:val="005A2642"/>
    <w:rsid w:val="005A5745"/>
    <w:rsid w:val="005A6986"/>
    <w:rsid w:val="005A7E55"/>
    <w:rsid w:val="005B091B"/>
    <w:rsid w:val="005B0A64"/>
    <w:rsid w:val="005B3823"/>
    <w:rsid w:val="005B3A27"/>
    <w:rsid w:val="005B3D95"/>
    <w:rsid w:val="005B7A51"/>
    <w:rsid w:val="005B7B2B"/>
    <w:rsid w:val="005C3340"/>
    <w:rsid w:val="005C44CB"/>
    <w:rsid w:val="005C6417"/>
    <w:rsid w:val="005C64CC"/>
    <w:rsid w:val="005C6875"/>
    <w:rsid w:val="005C7B75"/>
    <w:rsid w:val="005D0532"/>
    <w:rsid w:val="005D06E3"/>
    <w:rsid w:val="005D3A52"/>
    <w:rsid w:val="005D73DE"/>
    <w:rsid w:val="005E0929"/>
    <w:rsid w:val="005E1D01"/>
    <w:rsid w:val="005E1D95"/>
    <w:rsid w:val="005E57B7"/>
    <w:rsid w:val="005E6CC3"/>
    <w:rsid w:val="005F31AB"/>
    <w:rsid w:val="005F5F10"/>
    <w:rsid w:val="005F7AF4"/>
    <w:rsid w:val="005F7DF4"/>
    <w:rsid w:val="00601174"/>
    <w:rsid w:val="0060129D"/>
    <w:rsid w:val="00604233"/>
    <w:rsid w:val="00604680"/>
    <w:rsid w:val="00604747"/>
    <w:rsid w:val="006059A8"/>
    <w:rsid w:val="0060609A"/>
    <w:rsid w:val="00607AF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1D1E"/>
    <w:rsid w:val="0062608A"/>
    <w:rsid w:val="00626120"/>
    <w:rsid w:val="00626306"/>
    <w:rsid w:val="00626BB2"/>
    <w:rsid w:val="0062761A"/>
    <w:rsid w:val="0063284C"/>
    <w:rsid w:val="006331D4"/>
    <w:rsid w:val="00633E41"/>
    <w:rsid w:val="00633EC7"/>
    <w:rsid w:val="0063541B"/>
    <w:rsid w:val="00636B51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2343"/>
    <w:rsid w:val="006529EF"/>
    <w:rsid w:val="006538CE"/>
    <w:rsid w:val="0065393B"/>
    <w:rsid w:val="00653AE9"/>
    <w:rsid w:val="006545DD"/>
    <w:rsid w:val="00654DC5"/>
    <w:rsid w:val="00655941"/>
    <w:rsid w:val="00655CA6"/>
    <w:rsid w:val="0065789B"/>
    <w:rsid w:val="006608AE"/>
    <w:rsid w:val="00662263"/>
    <w:rsid w:val="006628BD"/>
    <w:rsid w:val="00664339"/>
    <w:rsid w:val="00665366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26CD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6D27"/>
    <w:rsid w:val="006A6FE3"/>
    <w:rsid w:val="006A7027"/>
    <w:rsid w:val="006B1AE9"/>
    <w:rsid w:val="006B1AEB"/>
    <w:rsid w:val="006B3BBD"/>
    <w:rsid w:val="006B4584"/>
    <w:rsid w:val="006B514F"/>
    <w:rsid w:val="006B6387"/>
    <w:rsid w:val="006B7377"/>
    <w:rsid w:val="006C0196"/>
    <w:rsid w:val="006C522F"/>
    <w:rsid w:val="006C5BBE"/>
    <w:rsid w:val="006C607A"/>
    <w:rsid w:val="006C74DF"/>
    <w:rsid w:val="006D2F1D"/>
    <w:rsid w:val="006D59F2"/>
    <w:rsid w:val="006D5C48"/>
    <w:rsid w:val="006D5F32"/>
    <w:rsid w:val="006D69E0"/>
    <w:rsid w:val="006D6A6A"/>
    <w:rsid w:val="006D6F63"/>
    <w:rsid w:val="006D75E8"/>
    <w:rsid w:val="006D7DC3"/>
    <w:rsid w:val="006E0712"/>
    <w:rsid w:val="006E08E3"/>
    <w:rsid w:val="006E12D9"/>
    <w:rsid w:val="006E12F7"/>
    <w:rsid w:val="006E191F"/>
    <w:rsid w:val="006E23C6"/>
    <w:rsid w:val="006E2DE3"/>
    <w:rsid w:val="006E2F2D"/>
    <w:rsid w:val="006E3E42"/>
    <w:rsid w:val="006E5C2B"/>
    <w:rsid w:val="006E7D79"/>
    <w:rsid w:val="006F102D"/>
    <w:rsid w:val="006F1A0A"/>
    <w:rsid w:val="006F26D3"/>
    <w:rsid w:val="006F27D4"/>
    <w:rsid w:val="006F3680"/>
    <w:rsid w:val="006F639A"/>
    <w:rsid w:val="00700AA7"/>
    <w:rsid w:val="007039D9"/>
    <w:rsid w:val="00704288"/>
    <w:rsid w:val="00705139"/>
    <w:rsid w:val="007122C9"/>
    <w:rsid w:val="0071501B"/>
    <w:rsid w:val="00716111"/>
    <w:rsid w:val="007170D3"/>
    <w:rsid w:val="00717226"/>
    <w:rsid w:val="00717B54"/>
    <w:rsid w:val="00717E2E"/>
    <w:rsid w:val="0072184D"/>
    <w:rsid w:val="00730BA6"/>
    <w:rsid w:val="0073181E"/>
    <w:rsid w:val="007318C0"/>
    <w:rsid w:val="00732707"/>
    <w:rsid w:val="00735194"/>
    <w:rsid w:val="00735EB8"/>
    <w:rsid w:val="0073694F"/>
    <w:rsid w:val="00736FBA"/>
    <w:rsid w:val="007403D0"/>
    <w:rsid w:val="00741E8F"/>
    <w:rsid w:val="007438D5"/>
    <w:rsid w:val="00743E4F"/>
    <w:rsid w:val="007446F9"/>
    <w:rsid w:val="0074488D"/>
    <w:rsid w:val="00744A39"/>
    <w:rsid w:val="00745415"/>
    <w:rsid w:val="0074570E"/>
    <w:rsid w:val="0074602B"/>
    <w:rsid w:val="00746385"/>
    <w:rsid w:val="00751E22"/>
    <w:rsid w:val="00753C18"/>
    <w:rsid w:val="00756D28"/>
    <w:rsid w:val="00757BC3"/>
    <w:rsid w:val="007613E7"/>
    <w:rsid w:val="00762297"/>
    <w:rsid w:val="00763DA1"/>
    <w:rsid w:val="00764115"/>
    <w:rsid w:val="0076578C"/>
    <w:rsid w:val="0076580D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492"/>
    <w:rsid w:val="007766CF"/>
    <w:rsid w:val="00777878"/>
    <w:rsid w:val="0078087C"/>
    <w:rsid w:val="007818A2"/>
    <w:rsid w:val="0078296B"/>
    <w:rsid w:val="0078393C"/>
    <w:rsid w:val="00783EB8"/>
    <w:rsid w:val="00785A4C"/>
    <w:rsid w:val="00787993"/>
    <w:rsid w:val="007879CC"/>
    <w:rsid w:val="007908C5"/>
    <w:rsid w:val="007908C9"/>
    <w:rsid w:val="00792D73"/>
    <w:rsid w:val="00793530"/>
    <w:rsid w:val="00793BBD"/>
    <w:rsid w:val="007944BC"/>
    <w:rsid w:val="007A009C"/>
    <w:rsid w:val="007A061F"/>
    <w:rsid w:val="007A1BEB"/>
    <w:rsid w:val="007A1C9E"/>
    <w:rsid w:val="007A2389"/>
    <w:rsid w:val="007A2591"/>
    <w:rsid w:val="007A317B"/>
    <w:rsid w:val="007A32A1"/>
    <w:rsid w:val="007A4B52"/>
    <w:rsid w:val="007A4D30"/>
    <w:rsid w:val="007A5D36"/>
    <w:rsid w:val="007A6536"/>
    <w:rsid w:val="007A68A1"/>
    <w:rsid w:val="007A77F8"/>
    <w:rsid w:val="007B2E0B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05E3"/>
    <w:rsid w:val="007D16B8"/>
    <w:rsid w:val="007D4CC8"/>
    <w:rsid w:val="007D4F52"/>
    <w:rsid w:val="007D5AA7"/>
    <w:rsid w:val="007D5DEF"/>
    <w:rsid w:val="007D608B"/>
    <w:rsid w:val="007E015B"/>
    <w:rsid w:val="007E01E6"/>
    <w:rsid w:val="007E0E9D"/>
    <w:rsid w:val="007E1AAD"/>
    <w:rsid w:val="007E24B6"/>
    <w:rsid w:val="007E4966"/>
    <w:rsid w:val="007E4A9C"/>
    <w:rsid w:val="007E52CD"/>
    <w:rsid w:val="007E54B9"/>
    <w:rsid w:val="007E56E3"/>
    <w:rsid w:val="007E63FD"/>
    <w:rsid w:val="007F11CD"/>
    <w:rsid w:val="007F2DE0"/>
    <w:rsid w:val="007F3643"/>
    <w:rsid w:val="007F4375"/>
    <w:rsid w:val="007F4E7A"/>
    <w:rsid w:val="007F60FD"/>
    <w:rsid w:val="00800BA8"/>
    <w:rsid w:val="00802234"/>
    <w:rsid w:val="0080352B"/>
    <w:rsid w:val="008052C7"/>
    <w:rsid w:val="008100F2"/>
    <w:rsid w:val="008101F0"/>
    <w:rsid w:val="00810E6A"/>
    <w:rsid w:val="00811B5F"/>
    <w:rsid w:val="00812650"/>
    <w:rsid w:val="00812754"/>
    <w:rsid w:val="00813CAD"/>
    <w:rsid w:val="00814BC9"/>
    <w:rsid w:val="00814BE5"/>
    <w:rsid w:val="0081707B"/>
    <w:rsid w:val="008175DD"/>
    <w:rsid w:val="00821886"/>
    <w:rsid w:val="00821EA4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8F2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44D9E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3659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CB5"/>
    <w:rsid w:val="00890F30"/>
    <w:rsid w:val="00894366"/>
    <w:rsid w:val="008952EF"/>
    <w:rsid w:val="008964D6"/>
    <w:rsid w:val="00897497"/>
    <w:rsid w:val="0089767D"/>
    <w:rsid w:val="00897989"/>
    <w:rsid w:val="00897A5C"/>
    <w:rsid w:val="008A2443"/>
    <w:rsid w:val="008A32D2"/>
    <w:rsid w:val="008A5153"/>
    <w:rsid w:val="008A7B21"/>
    <w:rsid w:val="008A7DB4"/>
    <w:rsid w:val="008B0D8F"/>
    <w:rsid w:val="008B10EC"/>
    <w:rsid w:val="008B11E4"/>
    <w:rsid w:val="008B1C8C"/>
    <w:rsid w:val="008B2703"/>
    <w:rsid w:val="008B343E"/>
    <w:rsid w:val="008B6761"/>
    <w:rsid w:val="008C0C76"/>
    <w:rsid w:val="008C54AB"/>
    <w:rsid w:val="008D04EA"/>
    <w:rsid w:val="008D1CCE"/>
    <w:rsid w:val="008D28EA"/>
    <w:rsid w:val="008D3059"/>
    <w:rsid w:val="008D3281"/>
    <w:rsid w:val="008D3323"/>
    <w:rsid w:val="008D4538"/>
    <w:rsid w:val="008D5E7D"/>
    <w:rsid w:val="008D6210"/>
    <w:rsid w:val="008D7E87"/>
    <w:rsid w:val="008E1EBD"/>
    <w:rsid w:val="008E2764"/>
    <w:rsid w:val="008E6279"/>
    <w:rsid w:val="008E7219"/>
    <w:rsid w:val="008E77D0"/>
    <w:rsid w:val="008F05C4"/>
    <w:rsid w:val="008F13D4"/>
    <w:rsid w:val="008F13EC"/>
    <w:rsid w:val="008F2ED5"/>
    <w:rsid w:val="008F535D"/>
    <w:rsid w:val="008F56F4"/>
    <w:rsid w:val="008F7808"/>
    <w:rsid w:val="008F78DC"/>
    <w:rsid w:val="009010D2"/>
    <w:rsid w:val="00901883"/>
    <w:rsid w:val="00902659"/>
    <w:rsid w:val="009037D9"/>
    <w:rsid w:val="00905305"/>
    <w:rsid w:val="009107B6"/>
    <w:rsid w:val="00912373"/>
    <w:rsid w:val="00916598"/>
    <w:rsid w:val="00916AA4"/>
    <w:rsid w:val="00916BAD"/>
    <w:rsid w:val="00916E55"/>
    <w:rsid w:val="0091780A"/>
    <w:rsid w:val="00917B48"/>
    <w:rsid w:val="00921CCF"/>
    <w:rsid w:val="009226A4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CCC"/>
    <w:rsid w:val="00934D3C"/>
    <w:rsid w:val="00936E8E"/>
    <w:rsid w:val="0093790D"/>
    <w:rsid w:val="00940C92"/>
    <w:rsid w:val="00941FEB"/>
    <w:rsid w:val="00942E87"/>
    <w:rsid w:val="00942E9F"/>
    <w:rsid w:val="00944218"/>
    <w:rsid w:val="00947F30"/>
    <w:rsid w:val="00950682"/>
    <w:rsid w:val="009506AB"/>
    <w:rsid w:val="00951DFC"/>
    <w:rsid w:val="009520D1"/>
    <w:rsid w:val="00952FAD"/>
    <w:rsid w:val="00953638"/>
    <w:rsid w:val="00953837"/>
    <w:rsid w:val="00953E57"/>
    <w:rsid w:val="00954F5D"/>
    <w:rsid w:val="00955677"/>
    <w:rsid w:val="00957A90"/>
    <w:rsid w:val="0096083B"/>
    <w:rsid w:val="00961795"/>
    <w:rsid w:val="0096337D"/>
    <w:rsid w:val="00964685"/>
    <w:rsid w:val="0096714F"/>
    <w:rsid w:val="00970429"/>
    <w:rsid w:val="0097182B"/>
    <w:rsid w:val="009762A1"/>
    <w:rsid w:val="00976CF0"/>
    <w:rsid w:val="009774D0"/>
    <w:rsid w:val="00977753"/>
    <w:rsid w:val="009819B7"/>
    <w:rsid w:val="00981F3D"/>
    <w:rsid w:val="00983D15"/>
    <w:rsid w:val="00985CFE"/>
    <w:rsid w:val="009878D5"/>
    <w:rsid w:val="00991452"/>
    <w:rsid w:val="00992556"/>
    <w:rsid w:val="0099331F"/>
    <w:rsid w:val="00994E32"/>
    <w:rsid w:val="00995301"/>
    <w:rsid w:val="00995B6D"/>
    <w:rsid w:val="00997D9E"/>
    <w:rsid w:val="009A179F"/>
    <w:rsid w:val="009A466E"/>
    <w:rsid w:val="009A54BB"/>
    <w:rsid w:val="009A7891"/>
    <w:rsid w:val="009B0CD4"/>
    <w:rsid w:val="009B1F42"/>
    <w:rsid w:val="009B2B83"/>
    <w:rsid w:val="009B4C71"/>
    <w:rsid w:val="009B596A"/>
    <w:rsid w:val="009B78A7"/>
    <w:rsid w:val="009C094B"/>
    <w:rsid w:val="009C0C6D"/>
    <w:rsid w:val="009C385D"/>
    <w:rsid w:val="009C3F77"/>
    <w:rsid w:val="009C41CE"/>
    <w:rsid w:val="009C6CCE"/>
    <w:rsid w:val="009C6F8B"/>
    <w:rsid w:val="009D1AE9"/>
    <w:rsid w:val="009D3283"/>
    <w:rsid w:val="009D3634"/>
    <w:rsid w:val="009D47E5"/>
    <w:rsid w:val="009D5DD0"/>
    <w:rsid w:val="009D61C6"/>
    <w:rsid w:val="009E20BB"/>
    <w:rsid w:val="009E22EE"/>
    <w:rsid w:val="009E2F5F"/>
    <w:rsid w:val="009F111A"/>
    <w:rsid w:val="009F149F"/>
    <w:rsid w:val="009F396B"/>
    <w:rsid w:val="009F4086"/>
    <w:rsid w:val="009F45E2"/>
    <w:rsid w:val="009F524B"/>
    <w:rsid w:val="009F5E7B"/>
    <w:rsid w:val="00A03B0E"/>
    <w:rsid w:val="00A04187"/>
    <w:rsid w:val="00A04329"/>
    <w:rsid w:val="00A0796F"/>
    <w:rsid w:val="00A10851"/>
    <w:rsid w:val="00A10C55"/>
    <w:rsid w:val="00A11015"/>
    <w:rsid w:val="00A13212"/>
    <w:rsid w:val="00A13884"/>
    <w:rsid w:val="00A15606"/>
    <w:rsid w:val="00A164D9"/>
    <w:rsid w:val="00A16504"/>
    <w:rsid w:val="00A166FF"/>
    <w:rsid w:val="00A1709C"/>
    <w:rsid w:val="00A2058A"/>
    <w:rsid w:val="00A2402F"/>
    <w:rsid w:val="00A240A9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46D64"/>
    <w:rsid w:val="00A47197"/>
    <w:rsid w:val="00A506AA"/>
    <w:rsid w:val="00A53835"/>
    <w:rsid w:val="00A5622C"/>
    <w:rsid w:val="00A564A7"/>
    <w:rsid w:val="00A56ABB"/>
    <w:rsid w:val="00A62009"/>
    <w:rsid w:val="00A62CEC"/>
    <w:rsid w:val="00A62E89"/>
    <w:rsid w:val="00A63027"/>
    <w:rsid w:val="00A64D8D"/>
    <w:rsid w:val="00A71705"/>
    <w:rsid w:val="00A72C76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2FDB"/>
    <w:rsid w:val="00A944B5"/>
    <w:rsid w:val="00A95CC8"/>
    <w:rsid w:val="00A97440"/>
    <w:rsid w:val="00AA1622"/>
    <w:rsid w:val="00AA321A"/>
    <w:rsid w:val="00AA4A37"/>
    <w:rsid w:val="00AA7049"/>
    <w:rsid w:val="00AA778F"/>
    <w:rsid w:val="00AA7A37"/>
    <w:rsid w:val="00AA7A8D"/>
    <w:rsid w:val="00AB0507"/>
    <w:rsid w:val="00AB2331"/>
    <w:rsid w:val="00AB2EB2"/>
    <w:rsid w:val="00AB64FA"/>
    <w:rsid w:val="00AC1C2D"/>
    <w:rsid w:val="00AC601E"/>
    <w:rsid w:val="00AC7448"/>
    <w:rsid w:val="00AD1349"/>
    <w:rsid w:val="00AD2DC0"/>
    <w:rsid w:val="00AD3EFC"/>
    <w:rsid w:val="00AD7546"/>
    <w:rsid w:val="00AE02B9"/>
    <w:rsid w:val="00AE2359"/>
    <w:rsid w:val="00AE24A6"/>
    <w:rsid w:val="00AE3A9B"/>
    <w:rsid w:val="00AE466D"/>
    <w:rsid w:val="00AE4F32"/>
    <w:rsid w:val="00AE6093"/>
    <w:rsid w:val="00AE6859"/>
    <w:rsid w:val="00AE6DEC"/>
    <w:rsid w:val="00AE75D5"/>
    <w:rsid w:val="00AF24BE"/>
    <w:rsid w:val="00AF2E24"/>
    <w:rsid w:val="00AF49BE"/>
    <w:rsid w:val="00AF53F1"/>
    <w:rsid w:val="00AF675C"/>
    <w:rsid w:val="00AF7597"/>
    <w:rsid w:val="00B003CF"/>
    <w:rsid w:val="00B00FD6"/>
    <w:rsid w:val="00B0116B"/>
    <w:rsid w:val="00B01F19"/>
    <w:rsid w:val="00B03442"/>
    <w:rsid w:val="00B042CB"/>
    <w:rsid w:val="00B0460C"/>
    <w:rsid w:val="00B04EBB"/>
    <w:rsid w:val="00B0585C"/>
    <w:rsid w:val="00B05A40"/>
    <w:rsid w:val="00B05CAC"/>
    <w:rsid w:val="00B0759E"/>
    <w:rsid w:val="00B11940"/>
    <w:rsid w:val="00B134F4"/>
    <w:rsid w:val="00B16A0D"/>
    <w:rsid w:val="00B2146E"/>
    <w:rsid w:val="00B21FC8"/>
    <w:rsid w:val="00B2547C"/>
    <w:rsid w:val="00B26191"/>
    <w:rsid w:val="00B30C5E"/>
    <w:rsid w:val="00B310B7"/>
    <w:rsid w:val="00B31ABF"/>
    <w:rsid w:val="00B3271C"/>
    <w:rsid w:val="00B34792"/>
    <w:rsid w:val="00B356F6"/>
    <w:rsid w:val="00B3653C"/>
    <w:rsid w:val="00B4329B"/>
    <w:rsid w:val="00B4520D"/>
    <w:rsid w:val="00B45BE3"/>
    <w:rsid w:val="00B4668D"/>
    <w:rsid w:val="00B46C24"/>
    <w:rsid w:val="00B47285"/>
    <w:rsid w:val="00B47CD5"/>
    <w:rsid w:val="00B47D72"/>
    <w:rsid w:val="00B503BF"/>
    <w:rsid w:val="00B51280"/>
    <w:rsid w:val="00B516F8"/>
    <w:rsid w:val="00B520F1"/>
    <w:rsid w:val="00B52486"/>
    <w:rsid w:val="00B60643"/>
    <w:rsid w:val="00B610A5"/>
    <w:rsid w:val="00B616C1"/>
    <w:rsid w:val="00B61AB7"/>
    <w:rsid w:val="00B63324"/>
    <w:rsid w:val="00B633E6"/>
    <w:rsid w:val="00B640FC"/>
    <w:rsid w:val="00B64A95"/>
    <w:rsid w:val="00B65ADE"/>
    <w:rsid w:val="00B66BED"/>
    <w:rsid w:val="00B67B32"/>
    <w:rsid w:val="00B71E1D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92A8B"/>
    <w:rsid w:val="00BA12DB"/>
    <w:rsid w:val="00BA35C0"/>
    <w:rsid w:val="00BA4AB0"/>
    <w:rsid w:val="00BA7DA2"/>
    <w:rsid w:val="00BB00FD"/>
    <w:rsid w:val="00BB1641"/>
    <w:rsid w:val="00BB2A36"/>
    <w:rsid w:val="00BB7A95"/>
    <w:rsid w:val="00BC1851"/>
    <w:rsid w:val="00BC19DF"/>
    <w:rsid w:val="00BC1E7F"/>
    <w:rsid w:val="00BC253D"/>
    <w:rsid w:val="00BC38F7"/>
    <w:rsid w:val="00BC5BEE"/>
    <w:rsid w:val="00BC5E7A"/>
    <w:rsid w:val="00BD15C1"/>
    <w:rsid w:val="00BD1F87"/>
    <w:rsid w:val="00BD345F"/>
    <w:rsid w:val="00BD3D39"/>
    <w:rsid w:val="00BD42C5"/>
    <w:rsid w:val="00BD4329"/>
    <w:rsid w:val="00BD5DCA"/>
    <w:rsid w:val="00BD6678"/>
    <w:rsid w:val="00BD71A1"/>
    <w:rsid w:val="00BE0ED3"/>
    <w:rsid w:val="00BE109F"/>
    <w:rsid w:val="00BE1D4A"/>
    <w:rsid w:val="00BE2D70"/>
    <w:rsid w:val="00BE4682"/>
    <w:rsid w:val="00BE4AA1"/>
    <w:rsid w:val="00BE57BB"/>
    <w:rsid w:val="00BE5EF2"/>
    <w:rsid w:val="00BE68B3"/>
    <w:rsid w:val="00BF1DD0"/>
    <w:rsid w:val="00BF5DF0"/>
    <w:rsid w:val="00BF6213"/>
    <w:rsid w:val="00BF7077"/>
    <w:rsid w:val="00BF79E2"/>
    <w:rsid w:val="00C03CDF"/>
    <w:rsid w:val="00C041A3"/>
    <w:rsid w:val="00C0471F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1786A"/>
    <w:rsid w:val="00C216CB"/>
    <w:rsid w:val="00C22CAE"/>
    <w:rsid w:val="00C23144"/>
    <w:rsid w:val="00C24A8E"/>
    <w:rsid w:val="00C24F4F"/>
    <w:rsid w:val="00C30B67"/>
    <w:rsid w:val="00C30B95"/>
    <w:rsid w:val="00C33115"/>
    <w:rsid w:val="00C41CCA"/>
    <w:rsid w:val="00C4427A"/>
    <w:rsid w:val="00C47BB2"/>
    <w:rsid w:val="00C504F3"/>
    <w:rsid w:val="00C513C2"/>
    <w:rsid w:val="00C51C1A"/>
    <w:rsid w:val="00C52CDF"/>
    <w:rsid w:val="00C54340"/>
    <w:rsid w:val="00C609FE"/>
    <w:rsid w:val="00C60DFD"/>
    <w:rsid w:val="00C61DE3"/>
    <w:rsid w:val="00C64C9B"/>
    <w:rsid w:val="00C668A5"/>
    <w:rsid w:val="00C67B42"/>
    <w:rsid w:val="00C70BD6"/>
    <w:rsid w:val="00C7196B"/>
    <w:rsid w:val="00C72A64"/>
    <w:rsid w:val="00C73ADC"/>
    <w:rsid w:val="00C7435F"/>
    <w:rsid w:val="00C74C7C"/>
    <w:rsid w:val="00C74D4D"/>
    <w:rsid w:val="00C778C2"/>
    <w:rsid w:val="00C779F3"/>
    <w:rsid w:val="00C8372D"/>
    <w:rsid w:val="00C90987"/>
    <w:rsid w:val="00C92155"/>
    <w:rsid w:val="00C923D4"/>
    <w:rsid w:val="00C9358A"/>
    <w:rsid w:val="00C94D36"/>
    <w:rsid w:val="00C94F87"/>
    <w:rsid w:val="00C965A4"/>
    <w:rsid w:val="00C967DE"/>
    <w:rsid w:val="00CA2E4E"/>
    <w:rsid w:val="00CA4583"/>
    <w:rsid w:val="00CA556E"/>
    <w:rsid w:val="00CA6773"/>
    <w:rsid w:val="00CB04D9"/>
    <w:rsid w:val="00CB0C3A"/>
    <w:rsid w:val="00CB1342"/>
    <w:rsid w:val="00CB1B60"/>
    <w:rsid w:val="00CB1C53"/>
    <w:rsid w:val="00CB1EDF"/>
    <w:rsid w:val="00CB264A"/>
    <w:rsid w:val="00CB2B1C"/>
    <w:rsid w:val="00CB2FCD"/>
    <w:rsid w:val="00CB3240"/>
    <w:rsid w:val="00CB529E"/>
    <w:rsid w:val="00CB6C00"/>
    <w:rsid w:val="00CB6F86"/>
    <w:rsid w:val="00CB793A"/>
    <w:rsid w:val="00CB7C02"/>
    <w:rsid w:val="00CC01BC"/>
    <w:rsid w:val="00CC03E0"/>
    <w:rsid w:val="00CC0FB0"/>
    <w:rsid w:val="00CC283B"/>
    <w:rsid w:val="00CC3862"/>
    <w:rsid w:val="00CC5390"/>
    <w:rsid w:val="00CC73A0"/>
    <w:rsid w:val="00CC7F94"/>
    <w:rsid w:val="00CD034D"/>
    <w:rsid w:val="00CD0D19"/>
    <w:rsid w:val="00CD17DD"/>
    <w:rsid w:val="00CD36A6"/>
    <w:rsid w:val="00CD4159"/>
    <w:rsid w:val="00CD56D3"/>
    <w:rsid w:val="00CD60E7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935"/>
    <w:rsid w:val="00CF6E51"/>
    <w:rsid w:val="00CF7985"/>
    <w:rsid w:val="00D00EE0"/>
    <w:rsid w:val="00D02EB5"/>
    <w:rsid w:val="00D02EBC"/>
    <w:rsid w:val="00D0323E"/>
    <w:rsid w:val="00D04162"/>
    <w:rsid w:val="00D0588B"/>
    <w:rsid w:val="00D06041"/>
    <w:rsid w:val="00D10484"/>
    <w:rsid w:val="00D1125C"/>
    <w:rsid w:val="00D128D1"/>
    <w:rsid w:val="00D13843"/>
    <w:rsid w:val="00D1418A"/>
    <w:rsid w:val="00D14384"/>
    <w:rsid w:val="00D15B26"/>
    <w:rsid w:val="00D15F20"/>
    <w:rsid w:val="00D20EB7"/>
    <w:rsid w:val="00D2295D"/>
    <w:rsid w:val="00D23195"/>
    <w:rsid w:val="00D24899"/>
    <w:rsid w:val="00D278DF"/>
    <w:rsid w:val="00D328E5"/>
    <w:rsid w:val="00D33FB6"/>
    <w:rsid w:val="00D34877"/>
    <w:rsid w:val="00D3584B"/>
    <w:rsid w:val="00D377AC"/>
    <w:rsid w:val="00D40603"/>
    <w:rsid w:val="00D4079C"/>
    <w:rsid w:val="00D418F0"/>
    <w:rsid w:val="00D449CF"/>
    <w:rsid w:val="00D45E3C"/>
    <w:rsid w:val="00D46488"/>
    <w:rsid w:val="00D466ED"/>
    <w:rsid w:val="00D469D6"/>
    <w:rsid w:val="00D476A0"/>
    <w:rsid w:val="00D50777"/>
    <w:rsid w:val="00D516F3"/>
    <w:rsid w:val="00D520BA"/>
    <w:rsid w:val="00D52E31"/>
    <w:rsid w:val="00D52F25"/>
    <w:rsid w:val="00D560F9"/>
    <w:rsid w:val="00D5651E"/>
    <w:rsid w:val="00D5669F"/>
    <w:rsid w:val="00D57128"/>
    <w:rsid w:val="00D572BF"/>
    <w:rsid w:val="00D611C0"/>
    <w:rsid w:val="00D61427"/>
    <w:rsid w:val="00D6249B"/>
    <w:rsid w:val="00D632FE"/>
    <w:rsid w:val="00D65181"/>
    <w:rsid w:val="00D72AD7"/>
    <w:rsid w:val="00D747CD"/>
    <w:rsid w:val="00D74943"/>
    <w:rsid w:val="00D80B77"/>
    <w:rsid w:val="00D81165"/>
    <w:rsid w:val="00D81EE9"/>
    <w:rsid w:val="00D85024"/>
    <w:rsid w:val="00D853AA"/>
    <w:rsid w:val="00D870AE"/>
    <w:rsid w:val="00D876D2"/>
    <w:rsid w:val="00D90774"/>
    <w:rsid w:val="00D9136A"/>
    <w:rsid w:val="00D93A19"/>
    <w:rsid w:val="00D94DDD"/>
    <w:rsid w:val="00D951B6"/>
    <w:rsid w:val="00D95B0C"/>
    <w:rsid w:val="00D96114"/>
    <w:rsid w:val="00D97344"/>
    <w:rsid w:val="00DA0352"/>
    <w:rsid w:val="00DA1129"/>
    <w:rsid w:val="00DA23F0"/>
    <w:rsid w:val="00DA2614"/>
    <w:rsid w:val="00DA277F"/>
    <w:rsid w:val="00DA3276"/>
    <w:rsid w:val="00DA5F86"/>
    <w:rsid w:val="00DA7FA9"/>
    <w:rsid w:val="00DB2E47"/>
    <w:rsid w:val="00DB3EA3"/>
    <w:rsid w:val="00DB4E2B"/>
    <w:rsid w:val="00DB4F7A"/>
    <w:rsid w:val="00DB54C1"/>
    <w:rsid w:val="00DB66CB"/>
    <w:rsid w:val="00DB7A44"/>
    <w:rsid w:val="00DB7E65"/>
    <w:rsid w:val="00DC00C7"/>
    <w:rsid w:val="00DC0B30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E7BEB"/>
    <w:rsid w:val="00DF1EF6"/>
    <w:rsid w:val="00DF307A"/>
    <w:rsid w:val="00DF3EED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655A"/>
    <w:rsid w:val="00E071C0"/>
    <w:rsid w:val="00E07A3F"/>
    <w:rsid w:val="00E11FE2"/>
    <w:rsid w:val="00E12419"/>
    <w:rsid w:val="00E12E06"/>
    <w:rsid w:val="00E146A8"/>
    <w:rsid w:val="00E17DAA"/>
    <w:rsid w:val="00E21722"/>
    <w:rsid w:val="00E217A3"/>
    <w:rsid w:val="00E21CE0"/>
    <w:rsid w:val="00E2490F"/>
    <w:rsid w:val="00E25A9C"/>
    <w:rsid w:val="00E261B9"/>
    <w:rsid w:val="00E312DB"/>
    <w:rsid w:val="00E31D87"/>
    <w:rsid w:val="00E32D59"/>
    <w:rsid w:val="00E33DD9"/>
    <w:rsid w:val="00E35BA2"/>
    <w:rsid w:val="00E40C2C"/>
    <w:rsid w:val="00E41158"/>
    <w:rsid w:val="00E413C8"/>
    <w:rsid w:val="00E44C6D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500F"/>
    <w:rsid w:val="00E762D0"/>
    <w:rsid w:val="00E76310"/>
    <w:rsid w:val="00E81349"/>
    <w:rsid w:val="00E823FC"/>
    <w:rsid w:val="00E843E3"/>
    <w:rsid w:val="00E84BEE"/>
    <w:rsid w:val="00E84FF3"/>
    <w:rsid w:val="00E8765E"/>
    <w:rsid w:val="00E87D35"/>
    <w:rsid w:val="00E9073F"/>
    <w:rsid w:val="00E9075C"/>
    <w:rsid w:val="00E916F4"/>
    <w:rsid w:val="00E91CBC"/>
    <w:rsid w:val="00E92252"/>
    <w:rsid w:val="00E944A1"/>
    <w:rsid w:val="00E9600B"/>
    <w:rsid w:val="00E9787B"/>
    <w:rsid w:val="00E97963"/>
    <w:rsid w:val="00EA0C50"/>
    <w:rsid w:val="00EA3214"/>
    <w:rsid w:val="00EA3A0D"/>
    <w:rsid w:val="00EA691A"/>
    <w:rsid w:val="00EA7C46"/>
    <w:rsid w:val="00EB00CB"/>
    <w:rsid w:val="00EB0736"/>
    <w:rsid w:val="00EB073A"/>
    <w:rsid w:val="00EB0B3D"/>
    <w:rsid w:val="00EB0FB9"/>
    <w:rsid w:val="00EB1EE2"/>
    <w:rsid w:val="00EB32C1"/>
    <w:rsid w:val="00EB344B"/>
    <w:rsid w:val="00EB5AB6"/>
    <w:rsid w:val="00EB6C3B"/>
    <w:rsid w:val="00EB6D04"/>
    <w:rsid w:val="00EB7C7A"/>
    <w:rsid w:val="00EC079D"/>
    <w:rsid w:val="00EC3020"/>
    <w:rsid w:val="00EC34BC"/>
    <w:rsid w:val="00EC450B"/>
    <w:rsid w:val="00EC4CC7"/>
    <w:rsid w:val="00EC7219"/>
    <w:rsid w:val="00EC7AD7"/>
    <w:rsid w:val="00ED03E7"/>
    <w:rsid w:val="00ED5DBD"/>
    <w:rsid w:val="00ED607C"/>
    <w:rsid w:val="00ED7D2C"/>
    <w:rsid w:val="00ED7F0F"/>
    <w:rsid w:val="00EE1941"/>
    <w:rsid w:val="00EE233B"/>
    <w:rsid w:val="00EE28B1"/>
    <w:rsid w:val="00EE2AC2"/>
    <w:rsid w:val="00EE37D7"/>
    <w:rsid w:val="00EE4AA3"/>
    <w:rsid w:val="00EE709B"/>
    <w:rsid w:val="00EF14BF"/>
    <w:rsid w:val="00EF1554"/>
    <w:rsid w:val="00EF1E11"/>
    <w:rsid w:val="00EF22A3"/>
    <w:rsid w:val="00EF2B1E"/>
    <w:rsid w:val="00EF3A6D"/>
    <w:rsid w:val="00EF438F"/>
    <w:rsid w:val="00EF4EE2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5C66"/>
    <w:rsid w:val="00F17485"/>
    <w:rsid w:val="00F17A6A"/>
    <w:rsid w:val="00F20AE5"/>
    <w:rsid w:val="00F20D1C"/>
    <w:rsid w:val="00F2110A"/>
    <w:rsid w:val="00F22D09"/>
    <w:rsid w:val="00F230DD"/>
    <w:rsid w:val="00F23629"/>
    <w:rsid w:val="00F24BB6"/>
    <w:rsid w:val="00F2638F"/>
    <w:rsid w:val="00F27564"/>
    <w:rsid w:val="00F319BF"/>
    <w:rsid w:val="00F322F0"/>
    <w:rsid w:val="00F3257F"/>
    <w:rsid w:val="00F32E57"/>
    <w:rsid w:val="00F36D77"/>
    <w:rsid w:val="00F422CD"/>
    <w:rsid w:val="00F42AEB"/>
    <w:rsid w:val="00F42FC4"/>
    <w:rsid w:val="00F441BE"/>
    <w:rsid w:val="00F4490E"/>
    <w:rsid w:val="00F45BDC"/>
    <w:rsid w:val="00F46A7F"/>
    <w:rsid w:val="00F47A31"/>
    <w:rsid w:val="00F47D10"/>
    <w:rsid w:val="00F52965"/>
    <w:rsid w:val="00F5318A"/>
    <w:rsid w:val="00F54354"/>
    <w:rsid w:val="00F64C59"/>
    <w:rsid w:val="00F71592"/>
    <w:rsid w:val="00F71C7C"/>
    <w:rsid w:val="00F72F58"/>
    <w:rsid w:val="00F7407B"/>
    <w:rsid w:val="00F7636A"/>
    <w:rsid w:val="00F80474"/>
    <w:rsid w:val="00F8307D"/>
    <w:rsid w:val="00F83D7D"/>
    <w:rsid w:val="00F83EA2"/>
    <w:rsid w:val="00F84BFF"/>
    <w:rsid w:val="00F84D57"/>
    <w:rsid w:val="00F85580"/>
    <w:rsid w:val="00F85FA1"/>
    <w:rsid w:val="00F86B82"/>
    <w:rsid w:val="00F9170F"/>
    <w:rsid w:val="00F922AA"/>
    <w:rsid w:val="00F9507F"/>
    <w:rsid w:val="00F97B8B"/>
    <w:rsid w:val="00FA17B2"/>
    <w:rsid w:val="00FA34CC"/>
    <w:rsid w:val="00FA5CF6"/>
    <w:rsid w:val="00FA686F"/>
    <w:rsid w:val="00FB048F"/>
    <w:rsid w:val="00FB3FB5"/>
    <w:rsid w:val="00FB5A5C"/>
    <w:rsid w:val="00FB61EF"/>
    <w:rsid w:val="00FB6FA8"/>
    <w:rsid w:val="00FC255F"/>
    <w:rsid w:val="00FC2678"/>
    <w:rsid w:val="00FC3C4D"/>
    <w:rsid w:val="00FC3DEE"/>
    <w:rsid w:val="00FC501F"/>
    <w:rsid w:val="00FC616F"/>
    <w:rsid w:val="00FC64A4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9D0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556B4C"/>
    <w:rsid w:val="0CD6C8E2"/>
    <w:rsid w:val="0D1B25FC"/>
    <w:rsid w:val="0D458C1C"/>
    <w:rsid w:val="0E0CDA7D"/>
    <w:rsid w:val="0EF774F8"/>
    <w:rsid w:val="10B9CCE1"/>
    <w:rsid w:val="10E48B4C"/>
    <w:rsid w:val="118E25D2"/>
    <w:rsid w:val="146B22AB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64F753B"/>
    <w:rsid w:val="4C3EA36E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6776E0E"/>
    <w:rsid w:val="575579AB"/>
    <w:rsid w:val="58679F10"/>
    <w:rsid w:val="59C908CE"/>
    <w:rsid w:val="5B6B783E"/>
    <w:rsid w:val="5BCA9AF6"/>
    <w:rsid w:val="5DDEE69A"/>
    <w:rsid w:val="5EE16208"/>
    <w:rsid w:val="5EE81AFE"/>
    <w:rsid w:val="5FB826F7"/>
    <w:rsid w:val="601A1D0B"/>
    <w:rsid w:val="63232560"/>
    <w:rsid w:val="6339AB16"/>
    <w:rsid w:val="63F757F1"/>
    <w:rsid w:val="64551E2C"/>
    <w:rsid w:val="6495636B"/>
    <w:rsid w:val="679146BB"/>
    <w:rsid w:val="67FA39A8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  <w:rsid w:val="7F94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0617E"/>
  <w15:docId w15:val="{A1589F10-9BDD-452E-B510-9E008B27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5471BA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512BFB"/>
    <w:pPr>
      <w:tabs>
        <w:tab w:val="right" w:pos="9026"/>
      </w:tabs>
    </w:pPr>
    <w:rPr>
      <w:rFonts w:ascii="Verdana" w:hAnsi="Verdana"/>
      <w:b/>
      <w:color w:val="186D83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D5E7D"/>
    <w:pPr>
      <w:tabs>
        <w:tab w:val="right" w:pos="9026"/>
      </w:tabs>
    </w:pPr>
    <w:rPr>
      <w:rFonts w:ascii="Verdana" w:hAnsi="Verdana"/>
      <w:b/>
      <w:bCs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512BFB"/>
    <w:rPr>
      <w:rFonts w:ascii="Verdana" w:eastAsiaTheme="minorEastAsia" w:hAnsi="Verdana"/>
      <w:b/>
      <w:color w:val="186D83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8D5E7D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DateChar">
    <w:name w:val="Doc Date Char"/>
    <w:basedOn w:val="DefaultParagraphFont"/>
    <w:link w:val="DocDate"/>
    <w:rsid w:val="008D5E7D"/>
    <w:rPr>
      <w:rFonts w:ascii="Verdana" w:eastAsiaTheme="minorEastAsia" w:hAnsi="Verdana"/>
      <w:b/>
      <w:bCs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8D5E7D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7F60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60FD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8A5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5153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8A5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5153"/>
    <w:rPr>
      <w:rFonts w:eastAsiaTheme="minorEastAsia"/>
      <w:lang w:eastAsia="en-AU"/>
    </w:rPr>
  </w:style>
  <w:style w:type="character" w:styleId="Mention">
    <w:name w:val="Mention"/>
    <w:basedOn w:val="DefaultParagraphFont"/>
    <w:uiPriority w:val="99"/>
    <w:unhideWhenUsed/>
    <w:rsid w:val="007D05E3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con.gouskos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accan.org.au/about-us/reporting/reconcilitiation-action-plan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Gouskos\ACCAN\ACCAN%20-%20Issues\Infrastructure\Spectrum\Ministerial%20Policy%20Statement%20-%20Expiring%20Spectrum%20Licences\ACCAN%20submission%20to%20the%20DITRDCA%20consultation%20on%20the%20ministerial%20policy%20statement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1B8366B727E549B51F19B2B16DD61A" ma:contentTypeVersion="20" ma:contentTypeDescription="Create a new document." ma:contentTypeScope="" ma:versionID="e62f20f92fa2310e04eae3e652e5d745">
  <xsd:schema xmlns:xsd="http://www.w3.org/2001/XMLSchema" xmlns:xs="http://www.w3.org/2001/XMLSchema" xmlns:p="http://schemas.microsoft.com/office/2006/metadata/properties" xmlns:ns2="a8216cc2-e404-46cc-a0b4-4841820a541e" xmlns:ns3="2afa1a33-c191-48ee-b288-192490d33fec" targetNamespace="http://schemas.microsoft.com/office/2006/metadata/properties" ma:root="true" ma:fieldsID="947508e41c540ab6f9d14db192347315" ns2:_="" ns3:_="">
    <xsd:import namespace="a8216cc2-e404-46cc-a0b4-4841820a541e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16cc2-e404-46cc-a0b4-4841820a54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Samuel Kininmonth</DisplayName>
        <AccountId>2085</AccountId>
        <AccountType/>
      </UserInfo>
      <UserInfo>
        <DisplayName>Con Gouskos</DisplayName>
        <AccountId>3107</AccountId>
        <AccountType/>
      </UserInfo>
      <UserInfo>
        <DisplayName>Audrey Reoch</DisplayName>
        <AccountId>4947</AccountId>
        <AccountType/>
      </UserInfo>
      <UserInfo>
        <DisplayName>Amelia Radke</DisplayName>
        <AccountId>3890</AccountId>
        <AccountType/>
      </UserInfo>
      <UserInfo>
        <DisplayName>David Swayn</DisplayName>
        <AccountId>5369</AccountId>
        <AccountType/>
      </UserInfo>
      <UserInfo>
        <DisplayName>Gareth Downing</DisplayName>
        <AccountId>3590</AccountId>
        <AccountType/>
      </UserInfo>
      <UserInfo>
        <DisplayName>Kate Evans</DisplayName>
        <AccountId>23</AccountId>
        <AccountType/>
      </UserInfo>
    </SharedWithUsers>
    <TaxCatchAll xmlns="2afa1a33-c191-48ee-b288-192490d33fec" xsi:nil="true"/>
    <lcf76f155ced4ddcb4097134ff3c332f xmlns="a8216cc2-e404-46cc-a0b4-4841820a541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6590D2-4ABE-4872-9B2F-51D1C214D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216cc2-e404-46cc-a0b4-4841820a541e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2afa1a33-c191-48ee-b288-192490d33fec"/>
    <ds:schemaRef ds:uri="a8216cc2-e404-46cc-a0b4-4841820a541e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ACCAN submission to the DITRDCA consultation on the ministerial policy statement</Template>
  <TotalTime>3</TotalTime>
  <Pages>2</Pages>
  <Words>789</Words>
  <Characters>4499</Characters>
  <Application>Microsoft Office Word</Application>
  <DocSecurity>0</DocSecurity>
  <Lines>37</Lines>
  <Paragraphs>10</Paragraphs>
  <ScaleCrop>false</ScaleCrop>
  <Company/>
  <LinksUpToDate>false</LinksUpToDate>
  <CharactersWithSpaces>5278</CharactersWithSpaces>
  <SharedDoc>false</SharedDoc>
  <HLinks>
    <vt:vector size="12" baseType="variant">
      <vt:variant>
        <vt:i4>4784136</vt:i4>
      </vt:variant>
      <vt:variant>
        <vt:i4>3</vt:i4>
      </vt:variant>
      <vt:variant>
        <vt:i4>0</vt:i4>
      </vt:variant>
      <vt:variant>
        <vt:i4>5</vt:i4>
      </vt:variant>
      <vt:variant>
        <vt:lpwstr>https://accan.org.au/about-us/reporting/reconcilitiation-action-plan</vt:lpwstr>
      </vt:variant>
      <vt:variant>
        <vt:lpwstr/>
      </vt:variant>
      <vt:variant>
        <vt:i4>6291528</vt:i4>
      </vt:variant>
      <vt:variant>
        <vt:i4>0</vt:i4>
      </vt:variant>
      <vt:variant>
        <vt:i4>0</vt:i4>
      </vt:variant>
      <vt:variant>
        <vt:i4>5</vt:i4>
      </vt:variant>
      <vt:variant>
        <vt:lpwstr>mailto:con.gouskos@accan.org.au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 Gouskos</dc:creator>
  <cp:keywords/>
  <cp:lastModifiedBy>Con Gouskos</cp:lastModifiedBy>
  <cp:revision>375</cp:revision>
  <cp:lastPrinted>2024-04-30T03:02:00Z</cp:lastPrinted>
  <dcterms:created xsi:type="dcterms:W3CDTF">2024-04-10T03:34:00Z</dcterms:created>
  <dcterms:modified xsi:type="dcterms:W3CDTF">2024-04-30T03:02:00Z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16;#Rebekah Sarkoezy;#27;#Meredith Lea</vt:lpwstr>
  </property>
  <property fmtid="{D5CDD505-2E9C-101B-9397-08002B2CF9AE}" pid="3" name="MediaServiceImageTags">
    <vt:lpwstr/>
  </property>
  <property fmtid="{D5CDD505-2E9C-101B-9397-08002B2CF9AE}" pid="4" name="ContentTypeId">
    <vt:lpwstr>0x0101008E1B8366B727E549B51F19B2B16DD61A</vt:lpwstr>
  </property>
</Properties>
</file>