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8224A" w14:textId="77777777" w:rsidR="00C5300D" w:rsidRPr="00030AF9" w:rsidRDefault="00C5300D" w:rsidP="00C5300D">
      <w:pPr>
        <w:pStyle w:val="Letterhead1"/>
        <w:jc w:val="center"/>
      </w:pPr>
      <w:bookmarkStart w:id="0" w:name="_Hlk95835868"/>
    </w:p>
    <w:p w14:paraId="15D82449" w14:textId="77777777" w:rsidR="00C5300D" w:rsidRPr="00030AF9" w:rsidRDefault="00C5300D" w:rsidP="00C5300D">
      <w:pPr>
        <w:tabs>
          <w:tab w:val="left" w:pos="5070"/>
        </w:tabs>
        <w:rPr>
          <w:rFonts w:ascii="Gotham" w:hAnsi="Gotham"/>
          <w:b/>
          <w:bCs/>
        </w:rPr>
      </w:pPr>
      <w:r w:rsidRPr="00030AF9">
        <w:rPr>
          <w:rFonts w:ascii="Gotham" w:hAnsi="Gotham"/>
          <w:b/>
          <w:bCs/>
        </w:rPr>
        <w:tab/>
      </w:r>
    </w:p>
    <w:p w14:paraId="1FF4CF3A" w14:textId="77777777" w:rsidR="00C5300D" w:rsidRPr="00030AF9" w:rsidRDefault="00C5300D" w:rsidP="00C5300D">
      <w:pPr>
        <w:tabs>
          <w:tab w:val="left" w:pos="3855"/>
        </w:tabs>
        <w:rPr>
          <w:rFonts w:ascii="Gotham" w:hAnsi="Gotham"/>
          <w:b/>
          <w:bCs/>
        </w:rPr>
      </w:pPr>
    </w:p>
    <w:p w14:paraId="0DBE9B39" w14:textId="77777777" w:rsidR="00C5300D" w:rsidRPr="00030AF9" w:rsidRDefault="00C5300D" w:rsidP="00C5300D">
      <w:pPr>
        <w:tabs>
          <w:tab w:val="left" w:pos="3855"/>
        </w:tabs>
        <w:rPr>
          <w:rFonts w:ascii="Gotham" w:hAnsi="Gotham"/>
          <w:b/>
          <w:bCs/>
        </w:rPr>
      </w:pPr>
    </w:p>
    <w:p w14:paraId="0EA2BB71" w14:textId="77777777" w:rsidR="00C5300D" w:rsidRPr="00030AF9" w:rsidRDefault="00C5300D" w:rsidP="00C5300D">
      <w:pPr>
        <w:tabs>
          <w:tab w:val="left" w:pos="3855"/>
        </w:tabs>
        <w:rPr>
          <w:rFonts w:ascii="Gotham" w:hAnsi="Gotham"/>
          <w:b/>
          <w:bCs/>
        </w:rPr>
      </w:pPr>
    </w:p>
    <w:p w14:paraId="1B4AEB46" w14:textId="77777777" w:rsidR="006A16AA" w:rsidRPr="00030AF9" w:rsidRDefault="006A16AA" w:rsidP="00C5300D">
      <w:pPr>
        <w:tabs>
          <w:tab w:val="left" w:pos="3855"/>
        </w:tabs>
        <w:rPr>
          <w:rFonts w:ascii="Gotham" w:hAnsi="Gotham"/>
          <w:b/>
          <w:bCs/>
        </w:rPr>
        <w:sectPr w:rsidR="006A16AA" w:rsidRPr="00030AF9"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24309514" w14:textId="77777777" w:rsidR="00C5300D" w:rsidRPr="00030AF9" w:rsidRDefault="00C5300D" w:rsidP="00C5300D">
      <w:pPr>
        <w:tabs>
          <w:tab w:val="left" w:pos="3855"/>
        </w:tabs>
        <w:rPr>
          <w:rFonts w:ascii="Gotham" w:hAnsi="Gotham"/>
          <w:b/>
          <w:bCs/>
        </w:rPr>
      </w:pPr>
    </w:p>
    <w:p w14:paraId="446E801A" w14:textId="77777777" w:rsidR="006A16AA" w:rsidRPr="00030AF9" w:rsidRDefault="006A16AA" w:rsidP="00C5300D">
      <w:pPr>
        <w:tabs>
          <w:tab w:val="left" w:pos="3855"/>
        </w:tabs>
        <w:rPr>
          <w:rFonts w:ascii="Gotham" w:hAnsi="Gotham"/>
          <w:b/>
          <w:bCs/>
        </w:rPr>
      </w:pPr>
    </w:p>
    <w:p w14:paraId="39465C7D" w14:textId="7D0E8919" w:rsidR="00C5300D" w:rsidRPr="00030AF9" w:rsidRDefault="006A16AA" w:rsidP="006A16AA">
      <w:pPr>
        <w:tabs>
          <w:tab w:val="left" w:pos="3855"/>
        </w:tabs>
        <w:spacing w:after="120"/>
        <w:rPr>
          <w:rFonts w:ascii="Calibri" w:hAnsi="Calibri" w:cstheme="minorHAnsi"/>
          <w:b/>
          <w:color w:val="FFFFFF" w:themeColor="background1"/>
          <w:sz w:val="44"/>
          <w:szCs w:val="44"/>
        </w:rPr>
      </w:pPr>
      <w:r w:rsidRPr="00030AF9">
        <w:rPr>
          <w:rFonts w:ascii="Calibri" w:hAnsi="Calibri" w:cstheme="minorHAnsi"/>
          <w:b/>
          <w:color w:val="FFFFFF" w:themeColor="background1"/>
          <w:sz w:val="44"/>
          <w:szCs w:val="44"/>
        </w:rPr>
        <w:t>Telecommunications (Customer Communications for Outages) Industry Standard 2024</w:t>
      </w:r>
    </w:p>
    <w:p w14:paraId="303FEF4F" w14:textId="6B034443" w:rsidR="00C5300D" w:rsidRPr="00030AF9" w:rsidRDefault="002A52B7" w:rsidP="009B2A33">
      <w:pPr>
        <w:pStyle w:val="DocDate"/>
        <w:spacing w:after="0"/>
      </w:pPr>
      <w:r>
        <w:t xml:space="preserve">23 </w:t>
      </w:r>
      <w:r w:rsidR="006A16AA" w:rsidRPr="00030AF9">
        <w:t>October 2024</w:t>
      </w:r>
    </w:p>
    <w:bookmarkEnd w:id="0"/>
    <w:p w14:paraId="1FCC6B1D" w14:textId="77777777" w:rsidR="00C5300D" w:rsidRPr="0081759C" w:rsidRDefault="00C5300D" w:rsidP="009B2A33">
      <w:pPr>
        <w:tabs>
          <w:tab w:val="left" w:pos="3855"/>
        </w:tabs>
        <w:spacing w:after="0"/>
        <w:rPr>
          <w:rFonts w:ascii="Gotham" w:hAnsi="Gotham"/>
          <w:b/>
          <w:bCs/>
          <w:sz w:val="8"/>
          <w:szCs w:val="8"/>
        </w:rPr>
      </w:pPr>
    </w:p>
    <w:p w14:paraId="003600F8" w14:textId="77777777" w:rsidR="00C5300D" w:rsidRPr="00030AF9" w:rsidRDefault="00C5300D" w:rsidP="009B2A33">
      <w:pPr>
        <w:pStyle w:val="Heading1"/>
        <w:tabs>
          <w:tab w:val="right" w:pos="9026"/>
        </w:tabs>
        <w:spacing w:before="240"/>
      </w:pPr>
      <w:r w:rsidRPr="00030AF9">
        <w:t>Recommendations</w:t>
      </w:r>
      <w:r w:rsidR="007406FE" w:rsidRPr="00030AF9">
        <w:tab/>
      </w:r>
    </w:p>
    <w:p w14:paraId="32CFDDDF" w14:textId="3DC353D2" w:rsidR="00C5300D" w:rsidRPr="00030AF9" w:rsidRDefault="008513B8" w:rsidP="00C5300D">
      <w:pPr>
        <w:pStyle w:val="Titlepagerecs"/>
        <w:shd w:val="clear" w:color="auto" w:fill="B3E8FA" w:themeFill="accent1" w:themeFillTint="66"/>
        <w:rPr>
          <w:rStyle w:val="Emphasis"/>
        </w:rPr>
      </w:pPr>
      <w:r w:rsidRPr="00030AF9">
        <w:rPr>
          <w:rStyle w:val="Emphasis"/>
        </w:rPr>
        <w:t>In this</w:t>
      </w:r>
      <w:r w:rsidR="00C5300D" w:rsidRPr="00030AF9">
        <w:rPr>
          <w:rStyle w:val="Emphasis"/>
        </w:rPr>
        <w:t xml:space="preserve"> submission </w:t>
      </w:r>
      <w:r w:rsidRPr="00030AF9">
        <w:rPr>
          <w:rStyle w:val="Emphasis"/>
        </w:rPr>
        <w:t xml:space="preserve">ACCAN </w:t>
      </w:r>
      <w:r w:rsidR="00C5300D" w:rsidRPr="00030AF9">
        <w:rPr>
          <w:rStyle w:val="Emphasis"/>
        </w:rPr>
        <w:t>recommends that</w:t>
      </w:r>
      <w:r w:rsidRPr="00030AF9">
        <w:rPr>
          <w:rStyle w:val="Emphasis"/>
        </w:rPr>
        <w:t xml:space="preserve"> the ACMA</w:t>
      </w:r>
      <w:r w:rsidR="00C5300D" w:rsidRPr="00030AF9">
        <w:rPr>
          <w:rStyle w:val="Emphasis"/>
        </w:rPr>
        <w:t>:</w:t>
      </w:r>
    </w:p>
    <w:p w14:paraId="6B7F7B31" w14:textId="77777777" w:rsidR="00C5300D" w:rsidRPr="00030AF9" w:rsidRDefault="00C5300D" w:rsidP="00C5300D">
      <w:pPr>
        <w:spacing w:after="0"/>
        <w:contextualSpacing/>
        <w:rPr>
          <w:sz w:val="16"/>
          <w:szCs w:val="16"/>
        </w:rPr>
      </w:pPr>
    </w:p>
    <w:p w14:paraId="14A60475" w14:textId="2E0BF7E3" w:rsidR="00C5300D" w:rsidRPr="00030AF9" w:rsidRDefault="00C04A67" w:rsidP="00C04A67">
      <w:pPr>
        <w:pStyle w:val="Titlepagerecs"/>
        <w:numPr>
          <w:ilvl w:val="0"/>
          <w:numId w:val="39"/>
        </w:numPr>
        <w:shd w:val="clear" w:color="auto" w:fill="B3E8FA" w:themeFill="accent1" w:themeFillTint="66"/>
        <w:tabs>
          <w:tab w:val="left" w:pos="1134"/>
        </w:tabs>
        <w:ind w:left="709" w:hanging="567"/>
        <w:rPr>
          <w:rStyle w:val="Emphasis"/>
        </w:rPr>
      </w:pPr>
      <w:r>
        <w:rPr>
          <w:rStyle w:val="Emphasis"/>
        </w:rPr>
        <w:t>Provide clearer and more expansive definitions of ‘major’ and ‘local’ outages.</w:t>
      </w:r>
    </w:p>
    <w:p w14:paraId="4005C782" w14:textId="77777777" w:rsidR="00C5300D" w:rsidRPr="00030AF9" w:rsidRDefault="00C5300D" w:rsidP="00C5300D">
      <w:pPr>
        <w:spacing w:after="0"/>
        <w:contextualSpacing/>
        <w:rPr>
          <w:sz w:val="16"/>
          <w:szCs w:val="16"/>
        </w:rPr>
      </w:pPr>
    </w:p>
    <w:p w14:paraId="38C3993F" w14:textId="63713E42" w:rsidR="00C5300D" w:rsidRDefault="001B7A2E" w:rsidP="001B7A2E">
      <w:pPr>
        <w:pStyle w:val="Titlepagerecs"/>
        <w:numPr>
          <w:ilvl w:val="0"/>
          <w:numId w:val="39"/>
        </w:numPr>
        <w:shd w:val="clear" w:color="auto" w:fill="B3E8FA" w:themeFill="accent1" w:themeFillTint="66"/>
        <w:tabs>
          <w:tab w:val="left" w:pos="1134"/>
        </w:tabs>
        <w:ind w:left="709" w:hanging="567"/>
        <w:rPr>
          <w:rStyle w:val="Emphasis"/>
        </w:rPr>
      </w:pPr>
      <w:r>
        <w:rPr>
          <w:rStyle w:val="Emphasis"/>
        </w:rPr>
        <w:t>Eliminate the exception for natural disasters.</w:t>
      </w:r>
      <w:r w:rsidR="007671C2" w:rsidRPr="00030AF9">
        <w:rPr>
          <w:rStyle w:val="Emphasis"/>
        </w:rPr>
        <w:t xml:space="preserve"> </w:t>
      </w:r>
    </w:p>
    <w:p w14:paraId="47BE7456" w14:textId="77777777" w:rsidR="00DF05C8" w:rsidRPr="0081759C" w:rsidRDefault="00DF05C8" w:rsidP="0081759C">
      <w:pPr>
        <w:spacing w:after="0"/>
        <w:rPr>
          <w:sz w:val="16"/>
          <w:szCs w:val="16"/>
        </w:rPr>
      </w:pPr>
    </w:p>
    <w:p w14:paraId="5DD33014" w14:textId="59B2B7D2" w:rsidR="001B7A2E" w:rsidRDefault="001B7A2E" w:rsidP="001B7A2E">
      <w:pPr>
        <w:pStyle w:val="Titlepagerecs"/>
        <w:numPr>
          <w:ilvl w:val="0"/>
          <w:numId w:val="39"/>
        </w:numPr>
        <w:shd w:val="clear" w:color="auto" w:fill="B3E8FA" w:themeFill="accent1" w:themeFillTint="66"/>
        <w:tabs>
          <w:tab w:val="left" w:pos="1134"/>
        </w:tabs>
        <w:ind w:left="709" w:hanging="567"/>
        <w:rPr>
          <w:rStyle w:val="Emphasis"/>
        </w:rPr>
      </w:pPr>
      <w:r w:rsidRPr="00030AF9">
        <w:rPr>
          <w:rStyle w:val="Emphasis"/>
        </w:rPr>
        <w:t xml:space="preserve">Strengthen the communications requirements for </w:t>
      </w:r>
      <w:r w:rsidR="00475862">
        <w:rPr>
          <w:rStyle w:val="Emphasis"/>
        </w:rPr>
        <w:t>carriers</w:t>
      </w:r>
      <w:r>
        <w:rPr>
          <w:rStyle w:val="Emphasis"/>
        </w:rPr>
        <w:t xml:space="preserve"> </w:t>
      </w:r>
      <w:r w:rsidR="0003039D">
        <w:rPr>
          <w:rStyle w:val="Emphasis"/>
        </w:rPr>
        <w:t xml:space="preserve">and carriage service providers </w:t>
      </w:r>
      <w:r>
        <w:rPr>
          <w:rStyle w:val="Emphasis"/>
        </w:rPr>
        <w:t>by</w:t>
      </w:r>
      <w:r w:rsidRPr="00030AF9">
        <w:rPr>
          <w:rStyle w:val="Emphasis"/>
        </w:rPr>
        <w:t xml:space="preserve"> requiring more pro-active and b</w:t>
      </w:r>
      <w:r>
        <w:rPr>
          <w:rStyle w:val="Emphasis"/>
        </w:rPr>
        <w:t>roader</w:t>
      </w:r>
      <w:r w:rsidRPr="00030AF9">
        <w:rPr>
          <w:rStyle w:val="Emphasis"/>
        </w:rPr>
        <w:t xml:space="preserve"> communications to consumers in case of outages. </w:t>
      </w:r>
    </w:p>
    <w:p w14:paraId="42DAE99E" w14:textId="77777777" w:rsidR="00C5300D" w:rsidRPr="00030AF9" w:rsidRDefault="00C5300D" w:rsidP="00C5300D">
      <w:pPr>
        <w:spacing w:after="0"/>
        <w:contextualSpacing/>
        <w:rPr>
          <w:sz w:val="16"/>
          <w:szCs w:val="16"/>
        </w:rPr>
      </w:pPr>
    </w:p>
    <w:p w14:paraId="6341232B" w14:textId="464C1067" w:rsidR="00C5300D" w:rsidRPr="00030AF9" w:rsidRDefault="00C04A67" w:rsidP="009B2A33">
      <w:pPr>
        <w:pStyle w:val="Titlepagerecs"/>
        <w:numPr>
          <w:ilvl w:val="0"/>
          <w:numId w:val="39"/>
        </w:numPr>
        <w:shd w:val="clear" w:color="auto" w:fill="B3E8FA" w:themeFill="accent1" w:themeFillTint="66"/>
        <w:tabs>
          <w:tab w:val="left" w:pos="1134"/>
        </w:tabs>
        <w:spacing w:after="240"/>
        <w:ind w:left="709" w:hanging="567"/>
        <w:rPr>
          <w:rStyle w:val="Emphasis"/>
        </w:rPr>
      </w:pPr>
      <w:r w:rsidRPr="00030AF9">
        <w:rPr>
          <w:rStyle w:val="Emphasis"/>
        </w:rPr>
        <w:t>Provide explicit accessibility requirements within the standard.</w:t>
      </w:r>
    </w:p>
    <w:p w14:paraId="74E444FF" w14:textId="77777777" w:rsidR="00C5300D" w:rsidRPr="00030AF9" w:rsidRDefault="00C5300D" w:rsidP="008168A5">
      <w:pPr>
        <w:pStyle w:val="Heading1"/>
      </w:pPr>
      <w:r w:rsidRPr="00030AF9">
        <w:t>About this submission</w:t>
      </w:r>
    </w:p>
    <w:p w14:paraId="7437D841" w14:textId="4516CFEC" w:rsidR="00C5300D" w:rsidRPr="00030AF9" w:rsidRDefault="00C5300D" w:rsidP="00C5300D">
      <w:r w:rsidRPr="00030AF9">
        <w:t>The Australian Communications Consumer Action Network (</w:t>
      </w:r>
      <w:r w:rsidRPr="00030AF9">
        <w:rPr>
          <w:b/>
          <w:bCs/>
        </w:rPr>
        <w:t>ACCAN</w:t>
      </w:r>
      <w:r w:rsidRPr="00030AF9">
        <w:t xml:space="preserve">) is pleased to provide this submission to </w:t>
      </w:r>
      <w:r w:rsidR="006A16AA" w:rsidRPr="00030AF9">
        <w:t>the Australian Communications and Media Authority (</w:t>
      </w:r>
      <w:r w:rsidR="006A16AA" w:rsidRPr="00030AF9">
        <w:rPr>
          <w:b/>
          <w:bCs/>
        </w:rPr>
        <w:t>ACMA</w:t>
      </w:r>
      <w:r w:rsidR="006A16AA" w:rsidRPr="00030AF9">
        <w:t xml:space="preserve">) commenting on the proposed </w:t>
      </w:r>
      <w:r w:rsidR="006A16AA" w:rsidRPr="00030AF9">
        <w:rPr>
          <w:i/>
          <w:iCs/>
        </w:rPr>
        <w:t xml:space="preserve">Telecommunications (Customer Communications for Outages) Industry Standard 2024 </w:t>
      </w:r>
      <w:r w:rsidR="006A16AA" w:rsidRPr="00030AF9">
        <w:t>(</w:t>
      </w:r>
      <w:r w:rsidR="006A16AA" w:rsidRPr="00030AF9">
        <w:rPr>
          <w:b/>
          <w:bCs/>
        </w:rPr>
        <w:t>the standard</w:t>
      </w:r>
      <w:r w:rsidR="006A16AA" w:rsidRPr="00030AF9">
        <w:t xml:space="preserve">). ACCAN welcomes the development of an industry standard for communications, having </w:t>
      </w:r>
      <w:r w:rsidR="00B7640F" w:rsidRPr="00030AF9">
        <w:t>called for stronger action in this field following the Optus Outage on 8 November 2023.</w:t>
      </w:r>
      <w:r w:rsidR="00B7640F" w:rsidRPr="00030AF9">
        <w:rPr>
          <w:rStyle w:val="FootnoteReference"/>
        </w:rPr>
        <w:footnoteReference w:id="2"/>
      </w:r>
    </w:p>
    <w:p w14:paraId="39446F25" w14:textId="13658863" w:rsidR="00C5300D" w:rsidRPr="00030AF9" w:rsidRDefault="00131142" w:rsidP="00C5300D">
      <w:r w:rsidRPr="00030AF9">
        <w:t xml:space="preserve">ACCAN is concerned that the proposed standard provides </w:t>
      </w:r>
      <w:r w:rsidR="00475862">
        <w:t xml:space="preserve">insufficient </w:t>
      </w:r>
      <w:r w:rsidR="004E14EC">
        <w:t>communications standards to inform</w:t>
      </w:r>
      <w:r w:rsidR="00F457A2" w:rsidRPr="00030AF9">
        <w:t xml:space="preserve"> consumers </w:t>
      </w:r>
      <w:r w:rsidR="008F2DC5" w:rsidRPr="00030AF9">
        <w:t xml:space="preserve">exposed to </w:t>
      </w:r>
      <w:r w:rsidR="004E14EC">
        <w:t>outages</w:t>
      </w:r>
      <w:r w:rsidR="00825E3D" w:rsidRPr="00030AF9">
        <w:t xml:space="preserve">, while also being too </w:t>
      </w:r>
      <w:r w:rsidR="00F16A42">
        <w:t>ambiguous</w:t>
      </w:r>
      <w:r w:rsidR="00825E3D" w:rsidRPr="00030AF9">
        <w:t xml:space="preserve"> for </w:t>
      </w:r>
      <w:r w:rsidR="00475862">
        <w:t>carriers</w:t>
      </w:r>
      <w:r w:rsidR="005F3817">
        <w:t xml:space="preserve"> and carriage service providers</w:t>
      </w:r>
      <w:r w:rsidR="00825E3D" w:rsidRPr="00030AF9">
        <w:t xml:space="preserve"> to </w:t>
      </w:r>
      <w:r w:rsidR="004E14EC">
        <w:t xml:space="preserve">effectively </w:t>
      </w:r>
      <w:r w:rsidR="00825E3D" w:rsidRPr="00030AF9">
        <w:t>comply with. ACCAN strongly recommends that the ACMA revise the standard to strengthen and streamline its requirements</w:t>
      </w:r>
      <w:r w:rsidR="00C2637B">
        <w:t>, to better emphasise requirements which support consumer welfare</w:t>
      </w:r>
      <w:r w:rsidR="00F5391C">
        <w:t xml:space="preserve">. </w:t>
      </w:r>
      <w:r w:rsidR="00C5300D" w:rsidRPr="00030AF9">
        <w:br w:type="page"/>
      </w:r>
    </w:p>
    <w:p w14:paraId="770E2F5F" w14:textId="77777777" w:rsidR="00C5300D" w:rsidRPr="00030AF9" w:rsidRDefault="00C5300D" w:rsidP="00C5300D">
      <w:pPr>
        <w:pStyle w:val="Heading1"/>
      </w:pPr>
      <w:bookmarkStart w:id="1" w:name="_Toc178774250"/>
      <w:r w:rsidRPr="00030AF9">
        <w:lastRenderedPageBreak/>
        <w:t>Introduction</w:t>
      </w:r>
      <w:bookmarkEnd w:id="1"/>
    </w:p>
    <w:p w14:paraId="50C4D92C" w14:textId="77777777" w:rsidR="00177568" w:rsidRDefault="008B5236" w:rsidP="008B5236">
      <w:r w:rsidRPr="00030AF9">
        <w:t xml:space="preserve">ACCAN appreciates the ACMA’s efforts to codify a workable communications standard in response to major and local outages. However, </w:t>
      </w:r>
      <w:r w:rsidR="00A336E7" w:rsidRPr="00030AF9">
        <w:t xml:space="preserve">ACCAN considers that the standard could be made significantly more effective and easier to implement through reducing ambiguity within the standard and imposing </w:t>
      </w:r>
      <w:r w:rsidR="00CF3F73">
        <w:t>clearer</w:t>
      </w:r>
      <w:r w:rsidR="00CF3F73" w:rsidRPr="00030AF9">
        <w:t xml:space="preserve"> </w:t>
      </w:r>
      <w:r w:rsidR="00A336E7" w:rsidRPr="00030AF9">
        <w:t>requirements upon telecommunications carrier</w:t>
      </w:r>
      <w:r w:rsidR="00D959B0">
        <w:t>s and carriage service providers</w:t>
      </w:r>
      <w:r w:rsidR="00A336E7" w:rsidRPr="00030AF9">
        <w:t xml:space="preserve">. </w:t>
      </w:r>
    </w:p>
    <w:p w14:paraId="32FFBF4C" w14:textId="6CECBABD" w:rsidR="008B5236" w:rsidRDefault="0041434B" w:rsidP="008B5236">
      <w:r w:rsidRPr="00030AF9">
        <w:t>This would not only reduce operational uncertainty for carriers</w:t>
      </w:r>
      <w:r w:rsidR="00D959B0">
        <w:t xml:space="preserve"> and carriage service providers</w:t>
      </w:r>
      <w:r w:rsidRPr="00030AF9">
        <w:t xml:space="preserve">, but also </w:t>
      </w:r>
      <w:r w:rsidR="00B13A6B">
        <w:t xml:space="preserve">support </w:t>
      </w:r>
      <w:r w:rsidR="00D55D43">
        <w:t xml:space="preserve">consumer </w:t>
      </w:r>
      <w:r w:rsidR="004F01E3">
        <w:t>confidence in</w:t>
      </w:r>
      <w:r w:rsidR="00B13A6B">
        <w:t xml:space="preserve"> the communications sector, which was severely impacted by the Optus Outage of 8 November 2023. </w:t>
      </w:r>
    </w:p>
    <w:p w14:paraId="0F3A98E3" w14:textId="77777777" w:rsidR="000A3CB8" w:rsidRDefault="000A3CB8" w:rsidP="000A3CB8">
      <w:r>
        <w:t xml:space="preserve">As noted by the Bean review, the consumer harm from last year’s Optus outage was extensive: </w:t>
      </w:r>
    </w:p>
    <w:p w14:paraId="0C6EBC4D" w14:textId="54F17F32" w:rsidR="000A3CB8" w:rsidRDefault="000A3CB8" w:rsidP="000A3CB8">
      <w:pPr>
        <w:ind w:left="720"/>
      </w:pPr>
      <w:r w:rsidRPr="00695495">
        <w:rPr>
          <w:i/>
          <w:iCs/>
        </w:rPr>
        <w:t>Hospitals were hampered in their critical work. Businesses lost the ability to trade. Transport networks were disrupted. These breakdowns posed real risks to personal health and safety</w:t>
      </w:r>
      <w:r>
        <w:rPr>
          <w:i/>
          <w:iCs/>
        </w:rPr>
        <w:t>…</w:t>
      </w:r>
      <w:r w:rsidRPr="00695495">
        <w:rPr>
          <w:i/>
          <w:iCs/>
        </w:rPr>
        <w:t xml:space="preserve"> loss of income and productivity and</w:t>
      </w:r>
      <w:r>
        <w:rPr>
          <w:i/>
          <w:iCs/>
        </w:rPr>
        <w:t xml:space="preserve">… </w:t>
      </w:r>
      <w:r w:rsidRPr="00695495">
        <w:rPr>
          <w:i/>
          <w:iCs/>
        </w:rPr>
        <w:t>widespread distress in many parts of our community.</w:t>
      </w:r>
      <w:r>
        <w:rPr>
          <w:rStyle w:val="FootnoteReference"/>
          <w:i/>
          <w:iCs/>
        </w:rPr>
        <w:footnoteReference w:id="3"/>
      </w:r>
    </w:p>
    <w:p w14:paraId="6FEAEC83" w14:textId="2167D4CA" w:rsidR="001761B6" w:rsidRDefault="0011186B" w:rsidP="008B5236">
      <w:r>
        <w:t xml:space="preserve">Noting these material risks to </w:t>
      </w:r>
      <w:r w:rsidR="00312AF0">
        <w:t xml:space="preserve">consumer health, safety and </w:t>
      </w:r>
      <w:r>
        <w:t xml:space="preserve">economic wellbeing that arise during outages, it is critical that the standard promotes public safety and awareness. </w:t>
      </w:r>
      <w:r w:rsidR="000A3CB8">
        <w:t xml:space="preserve">Therefore, </w:t>
      </w:r>
      <w:r w:rsidR="00CD68A2">
        <w:t>ACCAN urges the ACMA to</w:t>
      </w:r>
      <w:r w:rsidR="00622486">
        <w:t xml:space="preserve"> </w:t>
      </w:r>
      <w:r w:rsidR="000A3CB8">
        <w:t xml:space="preserve">amend the </w:t>
      </w:r>
      <w:r w:rsidR="003123E6">
        <w:t xml:space="preserve">standard by </w:t>
      </w:r>
      <w:r w:rsidR="00CD68A2">
        <w:t>prioritis</w:t>
      </w:r>
      <w:r w:rsidR="003123E6">
        <w:t>ing</w:t>
      </w:r>
      <w:r w:rsidR="00622486">
        <w:t xml:space="preserve"> </w:t>
      </w:r>
      <w:r w:rsidR="00CD68A2">
        <w:t xml:space="preserve">consumer welfare and </w:t>
      </w:r>
      <w:r w:rsidR="007412D5">
        <w:t>outcomes</w:t>
      </w:r>
      <w:r w:rsidR="00CD68A2">
        <w:t xml:space="preserve"> </w:t>
      </w:r>
      <w:r w:rsidR="003123E6">
        <w:t>through stronger and clearer recommendations</w:t>
      </w:r>
      <w:r>
        <w:t xml:space="preserve"> that</w:t>
      </w:r>
      <w:r w:rsidR="003123E6">
        <w:t xml:space="preserve"> </w:t>
      </w:r>
      <w:r w:rsidR="000B109A">
        <w:t>expand the scope of the standard to</w:t>
      </w:r>
      <w:r w:rsidR="00B7256C">
        <w:t xml:space="preserve"> better</w:t>
      </w:r>
      <w:r w:rsidR="00622486">
        <w:t xml:space="preserve"> prevent and remedy consumer harms</w:t>
      </w:r>
      <w:r w:rsidR="000B109A">
        <w:t xml:space="preserve"> in the communications sector. </w:t>
      </w:r>
    </w:p>
    <w:p w14:paraId="2912C4E2" w14:textId="6C824A67" w:rsidR="001761B6" w:rsidRDefault="003E58E4">
      <w:r w:rsidRPr="00030AF9">
        <w:rPr>
          <w:noProof/>
        </w:rPr>
        <mc:AlternateContent>
          <mc:Choice Requires="wpg">
            <w:drawing>
              <wp:anchor distT="0" distB="0" distL="114300" distR="114300" simplePos="0" relativeHeight="251658240" behindDoc="0" locked="0" layoutInCell="1" allowOverlap="1" wp14:anchorId="79DFF7D1" wp14:editId="1E764C6A">
                <wp:simplePos x="0" y="0"/>
                <wp:positionH relativeFrom="margin">
                  <wp:posOffset>-600075</wp:posOffset>
                </wp:positionH>
                <wp:positionV relativeFrom="paragraph">
                  <wp:posOffset>456565</wp:posOffset>
                </wp:positionV>
                <wp:extent cx="7038975" cy="3190875"/>
                <wp:effectExtent l="0" t="0" r="9525" b="9525"/>
                <wp:wrapNone/>
                <wp:docPr id="1720573637" name="Group 10"/>
                <wp:cNvGraphicFramePr/>
                <a:graphic xmlns:a="http://schemas.openxmlformats.org/drawingml/2006/main">
                  <a:graphicData uri="http://schemas.microsoft.com/office/word/2010/wordprocessingGroup">
                    <wpg:wgp>
                      <wpg:cNvGrpSpPr/>
                      <wpg:grpSpPr>
                        <a:xfrm>
                          <a:off x="0" y="0"/>
                          <a:ext cx="7038975" cy="3190875"/>
                          <a:chOff x="0" y="0"/>
                          <a:chExt cx="7038975" cy="3190875"/>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0DD321FC" w14:textId="77777777" w:rsidR="003E58E4" w:rsidRPr="00D108C9" w:rsidRDefault="003E58E4" w:rsidP="003E58E4">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77CB8089" w14:textId="77777777" w:rsidR="003E58E4" w:rsidRPr="00187AF9" w:rsidRDefault="003E58E4" w:rsidP="003E58E4">
                              <w:pPr>
                                <w:rPr>
                                  <w:b/>
                                  <w:bCs/>
                                  <w:sz w:val="28"/>
                                  <w:szCs w:val="28"/>
                                </w:rPr>
                              </w:pPr>
                              <w:r w:rsidRPr="00187AF9">
                                <w:rPr>
                                  <w:b/>
                                  <w:bCs/>
                                  <w:sz w:val="28"/>
                                  <w:szCs w:val="28"/>
                                </w:rPr>
                                <w:t xml:space="preserve">Australian Communications </w:t>
                              </w:r>
                              <w:r w:rsidRPr="00187AF9">
                                <w:rPr>
                                  <w:b/>
                                  <w:bCs/>
                                  <w:sz w:val="28"/>
                                  <w:szCs w:val="28"/>
                                </w:rPr>
                                <w:br/>
                                <w:t>Consumer Action Network</w:t>
                              </w:r>
                            </w:p>
                            <w:p w14:paraId="550EF1C1" w14:textId="77777777" w:rsidR="003E58E4" w:rsidRDefault="003E58E4" w:rsidP="003E58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450590" cy="1924216"/>
                          </a:xfrm>
                          <a:prstGeom prst="rect">
                            <a:avLst/>
                          </a:prstGeom>
                          <a:noFill/>
                          <a:ln w="6350">
                            <a:noFill/>
                          </a:ln>
                        </wps:spPr>
                        <wps:txbx>
                          <w:txbxContent>
                            <w:p w14:paraId="395D6396" w14:textId="77777777" w:rsidR="003E58E4" w:rsidRDefault="003E58E4" w:rsidP="003E58E4">
                              <w:r>
                                <w:t xml:space="preserve">ACCAN is the peak body that represents consumers on communications issues including telecommunications, broadband, and emerging new services. </w:t>
                              </w:r>
                            </w:p>
                            <w:p w14:paraId="4EC24F9A" w14:textId="77777777" w:rsidR="003E58E4" w:rsidRDefault="003E58E4" w:rsidP="003E58E4">
                              <w:r>
                                <w:t>ACCAN provides a strong unified voice to industry and government as we work towards communications services that are trusted, inclusive and available for all.</w:t>
                              </w:r>
                            </w:p>
                            <w:p w14:paraId="0F74A62F" w14:textId="77777777" w:rsidR="003E58E4" w:rsidRDefault="003E58E4" w:rsidP="003E58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FF7D1" id="Group 10" o:spid="_x0000_s1026" style="position:absolute;margin-left:-47.25pt;margin-top:35.95pt;width:554.25pt;height:251.25pt;z-index:251658240;mso-position-horizontal-relative:margin;mso-width-relative:margin;mso-height-relative:margin"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6"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0DD321FC" w14:textId="77777777" w:rsidR="003E58E4" w:rsidRPr="00D108C9" w:rsidRDefault="003E58E4" w:rsidP="003E58E4">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77CB8089" w14:textId="77777777" w:rsidR="003E58E4" w:rsidRPr="00187AF9" w:rsidRDefault="003E58E4" w:rsidP="003E58E4">
                        <w:pPr>
                          <w:rPr>
                            <w:b/>
                            <w:bCs/>
                            <w:sz w:val="28"/>
                            <w:szCs w:val="28"/>
                          </w:rPr>
                        </w:pPr>
                        <w:r w:rsidRPr="00187AF9">
                          <w:rPr>
                            <w:b/>
                            <w:bCs/>
                            <w:sz w:val="28"/>
                            <w:szCs w:val="28"/>
                          </w:rPr>
                          <w:t xml:space="preserve">Australian Communications </w:t>
                        </w:r>
                        <w:r w:rsidRPr="00187AF9">
                          <w:rPr>
                            <w:b/>
                            <w:bCs/>
                            <w:sz w:val="28"/>
                            <w:szCs w:val="28"/>
                          </w:rPr>
                          <w:br/>
                          <w:t>Consumer Action Network</w:t>
                        </w:r>
                      </w:p>
                      <w:p w14:paraId="550EF1C1" w14:textId="77777777" w:rsidR="003E58E4" w:rsidRDefault="003E58E4" w:rsidP="003E58E4"/>
                    </w:txbxContent>
                  </v:textbox>
                </v:shape>
                <v:shape id="Text Box 9" o:spid="_x0000_s1031" type="#_x0000_t202"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395D6396" w14:textId="77777777" w:rsidR="003E58E4" w:rsidRDefault="003E58E4" w:rsidP="003E58E4">
                        <w:r>
                          <w:t xml:space="preserve">ACCAN is the peak body that represents consumers on communications issues including telecommunications, broadband, and emerging new services. </w:t>
                        </w:r>
                      </w:p>
                      <w:p w14:paraId="4EC24F9A" w14:textId="77777777" w:rsidR="003E58E4" w:rsidRDefault="003E58E4" w:rsidP="003E58E4">
                        <w:r>
                          <w:t>ACCAN provides a strong unified voice to industry and government as we work towards communications services that are trusted, inclusive and available for all.</w:t>
                        </w:r>
                      </w:p>
                      <w:p w14:paraId="0F74A62F" w14:textId="77777777" w:rsidR="003E58E4" w:rsidRDefault="003E58E4" w:rsidP="003E58E4"/>
                    </w:txbxContent>
                  </v:textbox>
                </v:shape>
                <w10:wrap anchorx="margin"/>
              </v:group>
            </w:pict>
          </mc:Fallback>
        </mc:AlternateContent>
      </w:r>
      <w:r w:rsidR="001761B6">
        <w:br w:type="page"/>
      </w:r>
    </w:p>
    <w:p w14:paraId="622487F5" w14:textId="72985ED1" w:rsidR="00C5300D" w:rsidRPr="00030AF9" w:rsidRDefault="00DF1B12" w:rsidP="00C5300D">
      <w:pPr>
        <w:pStyle w:val="Heading1"/>
      </w:pPr>
      <w:r w:rsidRPr="00030AF9">
        <w:lastRenderedPageBreak/>
        <w:t>Consultation Questions</w:t>
      </w:r>
    </w:p>
    <w:p w14:paraId="2F6A1F41" w14:textId="35D6EF1D" w:rsidR="00412B23" w:rsidRPr="0045093A" w:rsidRDefault="0034442C" w:rsidP="00584BE4">
      <w:pPr>
        <w:pStyle w:val="Heading2"/>
      </w:pPr>
      <w:r w:rsidRPr="0045093A">
        <w:t xml:space="preserve">Is the definition of a major outage </w:t>
      </w:r>
      <w:r w:rsidRPr="00584BE4">
        <w:t>appropriate</w:t>
      </w:r>
      <w:r w:rsidRPr="0045093A">
        <w:t>? If not, why not?</w:t>
      </w:r>
    </w:p>
    <w:p w14:paraId="7A55D33A" w14:textId="0C5F985B" w:rsidR="004B3AD8" w:rsidRDefault="006E42B2" w:rsidP="00F462BB">
      <w:pPr>
        <w:rPr>
          <w:lang w:eastAsia="en-US"/>
        </w:rPr>
      </w:pPr>
      <w:r w:rsidRPr="00030AF9">
        <w:rPr>
          <w:lang w:eastAsia="en-US"/>
        </w:rPr>
        <w:t xml:space="preserve">The definition of ‘major outage’ as </w:t>
      </w:r>
      <w:r w:rsidR="00E93612" w:rsidRPr="00030AF9">
        <w:rPr>
          <w:lang w:eastAsia="en-US"/>
        </w:rPr>
        <w:t>being</w:t>
      </w:r>
      <w:r w:rsidR="00FC1616" w:rsidRPr="00030AF9">
        <w:rPr>
          <w:lang w:eastAsia="en-US"/>
        </w:rPr>
        <w:t xml:space="preserve"> </w:t>
      </w:r>
      <w:r w:rsidR="004B3AD8" w:rsidRPr="00030AF9">
        <w:rPr>
          <w:lang w:eastAsia="en-US"/>
        </w:rPr>
        <w:t xml:space="preserve">an outage which affects </w:t>
      </w:r>
      <w:r w:rsidR="00FC1616" w:rsidRPr="00030AF9">
        <w:rPr>
          <w:i/>
          <w:iCs/>
          <w:lang w:eastAsia="en-US"/>
        </w:rPr>
        <w:t xml:space="preserve">‘500,000 or more of the carrier’s or carriage service provider’s services in operation; or all carriage services provided by a carrier or carriage service provider in a State or Territory’ </w:t>
      </w:r>
      <w:r w:rsidR="00FC1616" w:rsidRPr="00030AF9">
        <w:rPr>
          <w:lang w:eastAsia="en-US"/>
        </w:rPr>
        <w:t xml:space="preserve">is far too </w:t>
      </w:r>
      <w:r w:rsidR="00F462BB" w:rsidRPr="00030AF9">
        <w:rPr>
          <w:lang w:eastAsia="en-US"/>
        </w:rPr>
        <w:t xml:space="preserve">narrow as to be reasonably invoked </w:t>
      </w:r>
      <w:r w:rsidR="008E228C">
        <w:rPr>
          <w:lang w:eastAsia="en-US"/>
        </w:rPr>
        <w:t>for the vast majority of outages. Accordingly, we consider that the proposed definition is inappropriate and inconsistent with the intention of the Minister’s direction to the ACMA.</w:t>
      </w:r>
      <w:r w:rsidR="00F462BB" w:rsidRPr="00030AF9">
        <w:rPr>
          <w:lang w:eastAsia="en-US"/>
        </w:rPr>
        <w:t xml:space="preserve"> </w:t>
      </w:r>
    </w:p>
    <w:p w14:paraId="5467C8F8" w14:textId="25811596" w:rsidR="008B70A4" w:rsidRDefault="009B26A5" w:rsidP="00FE7E6E">
      <w:pPr>
        <w:rPr>
          <w:lang w:eastAsia="en-US"/>
        </w:rPr>
      </w:pPr>
      <w:r w:rsidRPr="00030AF9">
        <w:rPr>
          <w:lang w:eastAsia="en-US"/>
        </w:rPr>
        <w:t xml:space="preserve">Noting that </w:t>
      </w:r>
      <w:r w:rsidR="00A36A2C" w:rsidRPr="00030AF9">
        <w:rPr>
          <w:lang w:eastAsia="en-US"/>
        </w:rPr>
        <w:t xml:space="preserve">Australian communications consumers are largely split across three different </w:t>
      </w:r>
      <w:r w:rsidR="008C70ED">
        <w:rPr>
          <w:lang w:eastAsia="en-US"/>
        </w:rPr>
        <w:t>carriers</w:t>
      </w:r>
      <w:r w:rsidR="00A36A2C" w:rsidRPr="00030AF9">
        <w:rPr>
          <w:lang w:eastAsia="en-US"/>
        </w:rPr>
        <w:t xml:space="preserve"> – Telstra, Optus and TPG </w:t>
      </w:r>
      <w:r w:rsidR="00D14E28" w:rsidRPr="00030AF9">
        <w:rPr>
          <w:lang w:eastAsia="en-US"/>
        </w:rPr>
        <w:t>–</w:t>
      </w:r>
      <w:r w:rsidR="00A36A2C" w:rsidRPr="00030AF9">
        <w:rPr>
          <w:lang w:eastAsia="en-US"/>
        </w:rPr>
        <w:t xml:space="preserve"> </w:t>
      </w:r>
      <w:r w:rsidR="00441521" w:rsidRPr="00030AF9">
        <w:rPr>
          <w:lang w:eastAsia="en-US"/>
        </w:rPr>
        <w:t xml:space="preserve">this would potentially leave residents of Australian cities </w:t>
      </w:r>
      <w:r w:rsidR="00E40DD8" w:rsidRPr="00030AF9">
        <w:rPr>
          <w:lang w:eastAsia="en-US"/>
        </w:rPr>
        <w:t xml:space="preserve">with populations of </w:t>
      </w:r>
      <w:r w:rsidR="00C158A5">
        <w:rPr>
          <w:lang w:eastAsia="en-US"/>
        </w:rPr>
        <w:t xml:space="preserve">fewer </w:t>
      </w:r>
      <w:r w:rsidR="00E40DD8" w:rsidRPr="00030AF9">
        <w:rPr>
          <w:lang w:eastAsia="en-US"/>
        </w:rPr>
        <w:t xml:space="preserve">than </w:t>
      </w:r>
      <w:r w:rsidR="00601849" w:rsidRPr="00030AF9">
        <w:rPr>
          <w:lang w:eastAsia="en-US"/>
        </w:rPr>
        <w:t xml:space="preserve">1.5 million residents </w:t>
      </w:r>
      <w:r w:rsidR="00441521" w:rsidRPr="00030AF9">
        <w:rPr>
          <w:lang w:eastAsia="en-US"/>
        </w:rPr>
        <w:t>– including</w:t>
      </w:r>
      <w:r w:rsidR="00C158A5">
        <w:rPr>
          <w:lang w:eastAsia="en-US"/>
        </w:rPr>
        <w:t xml:space="preserve"> Adelaide,</w:t>
      </w:r>
      <w:r w:rsidR="00441521" w:rsidRPr="00030AF9">
        <w:rPr>
          <w:lang w:eastAsia="en-US"/>
        </w:rPr>
        <w:t xml:space="preserve"> </w:t>
      </w:r>
      <w:r w:rsidR="00E40DD8" w:rsidRPr="00030AF9">
        <w:rPr>
          <w:lang w:eastAsia="en-US"/>
        </w:rPr>
        <w:t>Newcastle</w:t>
      </w:r>
      <w:r w:rsidR="00601849" w:rsidRPr="00030AF9">
        <w:rPr>
          <w:lang w:eastAsia="en-US"/>
        </w:rPr>
        <w:t xml:space="preserve">, Canberra, the Sunshine Coast, the Central Coast, Wollongong, Geelong, Hobart, Townsville, Cairns, Toowoomba, Darwin, Ballarat, Bendigo, Albury-Wodonga and Launceston </w:t>
      </w:r>
      <w:r w:rsidR="00FE7E6E" w:rsidRPr="00030AF9">
        <w:rPr>
          <w:lang w:eastAsia="en-US"/>
        </w:rPr>
        <w:t>–</w:t>
      </w:r>
      <w:r w:rsidR="00601849" w:rsidRPr="00030AF9">
        <w:rPr>
          <w:lang w:eastAsia="en-US"/>
        </w:rPr>
        <w:t xml:space="preserve"> </w:t>
      </w:r>
      <w:r w:rsidR="00FE7E6E" w:rsidRPr="00030AF9">
        <w:rPr>
          <w:lang w:eastAsia="en-US"/>
        </w:rPr>
        <w:t xml:space="preserve">potentially </w:t>
      </w:r>
      <w:r w:rsidR="006F1A4E" w:rsidRPr="00030AF9">
        <w:rPr>
          <w:lang w:eastAsia="en-US"/>
        </w:rPr>
        <w:t>uncovered by the standard, in case of an mass outage linked to these cities</w:t>
      </w:r>
      <w:r w:rsidR="003D299A" w:rsidRPr="00030AF9">
        <w:rPr>
          <w:lang w:eastAsia="en-US"/>
        </w:rPr>
        <w:t xml:space="preserve"> and regions. </w:t>
      </w:r>
    </w:p>
    <w:p w14:paraId="7D7FE063" w14:textId="1C1D93B3" w:rsidR="005819C7" w:rsidRDefault="005819C7" w:rsidP="00FE7E6E">
      <w:pPr>
        <w:rPr>
          <w:lang w:eastAsia="en-US"/>
        </w:rPr>
      </w:pPr>
      <w:r>
        <w:rPr>
          <w:lang w:eastAsia="en-US"/>
        </w:rPr>
        <w:t xml:space="preserve">Further, the Bean Review </w:t>
      </w:r>
      <w:r w:rsidR="003851F8">
        <w:rPr>
          <w:lang w:eastAsia="en-US"/>
        </w:rPr>
        <w:t xml:space="preserve">cites the Canadian case study, in which following </w:t>
      </w:r>
      <w:r w:rsidR="001D63D1">
        <w:rPr>
          <w:lang w:eastAsia="en-US"/>
        </w:rPr>
        <w:t xml:space="preserve">a similar example, </w:t>
      </w:r>
      <w:r w:rsidR="00076911">
        <w:rPr>
          <w:lang w:eastAsia="en-US"/>
        </w:rPr>
        <w:t xml:space="preserve">the Canadian Radio-television </w:t>
      </w:r>
      <w:r w:rsidR="00ED1C0E">
        <w:rPr>
          <w:lang w:eastAsia="en-US"/>
        </w:rPr>
        <w:t xml:space="preserve">and Telecommunications Commission </w:t>
      </w:r>
      <w:r w:rsidR="00FB46FE">
        <w:rPr>
          <w:lang w:eastAsia="en-US"/>
        </w:rPr>
        <w:t xml:space="preserve">defined a major service outage </w:t>
      </w:r>
      <w:r w:rsidR="00380694">
        <w:rPr>
          <w:lang w:eastAsia="en-US"/>
        </w:rPr>
        <w:t xml:space="preserve">as </w:t>
      </w:r>
      <w:r w:rsidR="00090CDC">
        <w:rPr>
          <w:lang w:eastAsia="en-US"/>
        </w:rPr>
        <w:t xml:space="preserve">one which impacted: </w:t>
      </w:r>
    </w:p>
    <w:p w14:paraId="2ADB7746" w14:textId="065DA380" w:rsidR="00090CDC" w:rsidRPr="006C2C15" w:rsidRDefault="00090CDC" w:rsidP="00090CDC">
      <w:pPr>
        <w:pStyle w:val="ListParagraph"/>
        <w:numPr>
          <w:ilvl w:val="0"/>
          <w:numId w:val="43"/>
        </w:numPr>
        <w:rPr>
          <w:i/>
          <w:iCs/>
          <w:lang w:eastAsia="en-US"/>
        </w:rPr>
      </w:pPr>
      <w:r w:rsidRPr="006C2C15">
        <w:rPr>
          <w:i/>
          <w:iCs/>
          <w:lang w:eastAsia="en-US"/>
        </w:rPr>
        <w:t>more than 100,000 subscribers or a material portion of the carrier’s subscribers for more than one hour</w:t>
      </w:r>
      <w:r w:rsidR="00E41E71">
        <w:rPr>
          <w:i/>
          <w:iCs/>
          <w:lang w:eastAsia="en-US"/>
        </w:rPr>
        <w:t>;</w:t>
      </w:r>
      <w:r w:rsidRPr="006C2C15">
        <w:rPr>
          <w:i/>
          <w:iCs/>
          <w:lang w:eastAsia="en-US"/>
        </w:rPr>
        <w:t xml:space="preserve"> </w:t>
      </w:r>
    </w:p>
    <w:p w14:paraId="153736FC" w14:textId="6A3CC639" w:rsidR="00090CDC" w:rsidRPr="006C2C15" w:rsidRDefault="00090CDC" w:rsidP="00090CDC">
      <w:pPr>
        <w:pStyle w:val="ListParagraph"/>
        <w:numPr>
          <w:ilvl w:val="0"/>
          <w:numId w:val="43"/>
        </w:numPr>
        <w:rPr>
          <w:i/>
          <w:iCs/>
          <w:lang w:eastAsia="en-US"/>
        </w:rPr>
      </w:pPr>
      <w:r w:rsidRPr="006C2C15">
        <w:rPr>
          <w:i/>
          <w:iCs/>
          <w:lang w:eastAsia="en-US"/>
        </w:rPr>
        <w:t>subscribers that are in a geographic area served only by the affected carrier</w:t>
      </w:r>
      <w:r w:rsidR="00E41E71">
        <w:rPr>
          <w:i/>
          <w:iCs/>
          <w:lang w:eastAsia="en-US"/>
        </w:rPr>
        <w:t>;</w:t>
      </w:r>
    </w:p>
    <w:p w14:paraId="05559479" w14:textId="01ABCD1C" w:rsidR="00090CDC" w:rsidRPr="006C2C15" w:rsidRDefault="00090CDC" w:rsidP="00090CDC">
      <w:pPr>
        <w:pStyle w:val="ListParagraph"/>
        <w:numPr>
          <w:ilvl w:val="0"/>
          <w:numId w:val="43"/>
        </w:numPr>
        <w:rPr>
          <w:i/>
          <w:iCs/>
          <w:lang w:eastAsia="en-US"/>
        </w:rPr>
      </w:pPr>
      <w:r w:rsidRPr="006C2C15">
        <w:rPr>
          <w:i/>
          <w:iCs/>
          <w:lang w:eastAsia="en-US"/>
        </w:rPr>
        <w:t>critical infrastructure</w:t>
      </w:r>
      <w:r w:rsidR="00E41E71">
        <w:rPr>
          <w:i/>
          <w:iCs/>
          <w:lang w:eastAsia="en-US"/>
        </w:rPr>
        <w:t>;</w:t>
      </w:r>
    </w:p>
    <w:p w14:paraId="7363D3C3" w14:textId="73E5F455" w:rsidR="00090CDC" w:rsidRPr="006C2C15" w:rsidRDefault="00090CDC" w:rsidP="00090CDC">
      <w:pPr>
        <w:pStyle w:val="ListParagraph"/>
        <w:numPr>
          <w:ilvl w:val="0"/>
          <w:numId w:val="43"/>
        </w:numPr>
        <w:rPr>
          <w:i/>
          <w:iCs/>
          <w:lang w:eastAsia="en-US"/>
        </w:rPr>
      </w:pPr>
      <w:r w:rsidRPr="006C2C15">
        <w:rPr>
          <w:i/>
          <w:iCs/>
          <w:lang w:eastAsia="en-US"/>
        </w:rPr>
        <w:t>major transport facilities</w:t>
      </w:r>
      <w:r w:rsidR="00E41E71">
        <w:rPr>
          <w:i/>
          <w:iCs/>
          <w:lang w:eastAsia="en-US"/>
        </w:rPr>
        <w:t xml:space="preserve">; </w:t>
      </w:r>
      <w:r w:rsidR="00BF12B9">
        <w:rPr>
          <w:i/>
          <w:iCs/>
          <w:lang w:eastAsia="en-US"/>
        </w:rPr>
        <w:t>or</w:t>
      </w:r>
    </w:p>
    <w:p w14:paraId="70D0C979" w14:textId="7CE730BD" w:rsidR="00090CDC" w:rsidRPr="006C2C15" w:rsidRDefault="00090CDC" w:rsidP="00090CDC">
      <w:pPr>
        <w:pStyle w:val="ListParagraph"/>
        <w:numPr>
          <w:ilvl w:val="0"/>
          <w:numId w:val="43"/>
        </w:numPr>
        <w:rPr>
          <w:i/>
          <w:iCs/>
          <w:lang w:eastAsia="en-US"/>
        </w:rPr>
      </w:pPr>
      <w:r w:rsidRPr="006C2C15">
        <w:rPr>
          <w:i/>
          <w:iCs/>
          <w:lang w:eastAsia="en-US"/>
        </w:rPr>
        <w:t>a 9-1-1 network.</w:t>
      </w:r>
      <w:r w:rsidR="00162848" w:rsidRPr="006C2C15">
        <w:rPr>
          <w:rStyle w:val="FootnoteReference"/>
          <w:i/>
          <w:iCs/>
          <w:lang w:eastAsia="en-US"/>
        </w:rPr>
        <w:footnoteReference w:id="4"/>
      </w:r>
    </w:p>
    <w:p w14:paraId="2624D565" w14:textId="388D6E0C" w:rsidR="003D299A" w:rsidRPr="00030AF9" w:rsidRDefault="00775C49" w:rsidP="00FE7E6E">
      <w:pPr>
        <w:rPr>
          <w:lang w:eastAsia="en-US"/>
        </w:rPr>
      </w:pPr>
      <w:r>
        <w:rPr>
          <w:lang w:eastAsia="en-US"/>
        </w:rPr>
        <w:t xml:space="preserve">ACCAN recommends the ACMA follow this international example as a more appropriate method to define a major outage. In particular, we note that the population of Canada </w:t>
      </w:r>
      <w:r w:rsidR="008266E7">
        <w:rPr>
          <w:lang w:eastAsia="en-US"/>
        </w:rPr>
        <w:t xml:space="preserve">of roughly 40 million </w:t>
      </w:r>
      <w:r w:rsidR="004856B4">
        <w:rPr>
          <w:lang w:eastAsia="en-US"/>
        </w:rPr>
        <w:t>is substantially larger than Australia’s</w:t>
      </w:r>
      <w:r w:rsidR="008266E7">
        <w:rPr>
          <w:lang w:eastAsia="en-US"/>
        </w:rPr>
        <w:t xml:space="preserve"> population of roughly 27 million. </w:t>
      </w:r>
      <w:r w:rsidR="00854934">
        <w:rPr>
          <w:lang w:eastAsia="en-US"/>
        </w:rPr>
        <w:t xml:space="preserve">Therefore, ACCAN recommends </w:t>
      </w:r>
      <w:r w:rsidR="003D299A" w:rsidRPr="00030AF9">
        <w:rPr>
          <w:lang w:eastAsia="en-US"/>
        </w:rPr>
        <w:t>the definition of major outage</w:t>
      </w:r>
      <w:r w:rsidR="00740836">
        <w:rPr>
          <w:lang w:eastAsia="en-US"/>
        </w:rPr>
        <w:t xml:space="preserve"> </w:t>
      </w:r>
      <w:r w:rsidR="003D299A" w:rsidRPr="00030AF9">
        <w:rPr>
          <w:lang w:eastAsia="en-US"/>
        </w:rPr>
        <w:t xml:space="preserve">should be revised accordingly (changes in </w:t>
      </w:r>
      <w:r w:rsidR="003D299A" w:rsidRPr="00030AF9">
        <w:rPr>
          <w:b/>
          <w:bCs/>
          <w:lang w:eastAsia="en-US"/>
        </w:rPr>
        <w:t>bold</w:t>
      </w:r>
      <w:r w:rsidR="003D299A" w:rsidRPr="00030AF9">
        <w:rPr>
          <w:lang w:eastAsia="en-US"/>
        </w:rPr>
        <w:t xml:space="preserve">): </w:t>
      </w:r>
    </w:p>
    <w:p w14:paraId="5C9D1C53" w14:textId="77777777" w:rsidR="0035663E" w:rsidRPr="0035663E" w:rsidRDefault="0035663E" w:rsidP="0035663E">
      <w:pPr>
        <w:ind w:firstLine="720"/>
        <w:rPr>
          <w:i/>
          <w:iCs/>
          <w:lang w:eastAsia="en-US"/>
        </w:rPr>
      </w:pPr>
      <w:r w:rsidRPr="0035663E">
        <w:rPr>
          <w:i/>
          <w:iCs/>
          <w:lang w:eastAsia="en-US"/>
        </w:rPr>
        <w:t>(b)</w:t>
      </w:r>
      <w:r w:rsidRPr="0035663E">
        <w:rPr>
          <w:i/>
          <w:iCs/>
          <w:lang w:eastAsia="en-US"/>
        </w:rPr>
        <w:tab/>
        <w:t>affects, or is likely to affect:</w:t>
      </w:r>
    </w:p>
    <w:p w14:paraId="12549431" w14:textId="7F3CDD77" w:rsidR="0035663E" w:rsidRPr="0035663E" w:rsidRDefault="0035663E" w:rsidP="0035663E">
      <w:pPr>
        <w:ind w:left="1440"/>
        <w:rPr>
          <w:i/>
          <w:iCs/>
          <w:lang w:eastAsia="en-US"/>
        </w:rPr>
      </w:pPr>
      <w:r w:rsidRPr="0035663E">
        <w:rPr>
          <w:i/>
          <w:iCs/>
          <w:lang w:eastAsia="en-US"/>
        </w:rPr>
        <w:t>(i)</w:t>
      </w:r>
      <w:r w:rsidRPr="0035663E">
        <w:rPr>
          <w:i/>
          <w:iCs/>
          <w:lang w:eastAsia="en-US"/>
        </w:rPr>
        <w:tab/>
      </w:r>
      <w:r w:rsidR="00C158A5">
        <w:rPr>
          <w:i/>
          <w:iCs/>
          <w:lang w:eastAsia="en-US"/>
        </w:rPr>
        <w:t>2</w:t>
      </w:r>
      <w:r w:rsidR="00BF0400" w:rsidRPr="00030AF9">
        <w:rPr>
          <w:b/>
          <w:bCs/>
          <w:i/>
          <w:iCs/>
          <w:lang w:eastAsia="en-US"/>
        </w:rPr>
        <w:t xml:space="preserve">0,000 </w:t>
      </w:r>
      <w:r w:rsidRPr="0035663E">
        <w:rPr>
          <w:i/>
          <w:iCs/>
          <w:lang w:eastAsia="en-US"/>
        </w:rPr>
        <w:t>or more of the carrier’s or carriage service provider’s services in operation; or</w:t>
      </w:r>
    </w:p>
    <w:p w14:paraId="51C5CED4" w14:textId="13439DDE" w:rsidR="001761B6" w:rsidRDefault="0035663E" w:rsidP="0035663E">
      <w:pPr>
        <w:ind w:left="1440"/>
        <w:rPr>
          <w:i/>
          <w:iCs/>
          <w:lang w:eastAsia="en-US"/>
        </w:rPr>
      </w:pPr>
      <w:r w:rsidRPr="0035663E">
        <w:rPr>
          <w:i/>
          <w:iCs/>
          <w:lang w:eastAsia="en-US"/>
        </w:rPr>
        <w:t>(ii)</w:t>
      </w:r>
      <w:r w:rsidRPr="0035663E">
        <w:rPr>
          <w:i/>
          <w:iCs/>
          <w:lang w:eastAsia="en-US"/>
        </w:rPr>
        <w:tab/>
        <w:t xml:space="preserve">all carriage services provided by a carrier or carriage service provider in a </w:t>
      </w:r>
      <w:r w:rsidR="005358C8" w:rsidRPr="00030AF9">
        <w:rPr>
          <w:b/>
          <w:bCs/>
          <w:i/>
          <w:iCs/>
          <w:lang w:eastAsia="en-US"/>
        </w:rPr>
        <w:t xml:space="preserve">population centre of 50,000 or more, or entire </w:t>
      </w:r>
      <w:r w:rsidRPr="0035663E">
        <w:rPr>
          <w:i/>
          <w:iCs/>
          <w:lang w:eastAsia="en-US"/>
        </w:rPr>
        <w:t>State or Territory; and</w:t>
      </w:r>
    </w:p>
    <w:p w14:paraId="240C0D6A" w14:textId="77777777" w:rsidR="001761B6" w:rsidRDefault="001761B6">
      <w:pPr>
        <w:rPr>
          <w:i/>
          <w:iCs/>
          <w:lang w:eastAsia="en-US"/>
        </w:rPr>
      </w:pPr>
      <w:r>
        <w:rPr>
          <w:i/>
          <w:iCs/>
          <w:lang w:eastAsia="en-US"/>
        </w:rPr>
        <w:br w:type="page"/>
      </w:r>
    </w:p>
    <w:p w14:paraId="72D0E0FD" w14:textId="33D16BD0" w:rsidR="00A0242C" w:rsidRDefault="00A0242C" w:rsidP="00584BE4">
      <w:pPr>
        <w:pStyle w:val="Heading2"/>
      </w:pPr>
      <w:r w:rsidRPr="0045093A">
        <w:lastRenderedPageBreak/>
        <w:t>Does the definition of ‘significant local outage’ meet the objective of the direction that it should capture outages that are lesser in scale than major outages, but have a significant impact on local communities?</w:t>
      </w:r>
    </w:p>
    <w:p w14:paraId="169CDDF8" w14:textId="419B17DB" w:rsidR="00653D9A" w:rsidRDefault="00C328DF" w:rsidP="000B109A">
      <w:r>
        <w:t xml:space="preserve">ACCAN considers the definition of ‘significant local outage’ to be </w:t>
      </w:r>
      <w:r w:rsidR="00A75C6A">
        <w:t>insufficient. Without considerable revision</w:t>
      </w:r>
      <w:r w:rsidR="004815BE">
        <w:t xml:space="preserve"> to ensure there is a clear and consistent definition</w:t>
      </w:r>
      <w:r w:rsidR="00A75C6A">
        <w:t xml:space="preserve">, Australian consumers, especially in </w:t>
      </w:r>
      <w:r w:rsidR="00BE42B4">
        <w:t xml:space="preserve">smaller metropolitan and </w:t>
      </w:r>
      <w:r w:rsidR="00B57146">
        <w:t xml:space="preserve">regional, </w:t>
      </w:r>
      <w:proofErr w:type="gramStart"/>
      <w:r w:rsidR="00B57146">
        <w:t>rural</w:t>
      </w:r>
      <w:proofErr w:type="gramEnd"/>
      <w:r w:rsidR="00B57146">
        <w:t xml:space="preserve"> or remote areas, </w:t>
      </w:r>
      <w:r w:rsidR="00090357">
        <w:t xml:space="preserve">are likely to </w:t>
      </w:r>
      <w:r w:rsidR="00653D9A">
        <w:t xml:space="preserve">be overlooked and experience consumer harm due to a lack of effective communication from their </w:t>
      </w:r>
      <w:r w:rsidR="008D0E84">
        <w:t>carriage service provider</w:t>
      </w:r>
      <w:r w:rsidR="00653D9A">
        <w:t xml:space="preserve">. </w:t>
      </w:r>
    </w:p>
    <w:p w14:paraId="0821AEFB" w14:textId="098FF667" w:rsidR="00531CF9" w:rsidRPr="00433787" w:rsidRDefault="00F23B0D" w:rsidP="000B109A">
      <w:r>
        <w:t xml:space="preserve">Both the terms ‘significant’ and ‘local’ lend themselves to </w:t>
      </w:r>
      <w:r w:rsidR="00236B30">
        <w:t xml:space="preserve">interpretative confusion, creating the opportunity for bias, </w:t>
      </w:r>
      <w:r w:rsidR="00F5391C">
        <w:t>assumptions,</w:t>
      </w:r>
      <w:r w:rsidR="00236B30">
        <w:t xml:space="preserve"> and potential consumer harm. ACCAN therefore recommends </w:t>
      </w:r>
      <w:r w:rsidR="004D7DFD">
        <w:t xml:space="preserve">the creation of a clear </w:t>
      </w:r>
      <w:r w:rsidR="009077A1">
        <w:t>definition of local outages</w:t>
      </w:r>
      <w:r w:rsidR="004815BE">
        <w:t xml:space="preserve">, corresponding to between 100 – 20,000 </w:t>
      </w:r>
      <w:r w:rsidR="001A66EA">
        <w:t>services in operation, or to geographic areas defined by the Australian Bureau of Statistics’ Statistical Area Level 2 (SA2),</w:t>
      </w:r>
      <w:r w:rsidR="009077A1">
        <w:t xml:space="preserve"> </w:t>
      </w:r>
      <w:r w:rsidR="00894B46">
        <w:t xml:space="preserve">to be inserted in Section 5, as follows: </w:t>
      </w:r>
      <w:r w:rsidR="00433787">
        <w:t xml:space="preserve"> </w:t>
      </w:r>
    </w:p>
    <w:p w14:paraId="05630102" w14:textId="77777777" w:rsidR="00D63B0F" w:rsidRPr="00D63B0F" w:rsidRDefault="00740836" w:rsidP="00D63B0F">
      <w:pPr>
        <w:ind w:left="720"/>
        <w:rPr>
          <w:i/>
        </w:rPr>
      </w:pPr>
      <w:r w:rsidRPr="00D63B0F">
        <w:rPr>
          <w:b/>
          <w:bCs/>
          <w:i/>
        </w:rPr>
        <w:t>local outage</w:t>
      </w:r>
      <w:r w:rsidR="00D63B0F" w:rsidRPr="00D63B0F">
        <w:rPr>
          <w:i/>
        </w:rPr>
        <w:t xml:space="preserve"> means any unplanned full or partial unavailability of a telecommunications network used by a carrier or carriage service provider to supply carriage services to end-users that:</w:t>
      </w:r>
    </w:p>
    <w:p w14:paraId="422A66CB" w14:textId="4BC55A8E" w:rsidR="00D63B0F" w:rsidRPr="00D63B0F" w:rsidRDefault="00D63B0F" w:rsidP="00D63B0F">
      <w:pPr>
        <w:ind w:left="2160" w:hanging="720"/>
        <w:rPr>
          <w:i/>
        </w:rPr>
      </w:pPr>
      <w:r w:rsidRPr="00D63B0F">
        <w:rPr>
          <w:i/>
        </w:rPr>
        <w:t>(a)</w:t>
      </w:r>
      <w:r w:rsidRPr="00D63B0F">
        <w:rPr>
          <w:i/>
        </w:rPr>
        <w:tab/>
        <w:t>results in an end-user being unable to establish and maintain a carriage service; and</w:t>
      </w:r>
    </w:p>
    <w:p w14:paraId="6FB65502" w14:textId="77777777" w:rsidR="00D63B0F" w:rsidRPr="00D63B0F" w:rsidRDefault="00D63B0F" w:rsidP="00D63B0F">
      <w:pPr>
        <w:ind w:left="720"/>
        <w:rPr>
          <w:i/>
        </w:rPr>
      </w:pPr>
      <w:r w:rsidRPr="00D63B0F">
        <w:rPr>
          <w:i/>
        </w:rPr>
        <w:tab/>
        <w:t>(b)</w:t>
      </w:r>
      <w:r w:rsidRPr="00D63B0F">
        <w:rPr>
          <w:i/>
        </w:rPr>
        <w:tab/>
        <w:t>affects, or is likely to affect:</w:t>
      </w:r>
    </w:p>
    <w:p w14:paraId="40E810B5" w14:textId="7A5365F0" w:rsidR="00D63B0F" w:rsidRPr="00D63B0F" w:rsidRDefault="00D63B0F" w:rsidP="00D63B0F">
      <w:pPr>
        <w:ind w:left="2160"/>
        <w:rPr>
          <w:i/>
        </w:rPr>
      </w:pPr>
      <w:r w:rsidRPr="00D63B0F">
        <w:rPr>
          <w:i/>
        </w:rPr>
        <w:t>(i)</w:t>
      </w:r>
      <w:r w:rsidRPr="00D63B0F">
        <w:rPr>
          <w:i/>
        </w:rPr>
        <w:tab/>
      </w:r>
      <w:r w:rsidR="00C41200">
        <w:rPr>
          <w:i/>
        </w:rPr>
        <w:t>100 – 20,000</w:t>
      </w:r>
      <w:r w:rsidRPr="00D63B0F">
        <w:rPr>
          <w:i/>
        </w:rPr>
        <w:t xml:space="preserve"> of the carrier’s or carriage service provider’s services in operation; or</w:t>
      </w:r>
    </w:p>
    <w:p w14:paraId="21D5C7A6" w14:textId="3F3FF8C0" w:rsidR="00D63B0F" w:rsidRPr="00D63B0F" w:rsidRDefault="00D63B0F" w:rsidP="00D63B0F">
      <w:pPr>
        <w:ind w:left="2160"/>
        <w:rPr>
          <w:i/>
        </w:rPr>
      </w:pPr>
      <w:r w:rsidRPr="00D63B0F">
        <w:rPr>
          <w:i/>
        </w:rPr>
        <w:t>(ii)</w:t>
      </w:r>
      <w:r w:rsidRPr="00D63B0F">
        <w:rPr>
          <w:i/>
        </w:rPr>
        <w:tab/>
        <w:t>all carriage services provided by a carrier or carriage service provider in a</w:t>
      </w:r>
      <w:r w:rsidR="00C41200">
        <w:rPr>
          <w:i/>
        </w:rPr>
        <w:t xml:space="preserve"> population centre or suburb</w:t>
      </w:r>
      <w:r w:rsidR="004659CD">
        <w:rPr>
          <w:i/>
        </w:rPr>
        <w:t xml:space="preserve"> </w:t>
      </w:r>
      <w:r w:rsidR="00B10CD0">
        <w:rPr>
          <w:i/>
        </w:rPr>
        <w:t xml:space="preserve">(defined as an Australian </w:t>
      </w:r>
      <w:r w:rsidR="001A66EA">
        <w:rPr>
          <w:i/>
        </w:rPr>
        <w:t xml:space="preserve">Bureau of Statistics’ </w:t>
      </w:r>
      <w:r w:rsidR="00B10CD0">
        <w:rPr>
          <w:i/>
        </w:rPr>
        <w:t xml:space="preserve">Statistical Area Level 2 </w:t>
      </w:r>
      <w:r w:rsidR="003671A0">
        <w:rPr>
          <w:i/>
        </w:rPr>
        <w:t>(SA2)</w:t>
      </w:r>
      <w:r w:rsidRPr="00D63B0F">
        <w:rPr>
          <w:i/>
        </w:rPr>
        <w:t>; and</w:t>
      </w:r>
    </w:p>
    <w:p w14:paraId="17BA6994" w14:textId="2158E141" w:rsidR="00090357" w:rsidRDefault="00D63B0F" w:rsidP="00D63B0F">
      <w:pPr>
        <w:ind w:left="720"/>
        <w:rPr>
          <w:i/>
        </w:rPr>
      </w:pPr>
      <w:r w:rsidRPr="00D63B0F">
        <w:rPr>
          <w:i/>
        </w:rPr>
        <w:tab/>
        <w:t>(c)</w:t>
      </w:r>
      <w:r w:rsidRPr="00D63B0F">
        <w:rPr>
          <w:i/>
        </w:rPr>
        <w:tab/>
        <w:t>is expected to be, or is, of a duration longer than 30 minutes.</w:t>
      </w:r>
    </w:p>
    <w:p w14:paraId="7E480E6C" w14:textId="0E5DADAB" w:rsidR="001761B6" w:rsidRDefault="00471D82" w:rsidP="00F930C5">
      <w:pPr>
        <w:rPr>
          <w:iCs/>
        </w:rPr>
      </w:pPr>
      <w:r>
        <w:rPr>
          <w:iCs/>
        </w:rPr>
        <w:t>This definition creates greater regulatory certainty for the regulated entity</w:t>
      </w:r>
      <w:r w:rsidR="00241BE3">
        <w:rPr>
          <w:iCs/>
        </w:rPr>
        <w:t xml:space="preserve">, by clearly defining what </w:t>
      </w:r>
      <w:r w:rsidR="0073512A">
        <w:rPr>
          <w:iCs/>
        </w:rPr>
        <w:t xml:space="preserve">constitutes a local outage, in contrast to </w:t>
      </w:r>
      <w:r w:rsidR="00C22338">
        <w:rPr>
          <w:iCs/>
        </w:rPr>
        <w:t xml:space="preserve">a major outage. ACCAN recommends the use of SA2 boundaries </w:t>
      </w:r>
      <w:r w:rsidR="00661006">
        <w:rPr>
          <w:iCs/>
        </w:rPr>
        <w:t xml:space="preserve">as they most closely correspond with </w:t>
      </w:r>
      <w:r w:rsidR="00BD6499">
        <w:rPr>
          <w:iCs/>
        </w:rPr>
        <w:t>the commonsense definition of ‘suburb’ and ‘population centre’</w:t>
      </w:r>
      <w:r w:rsidR="001B1DBB">
        <w:rPr>
          <w:iCs/>
        </w:rPr>
        <w:t>.</w:t>
      </w:r>
      <w:r w:rsidR="00F930C5">
        <w:rPr>
          <w:iCs/>
        </w:rPr>
        <w:t xml:space="preserve"> Establishing </w:t>
      </w:r>
      <w:r w:rsidR="003446E3">
        <w:rPr>
          <w:iCs/>
        </w:rPr>
        <w:t>easily definable</w:t>
      </w:r>
      <w:r w:rsidR="00F930C5">
        <w:rPr>
          <w:iCs/>
        </w:rPr>
        <w:t xml:space="preserve"> geographic boundaries will help clarify the intent and enforceability of the standard, improving outcomes for consumers. </w:t>
      </w:r>
    </w:p>
    <w:p w14:paraId="3727D706" w14:textId="77777777" w:rsidR="001761B6" w:rsidRDefault="001761B6">
      <w:pPr>
        <w:rPr>
          <w:iCs/>
        </w:rPr>
      </w:pPr>
      <w:r>
        <w:rPr>
          <w:iCs/>
        </w:rPr>
        <w:br w:type="page"/>
      </w:r>
    </w:p>
    <w:p w14:paraId="0A9AE3EB" w14:textId="5526298E" w:rsidR="008014D7" w:rsidRPr="00030AF9" w:rsidRDefault="008014D7" w:rsidP="00622486">
      <w:pPr>
        <w:pStyle w:val="Heading2"/>
      </w:pPr>
      <w:r w:rsidRPr="00030AF9">
        <w:lastRenderedPageBreak/>
        <w:t xml:space="preserve">Is it appropriate to exempt planned outages and outages caused by natural disasters from the definitions? </w:t>
      </w:r>
    </w:p>
    <w:p w14:paraId="0007A41E" w14:textId="1E920A83" w:rsidR="0041434B" w:rsidRPr="00030AF9" w:rsidRDefault="0041434B" w:rsidP="0041434B">
      <w:pPr>
        <w:rPr>
          <w:lang w:eastAsia="en-US"/>
        </w:rPr>
      </w:pPr>
      <w:r w:rsidRPr="00030AF9">
        <w:rPr>
          <w:lang w:eastAsia="en-US"/>
        </w:rPr>
        <w:t xml:space="preserve">ACCAN considers it inappropriate to exempt planned outages and outages caused by natural disasters from the definitions, from both the perspective of consumer welfare and the role of telecommunications as an essential service. </w:t>
      </w:r>
    </w:p>
    <w:p w14:paraId="79F112DA" w14:textId="19482F27" w:rsidR="00C363B5" w:rsidRPr="00030AF9" w:rsidRDefault="00C363B5" w:rsidP="0041434B">
      <w:pPr>
        <w:rPr>
          <w:lang w:eastAsia="en-US"/>
        </w:rPr>
      </w:pPr>
      <w:r>
        <w:rPr>
          <w:lang w:eastAsia="en-US"/>
        </w:rPr>
        <w:t>The objective of regulating minimum communication requirements is to safeguard human life</w:t>
      </w:r>
      <w:r w:rsidR="00A640AC">
        <w:rPr>
          <w:lang w:eastAsia="en-US"/>
        </w:rPr>
        <w:t xml:space="preserve"> and promote consumer welfare</w:t>
      </w:r>
      <w:r>
        <w:rPr>
          <w:lang w:eastAsia="en-US"/>
        </w:rPr>
        <w:t xml:space="preserve">. </w:t>
      </w:r>
      <w:r w:rsidR="00E258B2">
        <w:rPr>
          <w:lang w:eastAsia="en-US"/>
        </w:rPr>
        <w:t>ACCANs</w:t>
      </w:r>
      <w:r>
        <w:rPr>
          <w:lang w:eastAsia="en-US"/>
        </w:rPr>
        <w:t xml:space="preserve"> consider that the source of outages, while relevant to assessing whether appropriate </w:t>
      </w:r>
      <w:r w:rsidR="00150A3B">
        <w:rPr>
          <w:lang w:eastAsia="en-US"/>
        </w:rPr>
        <w:t xml:space="preserve">technical </w:t>
      </w:r>
      <w:r>
        <w:rPr>
          <w:lang w:eastAsia="en-US"/>
        </w:rPr>
        <w:t xml:space="preserve">arrangements are in place, is irrelevant to whether consumers should be informed about an outage. Accordingly, we consider that an exemption on the basis that an outage is </w:t>
      </w:r>
      <w:r w:rsidR="00150A3B">
        <w:rPr>
          <w:lang w:eastAsia="en-US"/>
        </w:rPr>
        <w:t>caused by</w:t>
      </w:r>
      <w:r>
        <w:rPr>
          <w:lang w:eastAsia="en-US"/>
        </w:rPr>
        <w:t xml:space="preserve"> a natural disaster </w:t>
      </w:r>
      <w:r w:rsidR="00EC1653">
        <w:rPr>
          <w:lang w:eastAsia="en-US"/>
        </w:rPr>
        <w:t>to be</w:t>
      </w:r>
      <w:r>
        <w:rPr>
          <w:lang w:eastAsia="en-US"/>
        </w:rPr>
        <w:t xml:space="preserve"> an inappropriate basis for exclusion from communication requirements.</w:t>
      </w:r>
    </w:p>
    <w:p w14:paraId="0EAB287C" w14:textId="0C6D1DCE" w:rsidR="0041434B" w:rsidRDefault="008014D7" w:rsidP="00584BE4">
      <w:pPr>
        <w:pStyle w:val="Heading2"/>
      </w:pPr>
      <w:r w:rsidRPr="00030AF9">
        <w:t>Are there certain classes of carrier and carriage service provider that should be exempt from the requirements of the standard? Please explain your answer and give reasons for your position.</w:t>
      </w:r>
    </w:p>
    <w:p w14:paraId="0A11C504" w14:textId="775F7408" w:rsidR="00AF6B24" w:rsidRPr="00AF6B24" w:rsidRDefault="00AF6B24" w:rsidP="00AF6B24">
      <w:r>
        <w:t xml:space="preserve">The regulated entity should be </w:t>
      </w:r>
      <w:r w:rsidR="0099497C">
        <w:t xml:space="preserve">both </w:t>
      </w:r>
      <w:r>
        <w:t>carrier</w:t>
      </w:r>
      <w:r w:rsidR="0099497C">
        <w:t xml:space="preserve"> and carriage service provider</w:t>
      </w:r>
      <w:r w:rsidR="00F2505A">
        <w:t>,</w:t>
      </w:r>
      <w:r>
        <w:t xml:space="preserve"> </w:t>
      </w:r>
      <w:r w:rsidR="009E5477">
        <w:t>with</w:t>
      </w:r>
      <w:r>
        <w:t xml:space="preserve"> carriage service provider</w:t>
      </w:r>
      <w:r w:rsidR="009E5477">
        <w:t xml:space="preserve">s supported </w:t>
      </w:r>
      <w:r w:rsidR="00BE3A1A">
        <w:t xml:space="preserve">by carriers </w:t>
      </w:r>
      <w:r w:rsidR="009E5477">
        <w:t>to provide relevant information to end-users</w:t>
      </w:r>
      <w:r>
        <w:t xml:space="preserve">. </w:t>
      </w:r>
      <w:r w:rsidR="00BE3A1A">
        <w:t>Carriers and c</w:t>
      </w:r>
      <w:r w:rsidR="00AB1CA5">
        <w:t xml:space="preserve">arriage service providers </w:t>
      </w:r>
      <w:r w:rsidR="00BE3A1A">
        <w:t>should</w:t>
      </w:r>
      <w:r w:rsidR="00DE49B1">
        <w:t xml:space="preserve"> develop internal mechanisms to </w:t>
      </w:r>
      <w:r w:rsidR="00BE3A1A">
        <w:t xml:space="preserve">effectively liaise between each other in order to ensure clear and consistent communications </w:t>
      </w:r>
      <w:r w:rsidR="001A6E95">
        <w:t xml:space="preserve">to their consumers. </w:t>
      </w:r>
    </w:p>
    <w:p w14:paraId="09A6C37F" w14:textId="6D5B2867" w:rsidR="00A0242C" w:rsidRDefault="00A0242C" w:rsidP="00584BE4">
      <w:pPr>
        <w:pStyle w:val="Heading2"/>
      </w:pPr>
      <w:r w:rsidRPr="00030AF9">
        <w:t>Should the standard deal with matters differently for different classes of end-users of carriage services supplied by carriers and carriage service providers?</w:t>
      </w:r>
    </w:p>
    <w:p w14:paraId="2981C5AC" w14:textId="7E21D002" w:rsidR="001761B6" w:rsidRDefault="00670882" w:rsidP="00670882">
      <w:r>
        <w:t>No.</w:t>
      </w:r>
      <w:r w:rsidR="00826114">
        <w:t xml:space="preserve"> Both individual consumers and business consumers should receive the same communications. Special priority should be given to consumers </w:t>
      </w:r>
      <w:r w:rsidR="00AF6B24">
        <w:t xml:space="preserve">on priority assistance. </w:t>
      </w:r>
    </w:p>
    <w:p w14:paraId="6DDDDAB7" w14:textId="0C469E15" w:rsidR="001761B6" w:rsidRDefault="001761B6" w:rsidP="001761B6">
      <w:pPr>
        <w:pStyle w:val="Heading2"/>
      </w:pPr>
      <w:r>
        <w:t>Commence</w:t>
      </w:r>
      <w:r w:rsidR="00EE1FBD">
        <w:t>ment</w:t>
      </w:r>
      <w:r>
        <w:t xml:space="preserve"> date for the standard for major outages and local outages</w:t>
      </w:r>
    </w:p>
    <w:p w14:paraId="731C8295" w14:textId="77777777" w:rsidR="001761B6" w:rsidRPr="00030AF9" w:rsidRDefault="001761B6" w:rsidP="001761B6">
      <w:pPr>
        <w:rPr>
          <w:lang w:eastAsia="en-US"/>
        </w:rPr>
      </w:pPr>
      <w:r w:rsidRPr="00030AF9">
        <w:rPr>
          <w:lang w:eastAsia="en-US"/>
        </w:rPr>
        <w:t xml:space="preserve">ACCAN considers that a standard for communications in response to outages is long overdue, and would recommend its implementation as soon as possible, for both major and local outages. Noting the exceptional risk to consumer welfare, as well as the potential economic impacts of network outages, ACCAN encourages the ACMA to engage with its industry stakeholders to prepare them for the implementation of this outage no later than 31 December 2024. </w:t>
      </w:r>
    </w:p>
    <w:p w14:paraId="27CA81BF" w14:textId="74E8F092" w:rsidR="001761B6" w:rsidRPr="00030AF9" w:rsidRDefault="001761B6" w:rsidP="001761B6">
      <w:pPr>
        <w:rPr>
          <w:lang w:eastAsia="en-US"/>
        </w:rPr>
      </w:pPr>
      <w:r w:rsidRPr="00030AF9">
        <w:rPr>
          <w:lang w:eastAsia="en-US"/>
        </w:rPr>
        <w:t xml:space="preserve">ACCAN does not consider there to be a reasonable basis to distinguish between the implementation date of major and local outages. In our view this is likely to create regulatory confusion and uncertainty for industry and consumers alike. Further, it would likely hinder the social licence of the </w:t>
      </w:r>
      <w:r w:rsidR="00F5391C" w:rsidRPr="00030AF9">
        <w:rPr>
          <w:lang w:eastAsia="en-US"/>
        </w:rPr>
        <w:t>communications industry if</w:t>
      </w:r>
      <w:r w:rsidRPr="00030AF9">
        <w:rPr>
          <w:lang w:eastAsia="en-US"/>
        </w:rPr>
        <w:t xml:space="preserve"> consumers were to be uninformed of a local outage in-between 31 December 2024 and 30 June 2025. ACCAN recommends a uniform implementation for both major and local outages, to be implemented as soon as possible, but no later than 31 December 2024. </w:t>
      </w:r>
    </w:p>
    <w:p w14:paraId="7235D8A8" w14:textId="77777777" w:rsidR="001761B6" w:rsidRDefault="001761B6">
      <w:r>
        <w:br w:type="page"/>
      </w:r>
    </w:p>
    <w:p w14:paraId="5DA69F46" w14:textId="3F2F4A38" w:rsidR="00A0242C" w:rsidRDefault="00A0242C" w:rsidP="00584BE4">
      <w:pPr>
        <w:pStyle w:val="Heading2"/>
      </w:pPr>
      <w:r w:rsidRPr="00030AF9">
        <w:lastRenderedPageBreak/>
        <w:t xml:space="preserve">Are the proposed </w:t>
      </w:r>
      <w:r w:rsidR="004368D4">
        <w:t xml:space="preserve">communications </w:t>
      </w:r>
      <w:r w:rsidRPr="00030AF9">
        <w:t>requirements robust and feasible?</w:t>
      </w:r>
    </w:p>
    <w:p w14:paraId="5418E460" w14:textId="17795B53" w:rsidR="004368D4" w:rsidRPr="00362DB4" w:rsidRDefault="004368D4" w:rsidP="004368D4">
      <w:r>
        <w:t xml:space="preserve">The proposed communications requirements </w:t>
      </w:r>
      <w:r w:rsidR="00014F1C">
        <w:t xml:space="preserve">should be strengthened by eliminating ambiguity within the standard. </w:t>
      </w:r>
      <w:r w:rsidR="00D42A33">
        <w:t xml:space="preserve">ACCAN recommends the revision of </w:t>
      </w:r>
      <w:r w:rsidR="0015656B">
        <w:t xml:space="preserve">Section 10, parts </w:t>
      </w:r>
      <w:r w:rsidR="006933EF">
        <w:t xml:space="preserve">2 and 3, in order to streamline the </w:t>
      </w:r>
      <w:r w:rsidR="00FA27B9">
        <w:t xml:space="preserve">communications methods for </w:t>
      </w:r>
      <w:r w:rsidR="0030031A">
        <w:t xml:space="preserve">the regulated </w:t>
      </w:r>
      <w:r w:rsidR="00F64C75">
        <w:t>entities and</w:t>
      </w:r>
      <w:r w:rsidR="00362DB4">
        <w:t xml:space="preserve"> ensuring that they prioritise the most effective methods of communications. We recommend the following revisions (changes in </w:t>
      </w:r>
      <w:r w:rsidR="00362DB4">
        <w:rPr>
          <w:b/>
          <w:bCs/>
        </w:rPr>
        <w:t>bold</w:t>
      </w:r>
      <w:r w:rsidR="00362DB4">
        <w:t xml:space="preserve"> and </w:t>
      </w:r>
      <w:r w:rsidR="00362DB4" w:rsidRPr="00362DB4">
        <w:rPr>
          <w:strike/>
        </w:rPr>
        <w:t>strikethrough</w:t>
      </w:r>
      <w:r w:rsidR="00362DB4" w:rsidRPr="00362DB4">
        <w:t>):</w:t>
      </w:r>
    </w:p>
    <w:p w14:paraId="27935865" w14:textId="69FDD8FD" w:rsidR="006933EF" w:rsidRDefault="006933EF" w:rsidP="006933EF">
      <w:pPr>
        <w:ind w:left="1440" w:hanging="720"/>
      </w:pPr>
      <w:r>
        <w:t>(2)</w:t>
      </w:r>
      <w:r>
        <w:tab/>
        <w:t xml:space="preserve">The carriage service provider must attempt to notify (in an easily accessible form) end-users using </w:t>
      </w:r>
      <w:r w:rsidR="00FE6FA9">
        <w:rPr>
          <w:b/>
          <w:bCs/>
        </w:rPr>
        <w:t xml:space="preserve">both </w:t>
      </w:r>
      <w:r w:rsidRPr="006C27B6">
        <w:rPr>
          <w:strike/>
        </w:rPr>
        <w:t>at least one</w:t>
      </w:r>
      <w:r>
        <w:t xml:space="preserve"> of the following methods of communication:</w:t>
      </w:r>
    </w:p>
    <w:p w14:paraId="5AB2D822" w14:textId="404C40AA" w:rsidR="006933EF" w:rsidRDefault="006933EF" w:rsidP="006933EF">
      <w:pPr>
        <w:ind w:left="2160" w:hanging="720"/>
      </w:pPr>
      <w:r>
        <w:t>(a)</w:t>
      </w:r>
      <w:r>
        <w:tab/>
      </w:r>
      <w:r w:rsidRPr="00362DB4">
        <w:rPr>
          <w:strike/>
        </w:rPr>
        <w:t>an application that the carriage service provider makes available to end-users to subscribe to, which relates to the carriage service it provides to the end-user;</w:t>
      </w:r>
    </w:p>
    <w:p w14:paraId="1A1A6818" w14:textId="77777777" w:rsidR="006933EF" w:rsidRDefault="006933EF" w:rsidP="006933EF">
      <w:pPr>
        <w:ind w:left="720"/>
      </w:pPr>
      <w:r>
        <w:tab/>
        <w:t>(b)</w:t>
      </w:r>
      <w:r>
        <w:tab/>
        <w:t>email; or</w:t>
      </w:r>
    </w:p>
    <w:p w14:paraId="02182F19" w14:textId="77777777" w:rsidR="006933EF" w:rsidRDefault="006933EF" w:rsidP="006933EF">
      <w:pPr>
        <w:ind w:left="720"/>
      </w:pPr>
      <w:r>
        <w:tab/>
        <w:t>(c)</w:t>
      </w:r>
      <w:r>
        <w:tab/>
        <w:t>SMS.</w:t>
      </w:r>
    </w:p>
    <w:p w14:paraId="74D38568" w14:textId="77777777" w:rsidR="006933EF" w:rsidRDefault="006933EF" w:rsidP="006933EF">
      <w:pPr>
        <w:ind w:left="720"/>
      </w:pPr>
      <w:r>
        <w:t>Note:</w:t>
      </w:r>
      <w:r>
        <w:tab/>
        <w:t>SMS is short for short message service.</w:t>
      </w:r>
    </w:p>
    <w:p w14:paraId="71B1D0E1" w14:textId="1586F552" w:rsidR="006933EF" w:rsidRDefault="006933EF" w:rsidP="006C27B6">
      <w:pPr>
        <w:ind w:left="1440" w:hanging="720"/>
      </w:pPr>
      <w:r>
        <w:t>(3)</w:t>
      </w:r>
      <w:r>
        <w:tab/>
        <w:t xml:space="preserve">The carriage service provider must also make information (in an easily accessible form) about the outage available to end-users and the public using </w:t>
      </w:r>
      <w:r w:rsidR="00D47CBF">
        <w:rPr>
          <w:b/>
          <w:bCs/>
        </w:rPr>
        <w:t>four</w:t>
      </w:r>
      <w:r w:rsidRPr="00D47CBF">
        <w:t xml:space="preserve"> or more of</w:t>
      </w:r>
      <w:r>
        <w:t xml:space="preserve"> the following communications channels:</w:t>
      </w:r>
    </w:p>
    <w:p w14:paraId="4DA74072" w14:textId="1A176600" w:rsidR="006933EF" w:rsidRDefault="006933EF" w:rsidP="006933EF">
      <w:pPr>
        <w:ind w:left="2160" w:hanging="720"/>
      </w:pPr>
      <w:r>
        <w:t>(a)</w:t>
      </w:r>
      <w:r>
        <w:tab/>
        <w:t xml:space="preserve">the website of the carriage service provider, </w:t>
      </w:r>
      <w:r w:rsidR="00F64C75">
        <w:t xml:space="preserve">and </w:t>
      </w:r>
      <w:r w:rsidR="00F64C75" w:rsidRPr="006C27B6">
        <w:rPr>
          <w:strike/>
        </w:rPr>
        <w:t>if</w:t>
      </w:r>
      <w:r w:rsidRPr="006C27B6">
        <w:rPr>
          <w:strike/>
        </w:rPr>
        <w:t xml:space="preserve"> that website is inaccessible due to the outage,</w:t>
      </w:r>
      <w:r>
        <w:t xml:space="preserve"> an alternative website</w:t>
      </w:r>
      <w:r w:rsidR="00D2629E">
        <w:t xml:space="preserve"> </w:t>
      </w:r>
      <w:r w:rsidR="00D2629E">
        <w:rPr>
          <w:b/>
          <w:bCs/>
        </w:rPr>
        <w:t>hosted by an alternative network</w:t>
      </w:r>
      <w:r>
        <w:t xml:space="preserve"> that is accessible to the public;</w:t>
      </w:r>
    </w:p>
    <w:p w14:paraId="2460473B" w14:textId="375EADC6" w:rsidR="006933EF" w:rsidRDefault="006933EF" w:rsidP="006933EF">
      <w:pPr>
        <w:ind w:left="720"/>
      </w:pPr>
      <w:r>
        <w:tab/>
        <w:t>(b)</w:t>
      </w:r>
      <w:r>
        <w:tab/>
        <w:t>call centres</w:t>
      </w:r>
      <w:r w:rsidR="001A1E67">
        <w:rPr>
          <w:b/>
          <w:bCs/>
        </w:rPr>
        <w:t xml:space="preserve">, including </w:t>
      </w:r>
      <w:r w:rsidR="00E1019F">
        <w:rPr>
          <w:b/>
          <w:bCs/>
        </w:rPr>
        <w:t>special provisions for priority assistance</w:t>
      </w:r>
      <w:r>
        <w:t xml:space="preserve">; </w:t>
      </w:r>
    </w:p>
    <w:p w14:paraId="1C9978E7" w14:textId="3EC439E9" w:rsidR="006933EF" w:rsidRDefault="006933EF" w:rsidP="006933EF">
      <w:pPr>
        <w:ind w:left="720"/>
      </w:pPr>
      <w:r>
        <w:tab/>
        <w:t>(c)</w:t>
      </w:r>
      <w:r>
        <w:tab/>
      </w:r>
      <w:r w:rsidR="00E1019F">
        <w:rPr>
          <w:b/>
          <w:bCs/>
        </w:rPr>
        <w:t xml:space="preserve">the entity’s </w:t>
      </w:r>
      <w:r>
        <w:t xml:space="preserve">social media; </w:t>
      </w:r>
      <w:r w:rsidRPr="00543A56">
        <w:rPr>
          <w:strike/>
        </w:rPr>
        <w:t>or</w:t>
      </w:r>
    </w:p>
    <w:p w14:paraId="366CACD8" w14:textId="24E0E0BD" w:rsidR="00543A56" w:rsidRPr="00B021D4" w:rsidRDefault="00543A56" w:rsidP="006933EF">
      <w:pPr>
        <w:ind w:left="720"/>
        <w:rPr>
          <w:b/>
          <w:bCs/>
        </w:rPr>
      </w:pPr>
      <w:r>
        <w:tab/>
      </w:r>
      <w:r w:rsidRPr="00B021D4">
        <w:rPr>
          <w:b/>
          <w:bCs/>
        </w:rPr>
        <w:t>(d)</w:t>
      </w:r>
      <w:r w:rsidRPr="00B021D4">
        <w:rPr>
          <w:b/>
          <w:bCs/>
        </w:rPr>
        <w:tab/>
      </w:r>
      <w:r w:rsidR="002A3D38" w:rsidRPr="00B021D4">
        <w:rPr>
          <w:b/>
          <w:bCs/>
        </w:rPr>
        <w:t>radio and television broadcasting services</w:t>
      </w:r>
      <w:r w:rsidR="00F45871">
        <w:rPr>
          <w:b/>
          <w:bCs/>
        </w:rPr>
        <w:t>; or</w:t>
      </w:r>
    </w:p>
    <w:p w14:paraId="1C14F270" w14:textId="63CF5F69" w:rsidR="001761B6" w:rsidRDefault="006933EF" w:rsidP="00F76B27">
      <w:pPr>
        <w:ind w:left="2160" w:hanging="720"/>
        <w:rPr>
          <w:strike/>
        </w:rPr>
      </w:pPr>
      <w:r w:rsidRPr="00F76B27">
        <w:rPr>
          <w:b/>
          <w:bCs/>
        </w:rPr>
        <w:t>(</w:t>
      </w:r>
      <w:r w:rsidR="00B021D4" w:rsidRPr="00F76B27">
        <w:rPr>
          <w:b/>
          <w:bCs/>
        </w:rPr>
        <w:t>e</w:t>
      </w:r>
      <w:r w:rsidRPr="00F76B27">
        <w:rPr>
          <w:b/>
          <w:bCs/>
        </w:rPr>
        <w:t>)</w:t>
      </w:r>
      <w:r w:rsidRPr="00F76B27">
        <w:rPr>
          <w:b/>
          <w:bCs/>
        </w:rPr>
        <w:tab/>
      </w:r>
      <w:r w:rsidR="00F76B27" w:rsidRPr="00F76B27">
        <w:rPr>
          <w:b/>
          <w:bCs/>
        </w:rPr>
        <w:t xml:space="preserve">newspapers, or other electronic services (including services provided through the internet) that are similar to newspapers, </w:t>
      </w:r>
      <w:r w:rsidR="00F5391C" w:rsidRPr="00F76B27">
        <w:rPr>
          <w:b/>
          <w:bCs/>
        </w:rPr>
        <w:t>radio,</w:t>
      </w:r>
      <w:r w:rsidR="00F76B27" w:rsidRPr="00F76B27">
        <w:rPr>
          <w:b/>
          <w:bCs/>
        </w:rPr>
        <w:t xml:space="preserve"> or television broadcasts</w:t>
      </w:r>
      <w:r w:rsidR="00F76B27">
        <w:t xml:space="preserve">. </w:t>
      </w:r>
      <w:r w:rsidRPr="00F76B27">
        <w:rPr>
          <w:strike/>
        </w:rPr>
        <w:t>one or more types of other media.</w:t>
      </w:r>
    </w:p>
    <w:p w14:paraId="4B0781A5" w14:textId="72085059" w:rsidR="006C23AD" w:rsidRPr="00030AF9" w:rsidRDefault="008014D7" w:rsidP="002E33BD">
      <w:pPr>
        <w:pStyle w:val="Heading2"/>
        <w:spacing w:before="240"/>
      </w:pPr>
      <w:r w:rsidRPr="00030AF9">
        <w:t>Additional feedback</w:t>
      </w:r>
      <w:r w:rsidR="00B62817">
        <w:t xml:space="preserve"> concerning the lack of accessibility </w:t>
      </w:r>
      <w:r w:rsidR="00F5245C">
        <w:t>provisions.</w:t>
      </w:r>
    </w:p>
    <w:p w14:paraId="2429320E" w14:textId="679B9D86" w:rsidR="00B57EE6" w:rsidRDefault="006C23AD" w:rsidP="007D30C1">
      <w:r w:rsidRPr="00D30025">
        <w:t>ACCAN is</w:t>
      </w:r>
      <w:r w:rsidR="004F08C8">
        <w:t xml:space="preserve"> significantly</w:t>
      </w:r>
      <w:r w:rsidRPr="00D30025">
        <w:t xml:space="preserve"> concerned at the lack of </w:t>
      </w:r>
      <w:r w:rsidR="00E24C0E" w:rsidRPr="00D30025">
        <w:t>provisions regarding accessibility within the standard</w:t>
      </w:r>
      <w:r w:rsidR="003D58A7">
        <w:t>.</w:t>
      </w:r>
      <w:r w:rsidR="00E24C0E" w:rsidRPr="00D30025">
        <w:t xml:space="preserve"> While the term ‘accessibility’ is used </w:t>
      </w:r>
      <w:r w:rsidR="007D30C1">
        <w:t xml:space="preserve">throughout </w:t>
      </w:r>
      <w:r w:rsidR="00E24C0E" w:rsidRPr="00D30025">
        <w:t xml:space="preserve">the document, it </w:t>
      </w:r>
      <w:r w:rsidR="00D30025" w:rsidRPr="00D30025">
        <w:t>is used only as a synonym for ‘ease of access</w:t>
      </w:r>
      <w:r w:rsidR="00E50375" w:rsidRPr="00D30025">
        <w:t>,’</w:t>
      </w:r>
      <w:r w:rsidR="00D30025" w:rsidRPr="00D30025">
        <w:t xml:space="preserve"> as opposed to </w:t>
      </w:r>
      <w:r w:rsidR="007D30C1">
        <w:t>its more technical definition</w:t>
      </w:r>
      <w:r w:rsidR="00046C81">
        <w:t xml:space="preserve"> to account </w:t>
      </w:r>
      <w:r w:rsidR="00D30025" w:rsidRPr="00D30025">
        <w:t xml:space="preserve">for </w:t>
      </w:r>
      <w:r w:rsidR="00046C81">
        <w:t xml:space="preserve">people with </w:t>
      </w:r>
      <w:r w:rsidR="00D30025" w:rsidRPr="00D30025">
        <w:t xml:space="preserve">disability. </w:t>
      </w:r>
    </w:p>
    <w:p w14:paraId="2B577F92" w14:textId="77777777" w:rsidR="002E33BD" w:rsidRDefault="002E33BD">
      <w:r>
        <w:br w:type="page"/>
      </w:r>
    </w:p>
    <w:p w14:paraId="4B99E3D2" w14:textId="69A64950" w:rsidR="004F08C8" w:rsidRDefault="004F08C8" w:rsidP="007D30C1">
      <w:r>
        <w:lastRenderedPageBreak/>
        <w:t>Therefore</w:t>
      </w:r>
      <w:r w:rsidR="001B7A2E">
        <w:t>,</w:t>
      </w:r>
      <w:r>
        <w:t xml:space="preserve"> ACCAN recommends the ACMA </w:t>
      </w:r>
      <w:r w:rsidR="00B57E2D">
        <w:t xml:space="preserve">to make substantial revisions to the standard with regard to accessibility, including the following changes:  </w:t>
      </w:r>
    </w:p>
    <w:p w14:paraId="1189A9E0" w14:textId="68106F5B" w:rsidR="00292304" w:rsidRDefault="00B57E2D" w:rsidP="00C11270">
      <w:pPr>
        <w:pStyle w:val="Bulletlist1"/>
        <w:spacing w:line="276" w:lineRule="auto"/>
      </w:pPr>
      <w:r>
        <w:t>R</w:t>
      </w:r>
      <w:r w:rsidRPr="0021697B">
        <w:t xml:space="preserve">eplace all mentions of the word ‘accessible’ as it is currently used in the document, </w:t>
      </w:r>
      <w:r>
        <w:t>substituting it with the word ‘available</w:t>
      </w:r>
      <w:r w:rsidR="00E50375">
        <w:t>.’</w:t>
      </w:r>
      <w:r>
        <w:t xml:space="preserve"> This extends to ‘inaccessible’ to ‘unavailable</w:t>
      </w:r>
      <w:r w:rsidR="00E50375">
        <w:t>,’</w:t>
      </w:r>
      <w:r>
        <w:t xml:space="preserve"> etc. </w:t>
      </w:r>
    </w:p>
    <w:p w14:paraId="04533721" w14:textId="60BA830E" w:rsidR="00B57E2D" w:rsidRDefault="00DE55C4" w:rsidP="00C11270">
      <w:pPr>
        <w:pStyle w:val="Bulletlist1"/>
        <w:spacing w:line="276" w:lineRule="auto"/>
      </w:pPr>
      <w:r>
        <w:t>Creating a</w:t>
      </w:r>
      <w:r w:rsidR="000A577E">
        <w:t xml:space="preserve">n </w:t>
      </w:r>
      <w:r w:rsidR="001E1DC4">
        <w:t>‘accessibility’ section</w:t>
      </w:r>
      <w:r w:rsidR="00D32913">
        <w:t xml:space="preserve"> within the standard, </w:t>
      </w:r>
      <w:r w:rsidR="002423B1">
        <w:t xml:space="preserve">governing the communications that the regulated entities are to provide, </w:t>
      </w:r>
      <w:r w:rsidR="00FD0438">
        <w:t xml:space="preserve">including provisions </w:t>
      </w:r>
      <w:r w:rsidR="00F04BAC">
        <w:t>to ensure that</w:t>
      </w:r>
      <w:r w:rsidR="002423B1">
        <w:t xml:space="preserve">: </w:t>
      </w:r>
    </w:p>
    <w:p w14:paraId="0487FD15" w14:textId="131A5FD4" w:rsidR="000620BF" w:rsidRDefault="000620BF" w:rsidP="00C11270">
      <w:pPr>
        <w:pStyle w:val="Bulletlist2"/>
        <w:spacing w:line="276" w:lineRule="auto"/>
      </w:pPr>
      <w:r w:rsidRPr="003F0D67">
        <w:t xml:space="preserve">All outage-related information provided on websites or via social media must comply with the </w:t>
      </w:r>
      <w:r w:rsidR="0003015D">
        <w:t>latest version of the</w:t>
      </w:r>
      <w:r w:rsidR="003F0D67" w:rsidRPr="003F0D67">
        <w:t xml:space="preserve"> </w:t>
      </w:r>
      <w:r w:rsidRPr="003F0D67">
        <w:t>Web Content Accessibility Guidelines to a minimum of AA Level</w:t>
      </w:r>
      <w:r w:rsidR="00D42549">
        <w:t>.</w:t>
      </w:r>
    </w:p>
    <w:p w14:paraId="538D258A" w14:textId="0CB6DDB6" w:rsidR="002423B1" w:rsidRDefault="00F04BAC" w:rsidP="00C11270">
      <w:pPr>
        <w:pStyle w:val="Bulletlist2"/>
        <w:spacing w:line="276" w:lineRule="auto"/>
      </w:pPr>
      <w:r>
        <w:t>A</w:t>
      </w:r>
      <w:r w:rsidR="00FD0438">
        <w:t>ll outage-related information on websites</w:t>
      </w:r>
      <w:r w:rsidR="00175F2F">
        <w:t xml:space="preserve">, social media and </w:t>
      </w:r>
      <w:r>
        <w:t xml:space="preserve">other written formats </w:t>
      </w:r>
      <w:r w:rsidR="0036566A">
        <w:t>is provided in ‘plain language</w:t>
      </w:r>
      <w:r w:rsidR="00E50375">
        <w:t>,’</w:t>
      </w:r>
      <w:r w:rsidR="0036566A">
        <w:t xml:space="preserve"> i.e. to a ‘lower secondary education reading level</w:t>
      </w:r>
      <w:r w:rsidR="00E50375">
        <w:t>.’</w:t>
      </w:r>
      <w:r w:rsidR="0036566A">
        <w:rPr>
          <w:rStyle w:val="FootnoteReference"/>
        </w:rPr>
        <w:footnoteReference w:id="5"/>
      </w:r>
    </w:p>
    <w:p w14:paraId="084AD4F2" w14:textId="0923C222" w:rsidR="00C3562C" w:rsidRDefault="00C3562C" w:rsidP="00C11270">
      <w:pPr>
        <w:pStyle w:val="Bulletlist2"/>
        <w:spacing w:line="276" w:lineRule="auto"/>
      </w:pPr>
      <w:r>
        <w:t xml:space="preserve">Ensuring </w:t>
      </w:r>
      <w:r w:rsidR="000B5DA6">
        <w:t xml:space="preserve">communications are </w:t>
      </w:r>
      <w:r w:rsidR="000972D6">
        <w:t xml:space="preserve">also </w:t>
      </w:r>
      <w:r w:rsidR="000D6E1E">
        <w:t xml:space="preserve">provided </w:t>
      </w:r>
      <w:r>
        <w:t>in Easy English</w:t>
      </w:r>
      <w:r w:rsidR="00F55AE4">
        <w:t>.</w:t>
      </w:r>
      <w:r w:rsidR="00592BC4">
        <w:rPr>
          <w:rStyle w:val="FootnoteReference"/>
        </w:rPr>
        <w:footnoteReference w:id="6"/>
      </w:r>
    </w:p>
    <w:p w14:paraId="2683F42A" w14:textId="08A65406" w:rsidR="00C773D8" w:rsidRDefault="00C773D8" w:rsidP="00C11270">
      <w:pPr>
        <w:pStyle w:val="Bulletlist2"/>
        <w:spacing w:line="276" w:lineRule="auto"/>
      </w:pPr>
      <w:r>
        <w:t xml:space="preserve">Providing Auslan translations </w:t>
      </w:r>
      <w:r w:rsidR="00031033">
        <w:t xml:space="preserve">of written information </w:t>
      </w:r>
      <w:r>
        <w:t xml:space="preserve">in accordance with </w:t>
      </w:r>
      <w:r w:rsidR="007C3577">
        <w:t>the guidelines for English into Auslan Video Production</w:t>
      </w:r>
      <w:r w:rsidR="00031033">
        <w:t>.</w:t>
      </w:r>
      <w:r>
        <w:rPr>
          <w:rStyle w:val="FootnoteReference"/>
        </w:rPr>
        <w:footnoteReference w:id="7"/>
      </w:r>
    </w:p>
    <w:p w14:paraId="3C73C18B" w14:textId="367C0734" w:rsidR="00031033" w:rsidRDefault="00B82A2F" w:rsidP="00C11270">
      <w:pPr>
        <w:pStyle w:val="Bulletlist2"/>
        <w:spacing w:line="276" w:lineRule="auto"/>
      </w:pPr>
      <w:r>
        <w:t>Ensuring all phone numbers and other contact details displayed visually on television be verbalised</w:t>
      </w:r>
      <w:r w:rsidR="006B6808">
        <w:t xml:space="preserve"> (i.e. spoken aloud).</w:t>
      </w:r>
    </w:p>
    <w:p w14:paraId="78577829" w14:textId="19192BEC" w:rsidR="00F55AE4" w:rsidRDefault="00F55AE4" w:rsidP="00C11270">
      <w:pPr>
        <w:pStyle w:val="Bulletlist2"/>
        <w:spacing w:line="276" w:lineRule="auto"/>
      </w:pPr>
      <w:r>
        <w:t>Ensuring captions and transcripts for video and audio content are made available.</w:t>
      </w:r>
    </w:p>
    <w:p w14:paraId="5FB58EAA" w14:textId="539A6286" w:rsidR="001761B6" w:rsidRDefault="006B6808" w:rsidP="00C11270">
      <w:pPr>
        <w:pStyle w:val="Bulletlist2"/>
        <w:spacing w:line="276" w:lineRule="auto"/>
      </w:pPr>
      <w:r>
        <w:t xml:space="preserve">Providing text alternatives to images, </w:t>
      </w:r>
      <w:r w:rsidR="00943CB8">
        <w:t xml:space="preserve">where outage areas are shown on a map. </w:t>
      </w:r>
    </w:p>
    <w:p w14:paraId="3081BBB3" w14:textId="77777777" w:rsidR="00C5300D" w:rsidRPr="00030AF9" w:rsidRDefault="00C5300D" w:rsidP="00031D43">
      <w:pPr>
        <w:pStyle w:val="Heading1"/>
        <w:spacing w:before="240"/>
      </w:pPr>
      <w:r w:rsidRPr="00030AF9">
        <w:t>Conclusion</w:t>
      </w:r>
    </w:p>
    <w:p w14:paraId="2C35C458" w14:textId="77777777" w:rsidR="003B7134" w:rsidRDefault="00977E4C" w:rsidP="00C5300D">
      <w:r w:rsidRPr="00030AF9">
        <w:t>As detailed above, ACCAN is ultimately concerned that this industry standard, while a significant improvement</w:t>
      </w:r>
      <w:r w:rsidR="00572511" w:rsidRPr="00030AF9">
        <w:t xml:space="preserve">, </w:t>
      </w:r>
      <w:r w:rsidR="002E33BD">
        <w:t xml:space="preserve">still </w:t>
      </w:r>
      <w:r w:rsidR="00572511" w:rsidRPr="00030AF9">
        <w:t xml:space="preserve">does not provide sufficient protections for Australian consumers. It does not contain sufficient accessibility provisions, nor </w:t>
      </w:r>
      <w:r w:rsidR="0034729D" w:rsidRPr="00030AF9">
        <w:t>is it</w:t>
      </w:r>
      <w:r w:rsidR="002E33BD">
        <w:t>s</w:t>
      </w:r>
      <w:r w:rsidR="0034729D" w:rsidRPr="00030AF9">
        <w:t xml:space="preserve"> coverage sufficiently broad to protect and inform consumers in disruptive events such as natural disasters. </w:t>
      </w:r>
    </w:p>
    <w:p w14:paraId="020E6341" w14:textId="1C5962F3" w:rsidR="002E33BD" w:rsidRDefault="00596CC9" w:rsidP="00C5300D">
      <w:r w:rsidRPr="00030AF9">
        <w:t xml:space="preserve">With the significant </w:t>
      </w:r>
      <w:r w:rsidR="00E803B3" w:rsidRPr="00030AF9">
        <w:t xml:space="preserve">disruption of the Optus Outage of 8 November 2023 still fresh in the mind of consumers, </w:t>
      </w:r>
      <w:r w:rsidRPr="00030AF9">
        <w:t xml:space="preserve">ACCAN strongly advises the ACMA to revise </w:t>
      </w:r>
      <w:r w:rsidR="00E803B3" w:rsidRPr="00030AF9">
        <w:t xml:space="preserve">and strengthen </w:t>
      </w:r>
      <w:r w:rsidRPr="00030AF9">
        <w:t>the standard</w:t>
      </w:r>
      <w:r w:rsidR="00E803B3" w:rsidRPr="00030AF9">
        <w:t>.</w:t>
      </w:r>
    </w:p>
    <w:p w14:paraId="4790EC38" w14:textId="127EC9A2" w:rsidR="001A1B95" w:rsidRPr="00030AF9" w:rsidRDefault="001A1B95" w:rsidP="00C5300D">
      <w:r>
        <w:t xml:space="preserve">ACCAN thanks the ACMA for this opportunity to comment upon the standard. </w:t>
      </w:r>
      <w:r w:rsidR="00F0641C" w:rsidRPr="00F0641C">
        <w:t xml:space="preserve">Should you wish to discuss the issues raised in this submission, please do not hesitate to contact </w:t>
      </w:r>
      <w:r>
        <w:t xml:space="preserve">Audrey Isadora Reoch, Policy Manager, at </w:t>
      </w:r>
      <w:hyperlink r:id="rId17" w:history="1">
        <w:r w:rsidRPr="00357BF6">
          <w:rPr>
            <w:rStyle w:val="Hyperlink"/>
          </w:rPr>
          <w:t>audrey.reoch@accan.org.au</w:t>
        </w:r>
      </w:hyperlink>
      <w:r>
        <w:t xml:space="preserve">. </w:t>
      </w:r>
    </w:p>
    <w:p w14:paraId="4EF2223F" w14:textId="7927BF85" w:rsidR="00DC13F4" w:rsidRPr="00256916" w:rsidRDefault="00C5300D" w:rsidP="00256916">
      <w:pPr>
        <w:pStyle w:val="FundingAcknowledgement"/>
      </w:pPr>
      <w:r w:rsidRPr="00030AF9">
        <w:t xml:space="preserve">The Australian Communications Consumer Action Network (ACCAN) is Australia’s peak communication consumer organisation. The operation of ACCAN is made possible by funding provided by the Commonwealth of Australia under section 593 of the Telecommunications Act 1997. This funding is recovered from charges on telecommunications carriers. ACCAN is committed to reconciliation that acknowledges Australia’s past and values the unique culture and heritage of Aboriginal and Torres Strait Islander peoples. </w:t>
      </w:r>
      <w:hyperlink r:id="rId18" w:history="1">
        <w:r w:rsidRPr="00030AF9">
          <w:rPr>
            <w:rStyle w:val="Hyperlink"/>
            <w:lang w:val="en-AU"/>
          </w:rPr>
          <w:t>Read our RAP</w:t>
        </w:r>
      </w:hyperlink>
      <w:r w:rsidRPr="00030AF9">
        <w:rPr>
          <w:rStyle w:val="Hyperlink"/>
          <w:lang w:val="en-AU"/>
        </w:rPr>
        <w:t>.</w:t>
      </w:r>
    </w:p>
    <w:sectPr w:rsidR="00DC13F4" w:rsidRPr="00256916" w:rsidSect="00583E0A">
      <w:headerReference w:type="default" r:id="rId19"/>
      <w:footerReference w:type="default" r:id="rId20"/>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8FCAF" w14:textId="77777777" w:rsidR="00791F2B" w:rsidRDefault="00791F2B">
      <w:pPr>
        <w:spacing w:after="0" w:line="240" w:lineRule="auto"/>
      </w:pPr>
      <w:r>
        <w:separator/>
      </w:r>
    </w:p>
  </w:endnote>
  <w:endnote w:type="continuationSeparator" w:id="0">
    <w:p w14:paraId="676CF9E1" w14:textId="77777777" w:rsidR="00791F2B" w:rsidRDefault="00791F2B">
      <w:pPr>
        <w:spacing w:after="0" w:line="240" w:lineRule="auto"/>
      </w:pPr>
      <w:r>
        <w:continuationSeparator/>
      </w:r>
    </w:p>
  </w:endnote>
  <w:endnote w:type="continuationNotice" w:id="1">
    <w:p w14:paraId="545FA8C8" w14:textId="77777777" w:rsidR="00791F2B" w:rsidRDefault="00791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2928" w14:textId="77777777" w:rsidR="00C5300D" w:rsidRDefault="00C5300D" w:rsidP="002A52B7">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0F4C5BEF" wp14:editId="7F6F94CC">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E36D833" id="Rectangle 1" o:spid="_x0000_s1026" style="position:absolute;margin-left:0;margin-top:18.35pt;width:594.75pt;height: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1487D427" w14:textId="77777777" w:rsidR="00A82344" w:rsidRPr="00C5300D" w:rsidRDefault="00177568"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FE19" w14:textId="77777777" w:rsidR="00C5300D" w:rsidRDefault="00C5300D">
    <w:pPr>
      <w:pStyle w:val="Footer"/>
    </w:pPr>
    <w:r>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2861" w14:textId="77777777" w:rsidR="00A82344" w:rsidRDefault="00A82344" w:rsidP="002A52B7">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76AC400E" wp14:editId="4922534B">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2E17636" id="Rectangle 1" o:spid="_x0000_s1026" style="position:absolute;margin-left:0;margin-top:18.35pt;width:594.75pt;height:5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70B51FF9" w14:textId="77777777" w:rsidR="00A82344" w:rsidRPr="00C5300D" w:rsidRDefault="00177568"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BED22" w14:textId="77777777" w:rsidR="00791F2B" w:rsidRDefault="00791F2B">
      <w:pPr>
        <w:spacing w:after="0" w:line="240" w:lineRule="auto"/>
      </w:pPr>
      <w:r>
        <w:separator/>
      </w:r>
    </w:p>
  </w:footnote>
  <w:footnote w:type="continuationSeparator" w:id="0">
    <w:p w14:paraId="3C43CE3C" w14:textId="77777777" w:rsidR="00791F2B" w:rsidRDefault="00791F2B">
      <w:pPr>
        <w:spacing w:after="0" w:line="240" w:lineRule="auto"/>
      </w:pPr>
      <w:r>
        <w:continuationSeparator/>
      </w:r>
    </w:p>
  </w:footnote>
  <w:footnote w:type="continuationNotice" w:id="1">
    <w:p w14:paraId="445C4059" w14:textId="77777777" w:rsidR="00791F2B" w:rsidRDefault="00791F2B">
      <w:pPr>
        <w:spacing w:after="0" w:line="240" w:lineRule="auto"/>
      </w:pPr>
    </w:p>
  </w:footnote>
  <w:footnote w:id="2">
    <w:p w14:paraId="17337750" w14:textId="1441E25D" w:rsidR="00B7640F" w:rsidRDefault="00B7640F">
      <w:pPr>
        <w:pStyle w:val="FootnoteText"/>
      </w:pPr>
      <w:r>
        <w:rPr>
          <w:rStyle w:val="FootnoteReference"/>
        </w:rPr>
        <w:footnoteRef/>
      </w:r>
      <w:r>
        <w:t xml:space="preserve"> ACCAN, </w:t>
      </w:r>
      <w:r w:rsidRPr="00FC2BAA">
        <w:rPr>
          <w:i/>
          <w:iCs/>
        </w:rPr>
        <w:t>Senate Inquiry on the Optus Network Outage</w:t>
      </w:r>
      <w:r>
        <w:t xml:space="preserve"> (</w:t>
      </w:r>
      <w:r w:rsidR="00615A3F">
        <w:t xml:space="preserve">Submission to the </w:t>
      </w:r>
      <w:r w:rsidR="00B4332E" w:rsidRPr="00B4332E">
        <w:t>Senate Standing Committee on Environment and Communications</w:t>
      </w:r>
      <w:r>
        <w:t xml:space="preserve">, </w:t>
      </w:r>
      <w:r w:rsidR="0021238D">
        <w:t xml:space="preserve">21 November </w:t>
      </w:r>
      <w:r>
        <w:t>2023)</w:t>
      </w:r>
      <w:r w:rsidR="00775C49">
        <w:t>.</w:t>
      </w:r>
      <w:r w:rsidR="00FC2BAA">
        <w:t xml:space="preserve"> </w:t>
      </w:r>
    </w:p>
  </w:footnote>
  <w:footnote w:id="3">
    <w:p w14:paraId="0ABA94A6" w14:textId="6B4A2A90" w:rsidR="000A3CB8" w:rsidRPr="00E0319C" w:rsidRDefault="000A3CB8" w:rsidP="000A3CB8">
      <w:pPr>
        <w:pStyle w:val="FootnoteText"/>
      </w:pPr>
      <w:r>
        <w:rPr>
          <w:rStyle w:val="FootnoteReference"/>
        </w:rPr>
        <w:footnoteRef/>
      </w:r>
      <w:r>
        <w:t xml:space="preserve"> Commonwealth of Australia, </w:t>
      </w:r>
      <w:r w:rsidRPr="00E0319C">
        <w:rPr>
          <w:i/>
          <w:iCs/>
        </w:rPr>
        <w:t>Review into the Optus outage of 8 November 2023 – Final Report</w:t>
      </w:r>
      <w:r>
        <w:rPr>
          <w:i/>
          <w:iCs/>
        </w:rPr>
        <w:t xml:space="preserve"> </w:t>
      </w:r>
      <w:r>
        <w:t>(Report, 2024</w:t>
      </w:r>
      <w:r w:rsidR="00F5245C">
        <w:t>) 7</w:t>
      </w:r>
      <w:r w:rsidR="00B339EB">
        <w:t>.</w:t>
      </w:r>
      <w:r>
        <w:t xml:space="preserve"> </w:t>
      </w:r>
    </w:p>
  </w:footnote>
  <w:footnote w:id="4">
    <w:p w14:paraId="4C45BC32" w14:textId="00D11D99" w:rsidR="00162848" w:rsidRDefault="00162848">
      <w:pPr>
        <w:pStyle w:val="FootnoteText"/>
      </w:pPr>
      <w:r>
        <w:rPr>
          <w:rStyle w:val="FootnoteReference"/>
        </w:rPr>
        <w:footnoteRef/>
      </w:r>
      <w:r>
        <w:t xml:space="preserve"> Commonwealth of Australia, </w:t>
      </w:r>
      <w:r w:rsidRPr="00E0319C">
        <w:rPr>
          <w:i/>
          <w:iCs/>
        </w:rPr>
        <w:t>Review into the Optus outage of 8 November 2023 – Final Report</w:t>
      </w:r>
      <w:r>
        <w:rPr>
          <w:i/>
          <w:iCs/>
        </w:rPr>
        <w:t xml:space="preserve"> </w:t>
      </w:r>
      <w:r>
        <w:t>(Report, 2024</w:t>
      </w:r>
      <w:r w:rsidR="00F5245C">
        <w:t>) 27</w:t>
      </w:r>
      <w:r w:rsidR="00E6526E">
        <w:t>.</w:t>
      </w:r>
      <w:r w:rsidR="006062F5" w:rsidDel="006062F5">
        <w:t xml:space="preserve"> </w:t>
      </w:r>
    </w:p>
  </w:footnote>
  <w:footnote w:id="5">
    <w:p w14:paraId="27892749" w14:textId="451C3DD0" w:rsidR="0036566A" w:rsidRDefault="0036566A" w:rsidP="0036566A">
      <w:pPr>
        <w:pStyle w:val="FootnoteText"/>
      </w:pPr>
      <w:r>
        <w:rPr>
          <w:rStyle w:val="FootnoteReference"/>
        </w:rPr>
        <w:footnoteRef/>
      </w:r>
      <w:r>
        <w:t xml:space="preserve"> </w:t>
      </w:r>
      <w:r w:rsidR="00674FB0">
        <w:t xml:space="preserve">Commonwealth of Australia, </w:t>
      </w:r>
      <w:r w:rsidR="008553E4" w:rsidRPr="008553E4">
        <w:t>‘</w:t>
      </w:r>
      <w:r w:rsidR="00674FB0" w:rsidRPr="009743DB">
        <w:t>Plain language and word choice</w:t>
      </w:r>
      <w:r w:rsidR="008553E4" w:rsidRPr="009743DB">
        <w:t>’</w:t>
      </w:r>
      <w:r w:rsidR="00B6530B">
        <w:t xml:space="preserve">, </w:t>
      </w:r>
      <w:r w:rsidR="00A70586">
        <w:rPr>
          <w:i/>
          <w:iCs/>
        </w:rPr>
        <w:t>Australian Government Style Manual</w:t>
      </w:r>
      <w:r w:rsidR="00674FB0">
        <w:t xml:space="preserve"> (Website, 2024)</w:t>
      </w:r>
      <w:r w:rsidR="008814DF">
        <w:t xml:space="preserve"> &lt;</w:t>
      </w:r>
      <w:hyperlink r:id="rId1" w:history="1">
        <w:r w:rsidR="008814DF" w:rsidRPr="008814DF">
          <w:rPr>
            <w:rStyle w:val="Hyperlink"/>
          </w:rPr>
          <w:t>https://www.stylemanual.gov.au/writing-and-designing-content/clear-language-and-writing-style/plain-language-and-word-choice</w:t>
        </w:r>
      </w:hyperlink>
      <w:r w:rsidR="008814DF">
        <w:t>&gt;.</w:t>
      </w:r>
      <w:r w:rsidR="005B3092">
        <w:t xml:space="preserve"> </w:t>
      </w:r>
    </w:p>
  </w:footnote>
  <w:footnote w:id="6">
    <w:p w14:paraId="2B4904F2" w14:textId="4B53196C" w:rsidR="00592BC4" w:rsidRDefault="00592BC4">
      <w:pPr>
        <w:pStyle w:val="FootnoteText"/>
      </w:pPr>
      <w:r>
        <w:rPr>
          <w:rStyle w:val="FootnoteReference"/>
        </w:rPr>
        <w:footnoteRef/>
      </w:r>
      <w:r>
        <w:t xml:space="preserve"> </w:t>
      </w:r>
      <w:r w:rsidR="00674FB0">
        <w:t>Commonwealth of Australia,</w:t>
      </w:r>
      <w:r w:rsidR="00031D43">
        <w:t xml:space="preserve"> </w:t>
      </w:r>
      <w:r w:rsidR="00E730BA" w:rsidRPr="00D45C27">
        <w:t>‘</w:t>
      </w:r>
      <w:r w:rsidR="00031D43" w:rsidRPr="009743DB">
        <w:t>Easy Read</w:t>
      </w:r>
      <w:r w:rsidR="00E730BA" w:rsidRPr="009743DB">
        <w:t>’</w:t>
      </w:r>
      <w:r w:rsidR="00D45C27">
        <w:rPr>
          <w:i/>
          <w:iCs/>
        </w:rPr>
        <w:t>, Australian Government Style Manual</w:t>
      </w:r>
      <w:r w:rsidR="00031D43">
        <w:t xml:space="preserve"> (Website, 2024)</w:t>
      </w:r>
      <w:r w:rsidR="002F1133">
        <w:t>&lt;</w:t>
      </w:r>
      <w:hyperlink r:id="rId2" w:history="1">
        <w:r w:rsidR="002F1133" w:rsidRPr="002F1133">
          <w:rPr>
            <w:rStyle w:val="Hyperlink"/>
          </w:rPr>
          <w:t>https://www.stylemanual.gov.au/content-types/easy-read</w:t>
        </w:r>
      </w:hyperlink>
      <w:r w:rsidR="002F1133">
        <w:t>&gt;.</w:t>
      </w:r>
    </w:p>
  </w:footnote>
  <w:footnote w:id="7">
    <w:p w14:paraId="781FF0DA" w14:textId="0CF0C931" w:rsidR="00C773D8" w:rsidRDefault="00C773D8" w:rsidP="00C773D8">
      <w:pPr>
        <w:pStyle w:val="FootnoteText"/>
      </w:pPr>
      <w:r>
        <w:rPr>
          <w:rStyle w:val="FootnoteReference"/>
        </w:rPr>
        <w:footnoteRef/>
      </w:r>
      <w:r w:rsidR="00AF63B4">
        <w:t xml:space="preserve"> </w:t>
      </w:r>
      <w:r w:rsidR="00AF63B4" w:rsidRPr="00AF63B4">
        <w:t>Gabrielle Hodge, Della Goswell, Lori Whynot, Stephanie Linder and Cathy Clark</w:t>
      </w:r>
      <w:r w:rsidR="00AF63B4">
        <w:t xml:space="preserve">, </w:t>
      </w:r>
      <w:r w:rsidR="00736C5A" w:rsidRPr="00736C5A">
        <w:rPr>
          <w:i/>
          <w:iCs/>
        </w:rPr>
        <w:t>What Standards? The need for evidence-based Auslan translation standards and production guidelines</w:t>
      </w:r>
      <w:r w:rsidR="00736C5A">
        <w:t xml:space="preserve"> (Report, </w:t>
      </w:r>
      <w:r w:rsidR="00256916">
        <w:t>2015)</w:t>
      </w:r>
      <w:r w:rsidR="00F47253">
        <w:t>.</w:t>
      </w:r>
      <w:r w:rsidR="00674FB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3B83" w14:textId="77777777" w:rsidR="00C5300D" w:rsidRDefault="00C5300D">
    <w:pPr>
      <w:pStyle w:val="Header"/>
    </w:pPr>
  </w:p>
  <w:p w14:paraId="6DB9DB24"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71B1" w14:textId="77777777" w:rsidR="00C5300D" w:rsidRPr="00AD3EFC" w:rsidRDefault="00C5300D" w:rsidP="00E53277">
    <w:pPr>
      <w:pStyle w:val="Letterhead2"/>
      <w:ind w:firstLine="0"/>
    </w:pPr>
    <w:r>
      <w:rPr>
        <w:noProof/>
      </w:rPr>
      <w:drawing>
        <wp:anchor distT="0" distB="0" distL="114300" distR="114300" simplePos="0" relativeHeight="251658240" behindDoc="1" locked="0" layoutInCell="1" allowOverlap="1" wp14:anchorId="1997EBFC" wp14:editId="7444D280">
          <wp:simplePos x="0" y="0"/>
          <wp:positionH relativeFrom="page">
            <wp:align>left</wp:align>
          </wp:positionH>
          <wp:positionV relativeFrom="paragraph">
            <wp:posOffset>-288290</wp:posOffset>
          </wp:positionV>
          <wp:extent cx="7672936" cy="4387186"/>
          <wp:effectExtent l="0" t="0" r="4445" b="0"/>
          <wp:wrapNone/>
          <wp:docPr id="10080810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32A3" w14:textId="77777777"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08665316"/>
    <w:multiLevelType w:val="hybridMultilevel"/>
    <w:tmpl w:val="E354A454"/>
    <w:lvl w:ilvl="0" w:tplc="507654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B2279CC"/>
    <w:multiLevelType w:val="hybridMultilevel"/>
    <w:tmpl w:val="1342440E"/>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1" w15:restartNumberingAfterBreak="0">
    <w:nsid w:val="303A626B"/>
    <w:multiLevelType w:val="hybridMultilevel"/>
    <w:tmpl w:val="FD1EEE4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337C5FB2"/>
    <w:multiLevelType w:val="multilevel"/>
    <w:tmpl w:val="6AFEEB4C"/>
    <w:numStyleLink w:val="Bullets"/>
  </w:abstractNum>
  <w:abstractNum w:abstractNumId="14"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5"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36E01"/>
    <w:multiLevelType w:val="hybridMultilevel"/>
    <w:tmpl w:val="56AC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91552C"/>
    <w:multiLevelType w:val="hybridMultilevel"/>
    <w:tmpl w:val="3E444950"/>
    <w:lvl w:ilvl="0" w:tplc="7BCCE8CA">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35"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621D7C"/>
    <w:multiLevelType w:val="hybridMultilevel"/>
    <w:tmpl w:val="BE928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7025575">
    <w:abstractNumId w:val="28"/>
  </w:num>
  <w:num w:numId="2" w16cid:durableId="1309937645">
    <w:abstractNumId w:val="19"/>
  </w:num>
  <w:num w:numId="3" w16cid:durableId="1363020806">
    <w:abstractNumId w:val="15"/>
  </w:num>
  <w:num w:numId="4" w16cid:durableId="239025159">
    <w:abstractNumId w:val="9"/>
  </w:num>
  <w:num w:numId="5" w16cid:durableId="2094617308">
    <w:abstractNumId w:val="0"/>
  </w:num>
  <w:num w:numId="6" w16cid:durableId="986864448">
    <w:abstractNumId w:val="33"/>
  </w:num>
  <w:num w:numId="7" w16cid:durableId="204946168">
    <w:abstractNumId w:val="3"/>
  </w:num>
  <w:num w:numId="8" w16cid:durableId="455099623">
    <w:abstractNumId w:val="26"/>
  </w:num>
  <w:num w:numId="9" w16cid:durableId="1137186840">
    <w:abstractNumId w:val="31"/>
  </w:num>
  <w:num w:numId="10" w16cid:durableId="777330096">
    <w:abstractNumId w:val="7"/>
  </w:num>
  <w:num w:numId="11" w16cid:durableId="1249999174">
    <w:abstractNumId w:val="36"/>
  </w:num>
  <w:num w:numId="12" w16cid:durableId="557977458">
    <w:abstractNumId w:val="12"/>
  </w:num>
  <w:num w:numId="13" w16cid:durableId="1941254348">
    <w:abstractNumId w:val="29"/>
  </w:num>
  <w:num w:numId="14" w16cid:durableId="906915118">
    <w:abstractNumId w:val="32"/>
  </w:num>
  <w:num w:numId="15" w16cid:durableId="1170877089">
    <w:abstractNumId w:val="24"/>
  </w:num>
  <w:num w:numId="16" w16cid:durableId="146635364">
    <w:abstractNumId w:val="18"/>
  </w:num>
  <w:num w:numId="17" w16cid:durableId="1411393860">
    <w:abstractNumId w:val="16"/>
  </w:num>
  <w:num w:numId="18" w16cid:durableId="654381262">
    <w:abstractNumId w:val="27"/>
  </w:num>
  <w:num w:numId="19" w16cid:durableId="226838686">
    <w:abstractNumId w:val="22"/>
  </w:num>
  <w:num w:numId="20" w16cid:durableId="480970995">
    <w:abstractNumId w:val="17"/>
  </w:num>
  <w:num w:numId="21" w16cid:durableId="1312520820">
    <w:abstractNumId w:val="38"/>
  </w:num>
  <w:num w:numId="22" w16cid:durableId="1253125788">
    <w:abstractNumId w:val="35"/>
  </w:num>
  <w:num w:numId="23" w16cid:durableId="699430088">
    <w:abstractNumId w:val="30"/>
  </w:num>
  <w:num w:numId="24" w16cid:durableId="351348626">
    <w:abstractNumId w:val="25"/>
  </w:num>
  <w:num w:numId="25" w16cid:durableId="1908613085">
    <w:abstractNumId w:val="4"/>
  </w:num>
  <w:num w:numId="26" w16cid:durableId="706226158">
    <w:abstractNumId w:val="6"/>
  </w:num>
  <w:num w:numId="27" w16cid:durableId="1278414560">
    <w:abstractNumId w:val="5"/>
  </w:num>
  <w:num w:numId="28" w16cid:durableId="758254510">
    <w:abstractNumId w:val="23"/>
  </w:num>
  <w:num w:numId="29" w16cid:durableId="473834808">
    <w:abstractNumId w:val="2"/>
  </w:num>
  <w:num w:numId="30" w16cid:durableId="1203983130">
    <w:abstractNumId w:val="37"/>
  </w:num>
  <w:num w:numId="31" w16cid:durableId="1014308645">
    <w:abstractNumId w:val="14"/>
    <w:lvlOverride w:ilvl="0">
      <w:lvl w:ilvl="0">
        <w:start w:val="1"/>
        <w:numFmt w:val="decimal"/>
        <w:pStyle w:val="Recommendation"/>
        <w:lvlText w:val="Recommendation %1:"/>
        <w:lvlJc w:val="left"/>
        <w:pPr>
          <w:ind w:left="851" w:firstLine="0"/>
        </w:pPr>
        <w:rPr>
          <w:rFonts w:hint="default"/>
          <w:b/>
          <w:bCs/>
        </w:rPr>
      </w:lvl>
    </w:lvlOverride>
  </w:num>
  <w:num w:numId="32" w16cid:durableId="1276209442">
    <w:abstractNumId w:val="14"/>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2133592771">
    <w:abstractNumId w:val="10"/>
  </w:num>
  <w:num w:numId="34" w16cid:durableId="1705908320">
    <w:abstractNumId w:val="13"/>
  </w:num>
  <w:num w:numId="35" w16cid:durableId="2495120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047647">
    <w:abstractNumId w:val="14"/>
  </w:num>
  <w:num w:numId="37" w16cid:durableId="1211263568">
    <w:abstractNumId w:val="20"/>
  </w:num>
  <w:num w:numId="38" w16cid:durableId="683899702">
    <w:abstractNumId w:val="8"/>
  </w:num>
  <w:num w:numId="39" w16cid:durableId="2068332300">
    <w:abstractNumId w:val="34"/>
  </w:num>
  <w:num w:numId="40" w16cid:durableId="1885873736">
    <w:abstractNumId w:val="21"/>
  </w:num>
  <w:num w:numId="41" w16cid:durableId="1475754310">
    <w:abstractNumId w:val="39"/>
  </w:num>
  <w:num w:numId="42" w16cid:durableId="1598362147">
    <w:abstractNumId w:val="21"/>
  </w:num>
  <w:num w:numId="43" w16cid:durableId="201525465">
    <w:abstractNumId w:val="11"/>
  </w:num>
  <w:num w:numId="44" w16cid:durableId="1640768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AA"/>
    <w:rsid w:val="00002592"/>
    <w:rsid w:val="00002A84"/>
    <w:rsid w:val="000039D9"/>
    <w:rsid w:val="00006849"/>
    <w:rsid w:val="00006AAB"/>
    <w:rsid w:val="00006C00"/>
    <w:rsid w:val="0001160C"/>
    <w:rsid w:val="000130E1"/>
    <w:rsid w:val="00014CA0"/>
    <w:rsid w:val="00014E08"/>
    <w:rsid w:val="00014F1C"/>
    <w:rsid w:val="0001711C"/>
    <w:rsid w:val="0001751C"/>
    <w:rsid w:val="00017FF5"/>
    <w:rsid w:val="00020140"/>
    <w:rsid w:val="0002144A"/>
    <w:rsid w:val="00021558"/>
    <w:rsid w:val="0002178D"/>
    <w:rsid w:val="000217FD"/>
    <w:rsid w:val="000218CC"/>
    <w:rsid w:val="00021EEE"/>
    <w:rsid w:val="00022392"/>
    <w:rsid w:val="00022D35"/>
    <w:rsid w:val="000244D8"/>
    <w:rsid w:val="00024E5A"/>
    <w:rsid w:val="00025032"/>
    <w:rsid w:val="00025343"/>
    <w:rsid w:val="0002577C"/>
    <w:rsid w:val="00025FC3"/>
    <w:rsid w:val="0003015D"/>
    <w:rsid w:val="0003039D"/>
    <w:rsid w:val="00030AF9"/>
    <w:rsid w:val="00030D26"/>
    <w:rsid w:val="00031033"/>
    <w:rsid w:val="00031D43"/>
    <w:rsid w:val="00031DE1"/>
    <w:rsid w:val="00032276"/>
    <w:rsid w:val="00032441"/>
    <w:rsid w:val="000341DA"/>
    <w:rsid w:val="000345B4"/>
    <w:rsid w:val="000362DE"/>
    <w:rsid w:val="0003639D"/>
    <w:rsid w:val="000374B5"/>
    <w:rsid w:val="00040E6E"/>
    <w:rsid w:val="0004166C"/>
    <w:rsid w:val="00043833"/>
    <w:rsid w:val="00044434"/>
    <w:rsid w:val="0004526C"/>
    <w:rsid w:val="000463D9"/>
    <w:rsid w:val="00046C81"/>
    <w:rsid w:val="00052737"/>
    <w:rsid w:val="00052787"/>
    <w:rsid w:val="00052D56"/>
    <w:rsid w:val="000530BA"/>
    <w:rsid w:val="0005317C"/>
    <w:rsid w:val="00053BD5"/>
    <w:rsid w:val="00056A12"/>
    <w:rsid w:val="00056D71"/>
    <w:rsid w:val="000576D9"/>
    <w:rsid w:val="00057A92"/>
    <w:rsid w:val="00057DD5"/>
    <w:rsid w:val="000600E2"/>
    <w:rsid w:val="00061D64"/>
    <w:rsid w:val="000620BF"/>
    <w:rsid w:val="00062A46"/>
    <w:rsid w:val="00063DD0"/>
    <w:rsid w:val="00065637"/>
    <w:rsid w:val="00066C39"/>
    <w:rsid w:val="00066CD4"/>
    <w:rsid w:val="00067AF1"/>
    <w:rsid w:val="00067DA3"/>
    <w:rsid w:val="00072C5D"/>
    <w:rsid w:val="0007428C"/>
    <w:rsid w:val="00074521"/>
    <w:rsid w:val="00075C32"/>
    <w:rsid w:val="00076911"/>
    <w:rsid w:val="00077240"/>
    <w:rsid w:val="0008068C"/>
    <w:rsid w:val="00083C12"/>
    <w:rsid w:val="00083F4B"/>
    <w:rsid w:val="000840C2"/>
    <w:rsid w:val="00086136"/>
    <w:rsid w:val="00086378"/>
    <w:rsid w:val="000876AF"/>
    <w:rsid w:val="00090357"/>
    <w:rsid w:val="00090606"/>
    <w:rsid w:val="00090CDC"/>
    <w:rsid w:val="0009245D"/>
    <w:rsid w:val="0009291A"/>
    <w:rsid w:val="00093C9A"/>
    <w:rsid w:val="000946F5"/>
    <w:rsid w:val="00096F06"/>
    <w:rsid w:val="0009715B"/>
    <w:rsid w:val="000972D6"/>
    <w:rsid w:val="000A0DE3"/>
    <w:rsid w:val="000A3806"/>
    <w:rsid w:val="000A3CB8"/>
    <w:rsid w:val="000A3FBC"/>
    <w:rsid w:val="000A41A1"/>
    <w:rsid w:val="000A4520"/>
    <w:rsid w:val="000A4DA2"/>
    <w:rsid w:val="000A577E"/>
    <w:rsid w:val="000A71C0"/>
    <w:rsid w:val="000B109A"/>
    <w:rsid w:val="000B11EF"/>
    <w:rsid w:val="000B1725"/>
    <w:rsid w:val="000B1C34"/>
    <w:rsid w:val="000B2023"/>
    <w:rsid w:val="000B259A"/>
    <w:rsid w:val="000B2847"/>
    <w:rsid w:val="000B2C45"/>
    <w:rsid w:val="000B5DA6"/>
    <w:rsid w:val="000B6F92"/>
    <w:rsid w:val="000B7682"/>
    <w:rsid w:val="000C0D16"/>
    <w:rsid w:val="000C231C"/>
    <w:rsid w:val="000C463F"/>
    <w:rsid w:val="000C4CA3"/>
    <w:rsid w:val="000C5BAA"/>
    <w:rsid w:val="000C6173"/>
    <w:rsid w:val="000C7431"/>
    <w:rsid w:val="000D17E4"/>
    <w:rsid w:val="000D18A2"/>
    <w:rsid w:val="000D29C7"/>
    <w:rsid w:val="000D3F85"/>
    <w:rsid w:val="000D5255"/>
    <w:rsid w:val="000D67CC"/>
    <w:rsid w:val="000D6C9F"/>
    <w:rsid w:val="000D6E1E"/>
    <w:rsid w:val="000E0A5E"/>
    <w:rsid w:val="000E1593"/>
    <w:rsid w:val="000E193A"/>
    <w:rsid w:val="000E2A17"/>
    <w:rsid w:val="000E5CAE"/>
    <w:rsid w:val="000E624D"/>
    <w:rsid w:val="000E6D72"/>
    <w:rsid w:val="000F0991"/>
    <w:rsid w:val="000F21D4"/>
    <w:rsid w:val="000F3349"/>
    <w:rsid w:val="000F3856"/>
    <w:rsid w:val="000F764C"/>
    <w:rsid w:val="001012F8"/>
    <w:rsid w:val="00103999"/>
    <w:rsid w:val="00103DAC"/>
    <w:rsid w:val="00104DAD"/>
    <w:rsid w:val="00106AEC"/>
    <w:rsid w:val="001116BE"/>
    <w:rsid w:val="0011186B"/>
    <w:rsid w:val="00111F02"/>
    <w:rsid w:val="00113465"/>
    <w:rsid w:val="001136E0"/>
    <w:rsid w:val="00113AE0"/>
    <w:rsid w:val="00117684"/>
    <w:rsid w:val="001217E2"/>
    <w:rsid w:val="001217FD"/>
    <w:rsid w:val="00121D47"/>
    <w:rsid w:val="0012252D"/>
    <w:rsid w:val="00122DD1"/>
    <w:rsid w:val="001248B3"/>
    <w:rsid w:val="00124F88"/>
    <w:rsid w:val="00125060"/>
    <w:rsid w:val="00126183"/>
    <w:rsid w:val="0012626F"/>
    <w:rsid w:val="0012636E"/>
    <w:rsid w:val="0012663D"/>
    <w:rsid w:val="0012694F"/>
    <w:rsid w:val="0012702B"/>
    <w:rsid w:val="001270D6"/>
    <w:rsid w:val="001275E7"/>
    <w:rsid w:val="00130E70"/>
    <w:rsid w:val="00131142"/>
    <w:rsid w:val="00132365"/>
    <w:rsid w:val="00132C91"/>
    <w:rsid w:val="00134BAC"/>
    <w:rsid w:val="00135818"/>
    <w:rsid w:val="00135C01"/>
    <w:rsid w:val="00135DF6"/>
    <w:rsid w:val="00136E66"/>
    <w:rsid w:val="00137C51"/>
    <w:rsid w:val="00141FAB"/>
    <w:rsid w:val="0014505C"/>
    <w:rsid w:val="00145394"/>
    <w:rsid w:val="00145587"/>
    <w:rsid w:val="00146383"/>
    <w:rsid w:val="00147139"/>
    <w:rsid w:val="00150873"/>
    <w:rsid w:val="00150A3B"/>
    <w:rsid w:val="0015138F"/>
    <w:rsid w:val="001514F8"/>
    <w:rsid w:val="0015159F"/>
    <w:rsid w:val="00151EAB"/>
    <w:rsid w:val="001531E7"/>
    <w:rsid w:val="001537A7"/>
    <w:rsid w:val="001562DE"/>
    <w:rsid w:val="0015656B"/>
    <w:rsid w:val="001605C9"/>
    <w:rsid w:val="001617F8"/>
    <w:rsid w:val="00161B2B"/>
    <w:rsid w:val="001623E5"/>
    <w:rsid w:val="00162848"/>
    <w:rsid w:val="00163200"/>
    <w:rsid w:val="00163982"/>
    <w:rsid w:val="00163B56"/>
    <w:rsid w:val="00165FB6"/>
    <w:rsid w:val="00167714"/>
    <w:rsid w:val="0017083D"/>
    <w:rsid w:val="00171821"/>
    <w:rsid w:val="00172EA2"/>
    <w:rsid w:val="00172EAE"/>
    <w:rsid w:val="001730E0"/>
    <w:rsid w:val="00175289"/>
    <w:rsid w:val="001754ED"/>
    <w:rsid w:val="00175B17"/>
    <w:rsid w:val="00175F2F"/>
    <w:rsid w:val="001761B6"/>
    <w:rsid w:val="001766A1"/>
    <w:rsid w:val="00177568"/>
    <w:rsid w:val="00177907"/>
    <w:rsid w:val="00177B5D"/>
    <w:rsid w:val="001828D8"/>
    <w:rsid w:val="00184E49"/>
    <w:rsid w:val="00185442"/>
    <w:rsid w:val="00187AF9"/>
    <w:rsid w:val="00190012"/>
    <w:rsid w:val="00192E53"/>
    <w:rsid w:val="0019340F"/>
    <w:rsid w:val="00193DB9"/>
    <w:rsid w:val="0019461C"/>
    <w:rsid w:val="001948E0"/>
    <w:rsid w:val="00194B7F"/>
    <w:rsid w:val="0019567C"/>
    <w:rsid w:val="00196FE2"/>
    <w:rsid w:val="00197FA0"/>
    <w:rsid w:val="001A0171"/>
    <w:rsid w:val="001A1B95"/>
    <w:rsid w:val="001A1E67"/>
    <w:rsid w:val="001A2736"/>
    <w:rsid w:val="001A2BA5"/>
    <w:rsid w:val="001A3380"/>
    <w:rsid w:val="001A5600"/>
    <w:rsid w:val="001A5738"/>
    <w:rsid w:val="001A5ACB"/>
    <w:rsid w:val="001A60E4"/>
    <w:rsid w:val="001A6197"/>
    <w:rsid w:val="001A66EA"/>
    <w:rsid w:val="001A6E95"/>
    <w:rsid w:val="001A772D"/>
    <w:rsid w:val="001B0581"/>
    <w:rsid w:val="001B0DED"/>
    <w:rsid w:val="001B1DBB"/>
    <w:rsid w:val="001B47C4"/>
    <w:rsid w:val="001B4F92"/>
    <w:rsid w:val="001B5856"/>
    <w:rsid w:val="001B5FB2"/>
    <w:rsid w:val="001B63DD"/>
    <w:rsid w:val="001B6438"/>
    <w:rsid w:val="001B7A2E"/>
    <w:rsid w:val="001B7CB1"/>
    <w:rsid w:val="001C2391"/>
    <w:rsid w:val="001C3C4F"/>
    <w:rsid w:val="001C40D8"/>
    <w:rsid w:val="001C4264"/>
    <w:rsid w:val="001C59DD"/>
    <w:rsid w:val="001C672F"/>
    <w:rsid w:val="001C67EA"/>
    <w:rsid w:val="001D2405"/>
    <w:rsid w:val="001D5C22"/>
    <w:rsid w:val="001D63D1"/>
    <w:rsid w:val="001D64B9"/>
    <w:rsid w:val="001D6F9E"/>
    <w:rsid w:val="001D7A1B"/>
    <w:rsid w:val="001E062F"/>
    <w:rsid w:val="001E1AE7"/>
    <w:rsid w:val="001E1DC4"/>
    <w:rsid w:val="001E3CC3"/>
    <w:rsid w:val="001E7889"/>
    <w:rsid w:val="001F013B"/>
    <w:rsid w:val="001F0E87"/>
    <w:rsid w:val="001F35FB"/>
    <w:rsid w:val="001F3911"/>
    <w:rsid w:val="001F7374"/>
    <w:rsid w:val="001F77F6"/>
    <w:rsid w:val="001F7EB1"/>
    <w:rsid w:val="0020028A"/>
    <w:rsid w:val="00200982"/>
    <w:rsid w:val="00202CEB"/>
    <w:rsid w:val="00203AD9"/>
    <w:rsid w:val="002077C1"/>
    <w:rsid w:val="00207BED"/>
    <w:rsid w:val="00207EC8"/>
    <w:rsid w:val="00211174"/>
    <w:rsid w:val="00211375"/>
    <w:rsid w:val="002118F3"/>
    <w:rsid w:val="0021238D"/>
    <w:rsid w:val="0021296C"/>
    <w:rsid w:val="00213850"/>
    <w:rsid w:val="002140FC"/>
    <w:rsid w:val="0021413E"/>
    <w:rsid w:val="00215005"/>
    <w:rsid w:val="0021558D"/>
    <w:rsid w:val="0021697B"/>
    <w:rsid w:val="00216E8C"/>
    <w:rsid w:val="00221EE2"/>
    <w:rsid w:val="00223840"/>
    <w:rsid w:val="002258EE"/>
    <w:rsid w:val="00230B2C"/>
    <w:rsid w:val="002366E4"/>
    <w:rsid w:val="00236B30"/>
    <w:rsid w:val="00236BBB"/>
    <w:rsid w:val="002412A0"/>
    <w:rsid w:val="00241BE3"/>
    <w:rsid w:val="002423B1"/>
    <w:rsid w:val="002446C4"/>
    <w:rsid w:val="00244FE0"/>
    <w:rsid w:val="00245265"/>
    <w:rsid w:val="002515B9"/>
    <w:rsid w:val="00251782"/>
    <w:rsid w:val="00251939"/>
    <w:rsid w:val="002520EE"/>
    <w:rsid w:val="00252148"/>
    <w:rsid w:val="00252E5E"/>
    <w:rsid w:val="0025365E"/>
    <w:rsid w:val="0025383A"/>
    <w:rsid w:val="002557C5"/>
    <w:rsid w:val="0025604E"/>
    <w:rsid w:val="002567BC"/>
    <w:rsid w:val="00256916"/>
    <w:rsid w:val="00260153"/>
    <w:rsid w:val="0026030A"/>
    <w:rsid w:val="00260397"/>
    <w:rsid w:val="00261658"/>
    <w:rsid w:val="00261BA9"/>
    <w:rsid w:val="0026420E"/>
    <w:rsid w:val="00265636"/>
    <w:rsid w:val="0026652F"/>
    <w:rsid w:val="0026705E"/>
    <w:rsid w:val="00270FD2"/>
    <w:rsid w:val="00271411"/>
    <w:rsid w:val="0027168A"/>
    <w:rsid w:val="00271720"/>
    <w:rsid w:val="002718A5"/>
    <w:rsid w:val="002719DA"/>
    <w:rsid w:val="00272512"/>
    <w:rsid w:val="00272A5A"/>
    <w:rsid w:val="00272B6D"/>
    <w:rsid w:val="00274126"/>
    <w:rsid w:val="00274E04"/>
    <w:rsid w:val="00275427"/>
    <w:rsid w:val="00275D16"/>
    <w:rsid w:val="002767A3"/>
    <w:rsid w:val="00276F66"/>
    <w:rsid w:val="002771F2"/>
    <w:rsid w:val="00277BA3"/>
    <w:rsid w:val="002801B4"/>
    <w:rsid w:val="00280451"/>
    <w:rsid w:val="00280D4E"/>
    <w:rsid w:val="00280E17"/>
    <w:rsid w:val="00281129"/>
    <w:rsid w:val="0028120B"/>
    <w:rsid w:val="00281259"/>
    <w:rsid w:val="00281CE2"/>
    <w:rsid w:val="00281FF9"/>
    <w:rsid w:val="00282A01"/>
    <w:rsid w:val="00285ADD"/>
    <w:rsid w:val="0028661C"/>
    <w:rsid w:val="0028734E"/>
    <w:rsid w:val="002904FB"/>
    <w:rsid w:val="00292304"/>
    <w:rsid w:val="0029251A"/>
    <w:rsid w:val="0029350B"/>
    <w:rsid w:val="00294208"/>
    <w:rsid w:val="00294D33"/>
    <w:rsid w:val="002964B0"/>
    <w:rsid w:val="00296FA3"/>
    <w:rsid w:val="002A1728"/>
    <w:rsid w:val="002A3D38"/>
    <w:rsid w:val="002A4CBF"/>
    <w:rsid w:val="002A52B7"/>
    <w:rsid w:val="002A6483"/>
    <w:rsid w:val="002B0920"/>
    <w:rsid w:val="002B143B"/>
    <w:rsid w:val="002B38F9"/>
    <w:rsid w:val="002B429F"/>
    <w:rsid w:val="002B432D"/>
    <w:rsid w:val="002C0AE1"/>
    <w:rsid w:val="002C21D2"/>
    <w:rsid w:val="002C30D3"/>
    <w:rsid w:val="002C58B8"/>
    <w:rsid w:val="002C5EB6"/>
    <w:rsid w:val="002C7985"/>
    <w:rsid w:val="002C7F9B"/>
    <w:rsid w:val="002D0309"/>
    <w:rsid w:val="002D0E21"/>
    <w:rsid w:val="002D1707"/>
    <w:rsid w:val="002D18C5"/>
    <w:rsid w:val="002D7ACE"/>
    <w:rsid w:val="002E1A64"/>
    <w:rsid w:val="002E1ACA"/>
    <w:rsid w:val="002E225B"/>
    <w:rsid w:val="002E33BD"/>
    <w:rsid w:val="002E348A"/>
    <w:rsid w:val="002E4DF3"/>
    <w:rsid w:val="002E4FFE"/>
    <w:rsid w:val="002E5AFB"/>
    <w:rsid w:val="002E74A4"/>
    <w:rsid w:val="002F089B"/>
    <w:rsid w:val="002F0F8D"/>
    <w:rsid w:val="002F1108"/>
    <w:rsid w:val="002F1133"/>
    <w:rsid w:val="002F1EA5"/>
    <w:rsid w:val="002F1EFA"/>
    <w:rsid w:val="002F292E"/>
    <w:rsid w:val="002F2ADF"/>
    <w:rsid w:val="002F425A"/>
    <w:rsid w:val="002F48F3"/>
    <w:rsid w:val="002F580F"/>
    <w:rsid w:val="002F5E8C"/>
    <w:rsid w:val="002F604C"/>
    <w:rsid w:val="002F6143"/>
    <w:rsid w:val="002F7679"/>
    <w:rsid w:val="0030031A"/>
    <w:rsid w:val="00301A71"/>
    <w:rsid w:val="00301D3A"/>
    <w:rsid w:val="003025AF"/>
    <w:rsid w:val="00302A8F"/>
    <w:rsid w:val="00302D3C"/>
    <w:rsid w:val="003065DD"/>
    <w:rsid w:val="00310CBD"/>
    <w:rsid w:val="003113F6"/>
    <w:rsid w:val="0031147C"/>
    <w:rsid w:val="003123E6"/>
    <w:rsid w:val="00312AF0"/>
    <w:rsid w:val="003134D9"/>
    <w:rsid w:val="00316094"/>
    <w:rsid w:val="0031654A"/>
    <w:rsid w:val="00317E1B"/>
    <w:rsid w:val="0032136A"/>
    <w:rsid w:val="00321761"/>
    <w:rsid w:val="00332FE7"/>
    <w:rsid w:val="003338A5"/>
    <w:rsid w:val="00333F12"/>
    <w:rsid w:val="00333FFA"/>
    <w:rsid w:val="003358CB"/>
    <w:rsid w:val="00335F78"/>
    <w:rsid w:val="003367F5"/>
    <w:rsid w:val="00336BC3"/>
    <w:rsid w:val="00336F1E"/>
    <w:rsid w:val="003403FD"/>
    <w:rsid w:val="00340A76"/>
    <w:rsid w:val="00342552"/>
    <w:rsid w:val="003437B0"/>
    <w:rsid w:val="00343BF7"/>
    <w:rsid w:val="00343CDD"/>
    <w:rsid w:val="0034442A"/>
    <w:rsid w:val="0034442C"/>
    <w:rsid w:val="003444A4"/>
    <w:rsid w:val="003446E3"/>
    <w:rsid w:val="00345609"/>
    <w:rsid w:val="00347170"/>
    <w:rsid w:val="0034729D"/>
    <w:rsid w:val="00351C15"/>
    <w:rsid w:val="00351F70"/>
    <w:rsid w:val="003521C8"/>
    <w:rsid w:val="003532F3"/>
    <w:rsid w:val="0035663E"/>
    <w:rsid w:val="00360559"/>
    <w:rsid w:val="00360987"/>
    <w:rsid w:val="00362DB4"/>
    <w:rsid w:val="00364A72"/>
    <w:rsid w:val="0036566A"/>
    <w:rsid w:val="003658B2"/>
    <w:rsid w:val="003661CC"/>
    <w:rsid w:val="003671A0"/>
    <w:rsid w:val="00370BF8"/>
    <w:rsid w:val="00372F65"/>
    <w:rsid w:val="003742A1"/>
    <w:rsid w:val="003753FF"/>
    <w:rsid w:val="00380694"/>
    <w:rsid w:val="00381C48"/>
    <w:rsid w:val="00383369"/>
    <w:rsid w:val="0038397D"/>
    <w:rsid w:val="003851F8"/>
    <w:rsid w:val="00385F48"/>
    <w:rsid w:val="003867A2"/>
    <w:rsid w:val="00386C98"/>
    <w:rsid w:val="0039094B"/>
    <w:rsid w:val="00392A72"/>
    <w:rsid w:val="00393DEF"/>
    <w:rsid w:val="0039416E"/>
    <w:rsid w:val="003A0471"/>
    <w:rsid w:val="003A1858"/>
    <w:rsid w:val="003A22CB"/>
    <w:rsid w:val="003A2485"/>
    <w:rsid w:val="003A284A"/>
    <w:rsid w:val="003A4429"/>
    <w:rsid w:val="003A504A"/>
    <w:rsid w:val="003B0198"/>
    <w:rsid w:val="003B37B3"/>
    <w:rsid w:val="003B4F26"/>
    <w:rsid w:val="003B4F60"/>
    <w:rsid w:val="003B7134"/>
    <w:rsid w:val="003B7EEC"/>
    <w:rsid w:val="003C1118"/>
    <w:rsid w:val="003C3084"/>
    <w:rsid w:val="003C3577"/>
    <w:rsid w:val="003C530F"/>
    <w:rsid w:val="003C6465"/>
    <w:rsid w:val="003C6711"/>
    <w:rsid w:val="003C7551"/>
    <w:rsid w:val="003C7FB3"/>
    <w:rsid w:val="003D1CDF"/>
    <w:rsid w:val="003D299A"/>
    <w:rsid w:val="003D2F73"/>
    <w:rsid w:val="003D47E6"/>
    <w:rsid w:val="003D5727"/>
    <w:rsid w:val="003D58A7"/>
    <w:rsid w:val="003D5997"/>
    <w:rsid w:val="003D7C36"/>
    <w:rsid w:val="003D7DCC"/>
    <w:rsid w:val="003E0713"/>
    <w:rsid w:val="003E2DAA"/>
    <w:rsid w:val="003E3C79"/>
    <w:rsid w:val="003E3D2C"/>
    <w:rsid w:val="003E57DE"/>
    <w:rsid w:val="003E58E4"/>
    <w:rsid w:val="003E5B17"/>
    <w:rsid w:val="003F0D67"/>
    <w:rsid w:val="003F0FC3"/>
    <w:rsid w:val="003F3D95"/>
    <w:rsid w:val="003F3FBD"/>
    <w:rsid w:val="003F4C65"/>
    <w:rsid w:val="003F74E3"/>
    <w:rsid w:val="003F78BC"/>
    <w:rsid w:val="004007B2"/>
    <w:rsid w:val="00401182"/>
    <w:rsid w:val="00401520"/>
    <w:rsid w:val="00401C2C"/>
    <w:rsid w:val="0040204B"/>
    <w:rsid w:val="00402CEF"/>
    <w:rsid w:val="00403105"/>
    <w:rsid w:val="00405151"/>
    <w:rsid w:val="0040544A"/>
    <w:rsid w:val="0040553A"/>
    <w:rsid w:val="004112F5"/>
    <w:rsid w:val="00411D5B"/>
    <w:rsid w:val="0041222E"/>
    <w:rsid w:val="00412B23"/>
    <w:rsid w:val="00413565"/>
    <w:rsid w:val="00413FDC"/>
    <w:rsid w:val="0041434B"/>
    <w:rsid w:val="0041565C"/>
    <w:rsid w:val="004159EE"/>
    <w:rsid w:val="004205D1"/>
    <w:rsid w:val="00420763"/>
    <w:rsid w:val="00420C19"/>
    <w:rsid w:val="004235AE"/>
    <w:rsid w:val="00426E45"/>
    <w:rsid w:val="00430604"/>
    <w:rsid w:val="00431DB3"/>
    <w:rsid w:val="00432683"/>
    <w:rsid w:val="0043310D"/>
    <w:rsid w:val="00433638"/>
    <w:rsid w:val="00433787"/>
    <w:rsid w:val="00434C0C"/>
    <w:rsid w:val="00435029"/>
    <w:rsid w:val="004359E6"/>
    <w:rsid w:val="004368D4"/>
    <w:rsid w:val="004405D5"/>
    <w:rsid w:val="00441521"/>
    <w:rsid w:val="004431B1"/>
    <w:rsid w:val="00443D19"/>
    <w:rsid w:val="004459D2"/>
    <w:rsid w:val="00445BB7"/>
    <w:rsid w:val="00445D76"/>
    <w:rsid w:val="0045093A"/>
    <w:rsid w:val="00451585"/>
    <w:rsid w:val="00451BC5"/>
    <w:rsid w:val="004523A4"/>
    <w:rsid w:val="004528C4"/>
    <w:rsid w:val="004532F8"/>
    <w:rsid w:val="00453DC0"/>
    <w:rsid w:val="00455428"/>
    <w:rsid w:val="00456547"/>
    <w:rsid w:val="00456C63"/>
    <w:rsid w:val="00456C80"/>
    <w:rsid w:val="004572B8"/>
    <w:rsid w:val="00457A53"/>
    <w:rsid w:val="00460421"/>
    <w:rsid w:val="00460AB8"/>
    <w:rsid w:val="00461876"/>
    <w:rsid w:val="00461AA6"/>
    <w:rsid w:val="00463596"/>
    <w:rsid w:val="004652AC"/>
    <w:rsid w:val="004659CD"/>
    <w:rsid w:val="00467840"/>
    <w:rsid w:val="00470338"/>
    <w:rsid w:val="00470B4F"/>
    <w:rsid w:val="00470F51"/>
    <w:rsid w:val="00471D82"/>
    <w:rsid w:val="00472A35"/>
    <w:rsid w:val="00475862"/>
    <w:rsid w:val="0047590B"/>
    <w:rsid w:val="00480FFA"/>
    <w:rsid w:val="004815BE"/>
    <w:rsid w:val="0048163E"/>
    <w:rsid w:val="004818FF"/>
    <w:rsid w:val="00484120"/>
    <w:rsid w:val="00485226"/>
    <w:rsid w:val="004856B4"/>
    <w:rsid w:val="00487898"/>
    <w:rsid w:val="00487A90"/>
    <w:rsid w:val="00487E7D"/>
    <w:rsid w:val="00487EC4"/>
    <w:rsid w:val="00491F05"/>
    <w:rsid w:val="004925B4"/>
    <w:rsid w:val="00492DA2"/>
    <w:rsid w:val="00493666"/>
    <w:rsid w:val="00494F02"/>
    <w:rsid w:val="0049502E"/>
    <w:rsid w:val="00495F38"/>
    <w:rsid w:val="004969CF"/>
    <w:rsid w:val="00497F47"/>
    <w:rsid w:val="004A2324"/>
    <w:rsid w:val="004A3908"/>
    <w:rsid w:val="004A499D"/>
    <w:rsid w:val="004A5421"/>
    <w:rsid w:val="004A5580"/>
    <w:rsid w:val="004A59D4"/>
    <w:rsid w:val="004A5E82"/>
    <w:rsid w:val="004A631E"/>
    <w:rsid w:val="004A6815"/>
    <w:rsid w:val="004A6866"/>
    <w:rsid w:val="004A6F23"/>
    <w:rsid w:val="004B0BBF"/>
    <w:rsid w:val="004B131C"/>
    <w:rsid w:val="004B1FEC"/>
    <w:rsid w:val="004B2773"/>
    <w:rsid w:val="004B3AD8"/>
    <w:rsid w:val="004B7A5E"/>
    <w:rsid w:val="004C04CB"/>
    <w:rsid w:val="004C09B2"/>
    <w:rsid w:val="004C175A"/>
    <w:rsid w:val="004C21EA"/>
    <w:rsid w:val="004C2BD6"/>
    <w:rsid w:val="004C413F"/>
    <w:rsid w:val="004C475D"/>
    <w:rsid w:val="004C49E2"/>
    <w:rsid w:val="004C5C81"/>
    <w:rsid w:val="004C5DCD"/>
    <w:rsid w:val="004C6001"/>
    <w:rsid w:val="004C644B"/>
    <w:rsid w:val="004C6BEC"/>
    <w:rsid w:val="004D01B3"/>
    <w:rsid w:val="004D1EC9"/>
    <w:rsid w:val="004D34AA"/>
    <w:rsid w:val="004D39C5"/>
    <w:rsid w:val="004D39EE"/>
    <w:rsid w:val="004D4D1C"/>
    <w:rsid w:val="004D4D32"/>
    <w:rsid w:val="004D4D8A"/>
    <w:rsid w:val="004D5E91"/>
    <w:rsid w:val="004D775C"/>
    <w:rsid w:val="004D7DFD"/>
    <w:rsid w:val="004E144C"/>
    <w:rsid w:val="004E14EC"/>
    <w:rsid w:val="004E1F91"/>
    <w:rsid w:val="004E2FD7"/>
    <w:rsid w:val="004E5143"/>
    <w:rsid w:val="004E54E8"/>
    <w:rsid w:val="004F01E3"/>
    <w:rsid w:val="004F0426"/>
    <w:rsid w:val="004F0512"/>
    <w:rsid w:val="004F08C8"/>
    <w:rsid w:val="004F0DF9"/>
    <w:rsid w:val="004F16E4"/>
    <w:rsid w:val="004F4BCB"/>
    <w:rsid w:val="004F4E15"/>
    <w:rsid w:val="004F53E8"/>
    <w:rsid w:val="004F757D"/>
    <w:rsid w:val="004F78EF"/>
    <w:rsid w:val="00500C39"/>
    <w:rsid w:val="0050401D"/>
    <w:rsid w:val="00505946"/>
    <w:rsid w:val="00507159"/>
    <w:rsid w:val="00507602"/>
    <w:rsid w:val="00510850"/>
    <w:rsid w:val="00510D4B"/>
    <w:rsid w:val="00511326"/>
    <w:rsid w:val="00511465"/>
    <w:rsid w:val="0051223B"/>
    <w:rsid w:val="0051227E"/>
    <w:rsid w:val="00512C16"/>
    <w:rsid w:val="0051315D"/>
    <w:rsid w:val="00515C21"/>
    <w:rsid w:val="00516672"/>
    <w:rsid w:val="005172A4"/>
    <w:rsid w:val="00520866"/>
    <w:rsid w:val="00521E6F"/>
    <w:rsid w:val="00523A77"/>
    <w:rsid w:val="00525A81"/>
    <w:rsid w:val="00531161"/>
    <w:rsid w:val="005311E7"/>
    <w:rsid w:val="00531CF9"/>
    <w:rsid w:val="00533CCD"/>
    <w:rsid w:val="00533D81"/>
    <w:rsid w:val="005358C8"/>
    <w:rsid w:val="005401FE"/>
    <w:rsid w:val="00540A91"/>
    <w:rsid w:val="005415AD"/>
    <w:rsid w:val="00542492"/>
    <w:rsid w:val="005424F9"/>
    <w:rsid w:val="005428CD"/>
    <w:rsid w:val="00543965"/>
    <w:rsid w:val="00543A56"/>
    <w:rsid w:val="00544CE4"/>
    <w:rsid w:val="0054584B"/>
    <w:rsid w:val="00545E34"/>
    <w:rsid w:val="00552B60"/>
    <w:rsid w:val="0055356F"/>
    <w:rsid w:val="00554E89"/>
    <w:rsid w:val="005559F4"/>
    <w:rsid w:val="00556FA0"/>
    <w:rsid w:val="00557D9A"/>
    <w:rsid w:val="00560159"/>
    <w:rsid w:val="00560215"/>
    <w:rsid w:val="0056134B"/>
    <w:rsid w:val="00561E5E"/>
    <w:rsid w:val="005623FF"/>
    <w:rsid w:val="00562D0F"/>
    <w:rsid w:val="00563C22"/>
    <w:rsid w:val="00563EA6"/>
    <w:rsid w:val="00565E28"/>
    <w:rsid w:val="00566935"/>
    <w:rsid w:val="0056696B"/>
    <w:rsid w:val="00566EB6"/>
    <w:rsid w:val="00567464"/>
    <w:rsid w:val="00571665"/>
    <w:rsid w:val="00571A94"/>
    <w:rsid w:val="00572511"/>
    <w:rsid w:val="00574AFF"/>
    <w:rsid w:val="0057560A"/>
    <w:rsid w:val="00576D4A"/>
    <w:rsid w:val="005770BF"/>
    <w:rsid w:val="0058019C"/>
    <w:rsid w:val="005819C7"/>
    <w:rsid w:val="00583D92"/>
    <w:rsid w:val="00583E0A"/>
    <w:rsid w:val="00583F58"/>
    <w:rsid w:val="00584BE4"/>
    <w:rsid w:val="005870DC"/>
    <w:rsid w:val="0058767E"/>
    <w:rsid w:val="00587E39"/>
    <w:rsid w:val="00592BC4"/>
    <w:rsid w:val="00593AF7"/>
    <w:rsid w:val="005944BF"/>
    <w:rsid w:val="005946B9"/>
    <w:rsid w:val="005948E8"/>
    <w:rsid w:val="00594C44"/>
    <w:rsid w:val="00596CC9"/>
    <w:rsid w:val="005A23CC"/>
    <w:rsid w:val="005A2642"/>
    <w:rsid w:val="005A5745"/>
    <w:rsid w:val="005A5EEB"/>
    <w:rsid w:val="005A6986"/>
    <w:rsid w:val="005A713E"/>
    <w:rsid w:val="005A7E55"/>
    <w:rsid w:val="005B091B"/>
    <w:rsid w:val="005B0A64"/>
    <w:rsid w:val="005B15C3"/>
    <w:rsid w:val="005B3092"/>
    <w:rsid w:val="005B3823"/>
    <w:rsid w:val="005B3D95"/>
    <w:rsid w:val="005B7A51"/>
    <w:rsid w:val="005B7B2B"/>
    <w:rsid w:val="005C3337"/>
    <w:rsid w:val="005C3340"/>
    <w:rsid w:val="005C44CB"/>
    <w:rsid w:val="005C6417"/>
    <w:rsid w:val="005C64CC"/>
    <w:rsid w:val="005C6875"/>
    <w:rsid w:val="005D0532"/>
    <w:rsid w:val="005D1DC9"/>
    <w:rsid w:val="005D3A52"/>
    <w:rsid w:val="005D4D1D"/>
    <w:rsid w:val="005E0929"/>
    <w:rsid w:val="005E1D01"/>
    <w:rsid w:val="005E1D95"/>
    <w:rsid w:val="005E28DD"/>
    <w:rsid w:val="005E57B7"/>
    <w:rsid w:val="005F3817"/>
    <w:rsid w:val="005F5F10"/>
    <w:rsid w:val="005F7669"/>
    <w:rsid w:val="005F7AF4"/>
    <w:rsid w:val="005F7DF4"/>
    <w:rsid w:val="0060129D"/>
    <w:rsid w:val="00601849"/>
    <w:rsid w:val="0060206F"/>
    <w:rsid w:val="006037F3"/>
    <w:rsid w:val="00604233"/>
    <w:rsid w:val="00604680"/>
    <w:rsid w:val="00604C10"/>
    <w:rsid w:val="006059A8"/>
    <w:rsid w:val="0060609A"/>
    <w:rsid w:val="006062F5"/>
    <w:rsid w:val="00607B43"/>
    <w:rsid w:val="00610157"/>
    <w:rsid w:val="006104FE"/>
    <w:rsid w:val="00610888"/>
    <w:rsid w:val="006116A6"/>
    <w:rsid w:val="00612473"/>
    <w:rsid w:val="00612652"/>
    <w:rsid w:val="00615A3F"/>
    <w:rsid w:val="00616248"/>
    <w:rsid w:val="0061685B"/>
    <w:rsid w:val="00616A50"/>
    <w:rsid w:val="00616D29"/>
    <w:rsid w:val="00616D2F"/>
    <w:rsid w:val="00620895"/>
    <w:rsid w:val="00622486"/>
    <w:rsid w:val="00623803"/>
    <w:rsid w:val="00624D10"/>
    <w:rsid w:val="00626120"/>
    <w:rsid w:val="00626BB2"/>
    <w:rsid w:val="0062761A"/>
    <w:rsid w:val="00632708"/>
    <w:rsid w:val="006331D4"/>
    <w:rsid w:val="00633E41"/>
    <w:rsid w:val="0063541B"/>
    <w:rsid w:val="006365CB"/>
    <w:rsid w:val="00636CB2"/>
    <w:rsid w:val="0063714D"/>
    <w:rsid w:val="00637267"/>
    <w:rsid w:val="0064170A"/>
    <w:rsid w:val="006417CE"/>
    <w:rsid w:val="006422C6"/>
    <w:rsid w:val="00642477"/>
    <w:rsid w:val="0064256A"/>
    <w:rsid w:val="0064428D"/>
    <w:rsid w:val="0064567D"/>
    <w:rsid w:val="0064568C"/>
    <w:rsid w:val="00646957"/>
    <w:rsid w:val="006474A4"/>
    <w:rsid w:val="006501BE"/>
    <w:rsid w:val="006538CE"/>
    <w:rsid w:val="0065393B"/>
    <w:rsid w:val="00653D9A"/>
    <w:rsid w:val="006545DD"/>
    <w:rsid w:val="006549C2"/>
    <w:rsid w:val="00654DC5"/>
    <w:rsid w:val="00655941"/>
    <w:rsid w:val="00655CA6"/>
    <w:rsid w:val="00656EE5"/>
    <w:rsid w:val="006608AE"/>
    <w:rsid w:val="00661006"/>
    <w:rsid w:val="00662263"/>
    <w:rsid w:val="006628BD"/>
    <w:rsid w:val="00663301"/>
    <w:rsid w:val="00664339"/>
    <w:rsid w:val="00665366"/>
    <w:rsid w:val="0066764F"/>
    <w:rsid w:val="006702C9"/>
    <w:rsid w:val="00670882"/>
    <w:rsid w:val="00671DFD"/>
    <w:rsid w:val="00672B90"/>
    <w:rsid w:val="006747FE"/>
    <w:rsid w:val="00674FB0"/>
    <w:rsid w:val="00680E33"/>
    <w:rsid w:val="0068607D"/>
    <w:rsid w:val="006860F1"/>
    <w:rsid w:val="00686760"/>
    <w:rsid w:val="0069026E"/>
    <w:rsid w:val="00691F58"/>
    <w:rsid w:val="00692275"/>
    <w:rsid w:val="006933EF"/>
    <w:rsid w:val="00693CC5"/>
    <w:rsid w:val="0069548A"/>
    <w:rsid w:val="00695495"/>
    <w:rsid w:val="00696D38"/>
    <w:rsid w:val="0069798D"/>
    <w:rsid w:val="006A16AA"/>
    <w:rsid w:val="006A1876"/>
    <w:rsid w:val="006A1E4D"/>
    <w:rsid w:val="006A2265"/>
    <w:rsid w:val="006A3907"/>
    <w:rsid w:val="006A46CD"/>
    <w:rsid w:val="006A4B35"/>
    <w:rsid w:val="006A4D2B"/>
    <w:rsid w:val="006A5C89"/>
    <w:rsid w:val="006A64C5"/>
    <w:rsid w:val="006A7027"/>
    <w:rsid w:val="006B1AE9"/>
    <w:rsid w:val="006B1AEB"/>
    <w:rsid w:val="006B3BBD"/>
    <w:rsid w:val="006B4CD6"/>
    <w:rsid w:val="006B514F"/>
    <w:rsid w:val="006B6387"/>
    <w:rsid w:val="006B6808"/>
    <w:rsid w:val="006B7377"/>
    <w:rsid w:val="006C0196"/>
    <w:rsid w:val="006C10EB"/>
    <w:rsid w:val="006C1F0B"/>
    <w:rsid w:val="006C23AD"/>
    <w:rsid w:val="006C27B6"/>
    <w:rsid w:val="006C2C15"/>
    <w:rsid w:val="006C2FCF"/>
    <w:rsid w:val="006C583E"/>
    <w:rsid w:val="006C5BBE"/>
    <w:rsid w:val="006C6858"/>
    <w:rsid w:val="006C74DF"/>
    <w:rsid w:val="006D1623"/>
    <w:rsid w:val="006D195F"/>
    <w:rsid w:val="006D2F9C"/>
    <w:rsid w:val="006D5F32"/>
    <w:rsid w:val="006D6A6A"/>
    <w:rsid w:val="006D6F63"/>
    <w:rsid w:val="006D75E8"/>
    <w:rsid w:val="006E0712"/>
    <w:rsid w:val="006E08E3"/>
    <w:rsid w:val="006E191F"/>
    <w:rsid w:val="006E23C6"/>
    <w:rsid w:val="006E2DE3"/>
    <w:rsid w:val="006E3E42"/>
    <w:rsid w:val="006E42B2"/>
    <w:rsid w:val="006E5AA7"/>
    <w:rsid w:val="006E5C2B"/>
    <w:rsid w:val="006F0890"/>
    <w:rsid w:val="006F17DC"/>
    <w:rsid w:val="006F1A4E"/>
    <w:rsid w:val="006F26D3"/>
    <w:rsid w:val="006F27D4"/>
    <w:rsid w:val="006F3841"/>
    <w:rsid w:val="006F44DE"/>
    <w:rsid w:val="006F5051"/>
    <w:rsid w:val="00701C59"/>
    <w:rsid w:val="0070230F"/>
    <w:rsid w:val="007039D9"/>
    <w:rsid w:val="00704288"/>
    <w:rsid w:val="00705139"/>
    <w:rsid w:val="007062F9"/>
    <w:rsid w:val="00710D00"/>
    <w:rsid w:val="007122C9"/>
    <w:rsid w:val="0071501B"/>
    <w:rsid w:val="007170D3"/>
    <w:rsid w:val="00717226"/>
    <w:rsid w:val="00717B54"/>
    <w:rsid w:val="00717E2E"/>
    <w:rsid w:val="007201E3"/>
    <w:rsid w:val="0072075F"/>
    <w:rsid w:val="0072184D"/>
    <w:rsid w:val="00725DEF"/>
    <w:rsid w:val="00727313"/>
    <w:rsid w:val="00730BA6"/>
    <w:rsid w:val="007318C0"/>
    <w:rsid w:val="007333F2"/>
    <w:rsid w:val="0073512A"/>
    <w:rsid w:val="00735194"/>
    <w:rsid w:val="00735EB8"/>
    <w:rsid w:val="00736C5A"/>
    <w:rsid w:val="00736FBA"/>
    <w:rsid w:val="007406FE"/>
    <w:rsid w:val="00740836"/>
    <w:rsid w:val="007412D5"/>
    <w:rsid w:val="00741E8F"/>
    <w:rsid w:val="00741F5C"/>
    <w:rsid w:val="00743E4F"/>
    <w:rsid w:val="00744391"/>
    <w:rsid w:val="0074488D"/>
    <w:rsid w:val="00744A39"/>
    <w:rsid w:val="0074570E"/>
    <w:rsid w:val="0074602B"/>
    <w:rsid w:val="0074612C"/>
    <w:rsid w:val="00746385"/>
    <w:rsid w:val="007506E9"/>
    <w:rsid w:val="00753797"/>
    <w:rsid w:val="00753C18"/>
    <w:rsid w:val="00756D28"/>
    <w:rsid w:val="007613E7"/>
    <w:rsid w:val="0076399D"/>
    <w:rsid w:val="0076578C"/>
    <w:rsid w:val="00765FF0"/>
    <w:rsid w:val="00766226"/>
    <w:rsid w:val="0076624E"/>
    <w:rsid w:val="0076626B"/>
    <w:rsid w:val="007665E0"/>
    <w:rsid w:val="00766DF4"/>
    <w:rsid w:val="007671C2"/>
    <w:rsid w:val="00767F5D"/>
    <w:rsid w:val="00771BA7"/>
    <w:rsid w:val="00773DEE"/>
    <w:rsid w:val="00774248"/>
    <w:rsid w:val="00774BCF"/>
    <w:rsid w:val="00774F71"/>
    <w:rsid w:val="007750ED"/>
    <w:rsid w:val="00775B87"/>
    <w:rsid w:val="00775C49"/>
    <w:rsid w:val="007760DA"/>
    <w:rsid w:val="007766CF"/>
    <w:rsid w:val="007818A2"/>
    <w:rsid w:val="0078296B"/>
    <w:rsid w:val="00783517"/>
    <w:rsid w:val="0078393C"/>
    <w:rsid w:val="00783EB8"/>
    <w:rsid w:val="00785A4C"/>
    <w:rsid w:val="00786BD6"/>
    <w:rsid w:val="007879CC"/>
    <w:rsid w:val="007908C5"/>
    <w:rsid w:val="007908C9"/>
    <w:rsid w:val="00791609"/>
    <w:rsid w:val="00791F2B"/>
    <w:rsid w:val="00792D73"/>
    <w:rsid w:val="00793530"/>
    <w:rsid w:val="00793940"/>
    <w:rsid w:val="007944BC"/>
    <w:rsid w:val="007A009C"/>
    <w:rsid w:val="007A061F"/>
    <w:rsid w:val="007A0D55"/>
    <w:rsid w:val="007A1BEB"/>
    <w:rsid w:val="007A1C9E"/>
    <w:rsid w:val="007A2591"/>
    <w:rsid w:val="007A317B"/>
    <w:rsid w:val="007A32A1"/>
    <w:rsid w:val="007A497A"/>
    <w:rsid w:val="007A4B52"/>
    <w:rsid w:val="007A5D36"/>
    <w:rsid w:val="007A5DFB"/>
    <w:rsid w:val="007A5EB3"/>
    <w:rsid w:val="007A6162"/>
    <w:rsid w:val="007A68A1"/>
    <w:rsid w:val="007A69CE"/>
    <w:rsid w:val="007A77F8"/>
    <w:rsid w:val="007B20AD"/>
    <w:rsid w:val="007B33BA"/>
    <w:rsid w:val="007B34D9"/>
    <w:rsid w:val="007B3B7B"/>
    <w:rsid w:val="007B4532"/>
    <w:rsid w:val="007B538B"/>
    <w:rsid w:val="007B66E2"/>
    <w:rsid w:val="007C1AE7"/>
    <w:rsid w:val="007C1BB5"/>
    <w:rsid w:val="007C3577"/>
    <w:rsid w:val="007C4901"/>
    <w:rsid w:val="007C4F07"/>
    <w:rsid w:val="007C6C91"/>
    <w:rsid w:val="007C7B9D"/>
    <w:rsid w:val="007C7E27"/>
    <w:rsid w:val="007C7FF9"/>
    <w:rsid w:val="007D16B8"/>
    <w:rsid w:val="007D30C1"/>
    <w:rsid w:val="007D3B68"/>
    <w:rsid w:val="007D4CC8"/>
    <w:rsid w:val="007D5DEF"/>
    <w:rsid w:val="007D608B"/>
    <w:rsid w:val="007E015B"/>
    <w:rsid w:val="007E0E9D"/>
    <w:rsid w:val="007E24B6"/>
    <w:rsid w:val="007E4966"/>
    <w:rsid w:val="007E4A9C"/>
    <w:rsid w:val="007E4C53"/>
    <w:rsid w:val="007E52CD"/>
    <w:rsid w:val="007E56E3"/>
    <w:rsid w:val="007E63FD"/>
    <w:rsid w:val="007F1E3C"/>
    <w:rsid w:val="007F2184"/>
    <w:rsid w:val="007F2DE0"/>
    <w:rsid w:val="007F3D4D"/>
    <w:rsid w:val="007F4E7A"/>
    <w:rsid w:val="008014D7"/>
    <w:rsid w:val="00802234"/>
    <w:rsid w:val="00802B08"/>
    <w:rsid w:val="0080352B"/>
    <w:rsid w:val="008052C7"/>
    <w:rsid w:val="008101F0"/>
    <w:rsid w:val="00810E6A"/>
    <w:rsid w:val="00812754"/>
    <w:rsid w:val="00813AC5"/>
    <w:rsid w:val="00814BC9"/>
    <w:rsid w:val="008168A5"/>
    <w:rsid w:val="0081707B"/>
    <w:rsid w:val="0081759C"/>
    <w:rsid w:val="00821C2A"/>
    <w:rsid w:val="008227D4"/>
    <w:rsid w:val="008233BF"/>
    <w:rsid w:val="008238FA"/>
    <w:rsid w:val="008242B5"/>
    <w:rsid w:val="00824D07"/>
    <w:rsid w:val="00825AB6"/>
    <w:rsid w:val="00825E3D"/>
    <w:rsid w:val="00826114"/>
    <w:rsid w:val="008264FA"/>
    <w:rsid w:val="008266E7"/>
    <w:rsid w:val="00826E14"/>
    <w:rsid w:val="008278A6"/>
    <w:rsid w:val="0083016D"/>
    <w:rsid w:val="008302FB"/>
    <w:rsid w:val="008303C1"/>
    <w:rsid w:val="008303F2"/>
    <w:rsid w:val="00832250"/>
    <w:rsid w:val="00832E35"/>
    <w:rsid w:val="00833ECB"/>
    <w:rsid w:val="00834584"/>
    <w:rsid w:val="00834A8D"/>
    <w:rsid w:val="008357CB"/>
    <w:rsid w:val="00836216"/>
    <w:rsid w:val="008375E6"/>
    <w:rsid w:val="00837D81"/>
    <w:rsid w:val="00840080"/>
    <w:rsid w:val="00840BDC"/>
    <w:rsid w:val="00844347"/>
    <w:rsid w:val="00844A10"/>
    <w:rsid w:val="008513B8"/>
    <w:rsid w:val="00851529"/>
    <w:rsid w:val="008515B6"/>
    <w:rsid w:val="008515EA"/>
    <w:rsid w:val="00853438"/>
    <w:rsid w:val="00853459"/>
    <w:rsid w:val="00853DCF"/>
    <w:rsid w:val="008547DB"/>
    <w:rsid w:val="00854934"/>
    <w:rsid w:val="00854C94"/>
    <w:rsid w:val="008553E4"/>
    <w:rsid w:val="00855F03"/>
    <w:rsid w:val="00856044"/>
    <w:rsid w:val="00856867"/>
    <w:rsid w:val="00856F7D"/>
    <w:rsid w:val="0086084B"/>
    <w:rsid w:val="00861923"/>
    <w:rsid w:val="0086232B"/>
    <w:rsid w:val="00862505"/>
    <w:rsid w:val="00862C0A"/>
    <w:rsid w:val="008633A2"/>
    <w:rsid w:val="00864285"/>
    <w:rsid w:val="0086493C"/>
    <w:rsid w:val="00865249"/>
    <w:rsid w:val="0086638F"/>
    <w:rsid w:val="008667DF"/>
    <w:rsid w:val="00867C92"/>
    <w:rsid w:val="00867EE6"/>
    <w:rsid w:val="00867F02"/>
    <w:rsid w:val="00874291"/>
    <w:rsid w:val="00874C05"/>
    <w:rsid w:val="00876875"/>
    <w:rsid w:val="00876AD1"/>
    <w:rsid w:val="00877710"/>
    <w:rsid w:val="00877DE4"/>
    <w:rsid w:val="00880915"/>
    <w:rsid w:val="008813B1"/>
    <w:rsid w:val="008814DF"/>
    <w:rsid w:val="00881ADF"/>
    <w:rsid w:val="008822D6"/>
    <w:rsid w:val="00882492"/>
    <w:rsid w:val="00882A26"/>
    <w:rsid w:val="00882F81"/>
    <w:rsid w:val="008833DD"/>
    <w:rsid w:val="00883444"/>
    <w:rsid w:val="0088458A"/>
    <w:rsid w:val="00884979"/>
    <w:rsid w:val="00884EC8"/>
    <w:rsid w:val="00886CED"/>
    <w:rsid w:val="00886F38"/>
    <w:rsid w:val="0088720C"/>
    <w:rsid w:val="00890F30"/>
    <w:rsid w:val="00894B46"/>
    <w:rsid w:val="008952EF"/>
    <w:rsid w:val="00897497"/>
    <w:rsid w:val="0089767D"/>
    <w:rsid w:val="00897989"/>
    <w:rsid w:val="00897A5C"/>
    <w:rsid w:val="008A2443"/>
    <w:rsid w:val="008A32D2"/>
    <w:rsid w:val="008A7B54"/>
    <w:rsid w:val="008A7DB4"/>
    <w:rsid w:val="008B0D8F"/>
    <w:rsid w:val="008B11E4"/>
    <w:rsid w:val="008B1343"/>
    <w:rsid w:val="008B1C8C"/>
    <w:rsid w:val="008B2703"/>
    <w:rsid w:val="008B5236"/>
    <w:rsid w:val="008B6761"/>
    <w:rsid w:val="008B70A4"/>
    <w:rsid w:val="008B7AE8"/>
    <w:rsid w:val="008C2072"/>
    <w:rsid w:val="008C35E1"/>
    <w:rsid w:val="008C54AB"/>
    <w:rsid w:val="008C5728"/>
    <w:rsid w:val="008C6D00"/>
    <w:rsid w:val="008C70ED"/>
    <w:rsid w:val="008D04EA"/>
    <w:rsid w:val="008D0810"/>
    <w:rsid w:val="008D0E84"/>
    <w:rsid w:val="008D1174"/>
    <w:rsid w:val="008D1CCE"/>
    <w:rsid w:val="008D28EA"/>
    <w:rsid w:val="008D3059"/>
    <w:rsid w:val="008D3281"/>
    <w:rsid w:val="008D3323"/>
    <w:rsid w:val="008D4538"/>
    <w:rsid w:val="008D6210"/>
    <w:rsid w:val="008D710D"/>
    <w:rsid w:val="008E0C63"/>
    <w:rsid w:val="008E1EBD"/>
    <w:rsid w:val="008E228C"/>
    <w:rsid w:val="008E30CD"/>
    <w:rsid w:val="008E6279"/>
    <w:rsid w:val="008E77D0"/>
    <w:rsid w:val="008F05C4"/>
    <w:rsid w:val="008F13EC"/>
    <w:rsid w:val="008F2DC5"/>
    <w:rsid w:val="008F2ED5"/>
    <w:rsid w:val="008F56F4"/>
    <w:rsid w:val="008F7808"/>
    <w:rsid w:val="008F78DC"/>
    <w:rsid w:val="009010D2"/>
    <w:rsid w:val="00902659"/>
    <w:rsid w:val="009037AF"/>
    <w:rsid w:val="009037D9"/>
    <w:rsid w:val="00905305"/>
    <w:rsid w:val="009077A1"/>
    <w:rsid w:val="009107B6"/>
    <w:rsid w:val="0091110F"/>
    <w:rsid w:val="00912373"/>
    <w:rsid w:val="00916033"/>
    <w:rsid w:val="00916598"/>
    <w:rsid w:val="00916859"/>
    <w:rsid w:val="00916AA4"/>
    <w:rsid w:val="00916BAD"/>
    <w:rsid w:val="00917B48"/>
    <w:rsid w:val="009203BD"/>
    <w:rsid w:val="00921CCF"/>
    <w:rsid w:val="009236CD"/>
    <w:rsid w:val="00923CA6"/>
    <w:rsid w:val="00923CC1"/>
    <w:rsid w:val="00924089"/>
    <w:rsid w:val="00924097"/>
    <w:rsid w:val="009249BD"/>
    <w:rsid w:val="00924C5F"/>
    <w:rsid w:val="009311E3"/>
    <w:rsid w:val="0093282D"/>
    <w:rsid w:val="0093361E"/>
    <w:rsid w:val="0093372D"/>
    <w:rsid w:val="00934D3C"/>
    <w:rsid w:val="00936E8E"/>
    <w:rsid w:val="0093790D"/>
    <w:rsid w:val="00937D26"/>
    <w:rsid w:val="00940C92"/>
    <w:rsid w:val="00943519"/>
    <w:rsid w:val="00943CB8"/>
    <w:rsid w:val="00944218"/>
    <w:rsid w:val="00944A3A"/>
    <w:rsid w:val="00944EDD"/>
    <w:rsid w:val="00947239"/>
    <w:rsid w:val="00947F30"/>
    <w:rsid w:val="00951DFC"/>
    <w:rsid w:val="00952200"/>
    <w:rsid w:val="00952FAD"/>
    <w:rsid w:val="00953837"/>
    <w:rsid w:val="00953976"/>
    <w:rsid w:val="00953E57"/>
    <w:rsid w:val="00955576"/>
    <w:rsid w:val="009555C0"/>
    <w:rsid w:val="00955677"/>
    <w:rsid w:val="00957A69"/>
    <w:rsid w:val="00957A90"/>
    <w:rsid w:val="0096028D"/>
    <w:rsid w:val="0096083B"/>
    <w:rsid w:val="00961507"/>
    <w:rsid w:val="009636E5"/>
    <w:rsid w:val="00964685"/>
    <w:rsid w:val="0096714F"/>
    <w:rsid w:val="00970429"/>
    <w:rsid w:val="00971442"/>
    <w:rsid w:val="009743DB"/>
    <w:rsid w:val="009762A1"/>
    <w:rsid w:val="00976CF0"/>
    <w:rsid w:val="009774D0"/>
    <w:rsid w:val="00977753"/>
    <w:rsid w:val="00977E4C"/>
    <w:rsid w:val="009819B7"/>
    <w:rsid w:val="00981F3D"/>
    <w:rsid w:val="00983D15"/>
    <w:rsid w:val="009840E6"/>
    <w:rsid w:val="00985CFE"/>
    <w:rsid w:val="00986EC5"/>
    <w:rsid w:val="009905FF"/>
    <w:rsid w:val="00991452"/>
    <w:rsid w:val="0099331F"/>
    <w:rsid w:val="009940F3"/>
    <w:rsid w:val="0099497C"/>
    <w:rsid w:val="00995301"/>
    <w:rsid w:val="009953D2"/>
    <w:rsid w:val="00995413"/>
    <w:rsid w:val="0099570E"/>
    <w:rsid w:val="00995B6D"/>
    <w:rsid w:val="009976BC"/>
    <w:rsid w:val="00997D9E"/>
    <w:rsid w:val="009A41F1"/>
    <w:rsid w:val="009A466E"/>
    <w:rsid w:val="009A54BB"/>
    <w:rsid w:val="009A56D9"/>
    <w:rsid w:val="009A7891"/>
    <w:rsid w:val="009B0CD4"/>
    <w:rsid w:val="009B26A5"/>
    <w:rsid w:val="009B2A33"/>
    <w:rsid w:val="009B2B83"/>
    <w:rsid w:val="009B4C71"/>
    <w:rsid w:val="009B596A"/>
    <w:rsid w:val="009B61A1"/>
    <w:rsid w:val="009B734E"/>
    <w:rsid w:val="009C094B"/>
    <w:rsid w:val="009C0C6D"/>
    <w:rsid w:val="009C1FCC"/>
    <w:rsid w:val="009C214C"/>
    <w:rsid w:val="009C3225"/>
    <w:rsid w:val="009C354B"/>
    <w:rsid w:val="009C385D"/>
    <w:rsid w:val="009C3F77"/>
    <w:rsid w:val="009C57ED"/>
    <w:rsid w:val="009C6CCE"/>
    <w:rsid w:val="009D1AE9"/>
    <w:rsid w:val="009D2C62"/>
    <w:rsid w:val="009D3283"/>
    <w:rsid w:val="009D3634"/>
    <w:rsid w:val="009D6E1B"/>
    <w:rsid w:val="009E0FA4"/>
    <w:rsid w:val="009E1508"/>
    <w:rsid w:val="009E20BB"/>
    <w:rsid w:val="009E22EE"/>
    <w:rsid w:val="009E2F5F"/>
    <w:rsid w:val="009E4C32"/>
    <w:rsid w:val="009E5477"/>
    <w:rsid w:val="009F111A"/>
    <w:rsid w:val="009F15A4"/>
    <w:rsid w:val="009F2767"/>
    <w:rsid w:val="009F2A5A"/>
    <w:rsid w:val="009F396B"/>
    <w:rsid w:val="009F4086"/>
    <w:rsid w:val="009F45E2"/>
    <w:rsid w:val="009F524B"/>
    <w:rsid w:val="009F5E7B"/>
    <w:rsid w:val="00A00AE9"/>
    <w:rsid w:val="00A02416"/>
    <w:rsid w:val="00A0242C"/>
    <w:rsid w:val="00A03B0E"/>
    <w:rsid w:val="00A04187"/>
    <w:rsid w:val="00A05861"/>
    <w:rsid w:val="00A0796F"/>
    <w:rsid w:val="00A10851"/>
    <w:rsid w:val="00A10C55"/>
    <w:rsid w:val="00A13212"/>
    <w:rsid w:val="00A13884"/>
    <w:rsid w:val="00A13A47"/>
    <w:rsid w:val="00A164D9"/>
    <w:rsid w:val="00A166FF"/>
    <w:rsid w:val="00A2058A"/>
    <w:rsid w:val="00A20BB9"/>
    <w:rsid w:val="00A25492"/>
    <w:rsid w:val="00A257F8"/>
    <w:rsid w:val="00A263E5"/>
    <w:rsid w:val="00A268B1"/>
    <w:rsid w:val="00A278B5"/>
    <w:rsid w:val="00A30BF5"/>
    <w:rsid w:val="00A31A7A"/>
    <w:rsid w:val="00A323BF"/>
    <w:rsid w:val="00A32BF4"/>
    <w:rsid w:val="00A336E7"/>
    <w:rsid w:val="00A33D37"/>
    <w:rsid w:val="00A369C3"/>
    <w:rsid w:val="00A36A2C"/>
    <w:rsid w:val="00A36CF4"/>
    <w:rsid w:val="00A376FC"/>
    <w:rsid w:val="00A4056F"/>
    <w:rsid w:val="00A42142"/>
    <w:rsid w:val="00A43170"/>
    <w:rsid w:val="00A43E3D"/>
    <w:rsid w:val="00A453A4"/>
    <w:rsid w:val="00A506AA"/>
    <w:rsid w:val="00A53835"/>
    <w:rsid w:val="00A53FB5"/>
    <w:rsid w:val="00A564A7"/>
    <w:rsid w:val="00A601BD"/>
    <w:rsid w:val="00A61E23"/>
    <w:rsid w:val="00A62CEC"/>
    <w:rsid w:val="00A62E89"/>
    <w:rsid w:val="00A63027"/>
    <w:rsid w:val="00A631DC"/>
    <w:rsid w:val="00A63932"/>
    <w:rsid w:val="00A640AC"/>
    <w:rsid w:val="00A64D8D"/>
    <w:rsid w:val="00A65930"/>
    <w:rsid w:val="00A66603"/>
    <w:rsid w:val="00A70586"/>
    <w:rsid w:val="00A71705"/>
    <w:rsid w:val="00A72482"/>
    <w:rsid w:val="00A72DB0"/>
    <w:rsid w:val="00A73092"/>
    <w:rsid w:val="00A73C9E"/>
    <w:rsid w:val="00A753EA"/>
    <w:rsid w:val="00A75C6A"/>
    <w:rsid w:val="00A75E47"/>
    <w:rsid w:val="00A80C2A"/>
    <w:rsid w:val="00A8138B"/>
    <w:rsid w:val="00A82344"/>
    <w:rsid w:val="00A83589"/>
    <w:rsid w:val="00A8659F"/>
    <w:rsid w:val="00A87AD9"/>
    <w:rsid w:val="00A918BD"/>
    <w:rsid w:val="00A91F46"/>
    <w:rsid w:val="00A944B5"/>
    <w:rsid w:val="00A959B6"/>
    <w:rsid w:val="00A95CC8"/>
    <w:rsid w:val="00A97440"/>
    <w:rsid w:val="00AA1622"/>
    <w:rsid w:val="00AA321A"/>
    <w:rsid w:val="00AA7049"/>
    <w:rsid w:val="00AA778F"/>
    <w:rsid w:val="00AA7A37"/>
    <w:rsid w:val="00AA7A8D"/>
    <w:rsid w:val="00AB0507"/>
    <w:rsid w:val="00AB1CA5"/>
    <w:rsid w:val="00AB2331"/>
    <w:rsid w:val="00AB24DC"/>
    <w:rsid w:val="00AB2EB2"/>
    <w:rsid w:val="00AB2F69"/>
    <w:rsid w:val="00AB3C1D"/>
    <w:rsid w:val="00AB3E2C"/>
    <w:rsid w:val="00AB61AF"/>
    <w:rsid w:val="00AC1C2D"/>
    <w:rsid w:val="00AC524E"/>
    <w:rsid w:val="00AC5611"/>
    <w:rsid w:val="00AC601E"/>
    <w:rsid w:val="00AC70A7"/>
    <w:rsid w:val="00AC7448"/>
    <w:rsid w:val="00AC745A"/>
    <w:rsid w:val="00AD1278"/>
    <w:rsid w:val="00AD1349"/>
    <w:rsid w:val="00AD2DC0"/>
    <w:rsid w:val="00AD2E81"/>
    <w:rsid w:val="00AD3EFC"/>
    <w:rsid w:val="00AD53EC"/>
    <w:rsid w:val="00AD7546"/>
    <w:rsid w:val="00AE02B9"/>
    <w:rsid w:val="00AE24A6"/>
    <w:rsid w:val="00AE3A9B"/>
    <w:rsid w:val="00AE3F40"/>
    <w:rsid w:val="00AE466D"/>
    <w:rsid w:val="00AE4F32"/>
    <w:rsid w:val="00AE6859"/>
    <w:rsid w:val="00AE6DEC"/>
    <w:rsid w:val="00AE75D5"/>
    <w:rsid w:val="00AF01B5"/>
    <w:rsid w:val="00AF0DAA"/>
    <w:rsid w:val="00AF24BE"/>
    <w:rsid w:val="00AF2E24"/>
    <w:rsid w:val="00AF3DE7"/>
    <w:rsid w:val="00AF49BE"/>
    <w:rsid w:val="00AF4BF3"/>
    <w:rsid w:val="00AF53F1"/>
    <w:rsid w:val="00AF63B4"/>
    <w:rsid w:val="00AF675C"/>
    <w:rsid w:val="00AF6B24"/>
    <w:rsid w:val="00B003CF"/>
    <w:rsid w:val="00B004A0"/>
    <w:rsid w:val="00B0172B"/>
    <w:rsid w:val="00B01F19"/>
    <w:rsid w:val="00B021D4"/>
    <w:rsid w:val="00B03442"/>
    <w:rsid w:val="00B042CB"/>
    <w:rsid w:val="00B04EBB"/>
    <w:rsid w:val="00B054DF"/>
    <w:rsid w:val="00B05A40"/>
    <w:rsid w:val="00B05CAC"/>
    <w:rsid w:val="00B05F6A"/>
    <w:rsid w:val="00B0759E"/>
    <w:rsid w:val="00B10CD0"/>
    <w:rsid w:val="00B112AF"/>
    <w:rsid w:val="00B11868"/>
    <w:rsid w:val="00B11940"/>
    <w:rsid w:val="00B13A6B"/>
    <w:rsid w:val="00B1522F"/>
    <w:rsid w:val="00B15CCC"/>
    <w:rsid w:val="00B2146E"/>
    <w:rsid w:val="00B21BA6"/>
    <w:rsid w:val="00B21FC8"/>
    <w:rsid w:val="00B2338C"/>
    <w:rsid w:val="00B2547C"/>
    <w:rsid w:val="00B25E8C"/>
    <w:rsid w:val="00B269FC"/>
    <w:rsid w:val="00B30271"/>
    <w:rsid w:val="00B30C5E"/>
    <w:rsid w:val="00B3107E"/>
    <w:rsid w:val="00B31ABF"/>
    <w:rsid w:val="00B3271C"/>
    <w:rsid w:val="00B339EB"/>
    <w:rsid w:val="00B34792"/>
    <w:rsid w:val="00B34FDA"/>
    <w:rsid w:val="00B356F6"/>
    <w:rsid w:val="00B3653C"/>
    <w:rsid w:val="00B3663E"/>
    <w:rsid w:val="00B378AA"/>
    <w:rsid w:val="00B4329B"/>
    <w:rsid w:val="00B4332E"/>
    <w:rsid w:val="00B45BE3"/>
    <w:rsid w:val="00B46C24"/>
    <w:rsid w:val="00B47285"/>
    <w:rsid w:val="00B47D72"/>
    <w:rsid w:val="00B503BF"/>
    <w:rsid w:val="00B516F8"/>
    <w:rsid w:val="00B520F1"/>
    <w:rsid w:val="00B563CC"/>
    <w:rsid w:val="00B57146"/>
    <w:rsid w:val="00B57E2D"/>
    <w:rsid w:val="00B57EE6"/>
    <w:rsid w:val="00B610A5"/>
    <w:rsid w:val="00B61FDA"/>
    <w:rsid w:val="00B62817"/>
    <w:rsid w:val="00B633E6"/>
    <w:rsid w:val="00B63AAB"/>
    <w:rsid w:val="00B640FC"/>
    <w:rsid w:val="00B64A95"/>
    <w:rsid w:val="00B6530B"/>
    <w:rsid w:val="00B65ADE"/>
    <w:rsid w:val="00B66F8E"/>
    <w:rsid w:val="00B67B32"/>
    <w:rsid w:val="00B7090A"/>
    <w:rsid w:val="00B7256C"/>
    <w:rsid w:val="00B73256"/>
    <w:rsid w:val="00B73C34"/>
    <w:rsid w:val="00B73EF4"/>
    <w:rsid w:val="00B755AA"/>
    <w:rsid w:val="00B756A9"/>
    <w:rsid w:val="00B7640F"/>
    <w:rsid w:val="00B76659"/>
    <w:rsid w:val="00B76EF3"/>
    <w:rsid w:val="00B773F7"/>
    <w:rsid w:val="00B777AA"/>
    <w:rsid w:val="00B828ED"/>
    <w:rsid w:val="00B82A2F"/>
    <w:rsid w:val="00B84A76"/>
    <w:rsid w:val="00B851F2"/>
    <w:rsid w:val="00B86830"/>
    <w:rsid w:val="00B9041F"/>
    <w:rsid w:val="00B9178F"/>
    <w:rsid w:val="00B91FBC"/>
    <w:rsid w:val="00B95199"/>
    <w:rsid w:val="00B9659C"/>
    <w:rsid w:val="00B9753A"/>
    <w:rsid w:val="00BA35C0"/>
    <w:rsid w:val="00BA3ED5"/>
    <w:rsid w:val="00BA4AB0"/>
    <w:rsid w:val="00BA4E5C"/>
    <w:rsid w:val="00BA7930"/>
    <w:rsid w:val="00BA7DA2"/>
    <w:rsid w:val="00BB00FD"/>
    <w:rsid w:val="00BB1641"/>
    <w:rsid w:val="00BB177E"/>
    <w:rsid w:val="00BB2A36"/>
    <w:rsid w:val="00BB3D1D"/>
    <w:rsid w:val="00BB7A95"/>
    <w:rsid w:val="00BB7C23"/>
    <w:rsid w:val="00BC1851"/>
    <w:rsid w:val="00BC1E7F"/>
    <w:rsid w:val="00BC253D"/>
    <w:rsid w:val="00BC38F7"/>
    <w:rsid w:val="00BC4F49"/>
    <w:rsid w:val="00BC5BEE"/>
    <w:rsid w:val="00BC5E7A"/>
    <w:rsid w:val="00BD15C1"/>
    <w:rsid w:val="00BD345F"/>
    <w:rsid w:val="00BD42C5"/>
    <w:rsid w:val="00BD4329"/>
    <w:rsid w:val="00BD6499"/>
    <w:rsid w:val="00BD6678"/>
    <w:rsid w:val="00BD71A1"/>
    <w:rsid w:val="00BE0C81"/>
    <w:rsid w:val="00BE0ED3"/>
    <w:rsid w:val="00BE109F"/>
    <w:rsid w:val="00BE1D4A"/>
    <w:rsid w:val="00BE2D70"/>
    <w:rsid w:val="00BE3A1A"/>
    <w:rsid w:val="00BE42B4"/>
    <w:rsid w:val="00BE4682"/>
    <w:rsid w:val="00BE4AA1"/>
    <w:rsid w:val="00BE57BB"/>
    <w:rsid w:val="00BE5EF2"/>
    <w:rsid w:val="00BF0400"/>
    <w:rsid w:val="00BF12B9"/>
    <w:rsid w:val="00BF1DD0"/>
    <w:rsid w:val="00BF4837"/>
    <w:rsid w:val="00BF5423"/>
    <w:rsid w:val="00BF6213"/>
    <w:rsid w:val="00BF7077"/>
    <w:rsid w:val="00BF79E2"/>
    <w:rsid w:val="00C03CDF"/>
    <w:rsid w:val="00C041A3"/>
    <w:rsid w:val="00C04A67"/>
    <w:rsid w:val="00C078EA"/>
    <w:rsid w:val="00C10481"/>
    <w:rsid w:val="00C11270"/>
    <w:rsid w:val="00C1217A"/>
    <w:rsid w:val="00C12544"/>
    <w:rsid w:val="00C14CA4"/>
    <w:rsid w:val="00C14CE3"/>
    <w:rsid w:val="00C14EDF"/>
    <w:rsid w:val="00C155FA"/>
    <w:rsid w:val="00C158A5"/>
    <w:rsid w:val="00C169E4"/>
    <w:rsid w:val="00C2132B"/>
    <w:rsid w:val="00C216CB"/>
    <w:rsid w:val="00C222D7"/>
    <w:rsid w:val="00C22338"/>
    <w:rsid w:val="00C2250D"/>
    <w:rsid w:val="00C2269B"/>
    <w:rsid w:val="00C22CAE"/>
    <w:rsid w:val="00C23144"/>
    <w:rsid w:val="00C23A94"/>
    <w:rsid w:val="00C24A8E"/>
    <w:rsid w:val="00C24F4F"/>
    <w:rsid w:val="00C2637B"/>
    <w:rsid w:val="00C30B67"/>
    <w:rsid w:val="00C328DF"/>
    <w:rsid w:val="00C33115"/>
    <w:rsid w:val="00C33692"/>
    <w:rsid w:val="00C3562C"/>
    <w:rsid w:val="00C363B5"/>
    <w:rsid w:val="00C369AA"/>
    <w:rsid w:val="00C409A3"/>
    <w:rsid w:val="00C41200"/>
    <w:rsid w:val="00C41CCA"/>
    <w:rsid w:val="00C42B24"/>
    <w:rsid w:val="00C44118"/>
    <w:rsid w:val="00C4427A"/>
    <w:rsid w:val="00C446F4"/>
    <w:rsid w:val="00C47BB2"/>
    <w:rsid w:val="00C513C2"/>
    <w:rsid w:val="00C51C1A"/>
    <w:rsid w:val="00C52CDF"/>
    <w:rsid w:val="00C5300D"/>
    <w:rsid w:val="00C54340"/>
    <w:rsid w:val="00C5439B"/>
    <w:rsid w:val="00C55694"/>
    <w:rsid w:val="00C609FE"/>
    <w:rsid w:val="00C60DFD"/>
    <w:rsid w:val="00C61DE3"/>
    <w:rsid w:val="00C64C9B"/>
    <w:rsid w:val="00C668A5"/>
    <w:rsid w:val="00C7027D"/>
    <w:rsid w:val="00C70BD6"/>
    <w:rsid w:val="00C7196B"/>
    <w:rsid w:val="00C72A64"/>
    <w:rsid w:val="00C73ADC"/>
    <w:rsid w:val="00C7435F"/>
    <w:rsid w:val="00C74C7C"/>
    <w:rsid w:val="00C74D4D"/>
    <w:rsid w:val="00C773D8"/>
    <w:rsid w:val="00C83CC1"/>
    <w:rsid w:val="00C90987"/>
    <w:rsid w:val="00C911E5"/>
    <w:rsid w:val="00C92155"/>
    <w:rsid w:val="00C923D4"/>
    <w:rsid w:val="00C92D36"/>
    <w:rsid w:val="00C9358A"/>
    <w:rsid w:val="00C944AE"/>
    <w:rsid w:val="00C94D36"/>
    <w:rsid w:val="00C965A4"/>
    <w:rsid w:val="00C967DE"/>
    <w:rsid w:val="00C96A20"/>
    <w:rsid w:val="00C96A35"/>
    <w:rsid w:val="00C9781D"/>
    <w:rsid w:val="00C97CEC"/>
    <w:rsid w:val="00CA2E4E"/>
    <w:rsid w:val="00CA4583"/>
    <w:rsid w:val="00CA6773"/>
    <w:rsid w:val="00CB04D9"/>
    <w:rsid w:val="00CB0C3A"/>
    <w:rsid w:val="00CB1342"/>
    <w:rsid w:val="00CB1B03"/>
    <w:rsid w:val="00CB1B60"/>
    <w:rsid w:val="00CB1C53"/>
    <w:rsid w:val="00CB1EDF"/>
    <w:rsid w:val="00CB22F5"/>
    <w:rsid w:val="00CB2FCD"/>
    <w:rsid w:val="00CB3240"/>
    <w:rsid w:val="00CB383C"/>
    <w:rsid w:val="00CB529E"/>
    <w:rsid w:val="00CB64E5"/>
    <w:rsid w:val="00CB6A19"/>
    <w:rsid w:val="00CB6F86"/>
    <w:rsid w:val="00CB6F92"/>
    <w:rsid w:val="00CB7C02"/>
    <w:rsid w:val="00CC01BC"/>
    <w:rsid w:val="00CC0FB0"/>
    <w:rsid w:val="00CC283B"/>
    <w:rsid w:val="00CC3862"/>
    <w:rsid w:val="00CC5390"/>
    <w:rsid w:val="00CC7176"/>
    <w:rsid w:val="00CC73A0"/>
    <w:rsid w:val="00CC7F94"/>
    <w:rsid w:val="00CD034D"/>
    <w:rsid w:val="00CD0D19"/>
    <w:rsid w:val="00CD2776"/>
    <w:rsid w:val="00CD2EA0"/>
    <w:rsid w:val="00CD3B08"/>
    <w:rsid w:val="00CD3C90"/>
    <w:rsid w:val="00CD3E57"/>
    <w:rsid w:val="00CD56D3"/>
    <w:rsid w:val="00CD68A2"/>
    <w:rsid w:val="00CD6D13"/>
    <w:rsid w:val="00CD7813"/>
    <w:rsid w:val="00CE0303"/>
    <w:rsid w:val="00CE1C66"/>
    <w:rsid w:val="00CE20A7"/>
    <w:rsid w:val="00CE3A9C"/>
    <w:rsid w:val="00CE4EF2"/>
    <w:rsid w:val="00CE567C"/>
    <w:rsid w:val="00CE644F"/>
    <w:rsid w:val="00CE64B0"/>
    <w:rsid w:val="00CE6D8D"/>
    <w:rsid w:val="00CE6F17"/>
    <w:rsid w:val="00CF02B0"/>
    <w:rsid w:val="00CF0438"/>
    <w:rsid w:val="00CF0837"/>
    <w:rsid w:val="00CF1822"/>
    <w:rsid w:val="00CF3F73"/>
    <w:rsid w:val="00CF4B43"/>
    <w:rsid w:val="00CF6428"/>
    <w:rsid w:val="00CF6E51"/>
    <w:rsid w:val="00CF7985"/>
    <w:rsid w:val="00D0125A"/>
    <w:rsid w:val="00D02932"/>
    <w:rsid w:val="00D02EBC"/>
    <w:rsid w:val="00D0323E"/>
    <w:rsid w:val="00D0588B"/>
    <w:rsid w:val="00D059A5"/>
    <w:rsid w:val="00D06041"/>
    <w:rsid w:val="00D10484"/>
    <w:rsid w:val="00D108C9"/>
    <w:rsid w:val="00D1125C"/>
    <w:rsid w:val="00D128D1"/>
    <w:rsid w:val="00D13843"/>
    <w:rsid w:val="00D14E28"/>
    <w:rsid w:val="00D15B26"/>
    <w:rsid w:val="00D15F20"/>
    <w:rsid w:val="00D20DA2"/>
    <w:rsid w:val="00D2295D"/>
    <w:rsid w:val="00D23195"/>
    <w:rsid w:val="00D2629E"/>
    <w:rsid w:val="00D278DF"/>
    <w:rsid w:val="00D30025"/>
    <w:rsid w:val="00D31167"/>
    <w:rsid w:val="00D328E5"/>
    <w:rsid w:val="00D32913"/>
    <w:rsid w:val="00D32BC7"/>
    <w:rsid w:val="00D33FB6"/>
    <w:rsid w:val="00D3584B"/>
    <w:rsid w:val="00D377AC"/>
    <w:rsid w:val="00D40603"/>
    <w:rsid w:val="00D4079C"/>
    <w:rsid w:val="00D418F0"/>
    <w:rsid w:val="00D42549"/>
    <w:rsid w:val="00D42A33"/>
    <w:rsid w:val="00D449CF"/>
    <w:rsid w:val="00D44BC7"/>
    <w:rsid w:val="00D45C27"/>
    <w:rsid w:val="00D46488"/>
    <w:rsid w:val="00D466ED"/>
    <w:rsid w:val="00D476A0"/>
    <w:rsid w:val="00D47CBF"/>
    <w:rsid w:val="00D50777"/>
    <w:rsid w:val="00D50C18"/>
    <w:rsid w:val="00D516F3"/>
    <w:rsid w:val="00D520BA"/>
    <w:rsid w:val="00D55D43"/>
    <w:rsid w:val="00D560F9"/>
    <w:rsid w:val="00D5651E"/>
    <w:rsid w:val="00D57128"/>
    <w:rsid w:val="00D611C0"/>
    <w:rsid w:val="00D61427"/>
    <w:rsid w:val="00D6249B"/>
    <w:rsid w:val="00D632FE"/>
    <w:rsid w:val="00D63B0F"/>
    <w:rsid w:val="00D65181"/>
    <w:rsid w:val="00D66732"/>
    <w:rsid w:val="00D70AEE"/>
    <w:rsid w:val="00D71BCD"/>
    <w:rsid w:val="00D72AD7"/>
    <w:rsid w:val="00D747CD"/>
    <w:rsid w:val="00D74943"/>
    <w:rsid w:val="00D76302"/>
    <w:rsid w:val="00D804DB"/>
    <w:rsid w:val="00D80B77"/>
    <w:rsid w:val="00D81165"/>
    <w:rsid w:val="00D84508"/>
    <w:rsid w:val="00D85024"/>
    <w:rsid w:val="00D857BC"/>
    <w:rsid w:val="00D86ADB"/>
    <w:rsid w:val="00D870AE"/>
    <w:rsid w:val="00D873D7"/>
    <w:rsid w:val="00D876D2"/>
    <w:rsid w:val="00D876D8"/>
    <w:rsid w:val="00D90774"/>
    <w:rsid w:val="00D9136A"/>
    <w:rsid w:val="00D93A19"/>
    <w:rsid w:val="00D951B6"/>
    <w:rsid w:val="00D957C1"/>
    <w:rsid w:val="00D959B0"/>
    <w:rsid w:val="00D95B0C"/>
    <w:rsid w:val="00D96114"/>
    <w:rsid w:val="00D97344"/>
    <w:rsid w:val="00D9760A"/>
    <w:rsid w:val="00DA0352"/>
    <w:rsid w:val="00DA1129"/>
    <w:rsid w:val="00DA23F0"/>
    <w:rsid w:val="00DA2614"/>
    <w:rsid w:val="00DA2E93"/>
    <w:rsid w:val="00DA609A"/>
    <w:rsid w:val="00DA7C1A"/>
    <w:rsid w:val="00DA7FA9"/>
    <w:rsid w:val="00DB0D70"/>
    <w:rsid w:val="00DB4E2B"/>
    <w:rsid w:val="00DB4F7A"/>
    <w:rsid w:val="00DB54C1"/>
    <w:rsid w:val="00DB7E65"/>
    <w:rsid w:val="00DC0061"/>
    <w:rsid w:val="00DC00C7"/>
    <w:rsid w:val="00DC0E05"/>
    <w:rsid w:val="00DC13F4"/>
    <w:rsid w:val="00DC27A8"/>
    <w:rsid w:val="00DC33DC"/>
    <w:rsid w:val="00DC42A5"/>
    <w:rsid w:val="00DC5330"/>
    <w:rsid w:val="00DC5AA9"/>
    <w:rsid w:val="00DC7670"/>
    <w:rsid w:val="00DC775D"/>
    <w:rsid w:val="00DC7933"/>
    <w:rsid w:val="00DC7A00"/>
    <w:rsid w:val="00DD3063"/>
    <w:rsid w:val="00DD316E"/>
    <w:rsid w:val="00DD33C5"/>
    <w:rsid w:val="00DD3656"/>
    <w:rsid w:val="00DD3E93"/>
    <w:rsid w:val="00DD4E1A"/>
    <w:rsid w:val="00DD5568"/>
    <w:rsid w:val="00DD6989"/>
    <w:rsid w:val="00DE1615"/>
    <w:rsid w:val="00DE1D94"/>
    <w:rsid w:val="00DE30BE"/>
    <w:rsid w:val="00DE3D95"/>
    <w:rsid w:val="00DE4759"/>
    <w:rsid w:val="00DE49B1"/>
    <w:rsid w:val="00DE4C7C"/>
    <w:rsid w:val="00DE4D64"/>
    <w:rsid w:val="00DE55C4"/>
    <w:rsid w:val="00DF05C8"/>
    <w:rsid w:val="00DF1AAD"/>
    <w:rsid w:val="00DF1B12"/>
    <w:rsid w:val="00DF23B0"/>
    <w:rsid w:val="00DF270E"/>
    <w:rsid w:val="00DF307A"/>
    <w:rsid w:val="00DF3462"/>
    <w:rsid w:val="00DF4638"/>
    <w:rsid w:val="00DF54FF"/>
    <w:rsid w:val="00DF553B"/>
    <w:rsid w:val="00DF6CA7"/>
    <w:rsid w:val="00DF70EB"/>
    <w:rsid w:val="00DF7833"/>
    <w:rsid w:val="00E005ED"/>
    <w:rsid w:val="00E01F00"/>
    <w:rsid w:val="00E022A6"/>
    <w:rsid w:val="00E02886"/>
    <w:rsid w:val="00E02B15"/>
    <w:rsid w:val="00E0319C"/>
    <w:rsid w:val="00E0457B"/>
    <w:rsid w:val="00E05439"/>
    <w:rsid w:val="00E071C0"/>
    <w:rsid w:val="00E07A3F"/>
    <w:rsid w:val="00E1019F"/>
    <w:rsid w:val="00E11ED4"/>
    <w:rsid w:val="00E11FE2"/>
    <w:rsid w:val="00E12419"/>
    <w:rsid w:val="00E1273D"/>
    <w:rsid w:val="00E12B18"/>
    <w:rsid w:val="00E13111"/>
    <w:rsid w:val="00E146A8"/>
    <w:rsid w:val="00E17DAA"/>
    <w:rsid w:val="00E20943"/>
    <w:rsid w:val="00E217A3"/>
    <w:rsid w:val="00E21CE0"/>
    <w:rsid w:val="00E21DEC"/>
    <w:rsid w:val="00E24814"/>
    <w:rsid w:val="00E24C0E"/>
    <w:rsid w:val="00E24C5D"/>
    <w:rsid w:val="00E258B2"/>
    <w:rsid w:val="00E25A9C"/>
    <w:rsid w:val="00E261B9"/>
    <w:rsid w:val="00E307E5"/>
    <w:rsid w:val="00E312DB"/>
    <w:rsid w:val="00E31D87"/>
    <w:rsid w:val="00E32D59"/>
    <w:rsid w:val="00E331C5"/>
    <w:rsid w:val="00E33DD9"/>
    <w:rsid w:val="00E35BA2"/>
    <w:rsid w:val="00E36BE4"/>
    <w:rsid w:val="00E4018F"/>
    <w:rsid w:val="00E40C2C"/>
    <w:rsid w:val="00E40DD8"/>
    <w:rsid w:val="00E410C4"/>
    <w:rsid w:val="00E413C8"/>
    <w:rsid w:val="00E41E71"/>
    <w:rsid w:val="00E46C64"/>
    <w:rsid w:val="00E4785C"/>
    <w:rsid w:val="00E50375"/>
    <w:rsid w:val="00E53277"/>
    <w:rsid w:val="00E53F99"/>
    <w:rsid w:val="00E546A4"/>
    <w:rsid w:val="00E550EB"/>
    <w:rsid w:val="00E55AF0"/>
    <w:rsid w:val="00E56259"/>
    <w:rsid w:val="00E56349"/>
    <w:rsid w:val="00E5719C"/>
    <w:rsid w:val="00E62487"/>
    <w:rsid w:val="00E62DFF"/>
    <w:rsid w:val="00E63612"/>
    <w:rsid w:val="00E646A0"/>
    <w:rsid w:val="00E6526E"/>
    <w:rsid w:val="00E65DC5"/>
    <w:rsid w:val="00E70AEE"/>
    <w:rsid w:val="00E71183"/>
    <w:rsid w:val="00E7255A"/>
    <w:rsid w:val="00E730BA"/>
    <w:rsid w:val="00E746BB"/>
    <w:rsid w:val="00E762D0"/>
    <w:rsid w:val="00E767A3"/>
    <w:rsid w:val="00E76EC1"/>
    <w:rsid w:val="00E803B3"/>
    <w:rsid w:val="00E80FBC"/>
    <w:rsid w:val="00E81349"/>
    <w:rsid w:val="00E843E3"/>
    <w:rsid w:val="00E848B8"/>
    <w:rsid w:val="00E84BEE"/>
    <w:rsid w:val="00E84FF3"/>
    <w:rsid w:val="00E8765E"/>
    <w:rsid w:val="00E9075C"/>
    <w:rsid w:val="00E916F4"/>
    <w:rsid w:val="00E91CBC"/>
    <w:rsid w:val="00E92252"/>
    <w:rsid w:val="00E93612"/>
    <w:rsid w:val="00E944A1"/>
    <w:rsid w:val="00E94A43"/>
    <w:rsid w:val="00E970B1"/>
    <w:rsid w:val="00E9787B"/>
    <w:rsid w:val="00E97B54"/>
    <w:rsid w:val="00EA0AF6"/>
    <w:rsid w:val="00EA3214"/>
    <w:rsid w:val="00EA38F4"/>
    <w:rsid w:val="00EA3A0D"/>
    <w:rsid w:val="00EA43A1"/>
    <w:rsid w:val="00EA691A"/>
    <w:rsid w:val="00EB0736"/>
    <w:rsid w:val="00EB0B3D"/>
    <w:rsid w:val="00EB0FB9"/>
    <w:rsid w:val="00EB32C1"/>
    <w:rsid w:val="00EB344B"/>
    <w:rsid w:val="00EB5AB6"/>
    <w:rsid w:val="00EB6D04"/>
    <w:rsid w:val="00EB74B3"/>
    <w:rsid w:val="00EB7C7A"/>
    <w:rsid w:val="00EC079D"/>
    <w:rsid w:val="00EC1653"/>
    <w:rsid w:val="00EC2EE8"/>
    <w:rsid w:val="00EC3020"/>
    <w:rsid w:val="00EC34BC"/>
    <w:rsid w:val="00EC450B"/>
    <w:rsid w:val="00EC4CC7"/>
    <w:rsid w:val="00EC54B4"/>
    <w:rsid w:val="00EC7219"/>
    <w:rsid w:val="00EC7341"/>
    <w:rsid w:val="00EC7AD7"/>
    <w:rsid w:val="00ED03E7"/>
    <w:rsid w:val="00ED1B62"/>
    <w:rsid w:val="00ED1C0E"/>
    <w:rsid w:val="00ED2F0F"/>
    <w:rsid w:val="00ED40D5"/>
    <w:rsid w:val="00ED607C"/>
    <w:rsid w:val="00ED7F0F"/>
    <w:rsid w:val="00EE02C0"/>
    <w:rsid w:val="00EE1941"/>
    <w:rsid w:val="00EE1FBD"/>
    <w:rsid w:val="00EE233B"/>
    <w:rsid w:val="00EE28B1"/>
    <w:rsid w:val="00EE2AC2"/>
    <w:rsid w:val="00EE37D7"/>
    <w:rsid w:val="00EE709B"/>
    <w:rsid w:val="00EF1554"/>
    <w:rsid w:val="00EF1C9B"/>
    <w:rsid w:val="00EF1E11"/>
    <w:rsid w:val="00EF2B1E"/>
    <w:rsid w:val="00EF3A6D"/>
    <w:rsid w:val="00EF438F"/>
    <w:rsid w:val="00EF4BCA"/>
    <w:rsid w:val="00EF512B"/>
    <w:rsid w:val="00EF54D8"/>
    <w:rsid w:val="00EF57AC"/>
    <w:rsid w:val="00EF5BCF"/>
    <w:rsid w:val="00EF7A5E"/>
    <w:rsid w:val="00EF7B2A"/>
    <w:rsid w:val="00F02122"/>
    <w:rsid w:val="00F02B49"/>
    <w:rsid w:val="00F04BAC"/>
    <w:rsid w:val="00F0641C"/>
    <w:rsid w:val="00F0681B"/>
    <w:rsid w:val="00F06869"/>
    <w:rsid w:val="00F07E74"/>
    <w:rsid w:val="00F120E2"/>
    <w:rsid w:val="00F12CA4"/>
    <w:rsid w:val="00F13CEA"/>
    <w:rsid w:val="00F13F32"/>
    <w:rsid w:val="00F1403F"/>
    <w:rsid w:val="00F14193"/>
    <w:rsid w:val="00F155C9"/>
    <w:rsid w:val="00F16A42"/>
    <w:rsid w:val="00F17468"/>
    <w:rsid w:val="00F17485"/>
    <w:rsid w:val="00F17A6A"/>
    <w:rsid w:val="00F20AE5"/>
    <w:rsid w:val="00F20D1C"/>
    <w:rsid w:val="00F2110A"/>
    <w:rsid w:val="00F223D2"/>
    <w:rsid w:val="00F22D09"/>
    <w:rsid w:val="00F230DD"/>
    <w:rsid w:val="00F23629"/>
    <w:rsid w:val="00F23B0D"/>
    <w:rsid w:val="00F2505A"/>
    <w:rsid w:val="00F25AB0"/>
    <w:rsid w:val="00F25B08"/>
    <w:rsid w:val="00F27564"/>
    <w:rsid w:val="00F319BF"/>
    <w:rsid w:val="00F322F0"/>
    <w:rsid w:val="00F3257F"/>
    <w:rsid w:val="00F32E57"/>
    <w:rsid w:val="00F3521B"/>
    <w:rsid w:val="00F410C6"/>
    <w:rsid w:val="00F42AEB"/>
    <w:rsid w:val="00F42FC4"/>
    <w:rsid w:val="00F441BE"/>
    <w:rsid w:val="00F455EF"/>
    <w:rsid w:val="00F457A2"/>
    <w:rsid w:val="00F45871"/>
    <w:rsid w:val="00F45BDC"/>
    <w:rsid w:val="00F462BB"/>
    <w:rsid w:val="00F47253"/>
    <w:rsid w:val="00F47A31"/>
    <w:rsid w:val="00F47D10"/>
    <w:rsid w:val="00F5245C"/>
    <w:rsid w:val="00F52965"/>
    <w:rsid w:val="00F53641"/>
    <w:rsid w:val="00F5391C"/>
    <w:rsid w:val="00F54354"/>
    <w:rsid w:val="00F546D7"/>
    <w:rsid w:val="00F55AE4"/>
    <w:rsid w:val="00F64C59"/>
    <w:rsid w:val="00F64C75"/>
    <w:rsid w:val="00F6592D"/>
    <w:rsid w:val="00F71C7C"/>
    <w:rsid w:val="00F72F58"/>
    <w:rsid w:val="00F749EB"/>
    <w:rsid w:val="00F75ED7"/>
    <w:rsid w:val="00F76972"/>
    <w:rsid w:val="00F76B27"/>
    <w:rsid w:val="00F80474"/>
    <w:rsid w:val="00F8307D"/>
    <w:rsid w:val="00F84BFF"/>
    <w:rsid w:val="00F84D57"/>
    <w:rsid w:val="00F86B82"/>
    <w:rsid w:val="00F86BA8"/>
    <w:rsid w:val="00F86EF4"/>
    <w:rsid w:val="00F87CA1"/>
    <w:rsid w:val="00F90C2E"/>
    <w:rsid w:val="00F9170F"/>
    <w:rsid w:val="00F922AA"/>
    <w:rsid w:val="00F930C5"/>
    <w:rsid w:val="00F9507F"/>
    <w:rsid w:val="00F95898"/>
    <w:rsid w:val="00F97FC7"/>
    <w:rsid w:val="00FA12B7"/>
    <w:rsid w:val="00FA17B2"/>
    <w:rsid w:val="00FA18A7"/>
    <w:rsid w:val="00FA27B9"/>
    <w:rsid w:val="00FA34CC"/>
    <w:rsid w:val="00FA5CF6"/>
    <w:rsid w:val="00FA686F"/>
    <w:rsid w:val="00FB1EFD"/>
    <w:rsid w:val="00FB1FF8"/>
    <w:rsid w:val="00FB3FB5"/>
    <w:rsid w:val="00FB4689"/>
    <w:rsid w:val="00FB46FE"/>
    <w:rsid w:val="00FB5A5C"/>
    <w:rsid w:val="00FB61EF"/>
    <w:rsid w:val="00FB6EA9"/>
    <w:rsid w:val="00FB6FA8"/>
    <w:rsid w:val="00FC1616"/>
    <w:rsid w:val="00FC255F"/>
    <w:rsid w:val="00FC2678"/>
    <w:rsid w:val="00FC2BAA"/>
    <w:rsid w:val="00FC2F1B"/>
    <w:rsid w:val="00FC501F"/>
    <w:rsid w:val="00FC6EE1"/>
    <w:rsid w:val="00FD0438"/>
    <w:rsid w:val="00FD18B2"/>
    <w:rsid w:val="00FD24BE"/>
    <w:rsid w:val="00FD3357"/>
    <w:rsid w:val="00FD3AF2"/>
    <w:rsid w:val="00FD7D0C"/>
    <w:rsid w:val="00FE0AFB"/>
    <w:rsid w:val="00FE2A3B"/>
    <w:rsid w:val="00FE2BB4"/>
    <w:rsid w:val="00FE2F7F"/>
    <w:rsid w:val="00FE3CC6"/>
    <w:rsid w:val="00FE4B13"/>
    <w:rsid w:val="00FE5475"/>
    <w:rsid w:val="00FE5691"/>
    <w:rsid w:val="00FE6FA9"/>
    <w:rsid w:val="00FE7420"/>
    <w:rsid w:val="00FE7A1F"/>
    <w:rsid w:val="00FE7E6E"/>
    <w:rsid w:val="00FF0DD5"/>
    <w:rsid w:val="00FF0F9B"/>
    <w:rsid w:val="00FF2A83"/>
    <w:rsid w:val="00FF2BD7"/>
    <w:rsid w:val="00FF3FED"/>
    <w:rsid w:val="00FF47BE"/>
    <w:rsid w:val="00FF5DD5"/>
    <w:rsid w:val="00FF688C"/>
    <w:rsid w:val="00FF692D"/>
    <w:rsid w:val="00FF7819"/>
    <w:rsid w:val="00FF7DB3"/>
    <w:rsid w:val="00FF7EE4"/>
    <w:rsid w:val="01FDD292"/>
    <w:rsid w:val="03343D49"/>
    <w:rsid w:val="03ABFBC1"/>
    <w:rsid w:val="03FB6761"/>
    <w:rsid w:val="04A842DD"/>
    <w:rsid w:val="05115472"/>
    <w:rsid w:val="07A5CA34"/>
    <w:rsid w:val="0879D5AE"/>
    <w:rsid w:val="08C96EF0"/>
    <w:rsid w:val="0B20F9A4"/>
    <w:rsid w:val="0CD6C8E2"/>
    <w:rsid w:val="0D1B25FC"/>
    <w:rsid w:val="0D458C1C"/>
    <w:rsid w:val="0E0CDA7D"/>
    <w:rsid w:val="0EF774F8"/>
    <w:rsid w:val="10B9CCE1"/>
    <w:rsid w:val="10F646EA"/>
    <w:rsid w:val="1174DE1E"/>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8EAEB0"/>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7DC7F"/>
    <w:rsid w:val="320C096E"/>
    <w:rsid w:val="3345A429"/>
    <w:rsid w:val="3365DF7D"/>
    <w:rsid w:val="338AD733"/>
    <w:rsid w:val="33C629ED"/>
    <w:rsid w:val="33CD418D"/>
    <w:rsid w:val="348624F1"/>
    <w:rsid w:val="369DDED0"/>
    <w:rsid w:val="371064C4"/>
    <w:rsid w:val="39788F36"/>
    <w:rsid w:val="3BEFD102"/>
    <w:rsid w:val="3D31C50C"/>
    <w:rsid w:val="40B91A68"/>
    <w:rsid w:val="40FA4FF1"/>
    <w:rsid w:val="427DDFBE"/>
    <w:rsid w:val="42A044BE"/>
    <w:rsid w:val="42E39FD1"/>
    <w:rsid w:val="43FBFF56"/>
    <w:rsid w:val="43FFB094"/>
    <w:rsid w:val="44A4249E"/>
    <w:rsid w:val="45101BF9"/>
    <w:rsid w:val="455AA853"/>
    <w:rsid w:val="464B9401"/>
    <w:rsid w:val="4691BB2B"/>
    <w:rsid w:val="46DFF84C"/>
    <w:rsid w:val="4CC560BF"/>
    <w:rsid w:val="4D04151A"/>
    <w:rsid w:val="4D54D746"/>
    <w:rsid w:val="4E0EF0D1"/>
    <w:rsid w:val="4E412C67"/>
    <w:rsid w:val="4F4DC1C5"/>
    <w:rsid w:val="4F5AD084"/>
    <w:rsid w:val="4F5D6062"/>
    <w:rsid w:val="4FF5D099"/>
    <w:rsid w:val="5348577F"/>
    <w:rsid w:val="5441D815"/>
    <w:rsid w:val="575579AB"/>
    <w:rsid w:val="58679F10"/>
    <w:rsid w:val="59C908CE"/>
    <w:rsid w:val="5B6B783E"/>
    <w:rsid w:val="5BCA9AF6"/>
    <w:rsid w:val="5DDEE69A"/>
    <w:rsid w:val="5DF1BB0F"/>
    <w:rsid w:val="5EE16208"/>
    <w:rsid w:val="5FB826F7"/>
    <w:rsid w:val="601A1D0B"/>
    <w:rsid w:val="63232560"/>
    <w:rsid w:val="6339AB16"/>
    <w:rsid w:val="63F757F1"/>
    <w:rsid w:val="64551E2C"/>
    <w:rsid w:val="6495636B"/>
    <w:rsid w:val="679146BB"/>
    <w:rsid w:val="686C4CBA"/>
    <w:rsid w:val="69C36EF6"/>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1BFF7"/>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8BC26"/>
  <w15:docId w15:val="{DE754D7D-E310-4E2D-83D5-E22097DD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3E58E4"/>
    <w:pPr>
      <w:pBdr>
        <w:top w:val="single" w:sz="36" w:space="10" w:color="43C7F4" w:themeColor="accent1"/>
        <w:bottom w:val="single" w:sz="36" w:space="10" w:color="43C7F4" w:themeColor="accent1"/>
      </w:pBdr>
      <w:spacing w:after="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3343">
      <w:bodyDiv w:val="1"/>
      <w:marLeft w:val="0"/>
      <w:marRight w:val="0"/>
      <w:marTop w:val="0"/>
      <w:marBottom w:val="0"/>
      <w:divBdr>
        <w:top w:val="none" w:sz="0" w:space="0" w:color="auto"/>
        <w:left w:val="none" w:sz="0" w:space="0" w:color="auto"/>
        <w:bottom w:val="none" w:sz="0" w:space="0" w:color="auto"/>
        <w:right w:val="none" w:sz="0" w:space="0" w:color="auto"/>
      </w:divBdr>
    </w:div>
    <w:div w:id="59795470">
      <w:bodyDiv w:val="1"/>
      <w:marLeft w:val="0"/>
      <w:marRight w:val="0"/>
      <w:marTop w:val="0"/>
      <w:marBottom w:val="0"/>
      <w:divBdr>
        <w:top w:val="none" w:sz="0" w:space="0" w:color="auto"/>
        <w:left w:val="none" w:sz="0" w:space="0" w:color="auto"/>
        <w:bottom w:val="none" w:sz="0" w:space="0" w:color="auto"/>
        <w:right w:val="none" w:sz="0" w:space="0" w:color="auto"/>
      </w:divBdr>
    </w:div>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35696829">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61617080">
      <w:bodyDiv w:val="1"/>
      <w:marLeft w:val="0"/>
      <w:marRight w:val="0"/>
      <w:marTop w:val="0"/>
      <w:marBottom w:val="0"/>
      <w:divBdr>
        <w:top w:val="none" w:sz="0" w:space="0" w:color="auto"/>
        <w:left w:val="none" w:sz="0" w:space="0" w:color="auto"/>
        <w:bottom w:val="none" w:sz="0" w:space="0" w:color="auto"/>
        <w:right w:val="none" w:sz="0" w:space="0" w:color="auto"/>
      </w:divBdr>
    </w:div>
    <w:div w:id="669139794">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21791901">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980185094">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371761892">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44828288">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08619576">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57004868">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can.org.au/about-us/reporting/reconcilitiation-action-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udrey.reoch@accan.org.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tylemanual.gov.au/content-types/easy-read" TargetMode="External"/><Relationship Id="rId1" Type="http://schemas.openxmlformats.org/officeDocument/2006/relationships/hyperlink" Target="https://www.stylemanual.gov.au/writing-and-designing-content/clear-language-and-writing-style/plain-language-and-word-cho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Reoch\ACCAN\ACCAN%20-%20Business\Templates\DocumentTemplate-Submission.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2.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3.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4.xml><?xml version="1.0" encoding="utf-8"?>
<ds:datastoreItem xmlns:ds="http://schemas.openxmlformats.org/officeDocument/2006/customXml" ds:itemID="{09BB33DA-E896-4809-A0BF-6B1A8E9CD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DocumentTemplate-Submission</Template>
  <TotalTime>612</TotalTime>
  <Pages>7</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CharactersWithSpaces>
  <SharedDoc>false</SharedDoc>
  <HLinks>
    <vt:vector size="24" baseType="variant">
      <vt:variant>
        <vt:i4>4784136</vt:i4>
      </vt:variant>
      <vt:variant>
        <vt:i4>3</vt:i4>
      </vt:variant>
      <vt:variant>
        <vt:i4>0</vt:i4>
      </vt:variant>
      <vt:variant>
        <vt:i4>5</vt:i4>
      </vt:variant>
      <vt:variant>
        <vt:lpwstr>https://accan.org.au/about-us/reporting/reconcilitiation-action-plan</vt:lpwstr>
      </vt:variant>
      <vt:variant>
        <vt:lpwstr/>
      </vt:variant>
      <vt:variant>
        <vt:i4>7274564</vt:i4>
      </vt:variant>
      <vt:variant>
        <vt:i4>0</vt:i4>
      </vt:variant>
      <vt:variant>
        <vt:i4>0</vt:i4>
      </vt:variant>
      <vt:variant>
        <vt:i4>5</vt:i4>
      </vt:variant>
      <vt:variant>
        <vt:lpwstr>mailto:audrey.reoch@accan.org.au</vt:lpwstr>
      </vt:variant>
      <vt:variant>
        <vt:lpwstr/>
      </vt:variant>
      <vt:variant>
        <vt:i4>7929960</vt:i4>
      </vt:variant>
      <vt:variant>
        <vt:i4>12</vt:i4>
      </vt:variant>
      <vt:variant>
        <vt:i4>0</vt:i4>
      </vt:variant>
      <vt:variant>
        <vt:i4>5</vt:i4>
      </vt:variant>
      <vt:variant>
        <vt:lpwstr>https://www.stylemanual.gov.au/content-types/easy-read</vt:lpwstr>
      </vt:variant>
      <vt:variant>
        <vt:lpwstr/>
      </vt:variant>
      <vt:variant>
        <vt:i4>4456520</vt:i4>
      </vt:variant>
      <vt:variant>
        <vt:i4>9</vt:i4>
      </vt:variant>
      <vt:variant>
        <vt:i4>0</vt:i4>
      </vt:variant>
      <vt:variant>
        <vt:i4>5</vt:i4>
      </vt:variant>
      <vt:variant>
        <vt:lpwstr>https://www.stylemanual.gov.au/writing-and-designing-content/clear-language-and-writing-style/plain-language-and-word-choice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Reoch</dc:creator>
  <cp:keywords/>
  <cp:lastModifiedBy>Audrey Reoch</cp:lastModifiedBy>
  <cp:revision>341</cp:revision>
  <cp:lastPrinted>2024-10-23T01:28:00Z</cp:lastPrinted>
  <dcterms:created xsi:type="dcterms:W3CDTF">2024-10-18T14:48:00Z</dcterms:created>
  <dcterms:modified xsi:type="dcterms:W3CDTF">2024-10-23T01:41:00Z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