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5A7CA3" w14:textId="77777777" w:rsidR="002C0AE1" w:rsidRPr="002C5882" w:rsidRDefault="002C0AE1" w:rsidP="002C0AE1">
      <w:pPr>
        <w:pStyle w:val="Letterhead1"/>
      </w:pPr>
      <w:bookmarkStart w:id="0" w:name="_Hlk95835868"/>
      <w:r w:rsidRPr="00CF0438">
        <w:rPr>
          <w:noProof/>
        </w:rPr>
        <w:drawing>
          <wp:anchor distT="0" distB="0" distL="114300" distR="114300" simplePos="0" relativeHeight="251658243" behindDoc="1" locked="0" layoutInCell="1" allowOverlap="1" wp14:anchorId="3859FFBB" wp14:editId="6FB47D27">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7A32214C" wp14:editId="7034629B">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24B7DA35" wp14:editId="3C3AED82">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3BB66E4A" wp14:editId="60B1F375">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25D5C2E5" wp14:editId="14A29A8B">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t>www.</w:t>
      </w:r>
      <w:r w:rsidRPr="002C5882">
        <w:t>accan</w:t>
      </w:r>
      <w:r w:rsidRPr="00CF0438">
        <w:t>.org.</w:t>
      </w:r>
      <w:r w:rsidRPr="002C5882">
        <w:t>au</w:t>
      </w:r>
    </w:p>
    <w:p w14:paraId="686C670F" w14:textId="77777777" w:rsidR="002C0AE1" w:rsidRPr="002C5882" w:rsidRDefault="002C0AE1" w:rsidP="002C0AE1">
      <w:pPr>
        <w:pStyle w:val="Letterhead1"/>
      </w:pPr>
      <w:r>
        <w:t>i</w:t>
      </w:r>
      <w:r w:rsidRPr="002C5882">
        <w:t>nfo@accan.org.au</w:t>
      </w:r>
    </w:p>
    <w:p w14:paraId="21BA8F3B" w14:textId="77777777" w:rsidR="002C0AE1" w:rsidRPr="002C5882" w:rsidRDefault="002C0AE1" w:rsidP="002C0AE1">
      <w:pPr>
        <w:pStyle w:val="Letterhead1"/>
      </w:pPr>
      <w:r w:rsidRPr="002C5882">
        <w:t>02 9288 4000</w:t>
      </w:r>
    </w:p>
    <w:p w14:paraId="0D1589AD" w14:textId="77777777" w:rsidR="002C0AE1" w:rsidRPr="00CD2EA0" w:rsidRDefault="002C0AE1" w:rsidP="002C0AE1">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3D0F87AF" wp14:editId="17D51F77">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379" style="position:absolute;margin-left:-49.4pt;margin-top:131.95pt;width:542.7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31B39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bookmarkEnd w:id="0"/>
    <w:p w14:paraId="0E4F7104" w14:textId="6F7EB812" w:rsidR="002C0AE1" w:rsidRDefault="002C0AE1" w:rsidP="002C0AE1">
      <w:pPr>
        <w:tabs>
          <w:tab w:val="right" w:pos="9026"/>
        </w:tabs>
      </w:pPr>
      <w:r>
        <w:br/>
      </w:r>
      <w:r w:rsidR="00525A81" w:rsidRPr="00525A81">
        <w:rPr>
          <w:rFonts w:ascii="Verdana" w:hAnsi="Verdana"/>
          <w:b/>
          <w:color w:val="186D83"/>
          <w:sz w:val="32"/>
          <w:szCs w:val="36"/>
          <w14:textOutline w14:w="3175" w14:cap="rnd" w14:cmpd="sng" w14:algn="ctr">
            <w14:solidFill>
              <w14:schemeClr w14:val="accent1"/>
            </w14:solidFill>
            <w14:prstDash w14:val="solid"/>
            <w14:bevel/>
          </w14:textOutline>
        </w:rPr>
        <w:t>Submission</w:t>
      </w:r>
      <w:r>
        <w:tab/>
      </w:r>
      <w:r w:rsidR="00062E0E">
        <w:rPr>
          <w:rStyle w:val="DocDateChar"/>
        </w:rPr>
        <w:t>5 June</w:t>
      </w:r>
      <w:r w:rsidR="00C45C20">
        <w:rPr>
          <w:rStyle w:val="DocDateChar"/>
        </w:rPr>
        <w:t xml:space="preserve"> 2024</w:t>
      </w:r>
    </w:p>
    <w:p w14:paraId="3DB8FF0C" w14:textId="2BE85810" w:rsidR="00C45A1F" w:rsidRDefault="00C45A1F" w:rsidP="009A4BBA">
      <w:pPr>
        <w:pStyle w:val="NoSpacing"/>
      </w:pPr>
      <w:r>
        <w:rPr>
          <w:szCs w:val="20"/>
        </w:rPr>
        <w:t>Sean McQuee</w:t>
      </w:r>
      <w:r>
        <w:t>n</w:t>
      </w:r>
    </w:p>
    <w:p w14:paraId="743A3086" w14:textId="2E62500B" w:rsidR="00A241EB" w:rsidRDefault="0088529D" w:rsidP="009A4BBA">
      <w:pPr>
        <w:pStyle w:val="NoSpacing"/>
      </w:pPr>
      <w:r>
        <w:t xml:space="preserve">Manager </w:t>
      </w:r>
    </w:p>
    <w:p w14:paraId="00780B91" w14:textId="60B8951A" w:rsidR="0088529D" w:rsidRDefault="0088529D" w:rsidP="009A4BBA">
      <w:pPr>
        <w:pStyle w:val="NoSpacing"/>
      </w:pPr>
      <w:r>
        <w:t>Expiring Spectrum Licen</w:t>
      </w:r>
      <w:r w:rsidR="00D765C6">
        <w:t>c</w:t>
      </w:r>
      <w:r>
        <w:t>es</w:t>
      </w:r>
    </w:p>
    <w:p w14:paraId="1ACEE8FD" w14:textId="2D44A69F" w:rsidR="002C0AE1" w:rsidRDefault="009A4BBA" w:rsidP="009A4BBA">
      <w:pPr>
        <w:pStyle w:val="NoSpacing"/>
      </w:pPr>
      <w:r>
        <w:t xml:space="preserve">Australian Communications and Media Authority </w:t>
      </w:r>
    </w:p>
    <w:p w14:paraId="0ECCEDDB" w14:textId="77777777" w:rsidR="002C0AE1" w:rsidRDefault="002C0AE1" w:rsidP="002C0AE1">
      <w:pPr>
        <w:spacing w:after="0" w:line="240" w:lineRule="auto"/>
      </w:pPr>
    </w:p>
    <w:p w14:paraId="66CDAA05" w14:textId="77B156E7" w:rsidR="002C0AE1" w:rsidRDefault="002C0AE1" w:rsidP="002C0AE1">
      <w:pPr>
        <w:jc w:val="center"/>
        <w:rPr>
          <w:b/>
          <w:bCs/>
        </w:rPr>
      </w:pPr>
      <w:r w:rsidRPr="05115472">
        <w:rPr>
          <w:b/>
          <w:bCs/>
        </w:rPr>
        <w:t xml:space="preserve">Re: </w:t>
      </w:r>
      <w:r w:rsidR="00B86665" w:rsidRPr="00B86665">
        <w:rPr>
          <w:b/>
          <w:bCs/>
        </w:rPr>
        <w:t>Expiring spectrum licences (stage 2) – information gathering, and views on uses of frequency bands and alternative licence conditions</w:t>
      </w:r>
    </w:p>
    <w:p w14:paraId="7B007C3F" w14:textId="3B81867B" w:rsidR="002C0AE1" w:rsidRDefault="002C0AE1" w:rsidP="002C0AE1">
      <w:r>
        <w:t>The Australian Communications Consumer Action Network (</w:t>
      </w:r>
      <w:r w:rsidRPr="000304FA">
        <w:rPr>
          <w:b/>
          <w:bCs/>
        </w:rPr>
        <w:t>ACCAN</w:t>
      </w:r>
      <w:r>
        <w:t xml:space="preserve">) thanks </w:t>
      </w:r>
      <w:r w:rsidR="009C4FFD">
        <w:t>the Australian Communications and Media Authority</w:t>
      </w:r>
      <w:r w:rsidR="00B76EA0">
        <w:t xml:space="preserve"> (</w:t>
      </w:r>
      <w:r w:rsidR="00B76EA0" w:rsidRPr="000304FA">
        <w:rPr>
          <w:b/>
          <w:bCs/>
        </w:rPr>
        <w:t>ACMA</w:t>
      </w:r>
      <w:r w:rsidR="00B76EA0">
        <w:t>)</w:t>
      </w:r>
      <w:r>
        <w:t xml:space="preserve"> for the opportunity to comment on </w:t>
      </w:r>
      <w:r w:rsidR="009C4FFD" w:rsidRPr="009C4FFD">
        <w:t xml:space="preserve">Expiring spectrum licences (stage 2) </w:t>
      </w:r>
      <w:r w:rsidR="000E6F2E">
        <w:t>consultation paper</w:t>
      </w:r>
      <w:r w:rsidR="000D5950">
        <w:t xml:space="preserve"> (</w:t>
      </w:r>
      <w:r w:rsidR="000D5950" w:rsidRPr="000D5950">
        <w:rPr>
          <w:b/>
          <w:bCs/>
        </w:rPr>
        <w:t>the Consultation Paper</w:t>
      </w:r>
      <w:r w:rsidR="000D5950">
        <w:t xml:space="preserve">). </w:t>
      </w:r>
    </w:p>
    <w:p w14:paraId="5CAB7572" w14:textId="77777777" w:rsidR="002C0AE1" w:rsidRDefault="002C0AE1" w:rsidP="002C0AE1">
      <w: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21238D3E" w14:textId="25A135F3" w:rsidR="00616FE8" w:rsidRDefault="0004644D" w:rsidP="002C0AE1">
      <w:r>
        <w:t xml:space="preserve">The framework for planning and allocating spectrum underpins the efficient delivery of communications services in the interests of consumers, small </w:t>
      </w:r>
      <w:r w:rsidR="00A12353">
        <w:t>businesses,</w:t>
      </w:r>
      <w:r>
        <w:t xml:space="preserve"> and the broader community as end users of spectrum. Fit-for-purpose planning and allocation frameworks are critical to </w:t>
      </w:r>
      <w:r w:rsidR="00C21CDF">
        <w:t xml:space="preserve">promote the </w:t>
      </w:r>
      <w:r w:rsidR="007F0E59">
        <w:t xml:space="preserve">public </w:t>
      </w:r>
      <w:r>
        <w:t>interest through the allocation of</w:t>
      </w:r>
      <w:r w:rsidR="00C21CDF">
        <w:t xml:space="preserve"> </w:t>
      </w:r>
      <w:r>
        <w:t>finite spectrum resources</w:t>
      </w:r>
      <w:r w:rsidR="00C21CDF">
        <w:t>.</w:t>
      </w:r>
    </w:p>
    <w:p w14:paraId="33F15B39" w14:textId="78F39AAB" w:rsidR="003C5819" w:rsidRDefault="00C9189E" w:rsidP="002C0AE1">
      <w:r>
        <w:t>ACCAN supports the ACMA’s finalised expiring spectrum licence (</w:t>
      </w:r>
      <w:r w:rsidRPr="001852BF">
        <w:rPr>
          <w:b/>
          <w:bCs/>
        </w:rPr>
        <w:t>ESL</w:t>
      </w:r>
      <w:r>
        <w:t xml:space="preserve">) stage 2 information gathering </w:t>
      </w:r>
      <w:r w:rsidR="007532A2">
        <w:t>framework</w:t>
      </w:r>
      <w:r>
        <w:t xml:space="preserve"> and its public interest criteria (</w:t>
      </w:r>
      <w:r w:rsidRPr="001852BF">
        <w:rPr>
          <w:b/>
          <w:bCs/>
        </w:rPr>
        <w:t>PIC</w:t>
      </w:r>
      <w:r>
        <w:t xml:space="preserve">) as outlined in the Consultation Paper. </w:t>
      </w:r>
      <w:r w:rsidR="00F07C1A">
        <w:t>ACCAN recommends that the ACMA:</w:t>
      </w:r>
    </w:p>
    <w:p w14:paraId="00F6484F" w14:textId="33F7089E" w:rsidR="00247E93" w:rsidRDefault="00247E93" w:rsidP="00F07C1A">
      <w:pPr>
        <w:pStyle w:val="ListParagraph"/>
        <w:numPr>
          <w:ilvl w:val="0"/>
          <w:numId w:val="40"/>
        </w:numPr>
      </w:pPr>
      <w:r>
        <w:t xml:space="preserve">Use mandatory information requests in instances where sufficient </w:t>
      </w:r>
      <w:r w:rsidR="002B4FEE">
        <w:t xml:space="preserve">spectrum </w:t>
      </w:r>
      <w:r w:rsidR="003A3C32">
        <w:t xml:space="preserve">use </w:t>
      </w:r>
      <w:r>
        <w:t>information is not provided</w:t>
      </w:r>
      <w:r w:rsidR="00663DC2">
        <w:t xml:space="preserve"> by licensees </w:t>
      </w:r>
      <w:r>
        <w:t>and th</w:t>
      </w:r>
      <w:r w:rsidR="003A3C32">
        <w:t>at</w:t>
      </w:r>
      <w:r>
        <w:t xml:space="preserve"> information is of material relevance to </w:t>
      </w:r>
      <w:r w:rsidR="00663DC2">
        <w:t>ACMA</w:t>
      </w:r>
      <w:r w:rsidR="00F00434">
        <w:t xml:space="preserve">’s spectrum planning and allocation activities. </w:t>
      </w:r>
      <w:r w:rsidR="00663DC2">
        <w:t xml:space="preserve"> </w:t>
      </w:r>
      <w:r>
        <w:t xml:space="preserve"> </w:t>
      </w:r>
    </w:p>
    <w:p w14:paraId="721C0302" w14:textId="58FE7DCA" w:rsidR="002A1FFE" w:rsidRDefault="002A1FFE" w:rsidP="00F07C1A">
      <w:pPr>
        <w:pStyle w:val="ListParagraph"/>
        <w:numPr>
          <w:ilvl w:val="0"/>
          <w:numId w:val="40"/>
        </w:numPr>
      </w:pPr>
      <w:r>
        <w:t xml:space="preserve">Consider the use of </w:t>
      </w:r>
      <w:r w:rsidR="002F228B">
        <w:t>‘use it or lose it’ (</w:t>
      </w:r>
      <w:r w:rsidR="002F228B" w:rsidRPr="001B7B21">
        <w:rPr>
          <w:b/>
          <w:bCs/>
        </w:rPr>
        <w:t>UIOLI</w:t>
      </w:r>
      <w:r w:rsidR="002B4FEE">
        <w:t xml:space="preserve">), </w:t>
      </w:r>
      <w:r w:rsidR="002B4FEE" w:rsidRPr="002A1FFE">
        <w:t>‘</w:t>
      </w:r>
      <w:r w:rsidR="002F228B">
        <w:t xml:space="preserve">use it or </w:t>
      </w:r>
      <w:r w:rsidR="000522C2">
        <w:t>share</w:t>
      </w:r>
      <w:r w:rsidR="002F228B">
        <w:t xml:space="preserve"> it’ (</w:t>
      </w:r>
      <w:r w:rsidRPr="000304FA">
        <w:rPr>
          <w:b/>
          <w:bCs/>
        </w:rPr>
        <w:t>UIOSI</w:t>
      </w:r>
      <w:r w:rsidR="002F228B">
        <w:t>)</w:t>
      </w:r>
      <w:r w:rsidRPr="002A1FFE">
        <w:t xml:space="preserve"> licence conditions </w:t>
      </w:r>
      <w:r w:rsidR="00663DC2">
        <w:t>and rollout obligations</w:t>
      </w:r>
      <w:r w:rsidRPr="002A1FFE">
        <w:t xml:space="preserve"> </w:t>
      </w:r>
      <w:r w:rsidR="00A01F1B">
        <w:t>to</w:t>
      </w:r>
      <w:r w:rsidRPr="002A1FFE">
        <w:t xml:space="preserve"> support </w:t>
      </w:r>
      <w:r w:rsidR="00B44D21">
        <w:t>the</w:t>
      </w:r>
      <w:r w:rsidRPr="002A1FFE">
        <w:t xml:space="preserve"> </w:t>
      </w:r>
      <w:r w:rsidR="002B4FEE">
        <w:t>PIC</w:t>
      </w:r>
      <w:r w:rsidRPr="002A1FFE">
        <w:t xml:space="preserve"> and </w:t>
      </w:r>
      <w:r w:rsidR="00B14A2E">
        <w:t xml:space="preserve">promote </w:t>
      </w:r>
      <w:r w:rsidRPr="002A1FFE">
        <w:t>competiti</w:t>
      </w:r>
      <w:r w:rsidR="00A01F1B">
        <w:t>on</w:t>
      </w:r>
      <w:r w:rsidR="002B4FEE">
        <w:t>.</w:t>
      </w:r>
      <w:r w:rsidR="00A01F1B">
        <w:t xml:space="preserve"> </w:t>
      </w:r>
    </w:p>
    <w:p w14:paraId="045F681D" w14:textId="7E16FEFF" w:rsidR="00FE1054" w:rsidRDefault="00BE52E5" w:rsidP="003C4848">
      <w:pPr>
        <w:pStyle w:val="ListParagraph"/>
        <w:numPr>
          <w:ilvl w:val="0"/>
          <w:numId w:val="40"/>
        </w:numPr>
      </w:pPr>
      <w:r>
        <w:t>Upon licence activation, i</w:t>
      </w:r>
      <w:r w:rsidR="003C4848">
        <w:t xml:space="preserve">ssue mandatory </w:t>
      </w:r>
      <w:r w:rsidR="002B4FEE">
        <w:t xml:space="preserve">spectrum </w:t>
      </w:r>
      <w:proofErr w:type="gramStart"/>
      <w:r w:rsidR="002B4FEE">
        <w:t>use</w:t>
      </w:r>
      <w:proofErr w:type="gramEnd"/>
      <w:r w:rsidR="002B4FEE">
        <w:t xml:space="preserve"> </w:t>
      </w:r>
      <w:r w:rsidR="003C4848">
        <w:t>information requests to</w:t>
      </w:r>
      <w:r w:rsidR="00FE1054">
        <w:t xml:space="preserve"> secondary licence holders</w:t>
      </w:r>
      <w:r w:rsidR="00F41934">
        <w:t xml:space="preserve">. </w:t>
      </w:r>
    </w:p>
    <w:p w14:paraId="7937D562" w14:textId="7F4ECA02" w:rsidR="00BE0668" w:rsidRDefault="00BE0668" w:rsidP="00C95488">
      <w:pPr>
        <w:pStyle w:val="ListParagraph"/>
        <w:numPr>
          <w:ilvl w:val="0"/>
          <w:numId w:val="40"/>
        </w:numPr>
      </w:pPr>
      <w:r>
        <w:t xml:space="preserve">Consider the expansion of </w:t>
      </w:r>
      <w:r w:rsidR="004D0033">
        <w:t xml:space="preserve">renewal statements which </w:t>
      </w:r>
      <w:r w:rsidR="00086B63">
        <w:t xml:space="preserve">specify </w:t>
      </w:r>
      <w:r w:rsidR="004D0033">
        <w:t>the achievement of rollout obligations</w:t>
      </w:r>
      <w:r w:rsidR="004F7B76">
        <w:t xml:space="preserve"> and investment</w:t>
      </w:r>
      <w:r w:rsidR="004D0033">
        <w:t xml:space="preserve"> as a pre-requisite for</w:t>
      </w:r>
      <w:r w:rsidR="00313CB4">
        <w:t xml:space="preserve"> consideration</w:t>
      </w:r>
      <w:r w:rsidR="004F7B76">
        <w:t xml:space="preserve"> of licence renewal</w:t>
      </w:r>
      <w:r w:rsidR="00313CB4">
        <w:t xml:space="preserve">. </w:t>
      </w:r>
    </w:p>
    <w:p w14:paraId="5ED5801C" w14:textId="6377B279" w:rsidR="00EF022C" w:rsidRDefault="002B1AAE" w:rsidP="00C95488">
      <w:pPr>
        <w:pStyle w:val="ListParagraph"/>
        <w:numPr>
          <w:ilvl w:val="0"/>
          <w:numId w:val="40"/>
        </w:numPr>
      </w:pPr>
      <w:r>
        <w:t xml:space="preserve">Continue to maintain no presumption of licence renewal. </w:t>
      </w:r>
    </w:p>
    <w:p w14:paraId="06CFFD15" w14:textId="53416B3B" w:rsidR="00CB431D" w:rsidRDefault="00CB431D" w:rsidP="002C0AE1">
      <w:pPr>
        <w:pStyle w:val="ListParagraph"/>
        <w:numPr>
          <w:ilvl w:val="0"/>
          <w:numId w:val="40"/>
        </w:numPr>
      </w:pPr>
      <w:r w:rsidRPr="00CB431D">
        <w:t>Establish license conditions that provide the ACMA proportionate tools to respond to non-compliance.</w:t>
      </w:r>
    </w:p>
    <w:p w14:paraId="07DDAA36" w14:textId="78BB9CCE" w:rsidR="00B10E59" w:rsidRDefault="00B10E59" w:rsidP="002C0AE1">
      <w:pPr>
        <w:pStyle w:val="ListParagraph"/>
        <w:numPr>
          <w:ilvl w:val="0"/>
          <w:numId w:val="40"/>
        </w:numPr>
      </w:pPr>
      <w:r>
        <w:t xml:space="preserve">Establish a review process which </w:t>
      </w:r>
      <w:r w:rsidR="002D3A0E">
        <w:t xml:space="preserve">allows the ACMA to alter the conditions of an in-force ESL. </w:t>
      </w:r>
    </w:p>
    <w:p w14:paraId="38CE6054" w14:textId="77777777" w:rsidR="00B10E59" w:rsidRDefault="00B10E59" w:rsidP="00B10E59"/>
    <w:p w14:paraId="787BB309" w14:textId="77777777" w:rsidR="00B10E59" w:rsidRDefault="00B10E59" w:rsidP="00B10E59"/>
    <w:p w14:paraId="502194CC" w14:textId="5189C409" w:rsidR="00D952BB" w:rsidRDefault="00D952BB" w:rsidP="00D952BB">
      <w:r>
        <w:lastRenderedPageBreak/>
        <w:t>As the expectations of communications consumers evolve and</w:t>
      </w:r>
      <w:r w:rsidR="009276B3">
        <w:t xml:space="preserve"> the use of</w:t>
      </w:r>
      <w:r>
        <w:t xml:space="preserve"> spectrum expands to meet these needs, </w:t>
      </w:r>
      <w:r w:rsidR="00F824EF">
        <w:t>n</w:t>
      </w:r>
      <w:r w:rsidR="00CB431D">
        <w:t>uanced</w:t>
      </w:r>
      <w:r w:rsidR="00F824EF">
        <w:t xml:space="preserve"> approaches</w:t>
      </w:r>
      <w:r w:rsidR="0048784D">
        <w:t xml:space="preserve"> are required to consider how licences and other tools </w:t>
      </w:r>
      <w:r w:rsidR="00F502C1">
        <w:t>can be used to produce public value</w:t>
      </w:r>
      <w:r w:rsidR="001E2896">
        <w:t>, promote the long-term public interest</w:t>
      </w:r>
      <w:r w:rsidR="00F502C1">
        <w:t xml:space="preserve"> </w:t>
      </w:r>
      <w:r w:rsidR="00BC52D5">
        <w:t xml:space="preserve">and support </w:t>
      </w:r>
      <w:r w:rsidR="00F502C1">
        <w:t>spectrum</w:t>
      </w:r>
      <w:r w:rsidR="009276B3">
        <w:t xml:space="preserve"> end users</w:t>
      </w:r>
      <w:r w:rsidR="00F502C1">
        <w:t xml:space="preserve">. </w:t>
      </w:r>
      <w:r w:rsidR="00F824EF">
        <w:t xml:space="preserve"> </w:t>
      </w:r>
    </w:p>
    <w:p w14:paraId="6AC5F3D3" w14:textId="078137CF" w:rsidR="003C5819" w:rsidRDefault="003C5819" w:rsidP="002C0AE1">
      <w:r>
        <w:t xml:space="preserve">Please see </w:t>
      </w:r>
      <w:r w:rsidRPr="000304FA">
        <w:rPr>
          <w:b/>
          <w:bCs/>
        </w:rPr>
        <w:t>Attachment A</w:t>
      </w:r>
      <w:r>
        <w:t xml:space="preserve"> for our response to the questions set out </w:t>
      </w:r>
      <w:r w:rsidR="00D15037">
        <w:t>in</w:t>
      </w:r>
      <w:r>
        <w:t xml:space="preserve"> the Consultation Paper.</w:t>
      </w:r>
    </w:p>
    <w:p w14:paraId="36C2F776" w14:textId="77777777" w:rsidR="00C9189E" w:rsidRDefault="00C9189E" w:rsidP="00C9189E">
      <w:r>
        <w:t xml:space="preserve">We thank the ACMA for the opportunity to comment on the Consultation Paper. Should you wish to discuss any of the issues raised in this submission further, please do not hesitate to contact me at </w:t>
      </w:r>
      <w:hyperlink r:id="rId21" w:history="1">
        <w:r w:rsidRPr="00A03B3D">
          <w:rPr>
            <w:rStyle w:val="Hyperlink"/>
          </w:rPr>
          <w:t>con.gouskos@accan.org.au</w:t>
        </w:r>
      </w:hyperlink>
      <w:r>
        <w:t xml:space="preserve">. </w:t>
      </w:r>
    </w:p>
    <w:p w14:paraId="709C35C4" w14:textId="77777777" w:rsidR="00C9189E" w:rsidRDefault="00C9189E" w:rsidP="00C9189E">
      <w:pPr>
        <w:pStyle w:val="NoSpacing"/>
      </w:pPr>
      <w:r>
        <w:t>Yours sincerely,</w:t>
      </w:r>
    </w:p>
    <w:p w14:paraId="33C7A07B" w14:textId="77777777" w:rsidR="00C9189E" w:rsidRDefault="00C9189E" w:rsidP="00C9189E">
      <w:pPr>
        <w:pStyle w:val="NoSpacing"/>
      </w:pPr>
    </w:p>
    <w:p w14:paraId="0C646754" w14:textId="77777777" w:rsidR="00C9189E" w:rsidRPr="00A263E5" w:rsidRDefault="00C9189E" w:rsidP="00C9189E">
      <w:pPr>
        <w:pStyle w:val="NoSpacing"/>
      </w:pPr>
      <w:r>
        <w:t>Con Gouskos</w:t>
      </w:r>
    </w:p>
    <w:p w14:paraId="02DCB06D" w14:textId="77777777" w:rsidR="00C9189E" w:rsidRDefault="00C9189E" w:rsidP="00C9189E">
      <w:pPr>
        <w:pStyle w:val="NoSpacing"/>
      </w:pPr>
      <w:r>
        <w:t>Policy Adviser</w:t>
      </w:r>
    </w:p>
    <w:p w14:paraId="7F8D6BB1" w14:textId="77777777" w:rsidR="00C9189E" w:rsidRDefault="00C9189E" w:rsidP="002C0AE1"/>
    <w:p w14:paraId="194E3364" w14:textId="77777777" w:rsidR="00C85E8B" w:rsidRDefault="00C85E8B">
      <w:pPr>
        <w:rPr>
          <w:rFonts w:cstheme="minorHAnsi"/>
          <w:sz w:val="32"/>
          <w:szCs w:val="32"/>
        </w:rPr>
      </w:pPr>
      <w:r>
        <w:br w:type="page"/>
      </w:r>
    </w:p>
    <w:p w14:paraId="4B90D547" w14:textId="1614069B" w:rsidR="005C4FE5" w:rsidRDefault="003C5819" w:rsidP="000304FA">
      <w:pPr>
        <w:pStyle w:val="Heading1"/>
      </w:pPr>
      <w:r>
        <w:lastRenderedPageBreak/>
        <w:t>Attachment A</w:t>
      </w:r>
    </w:p>
    <w:p w14:paraId="57D04B55" w14:textId="2B944092" w:rsidR="00004F71" w:rsidRDefault="007E25BF">
      <w:pPr>
        <w:pStyle w:val="Heading2"/>
      </w:pPr>
      <w:r>
        <w:t>Spectrum use information requests</w:t>
      </w:r>
    </w:p>
    <w:p w14:paraId="56961242" w14:textId="4A98FFB6" w:rsidR="00010190" w:rsidRPr="00010190" w:rsidRDefault="00010190" w:rsidP="00010190">
      <w:r>
        <w:t>ACCAN supports the ACMA</w:t>
      </w:r>
      <w:r w:rsidR="000D55B9">
        <w:t>’s</w:t>
      </w:r>
      <w:r>
        <w:t xml:space="preserve"> </w:t>
      </w:r>
      <w:r w:rsidR="00AC0CB0">
        <w:t xml:space="preserve">proposal to </w:t>
      </w:r>
      <w:r>
        <w:t>request</w:t>
      </w:r>
      <w:r w:rsidR="00CB29B8">
        <w:t xml:space="preserve"> </w:t>
      </w:r>
      <w:r>
        <w:t>incumbent and prospective licensees</w:t>
      </w:r>
      <w:r w:rsidR="00CC399E">
        <w:t xml:space="preserve"> </w:t>
      </w:r>
      <w:r>
        <w:t>demonstrate ‘</w:t>
      </w:r>
      <w:r w:rsidRPr="006F5DD1">
        <w:t>how their historical, current, and proposed use of the spectrum promotes the long-term public interest derived from the use of the spectrum</w:t>
      </w:r>
      <w:r>
        <w:t>’.</w:t>
      </w:r>
      <w:r>
        <w:rPr>
          <w:rStyle w:val="FootnoteReference"/>
        </w:rPr>
        <w:footnoteReference w:id="2"/>
      </w:r>
      <w:r>
        <w:t xml:space="preserve"> Ensuring that incumbent and prospective licensees adequately inform the ACMA of their spectrum use will improve the effectiveness and accountability of the spectrum planning and allocation </w:t>
      </w:r>
      <w:r w:rsidR="003333E3">
        <w:t>framework</w:t>
      </w:r>
      <w:r>
        <w:t>. ACCAN supports the information gathering exercises proposed by the ACMA as a component of improving the competitiveness of the spectrum market, the facilitation of the PIC and providing greater value for telecommunications consumers as end users of spectrum.</w:t>
      </w:r>
    </w:p>
    <w:p w14:paraId="7C35D059" w14:textId="3023BC8B" w:rsidR="00010190" w:rsidRDefault="00D86FFD" w:rsidP="00FC5E77">
      <w:r>
        <w:t>The ACMA</w:t>
      </w:r>
      <w:r w:rsidR="007372C1">
        <w:t>’s</w:t>
      </w:r>
      <w:r>
        <w:t xml:space="preserve"> access to </w:t>
      </w:r>
      <w:r w:rsidR="00E32DA8">
        <w:t>accurate,</w:t>
      </w:r>
      <w:r>
        <w:t xml:space="preserve"> timely and comprehensive information from incumbent and prospective licensees is critical to facilitat</w:t>
      </w:r>
      <w:r w:rsidR="008B2C16">
        <w:t>ing</w:t>
      </w:r>
      <w:r>
        <w:t xml:space="preserve"> effective </w:t>
      </w:r>
      <w:r w:rsidR="003A0A59">
        <w:t xml:space="preserve">spectrum planning </w:t>
      </w:r>
      <w:r w:rsidR="005B01CA">
        <w:t>decision</w:t>
      </w:r>
      <w:r>
        <w:t xml:space="preserve"> making</w:t>
      </w:r>
      <w:r w:rsidR="005B01CA">
        <w:t xml:space="preserve">. </w:t>
      </w:r>
      <w:r>
        <w:t xml:space="preserve"> </w:t>
      </w:r>
      <w:r w:rsidR="008A3D97">
        <w:t xml:space="preserve">The </w:t>
      </w:r>
      <w:r w:rsidR="000C7342">
        <w:t xml:space="preserve">ACMA’s </w:t>
      </w:r>
      <w:r w:rsidR="008A3D97">
        <w:t xml:space="preserve">compliance and PIC objectives may be more comprehensively fulfilled </w:t>
      </w:r>
      <w:proofErr w:type="gramStart"/>
      <w:r w:rsidR="008A3D97">
        <w:t>through the use of</w:t>
      </w:r>
      <w:proofErr w:type="gramEnd"/>
      <w:r w:rsidR="008A3D97">
        <w:t xml:space="preserve"> mandatory spectrum use information requests. </w:t>
      </w:r>
      <w:r w:rsidR="00DB1DB0">
        <w:t>Man</w:t>
      </w:r>
      <w:r w:rsidR="005D7B89">
        <w:t xml:space="preserve">datory information requests would have utility with respect to spectrum allocations </w:t>
      </w:r>
      <w:r w:rsidR="00391F33">
        <w:t>of high value or</w:t>
      </w:r>
      <w:r w:rsidR="00216ACF">
        <w:t xml:space="preserve"> </w:t>
      </w:r>
      <w:r w:rsidR="00CC4473">
        <w:t>competitive importance</w:t>
      </w:r>
      <w:r w:rsidR="00391F33">
        <w:t xml:space="preserve"> or </w:t>
      </w:r>
      <w:r w:rsidR="00431616">
        <w:t>in instances</w:t>
      </w:r>
      <w:r w:rsidR="00391F33">
        <w:t xml:space="preserve"> </w:t>
      </w:r>
      <w:r w:rsidR="00431616">
        <w:t>where the</w:t>
      </w:r>
      <w:r w:rsidR="00391F33">
        <w:t xml:space="preserve"> ACMA is not receiving adequate information from incumbent or prospective licensees</w:t>
      </w:r>
      <w:r w:rsidR="00FC5E77">
        <w:t>.</w:t>
      </w:r>
      <w:r w:rsidR="00FC5E77">
        <w:rPr>
          <w:rStyle w:val="FootnoteReference"/>
        </w:rPr>
        <w:footnoteReference w:id="3"/>
      </w:r>
      <w:r w:rsidR="00FC5E77">
        <w:t xml:space="preserve"> </w:t>
      </w:r>
    </w:p>
    <w:p w14:paraId="09741DA4" w14:textId="5C4DDFEC" w:rsidR="008F1757" w:rsidRDefault="00292EF6" w:rsidP="002C0AE1">
      <w:r>
        <w:t>Mandatory information requests</w:t>
      </w:r>
      <w:r w:rsidR="003327A2">
        <w:t>, provided in a commercial-in co</w:t>
      </w:r>
      <w:r w:rsidR="00400DD8">
        <w:t>nfidence manner</w:t>
      </w:r>
      <w:r>
        <w:t xml:space="preserve"> would be an </w:t>
      </w:r>
      <w:r w:rsidR="00CF02FC">
        <w:t xml:space="preserve">effective mechanism to support genuine consideration of the PIC by </w:t>
      </w:r>
      <w:r w:rsidR="00A3070F">
        <w:t>incumbent and prospective licensees in addition to supporting the ACMA in its regulatory activities.</w:t>
      </w:r>
      <w:r w:rsidR="0061785C">
        <w:t xml:space="preserve"> </w:t>
      </w:r>
      <w:r w:rsidR="00E22973">
        <w:t>To facilitate thi</w:t>
      </w:r>
      <w:r w:rsidR="00501A0A">
        <w:t>s</w:t>
      </w:r>
      <w:r w:rsidR="006508A3">
        <w:t xml:space="preserve">, </w:t>
      </w:r>
      <w:r w:rsidR="00501A0A">
        <w:t>the</w:t>
      </w:r>
      <w:r w:rsidR="006F22CE">
        <w:t xml:space="preserve"> ACMA should </w:t>
      </w:r>
      <w:proofErr w:type="gramStart"/>
      <w:r w:rsidR="00501A0A">
        <w:t>give consideration to</w:t>
      </w:r>
      <w:proofErr w:type="gramEnd"/>
      <w:r w:rsidR="00501A0A">
        <w:t xml:space="preserve"> </w:t>
      </w:r>
      <w:r w:rsidR="00EA749C">
        <w:t>specify</w:t>
      </w:r>
      <w:r w:rsidR="006E0667">
        <w:t>ing</w:t>
      </w:r>
      <w:r w:rsidR="00EA749C">
        <w:t xml:space="preserve"> which ‘information and documents that must be provided when making an application</w:t>
      </w:r>
      <w:r w:rsidR="004819CE">
        <w:t>.</w:t>
      </w:r>
      <w:r w:rsidR="00EA749C">
        <w:t>’</w:t>
      </w:r>
      <w:r w:rsidR="00EA749C">
        <w:rPr>
          <w:rStyle w:val="FootnoteReference"/>
        </w:rPr>
        <w:footnoteReference w:id="4"/>
      </w:r>
      <w:r w:rsidR="00930129">
        <w:t xml:space="preserve"> </w:t>
      </w:r>
    </w:p>
    <w:p w14:paraId="59777558" w14:textId="0FF24883" w:rsidR="00F12D8B" w:rsidRDefault="00F12D8B" w:rsidP="002C0AE1">
      <w:r>
        <w:t xml:space="preserve">The ACMA should </w:t>
      </w:r>
      <w:proofErr w:type="gramStart"/>
      <w:r>
        <w:t>give consideration to</w:t>
      </w:r>
      <w:proofErr w:type="gramEnd"/>
      <w:r>
        <w:t xml:space="preserve"> facilitating the </w:t>
      </w:r>
      <w:r w:rsidR="00650CC2">
        <w:t xml:space="preserve">standardisation of spectrum licence information to better facilitate the comparison and scrutinization of </w:t>
      </w:r>
      <w:r w:rsidR="12DA7C6C">
        <w:t xml:space="preserve">utilisation </w:t>
      </w:r>
      <w:r w:rsidR="00650CC2">
        <w:t xml:space="preserve">information provided by incumbent and prospective licensees. </w:t>
      </w:r>
      <w:r w:rsidR="00BC4E24">
        <w:t xml:space="preserve">In combination with the implementation of mandatory information requests, the implementation of standardised licence information may grateful improve the ACMA’s efficiency in undertaking future spectrum licence reviews. </w:t>
      </w:r>
    </w:p>
    <w:p w14:paraId="07AA083E" w14:textId="46FD7EA4" w:rsidR="006E6DC0" w:rsidRDefault="00FC5E77" w:rsidP="00832C2A">
      <w:r>
        <w:t>A</w:t>
      </w:r>
      <w:r w:rsidR="00E366A6">
        <w:t>CCAN supports the</w:t>
      </w:r>
      <w:r w:rsidR="005E76B5">
        <w:t xml:space="preserve"> questions that the ACMA seeks to ask incumbent</w:t>
      </w:r>
      <w:r w:rsidR="0012333D">
        <w:t xml:space="preserve"> and prospective licensees.</w:t>
      </w:r>
      <w:r w:rsidR="0012333D">
        <w:rPr>
          <w:rStyle w:val="FootnoteReference"/>
        </w:rPr>
        <w:footnoteReference w:id="5"/>
      </w:r>
      <w:r w:rsidR="0012333D">
        <w:t xml:space="preserve"> </w:t>
      </w:r>
      <w:r w:rsidR="005B304A">
        <w:t>Noting the Consultation Paper</w:t>
      </w:r>
      <w:r w:rsidR="0012333D">
        <w:t>’</w:t>
      </w:r>
      <w:r w:rsidR="005B304A">
        <w:t>s request for evidence and analysis related to the</w:t>
      </w:r>
      <w:r w:rsidR="00700FFA">
        <w:t xml:space="preserve"> ‘</w:t>
      </w:r>
      <w:r w:rsidR="00832C2A" w:rsidRPr="00832C2A">
        <w:t>uses of the spectrum that address digital inclusion for First Nations Australians</w:t>
      </w:r>
      <w:r w:rsidR="00832C2A">
        <w:t>’</w:t>
      </w:r>
      <w:r w:rsidR="00DA6276">
        <w:t xml:space="preserve">, </w:t>
      </w:r>
      <w:r w:rsidR="006B5EAD">
        <w:t xml:space="preserve">it </w:t>
      </w:r>
      <w:r w:rsidR="00341D10">
        <w:t xml:space="preserve">is </w:t>
      </w:r>
      <w:r w:rsidR="006B5EAD">
        <w:t xml:space="preserve">appropriate that the ACMA </w:t>
      </w:r>
      <w:r w:rsidR="00997FA1">
        <w:t>consider</w:t>
      </w:r>
      <w:r w:rsidR="006B5EAD">
        <w:t xml:space="preserve"> </w:t>
      </w:r>
      <w:r w:rsidR="00350961">
        <w:t>ask</w:t>
      </w:r>
      <w:r w:rsidR="00FE7C19">
        <w:t xml:space="preserve">ing this question to relevant incumbent and prospective licensees on a mandatory basis to </w:t>
      </w:r>
      <w:r w:rsidR="00FC1A1A">
        <w:t xml:space="preserve">better collate </w:t>
      </w:r>
      <w:r w:rsidR="00DA6276">
        <w:t xml:space="preserve">perspectives on </w:t>
      </w:r>
      <w:r w:rsidR="00FC1A1A">
        <w:t>improv</w:t>
      </w:r>
      <w:r w:rsidR="00DA6276">
        <w:t>ing</w:t>
      </w:r>
      <w:r w:rsidR="00FC1A1A">
        <w:t xml:space="preserve"> First Nations digital inclusion.</w:t>
      </w:r>
      <w:r w:rsidR="006E5141">
        <w:rPr>
          <w:rStyle w:val="FootnoteReference"/>
        </w:rPr>
        <w:footnoteReference w:id="6"/>
      </w:r>
      <w:r w:rsidR="00FC1A1A">
        <w:t xml:space="preserve"> </w:t>
      </w:r>
      <w:r>
        <w:t>Requiring</w:t>
      </w:r>
      <w:r w:rsidR="002A236C">
        <w:t xml:space="preserve"> appropriate incumbent and prospective licensees to address this question </w:t>
      </w:r>
      <w:r w:rsidR="00F23B49">
        <w:t xml:space="preserve">may produce significant benefits for </w:t>
      </w:r>
      <w:r w:rsidR="00C4014D">
        <w:t xml:space="preserve">relevant </w:t>
      </w:r>
      <w:r w:rsidR="00F23B49">
        <w:t xml:space="preserve">end users. </w:t>
      </w:r>
      <w:r w:rsidR="00D34389">
        <w:t>ACCAN would support publicising this information where appropriate to foster greater community engagement with the spectrum planning process</w:t>
      </w:r>
      <w:r w:rsidR="00434842">
        <w:t>,</w:t>
      </w:r>
      <w:r w:rsidR="00D34389">
        <w:t xml:space="preserve"> in addition to </w:t>
      </w:r>
      <w:r w:rsidR="00B20BE4">
        <w:t xml:space="preserve">enabling community and advocate stakeholders to </w:t>
      </w:r>
      <w:r w:rsidR="00F231B4">
        <w:t xml:space="preserve">examine </w:t>
      </w:r>
      <w:r w:rsidR="00DC5EBF">
        <w:t xml:space="preserve">the validity of the proposals of prospective and incumbent licence holders. </w:t>
      </w:r>
    </w:p>
    <w:p w14:paraId="7994C30B" w14:textId="77777777" w:rsidR="00BC4E24" w:rsidRDefault="00BC4E24" w:rsidP="00832C2A"/>
    <w:p w14:paraId="425A707C" w14:textId="7E9D2942" w:rsidR="005C4FE5" w:rsidRDefault="005C4FE5" w:rsidP="000304FA">
      <w:pPr>
        <w:pStyle w:val="Heading2"/>
      </w:pPr>
      <w:r>
        <w:lastRenderedPageBreak/>
        <w:t xml:space="preserve">Use It </w:t>
      </w:r>
      <w:proofErr w:type="gramStart"/>
      <w:r>
        <w:t>Or</w:t>
      </w:r>
      <w:proofErr w:type="gramEnd"/>
      <w:r>
        <w:t xml:space="preserve"> Lose It (UIOLI) and Use It Or Share It (UIOSI) licence conditions</w:t>
      </w:r>
    </w:p>
    <w:p w14:paraId="29CB0121" w14:textId="4AC38A55" w:rsidR="00114FE8" w:rsidRDefault="00D71AFB" w:rsidP="00832C2A">
      <w:r>
        <w:t xml:space="preserve">ACCAN supports the consideration of a </w:t>
      </w:r>
      <w:r w:rsidR="00CE2BA7">
        <w:t xml:space="preserve">wide </w:t>
      </w:r>
      <w:r>
        <w:t xml:space="preserve">range of alternative </w:t>
      </w:r>
      <w:r w:rsidR="00E815B0">
        <w:t>licencing</w:t>
      </w:r>
      <w:r w:rsidR="00280E88">
        <w:t xml:space="preserve"> </w:t>
      </w:r>
      <w:r w:rsidR="00E815B0">
        <w:t>arrangements</w:t>
      </w:r>
      <w:r w:rsidR="00280E88">
        <w:t xml:space="preserve"> including </w:t>
      </w:r>
      <w:r w:rsidR="00E815B0">
        <w:t xml:space="preserve">rollout obligations, </w:t>
      </w:r>
      <w:r w:rsidR="00757D96">
        <w:t>UIOLI and UIOSI licence</w:t>
      </w:r>
      <w:r w:rsidR="00E815B0">
        <w:t xml:space="preserve"> </w:t>
      </w:r>
      <w:r w:rsidR="0081200A">
        <w:t>condition</w:t>
      </w:r>
      <w:r w:rsidR="00757D96">
        <w:t>s</w:t>
      </w:r>
      <w:r w:rsidR="00572C70">
        <w:t xml:space="preserve"> in addition to other licensing </w:t>
      </w:r>
      <w:r w:rsidR="00F27833">
        <w:t xml:space="preserve">arrangements developed by the ACMA which support a public interest </w:t>
      </w:r>
      <w:r w:rsidR="009B675B">
        <w:t xml:space="preserve">focussed </w:t>
      </w:r>
      <w:r w:rsidR="00F27833">
        <w:t xml:space="preserve">and </w:t>
      </w:r>
      <w:r w:rsidR="00CE2BA7">
        <w:t>competitive spectrum mark</w:t>
      </w:r>
      <w:r w:rsidR="00572C70">
        <w:t>et</w:t>
      </w:r>
      <w:r w:rsidR="00F27833">
        <w:t>.</w:t>
      </w:r>
      <w:r w:rsidR="00F27833">
        <w:rPr>
          <w:rStyle w:val="FootnoteReference"/>
        </w:rPr>
        <w:footnoteReference w:id="7"/>
      </w:r>
      <w:r w:rsidR="00785C82">
        <w:t xml:space="preserve"> </w:t>
      </w:r>
      <w:r w:rsidR="00E3710D">
        <w:t xml:space="preserve">ACCAN supports the use of </w:t>
      </w:r>
      <w:r w:rsidR="00FC4341">
        <w:t xml:space="preserve">these licensing arrangements </w:t>
      </w:r>
      <w:r w:rsidR="00E3710D">
        <w:t>in conjunction with mandatory requests for spectrum use information</w:t>
      </w:r>
      <w:r w:rsidR="00131A63">
        <w:t xml:space="preserve"> where appropriate</w:t>
      </w:r>
      <w:r w:rsidR="00E3710D">
        <w:t xml:space="preserve">. </w:t>
      </w:r>
      <w:r w:rsidR="009D4E8A">
        <w:t xml:space="preserve">ACCAN considers that the adoption and use of a </w:t>
      </w:r>
      <w:r w:rsidR="00D436E1">
        <w:t xml:space="preserve">combination of </w:t>
      </w:r>
      <w:r w:rsidR="00131A63">
        <w:t xml:space="preserve">these mechanisms </w:t>
      </w:r>
      <w:r w:rsidR="00FB4E87">
        <w:t xml:space="preserve">may </w:t>
      </w:r>
      <w:r w:rsidR="00D436E1">
        <w:t>improv</w:t>
      </w:r>
      <w:r w:rsidR="009D4E8A">
        <w:t>e</w:t>
      </w:r>
      <w:r w:rsidR="00D436E1">
        <w:t xml:space="preserve"> the efficiency of spectrum utilisation</w:t>
      </w:r>
      <w:r w:rsidR="009B675B">
        <w:t xml:space="preserve">. </w:t>
      </w:r>
      <w:r w:rsidR="00DA301C">
        <w:t xml:space="preserve"> </w:t>
      </w:r>
    </w:p>
    <w:p w14:paraId="19407BB9" w14:textId="02519274" w:rsidR="00FB4E87" w:rsidRDefault="00607DCF" w:rsidP="00832C2A">
      <w:r>
        <w:t xml:space="preserve">The </w:t>
      </w:r>
      <w:r w:rsidR="00ED5E6D">
        <w:t xml:space="preserve">minimum </w:t>
      </w:r>
      <w:r>
        <w:t xml:space="preserve">utilisation </w:t>
      </w:r>
      <w:r w:rsidR="00DB515E">
        <w:t xml:space="preserve">thresholds </w:t>
      </w:r>
      <w:r>
        <w:t xml:space="preserve">of UIOLI or UIOSI </w:t>
      </w:r>
      <w:r w:rsidR="009D1828">
        <w:t xml:space="preserve">licence conditions will be critical to their effectiveness in promoting </w:t>
      </w:r>
      <w:r w:rsidR="00ED5E6D">
        <w:t xml:space="preserve">efficient spectrum use amongst licence holders. Minimum utilisation </w:t>
      </w:r>
      <w:r w:rsidR="00556375">
        <w:t xml:space="preserve">thresholds </w:t>
      </w:r>
      <w:r w:rsidR="00ED5E6D">
        <w:t xml:space="preserve">should be </w:t>
      </w:r>
      <w:r w:rsidR="00C62600">
        <w:t xml:space="preserve">developed </w:t>
      </w:r>
      <w:r w:rsidR="00192DDF">
        <w:t>to</w:t>
      </w:r>
      <w:r w:rsidR="00C62600">
        <w:t xml:space="preserve"> ensure that </w:t>
      </w:r>
      <w:r w:rsidR="00FA0B3C">
        <w:t xml:space="preserve">the </w:t>
      </w:r>
      <w:r w:rsidR="00556375">
        <w:t xml:space="preserve">limit </w:t>
      </w:r>
      <w:r w:rsidR="00FA0B3C">
        <w:t>of genuine minimum utilisation sufficiently provides value to end users</w:t>
      </w:r>
      <w:r w:rsidR="00103495">
        <w:t xml:space="preserve"> and satisfies the PIC</w:t>
      </w:r>
      <w:r w:rsidR="00FA0B3C">
        <w:t xml:space="preserve">. </w:t>
      </w:r>
      <w:r w:rsidR="007E0C2F">
        <w:t>ACCAN supports the ACMA establishing a review process to ensu</w:t>
      </w:r>
      <w:r w:rsidR="004E784C">
        <w:t>re</w:t>
      </w:r>
      <w:r w:rsidR="007E0C2F">
        <w:t xml:space="preserve"> that the effects on end users </w:t>
      </w:r>
      <w:r w:rsidR="00192DDF">
        <w:t>are minimised where UIOLI licence conditions are</w:t>
      </w:r>
      <w:r w:rsidR="00D52233">
        <w:t xml:space="preserve"> </w:t>
      </w:r>
      <w:proofErr w:type="gramStart"/>
      <w:r w:rsidR="00D52233">
        <w:t>met</w:t>
      </w:r>
      <w:proofErr w:type="gramEnd"/>
      <w:r w:rsidR="00192DDF">
        <w:t xml:space="preserve"> </w:t>
      </w:r>
      <w:r w:rsidR="00D52233">
        <w:t>a</w:t>
      </w:r>
      <w:r w:rsidR="00192DDF">
        <w:t>nd licences are cancelled</w:t>
      </w:r>
      <w:r w:rsidR="00EC4F81">
        <w:t xml:space="preserve"> as a result</w:t>
      </w:r>
      <w:r w:rsidR="00192DDF">
        <w:t xml:space="preserve">. </w:t>
      </w:r>
    </w:p>
    <w:p w14:paraId="5C23C8E1" w14:textId="0E6C1594" w:rsidR="004707A4" w:rsidRDefault="00F27506" w:rsidP="00832C2A">
      <w:r>
        <w:t xml:space="preserve">The </w:t>
      </w:r>
      <w:r w:rsidR="00D57E88">
        <w:t>intended function</w:t>
      </w:r>
      <w:r>
        <w:t xml:space="preserve"> of UISOI conditions as outlined in the Consultation Paper </w:t>
      </w:r>
      <w:r w:rsidR="00D57E88">
        <w:t xml:space="preserve">is sound and ACCAN supports the ACMA </w:t>
      </w:r>
      <w:r w:rsidR="002757BE">
        <w:t xml:space="preserve">giving further consideration to their use in </w:t>
      </w:r>
      <w:r w:rsidR="00D57E88">
        <w:t>the facilitation of a competitive spectrum market.</w:t>
      </w:r>
      <w:r w:rsidR="00F77B42">
        <w:rPr>
          <w:rStyle w:val="FootnoteReference"/>
        </w:rPr>
        <w:footnoteReference w:id="8"/>
      </w:r>
      <w:r w:rsidR="00D57E88">
        <w:t xml:space="preserve"> </w:t>
      </w:r>
      <w:r w:rsidR="00E1501B">
        <w:t>P</w:t>
      </w:r>
      <w:r w:rsidR="0040288A">
        <w:t xml:space="preserve">rocesses should be established </w:t>
      </w:r>
      <w:r w:rsidR="0051261A">
        <w:t xml:space="preserve">to </w:t>
      </w:r>
      <w:r w:rsidR="0040288A">
        <w:t xml:space="preserve">ensure that secondary licence </w:t>
      </w:r>
      <w:r w:rsidR="00FA18FD">
        <w:t>holders</w:t>
      </w:r>
      <w:r w:rsidR="0040288A">
        <w:t xml:space="preserve"> are held to the same</w:t>
      </w:r>
      <w:r w:rsidR="00FA18FD">
        <w:t xml:space="preserve"> standards</w:t>
      </w:r>
      <w:r w:rsidR="0040288A">
        <w:t xml:space="preserve"> as the primary licence holder</w:t>
      </w:r>
      <w:r w:rsidR="00BB1896">
        <w:t>,</w:t>
      </w:r>
      <w:r w:rsidR="0040288A">
        <w:t xml:space="preserve"> in addition to being subject to mandatory spectrum use information requests upon the sharing of the licence to a secondary holder. This will enable the ACMA to have a </w:t>
      </w:r>
      <w:r w:rsidR="00DE3C49">
        <w:t>timelier</w:t>
      </w:r>
      <w:r w:rsidR="0040288A">
        <w:t xml:space="preserve"> understanding of any spectrum sharing undertaken. </w:t>
      </w:r>
    </w:p>
    <w:p w14:paraId="2CCB6127" w14:textId="5E09BD2E" w:rsidR="002C0967" w:rsidRDefault="00021E0E" w:rsidP="00832C2A">
      <w:r>
        <w:t xml:space="preserve">ACCAN considers that </w:t>
      </w:r>
      <w:r w:rsidR="00577192">
        <w:t>under a UI</w:t>
      </w:r>
      <w:r w:rsidR="00EB4941">
        <w:t>OLI</w:t>
      </w:r>
      <w:r w:rsidR="00577192">
        <w:t xml:space="preserve"> regime</w:t>
      </w:r>
      <w:r w:rsidR="00EB4941">
        <w:t xml:space="preserve">, </w:t>
      </w:r>
      <w:r w:rsidR="0028007C">
        <w:t xml:space="preserve">where there are no alternative spectrum users to engage in spectrum sharing, that a review process be undertaken to </w:t>
      </w:r>
      <w:r w:rsidR="00C526FD">
        <w:t>reallocate the spectrum</w:t>
      </w:r>
      <w:r w:rsidR="006175F1">
        <w:t xml:space="preserve"> to another user</w:t>
      </w:r>
      <w:r w:rsidR="00C526FD">
        <w:t>, noting that</w:t>
      </w:r>
      <w:r w:rsidR="009D1F39">
        <w:t xml:space="preserve"> in some instances no </w:t>
      </w:r>
      <w:r w:rsidR="00BE7E71">
        <w:t>users may be available and</w:t>
      </w:r>
      <w:r w:rsidR="00C526FD">
        <w:t xml:space="preserve"> </w:t>
      </w:r>
      <w:r w:rsidR="00CE27BF">
        <w:t xml:space="preserve">that </w:t>
      </w:r>
      <w:r w:rsidR="00F466C3">
        <w:t>‘t</w:t>
      </w:r>
      <w:r w:rsidR="00F466C3" w:rsidRPr="00F466C3">
        <w:t>here can be productive, allocative and dynamic dimensions to this perceived inefficiency</w:t>
      </w:r>
      <w:r w:rsidR="00F466C3">
        <w:t>’.</w:t>
      </w:r>
      <w:r w:rsidR="001F3B7A">
        <w:rPr>
          <w:rStyle w:val="FootnoteReference"/>
        </w:rPr>
        <w:footnoteReference w:id="9"/>
      </w:r>
      <w:r w:rsidR="00F466C3">
        <w:t xml:space="preserve"> </w:t>
      </w:r>
      <w:r w:rsidR="00C01583">
        <w:t xml:space="preserve">In instances where no </w:t>
      </w:r>
      <w:r w:rsidR="00F67A7B">
        <w:t xml:space="preserve">users may be available, it may be appropriate to utilise the spectrum for interference mitigation purposes. </w:t>
      </w:r>
    </w:p>
    <w:p w14:paraId="36775B3A" w14:textId="5CD481B6" w:rsidR="00655C1D" w:rsidRDefault="00655C1D" w:rsidP="00832C2A">
      <w:r w:rsidRPr="007145A7">
        <w:t xml:space="preserve">ACCAN supports the ACMA exploring the </w:t>
      </w:r>
      <w:r w:rsidR="006808CE">
        <w:t>implementation</w:t>
      </w:r>
      <w:r w:rsidRPr="007145A7">
        <w:t xml:space="preserve"> of disaggregated licences</w:t>
      </w:r>
      <w:r>
        <w:t xml:space="preserve"> to facilitate the use of UIO</w:t>
      </w:r>
      <w:r w:rsidR="00273C72">
        <w:t>L</w:t>
      </w:r>
      <w:r>
        <w:t>I licence conditions</w:t>
      </w:r>
      <w:r w:rsidR="007D4EE7">
        <w:t xml:space="preserve"> s</w:t>
      </w:r>
      <w:r w:rsidR="009358E9">
        <w:t>uch</w:t>
      </w:r>
      <w:r w:rsidR="007D4EE7">
        <w:t xml:space="preserve"> that UIOLI conditions </w:t>
      </w:r>
      <w:r w:rsidR="7CC63F30">
        <w:t xml:space="preserve">can be </w:t>
      </w:r>
      <w:r w:rsidR="007D4EE7">
        <w:t>activated</w:t>
      </w:r>
      <w:r w:rsidR="006D7DFD">
        <w:t xml:space="preserve"> if partial use of a licence is identified</w:t>
      </w:r>
      <w:r w:rsidR="009358E9">
        <w:t>. This would</w:t>
      </w:r>
      <w:r>
        <w:t xml:space="preserve"> promot</w:t>
      </w:r>
      <w:r w:rsidR="009358E9">
        <w:t>e</w:t>
      </w:r>
      <w:r>
        <w:t xml:space="preserve"> greater practicable spectrum efficiency through encouraging licence holders to comprehensively utilise their spectrum holdings.</w:t>
      </w:r>
      <w:r>
        <w:rPr>
          <w:rStyle w:val="FootnoteReference"/>
        </w:rPr>
        <w:footnoteReference w:id="10"/>
      </w:r>
      <w:r>
        <w:t xml:space="preserve"> Where it sees a practicable benefit to doing so, ACCAN supports the ACMA varying ‘</w:t>
      </w:r>
      <w:r w:rsidRPr="00685511">
        <w:t>an in-force ESL, or a spectrum licence not subject to the ESL process, by including a rollout obligation or a UIOLI condition prior to licence expiration</w:t>
      </w:r>
      <w:r>
        <w:t xml:space="preserve">’ provided that this facilitates the PIC and promotes spectrum </w:t>
      </w:r>
      <w:r w:rsidR="004107DD">
        <w:t xml:space="preserve">utilisation </w:t>
      </w:r>
      <w:r>
        <w:t>.</w:t>
      </w:r>
      <w:r>
        <w:rPr>
          <w:rStyle w:val="FootnoteReference"/>
        </w:rPr>
        <w:footnoteReference w:id="11"/>
      </w:r>
      <w:r>
        <w:t xml:space="preserve"> With respect to this process, ACCAN considers that it will likely take place in instances </w:t>
      </w:r>
      <w:r w:rsidR="00F445F5">
        <w:t>where a</w:t>
      </w:r>
      <w:r>
        <w:t xml:space="preserve"> change in spectrum use</w:t>
      </w:r>
      <w:r w:rsidR="009A170C">
        <w:t xml:space="preserve"> and</w:t>
      </w:r>
      <w:r>
        <w:t xml:space="preserve"> anticompetitive conduct </w:t>
      </w:r>
      <w:r w:rsidR="00F445F5">
        <w:t>has occurred</w:t>
      </w:r>
      <w:r w:rsidR="00B94C62">
        <w:t>,</w:t>
      </w:r>
      <w:r w:rsidR="00F445F5">
        <w:t xml:space="preserve"> </w:t>
      </w:r>
      <w:r>
        <w:t>and should be undertaken with careful consideration as the Consultation Paper outlines.</w:t>
      </w:r>
      <w:r>
        <w:rPr>
          <w:rStyle w:val="FootnoteReference"/>
        </w:rPr>
        <w:footnoteReference w:id="12"/>
      </w:r>
    </w:p>
    <w:p w14:paraId="3593792D" w14:textId="72BCF171" w:rsidR="00401BE0" w:rsidRDefault="00401BE0" w:rsidP="00832C2A">
      <w:r>
        <w:t xml:space="preserve">ACCAN would support the ACMA </w:t>
      </w:r>
      <w:proofErr w:type="gramStart"/>
      <w:r>
        <w:t>giving consideration to</w:t>
      </w:r>
      <w:proofErr w:type="gramEnd"/>
      <w:r>
        <w:t xml:space="preserve"> introducing licence conditions which allow for the alteration of </w:t>
      </w:r>
      <w:r w:rsidR="006808CE">
        <w:t>the</w:t>
      </w:r>
      <w:r>
        <w:t xml:space="preserve"> </w:t>
      </w:r>
      <w:r w:rsidR="0BE3188B">
        <w:t xml:space="preserve">duration </w:t>
      </w:r>
      <w:r w:rsidR="006808CE">
        <w:t xml:space="preserve">of a licence </w:t>
      </w:r>
      <w:r>
        <w:t xml:space="preserve">without the cancellation of the licence. The ACMA should have the ability to reduce the </w:t>
      </w:r>
      <w:r w:rsidR="52E06444">
        <w:t xml:space="preserve">duration </w:t>
      </w:r>
      <w:r>
        <w:t xml:space="preserve">of a licence and therefore bring forward licence </w:t>
      </w:r>
      <w:r>
        <w:lastRenderedPageBreak/>
        <w:t>renewal</w:t>
      </w:r>
      <w:r w:rsidR="006808CE">
        <w:t xml:space="preserve"> </w:t>
      </w:r>
      <w:r>
        <w:t xml:space="preserve">where a review process determines that the licensee has not complied with the appropriate licence conditions. This review process should set a period to allow for the phasing out of the license and provide adequate notice to the licensee. </w:t>
      </w:r>
      <w:r w:rsidR="001C11AF">
        <w:t>ACCAN considers that it is appropriate that the ACMA developed a review</w:t>
      </w:r>
      <w:r w:rsidR="00E720A3">
        <w:t xml:space="preserve"> process</w:t>
      </w:r>
      <w:r w:rsidR="001C11AF">
        <w:t xml:space="preserve"> for amending the licence conditions of in-force licences</w:t>
      </w:r>
      <w:r w:rsidR="00E720A3">
        <w:t xml:space="preserve">. </w:t>
      </w:r>
    </w:p>
    <w:p w14:paraId="33835A91" w14:textId="384A6297" w:rsidR="004E137E" w:rsidRDefault="004E137E" w:rsidP="00832C2A">
      <w:r>
        <w:t xml:space="preserve">ACCAN considers that the </w:t>
      </w:r>
      <w:r w:rsidR="00D56804">
        <w:t xml:space="preserve">ACMA </w:t>
      </w:r>
      <w:r>
        <w:t>should be responsible for assessing third party proposals</w:t>
      </w:r>
      <w:r w:rsidR="00D56804">
        <w:t xml:space="preserve"> under a UIOSI regime. </w:t>
      </w:r>
      <w:r w:rsidR="00DE743F">
        <w:t>ACCAN supports the ACMA’s detailed consideration of the regulatory settings of a UIOSI system as outlined in the Consultation Paper, including the expansion of the apparatus licence system under a UISOI regime.</w:t>
      </w:r>
      <w:r w:rsidR="00DE743F">
        <w:rPr>
          <w:rStyle w:val="FootnoteReference"/>
        </w:rPr>
        <w:footnoteReference w:id="13"/>
      </w:r>
      <w:r w:rsidR="00DE743F">
        <w:t xml:space="preserve"> </w:t>
      </w:r>
    </w:p>
    <w:p w14:paraId="776DA93C" w14:textId="2360B9E7" w:rsidR="00930A5C" w:rsidRDefault="00930A5C" w:rsidP="00832C2A">
      <w:r>
        <w:t xml:space="preserve">ACCAN supports the ACMA engaging with the international examples of spectrum rollout obligations noted in </w:t>
      </w:r>
      <w:r w:rsidRPr="00915A7D">
        <w:t>Appendix C: International examples of alternative licence conditions</w:t>
      </w:r>
      <w:r>
        <w:t xml:space="preserve"> of the Consultation Paper.</w:t>
      </w:r>
      <w:r>
        <w:rPr>
          <w:rStyle w:val="FootnoteReference"/>
        </w:rPr>
        <w:footnoteReference w:id="14"/>
      </w:r>
      <w:r>
        <w:t xml:space="preserve"> In particular, ACCAN supports the consideration of implementing “keep what you serve” licence considerations and would encourage the ACMA to create a review process surrounding t</w:t>
      </w:r>
      <w:r w:rsidR="00EE3B5D">
        <w:t>he use of this</w:t>
      </w:r>
      <w:r>
        <w:t xml:space="preserve"> licence condition.</w:t>
      </w:r>
      <w:r>
        <w:rPr>
          <w:rStyle w:val="FootnoteReference"/>
        </w:rPr>
        <w:footnoteReference w:id="15"/>
      </w:r>
      <w:r>
        <w:t xml:space="preserve"> Introducing this condition to licences where appropriate may improve spectrum competition and </w:t>
      </w:r>
      <w:r w:rsidR="00EE3B5D">
        <w:t>utilisation</w:t>
      </w:r>
      <w:r>
        <w:t xml:space="preserve"> as unused spectrum may be shared, reallocated or used for interference mitigation. </w:t>
      </w:r>
    </w:p>
    <w:p w14:paraId="6E224A75" w14:textId="12E9BFC7" w:rsidR="00FB4E87" w:rsidRDefault="00FB4E87" w:rsidP="000304FA">
      <w:pPr>
        <w:pStyle w:val="Heading1"/>
      </w:pPr>
      <w:r>
        <w:t xml:space="preserve">Licence Conditions </w:t>
      </w:r>
    </w:p>
    <w:p w14:paraId="0F8BEE61" w14:textId="755E21C3" w:rsidR="00AA06BE" w:rsidRDefault="009605D6" w:rsidP="006B5EAD">
      <w:r>
        <w:t>The use</w:t>
      </w:r>
      <w:r w:rsidR="00E94D43">
        <w:t xml:space="preserve"> of licence conditions which allow for compliance action to be taken within the term of a licence</w:t>
      </w:r>
      <w:r w:rsidR="00D30F65">
        <w:t xml:space="preserve"> </w:t>
      </w:r>
      <w:r w:rsidR="00E94D43">
        <w:t>would improve the ability of the ACMA t</w:t>
      </w:r>
      <w:r w:rsidR="00F00DF8">
        <w:t xml:space="preserve">o undertake </w:t>
      </w:r>
      <w:r w:rsidR="00B137B1">
        <w:t xml:space="preserve">its </w:t>
      </w:r>
      <w:r w:rsidR="00F00DF8">
        <w:t>compliance activities.</w:t>
      </w:r>
      <w:r w:rsidR="00140E1F">
        <w:rPr>
          <w:rStyle w:val="FootnoteReference"/>
        </w:rPr>
        <w:footnoteReference w:id="16"/>
      </w:r>
      <w:r w:rsidR="00F00DF8">
        <w:t xml:space="preserve"> </w:t>
      </w:r>
      <w:r w:rsidR="00E07E79">
        <w:t xml:space="preserve">For longer spectrum licenses, </w:t>
      </w:r>
      <w:r w:rsidR="00140E1F">
        <w:t>the ability for the regulator to undertake compliance activities during the term of a licence</w:t>
      </w:r>
      <w:r w:rsidR="006E0894">
        <w:t>,</w:t>
      </w:r>
      <w:r w:rsidR="00140E1F">
        <w:t xml:space="preserve"> which may last as long as 20 years</w:t>
      </w:r>
      <w:r w:rsidR="002E2CCD">
        <w:t>,</w:t>
      </w:r>
      <w:r w:rsidR="00140E1F">
        <w:t xml:space="preserve"> is</w:t>
      </w:r>
      <w:r w:rsidR="002E2CCD">
        <w:t xml:space="preserve"> more</w:t>
      </w:r>
      <w:r w:rsidR="00140E1F">
        <w:t xml:space="preserve"> favourable </w:t>
      </w:r>
      <w:r w:rsidR="002E2CCD">
        <w:t xml:space="preserve">than </w:t>
      </w:r>
      <w:r w:rsidR="00140E1F">
        <w:t xml:space="preserve">only undertaking these activities at licence renewal. </w:t>
      </w:r>
    </w:p>
    <w:p w14:paraId="0346B874" w14:textId="77777777" w:rsidR="00E320AE" w:rsidRDefault="00623477" w:rsidP="002C0AE1">
      <w:r>
        <w:t>The ACMA</w:t>
      </w:r>
      <w:r w:rsidR="008347BB">
        <w:t xml:space="preserve"> is currently </w:t>
      </w:r>
      <w:r>
        <w:t>limited in its ability to intervene during the term of a licence in any form outside of cancell</w:t>
      </w:r>
      <w:r w:rsidR="00AA06BE">
        <w:t>ing the licence</w:t>
      </w:r>
      <w:r>
        <w:t>, which the ACMA noted is a blunt enforcement activity</w:t>
      </w:r>
      <w:r w:rsidR="00AA06BE">
        <w:t>.</w:t>
      </w:r>
      <w:r w:rsidR="00A51A68">
        <w:rPr>
          <w:rStyle w:val="FootnoteReference"/>
        </w:rPr>
        <w:footnoteReference w:id="17"/>
      </w:r>
      <w:r w:rsidR="00AA06BE">
        <w:t xml:space="preserve"> This</w:t>
      </w:r>
      <w:r>
        <w:t xml:space="preserve"> is </w:t>
      </w:r>
      <w:r w:rsidR="00AA06BE">
        <w:t xml:space="preserve">not </w:t>
      </w:r>
      <w:r>
        <w:t>an outcome which facilitate</w:t>
      </w:r>
      <w:r w:rsidR="00D412AC">
        <w:t>s</w:t>
      </w:r>
      <w:r>
        <w:t xml:space="preserve"> value for end users of spectrum, nor </w:t>
      </w:r>
      <w:r w:rsidR="00AA06BE">
        <w:t xml:space="preserve">does it </w:t>
      </w:r>
      <w:r>
        <w:t>contribute to the effectiveness and competitiveness of the spectrum market.</w:t>
      </w:r>
      <w:r>
        <w:rPr>
          <w:rStyle w:val="FootnoteReference"/>
        </w:rPr>
        <w:footnoteReference w:id="18"/>
      </w:r>
      <w:r w:rsidR="002854B6">
        <w:t xml:space="preserve">Additionally, </w:t>
      </w:r>
      <w:r w:rsidR="002A1BC6">
        <w:t xml:space="preserve">licence </w:t>
      </w:r>
      <w:r w:rsidR="002854B6">
        <w:t>t</w:t>
      </w:r>
      <w:r w:rsidR="006E0894">
        <w:t xml:space="preserve">imeframes as long as 20 years present a </w:t>
      </w:r>
      <w:r w:rsidR="00681A8C">
        <w:t xml:space="preserve">significant hurdle to achieving appropriate </w:t>
      </w:r>
      <w:r w:rsidR="00F109CD">
        <w:t>responses to non</w:t>
      </w:r>
      <w:r w:rsidR="001C7152">
        <w:t>-</w:t>
      </w:r>
      <w:r w:rsidR="00F109CD">
        <w:t>compliance</w:t>
      </w:r>
      <w:r w:rsidR="00537139">
        <w:t xml:space="preserve">. </w:t>
      </w:r>
    </w:p>
    <w:p w14:paraId="405F0F9F" w14:textId="35442DAF" w:rsidR="00703ECB" w:rsidRDefault="00486678" w:rsidP="002C0AE1">
      <w:r>
        <w:t>L</w:t>
      </w:r>
      <w:r w:rsidRPr="00486678">
        <w:t>icence conditions which allow for compliance action to be taken within the term of a licence</w:t>
      </w:r>
      <w:r>
        <w:t xml:space="preserve"> </w:t>
      </w:r>
      <w:r w:rsidR="00231938">
        <w:t>would allow for the ACMA to have</w:t>
      </w:r>
      <w:r w:rsidR="00415050">
        <w:t xml:space="preserve"> greater</w:t>
      </w:r>
      <w:r w:rsidR="00231938">
        <w:t xml:space="preserve"> discretion with respect to the</w:t>
      </w:r>
      <w:r w:rsidR="00415050">
        <w:t xml:space="preserve"> </w:t>
      </w:r>
      <w:r w:rsidR="00660610">
        <w:t xml:space="preserve">licences that are unlikely to be cancelled </w:t>
      </w:r>
      <w:r w:rsidR="00537139">
        <w:t>in their entirety due to various factors</w:t>
      </w:r>
      <w:r w:rsidR="001C7152">
        <w:t xml:space="preserve"> and externalities.</w:t>
      </w:r>
      <w:r w:rsidR="00FC7D15">
        <w:t xml:space="preserve"> </w:t>
      </w:r>
      <w:r w:rsidR="00861CB5">
        <w:t xml:space="preserve">ACCAN has previously supported the ACMA </w:t>
      </w:r>
      <w:r w:rsidR="00B137B1">
        <w:t xml:space="preserve">considering </w:t>
      </w:r>
      <w:r w:rsidR="00861CB5">
        <w:t>the issuing of shorter spectrum licences.</w:t>
      </w:r>
      <w:r w:rsidR="00051536">
        <w:rPr>
          <w:rStyle w:val="FootnoteReference"/>
        </w:rPr>
        <w:footnoteReference w:id="19"/>
      </w:r>
      <w:r w:rsidR="00861CB5">
        <w:t xml:space="preserve"> </w:t>
      </w:r>
      <w:r w:rsidR="00AC6661">
        <w:t>Should the use of longer licence periods (15-20 years)</w:t>
      </w:r>
      <w:r w:rsidR="00810EF0">
        <w:t xml:space="preserve"> </w:t>
      </w:r>
      <w:r w:rsidR="001333BE">
        <w:t>be the sole timeframe available for spectrum licences,</w:t>
      </w:r>
      <w:r w:rsidR="00810EF0">
        <w:t xml:space="preserve"> </w:t>
      </w:r>
      <w:r w:rsidR="00AC6661">
        <w:t xml:space="preserve">ACCAN considers that </w:t>
      </w:r>
      <w:r w:rsidR="001333BE">
        <w:t>the use of</w:t>
      </w:r>
      <w:r>
        <w:t xml:space="preserve"> licence conditions which allow for compliance action to be taken within the term of a licence </w:t>
      </w:r>
      <w:r w:rsidR="0085587A">
        <w:t>may present</w:t>
      </w:r>
      <w:r w:rsidR="00051536">
        <w:t xml:space="preserve"> </w:t>
      </w:r>
      <w:r w:rsidR="001C7152">
        <w:t>a</w:t>
      </w:r>
      <w:r w:rsidR="005B41B7">
        <w:t xml:space="preserve"> </w:t>
      </w:r>
      <w:r w:rsidR="008B5C8C">
        <w:t xml:space="preserve">proportionate </w:t>
      </w:r>
      <w:r w:rsidR="00051536">
        <w:t xml:space="preserve">and timely </w:t>
      </w:r>
      <w:r w:rsidR="0085587A">
        <w:t>solution</w:t>
      </w:r>
      <w:r w:rsidR="005B41B7">
        <w:t xml:space="preserve"> to </w:t>
      </w:r>
      <w:r w:rsidR="00051536">
        <w:t>non-compliance</w:t>
      </w:r>
      <w:r w:rsidR="00C953EB">
        <w:t xml:space="preserve"> with licence conditions</w:t>
      </w:r>
      <w:r w:rsidR="00051536">
        <w:t xml:space="preserve">. </w:t>
      </w:r>
      <w:r w:rsidR="008500F7">
        <w:t xml:space="preserve">Introducing </w:t>
      </w:r>
      <w:r>
        <w:t xml:space="preserve">these licence conditions </w:t>
      </w:r>
      <w:r w:rsidR="008500F7">
        <w:t xml:space="preserve">alongside the use of shorter-term spectrum licences would positively contribute to expanding the enforcement capabilities of the ACMA. </w:t>
      </w:r>
    </w:p>
    <w:p w14:paraId="3D06F76C" w14:textId="77777777" w:rsidR="00486678" w:rsidRDefault="00486678" w:rsidP="002C0AE1"/>
    <w:p w14:paraId="61198150" w14:textId="1E9409CF" w:rsidR="00441FB9" w:rsidRDefault="002263A9" w:rsidP="002C0AE1">
      <w:r>
        <w:lastRenderedPageBreak/>
        <w:t xml:space="preserve">ACCAN considers that the ACMA should explore </w:t>
      </w:r>
      <w:r w:rsidR="00AA202F">
        <w:t xml:space="preserve">the use of renewal statements which specify the </w:t>
      </w:r>
      <w:r w:rsidR="00865F44">
        <w:t>‘</w:t>
      </w:r>
      <w:r w:rsidR="00865F44" w:rsidRPr="00865F44">
        <w:t>achievement of a UIOLI condition or rollout obligation as a circumstance that must be met before the ACMA would consider whether to renew the licence</w:t>
      </w:r>
      <w:r w:rsidR="00865F44">
        <w:t xml:space="preserve">’. Should this be utilised in combination with UIOLI conditions or rollout obligations, </w:t>
      </w:r>
      <w:r w:rsidR="00A35DA5">
        <w:t xml:space="preserve">they </w:t>
      </w:r>
      <w:r w:rsidR="00441812">
        <w:t>may</w:t>
      </w:r>
      <w:r w:rsidR="00092798">
        <w:t xml:space="preserve"> encourage greater interaction with the PIC, the promotion of more efficient uses of spectrum and positive outcomes for spectrum end users. </w:t>
      </w:r>
    </w:p>
    <w:p w14:paraId="3AE0C4C4" w14:textId="704C9481" w:rsidR="00F914F4" w:rsidRDefault="003B6983" w:rsidP="002C0AE1">
      <w:r>
        <w:t xml:space="preserve">Promoting discretion and proportionality in the ACMA’s response to non-compliance with licence conditions would improve the efficiency of the ACMA and of the </w:t>
      </w:r>
      <w:proofErr w:type="gramStart"/>
      <w:r>
        <w:t>market as a whole</w:t>
      </w:r>
      <w:r w:rsidR="007A3C6F">
        <w:t xml:space="preserve">, </w:t>
      </w:r>
      <w:r>
        <w:t>as</w:t>
      </w:r>
      <w:proofErr w:type="gramEnd"/>
      <w:r>
        <w:t xml:space="preserve"> compliant licences may stand to benefit from the reallocation or sharing of the spectrum of non-compliant licen</w:t>
      </w:r>
      <w:r w:rsidR="009C1409">
        <w:t>see</w:t>
      </w:r>
      <w:r>
        <w:t xml:space="preserve">s. </w:t>
      </w:r>
    </w:p>
    <w:p w14:paraId="25701769" w14:textId="002E27A3" w:rsidR="00655C1D" w:rsidRDefault="005D1AD2" w:rsidP="002C0AE1">
      <w:r>
        <w:t xml:space="preserve">ACCAN considers that with respect to a graduated approach to spectrum enforcement, </w:t>
      </w:r>
      <w:r w:rsidR="00952C05">
        <w:t xml:space="preserve">the ACMA should have the </w:t>
      </w:r>
      <w:r w:rsidR="00DA093A">
        <w:t>compliance mechanisms required to adequately and proportionally respond to non-compliance within the term of a spectrum licence</w:t>
      </w:r>
      <w:r w:rsidR="00FC01DC">
        <w:t xml:space="preserve">. </w:t>
      </w:r>
      <w:r w:rsidR="00DB7A49">
        <w:t xml:space="preserve">ACCAN considers that enforcement actions such as civil penalties, remedial directions and enforceable undertakings be explored by the ACMA in addition to the existing </w:t>
      </w:r>
      <w:r w:rsidR="00C56F96">
        <w:t xml:space="preserve">enforcement mechanisms </w:t>
      </w:r>
      <w:r w:rsidR="00DB7A49">
        <w:t>of licence cancellation and non-renewal.</w:t>
      </w:r>
      <w:r w:rsidR="00DB7A49">
        <w:rPr>
          <w:rStyle w:val="FootnoteReference"/>
        </w:rPr>
        <w:footnoteReference w:id="20"/>
      </w:r>
      <w:r w:rsidR="00DB7A49">
        <w:t xml:space="preserve"> </w:t>
      </w:r>
      <w:r w:rsidR="00FC01DC">
        <w:t xml:space="preserve">While a graduated approach to enforcement of spectrum licences may be appropriate in some instances, ACCAN suggests that there be limited or no barriers present in escalating the enforcement response of the ACMA to non-compliance with licence conditions, where the ACMA deems such actions appropriate. </w:t>
      </w:r>
      <w:r w:rsidR="002E0A6D">
        <w:t xml:space="preserve">Should these mechanisms be introduced in addition to the ability for the regulator to revoke licences, this would improve the </w:t>
      </w:r>
      <w:r w:rsidR="00DA5853">
        <w:t xml:space="preserve">responsiveness and </w:t>
      </w:r>
      <w:r w:rsidR="002E0A6D">
        <w:t>functionality of the ACMA’s enforcement ability.</w:t>
      </w:r>
      <w:r w:rsidR="002E0A6D">
        <w:rPr>
          <w:rStyle w:val="FootnoteReference"/>
        </w:rPr>
        <w:footnoteReference w:id="21"/>
      </w:r>
      <w:r w:rsidR="00661E11">
        <w:t xml:space="preserve"> </w:t>
      </w:r>
    </w:p>
    <w:p w14:paraId="680C4042" w14:textId="79AE8904" w:rsidR="00FC4944" w:rsidRDefault="00C53047" w:rsidP="002C0AE1">
      <w:r>
        <w:t xml:space="preserve">ACCAN considers that in response to singular or repeated </w:t>
      </w:r>
      <w:r w:rsidR="00FF33C2">
        <w:t>non</w:t>
      </w:r>
      <w:r w:rsidR="00CB67DC">
        <w:t>-</w:t>
      </w:r>
      <w:r w:rsidR="00FF33C2">
        <w:t>compliance</w:t>
      </w:r>
      <w:r>
        <w:t xml:space="preserve"> with licence conditions, th</w:t>
      </w:r>
      <w:r w:rsidR="008F1894">
        <w:t>e ACMA should be empowered to increase supervision of the licensee with use information given to the ACMA on request as part of a monitoring arrangement. This monitoring arrangement should be undertaken</w:t>
      </w:r>
      <w:r w:rsidR="00E66F16">
        <w:t xml:space="preserve"> on a cost recovery basis so that enforcement action does not impose costs on </w:t>
      </w:r>
      <w:r w:rsidR="00A77C1E">
        <w:t>broader, compliant</w:t>
      </w:r>
      <w:r w:rsidR="00FF33C2">
        <w:t xml:space="preserve"> licensees. </w:t>
      </w:r>
    </w:p>
    <w:p w14:paraId="77997920" w14:textId="6DA97865" w:rsidR="00635FCE" w:rsidRDefault="002D6F87" w:rsidP="002C0AE1">
      <w:r>
        <w:t xml:space="preserve">As noted in the </w:t>
      </w:r>
      <w:r w:rsidR="00A1445C">
        <w:t>Expiring Spectrum Licences: Finalised framework and response to submissions</w:t>
      </w:r>
      <w:r w:rsidR="00042529">
        <w:t>,</w:t>
      </w:r>
      <w:r w:rsidR="00A1445C">
        <w:t xml:space="preserve"> </w:t>
      </w:r>
      <w:r w:rsidR="00AD3CC6">
        <w:t xml:space="preserve">ACCAN </w:t>
      </w:r>
      <w:r>
        <w:t>support</w:t>
      </w:r>
      <w:r w:rsidR="00AD3CC6">
        <w:t>s</w:t>
      </w:r>
      <w:r>
        <w:t xml:space="preserve"> </w:t>
      </w:r>
      <w:r w:rsidR="0057575D">
        <w:t xml:space="preserve">maintaining </w:t>
      </w:r>
      <w:r w:rsidR="00042529">
        <w:t xml:space="preserve">the </w:t>
      </w:r>
      <w:r w:rsidR="0057575D">
        <w:t xml:space="preserve">absence of </w:t>
      </w:r>
      <w:r w:rsidR="002D61B9">
        <w:t>a presumption of licence renewal for each ESL.</w:t>
      </w:r>
      <w:r w:rsidR="009D00C8">
        <w:rPr>
          <w:rStyle w:val="FootnoteReference"/>
        </w:rPr>
        <w:footnoteReference w:id="22"/>
      </w:r>
      <w:r w:rsidR="002D61B9">
        <w:t xml:space="preserve"> </w:t>
      </w:r>
      <w:r w:rsidR="00AD3CC6">
        <w:t xml:space="preserve">We </w:t>
      </w:r>
      <w:r w:rsidR="002D61B9">
        <w:t xml:space="preserve">consider that this </w:t>
      </w:r>
      <w:r w:rsidR="00042529">
        <w:t xml:space="preserve">absence </w:t>
      </w:r>
      <w:r w:rsidR="002D61B9">
        <w:t xml:space="preserve">would support </w:t>
      </w:r>
      <w:r w:rsidR="00D40E8C">
        <w:t>competition within</w:t>
      </w:r>
      <w:r w:rsidR="002D61B9">
        <w:t xml:space="preserve"> spectrum </w:t>
      </w:r>
      <w:r w:rsidR="00315E46">
        <w:t>market</w:t>
      </w:r>
      <w:r w:rsidR="00D40E8C">
        <w:t>,</w:t>
      </w:r>
      <w:r w:rsidR="00315E46">
        <w:t xml:space="preserve"> as it encourages spectrum holders </w:t>
      </w:r>
      <w:r w:rsidR="006260F2">
        <w:t>to integrate their use of spectrum with the PIC</w:t>
      </w:r>
      <w:r w:rsidR="009D00C8">
        <w:t xml:space="preserve"> and generate value for end users. </w:t>
      </w:r>
      <w:r w:rsidR="00A5405B">
        <w:t xml:space="preserve">Where appropriate, </w:t>
      </w:r>
      <w:r w:rsidR="00731B1F">
        <w:t xml:space="preserve">the ACMA should assist incumbent or prospective licence holders in making representations </w:t>
      </w:r>
      <w:r w:rsidR="009A392E">
        <w:t>with respect to the renewal of their licence.</w:t>
      </w:r>
      <w:r w:rsidR="009A392E">
        <w:rPr>
          <w:rStyle w:val="FootnoteReference"/>
        </w:rPr>
        <w:footnoteReference w:id="23"/>
      </w:r>
      <w:r w:rsidR="00A7095B">
        <w:t xml:space="preserve"> </w:t>
      </w:r>
      <w:r w:rsidR="00AE6BF8">
        <w:t>ACCAN supports th</w:t>
      </w:r>
      <w:r w:rsidR="00E563B3">
        <w:t>is</w:t>
      </w:r>
      <w:r w:rsidR="00AE6BF8">
        <w:t xml:space="preserve"> </w:t>
      </w:r>
      <w:r w:rsidR="00A9603C">
        <w:t>absence</w:t>
      </w:r>
      <w:r w:rsidR="00AE6BF8">
        <w:t xml:space="preserve"> being </w:t>
      </w:r>
      <w:r w:rsidR="00930A5C">
        <w:t>maintained due</w:t>
      </w:r>
      <w:r w:rsidR="00C0260D">
        <w:t xml:space="preserve"> to the unique factors which may be present with respect to each licence’s relevance to the public interest</w:t>
      </w:r>
      <w:r w:rsidR="00AE7D07">
        <w:t xml:space="preserve"> due to geographical</w:t>
      </w:r>
      <w:r w:rsidR="00AB7533">
        <w:t xml:space="preserve"> factors or other externalities.</w:t>
      </w:r>
      <w:r w:rsidR="00AB7533">
        <w:rPr>
          <w:rStyle w:val="FootnoteReference"/>
        </w:rPr>
        <w:footnoteReference w:id="24"/>
      </w:r>
      <w:r w:rsidR="00AB7533">
        <w:t xml:space="preserve"> </w:t>
      </w:r>
    </w:p>
    <w:p w14:paraId="13096187" w14:textId="1377E50C" w:rsidR="00DC13F4" w:rsidRPr="002C0AE1" w:rsidRDefault="002C0AE1" w:rsidP="00B06312">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F86EF4" w:rsidRPr="00F86EF4">
        <w:t xml:space="preserve"> </w:t>
      </w:r>
      <w:r w:rsidR="00F86EF4">
        <w:t>ACCAN is committed to reconciliation that acknowledges Australia’s past and values the unique culture and heritage of Aboriginal and Torres Strait Islander peoples</w:t>
      </w:r>
      <w:r w:rsidR="000474C0">
        <w:t xml:space="preserve">. </w:t>
      </w:r>
      <w:hyperlink r:id="rId22" w:history="1">
        <w:r w:rsidR="00F86EF4">
          <w:rPr>
            <w:rStyle w:val="Hyperlink"/>
          </w:rPr>
          <w:t>Read our RAP</w:t>
        </w:r>
      </w:hyperlink>
      <w:r w:rsidR="00F86EF4">
        <w:rPr>
          <w:rStyle w:val="Hyperlink"/>
        </w:rPr>
        <w:t>.</w:t>
      </w:r>
    </w:p>
    <w:sectPr w:rsidR="00DC13F4" w:rsidRPr="002C0AE1" w:rsidSect="00790725">
      <w:headerReference w:type="default" r:id="rId23"/>
      <w:footerReference w:type="default" r:id="rId24"/>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03CA8" w14:textId="77777777" w:rsidR="00EC6E62" w:rsidRDefault="00EC6E62">
      <w:pPr>
        <w:spacing w:after="0" w:line="240" w:lineRule="auto"/>
      </w:pPr>
      <w:r>
        <w:separator/>
      </w:r>
    </w:p>
  </w:endnote>
  <w:endnote w:type="continuationSeparator" w:id="0">
    <w:p w14:paraId="1D53A7DA" w14:textId="77777777" w:rsidR="00EC6E62" w:rsidRDefault="00EC6E62">
      <w:pPr>
        <w:spacing w:after="0" w:line="240" w:lineRule="auto"/>
      </w:pPr>
      <w:r>
        <w:continuationSeparator/>
      </w:r>
    </w:p>
  </w:endnote>
  <w:endnote w:type="continuationNotice" w:id="1">
    <w:p w14:paraId="184CC022" w14:textId="77777777" w:rsidR="00EC6E62" w:rsidRDefault="00EC6E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7166B8D-E8ED-4149-B5ED-4D1B659CEEFA}"/>
    <w:embedBold r:id="rId2" w:fontKey="{EC1D6F8D-A96D-4D66-80D7-23C0291F79A3}"/>
    <w:embedItalic r:id="rId3" w:fontKey="{06469EE0-E612-4C36-BD73-059980F91CD4}"/>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B25FDDBC-340B-45E2-944A-D33E17362967}"/>
  </w:font>
  <w:font w:name="Gotham">
    <w:altName w:val="Calibri"/>
    <w:charset w:val="00"/>
    <w:family w:val="auto"/>
    <w:pitch w:val="variable"/>
    <w:sig w:usb0="800000A7" w:usb1="00000000" w:usb2="00000000" w:usb3="00000000" w:csb0="00000009" w:csb1="00000000"/>
    <w:embedBold r:id="rId5" w:fontKey="{1EEE17A7-73CC-44CA-8B0A-57B6498CDF3C}"/>
    <w:embedBoldItalic r:id="rId6" w:fontKey="{AFE4F3D6-1E42-4FAC-BB03-6B02D1FEFFD2}"/>
  </w:font>
  <w:font w:name="Gotham Black">
    <w:altName w:val="Calibri"/>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embedBold r:id="rId7" w:fontKey="{3D7CAE29-F0A5-418D-B325-8A79EAC367A1}"/>
  </w:font>
  <w:font w:name="Cambria">
    <w:panose1 w:val="02040503050406030204"/>
    <w:charset w:val="00"/>
    <w:family w:val="roman"/>
    <w:pitch w:val="variable"/>
    <w:sig w:usb0="E00006FF" w:usb1="420024FF" w:usb2="02000000" w:usb3="00000000" w:csb0="0000019F" w:csb1="00000000"/>
    <w:embedRegular r:id="rId8" w:fontKey="{49A5EA51-85DE-4DDF-AF7E-6D39C32540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F46D6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41BEB" w14:textId="77777777" w:rsidR="00EC6E62" w:rsidRDefault="00EC6E62">
      <w:pPr>
        <w:spacing w:after="0" w:line="240" w:lineRule="auto"/>
      </w:pPr>
      <w:r>
        <w:separator/>
      </w:r>
    </w:p>
  </w:footnote>
  <w:footnote w:type="continuationSeparator" w:id="0">
    <w:p w14:paraId="5FFB34CD" w14:textId="77777777" w:rsidR="00EC6E62" w:rsidRDefault="00EC6E62">
      <w:pPr>
        <w:spacing w:after="0" w:line="240" w:lineRule="auto"/>
      </w:pPr>
      <w:r>
        <w:continuationSeparator/>
      </w:r>
    </w:p>
  </w:footnote>
  <w:footnote w:type="continuationNotice" w:id="1">
    <w:p w14:paraId="12D922F7" w14:textId="77777777" w:rsidR="00EC6E62" w:rsidRDefault="00EC6E62">
      <w:pPr>
        <w:spacing w:after="0" w:line="240" w:lineRule="auto"/>
      </w:pPr>
    </w:p>
  </w:footnote>
  <w:footnote w:id="2">
    <w:p w14:paraId="5C9222B4" w14:textId="77777777" w:rsidR="00010190" w:rsidRPr="000304FA" w:rsidRDefault="00010190" w:rsidP="00010190">
      <w:pPr>
        <w:pStyle w:val="FootnoteText"/>
        <w:rPr>
          <w:sz w:val="16"/>
          <w:szCs w:val="16"/>
        </w:rPr>
      </w:pPr>
      <w:r w:rsidRPr="000304FA">
        <w:rPr>
          <w:rStyle w:val="FootnoteReference"/>
          <w:sz w:val="16"/>
          <w:szCs w:val="16"/>
        </w:rPr>
        <w:footnoteRef/>
      </w:r>
      <w:r w:rsidRPr="000304FA">
        <w:rPr>
          <w:sz w:val="16"/>
          <w:szCs w:val="16"/>
        </w:rPr>
        <w:t xml:space="preserve"> ACMA. Expiring Spectrum Licenses Stage 2 (Consultation Paper, March 2024) 10. </w:t>
      </w:r>
    </w:p>
  </w:footnote>
  <w:footnote w:id="3">
    <w:p w14:paraId="5A8C04E5" w14:textId="77777777" w:rsidR="00FC5E77" w:rsidRPr="000304FA" w:rsidRDefault="00FC5E77" w:rsidP="00FC5E77">
      <w:pPr>
        <w:pStyle w:val="FootnoteText"/>
        <w:rPr>
          <w:sz w:val="16"/>
          <w:szCs w:val="16"/>
        </w:rPr>
      </w:pPr>
      <w:r w:rsidRPr="000304FA">
        <w:rPr>
          <w:rStyle w:val="FootnoteReference"/>
          <w:sz w:val="16"/>
          <w:szCs w:val="16"/>
        </w:rPr>
        <w:footnoteRef/>
      </w:r>
      <w:r w:rsidRPr="000304FA">
        <w:rPr>
          <w:sz w:val="16"/>
          <w:szCs w:val="16"/>
        </w:rPr>
        <w:t xml:space="preserve"> Ibid 12. </w:t>
      </w:r>
    </w:p>
  </w:footnote>
  <w:footnote w:id="4">
    <w:p w14:paraId="52826C51" w14:textId="4FDEA6A9" w:rsidR="00EA749C" w:rsidRPr="000304FA" w:rsidRDefault="00EA749C">
      <w:pPr>
        <w:pStyle w:val="FootnoteText"/>
        <w:rPr>
          <w:sz w:val="16"/>
          <w:szCs w:val="16"/>
        </w:rPr>
      </w:pPr>
      <w:r w:rsidRPr="000304FA">
        <w:rPr>
          <w:rStyle w:val="FootnoteReference"/>
          <w:sz w:val="16"/>
          <w:szCs w:val="16"/>
        </w:rPr>
        <w:footnoteRef/>
      </w:r>
      <w:r w:rsidRPr="000304FA">
        <w:rPr>
          <w:sz w:val="16"/>
          <w:szCs w:val="16"/>
        </w:rPr>
        <w:t xml:space="preserve"> Ibid 18. </w:t>
      </w:r>
    </w:p>
  </w:footnote>
  <w:footnote w:id="5">
    <w:p w14:paraId="671CC701" w14:textId="5DE6D95B" w:rsidR="0012333D" w:rsidRPr="000304FA" w:rsidRDefault="0012333D">
      <w:pPr>
        <w:pStyle w:val="FootnoteText"/>
        <w:rPr>
          <w:sz w:val="16"/>
          <w:szCs w:val="16"/>
        </w:rPr>
      </w:pPr>
      <w:r w:rsidRPr="000304FA">
        <w:rPr>
          <w:rStyle w:val="FootnoteReference"/>
          <w:sz w:val="16"/>
          <w:szCs w:val="16"/>
        </w:rPr>
        <w:footnoteRef/>
      </w:r>
      <w:r w:rsidRPr="000304FA">
        <w:rPr>
          <w:sz w:val="16"/>
          <w:szCs w:val="16"/>
        </w:rPr>
        <w:t xml:space="preserve"> Ibid 12, 15. </w:t>
      </w:r>
    </w:p>
  </w:footnote>
  <w:footnote w:id="6">
    <w:p w14:paraId="29C8C5FC" w14:textId="41DDA6FD" w:rsidR="006E5141" w:rsidRDefault="006E5141">
      <w:pPr>
        <w:pStyle w:val="FootnoteText"/>
      </w:pPr>
      <w:r w:rsidRPr="000304FA">
        <w:rPr>
          <w:rStyle w:val="FootnoteReference"/>
          <w:sz w:val="16"/>
          <w:szCs w:val="16"/>
        </w:rPr>
        <w:footnoteRef/>
      </w:r>
      <w:r w:rsidRPr="000304FA">
        <w:rPr>
          <w:sz w:val="16"/>
          <w:szCs w:val="16"/>
        </w:rPr>
        <w:t xml:space="preserve"> Ibid 14. </w:t>
      </w:r>
    </w:p>
  </w:footnote>
  <w:footnote w:id="7">
    <w:p w14:paraId="13B02DE3" w14:textId="13996C44" w:rsidR="00F27833" w:rsidRPr="000304FA" w:rsidRDefault="00F27833">
      <w:pPr>
        <w:pStyle w:val="FootnoteText"/>
        <w:rPr>
          <w:sz w:val="16"/>
          <w:szCs w:val="16"/>
        </w:rPr>
      </w:pPr>
      <w:r w:rsidRPr="000304FA">
        <w:rPr>
          <w:rStyle w:val="FootnoteReference"/>
          <w:sz w:val="16"/>
          <w:szCs w:val="16"/>
        </w:rPr>
        <w:footnoteRef/>
      </w:r>
      <w:r w:rsidRPr="000304FA">
        <w:rPr>
          <w:sz w:val="16"/>
          <w:szCs w:val="16"/>
        </w:rPr>
        <w:t xml:space="preserve"> </w:t>
      </w:r>
      <w:r w:rsidR="00BF5501" w:rsidRPr="000304FA">
        <w:rPr>
          <w:sz w:val="16"/>
          <w:szCs w:val="16"/>
        </w:rPr>
        <w:t>ACMA. Expiring Spectrum Licenses Stage 2 (Consultation Paper, March 2024) 2</w:t>
      </w:r>
      <w:r w:rsidR="00BF5501">
        <w:rPr>
          <w:sz w:val="16"/>
          <w:szCs w:val="16"/>
        </w:rPr>
        <w:t>4</w:t>
      </w:r>
      <w:r w:rsidR="00BF5501" w:rsidRPr="000304FA">
        <w:rPr>
          <w:sz w:val="16"/>
          <w:szCs w:val="16"/>
        </w:rPr>
        <w:t xml:space="preserve">. </w:t>
      </w:r>
    </w:p>
  </w:footnote>
  <w:footnote w:id="8">
    <w:p w14:paraId="28CD9613" w14:textId="7FDB306F" w:rsidR="00F77B42" w:rsidRPr="000304FA" w:rsidRDefault="00F77B42">
      <w:pPr>
        <w:pStyle w:val="FootnoteText"/>
        <w:rPr>
          <w:sz w:val="16"/>
          <w:szCs w:val="16"/>
        </w:rPr>
      </w:pPr>
      <w:r w:rsidRPr="000304FA">
        <w:rPr>
          <w:rStyle w:val="FootnoteReference"/>
          <w:sz w:val="16"/>
          <w:szCs w:val="16"/>
        </w:rPr>
        <w:footnoteRef/>
      </w:r>
      <w:r w:rsidRPr="000304FA">
        <w:rPr>
          <w:sz w:val="16"/>
          <w:szCs w:val="16"/>
        </w:rPr>
        <w:t xml:space="preserve"> </w:t>
      </w:r>
      <w:r w:rsidR="00BF5501">
        <w:rPr>
          <w:sz w:val="16"/>
          <w:szCs w:val="16"/>
        </w:rPr>
        <w:t xml:space="preserve">Ibid 25. </w:t>
      </w:r>
      <w:r w:rsidRPr="000304FA">
        <w:rPr>
          <w:sz w:val="16"/>
          <w:szCs w:val="16"/>
        </w:rPr>
        <w:t xml:space="preserve"> </w:t>
      </w:r>
    </w:p>
  </w:footnote>
  <w:footnote w:id="9">
    <w:p w14:paraId="229627F6" w14:textId="172AEF19" w:rsidR="001F3B7A" w:rsidRPr="000304FA" w:rsidRDefault="001F3B7A">
      <w:pPr>
        <w:pStyle w:val="FootnoteText"/>
        <w:rPr>
          <w:sz w:val="16"/>
          <w:szCs w:val="16"/>
        </w:rPr>
      </w:pPr>
      <w:r w:rsidRPr="000304FA">
        <w:rPr>
          <w:rStyle w:val="FootnoteReference"/>
          <w:sz w:val="16"/>
          <w:szCs w:val="16"/>
        </w:rPr>
        <w:footnoteRef/>
      </w:r>
      <w:r w:rsidRPr="000304FA">
        <w:rPr>
          <w:sz w:val="16"/>
          <w:szCs w:val="16"/>
        </w:rPr>
        <w:t xml:space="preserve"> Ibid 27. </w:t>
      </w:r>
    </w:p>
  </w:footnote>
  <w:footnote w:id="10">
    <w:p w14:paraId="63343F65" w14:textId="77777777" w:rsidR="00655C1D" w:rsidRPr="000304FA" w:rsidRDefault="00655C1D" w:rsidP="00655C1D">
      <w:pPr>
        <w:pStyle w:val="FootnoteText"/>
        <w:rPr>
          <w:sz w:val="16"/>
          <w:szCs w:val="16"/>
        </w:rPr>
      </w:pPr>
      <w:r w:rsidRPr="000304FA">
        <w:rPr>
          <w:rStyle w:val="FootnoteReference"/>
          <w:sz w:val="16"/>
          <w:szCs w:val="16"/>
        </w:rPr>
        <w:footnoteRef/>
      </w:r>
      <w:r w:rsidRPr="000304FA">
        <w:rPr>
          <w:sz w:val="16"/>
          <w:szCs w:val="16"/>
        </w:rPr>
        <w:t xml:space="preserve"> Ibid 31. </w:t>
      </w:r>
    </w:p>
  </w:footnote>
  <w:footnote w:id="11">
    <w:p w14:paraId="6670E7B2" w14:textId="197CB594" w:rsidR="00655C1D" w:rsidRPr="000304FA" w:rsidRDefault="00655C1D" w:rsidP="00655C1D">
      <w:pPr>
        <w:pStyle w:val="FootnoteText"/>
        <w:rPr>
          <w:sz w:val="16"/>
          <w:szCs w:val="16"/>
        </w:rPr>
      </w:pPr>
      <w:r w:rsidRPr="000304FA">
        <w:rPr>
          <w:rStyle w:val="FootnoteReference"/>
          <w:sz w:val="16"/>
          <w:szCs w:val="16"/>
        </w:rPr>
        <w:footnoteRef/>
      </w:r>
      <w:r w:rsidRPr="000304FA">
        <w:rPr>
          <w:sz w:val="16"/>
          <w:szCs w:val="16"/>
        </w:rPr>
        <w:t xml:space="preserve"> </w:t>
      </w:r>
      <w:r w:rsidR="00065EF4">
        <w:rPr>
          <w:sz w:val="16"/>
          <w:szCs w:val="16"/>
        </w:rPr>
        <w:t xml:space="preserve">Ibid 31. </w:t>
      </w:r>
    </w:p>
  </w:footnote>
  <w:footnote w:id="12">
    <w:p w14:paraId="147587FC" w14:textId="77777777" w:rsidR="00655C1D" w:rsidRDefault="00655C1D" w:rsidP="00655C1D">
      <w:pPr>
        <w:pStyle w:val="FootnoteText"/>
      </w:pPr>
      <w:r w:rsidRPr="000304FA">
        <w:rPr>
          <w:rStyle w:val="FootnoteReference"/>
          <w:sz w:val="16"/>
          <w:szCs w:val="16"/>
        </w:rPr>
        <w:footnoteRef/>
      </w:r>
      <w:r w:rsidRPr="000304FA">
        <w:rPr>
          <w:sz w:val="16"/>
          <w:szCs w:val="16"/>
        </w:rPr>
        <w:t xml:space="preserve"> Ibid. </w:t>
      </w:r>
    </w:p>
  </w:footnote>
  <w:footnote w:id="13">
    <w:p w14:paraId="0600F684" w14:textId="77777777" w:rsidR="00DE743F" w:rsidRPr="000304FA" w:rsidRDefault="00DE743F" w:rsidP="00DE743F">
      <w:pPr>
        <w:pStyle w:val="FootnoteText"/>
        <w:rPr>
          <w:sz w:val="16"/>
          <w:szCs w:val="16"/>
        </w:rPr>
      </w:pPr>
      <w:r w:rsidRPr="000304FA">
        <w:rPr>
          <w:rStyle w:val="FootnoteReference"/>
          <w:sz w:val="16"/>
          <w:szCs w:val="16"/>
        </w:rPr>
        <w:footnoteRef/>
      </w:r>
      <w:r w:rsidRPr="000304FA">
        <w:rPr>
          <w:sz w:val="16"/>
          <w:szCs w:val="16"/>
        </w:rPr>
        <w:t xml:space="preserve"> ACMA. Expiring Spectrum Licenses Stage 2 (Consultation Paper, March 2024) 32. </w:t>
      </w:r>
    </w:p>
  </w:footnote>
  <w:footnote w:id="14">
    <w:p w14:paraId="5E1199B6" w14:textId="77777777" w:rsidR="00930A5C" w:rsidRPr="000304FA" w:rsidRDefault="00930A5C" w:rsidP="00930A5C">
      <w:pPr>
        <w:pStyle w:val="FootnoteText"/>
        <w:rPr>
          <w:sz w:val="16"/>
          <w:szCs w:val="16"/>
        </w:rPr>
      </w:pPr>
      <w:r w:rsidRPr="000304FA">
        <w:rPr>
          <w:rStyle w:val="FootnoteReference"/>
          <w:sz w:val="16"/>
          <w:szCs w:val="16"/>
        </w:rPr>
        <w:footnoteRef/>
      </w:r>
      <w:r w:rsidRPr="000304FA">
        <w:rPr>
          <w:sz w:val="16"/>
          <w:szCs w:val="16"/>
        </w:rPr>
        <w:t xml:space="preserve"> Ibid 48. </w:t>
      </w:r>
    </w:p>
  </w:footnote>
  <w:footnote w:id="15">
    <w:p w14:paraId="6442B82D" w14:textId="77777777" w:rsidR="00930A5C" w:rsidRPr="000304FA" w:rsidRDefault="00930A5C" w:rsidP="00930A5C">
      <w:pPr>
        <w:pStyle w:val="FootnoteText"/>
        <w:rPr>
          <w:sz w:val="16"/>
          <w:szCs w:val="16"/>
        </w:rPr>
      </w:pPr>
      <w:r w:rsidRPr="000304FA">
        <w:rPr>
          <w:rStyle w:val="FootnoteReference"/>
          <w:sz w:val="16"/>
          <w:szCs w:val="16"/>
        </w:rPr>
        <w:footnoteRef/>
      </w:r>
      <w:r w:rsidRPr="000304FA">
        <w:rPr>
          <w:sz w:val="16"/>
          <w:szCs w:val="16"/>
        </w:rPr>
        <w:t xml:space="preserve"> Ibid 49. </w:t>
      </w:r>
    </w:p>
  </w:footnote>
  <w:footnote w:id="16">
    <w:p w14:paraId="39DC5E5D" w14:textId="458D2AB3" w:rsidR="00140E1F" w:rsidRPr="000304FA" w:rsidRDefault="00140E1F">
      <w:pPr>
        <w:pStyle w:val="FootnoteText"/>
        <w:rPr>
          <w:sz w:val="16"/>
          <w:szCs w:val="16"/>
        </w:rPr>
      </w:pPr>
      <w:r w:rsidRPr="000304FA">
        <w:rPr>
          <w:rStyle w:val="FootnoteReference"/>
          <w:sz w:val="16"/>
          <w:szCs w:val="16"/>
        </w:rPr>
        <w:footnoteRef/>
      </w:r>
      <w:r w:rsidRPr="000304FA">
        <w:rPr>
          <w:sz w:val="16"/>
          <w:szCs w:val="16"/>
        </w:rPr>
        <w:t xml:space="preserve"> Ibid 29. </w:t>
      </w:r>
    </w:p>
  </w:footnote>
  <w:footnote w:id="17">
    <w:p w14:paraId="7BE5F878" w14:textId="4442F302" w:rsidR="00A51A68" w:rsidRDefault="00A51A68">
      <w:pPr>
        <w:pStyle w:val="FootnoteText"/>
      </w:pPr>
      <w:r w:rsidRPr="00AA64E1">
        <w:rPr>
          <w:rStyle w:val="FootnoteReference"/>
          <w:sz w:val="16"/>
          <w:szCs w:val="16"/>
        </w:rPr>
        <w:footnoteRef/>
      </w:r>
      <w:r w:rsidRPr="00AA64E1">
        <w:rPr>
          <w:sz w:val="16"/>
          <w:szCs w:val="16"/>
        </w:rPr>
        <w:t xml:space="preserve"> Ibid 29. </w:t>
      </w:r>
    </w:p>
  </w:footnote>
  <w:footnote w:id="18">
    <w:p w14:paraId="19338B9A" w14:textId="604E9E0B" w:rsidR="00623477" w:rsidRPr="000304FA" w:rsidRDefault="00623477" w:rsidP="00623477">
      <w:pPr>
        <w:pStyle w:val="FootnoteText"/>
        <w:rPr>
          <w:sz w:val="16"/>
          <w:szCs w:val="16"/>
        </w:rPr>
      </w:pPr>
      <w:r w:rsidRPr="000304FA">
        <w:rPr>
          <w:rStyle w:val="FootnoteReference"/>
          <w:sz w:val="16"/>
          <w:szCs w:val="16"/>
        </w:rPr>
        <w:footnoteRef/>
      </w:r>
      <w:r w:rsidRPr="000304FA">
        <w:rPr>
          <w:sz w:val="16"/>
          <w:szCs w:val="16"/>
        </w:rPr>
        <w:t xml:space="preserve"> </w:t>
      </w:r>
      <w:r w:rsidR="00A77C1E">
        <w:rPr>
          <w:sz w:val="16"/>
          <w:szCs w:val="16"/>
        </w:rPr>
        <w:t xml:space="preserve">Ibid 29, 30. </w:t>
      </w:r>
      <w:r w:rsidRPr="000304FA">
        <w:rPr>
          <w:sz w:val="16"/>
          <w:szCs w:val="16"/>
        </w:rPr>
        <w:t xml:space="preserve"> </w:t>
      </w:r>
    </w:p>
  </w:footnote>
  <w:footnote w:id="19">
    <w:p w14:paraId="5EF6176A" w14:textId="01BA5568" w:rsidR="00051536" w:rsidRDefault="00051536">
      <w:pPr>
        <w:pStyle w:val="FootnoteText"/>
      </w:pPr>
      <w:r w:rsidRPr="000304FA">
        <w:rPr>
          <w:rStyle w:val="FootnoteReference"/>
          <w:sz w:val="16"/>
          <w:szCs w:val="16"/>
        </w:rPr>
        <w:footnoteRef/>
      </w:r>
      <w:r w:rsidRPr="000304FA">
        <w:rPr>
          <w:sz w:val="16"/>
          <w:szCs w:val="16"/>
        </w:rPr>
        <w:t xml:space="preserve"> ACCAN. </w:t>
      </w:r>
      <w:r w:rsidR="00E9497C" w:rsidRPr="000304FA">
        <w:rPr>
          <w:sz w:val="16"/>
          <w:szCs w:val="16"/>
        </w:rPr>
        <w:t>ACCAN response to the ACMA consultation on the draft FYSO 2024-29</w:t>
      </w:r>
      <w:r w:rsidR="00E04590" w:rsidRPr="000304FA">
        <w:rPr>
          <w:sz w:val="16"/>
          <w:szCs w:val="16"/>
        </w:rPr>
        <w:t xml:space="preserve">. </w:t>
      </w:r>
    </w:p>
  </w:footnote>
  <w:footnote w:id="20">
    <w:p w14:paraId="28800574" w14:textId="4311FD70" w:rsidR="00DB7A49" w:rsidRPr="000304FA" w:rsidRDefault="00DB7A49" w:rsidP="00DB7A49">
      <w:pPr>
        <w:pStyle w:val="FootnoteText"/>
        <w:rPr>
          <w:sz w:val="16"/>
          <w:szCs w:val="16"/>
        </w:rPr>
      </w:pPr>
      <w:r w:rsidRPr="000304FA">
        <w:rPr>
          <w:rStyle w:val="FootnoteReference"/>
          <w:sz w:val="16"/>
          <w:szCs w:val="16"/>
        </w:rPr>
        <w:footnoteRef/>
      </w:r>
      <w:r w:rsidRPr="000304FA">
        <w:rPr>
          <w:sz w:val="16"/>
          <w:szCs w:val="16"/>
        </w:rPr>
        <w:t xml:space="preserve"> </w:t>
      </w:r>
      <w:r w:rsidR="009A6E95" w:rsidRPr="000304FA">
        <w:rPr>
          <w:sz w:val="16"/>
          <w:szCs w:val="16"/>
        </w:rPr>
        <w:t xml:space="preserve">ACMA. Expiring Spectrum Licences – Finalised framework and response to submissions. (Consultation Paper, December 2023) </w:t>
      </w:r>
      <w:r w:rsidR="009A6E95">
        <w:rPr>
          <w:sz w:val="16"/>
          <w:szCs w:val="16"/>
        </w:rPr>
        <w:t>30.</w:t>
      </w:r>
    </w:p>
  </w:footnote>
  <w:footnote w:id="21">
    <w:p w14:paraId="3232AAC2" w14:textId="1F6B056C" w:rsidR="002E0A6D" w:rsidRPr="000304FA" w:rsidRDefault="002E0A6D">
      <w:pPr>
        <w:pStyle w:val="FootnoteText"/>
        <w:rPr>
          <w:sz w:val="16"/>
          <w:szCs w:val="16"/>
        </w:rPr>
      </w:pPr>
      <w:r w:rsidRPr="000304FA">
        <w:rPr>
          <w:rStyle w:val="FootnoteReference"/>
          <w:sz w:val="16"/>
          <w:szCs w:val="16"/>
        </w:rPr>
        <w:footnoteRef/>
      </w:r>
      <w:r w:rsidRPr="000304FA">
        <w:rPr>
          <w:sz w:val="16"/>
          <w:szCs w:val="16"/>
        </w:rPr>
        <w:t xml:space="preserve"> Ibid 30. </w:t>
      </w:r>
    </w:p>
  </w:footnote>
  <w:footnote w:id="22">
    <w:p w14:paraId="26FC5322" w14:textId="24348BAE" w:rsidR="009D00C8" w:rsidRPr="000304FA" w:rsidRDefault="009D00C8">
      <w:pPr>
        <w:pStyle w:val="FootnoteText"/>
        <w:rPr>
          <w:sz w:val="16"/>
          <w:szCs w:val="16"/>
        </w:rPr>
      </w:pPr>
      <w:r w:rsidRPr="000304FA">
        <w:rPr>
          <w:rStyle w:val="FootnoteReference"/>
          <w:sz w:val="16"/>
          <w:szCs w:val="16"/>
        </w:rPr>
        <w:footnoteRef/>
      </w:r>
      <w:r w:rsidRPr="000304FA">
        <w:rPr>
          <w:sz w:val="16"/>
          <w:szCs w:val="16"/>
        </w:rPr>
        <w:t xml:space="preserve"> </w:t>
      </w:r>
      <w:r w:rsidR="009A6E95">
        <w:rPr>
          <w:sz w:val="16"/>
          <w:szCs w:val="16"/>
        </w:rPr>
        <w:t xml:space="preserve">Ibid 6. </w:t>
      </w:r>
      <w:r w:rsidRPr="000304FA">
        <w:rPr>
          <w:sz w:val="16"/>
          <w:szCs w:val="16"/>
        </w:rPr>
        <w:t xml:space="preserve"> </w:t>
      </w:r>
    </w:p>
  </w:footnote>
  <w:footnote w:id="23">
    <w:p w14:paraId="76E9C0EE" w14:textId="27421608" w:rsidR="009A392E" w:rsidRPr="000304FA" w:rsidRDefault="009A392E">
      <w:pPr>
        <w:pStyle w:val="FootnoteText"/>
        <w:rPr>
          <w:sz w:val="16"/>
          <w:szCs w:val="16"/>
        </w:rPr>
      </w:pPr>
      <w:r w:rsidRPr="000304FA">
        <w:rPr>
          <w:rStyle w:val="FootnoteReference"/>
          <w:sz w:val="16"/>
          <w:szCs w:val="16"/>
        </w:rPr>
        <w:footnoteRef/>
      </w:r>
      <w:r w:rsidRPr="000304FA">
        <w:rPr>
          <w:sz w:val="16"/>
          <w:szCs w:val="16"/>
        </w:rPr>
        <w:t xml:space="preserve"> Ibid. </w:t>
      </w:r>
    </w:p>
  </w:footnote>
  <w:footnote w:id="24">
    <w:p w14:paraId="20C3CB57" w14:textId="23D9FEFA" w:rsidR="00AB7533" w:rsidRPr="000304FA" w:rsidRDefault="00AB7533">
      <w:pPr>
        <w:pStyle w:val="FootnoteText"/>
        <w:rPr>
          <w:sz w:val="16"/>
          <w:szCs w:val="16"/>
        </w:rPr>
      </w:pPr>
      <w:r w:rsidRPr="000304FA">
        <w:rPr>
          <w:rStyle w:val="FootnoteReference"/>
          <w:sz w:val="16"/>
          <w:szCs w:val="16"/>
        </w:rPr>
        <w:footnoteRef/>
      </w:r>
      <w:r w:rsidRPr="000304FA">
        <w:rPr>
          <w:sz w:val="16"/>
          <w:szCs w:val="16"/>
        </w:rPr>
        <w:t xml:space="preserve"> Ibid 18.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266D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9D26513" wp14:editId="577C4D43">
          <wp:simplePos x="0" y="0"/>
          <wp:positionH relativeFrom="column">
            <wp:posOffset>-4445</wp:posOffset>
          </wp:positionH>
          <wp:positionV relativeFrom="page">
            <wp:posOffset>224790</wp:posOffset>
          </wp:positionV>
          <wp:extent cx="777240" cy="335915"/>
          <wp:effectExtent l="0" t="0" r="3810" b="6985"/>
          <wp:wrapSquare wrapText="bothSides"/>
          <wp:docPr id="709136673" name="Picture 709136673"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6ACE87E" wp14:editId="42600BD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5B777D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3646C9"/>
    <w:multiLevelType w:val="hybridMultilevel"/>
    <w:tmpl w:val="C67A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337C5FB2"/>
    <w:multiLevelType w:val="multilevel"/>
    <w:tmpl w:val="6AFEEB4C"/>
    <w:numStyleLink w:val="Bullets"/>
  </w:abstractNum>
  <w:abstractNum w:abstractNumId="12"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C36E01"/>
    <w:multiLevelType w:val="hybridMultilevel"/>
    <w:tmpl w:val="56AC9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4752474"/>
    <w:multiLevelType w:val="hybridMultilevel"/>
    <w:tmpl w:val="0FAA4F10"/>
    <w:lvl w:ilvl="0" w:tplc="5FA24E0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817810"/>
    <w:multiLevelType w:val="hybridMultilevel"/>
    <w:tmpl w:val="3EFA47BE"/>
    <w:lvl w:ilvl="0" w:tplc="2DF463A6">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6"/>
  </w:num>
  <w:num w:numId="2" w16cid:durableId="1309937645">
    <w:abstractNumId w:val="17"/>
  </w:num>
  <w:num w:numId="3" w16cid:durableId="1363020806">
    <w:abstractNumId w:val="13"/>
  </w:num>
  <w:num w:numId="4" w16cid:durableId="239025159">
    <w:abstractNumId w:val="7"/>
  </w:num>
  <w:num w:numId="5" w16cid:durableId="2094617308">
    <w:abstractNumId w:val="0"/>
  </w:num>
  <w:num w:numId="6" w16cid:durableId="986864448">
    <w:abstractNumId w:val="31"/>
  </w:num>
  <w:num w:numId="7" w16cid:durableId="204946168">
    <w:abstractNumId w:val="2"/>
  </w:num>
  <w:num w:numId="8" w16cid:durableId="455099623">
    <w:abstractNumId w:val="23"/>
  </w:num>
  <w:num w:numId="9" w16cid:durableId="1137186840">
    <w:abstractNumId w:val="29"/>
  </w:num>
  <w:num w:numId="10" w16cid:durableId="777330096">
    <w:abstractNumId w:val="6"/>
  </w:num>
  <w:num w:numId="11" w16cid:durableId="1249999174">
    <w:abstractNumId w:val="33"/>
  </w:num>
  <w:num w:numId="12" w16cid:durableId="557977458">
    <w:abstractNumId w:val="10"/>
  </w:num>
  <w:num w:numId="13" w16cid:durableId="1941254348">
    <w:abstractNumId w:val="27"/>
  </w:num>
  <w:num w:numId="14" w16cid:durableId="906915118">
    <w:abstractNumId w:val="30"/>
  </w:num>
  <w:num w:numId="15" w16cid:durableId="1170877089">
    <w:abstractNumId w:val="21"/>
  </w:num>
  <w:num w:numId="16" w16cid:durableId="146635364">
    <w:abstractNumId w:val="16"/>
  </w:num>
  <w:num w:numId="17" w16cid:durableId="1411393860">
    <w:abstractNumId w:val="14"/>
  </w:num>
  <w:num w:numId="18" w16cid:durableId="654381262">
    <w:abstractNumId w:val="24"/>
  </w:num>
  <w:num w:numId="19" w16cid:durableId="226838686">
    <w:abstractNumId w:val="19"/>
  </w:num>
  <w:num w:numId="20" w16cid:durableId="480970995">
    <w:abstractNumId w:val="15"/>
  </w:num>
  <w:num w:numId="21" w16cid:durableId="1312520820">
    <w:abstractNumId w:val="36"/>
  </w:num>
  <w:num w:numId="22" w16cid:durableId="1253125788">
    <w:abstractNumId w:val="32"/>
  </w:num>
  <w:num w:numId="23" w16cid:durableId="699430088">
    <w:abstractNumId w:val="28"/>
  </w:num>
  <w:num w:numId="24" w16cid:durableId="351348626">
    <w:abstractNumId w:val="22"/>
  </w:num>
  <w:num w:numId="25" w16cid:durableId="1908613085">
    <w:abstractNumId w:val="3"/>
  </w:num>
  <w:num w:numId="26" w16cid:durableId="706226158">
    <w:abstractNumId w:val="5"/>
  </w:num>
  <w:num w:numId="27" w16cid:durableId="1278414560">
    <w:abstractNumId w:val="4"/>
  </w:num>
  <w:num w:numId="28" w16cid:durableId="758254510">
    <w:abstractNumId w:val="20"/>
  </w:num>
  <w:num w:numId="29" w16cid:durableId="473834808">
    <w:abstractNumId w:val="1"/>
  </w:num>
  <w:num w:numId="30" w16cid:durableId="1203983130">
    <w:abstractNumId w:val="35"/>
  </w:num>
  <w:num w:numId="31" w16cid:durableId="1014308645">
    <w:abstractNumId w:val="12"/>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2"/>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1"/>
  </w:num>
  <w:num w:numId="35" w16cid:durableId="2495120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2"/>
  </w:num>
  <w:num w:numId="37" w16cid:durableId="1211263568">
    <w:abstractNumId w:val="18"/>
  </w:num>
  <w:num w:numId="38" w16cid:durableId="2005738368">
    <w:abstractNumId w:val="34"/>
  </w:num>
  <w:num w:numId="39" w16cid:durableId="1921717313">
    <w:abstractNumId w:val="25"/>
  </w:num>
  <w:num w:numId="40" w16cid:durableId="1440057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81"/>
    <w:rsid w:val="00002592"/>
    <w:rsid w:val="00002A84"/>
    <w:rsid w:val="000039D9"/>
    <w:rsid w:val="00004F71"/>
    <w:rsid w:val="00006849"/>
    <w:rsid w:val="00006AAB"/>
    <w:rsid w:val="00006C00"/>
    <w:rsid w:val="00010190"/>
    <w:rsid w:val="0001160C"/>
    <w:rsid w:val="000130E1"/>
    <w:rsid w:val="00014E08"/>
    <w:rsid w:val="00014E7A"/>
    <w:rsid w:val="0001751C"/>
    <w:rsid w:val="00017FF5"/>
    <w:rsid w:val="00020140"/>
    <w:rsid w:val="0002144A"/>
    <w:rsid w:val="00021558"/>
    <w:rsid w:val="00021643"/>
    <w:rsid w:val="0002178D"/>
    <w:rsid w:val="000217FD"/>
    <w:rsid w:val="000218CC"/>
    <w:rsid w:val="00021E0E"/>
    <w:rsid w:val="00021EEE"/>
    <w:rsid w:val="00022392"/>
    <w:rsid w:val="00022D35"/>
    <w:rsid w:val="000244D8"/>
    <w:rsid w:val="00024E5A"/>
    <w:rsid w:val="00025032"/>
    <w:rsid w:val="00025FC3"/>
    <w:rsid w:val="000304FA"/>
    <w:rsid w:val="00030572"/>
    <w:rsid w:val="000305D5"/>
    <w:rsid w:val="00030D26"/>
    <w:rsid w:val="00031D6F"/>
    <w:rsid w:val="00031DE1"/>
    <w:rsid w:val="00032441"/>
    <w:rsid w:val="000341DA"/>
    <w:rsid w:val="000345B4"/>
    <w:rsid w:val="000362DE"/>
    <w:rsid w:val="000374B5"/>
    <w:rsid w:val="00040E6E"/>
    <w:rsid w:val="00042529"/>
    <w:rsid w:val="00043833"/>
    <w:rsid w:val="00044434"/>
    <w:rsid w:val="0004495A"/>
    <w:rsid w:val="0004526C"/>
    <w:rsid w:val="000459F5"/>
    <w:rsid w:val="0004644D"/>
    <w:rsid w:val="000474C0"/>
    <w:rsid w:val="00051536"/>
    <w:rsid w:val="000522C2"/>
    <w:rsid w:val="00052737"/>
    <w:rsid w:val="00052787"/>
    <w:rsid w:val="00052D56"/>
    <w:rsid w:val="000530BA"/>
    <w:rsid w:val="00053BD5"/>
    <w:rsid w:val="00053C92"/>
    <w:rsid w:val="0005555F"/>
    <w:rsid w:val="00056A12"/>
    <w:rsid w:val="00056D71"/>
    <w:rsid w:val="000576D9"/>
    <w:rsid w:val="00057A92"/>
    <w:rsid w:val="00060A34"/>
    <w:rsid w:val="0006129D"/>
    <w:rsid w:val="000614C1"/>
    <w:rsid w:val="00061D64"/>
    <w:rsid w:val="00062A46"/>
    <w:rsid w:val="00062E0E"/>
    <w:rsid w:val="00063DD0"/>
    <w:rsid w:val="00064CDF"/>
    <w:rsid w:val="00065EF4"/>
    <w:rsid w:val="00066C39"/>
    <w:rsid w:val="00066CD4"/>
    <w:rsid w:val="00067AF1"/>
    <w:rsid w:val="00072C5D"/>
    <w:rsid w:val="00074521"/>
    <w:rsid w:val="00075C32"/>
    <w:rsid w:val="0007674F"/>
    <w:rsid w:val="00077240"/>
    <w:rsid w:val="0008068C"/>
    <w:rsid w:val="00081B90"/>
    <w:rsid w:val="000830F0"/>
    <w:rsid w:val="00083F4B"/>
    <w:rsid w:val="000840C2"/>
    <w:rsid w:val="00086136"/>
    <w:rsid w:val="00086378"/>
    <w:rsid w:val="00086B63"/>
    <w:rsid w:val="000876AF"/>
    <w:rsid w:val="00090606"/>
    <w:rsid w:val="0009245D"/>
    <w:rsid w:val="00092798"/>
    <w:rsid w:val="000962BE"/>
    <w:rsid w:val="0009715B"/>
    <w:rsid w:val="000A0DE3"/>
    <w:rsid w:val="000A2A65"/>
    <w:rsid w:val="000A2AB3"/>
    <w:rsid w:val="000A3806"/>
    <w:rsid w:val="000A3FBC"/>
    <w:rsid w:val="000A41A1"/>
    <w:rsid w:val="000A4520"/>
    <w:rsid w:val="000B11EF"/>
    <w:rsid w:val="000B1725"/>
    <w:rsid w:val="000B2023"/>
    <w:rsid w:val="000B259A"/>
    <w:rsid w:val="000B2847"/>
    <w:rsid w:val="000B2C45"/>
    <w:rsid w:val="000B41C3"/>
    <w:rsid w:val="000B7682"/>
    <w:rsid w:val="000B7A9A"/>
    <w:rsid w:val="000C055E"/>
    <w:rsid w:val="000C1FD9"/>
    <w:rsid w:val="000C20FF"/>
    <w:rsid w:val="000C231C"/>
    <w:rsid w:val="000C38E5"/>
    <w:rsid w:val="000C463F"/>
    <w:rsid w:val="000C5BAA"/>
    <w:rsid w:val="000C7342"/>
    <w:rsid w:val="000C7431"/>
    <w:rsid w:val="000C7B00"/>
    <w:rsid w:val="000D0B97"/>
    <w:rsid w:val="000D17E4"/>
    <w:rsid w:val="000D18A2"/>
    <w:rsid w:val="000D21EC"/>
    <w:rsid w:val="000D33EE"/>
    <w:rsid w:val="000D3F85"/>
    <w:rsid w:val="000D5255"/>
    <w:rsid w:val="000D55B9"/>
    <w:rsid w:val="000D5950"/>
    <w:rsid w:val="000D67CC"/>
    <w:rsid w:val="000D6C9F"/>
    <w:rsid w:val="000E0A5E"/>
    <w:rsid w:val="000E1593"/>
    <w:rsid w:val="000E20F0"/>
    <w:rsid w:val="000E2A17"/>
    <w:rsid w:val="000E5CAE"/>
    <w:rsid w:val="000E624D"/>
    <w:rsid w:val="000E6D72"/>
    <w:rsid w:val="000E6F2E"/>
    <w:rsid w:val="000F0991"/>
    <w:rsid w:val="000F0B8E"/>
    <w:rsid w:val="000F1E4E"/>
    <w:rsid w:val="000F21D4"/>
    <w:rsid w:val="000F3072"/>
    <w:rsid w:val="000F3349"/>
    <w:rsid w:val="000F3856"/>
    <w:rsid w:val="000F3AAF"/>
    <w:rsid w:val="000F764C"/>
    <w:rsid w:val="00103495"/>
    <w:rsid w:val="00103999"/>
    <w:rsid w:val="00103DAC"/>
    <w:rsid w:val="00104DAD"/>
    <w:rsid w:val="00105D93"/>
    <w:rsid w:val="00106AEC"/>
    <w:rsid w:val="00106BF0"/>
    <w:rsid w:val="00111F02"/>
    <w:rsid w:val="00113465"/>
    <w:rsid w:val="001136E0"/>
    <w:rsid w:val="00113AE0"/>
    <w:rsid w:val="00114FE8"/>
    <w:rsid w:val="001217E2"/>
    <w:rsid w:val="001217FD"/>
    <w:rsid w:val="00121D47"/>
    <w:rsid w:val="00122DD1"/>
    <w:rsid w:val="0012333D"/>
    <w:rsid w:val="001234AF"/>
    <w:rsid w:val="00124F88"/>
    <w:rsid w:val="00125060"/>
    <w:rsid w:val="0012522F"/>
    <w:rsid w:val="00126183"/>
    <w:rsid w:val="0012626F"/>
    <w:rsid w:val="0012636E"/>
    <w:rsid w:val="0012663D"/>
    <w:rsid w:val="001270D6"/>
    <w:rsid w:val="001275E7"/>
    <w:rsid w:val="001276B8"/>
    <w:rsid w:val="00130352"/>
    <w:rsid w:val="00130E70"/>
    <w:rsid w:val="00131A63"/>
    <w:rsid w:val="001320A0"/>
    <w:rsid w:val="00132365"/>
    <w:rsid w:val="00132C91"/>
    <w:rsid w:val="001333BE"/>
    <w:rsid w:val="00134BAC"/>
    <w:rsid w:val="00135818"/>
    <w:rsid w:val="00135C01"/>
    <w:rsid w:val="00135DF6"/>
    <w:rsid w:val="001365A1"/>
    <w:rsid w:val="00136E66"/>
    <w:rsid w:val="00137C51"/>
    <w:rsid w:val="00140E1F"/>
    <w:rsid w:val="00145394"/>
    <w:rsid w:val="00146383"/>
    <w:rsid w:val="00147139"/>
    <w:rsid w:val="00150873"/>
    <w:rsid w:val="001514F8"/>
    <w:rsid w:val="0015159F"/>
    <w:rsid w:val="00151EAB"/>
    <w:rsid w:val="001531E7"/>
    <w:rsid w:val="001537A7"/>
    <w:rsid w:val="001605C9"/>
    <w:rsid w:val="00160659"/>
    <w:rsid w:val="001613DB"/>
    <w:rsid w:val="001617F8"/>
    <w:rsid w:val="00161B2B"/>
    <w:rsid w:val="001622B3"/>
    <w:rsid w:val="001623E5"/>
    <w:rsid w:val="00163200"/>
    <w:rsid w:val="00163B56"/>
    <w:rsid w:val="00167714"/>
    <w:rsid w:val="0017083D"/>
    <w:rsid w:val="001712D5"/>
    <w:rsid w:val="00171821"/>
    <w:rsid w:val="0017298F"/>
    <w:rsid w:val="00172EA2"/>
    <w:rsid w:val="001730E0"/>
    <w:rsid w:val="001754ED"/>
    <w:rsid w:val="00175B17"/>
    <w:rsid w:val="001766A1"/>
    <w:rsid w:val="00176C26"/>
    <w:rsid w:val="00177907"/>
    <w:rsid w:val="00177B5D"/>
    <w:rsid w:val="001828D8"/>
    <w:rsid w:val="001832BC"/>
    <w:rsid w:val="00184E49"/>
    <w:rsid w:val="001852BF"/>
    <w:rsid w:val="00185442"/>
    <w:rsid w:val="00190012"/>
    <w:rsid w:val="00192DDF"/>
    <w:rsid w:val="0019340F"/>
    <w:rsid w:val="001937C9"/>
    <w:rsid w:val="00193DB9"/>
    <w:rsid w:val="0019461C"/>
    <w:rsid w:val="001948E0"/>
    <w:rsid w:val="00194B7F"/>
    <w:rsid w:val="0019567C"/>
    <w:rsid w:val="00196FE2"/>
    <w:rsid w:val="00197FA0"/>
    <w:rsid w:val="001A0171"/>
    <w:rsid w:val="001A0594"/>
    <w:rsid w:val="001A2736"/>
    <w:rsid w:val="001A2BA5"/>
    <w:rsid w:val="001A3380"/>
    <w:rsid w:val="001A5600"/>
    <w:rsid w:val="001A5738"/>
    <w:rsid w:val="001A5ACB"/>
    <w:rsid w:val="001A60E4"/>
    <w:rsid w:val="001A772D"/>
    <w:rsid w:val="001B0DED"/>
    <w:rsid w:val="001B4F92"/>
    <w:rsid w:val="001B5856"/>
    <w:rsid w:val="001B5FB2"/>
    <w:rsid w:val="001B617E"/>
    <w:rsid w:val="001B63DD"/>
    <w:rsid w:val="001B6438"/>
    <w:rsid w:val="001B7B21"/>
    <w:rsid w:val="001C11AF"/>
    <w:rsid w:val="001C2391"/>
    <w:rsid w:val="001C34FC"/>
    <w:rsid w:val="001C40D8"/>
    <w:rsid w:val="001C4264"/>
    <w:rsid w:val="001C672F"/>
    <w:rsid w:val="001C67EA"/>
    <w:rsid w:val="001C7152"/>
    <w:rsid w:val="001C73F4"/>
    <w:rsid w:val="001D09C9"/>
    <w:rsid w:val="001D2405"/>
    <w:rsid w:val="001D36F5"/>
    <w:rsid w:val="001D561A"/>
    <w:rsid w:val="001D5C22"/>
    <w:rsid w:val="001D64B9"/>
    <w:rsid w:val="001D6F9E"/>
    <w:rsid w:val="001D7A1B"/>
    <w:rsid w:val="001E1AE7"/>
    <w:rsid w:val="001E1E77"/>
    <w:rsid w:val="001E2896"/>
    <w:rsid w:val="001E3CC3"/>
    <w:rsid w:val="001E6D9B"/>
    <w:rsid w:val="001E7889"/>
    <w:rsid w:val="001F013B"/>
    <w:rsid w:val="001F1240"/>
    <w:rsid w:val="001F23D3"/>
    <w:rsid w:val="001F3911"/>
    <w:rsid w:val="001F3B7A"/>
    <w:rsid w:val="001F7374"/>
    <w:rsid w:val="001F77F6"/>
    <w:rsid w:val="001F7EB1"/>
    <w:rsid w:val="0020028A"/>
    <w:rsid w:val="00200982"/>
    <w:rsid w:val="00202CEB"/>
    <w:rsid w:val="002036A1"/>
    <w:rsid w:val="00207BED"/>
    <w:rsid w:val="00207EC8"/>
    <w:rsid w:val="00211174"/>
    <w:rsid w:val="002118F3"/>
    <w:rsid w:val="00211E79"/>
    <w:rsid w:val="00213850"/>
    <w:rsid w:val="002140FC"/>
    <w:rsid w:val="0021413E"/>
    <w:rsid w:val="00214C8D"/>
    <w:rsid w:val="00215005"/>
    <w:rsid w:val="0021548C"/>
    <w:rsid w:val="0021558D"/>
    <w:rsid w:val="00216ACF"/>
    <w:rsid w:val="00216E8C"/>
    <w:rsid w:val="00221EE2"/>
    <w:rsid w:val="00223840"/>
    <w:rsid w:val="002258EE"/>
    <w:rsid w:val="002263A9"/>
    <w:rsid w:val="002267FD"/>
    <w:rsid w:val="00231674"/>
    <w:rsid w:val="00231938"/>
    <w:rsid w:val="002366E4"/>
    <w:rsid w:val="002412A0"/>
    <w:rsid w:val="00242EAA"/>
    <w:rsid w:val="002446C4"/>
    <w:rsid w:val="00244FE0"/>
    <w:rsid w:val="00245265"/>
    <w:rsid w:val="00246ACC"/>
    <w:rsid w:val="00247E93"/>
    <w:rsid w:val="002515B9"/>
    <w:rsid w:val="00251782"/>
    <w:rsid w:val="00251939"/>
    <w:rsid w:val="00251CE1"/>
    <w:rsid w:val="002520EE"/>
    <w:rsid w:val="00252148"/>
    <w:rsid w:val="00252E5E"/>
    <w:rsid w:val="00252EF6"/>
    <w:rsid w:val="0025438B"/>
    <w:rsid w:val="002557C5"/>
    <w:rsid w:val="0025604E"/>
    <w:rsid w:val="002567BC"/>
    <w:rsid w:val="0026030A"/>
    <w:rsid w:val="00260397"/>
    <w:rsid w:val="002614D7"/>
    <w:rsid w:val="00261658"/>
    <w:rsid w:val="00261BA9"/>
    <w:rsid w:val="0026420E"/>
    <w:rsid w:val="0026652F"/>
    <w:rsid w:val="0026705E"/>
    <w:rsid w:val="0027168A"/>
    <w:rsid w:val="00271720"/>
    <w:rsid w:val="002718A5"/>
    <w:rsid w:val="002719DA"/>
    <w:rsid w:val="00272512"/>
    <w:rsid w:val="00272B6D"/>
    <w:rsid w:val="00273C72"/>
    <w:rsid w:val="00274126"/>
    <w:rsid w:val="00274E04"/>
    <w:rsid w:val="00275427"/>
    <w:rsid w:val="002757BE"/>
    <w:rsid w:val="00275D16"/>
    <w:rsid w:val="0027638E"/>
    <w:rsid w:val="002767A3"/>
    <w:rsid w:val="00276F66"/>
    <w:rsid w:val="00277360"/>
    <w:rsid w:val="00277BA3"/>
    <w:rsid w:val="0028007C"/>
    <w:rsid w:val="002801B4"/>
    <w:rsid w:val="00280451"/>
    <w:rsid w:val="00280E17"/>
    <w:rsid w:val="00280E88"/>
    <w:rsid w:val="00281129"/>
    <w:rsid w:val="00281259"/>
    <w:rsid w:val="00281CE2"/>
    <w:rsid w:val="00281FF9"/>
    <w:rsid w:val="00282A01"/>
    <w:rsid w:val="00283200"/>
    <w:rsid w:val="00284456"/>
    <w:rsid w:val="002854B6"/>
    <w:rsid w:val="00286263"/>
    <w:rsid w:val="0028661C"/>
    <w:rsid w:val="0028734E"/>
    <w:rsid w:val="002904FB"/>
    <w:rsid w:val="00292EF6"/>
    <w:rsid w:val="00294208"/>
    <w:rsid w:val="00296FA3"/>
    <w:rsid w:val="002A1728"/>
    <w:rsid w:val="002A1BC6"/>
    <w:rsid w:val="002A1BD3"/>
    <w:rsid w:val="002A1FFE"/>
    <w:rsid w:val="002A236C"/>
    <w:rsid w:val="002A4CBF"/>
    <w:rsid w:val="002A6483"/>
    <w:rsid w:val="002A6F2B"/>
    <w:rsid w:val="002B0920"/>
    <w:rsid w:val="002B143B"/>
    <w:rsid w:val="002B160F"/>
    <w:rsid w:val="002B1AAE"/>
    <w:rsid w:val="002B2233"/>
    <w:rsid w:val="002B2D6F"/>
    <w:rsid w:val="002B429F"/>
    <w:rsid w:val="002B432D"/>
    <w:rsid w:val="002B4FEE"/>
    <w:rsid w:val="002B6C73"/>
    <w:rsid w:val="002C050D"/>
    <w:rsid w:val="002C0967"/>
    <w:rsid w:val="002C0AE1"/>
    <w:rsid w:val="002C17E9"/>
    <w:rsid w:val="002C21D2"/>
    <w:rsid w:val="002C30D3"/>
    <w:rsid w:val="002C58B8"/>
    <w:rsid w:val="002C7F9B"/>
    <w:rsid w:val="002D0309"/>
    <w:rsid w:val="002D0E21"/>
    <w:rsid w:val="002D0EF1"/>
    <w:rsid w:val="002D1707"/>
    <w:rsid w:val="002D18C5"/>
    <w:rsid w:val="002D286C"/>
    <w:rsid w:val="002D3A0E"/>
    <w:rsid w:val="002D61B9"/>
    <w:rsid w:val="002D6F87"/>
    <w:rsid w:val="002D71DB"/>
    <w:rsid w:val="002D7ACE"/>
    <w:rsid w:val="002E0A6D"/>
    <w:rsid w:val="002E1A64"/>
    <w:rsid w:val="002E225B"/>
    <w:rsid w:val="002E2CCD"/>
    <w:rsid w:val="002E348A"/>
    <w:rsid w:val="002E48E5"/>
    <w:rsid w:val="002E4DF3"/>
    <w:rsid w:val="002E4FFE"/>
    <w:rsid w:val="002E5AFB"/>
    <w:rsid w:val="002E74A4"/>
    <w:rsid w:val="002F0D21"/>
    <w:rsid w:val="002F0F8D"/>
    <w:rsid w:val="002F1108"/>
    <w:rsid w:val="002F1EFA"/>
    <w:rsid w:val="002F228B"/>
    <w:rsid w:val="002F26A4"/>
    <w:rsid w:val="002F292E"/>
    <w:rsid w:val="002F2ADF"/>
    <w:rsid w:val="002F425A"/>
    <w:rsid w:val="002F48F3"/>
    <w:rsid w:val="002F580F"/>
    <w:rsid w:val="002F5E8C"/>
    <w:rsid w:val="002F604C"/>
    <w:rsid w:val="002F6143"/>
    <w:rsid w:val="00301A71"/>
    <w:rsid w:val="00301D3A"/>
    <w:rsid w:val="003025AF"/>
    <w:rsid w:val="00302A8F"/>
    <w:rsid w:val="00302D3C"/>
    <w:rsid w:val="003065DD"/>
    <w:rsid w:val="00310CBD"/>
    <w:rsid w:val="003113F6"/>
    <w:rsid w:val="003134D9"/>
    <w:rsid w:val="00313CB4"/>
    <w:rsid w:val="003145B1"/>
    <w:rsid w:val="00314AF2"/>
    <w:rsid w:val="003151A6"/>
    <w:rsid w:val="00315E14"/>
    <w:rsid w:val="00315E46"/>
    <w:rsid w:val="00316094"/>
    <w:rsid w:val="0031654A"/>
    <w:rsid w:val="00317E1B"/>
    <w:rsid w:val="00321004"/>
    <w:rsid w:val="0032136A"/>
    <w:rsid w:val="0032317E"/>
    <w:rsid w:val="0032391F"/>
    <w:rsid w:val="003327A2"/>
    <w:rsid w:val="003333E3"/>
    <w:rsid w:val="00333E28"/>
    <w:rsid w:val="00333F12"/>
    <w:rsid w:val="00334B85"/>
    <w:rsid w:val="0033543A"/>
    <w:rsid w:val="00336159"/>
    <w:rsid w:val="003367F5"/>
    <w:rsid w:val="00336AE7"/>
    <w:rsid w:val="00336BC3"/>
    <w:rsid w:val="00336F1E"/>
    <w:rsid w:val="003403FD"/>
    <w:rsid w:val="00340A76"/>
    <w:rsid w:val="00341D10"/>
    <w:rsid w:val="003437B0"/>
    <w:rsid w:val="00343BF7"/>
    <w:rsid w:val="00343CDD"/>
    <w:rsid w:val="003444A4"/>
    <w:rsid w:val="00345E12"/>
    <w:rsid w:val="00347170"/>
    <w:rsid w:val="00350961"/>
    <w:rsid w:val="00351C15"/>
    <w:rsid w:val="00351F70"/>
    <w:rsid w:val="003521C8"/>
    <w:rsid w:val="003532F3"/>
    <w:rsid w:val="00357900"/>
    <w:rsid w:val="00360559"/>
    <w:rsid w:val="00360736"/>
    <w:rsid w:val="00360987"/>
    <w:rsid w:val="003622F3"/>
    <w:rsid w:val="0036317C"/>
    <w:rsid w:val="00364A72"/>
    <w:rsid w:val="003658B2"/>
    <w:rsid w:val="00365956"/>
    <w:rsid w:val="00370BF8"/>
    <w:rsid w:val="003720EF"/>
    <w:rsid w:val="00372305"/>
    <w:rsid w:val="003729B9"/>
    <w:rsid w:val="00372F65"/>
    <w:rsid w:val="003734C2"/>
    <w:rsid w:val="003742A1"/>
    <w:rsid w:val="003749A0"/>
    <w:rsid w:val="003753FF"/>
    <w:rsid w:val="0037583D"/>
    <w:rsid w:val="00376526"/>
    <w:rsid w:val="00381C48"/>
    <w:rsid w:val="00383369"/>
    <w:rsid w:val="0038397D"/>
    <w:rsid w:val="00383C3D"/>
    <w:rsid w:val="003867A2"/>
    <w:rsid w:val="00386C98"/>
    <w:rsid w:val="00387825"/>
    <w:rsid w:val="003918D1"/>
    <w:rsid w:val="00391F33"/>
    <w:rsid w:val="0039400D"/>
    <w:rsid w:val="0039416E"/>
    <w:rsid w:val="003A0471"/>
    <w:rsid w:val="003A0A59"/>
    <w:rsid w:val="003A1858"/>
    <w:rsid w:val="003A22CB"/>
    <w:rsid w:val="003A2485"/>
    <w:rsid w:val="003A284A"/>
    <w:rsid w:val="003A2875"/>
    <w:rsid w:val="003A2EAA"/>
    <w:rsid w:val="003A3C32"/>
    <w:rsid w:val="003A4429"/>
    <w:rsid w:val="003A504A"/>
    <w:rsid w:val="003A71AD"/>
    <w:rsid w:val="003B0198"/>
    <w:rsid w:val="003B23A6"/>
    <w:rsid w:val="003B2FC6"/>
    <w:rsid w:val="003B37B3"/>
    <w:rsid w:val="003B4F26"/>
    <w:rsid w:val="003B4F60"/>
    <w:rsid w:val="003B6983"/>
    <w:rsid w:val="003C03B7"/>
    <w:rsid w:val="003C1118"/>
    <w:rsid w:val="003C3084"/>
    <w:rsid w:val="003C3577"/>
    <w:rsid w:val="003C4848"/>
    <w:rsid w:val="003C530F"/>
    <w:rsid w:val="003C5819"/>
    <w:rsid w:val="003C6711"/>
    <w:rsid w:val="003C7551"/>
    <w:rsid w:val="003D046B"/>
    <w:rsid w:val="003D1CDF"/>
    <w:rsid w:val="003D2F73"/>
    <w:rsid w:val="003D5727"/>
    <w:rsid w:val="003D5997"/>
    <w:rsid w:val="003D7C36"/>
    <w:rsid w:val="003D7DCC"/>
    <w:rsid w:val="003E0713"/>
    <w:rsid w:val="003E2DAA"/>
    <w:rsid w:val="003E3D2C"/>
    <w:rsid w:val="003E57DE"/>
    <w:rsid w:val="003E5B17"/>
    <w:rsid w:val="003F0FC3"/>
    <w:rsid w:val="003F3699"/>
    <w:rsid w:val="003F3FBD"/>
    <w:rsid w:val="003F45B1"/>
    <w:rsid w:val="003F74E3"/>
    <w:rsid w:val="003F755F"/>
    <w:rsid w:val="003F78BC"/>
    <w:rsid w:val="00400649"/>
    <w:rsid w:val="004007B2"/>
    <w:rsid w:val="00400DD8"/>
    <w:rsid w:val="00401182"/>
    <w:rsid w:val="004014E3"/>
    <w:rsid w:val="00401520"/>
    <w:rsid w:val="00401BE0"/>
    <w:rsid w:val="00401C2C"/>
    <w:rsid w:val="0040204B"/>
    <w:rsid w:val="0040288A"/>
    <w:rsid w:val="00403105"/>
    <w:rsid w:val="00403F9C"/>
    <w:rsid w:val="00405151"/>
    <w:rsid w:val="0040544A"/>
    <w:rsid w:val="0040553A"/>
    <w:rsid w:val="004107DD"/>
    <w:rsid w:val="004112F5"/>
    <w:rsid w:val="00411334"/>
    <w:rsid w:val="00413565"/>
    <w:rsid w:val="00415050"/>
    <w:rsid w:val="0041565C"/>
    <w:rsid w:val="004159EE"/>
    <w:rsid w:val="004167DE"/>
    <w:rsid w:val="004205D1"/>
    <w:rsid w:val="00421EF9"/>
    <w:rsid w:val="00426E45"/>
    <w:rsid w:val="00427646"/>
    <w:rsid w:val="00430604"/>
    <w:rsid w:val="00431616"/>
    <w:rsid w:val="00431DB3"/>
    <w:rsid w:val="00432683"/>
    <w:rsid w:val="0043310D"/>
    <w:rsid w:val="0043316C"/>
    <w:rsid w:val="00433638"/>
    <w:rsid w:val="00434842"/>
    <w:rsid w:val="00434C0C"/>
    <w:rsid w:val="00435029"/>
    <w:rsid w:val="00436D2D"/>
    <w:rsid w:val="00437029"/>
    <w:rsid w:val="0043790C"/>
    <w:rsid w:val="004405D5"/>
    <w:rsid w:val="00441812"/>
    <w:rsid w:val="00441FB9"/>
    <w:rsid w:val="004431B1"/>
    <w:rsid w:val="00443D19"/>
    <w:rsid w:val="004459D2"/>
    <w:rsid w:val="00445BB7"/>
    <w:rsid w:val="00445CB6"/>
    <w:rsid w:val="00445D76"/>
    <w:rsid w:val="00451585"/>
    <w:rsid w:val="004523A4"/>
    <w:rsid w:val="004528C4"/>
    <w:rsid w:val="004532F8"/>
    <w:rsid w:val="00453DC0"/>
    <w:rsid w:val="00455428"/>
    <w:rsid w:val="00456C63"/>
    <w:rsid w:val="00456C80"/>
    <w:rsid w:val="004572B8"/>
    <w:rsid w:val="00457A53"/>
    <w:rsid w:val="00457EB0"/>
    <w:rsid w:val="00460AB8"/>
    <w:rsid w:val="00461876"/>
    <w:rsid w:val="00461AA6"/>
    <w:rsid w:val="00462EFE"/>
    <w:rsid w:val="004631F9"/>
    <w:rsid w:val="00463596"/>
    <w:rsid w:val="004652AC"/>
    <w:rsid w:val="00467840"/>
    <w:rsid w:val="004702CD"/>
    <w:rsid w:val="00470338"/>
    <w:rsid w:val="004707A4"/>
    <w:rsid w:val="00470B4F"/>
    <w:rsid w:val="004718F9"/>
    <w:rsid w:val="004729ED"/>
    <w:rsid w:val="00472A35"/>
    <w:rsid w:val="00473F75"/>
    <w:rsid w:val="0047590B"/>
    <w:rsid w:val="00477841"/>
    <w:rsid w:val="00480FFA"/>
    <w:rsid w:val="0048163E"/>
    <w:rsid w:val="004818FF"/>
    <w:rsid w:val="004819CE"/>
    <w:rsid w:val="00484120"/>
    <w:rsid w:val="00485226"/>
    <w:rsid w:val="00486678"/>
    <w:rsid w:val="0048784D"/>
    <w:rsid w:val="00487898"/>
    <w:rsid w:val="00487E7D"/>
    <w:rsid w:val="00487EC4"/>
    <w:rsid w:val="00490353"/>
    <w:rsid w:val="00491F05"/>
    <w:rsid w:val="004925B4"/>
    <w:rsid w:val="00492DA2"/>
    <w:rsid w:val="00493666"/>
    <w:rsid w:val="0049384B"/>
    <w:rsid w:val="00494F02"/>
    <w:rsid w:val="0049502E"/>
    <w:rsid w:val="004969CF"/>
    <w:rsid w:val="00497F47"/>
    <w:rsid w:val="004A2324"/>
    <w:rsid w:val="004A2CE9"/>
    <w:rsid w:val="004A3908"/>
    <w:rsid w:val="004A5156"/>
    <w:rsid w:val="004A5421"/>
    <w:rsid w:val="004A59D4"/>
    <w:rsid w:val="004A5E82"/>
    <w:rsid w:val="004A631E"/>
    <w:rsid w:val="004A65A4"/>
    <w:rsid w:val="004A6815"/>
    <w:rsid w:val="004A6866"/>
    <w:rsid w:val="004A6F23"/>
    <w:rsid w:val="004A7422"/>
    <w:rsid w:val="004B0BBF"/>
    <w:rsid w:val="004B2773"/>
    <w:rsid w:val="004B7A5E"/>
    <w:rsid w:val="004C04CB"/>
    <w:rsid w:val="004C09B2"/>
    <w:rsid w:val="004C175A"/>
    <w:rsid w:val="004C2BD6"/>
    <w:rsid w:val="004C413F"/>
    <w:rsid w:val="004C475D"/>
    <w:rsid w:val="004C49E2"/>
    <w:rsid w:val="004C6001"/>
    <w:rsid w:val="004C644B"/>
    <w:rsid w:val="004C6BEC"/>
    <w:rsid w:val="004D0033"/>
    <w:rsid w:val="004D01B3"/>
    <w:rsid w:val="004D1D60"/>
    <w:rsid w:val="004D1EC9"/>
    <w:rsid w:val="004D34AA"/>
    <w:rsid w:val="004D39C5"/>
    <w:rsid w:val="004D4D1C"/>
    <w:rsid w:val="004D4D32"/>
    <w:rsid w:val="004D4D8A"/>
    <w:rsid w:val="004D5DF9"/>
    <w:rsid w:val="004D7B20"/>
    <w:rsid w:val="004E137E"/>
    <w:rsid w:val="004E144C"/>
    <w:rsid w:val="004E1C86"/>
    <w:rsid w:val="004E1F91"/>
    <w:rsid w:val="004E2FD7"/>
    <w:rsid w:val="004E3F58"/>
    <w:rsid w:val="004E5143"/>
    <w:rsid w:val="004E54E8"/>
    <w:rsid w:val="004E5CEE"/>
    <w:rsid w:val="004E784C"/>
    <w:rsid w:val="004F0426"/>
    <w:rsid w:val="004F0512"/>
    <w:rsid w:val="004F0DF9"/>
    <w:rsid w:val="004F16E4"/>
    <w:rsid w:val="004F329C"/>
    <w:rsid w:val="004F4BCB"/>
    <w:rsid w:val="004F4E15"/>
    <w:rsid w:val="004F53E8"/>
    <w:rsid w:val="004F757D"/>
    <w:rsid w:val="004F7B76"/>
    <w:rsid w:val="00500C39"/>
    <w:rsid w:val="00501A0A"/>
    <w:rsid w:val="0050401D"/>
    <w:rsid w:val="00505946"/>
    <w:rsid w:val="00507159"/>
    <w:rsid w:val="005073B2"/>
    <w:rsid w:val="00510D4B"/>
    <w:rsid w:val="00511326"/>
    <w:rsid w:val="00511465"/>
    <w:rsid w:val="0051223B"/>
    <w:rsid w:val="0051227E"/>
    <w:rsid w:val="0051261A"/>
    <w:rsid w:val="00512C16"/>
    <w:rsid w:val="0051315D"/>
    <w:rsid w:val="00516672"/>
    <w:rsid w:val="005172A4"/>
    <w:rsid w:val="00520F36"/>
    <w:rsid w:val="00523A77"/>
    <w:rsid w:val="00525A81"/>
    <w:rsid w:val="005278C6"/>
    <w:rsid w:val="00531161"/>
    <w:rsid w:val="00531D89"/>
    <w:rsid w:val="00533CCD"/>
    <w:rsid w:val="00533D81"/>
    <w:rsid w:val="00537139"/>
    <w:rsid w:val="005401FE"/>
    <w:rsid w:val="00540A91"/>
    <w:rsid w:val="005415AD"/>
    <w:rsid w:val="00542492"/>
    <w:rsid w:val="005424F9"/>
    <w:rsid w:val="005428CD"/>
    <w:rsid w:val="00544CE4"/>
    <w:rsid w:val="0054584B"/>
    <w:rsid w:val="00545E34"/>
    <w:rsid w:val="00546FA4"/>
    <w:rsid w:val="0055246A"/>
    <w:rsid w:val="00552B60"/>
    <w:rsid w:val="0055356F"/>
    <w:rsid w:val="00554E89"/>
    <w:rsid w:val="005559F4"/>
    <w:rsid w:val="00556375"/>
    <w:rsid w:val="00557D9A"/>
    <w:rsid w:val="00560159"/>
    <w:rsid w:val="0056134B"/>
    <w:rsid w:val="00561E5E"/>
    <w:rsid w:val="005623FF"/>
    <w:rsid w:val="00562D0F"/>
    <w:rsid w:val="00563EA6"/>
    <w:rsid w:val="00564268"/>
    <w:rsid w:val="00565C88"/>
    <w:rsid w:val="00565E28"/>
    <w:rsid w:val="00566935"/>
    <w:rsid w:val="00566EB6"/>
    <w:rsid w:val="00567464"/>
    <w:rsid w:val="00571665"/>
    <w:rsid w:val="00571A94"/>
    <w:rsid w:val="005725DB"/>
    <w:rsid w:val="00572C70"/>
    <w:rsid w:val="00574AFF"/>
    <w:rsid w:val="0057560A"/>
    <w:rsid w:val="0057575D"/>
    <w:rsid w:val="00576D4A"/>
    <w:rsid w:val="005770BF"/>
    <w:rsid w:val="00577192"/>
    <w:rsid w:val="00577E2D"/>
    <w:rsid w:val="0058019C"/>
    <w:rsid w:val="005870DC"/>
    <w:rsid w:val="0058712C"/>
    <w:rsid w:val="0058767E"/>
    <w:rsid w:val="00587E39"/>
    <w:rsid w:val="005923EA"/>
    <w:rsid w:val="00593AF7"/>
    <w:rsid w:val="005946B9"/>
    <w:rsid w:val="005948E8"/>
    <w:rsid w:val="00594C44"/>
    <w:rsid w:val="005A0D71"/>
    <w:rsid w:val="005A23CC"/>
    <w:rsid w:val="005A2642"/>
    <w:rsid w:val="005A5745"/>
    <w:rsid w:val="005A6986"/>
    <w:rsid w:val="005A6C8A"/>
    <w:rsid w:val="005A7E55"/>
    <w:rsid w:val="005B01CA"/>
    <w:rsid w:val="005B091B"/>
    <w:rsid w:val="005B0A64"/>
    <w:rsid w:val="005B304A"/>
    <w:rsid w:val="005B3823"/>
    <w:rsid w:val="005B3D95"/>
    <w:rsid w:val="005B41B7"/>
    <w:rsid w:val="005B6301"/>
    <w:rsid w:val="005B7A51"/>
    <w:rsid w:val="005B7B2B"/>
    <w:rsid w:val="005C0FBD"/>
    <w:rsid w:val="005C1FFF"/>
    <w:rsid w:val="005C2945"/>
    <w:rsid w:val="005C3340"/>
    <w:rsid w:val="005C44CB"/>
    <w:rsid w:val="005C4FE5"/>
    <w:rsid w:val="005C6417"/>
    <w:rsid w:val="005C64CC"/>
    <w:rsid w:val="005C6875"/>
    <w:rsid w:val="005D0532"/>
    <w:rsid w:val="005D0660"/>
    <w:rsid w:val="005D1AD2"/>
    <w:rsid w:val="005D1DC9"/>
    <w:rsid w:val="005D1E0B"/>
    <w:rsid w:val="005D3980"/>
    <w:rsid w:val="005D3A52"/>
    <w:rsid w:val="005D7B89"/>
    <w:rsid w:val="005D7FB8"/>
    <w:rsid w:val="005E0929"/>
    <w:rsid w:val="005E1D01"/>
    <w:rsid w:val="005E1D95"/>
    <w:rsid w:val="005E28DD"/>
    <w:rsid w:val="005E2E86"/>
    <w:rsid w:val="005E4EEA"/>
    <w:rsid w:val="005E57B7"/>
    <w:rsid w:val="005E76B5"/>
    <w:rsid w:val="005F4322"/>
    <w:rsid w:val="005F5F10"/>
    <w:rsid w:val="005F7AF4"/>
    <w:rsid w:val="005F7DF4"/>
    <w:rsid w:val="0060129D"/>
    <w:rsid w:val="0060206F"/>
    <w:rsid w:val="00602180"/>
    <w:rsid w:val="00604233"/>
    <w:rsid w:val="00604680"/>
    <w:rsid w:val="006059A8"/>
    <w:rsid w:val="0060609A"/>
    <w:rsid w:val="00607042"/>
    <w:rsid w:val="00607B43"/>
    <w:rsid w:val="00607DCF"/>
    <w:rsid w:val="00610157"/>
    <w:rsid w:val="006104FE"/>
    <w:rsid w:val="00610888"/>
    <w:rsid w:val="006116A6"/>
    <w:rsid w:val="00612473"/>
    <w:rsid w:val="00612652"/>
    <w:rsid w:val="00613277"/>
    <w:rsid w:val="0061685B"/>
    <w:rsid w:val="00616A50"/>
    <w:rsid w:val="00616D29"/>
    <w:rsid w:val="00616D2F"/>
    <w:rsid w:val="00616FE8"/>
    <w:rsid w:val="006175F1"/>
    <w:rsid w:val="0061785C"/>
    <w:rsid w:val="006205B0"/>
    <w:rsid w:val="00620895"/>
    <w:rsid w:val="00623477"/>
    <w:rsid w:val="0062369B"/>
    <w:rsid w:val="00623803"/>
    <w:rsid w:val="006260F2"/>
    <w:rsid w:val="00626120"/>
    <w:rsid w:val="00626BB2"/>
    <w:rsid w:val="0062761A"/>
    <w:rsid w:val="006319A4"/>
    <w:rsid w:val="00632708"/>
    <w:rsid w:val="006331D4"/>
    <w:rsid w:val="00633E41"/>
    <w:rsid w:val="006350D4"/>
    <w:rsid w:val="0063541B"/>
    <w:rsid w:val="00635FCE"/>
    <w:rsid w:val="006365CB"/>
    <w:rsid w:val="00636CB2"/>
    <w:rsid w:val="0063714D"/>
    <w:rsid w:val="00637267"/>
    <w:rsid w:val="006379C0"/>
    <w:rsid w:val="00641555"/>
    <w:rsid w:val="0064170A"/>
    <w:rsid w:val="006417CE"/>
    <w:rsid w:val="006422C6"/>
    <w:rsid w:val="00642394"/>
    <w:rsid w:val="00642477"/>
    <w:rsid w:val="0064256A"/>
    <w:rsid w:val="0064428D"/>
    <w:rsid w:val="0064568C"/>
    <w:rsid w:val="00646957"/>
    <w:rsid w:val="006474A4"/>
    <w:rsid w:val="006501BE"/>
    <w:rsid w:val="006508A3"/>
    <w:rsid w:val="00650CC2"/>
    <w:rsid w:val="006538CE"/>
    <w:rsid w:val="0065393B"/>
    <w:rsid w:val="006545DD"/>
    <w:rsid w:val="00654DC5"/>
    <w:rsid w:val="00655941"/>
    <w:rsid w:val="00655C1D"/>
    <w:rsid w:val="00655CA6"/>
    <w:rsid w:val="00660610"/>
    <w:rsid w:val="006608AE"/>
    <w:rsid w:val="00661E11"/>
    <w:rsid w:val="00662263"/>
    <w:rsid w:val="006628BD"/>
    <w:rsid w:val="006633C9"/>
    <w:rsid w:val="00663DC2"/>
    <w:rsid w:val="00664339"/>
    <w:rsid w:val="00665366"/>
    <w:rsid w:val="0066764F"/>
    <w:rsid w:val="006702C9"/>
    <w:rsid w:val="00671DFD"/>
    <w:rsid w:val="0067235B"/>
    <w:rsid w:val="00672B90"/>
    <w:rsid w:val="006747FE"/>
    <w:rsid w:val="006808CE"/>
    <w:rsid w:val="00680E33"/>
    <w:rsid w:val="00681496"/>
    <w:rsid w:val="00681A8C"/>
    <w:rsid w:val="00685511"/>
    <w:rsid w:val="0068607D"/>
    <w:rsid w:val="006860F1"/>
    <w:rsid w:val="00691F58"/>
    <w:rsid w:val="00692275"/>
    <w:rsid w:val="00692614"/>
    <w:rsid w:val="00693CC5"/>
    <w:rsid w:val="0069548A"/>
    <w:rsid w:val="00695FBE"/>
    <w:rsid w:val="00696D38"/>
    <w:rsid w:val="0069798D"/>
    <w:rsid w:val="006A1876"/>
    <w:rsid w:val="006A1E4D"/>
    <w:rsid w:val="006A2265"/>
    <w:rsid w:val="006A46CD"/>
    <w:rsid w:val="006A4B35"/>
    <w:rsid w:val="006A4D2B"/>
    <w:rsid w:val="006A5C89"/>
    <w:rsid w:val="006A64C5"/>
    <w:rsid w:val="006A7027"/>
    <w:rsid w:val="006A7A9F"/>
    <w:rsid w:val="006B1AE9"/>
    <w:rsid w:val="006B1AEB"/>
    <w:rsid w:val="006B235C"/>
    <w:rsid w:val="006B3BBD"/>
    <w:rsid w:val="006B514F"/>
    <w:rsid w:val="006B5EAD"/>
    <w:rsid w:val="006B6387"/>
    <w:rsid w:val="006B7377"/>
    <w:rsid w:val="006B76C1"/>
    <w:rsid w:val="006C0196"/>
    <w:rsid w:val="006C10EB"/>
    <w:rsid w:val="006C1F0B"/>
    <w:rsid w:val="006C2FCF"/>
    <w:rsid w:val="006C583E"/>
    <w:rsid w:val="006C5BBE"/>
    <w:rsid w:val="006C69E7"/>
    <w:rsid w:val="006C74DF"/>
    <w:rsid w:val="006D18AE"/>
    <w:rsid w:val="006D2430"/>
    <w:rsid w:val="006D2903"/>
    <w:rsid w:val="006D2C33"/>
    <w:rsid w:val="006D2F9C"/>
    <w:rsid w:val="006D3EBC"/>
    <w:rsid w:val="006D5F32"/>
    <w:rsid w:val="006D6A6A"/>
    <w:rsid w:val="006D6F63"/>
    <w:rsid w:val="006D75E8"/>
    <w:rsid w:val="006D7DFD"/>
    <w:rsid w:val="006E0667"/>
    <w:rsid w:val="006E0712"/>
    <w:rsid w:val="006E0894"/>
    <w:rsid w:val="006E08E3"/>
    <w:rsid w:val="006E191F"/>
    <w:rsid w:val="006E23C6"/>
    <w:rsid w:val="006E2DE3"/>
    <w:rsid w:val="006E3E42"/>
    <w:rsid w:val="006E3F29"/>
    <w:rsid w:val="006E5141"/>
    <w:rsid w:val="006E5C2B"/>
    <w:rsid w:val="006E6DC0"/>
    <w:rsid w:val="006E7E9F"/>
    <w:rsid w:val="006F0890"/>
    <w:rsid w:val="006F17DC"/>
    <w:rsid w:val="006F22CE"/>
    <w:rsid w:val="006F26D3"/>
    <w:rsid w:val="006F27D4"/>
    <w:rsid w:val="006F44DE"/>
    <w:rsid w:val="006F5DD1"/>
    <w:rsid w:val="00700FFA"/>
    <w:rsid w:val="00701B99"/>
    <w:rsid w:val="0070230F"/>
    <w:rsid w:val="007039D9"/>
    <w:rsid w:val="00703ECB"/>
    <w:rsid w:val="00704288"/>
    <w:rsid w:val="00705139"/>
    <w:rsid w:val="007062F9"/>
    <w:rsid w:val="00706A6E"/>
    <w:rsid w:val="007122C9"/>
    <w:rsid w:val="007145A7"/>
    <w:rsid w:val="0071501B"/>
    <w:rsid w:val="007170D3"/>
    <w:rsid w:val="00717226"/>
    <w:rsid w:val="00717B54"/>
    <w:rsid w:val="00717E2E"/>
    <w:rsid w:val="007201E3"/>
    <w:rsid w:val="0072184D"/>
    <w:rsid w:val="00724514"/>
    <w:rsid w:val="00725D08"/>
    <w:rsid w:val="00727436"/>
    <w:rsid w:val="00730BA6"/>
    <w:rsid w:val="007318C0"/>
    <w:rsid w:val="00731B1F"/>
    <w:rsid w:val="007333F2"/>
    <w:rsid w:val="00735194"/>
    <w:rsid w:val="0073567C"/>
    <w:rsid w:val="00735EB8"/>
    <w:rsid w:val="00736FBA"/>
    <w:rsid w:val="007372C1"/>
    <w:rsid w:val="007402E4"/>
    <w:rsid w:val="00741E8F"/>
    <w:rsid w:val="00741F5C"/>
    <w:rsid w:val="00743E4F"/>
    <w:rsid w:val="0074488D"/>
    <w:rsid w:val="00744A39"/>
    <w:rsid w:val="0074570E"/>
    <w:rsid w:val="0074602B"/>
    <w:rsid w:val="00746385"/>
    <w:rsid w:val="007465FC"/>
    <w:rsid w:val="007472C6"/>
    <w:rsid w:val="007506E9"/>
    <w:rsid w:val="00750E6C"/>
    <w:rsid w:val="007532A2"/>
    <w:rsid w:val="00753C18"/>
    <w:rsid w:val="00753F37"/>
    <w:rsid w:val="00756D28"/>
    <w:rsid w:val="00757D96"/>
    <w:rsid w:val="0076000F"/>
    <w:rsid w:val="007613E7"/>
    <w:rsid w:val="007625EA"/>
    <w:rsid w:val="0076399D"/>
    <w:rsid w:val="0076578C"/>
    <w:rsid w:val="0076626B"/>
    <w:rsid w:val="007665E0"/>
    <w:rsid w:val="00766DF4"/>
    <w:rsid w:val="00767F5D"/>
    <w:rsid w:val="00772BA3"/>
    <w:rsid w:val="00773DEE"/>
    <w:rsid w:val="00774248"/>
    <w:rsid w:val="00774BCF"/>
    <w:rsid w:val="00774F71"/>
    <w:rsid w:val="007750ED"/>
    <w:rsid w:val="00775B87"/>
    <w:rsid w:val="007760DA"/>
    <w:rsid w:val="007766CF"/>
    <w:rsid w:val="007818A2"/>
    <w:rsid w:val="0078296B"/>
    <w:rsid w:val="0078393C"/>
    <w:rsid w:val="00783EB8"/>
    <w:rsid w:val="00785A4C"/>
    <w:rsid w:val="00785C82"/>
    <w:rsid w:val="00786DF5"/>
    <w:rsid w:val="007879CC"/>
    <w:rsid w:val="00790725"/>
    <w:rsid w:val="007908C5"/>
    <w:rsid w:val="007908C9"/>
    <w:rsid w:val="00792D73"/>
    <w:rsid w:val="00793530"/>
    <w:rsid w:val="00793940"/>
    <w:rsid w:val="007944BC"/>
    <w:rsid w:val="00794D2C"/>
    <w:rsid w:val="0079501D"/>
    <w:rsid w:val="007A009C"/>
    <w:rsid w:val="007A061F"/>
    <w:rsid w:val="007A1ADF"/>
    <w:rsid w:val="007A1B1B"/>
    <w:rsid w:val="007A1BEB"/>
    <w:rsid w:val="007A1C9E"/>
    <w:rsid w:val="007A2591"/>
    <w:rsid w:val="007A317B"/>
    <w:rsid w:val="007A32A1"/>
    <w:rsid w:val="007A3C6F"/>
    <w:rsid w:val="007A3F40"/>
    <w:rsid w:val="007A497A"/>
    <w:rsid w:val="007A4B52"/>
    <w:rsid w:val="007A52AB"/>
    <w:rsid w:val="007A5D36"/>
    <w:rsid w:val="007A5EB3"/>
    <w:rsid w:val="007A68A1"/>
    <w:rsid w:val="007A69CE"/>
    <w:rsid w:val="007A77F8"/>
    <w:rsid w:val="007B33BA"/>
    <w:rsid w:val="007B3B7B"/>
    <w:rsid w:val="007B4532"/>
    <w:rsid w:val="007B538B"/>
    <w:rsid w:val="007B66E2"/>
    <w:rsid w:val="007C045F"/>
    <w:rsid w:val="007C1AE7"/>
    <w:rsid w:val="007C1BB5"/>
    <w:rsid w:val="007C2327"/>
    <w:rsid w:val="007C28D4"/>
    <w:rsid w:val="007C4901"/>
    <w:rsid w:val="007C6C91"/>
    <w:rsid w:val="007C7B9D"/>
    <w:rsid w:val="007C7E27"/>
    <w:rsid w:val="007C7FF9"/>
    <w:rsid w:val="007D16B8"/>
    <w:rsid w:val="007D49E3"/>
    <w:rsid w:val="007D4CC8"/>
    <w:rsid w:val="007D4EE7"/>
    <w:rsid w:val="007D5DEF"/>
    <w:rsid w:val="007D608B"/>
    <w:rsid w:val="007E015B"/>
    <w:rsid w:val="007E0C2F"/>
    <w:rsid w:val="007E0E9D"/>
    <w:rsid w:val="007E24B6"/>
    <w:rsid w:val="007E25BF"/>
    <w:rsid w:val="007E4966"/>
    <w:rsid w:val="007E4A9C"/>
    <w:rsid w:val="007E52CD"/>
    <w:rsid w:val="007E56E3"/>
    <w:rsid w:val="007E63FD"/>
    <w:rsid w:val="007E6E05"/>
    <w:rsid w:val="007F0C7F"/>
    <w:rsid w:val="007F0E59"/>
    <w:rsid w:val="007F2DE0"/>
    <w:rsid w:val="007F4E7A"/>
    <w:rsid w:val="007F5309"/>
    <w:rsid w:val="00802234"/>
    <w:rsid w:val="0080352B"/>
    <w:rsid w:val="008052C7"/>
    <w:rsid w:val="008101F0"/>
    <w:rsid w:val="00810E6A"/>
    <w:rsid w:val="00810EF0"/>
    <w:rsid w:val="0081200A"/>
    <w:rsid w:val="00812754"/>
    <w:rsid w:val="00813F40"/>
    <w:rsid w:val="00814BC9"/>
    <w:rsid w:val="008169DF"/>
    <w:rsid w:val="0081707B"/>
    <w:rsid w:val="00821C2A"/>
    <w:rsid w:val="008227D4"/>
    <w:rsid w:val="008242B5"/>
    <w:rsid w:val="00824D07"/>
    <w:rsid w:val="008264FA"/>
    <w:rsid w:val="00826E14"/>
    <w:rsid w:val="0083016D"/>
    <w:rsid w:val="008302FB"/>
    <w:rsid w:val="008303C1"/>
    <w:rsid w:val="008303F2"/>
    <w:rsid w:val="00832250"/>
    <w:rsid w:val="00832C2A"/>
    <w:rsid w:val="00832E35"/>
    <w:rsid w:val="00833ECB"/>
    <w:rsid w:val="00834584"/>
    <w:rsid w:val="008347BB"/>
    <w:rsid w:val="00834A8D"/>
    <w:rsid w:val="008357CB"/>
    <w:rsid w:val="00836216"/>
    <w:rsid w:val="008375E6"/>
    <w:rsid w:val="00837D81"/>
    <w:rsid w:val="00840080"/>
    <w:rsid w:val="00840BDC"/>
    <w:rsid w:val="00842BB4"/>
    <w:rsid w:val="008434C5"/>
    <w:rsid w:val="00844347"/>
    <w:rsid w:val="00845C17"/>
    <w:rsid w:val="008500F7"/>
    <w:rsid w:val="00851529"/>
    <w:rsid w:val="008515B6"/>
    <w:rsid w:val="00853438"/>
    <w:rsid w:val="00853459"/>
    <w:rsid w:val="00853DCF"/>
    <w:rsid w:val="008547DB"/>
    <w:rsid w:val="00854C94"/>
    <w:rsid w:val="00854F9C"/>
    <w:rsid w:val="00855735"/>
    <w:rsid w:val="0085587A"/>
    <w:rsid w:val="00855F03"/>
    <w:rsid w:val="00856044"/>
    <w:rsid w:val="00856867"/>
    <w:rsid w:val="00856F7D"/>
    <w:rsid w:val="0086084B"/>
    <w:rsid w:val="00861923"/>
    <w:rsid w:val="00861C71"/>
    <w:rsid w:val="00861CB5"/>
    <w:rsid w:val="0086232B"/>
    <w:rsid w:val="00862505"/>
    <w:rsid w:val="00862C0A"/>
    <w:rsid w:val="008633A2"/>
    <w:rsid w:val="0086493C"/>
    <w:rsid w:val="00865249"/>
    <w:rsid w:val="00865F44"/>
    <w:rsid w:val="0086638F"/>
    <w:rsid w:val="008667DF"/>
    <w:rsid w:val="00867C92"/>
    <w:rsid w:val="00867EE6"/>
    <w:rsid w:val="00867F02"/>
    <w:rsid w:val="00874291"/>
    <w:rsid w:val="00874C05"/>
    <w:rsid w:val="0087624A"/>
    <w:rsid w:val="00876875"/>
    <w:rsid w:val="00876AD1"/>
    <w:rsid w:val="00876DC4"/>
    <w:rsid w:val="00877710"/>
    <w:rsid w:val="00877DE4"/>
    <w:rsid w:val="00877FBC"/>
    <w:rsid w:val="00880915"/>
    <w:rsid w:val="008822D6"/>
    <w:rsid w:val="00882492"/>
    <w:rsid w:val="00882A26"/>
    <w:rsid w:val="00882F81"/>
    <w:rsid w:val="008833DD"/>
    <w:rsid w:val="00883444"/>
    <w:rsid w:val="0088458A"/>
    <w:rsid w:val="00884979"/>
    <w:rsid w:val="0088529D"/>
    <w:rsid w:val="00886CED"/>
    <w:rsid w:val="00886F38"/>
    <w:rsid w:val="0088718A"/>
    <w:rsid w:val="0088720C"/>
    <w:rsid w:val="00890F30"/>
    <w:rsid w:val="008949E1"/>
    <w:rsid w:val="008952EF"/>
    <w:rsid w:val="00896C75"/>
    <w:rsid w:val="00897497"/>
    <w:rsid w:val="00897525"/>
    <w:rsid w:val="0089767D"/>
    <w:rsid w:val="008978A9"/>
    <w:rsid w:val="00897989"/>
    <w:rsid w:val="00897A5C"/>
    <w:rsid w:val="008A2443"/>
    <w:rsid w:val="008A32D2"/>
    <w:rsid w:val="008A3D97"/>
    <w:rsid w:val="008A5BF0"/>
    <w:rsid w:val="008A6E08"/>
    <w:rsid w:val="008A7DB4"/>
    <w:rsid w:val="008B0D8F"/>
    <w:rsid w:val="008B0E23"/>
    <w:rsid w:val="008B11E4"/>
    <w:rsid w:val="008B1C8C"/>
    <w:rsid w:val="008B2703"/>
    <w:rsid w:val="008B2C16"/>
    <w:rsid w:val="008B5C8C"/>
    <w:rsid w:val="008B6761"/>
    <w:rsid w:val="008B7AE8"/>
    <w:rsid w:val="008C54AB"/>
    <w:rsid w:val="008C6D00"/>
    <w:rsid w:val="008D04EA"/>
    <w:rsid w:val="008D0810"/>
    <w:rsid w:val="008D1174"/>
    <w:rsid w:val="008D1CCE"/>
    <w:rsid w:val="008D28EA"/>
    <w:rsid w:val="008D3059"/>
    <w:rsid w:val="008D3281"/>
    <w:rsid w:val="008D3323"/>
    <w:rsid w:val="008D4538"/>
    <w:rsid w:val="008D6210"/>
    <w:rsid w:val="008D710D"/>
    <w:rsid w:val="008E07E6"/>
    <w:rsid w:val="008E0C63"/>
    <w:rsid w:val="008E1EBD"/>
    <w:rsid w:val="008E6279"/>
    <w:rsid w:val="008E77D0"/>
    <w:rsid w:val="008F05C4"/>
    <w:rsid w:val="008F13EC"/>
    <w:rsid w:val="008F1757"/>
    <w:rsid w:val="008F1894"/>
    <w:rsid w:val="008F2ED5"/>
    <w:rsid w:val="008F56F4"/>
    <w:rsid w:val="008F7808"/>
    <w:rsid w:val="008F78DC"/>
    <w:rsid w:val="009010D2"/>
    <w:rsid w:val="00902659"/>
    <w:rsid w:val="009037D9"/>
    <w:rsid w:val="00905305"/>
    <w:rsid w:val="0091018B"/>
    <w:rsid w:val="009107B6"/>
    <w:rsid w:val="00910A09"/>
    <w:rsid w:val="00912373"/>
    <w:rsid w:val="0091270A"/>
    <w:rsid w:val="00915A7D"/>
    <w:rsid w:val="00916598"/>
    <w:rsid w:val="00916699"/>
    <w:rsid w:val="00916AA4"/>
    <w:rsid w:val="00916BAD"/>
    <w:rsid w:val="00917A9F"/>
    <w:rsid w:val="00917B48"/>
    <w:rsid w:val="00921CCF"/>
    <w:rsid w:val="009236CD"/>
    <w:rsid w:val="00923CA2"/>
    <w:rsid w:val="00923CA6"/>
    <w:rsid w:val="00923CC1"/>
    <w:rsid w:val="00924089"/>
    <w:rsid w:val="00924097"/>
    <w:rsid w:val="009249BD"/>
    <w:rsid w:val="00924C5F"/>
    <w:rsid w:val="009276B3"/>
    <w:rsid w:val="00930024"/>
    <w:rsid w:val="00930129"/>
    <w:rsid w:val="00930A5C"/>
    <w:rsid w:val="009311E3"/>
    <w:rsid w:val="0093282D"/>
    <w:rsid w:val="0093361E"/>
    <w:rsid w:val="0093372D"/>
    <w:rsid w:val="00934D3C"/>
    <w:rsid w:val="00935043"/>
    <w:rsid w:val="009353C2"/>
    <w:rsid w:val="009358E9"/>
    <w:rsid w:val="00936E8E"/>
    <w:rsid w:val="009373F8"/>
    <w:rsid w:val="0093790D"/>
    <w:rsid w:val="00940C92"/>
    <w:rsid w:val="0094361B"/>
    <w:rsid w:val="00944218"/>
    <w:rsid w:val="00944A3A"/>
    <w:rsid w:val="00946A89"/>
    <w:rsid w:val="00947120"/>
    <w:rsid w:val="00947239"/>
    <w:rsid w:val="00947F30"/>
    <w:rsid w:val="00951DFC"/>
    <w:rsid w:val="00952200"/>
    <w:rsid w:val="00952C05"/>
    <w:rsid w:val="00952FAD"/>
    <w:rsid w:val="00953837"/>
    <w:rsid w:val="00953E57"/>
    <w:rsid w:val="00955576"/>
    <w:rsid w:val="00955677"/>
    <w:rsid w:val="009556D5"/>
    <w:rsid w:val="00957A69"/>
    <w:rsid w:val="00957A90"/>
    <w:rsid w:val="0096028D"/>
    <w:rsid w:val="009605D6"/>
    <w:rsid w:val="0096083B"/>
    <w:rsid w:val="00961507"/>
    <w:rsid w:val="009636E5"/>
    <w:rsid w:val="00964685"/>
    <w:rsid w:val="0096714F"/>
    <w:rsid w:val="00970429"/>
    <w:rsid w:val="009722D6"/>
    <w:rsid w:val="00973058"/>
    <w:rsid w:val="009762A1"/>
    <w:rsid w:val="00976CF0"/>
    <w:rsid w:val="009774D0"/>
    <w:rsid w:val="00977753"/>
    <w:rsid w:val="009819B7"/>
    <w:rsid w:val="00981F3D"/>
    <w:rsid w:val="00983D15"/>
    <w:rsid w:val="00985B03"/>
    <w:rsid w:val="00985CFE"/>
    <w:rsid w:val="00987956"/>
    <w:rsid w:val="00991452"/>
    <w:rsid w:val="00991F19"/>
    <w:rsid w:val="0099331F"/>
    <w:rsid w:val="00993679"/>
    <w:rsid w:val="009940F3"/>
    <w:rsid w:val="00995301"/>
    <w:rsid w:val="009953D2"/>
    <w:rsid w:val="0099570E"/>
    <w:rsid w:val="00995B6D"/>
    <w:rsid w:val="00995E8E"/>
    <w:rsid w:val="00997D9E"/>
    <w:rsid w:val="00997FA1"/>
    <w:rsid w:val="009A032E"/>
    <w:rsid w:val="009A170C"/>
    <w:rsid w:val="009A392E"/>
    <w:rsid w:val="009A4440"/>
    <w:rsid w:val="009A466E"/>
    <w:rsid w:val="009A4BBA"/>
    <w:rsid w:val="009A54BB"/>
    <w:rsid w:val="009A6E95"/>
    <w:rsid w:val="009A7891"/>
    <w:rsid w:val="009B0CD4"/>
    <w:rsid w:val="009B0E25"/>
    <w:rsid w:val="009B2B83"/>
    <w:rsid w:val="009B3CCD"/>
    <w:rsid w:val="009B4441"/>
    <w:rsid w:val="009B4C71"/>
    <w:rsid w:val="009B596A"/>
    <w:rsid w:val="009B61A1"/>
    <w:rsid w:val="009B675B"/>
    <w:rsid w:val="009C094B"/>
    <w:rsid w:val="009C0C6D"/>
    <w:rsid w:val="009C1409"/>
    <w:rsid w:val="009C1E5B"/>
    <w:rsid w:val="009C207E"/>
    <w:rsid w:val="009C3225"/>
    <w:rsid w:val="009C385D"/>
    <w:rsid w:val="009C3F77"/>
    <w:rsid w:val="009C4FFD"/>
    <w:rsid w:val="009C6CCE"/>
    <w:rsid w:val="009C769E"/>
    <w:rsid w:val="009D00C8"/>
    <w:rsid w:val="009D1828"/>
    <w:rsid w:val="009D1AE9"/>
    <w:rsid w:val="009D1F39"/>
    <w:rsid w:val="009D279B"/>
    <w:rsid w:val="009D3283"/>
    <w:rsid w:val="009D3634"/>
    <w:rsid w:val="009D47A9"/>
    <w:rsid w:val="009D4E8A"/>
    <w:rsid w:val="009D6E1B"/>
    <w:rsid w:val="009E0542"/>
    <w:rsid w:val="009E20BB"/>
    <w:rsid w:val="009E22EE"/>
    <w:rsid w:val="009E2F5F"/>
    <w:rsid w:val="009E4C32"/>
    <w:rsid w:val="009F111A"/>
    <w:rsid w:val="009F15A4"/>
    <w:rsid w:val="009F2767"/>
    <w:rsid w:val="009F396B"/>
    <w:rsid w:val="009F4086"/>
    <w:rsid w:val="009F45E2"/>
    <w:rsid w:val="009F524B"/>
    <w:rsid w:val="009F5E7B"/>
    <w:rsid w:val="009F7D89"/>
    <w:rsid w:val="00A00AE9"/>
    <w:rsid w:val="00A01F1B"/>
    <w:rsid w:val="00A02416"/>
    <w:rsid w:val="00A03B0E"/>
    <w:rsid w:val="00A04187"/>
    <w:rsid w:val="00A049EB"/>
    <w:rsid w:val="00A05861"/>
    <w:rsid w:val="00A0677A"/>
    <w:rsid w:val="00A0796F"/>
    <w:rsid w:val="00A07D63"/>
    <w:rsid w:val="00A10851"/>
    <w:rsid w:val="00A10C55"/>
    <w:rsid w:val="00A11539"/>
    <w:rsid w:val="00A12353"/>
    <w:rsid w:val="00A13212"/>
    <w:rsid w:val="00A13884"/>
    <w:rsid w:val="00A13A47"/>
    <w:rsid w:val="00A1445C"/>
    <w:rsid w:val="00A164D9"/>
    <w:rsid w:val="00A166FF"/>
    <w:rsid w:val="00A17DEF"/>
    <w:rsid w:val="00A2058A"/>
    <w:rsid w:val="00A20B03"/>
    <w:rsid w:val="00A22E17"/>
    <w:rsid w:val="00A241EB"/>
    <w:rsid w:val="00A25492"/>
    <w:rsid w:val="00A263E5"/>
    <w:rsid w:val="00A268B1"/>
    <w:rsid w:val="00A27285"/>
    <w:rsid w:val="00A278B5"/>
    <w:rsid w:val="00A3070F"/>
    <w:rsid w:val="00A30BF5"/>
    <w:rsid w:val="00A323BF"/>
    <w:rsid w:val="00A33D37"/>
    <w:rsid w:val="00A35DA5"/>
    <w:rsid w:val="00A369C3"/>
    <w:rsid w:val="00A36CF4"/>
    <w:rsid w:val="00A376FC"/>
    <w:rsid w:val="00A4056F"/>
    <w:rsid w:val="00A41132"/>
    <w:rsid w:val="00A42142"/>
    <w:rsid w:val="00A431F4"/>
    <w:rsid w:val="00A43891"/>
    <w:rsid w:val="00A43E3D"/>
    <w:rsid w:val="00A506AA"/>
    <w:rsid w:val="00A508FB"/>
    <w:rsid w:val="00A51A68"/>
    <w:rsid w:val="00A53835"/>
    <w:rsid w:val="00A5405B"/>
    <w:rsid w:val="00A559CB"/>
    <w:rsid w:val="00A564A7"/>
    <w:rsid w:val="00A572F7"/>
    <w:rsid w:val="00A62CEC"/>
    <w:rsid w:val="00A62E89"/>
    <w:rsid w:val="00A63027"/>
    <w:rsid w:val="00A63E61"/>
    <w:rsid w:val="00A64D8D"/>
    <w:rsid w:val="00A65342"/>
    <w:rsid w:val="00A65930"/>
    <w:rsid w:val="00A7095B"/>
    <w:rsid w:val="00A71705"/>
    <w:rsid w:val="00A72DB0"/>
    <w:rsid w:val="00A73092"/>
    <w:rsid w:val="00A73C9E"/>
    <w:rsid w:val="00A73DBA"/>
    <w:rsid w:val="00A753EA"/>
    <w:rsid w:val="00A75A14"/>
    <w:rsid w:val="00A75E32"/>
    <w:rsid w:val="00A75E47"/>
    <w:rsid w:val="00A77C1E"/>
    <w:rsid w:val="00A80C2A"/>
    <w:rsid w:val="00A811AE"/>
    <w:rsid w:val="00A8138B"/>
    <w:rsid w:val="00A83589"/>
    <w:rsid w:val="00A8659F"/>
    <w:rsid w:val="00A86A32"/>
    <w:rsid w:val="00A9058A"/>
    <w:rsid w:val="00A918BD"/>
    <w:rsid w:val="00A91F46"/>
    <w:rsid w:val="00A9428A"/>
    <w:rsid w:val="00A944B5"/>
    <w:rsid w:val="00A944BC"/>
    <w:rsid w:val="00A959B6"/>
    <w:rsid w:val="00A95CC8"/>
    <w:rsid w:val="00A9603C"/>
    <w:rsid w:val="00A97440"/>
    <w:rsid w:val="00AA06BE"/>
    <w:rsid w:val="00AA1622"/>
    <w:rsid w:val="00AA202F"/>
    <w:rsid w:val="00AA321A"/>
    <w:rsid w:val="00AA35C1"/>
    <w:rsid w:val="00AA5137"/>
    <w:rsid w:val="00AA64E1"/>
    <w:rsid w:val="00AA7049"/>
    <w:rsid w:val="00AA778F"/>
    <w:rsid w:val="00AA7A37"/>
    <w:rsid w:val="00AA7A8D"/>
    <w:rsid w:val="00AB0507"/>
    <w:rsid w:val="00AB2331"/>
    <w:rsid w:val="00AB24DC"/>
    <w:rsid w:val="00AB2EB2"/>
    <w:rsid w:val="00AB3C1D"/>
    <w:rsid w:val="00AB3E2C"/>
    <w:rsid w:val="00AB4EA3"/>
    <w:rsid w:val="00AB4FC6"/>
    <w:rsid w:val="00AB5351"/>
    <w:rsid w:val="00AB72A8"/>
    <w:rsid w:val="00AB7533"/>
    <w:rsid w:val="00AC0CB0"/>
    <w:rsid w:val="00AC10E2"/>
    <w:rsid w:val="00AC129A"/>
    <w:rsid w:val="00AC1C2D"/>
    <w:rsid w:val="00AC601E"/>
    <w:rsid w:val="00AC6661"/>
    <w:rsid w:val="00AC70A7"/>
    <w:rsid w:val="00AC7448"/>
    <w:rsid w:val="00AC745A"/>
    <w:rsid w:val="00AD1349"/>
    <w:rsid w:val="00AD2DC0"/>
    <w:rsid w:val="00AD2E81"/>
    <w:rsid w:val="00AD3CC6"/>
    <w:rsid w:val="00AD3EFC"/>
    <w:rsid w:val="00AD7546"/>
    <w:rsid w:val="00AE02B9"/>
    <w:rsid w:val="00AE21D2"/>
    <w:rsid w:val="00AE24A6"/>
    <w:rsid w:val="00AE3A9B"/>
    <w:rsid w:val="00AE43BB"/>
    <w:rsid w:val="00AE466D"/>
    <w:rsid w:val="00AE4F32"/>
    <w:rsid w:val="00AE6859"/>
    <w:rsid w:val="00AE6BF8"/>
    <w:rsid w:val="00AE6DEC"/>
    <w:rsid w:val="00AE75D5"/>
    <w:rsid w:val="00AE7D07"/>
    <w:rsid w:val="00AF01B5"/>
    <w:rsid w:val="00AF06B5"/>
    <w:rsid w:val="00AF24BE"/>
    <w:rsid w:val="00AF26F6"/>
    <w:rsid w:val="00AF2E24"/>
    <w:rsid w:val="00AF34B8"/>
    <w:rsid w:val="00AF49BE"/>
    <w:rsid w:val="00AF4BF3"/>
    <w:rsid w:val="00AF53F1"/>
    <w:rsid w:val="00AF675C"/>
    <w:rsid w:val="00AF7B55"/>
    <w:rsid w:val="00B003CF"/>
    <w:rsid w:val="00B01F19"/>
    <w:rsid w:val="00B03442"/>
    <w:rsid w:val="00B042CB"/>
    <w:rsid w:val="00B04EBB"/>
    <w:rsid w:val="00B05A40"/>
    <w:rsid w:val="00B05CAC"/>
    <w:rsid w:val="00B06312"/>
    <w:rsid w:val="00B0759E"/>
    <w:rsid w:val="00B103CA"/>
    <w:rsid w:val="00B10BB2"/>
    <w:rsid w:val="00B10BD4"/>
    <w:rsid w:val="00B10E59"/>
    <w:rsid w:val="00B112AF"/>
    <w:rsid w:val="00B11940"/>
    <w:rsid w:val="00B137B1"/>
    <w:rsid w:val="00B14A2E"/>
    <w:rsid w:val="00B1522F"/>
    <w:rsid w:val="00B15CCC"/>
    <w:rsid w:val="00B17E03"/>
    <w:rsid w:val="00B20BE4"/>
    <w:rsid w:val="00B2146E"/>
    <w:rsid w:val="00B21BA6"/>
    <w:rsid w:val="00B21FC8"/>
    <w:rsid w:val="00B2338C"/>
    <w:rsid w:val="00B2547C"/>
    <w:rsid w:val="00B25E8C"/>
    <w:rsid w:val="00B269FC"/>
    <w:rsid w:val="00B27DB8"/>
    <w:rsid w:val="00B30101"/>
    <w:rsid w:val="00B308E1"/>
    <w:rsid w:val="00B30C5E"/>
    <w:rsid w:val="00B312CB"/>
    <w:rsid w:val="00B3151F"/>
    <w:rsid w:val="00B31ABF"/>
    <w:rsid w:val="00B3271C"/>
    <w:rsid w:val="00B34367"/>
    <w:rsid w:val="00B34792"/>
    <w:rsid w:val="00B356F6"/>
    <w:rsid w:val="00B35B8D"/>
    <w:rsid w:val="00B35D6D"/>
    <w:rsid w:val="00B3653C"/>
    <w:rsid w:val="00B368D3"/>
    <w:rsid w:val="00B369AE"/>
    <w:rsid w:val="00B36AEF"/>
    <w:rsid w:val="00B4329B"/>
    <w:rsid w:val="00B43651"/>
    <w:rsid w:val="00B437B9"/>
    <w:rsid w:val="00B44D21"/>
    <w:rsid w:val="00B45BE3"/>
    <w:rsid w:val="00B46149"/>
    <w:rsid w:val="00B46C24"/>
    <w:rsid w:val="00B47285"/>
    <w:rsid w:val="00B47D72"/>
    <w:rsid w:val="00B503BF"/>
    <w:rsid w:val="00B516F8"/>
    <w:rsid w:val="00B520F1"/>
    <w:rsid w:val="00B542F0"/>
    <w:rsid w:val="00B610A5"/>
    <w:rsid w:val="00B633E6"/>
    <w:rsid w:val="00B640FC"/>
    <w:rsid w:val="00B64A95"/>
    <w:rsid w:val="00B65ADE"/>
    <w:rsid w:val="00B67B32"/>
    <w:rsid w:val="00B7090A"/>
    <w:rsid w:val="00B73256"/>
    <w:rsid w:val="00B73C34"/>
    <w:rsid w:val="00B73EF4"/>
    <w:rsid w:val="00B755AA"/>
    <w:rsid w:val="00B756A9"/>
    <w:rsid w:val="00B76659"/>
    <w:rsid w:val="00B76EA0"/>
    <w:rsid w:val="00B773C0"/>
    <w:rsid w:val="00B773F7"/>
    <w:rsid w:val="00B777AA"/>
    <w:rsid w:val="00B8051E"/>
    <w:rsid w:val="00B828ED"/>
    <w:rsid w:val="00B83D41"/>
    <w:rsid w:val="00B84A76"/>
    <w:rsid w:val="00B86665"/>
    <w:rsid w:val="00B86830"/>
    <w:rsid w:val="00B9041F"/>
    <w:rsid w:val="00B9178F"/>
    <w:rsid w:val="00B91FBC"/>
    <w:rsid w:val="00B937C3"/>
    <w:rsid w:val="00B94C62"/>
    <w:rsid w:val="00B95199"/>
    <w:rsid w:val="00B95526"/>
    <w:rsid w:val="00B9753A"/>
    <w:rsid w:val="00BA35C0"/>
    <w:rsid w:val="00BA4AB0"/>
    <w:rsid w:val="00BA602A"/>
    <w:rsid w:val="00BA7930"/>
    <w:rsid w:val="00BA7DA2"/>
    <w:rsid w:val="00BB00FD"/>
    <w:rsid w:val="00BB020D"/>
    <w:rsid w:val="00BB1641"/>
    <w:rsid w:val="00BB1896"/>
    <w:rsid w:val="00BB2A36"/>
    <w:rsid w:val="00BB4FE7"/>
    <w:rsid w:val="00BB7A95"/>
    <w:rsid w:val="00BC0BCA"/>
    <w:rsid w:val="00BC1851"/>
    <w:rsid w:val="00BC1E7F"/>
    <w:rsid w:val="00BC253D"/>
    <w:rsid w:val="00BC38A1"/>
    <w:rsid w:val="00BC38F7"/>
    <w:rsid w:val="00BC4E24"/>
    <w:rsid w:val="00BC4F49"/>
    <w:rsid w:val="00BC52D5"/>
    <w:rsid w:val="00BC5BEE"/>
    <w:rsid w:val="00BC5E7A"/>
    <w:rsid w:val="00BD15C1"/>
    <w:rsid w:val="00BD345F"/>
    <w:rsid w:val="00BD3D39"/>
    <w:rsid w:val="00BD42C5"/>
    <w:rsid w:val="00BD4329"/>
    <w:rsid w:val="00BD64B0"/>
    <w:rsid w:val="00BD6678"/>
    <w:rsid w:val="00BD71A1"/>
    <w:rsid w:val="00BE0668"/>
    <w:rsid w:val="00BE0C81"/>
    <w:rsid w:val="00BE0ED3"/>
    <w:rsid w:val="00BE109F"/>
    <w:rsid w:val="00BE1D4A"/>
    <w:rsid w:val="00BE2D70"/>
    <w:rsid w:val="00BE35B2"/>
    <w:rsid w:val="00BE4220"/>
    <w:rsid w:val="00BE4682"/>
    <w:rsid w:val="00BE4AA1"/>
    <w:rsid w:val="00BE52E5"/>
    <w:rsid w:val="00BE57BB"/>
    <w:rsid w:val="00BE5EF2"/>
    <w:rsid w:val="00BE7350"/>
    <w:rsid w:val="00BE7E71"/>
    <w:rsid w:val="00BF1DD0"/>
    <w:rsid w:val="00BF5501"/>
    <w:rsid w:val="00BF6213"/>
    <w:rsid w:val="00BF7077"/>
    <w:rsid w:val="00BF79E2"/>
    <w:rsid w:val="00C01583"/>
    <w:rsid w:val="00C0260D"/>
    <w:rsid w:val="00C0356D"/>
    <w:rsid w:val="00C03CDF"/>
    <w:rsid w:val="00C041A3"/>
    <w:rsid w:val="00C04984"/>
    <w:rsid w:val="00C078EA"/>
    <w:rsid w:val="00C10481"/>
    <w:rsid w:val="00C1048D"/>
    <w:rsid w:val="00C11416"/>
    <w:rsid w:val="00C1217A"/>
    <w:rsid w:val="00C12544"/>
    <w:rsid w:val="00C1261C"/>
    <w:rsid w:val="00C14CA4"/>
    <w:rsid w:val="00C14CE3"/>
    <w:rsid w:val="00C14EDF"/>
    <w:rsid w:val="00C155FA"/>
    <w:rsid w:val="00C169E4"/>
    <w:rsid w:val="00C2132B"/>
    <w:rsid w:val="00C216CB"/>
    <w:rsid w:val="00C21BBD"/>
    <w:rsid w:val="00C21CDF"/>
    <w:rsid w:val="00C2269B"/>
    <w:rsid w:val="00C22CAE"/>
    <w:rsid w:val="00C23144"/>
    <w:rsid w:val="00C23B06"/>
    <w:rsid w:val="00C24A8E"/>
    <w:rsid w:val="00C24F4F"/>
    <w:rsid w:val="00C30B67"/>
    <w:rsid w:val="00C3140B"/>
    <w:rsid w:val="00C33115"/>
    <w:rsid w:val="00C4014D"/>
    <w:rsid w:val="00C4081D"/>
    <w:rsid w:val="00C409A3"/>
    <w:rsid w:val="00C41CCA"/>
    <w:rsid w:val="00C44118"/>
    <w:rsid w:val="00C4427A"/>
    <w:rsid w:val="00C4519D"/>
    <w:rsid w:val="00C45A1F"/>
    <w:rsid w:val="00C45C20"/>
    <w:rsid w:val="00C47BB2"/>
    <w:rsid w:val="00C513C2"/>
    <w:rsid w:val="00C51C1A"/>
    <w:rsid w:val="00C526FD"/>
    <w:rsid w:val="00C52CDF"/>
    <w:rsid w:val="00C53047"/>
    <w:rsid w:val="00C54340"/>
    <w:rsid w:val="00C56F96"/>
    <w:rsid w:val="00C5748A"/>
    <w:rsid w:val="00C57CC3"/>
    <w:rsid w:val="00C60971"/>
    <w:rsid w:val="00C609FE"/>
    <w:rsid w:val="00C60DFD"/>
    <w:rsid w:val="00C611F0"/>
    <w:rsid w:val="00C61D76"/>
    <w:rsid w:val="00C61DE3"/>
    <w:rsid w:val="00C62600"/>
    <w:rsid w:val="00C62D10"/>
    <w:rsid w:val="00C64553"/>
    <w:rsid w:val="00C64C9B"/>
    <w:rsid w:val="00C668A5"/>
    <w:rsid w:val="00C66D57"/>
    <w:rsid w:val="00C7027D"/>
    <w:rsid w:val="00C70BD6"/>
    <w:rsid w:val="00C7196B"/>
    <w:rsid w:val="00C72A64"/>
    <w:rsid w:val="00C73ADC"/>
    <w:rsid w:val="00C73FD6"/>
    <w:rsid w:val="00C7435F"/>
    <w:rsid w:val="00C74C7C"/>
    <w:rsid w:val="00C74D4D"/>
    <w:rsid w:val="00C774AD"/>
    <w:rsid w:val="00C83CC1"/>
    <w:rsid w:val="00C85E8B"/>
    <w:rsid w:val="00C90987"/>
    <w:rsid w:val="00C9189E"/>
    <w:rsid w:val="00C92155"/>
    <w:rsid w:val="00C923D4"/>
    <w:rsid w:val="00C92D36"/>
    <w:rsid w:val="00C9358A"/>
    <w:rsid w:val="00C944AE"/>
    <w:rsid w:val="00C94D36"/>
    <w:rsid w:val="00C953EB"/>
    <w:rsid w:val="00C95488"/>
    <w:rsid w:val="00C965A4"/>
    <w:rsid w:val="00C967DE"/>
    <w:rsid w:val="00C96A20"/>
    <w:rsid w:val="00C96A35"/>
    <w:rsid w:val="00CA2E4E"/>
    <w:rsid w:val="00CA3795"/>
    <w:rsid w:val="00CA4583"/>
    <w:rsid w:val="00CA6773"/>
    <w:rsid w:val="00CB0411"/>
    <w:rsid w:val="00CB04D9"/>
    <w:rsid w:val="00CB0C3A"/>
    <w:rsid w:val="00CB1342"/>
    <w:rsid w:val="00CB1B60"/>
    <w:rsid w:val="00CB1C53"/>
    <w:rsid w:val="00CB1EDF"/>
    <w:rsid w:val="00CB22F5"/>
    <w:rsid w:val="00CB29B8"/>
    <w:rsid w:val="00CB2FCD"/>
    <w:rsid w:val="00CB3240"/>
    <w:rsid w:val="00CB3D1B"/>
    <w:rsid w:val="00CB431D"/>
    <w:rsid w:val="00CB529E"/>
    <w:rsid w:val="00CB67DC"/>
    <w:rsid w:val="00CB6F86"/>
    <w:rsid w:val="00CB7C02"/>
    <w:rsid w:val="00CC01BC"/>
    <w:rsid w:val="00CC0FB0"/>
    <w:rsid w:val="00CC21A1"/>
    <w:rsid w:val="00CC283B"/>
    <w:rsid w:val="00CC3862"/>
    <w:rsid w:val="00CC399E"/>
    <w:rsid w:val="00CC3ED2"/>
    <w:rsid w:val="00CC4473"/>
    <w:rsid w:val="00CC4995"/>
    <w:rsid w:val="00CC5390"/>
    <w:rsid w:val="00CC7176"/>
    <w:rsid w:val="00CC73A0"/>
    <w:rsid w:val="00CC7F94"/>
    <w:rsid w:val="00CD034D"/>
    <w:rsid w:val="00CD0D19"/>
    <w:rsid w:val="00CD2776"/>
    <w:rsid w:val="00CD2EA0"/>
    <w:rsid w:val="00CD3E57"/>
    <w:rsid w:val="00CD4396"/>
    <w:rsid w:val="00CD56D3"/>
    <w:rsid w:val="00CD6D13"/>
    <w:rsid w:val="00CD7813"/>
    <w:rsid w:val="00CD7B17"/>
    <w:rsid w:val="00CE0303"/>
    <w:rsid w:val="00CE1C66"/>
    <w:rsid w:val="00CE20A7"/>
    <w:rsid w:val="00CE27BF"/>
    <w:rsid w:val="00CE2BA7"/>
    <w:rsid w:val="00CE3A9C"/>
    <w:rsid w:val="00CE4EF2"/>
    <w:rsid w:val="00CE567C"/>
    <w:rsid w:val="00CE644F"/>
    <w:rsid w:val="00CE64B0"/>
    <w:rsid w:val="00CE6D8D"/>
    <w:rsid w:val="00CE719F"/>
    <w:rsid w:val="00CF02B0"/>
    <w:rsid w:val="00CF02FC"/>
    <w:rsid w:val="00CF0438"/>
    <w:rsid w:val="00CF1822"/>
    <w:rsid w:val="00CF19F6"/>
    <w:rsid w:val="00CF4B43"/>
    <w:rsid w:val="00CF6428"/>
    <w:rsid w:val="00CF6E51"/>
    <w:rsid w:val="00CF7985"/>
    <w:rsid w:val="00D02932"/>
    <w:rsid w:val="00D02EBC"/>
    <w:rsid w:val="00D0323E"/>
    <w:rsid w:val="00D0588B"/>
    <w:rsid w:val="00D06041"/>
    <w:rsid w:val="00D10484"/>
    <w:rsid w:val="00D1125C"/>
    <w:rsid w:val="00D128D1"/>
    <w:rsid w:val="00D133B0"/>
    <w:rsid w:val="00D13843"/>
    <w:rsid w:val="00D15037"/>
    <w:rsid w:val="00D15B26"/>
    <w:rsid w:val="00D15E59"/>
    <w:rsid w:val="00D15F20"/>
    <w:rsid w:val="00D16B63"/>
    <w:rsid w:val="00D1771B"/>
    <w:rsid w:val="00D20DA2"/>
    <w:rsid w:val="00D2261E"/>
    <w:rsid w:val="00D2295D"/>
    <w:rsid w:val="00D23112"/>
    <w:rsid w:val="00D23195"/>
    <w:rsid w:val="00D278DF"/>
    <w:rsid w:val="00D30F65"/>
    <w:rsid w:val="00D31E4D"/>
    <w:rsid w:val="00D328E5"/>
    <w:rsid w:val="00D33FB6"/>
    <w:rsid w:val="00D34389"/>
    <w:rsid w:val="00D3584B"/>
    <w:rsid w:val="00D377AC"/>
    <w:rsid w:val="00D40603"/>
    <w:rsid w:val="00D4079C"/>
    <w:rsid w:val="00D40E8C"/>
    <w:rsid w:val="00D412AC"/>
    <w:rsid w:val="00D418F0"/>
    <w:rsid w:val="00D436E1"/>
    <w:rsid w:val="00D449CF"/>
    <w:rsid w:val="00D46488"/>
    <w:rsid w:val="00D466ED"/>
    <w:rsid w:val="00D476A0"/>
    <w:rsid w:val="00D50777"/>
    <w:rsid w:val="00D516F3"/>
    <w:rsid w:val="00D520BA"/>
    <w:rsid w:val="00D52233"/>
    <w:rsid w:val="00D52562"/>
    <w:rsid w:val="00D560F9"/>
    <w:rsid w:val="00D5651E"/>
    <w:rsid w:val="00D56804"/>
    <w:rsid w:val="00D57128"/>
    <w:rsid w:val="00D57E88"/>
    <w:rsid w:val="00D611C0"/>
    <w:rsid w:val="00D61427"/>
    <w:rsid w:val="00D6249B"/>
    <w:rsid w:val="00D632FE"/>
    <w:rsid w:val="00D65181"/>
    <w:rsid w:val="00D65415"/>
    <w:rsid w:val="00D67EDE"/>
    <w:rsid w:val="00D71AFB"/>
    <w:rsid w:val="00D71FA7"/>
    <w:rsid w:val="00D72AD7"/>
    <w:rsid w:val="00D747CD"/>
    <w:rsid w:val="00D74943"/>
    <w:rsid w:val="00D765C6"/>
    <w:rsid w:val="00D804DB"/>
    <w:rsid w:val="00D80B77"/>
    <w:rsid w:val="00D81165"/>
    <w:rsid w:val="00D814A7"/>
    <w:rsid w:val="00D85024"/>
    <w:rsid w:val="00D857BC"/>
    <w:rsid w:val="00D86FFD"/>
    <w:rsid w:val="00D870AE"/>
    <w:rsid w:val="00D876D2"/>
    <w:rsid w:val="00D876D8"/>
    <w:rsid w:val="00D90774"/>
    <w:rsid w:val="00D9136A"/>
    <w:rsid w:val="00D93A19"/>
    <w:rsid w:val="00D951B6"/>
    <w:rsid w:val="00D952BB"/>
    <w:rsid w:val="00D95B0C"/>
    <w:rsid w:val="00D96114"/>
    <w:rsid w:val="00D97344"/>
    <w:rsid w:val="00D9760A"/>
    <w:rsid w:val="00DA0352"/>
    <w:rsid w:val="00DA056F"/>
    <w:rsid w:val="00DA093A"/>
    <w:rsid w:val="00DA1129"/>
    <w:rsid w:val="00DA23F0"/>
    <w:rsid w:val="00DA2614"/>
    <w:rsid w:val="00DA301C"/>
    <w:rsid w:val="00DA5853"/>
    <w:rsid w:val="00DA6276"/>
    <w:rsid w:val="00DA7FA9"/>
    <w:rsid w:val="00DB1DB0"/>
    <w:rsid w:val="00DB4E2B"/>
    <w:rsid w:val="00DB4F7A"/>
    <w:rsid w:val="00DB515E"/>
    <w:rsid w:val="00DB54C1"/>
    <w:rsid w:val="00DB7A49"/>
    <w:rsid w:val="00DB7E65"/>
    <w:rsid w:val="00DC0061"/>
    <w:rsid w:val="00DC00C7"/>
    <w:rsid w:val="00DC0E05"/>
    <w:rsid w:val="00DC13F4"/>
    <w:rsid w:val="00DC27A8"/>
    <w:rsid w:val="00DC33DC"/>
    <w:rsid w:val="00DC42A5"/>
    <w:rsid w:val="00DC5330"/>
    <w:rsid w:val="00DC5EBF"/>
    <w:rsid w:val="00DC7670"/>
    <w:rsid w:val="00DC775D"/>
    <w:rsid w:val="00DC7933"/>
    <w:rsid w:val="00DC7A00"/>
    <w:rsid w:val="00DD167C"/>
    <w:rsid w:val="00DD316E"/>
    <w:rsid w:val="00DD33C5"/>
    <w:rsid w:val="00DD3656"/>
    <w:rsid w:val="00DD3E93"/>
    <w:rsid w:val="00DD4E1A"/>
    <w:rsid w:val="00DD5568"/>
    <w:rsid w:val="00DD6989"/>
    <w:rsid w:val="00DE1615"/>
    <w:rsid w:val="00DE1D94"/>
    <w:rsid w:val="00DE3C49"/>
    <w:rsid w:val="00DE3D95"/>
    <w:rsid w:val="00DE4759"/>
    <w:rsid w:val="00DE49E5"/>
    <w:rsid w:val="00DE4C7C"/>
    <w:rsid w:val="00DE6DD0"/>
    <w:rsid w:val="00DE743F"/>
    <w:rsid w:val="00DE7F4C"/>
    <w:rsid w:val="00DF270E"/>
    <w:rsid w:val="00DF307A"/>
    <w:rsid w:val="00DF4638"/>
    <w:rsid w:val="00DF54FF"/>
    <w:rsid w:val="00DF553B"/>
    <w:rsid w:val="00DF6CA7"/>
    <w:rsid w:val="00DF70EB"/>
    <w:rsid w:val="00DF7833"/>
    <w:rsid w:val="00E005ED"/>
    <w:rsid w:val="00E022A6"/>
    <w:rsid w:val="00E02886"/>
    <w:rsid w:val="00E02B15"/>
    <w:rsid w:val="00E03353"/>
    <w:rsid w:val="00E0457B"/>
    <w:rsid w:val="00E04590"/>
    <w:rsid w:val="00E05439"/>
    <w:rsid w:val="00E071C0"/>
    <w:rsid w:val="00E07A3F"/>
    <w:rsid w:val="00E07E79"/>
    <w:rsid w:val="00E11ED4"/>
    <w:rsid w:val="00E11FE2"/>
    <w:rsid w:val="00E12419"/>
    <w:rsid w:val="00E13111"/>
    <w:rsid w:val="00E146A8"/>
    <w:rsid w:val="00E1501B"/>
    <w:rsid w:val="00E17DAA"/>
    <w:rsid w:val="00E20943"/>
    <w:rsid w:val="00E217A3"/>
    <w:rsid w:val="00E21CE0"/>
    <w:rsid w:val="00E22973"/>
    <w:rsid w:val="00E22CEC"/>
    <w:rsid w:val="00E2422C"/>
    <w:rsid w:val="00E24C5D"/>
    <w:rsid w:val="00E255E1"/>
    <w:rsid w:val="00E25A9C"/>
    <w:rsid w:val="00E261B9"/>
    <w:rsid w:val="00E312DB"/>
    <w:rsid w:val="00E31D87"/>
    <w:rsid w:val="00E320AE"/>
    <w:rsid w:val="00E32D59"/>
    <w:rsid w:val="00E32DA8"/>
    <w:rsid w:val="00E33DD9"/>
    <w:rsid w:val="00E35BA2"/>
    <w:rsid w:val="00E366A6"/>
    <w:rsid w:val="00E36BE4"/>
    <w:rsid w:val="00E3710D"/>
    <w:rsid w:val="00E40C2C"/>
    <w:rsid w:val="00E413C8"/>
    <w:rsid w:val="00E45BB6"/>
    <w:rsid w:val="00E46C64"/>
    <w:rsid w:val="00E53ECA"/>
    <w:rsid w:val="00E53F99"/>
    <w:rsid w:val="00E540E4"/>
    <w:rsid w:val="00E546A4"/>
    <w:rsid w:val="00E55AF0"/>
    <w:rsid w:val="00E56259"/>
    <w:rsid w:val="00E56349"/>
    <w:rsid w:val="00E563B3"/>
    <w:rsid w:val="00E5719C"/>
    <w:rsid w:val="00E608DA"/>
    <w:rsid w:val="00E62487"/>
    <w:rsid w:val="00E625E0"/>
    <w:rsid w:val="00E62DFF"/>
    <w:rsid w:val="00E63612"/>
    <w:rsid w:val="00E646A0"/>
    <w:rsid w:val="00E65DC5"/>
    <w:rsid w:val="00E66F16"/>
    <w:rsid w:val="00E70AEE"/>
    <w:rsid w:val="00E71183"/>
    <w:rsid w:val="00E720A3"/>
    <w:rsid w:val="00E7255A"/>
    <w:rsid w:val="00E73ACC"/>
    <w:rsid w:val="00E762D0"/>
    <w:rsid w:val="00E767A3"/>
    <w:rsid w:val="00E76EC1"/>
    <w:rsid w:val="00E80FBC"/>
    <w:rsid w:val="00E81349"/>
    <w:rsid w:val="00E815B0"/>
    <w:rsid w:val="00E8198E"/>
    <w:rsid w:val="00E827A2"/>
    <w:rsid w:val="00E843E3"/>
    <w:rsid w:val="00E84BEE"/>
    <w:rsid w:val="00E84FF3"/>
    <w:rsid w:val="00E8765E"/>
    <w:rsid w:val="00E9075C"/>
    <w:rsid w:val="00E916F4"/>
    <w:rsid w:val="00E91CBC"/>
    <w:rsid w:val="00E92252"/>
    <w:rsid w:val="00E944A1"/>
    <w:rsid w:val="00E9497C"/>
    <w:rsid w:val="00E94D43"/>
    <w:rsid w:val="00E9600B"/>
    <w:rsid w:val="00E976B6"/>
    <w:rsid w:val="00E977A1"/>
    <w:rsid w:val="00E9787B"/>
    <w:rsid w:val="00E97B54"/>
    <w:rsid w:val="00EA2760"/>
    <w:rsid w:val="00EA3214"/>
    <w:rsid w:val="00EA38F4"/>
    <w:rsid w:val="00EA3A0D"/>
    <w:rsid w:val="00EA691A"/>
    <w:rsid w:val="00EA6AF0"/>
    <w:rsid w:val="00EA749C"/>
    <w:rsid w:val="00EB0736"/>
    <w:rsid w:val="00EB0879"/>
    <w:rsid w:val="00EB0B3D"/>
    <w:rsid w:val="00EB0FB9"/>
    <w:rsid w:val="00EB1C0E"/>
    <w:rsid w:val="00EB32C1"/>
    <w:rsid w:val="00EB344B"/>
    <w:rsid w:val="00EB44BB"/>
    <w:rsid w:val="00EB4941"/>
    <w:rsid w:val="00EB5AB6"/>
    <w:rsid w:val="00EB6D04"/>
    <w:rsid w:val="00EB7B2C"/>
    <w:rsid w:val="00EB7C7A"/>
    <w:rsid w:val="00EB7EB1"/>
    <w:rsid w:val="00EC079D"/>
    <w:rsid w:val="00EC3020"/>
    <w:rsid w:val="00EC34BC"/>
    <w:rsid w:val="00EC450B"/>
    <w:rsid w:val="00EC4CC7"/>
    <w:rsid w:val="00EC4EE0"/>
    <w:rsid w:val="00EC4F81"/>
    <w:rsid w:val="00EC54B4"/>
    <w:rsid w:val="00EC6E62"/>
    <w:rsid w:val="00EC7219"/>
    <w:rsid w:val="00EC7341"/>
    <w:rsid w:val="00EC7AD7"/>
    <w:rsid w:val="00ED03E7"/>
    <w:rsid w:val="00ED1B62"/>
    <w:rsid w:val="00ED2F0E"/>
    <w:rsid w:val="00ED40D5"/>
    <w:rsid w:val="00ED53EE"/>
    <w:rsid w:val="00ED5B49"/>
    <w:rsid w:val="00ED5E6D"/>
    <w:rsid w:val="00ED607C"/>
    <w:rsid w:val="00ED7F0F"/>
    <w:rsid w:val="00EE1941"/>
    <w:rsid w:val="00EE233B"/>
    <w:rsid w:val="00EE28B1"/>
    <w:rsid w:val="00EE2AC2"/>
    <w:rsid w:val="00EE37D7"/>
    <w:rsid w:val="00EE3B5D"/>
    <w:rsid w:val="00EE65C2"/>
    <w:rsid w:val="00EE709B"/>
    <w:rsid w:val="00EF022C"/>
    <w:rsid w:val="00EF1554"/>
    <w:rsid w:val="00EF1888"/>
    <w:rsid w:val="00EF1B9E"/>
    <w:rsid w:val="00EF1C9B"/>
    <w:rsid w:val="00EF1E11"/>
    <w:rsid w:val="00EF2B1E"/>
    <w:rsid w:val="00EF3A6D"/>
    <w:rsid w:val="00EF438F"/>
    <w:rsid w:val="00EF4BCA"/>
    <w:rsid w:val="00EF4DFA"/>
    <w:rsid w:val="00EF54D8"/>
    <w:rsid w:val="00EF57AC"/>
    <w:rsid w:val="00EF5BCF"/>
    <w:rsid w:val="00EF7A5E"/>
    <w:rsid w:val="00EF7B2A"/>
    <w:rsid w:val="00F00434"/>
    <w:rsid w:val="00F00DF8"/>
    <w:rsid w:val="00F02B49"/>
    <w:rsid w:val="00F0681B"/>
    <w:rsid w:val="00F06869"/>
    <w:rsid w:val="00F07C1A"/>
    <w:rsid w:val="00F109CD"/>
    <w:rsid w:val="00F1164B"/>
    <w:rsid w:val="00F12D8B"/>
    <w:rsid w:val="00F1347B"/>
    <w:rsid w:val="00F13CEA"/>
    <w:rsid w:val="00F13F32"/>
    <w:rsid w:val="00F14193"/>
    <w:rsid w:val="00F155C9"/>
    <w:rsid w:val="00F15835"/>
    <w:rsid w:val="00F17485"/>
    <w:rsid w:val="00F17A6A"/>
    <w:rsid w:val="00F20AE5"/>
    <w:rsid w:val="00F20D1C"/>
    <w:rsid w:val="00F2110A"/>
    <w:rsid w:val="00F22221"/>
    <w:rsid w:val="00F22798"/>
    <w:rsid w:val="00F22D09"/>
    <w:rsid w:val="00F230DD"/>
    <w:rsid w:val="00F231B4"/>
    <w:rsid w:val="00F2357E"/>
    <w:rsid w:val="00F23629"/>
    <w:rsid w:val="00F23B49"/>
    <w:rsid w:val="00F25B08"/>
    <w:rsid w:val="00F27506"/>
    <w:rsid w:val="00F27564"/>
    <w:rsid w:val="00F27833"/>
    <w:rsid w:val="00F3062E"/>
    <w:rsid w:val="00F319BF"/>
    <w:rsid w:val="00F322F0"/>
    <w:rsid w:val="00F3257F"/>
    <w:rsid w:val="00F32E57"/>
    <w:rsid w:val="00F33B54"/>
    <w:rsid w:val="00F349A7"/>
    <w:rsid w:val="00F3521B"/>
    <w:rsid w:val="00F40161"/>
    <w:rsid w:val="00F41934"/>
    <w:rsid w:val="00F42AEB"/>
    <w:rsid w:val="00F42FC4"/>
    <w:rsid w:val="00F441BE"/>
    <w:rsid w:val="00F445F5"/>
    <w:rsid w:val="00F455EF"/>
    <w:rsid w:val="00F45BDC"/>
    <w:rsid w:val="00F464CF"/>
    <w:rsid w:val="00F466C3"/>
    <w:rsid w:val="00F46AEE"/>
    <w:rsid w:val="00F47A31"/>
    <w:rsid w:val="00F47D10"/>
    <w:rsid w:val="00F502C1"/>
    <w:rsid w:val="00F52965"/>
    <w:rsid w:val="00F53641"/>
    <w:rsid w:val="00F54354"/>
    <w:rsid w:val="00F613C1"/>
    <w:rsid w:val="00F64C59"/>
    <w:rsid w:val="00F6592D"/>
    <w:rsid w:val="00F67A7B"/>
    <w:rsid w:val="00F71B9C"/>
    <w:rsid w:val="00F71C7C"/>
    <w:rsid w:val="00F72F58"/>
    <w:rsid w:val="00F73CBC"/>
    <w:rsid w:val="00F77B42"/>
    <w:rsid w:val="00F80474"/>
    <w:rsid w:val="00F824EF"/>
    <w:rsid w:val="00F82BCA"/>
    <w:rsid w:val="00F8307D"/>
    <w:rsid w:val="00F84BFF"/>
    <w:rsid w:val="00F84D57"/>
    <w:rsid w:val="00F859D7"/>
    <w:rsid w:val="00F86B82"/>
    <w:rsid w:val="00F86EF4"/>
    <w:rsid w:val="00F87CA1"/>
    <w:rsid w:val="00F914F4"/>
    <w:rsid w:val="00F9170F"/>
    <w:rsid w:val="00F922AA"/>
    <w:rsid w:val="00F9507F"/>
    <w:rsid w:val="00F968E3"/>
    <w:rsid w:val="00F97FC7"/>
    <w:rsid w:val="00FA0B3C"/>
    <w:rsid w:val="00FA12B7"/>
    <w:rsid w:val="00FA17B2"/>
    <w:rsid w:val="00FA18A7"/>
    <w:rsid w:val="00FA18FD"/>
    <w:rsid w:val="00FA2061"/>
    <w:rsid w:val="00FA34CC"/>
    <w:rsid w:val="00FA5CF6"/>
    <w:rsid w:val="00FA686F"/>
    <w:rsid w:val="00FA78F0"/>
    <w:rsid w:val="00FB3FB5"/>
    <w:rsid w:val="00FB4E87"/>
    <w:rsid w:val="00FB5A5C"/>
    <w:rsid w:val="00FB61EF"/>
    <w:rsid w:val="00FB6FA8"/>
    <w:rsid w:val="00FC01DC"/>
    <w:rsid w:val="00FC1A1A"/>
    <w:rsid w:val="00FC255F"/>
    <w:rsid w:val="00FC2678"/>
    <w:rsid w:val="00FC4341"/>
    <w:rsid w:val="00FC4944"/>
    <w:rsid w:val="00FC501F"/>
    <w:rsid w:val="00FC5E77"/>
    <w:rsid w:val="00FC6836"/>
    <w:rsid w:val="00FC6EE1"/>
    <w:rsid w:val="00FC7D15"/>
    <w:rsid w:val="00FD00C7"/>
    <w:rsid w:val="00FD18B2"/>
    <w:rsid w:val="00FD3AF2"/>
    <w:rsid w:val="00FD7D0C"/>
    <w:rsid w:val="00FE0AFB"/>
    <w:rsid w:val="00FE1054"/>
    <w:rsid w:val="00FE2A3B"/>
    <w:rsid w:val="00FE2BB4"/>
    <w:rsid w:val="00FE2F7F"/>
    <w:rsid w:val="00FE3CC6"/>
    <w:rsid w:val="00FE4606"/>
    <w:rsid w:val="00FE4B13"/>
    <w:rsid w:val="00FE5691"/>
    <w:rsid w:val="00FE5AFB"/>
    <w:rsid w:val="00FE7C19"/>
    <w:rsid w:val="00FF0546"/>
    <w:rsid w:val="00FF0F9B"/>
    <w:rsid w:val="00FF2A83"/>
    <w:rsid w:val="00FF33C2"/>
    <w:rsid w:val="00FF5DD5"/>
    <w:rsid w:val="00FF688C"/>
    <w:rsid w:val="00FF7819"/>
    <w:rsid w:val="00FF7DB3"/>
    <w:rsid w:val="00FF7EE4"/>
    <w:rsid w:val="01FDD292"/>
    <w:rsid w:val="03343D49"/>
    <w:rsid w:val="03ABFBC1"/>
    <w:rsid w:val="03FB6761"/>
    <w:rsid w:val="04A842DD"/>
    <w:rsid w:val="05115472"/>
    <w:rsid w:val="07A5CA34"/>
    <w:rsid w:val="0879D5AE"/>
    <w:rsid w:val="08C96EF0"/>
    <w:rsid w:val="0B20F9A4"/>
    <w:rsid w:val="0BE3188B"/>
    <w:rsid w:val="0CD6C8E2"/>
    <w:rsid w:val="0D1B25FC"/>
    <w:rsid w:val="0D458C1C"/>
    <w:rsid w:val="0E0CDA7D"/>
    <w:rsid w:val="0EF774F8"/>
    <w:rsid w:val="10B9CCE1"/>
    <w:rsid w:val="10F646EA"/>
    <w:rsid w:val="1174DE1E"/>
    <w:rsid w:val="118E25D2"/>
    <w:rsid w:val="12DA7C6C"/>
    <w:rsid w:val="14B88DC5"/>
    <w:rsid w:val="153FD142"/>
    <w:rsid w:val="16400262"/>
    <w:rsid w:val="168BB1CA"/>
    <w:rsid w:val="16DD5E9A"/>
    <w:rsid w:val="190D0892"/>
    <w:rsid w:val="1985E77A"/>
    <w:rsid w:val="1A4A2022"/>
    <w:rsid w:val="1A9E3202"/>
    <w:rsid w:val="1D415E47"/>
    <w:rsid w:val="1D9EDDA9"/>
    <w:rsid w:val="1F86CAFA"/>
    <w:rsid w:val="214B9DC9"/>
    <w:rsid w:val="2232CA39"/>
    <w:rsid w:val="2302CB33"/>
    <w:rsid w:val="240ED094"/>
    <w:rsid w:val="246FF141"/>
    <w:rsid w:val="26A87E29"/>
    <w:rsid w:val="270BE237"/>
    <w:rsid w:val="289D53CC"/>
    <w:rsid w:val="292F0F01"/>
    <w:rsid w:val="298EAEB0"/>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7DC7F"/>
    <w:rsid w:val="320C096E"/>
    <w:rsid w:val="3345A429"/>
    <w:rsid w:val="3365DF7D"/>
    <w:rsid w:val="338AD733"/>
    <w:rsid w:val="33C629ED"/>
    <w:rsid w:val="33CD418D"/>
    <w:rsid w:val="348624F1"/>
    <w:rsid w:val="369DDED0"/>
    <w:rsid w:val="371064C4"/>
    <w:rsid w:val="39788F36"/>
    <w:rsid w:val="3BEFD102"/>
    <w:rsid w:val="3D31C50C"/>
    <w:rsid w:val="40B91A68"/>
    <w:rsid w:val="40FA4FF1"/>
    <w:rsid w:val="427DDFBE"/>
    <w:rsid w:val="42A044BE"/>
    <w:rsid w:val="42E39FD1"/>
    <w:rsid w:val="43FBFF56"/>
    <w:rsid w:val="43FFB094"/>
    <w:rsid w:val="44A4249E"/>
    <w:rsid w:val="45101BF9"/>
    <w:rsid w:val="455AA853"/>
    <w:rsid w:val="464B9401"/>
    <w:rsid w:val="4691BB2B"/>
    <w:rsid w:val="46DFF84C"/>
    <w:rsid w:val="496BB081"/>
    <w:rsid w:val="4CC560BF"/>
    <w:rsid w:val="4D04151A"/>
    <w:rsid w:val="4D54D746"/>
    <w:rsid w:val="4DB2EA0B"/>
    <w:rsid w:val="4E0EF0D1"/>
    <w:rsid w:val="4E412C67"/>
    <w:rsid w:val="4F4DC1C5"/>
    <w:rsid w:val="4F5AD084"/>
    <w:rsid w:val="4F5D6062"/>
    <w:rsid w:val="4FF5D099"/>
    <w:rsid w:val="52E06444"/>
    <w:rsid w:val="5348577F"/>
    <w:rsid w:val="5441D815"/>
    <w:rsid w:val="55C63B24"/>
    <w:rsid w:val="575579AB"/>
    <w:rsid w:val="58679F10"/>
    <w:rsid w:val="59C908CE"/>
    <w:rsid w:val="5B6B783E"/>
    <w:rsid w:val="5BCA9AF6"/>
    <w:rsid w:val="5DDEE69A"/>
    <w:rsid w:val="5DF1BB0F"/>
    <w:rsid w:val="5EE16208"/>
    <w:rsid w:val="5FB826F7"/>
    <w:rsid w:val="601A1D0B"/>
    <w:rsid w:val="63232560"/>
    <w:rsid w:val="6339AB16"/>
    <w:rsid w:val="63F757F1"/>
    <w:rsid w:val="64551E2C"/>
    <w:rsid w:val="6495636B"/>
    <w:rsid w:val="679146BB"/>
    <w:rsid w:val="686C4CBA"/>
    <w:rsid w:val="69C36EF6"/>
    <w:rsid w:val="6A310B7F"/>
    <w:rsid w:val="6A5C6F67"/>
    <w:rsid w:val="6A61E10E"/>
    <w:rsid w:val="6C9DD8CB"/>
    <w:rsid w:val="6CB88AED"/>
    <w:rsid w:val="6D249D3F"/>
    <w:rsid w:val="6E9F620F"/>
    <w:rsid w:val="6EF75298"/>
    <w:rsid w:val="6F99D76B"/>
    <w:rsid w:val="703110F8"/>
    <w:rsid w:val="70DB41FD"/>
    <w:rsid w:val="70DE2D26"/>
    <w:rsid w:val="712F303C"/>
    <w:rsid w:val="72B7E760"/>
    <w:rsid w:val="73AD4C73"/>
    <w:rsid w:val="73D1BFF7"/>
    <w:rsid w:val="73DAC2B2"/>
    <w:rsid w:val="7601EEAE"/>
    <w:rsid w:val="7633D172"/>
    <w:rsid w:val="775121DD"/>
    <w:rsid w:val="77FD9B55"/>
    <w:rsid w:val="79C8B336"/>
    <w:rsid w:val="79D4427B"/>
    <w:rsid w:val="7BD595DF"/>
    <w:rsid w:val="7CC63F30"/>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6CC1D"/>
  <w15:docId w15:val="{1A30BBD3-8BDE-499C-AF92-F4AE84170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47170"/>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 w:type="character" w:styleId="Mention">
    <w:name w:val="Mention"/>
    <w:basedOn w:val="DefaultParagraphFont"/>
    <w:uiPriority w:val="99"/>
    <w:unhideWhenUsed/>
    <w:rsid w:val="00334B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on.gouskos@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20" ma:contentTypeDescription="Create a new document." ma:contentTypeScope="" ma:versionID="e62f20f92fa2310e04eae3e652e5d745">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947508e41c540ab6f9d14db192347315"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Audrey Reoch</DisplayName>
        <AccountId>4947</AccountId>
        <AccountType/>
      </UserInfo>
      <UserInfo>
        <DisplayName>Con Gouskos</DisplayName>
        <AccountId>3107</AccountId>
        <AccountType/>
      </UserInfo>
      <UserInfo>
        <DisplayName>Gareth Downing</DisplayName>
        <AccountId>3590</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7FDF2A0B-6761-4C4D-B205-9E65D04B8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11</TotalTime>
  <Pages>6</Pages>
  <Words>2419</Words>
  <Characters>13789</Characters>
  <Application>Microsoft Office Word</Application>
  <DocSecurity>0</DocSecurity>
  <Lines>114</Lines>
  <Paragraphs>32</Paragraphs>
  <ScaleCrop>false</ScaleCrop>
  <Company/>
  <LinksUpToDate>false</LinksUpToDate>
  <CharactersWithSpaces>16176</CharactersWithSpaces>
  <SharedDoc>false</SharedDoc>
  <HLinks>
    <vt:vector size="12"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6291528</vt:i4>
      </vt:variant>
      <vt:variant>
        <vt:i4>0</vt:i4>
      </vt:variant>
      <vt:variant>
        <vt:i4>0</vt:i4>
      </vt:variant>
      <vt:variant>
        <vt:i4>5</vt:i4>
      </vt:variant>
      <vt:variant>
        <vt:lpwstr>mailto:con.gouskos@accan.org.au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Con Gouskos</cp:lastModifiedBy>
  <cp:revision>672</cp:revision>
  <cp:lastPrinted>2024-06-05T00:38:00Z</cp:lastPrinted>
  <dcterms:created xsi:type="dcterms:W3CDTF">2024-04-28T23:51:00Z</dcterms:created>
  <dcterms:modified xsi:type="dcterms:W3CDTF">2024-06-05T00:38:00Z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0x0101008E1B8366B727E549B51F19B2B16DD61A</vt:lpwstr>
  </property>
</Properties>
</file>