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E430EB" w14:textId="77777777" w:rsidR="00B47285" w:rsidRPr="002C5882" w:rsidRDefault="00B47285" w:rsidP="00CF0438">
      <w:pPr>
        <w:pStyle w:val="Letterhead1"/>
      </w:pPr>
      <w:bookmarkStart w:id="0" w:name="_Hlk95835868"/>
      <w:r w:rsidRPr="00CF0438">
        <w:rPr>
          <w:noProof/>
        </w:rPr>
        <w:drawing>
          <wp:anchor distT="0" distB="0" distL="114300" distR="114300" simplePos="0" relativeHeight="251658243" behindDoc="1" locked="0" layoutInCell="1" allowOverlap="1" wp14:anchorId="69EF22C0" wp14:editId="16150E1F">
            <wp:simplePos x="0" y="0"/>
            <wp:positionH relativeFrom="column">
              <wp:posOffset>4862195</wp:posOffset>
            </wp:positionH>
            <wp:positionV relativeFrom="page">
              <wp:posOffset>563880</wp:posOffset>
            </wp:positionV>
            <wp:extent cx="191770" cy="191770"/>
            <wp:effectExtent l="0" t="0" r="0" b="0"/>
            <wp:wrapSquare wrapText="bothSides"/>
            <wp:docPr id="7" name="Picture 7" descr="Twitter Ico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witter Icon">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0438">
        <w:rPr>
          <w:noProof/>
        </w:rPr>
        <w:drawing>
          <wp:anchor distT="0" distB="0" distL="114300" distR="114300" simplePos="0" relativeHeight="251658244" behindDoc="0" locked="0" layoutInCell="1" allowOverlap="1" wp14:anchorId="40CB8418" wp14:editId="5A975579">
            <wp:simplePos x="0" y="0"/>
            <wp:positionH relativeFrom="column">
              <wp:posOffset>5092065</wp:posOffset>
            </wp:positionH>
            <wp:positionV relativeFrom="page">
              <wp:posOffset>560070</wp:posOffset>
            </wp:positionV>
            <wp:extent cx="191770" cy="191770"/>
            <wp:effectExtent l="0" t="0" r="0" b="0"/>
            <wp:wrapSquare wrapText="bothSides"/>
            <wp:docPr id="8" name="Picture 8" descr="Facebook ico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acebook icon">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5" behindDoc="0" locked="0" layoutInCell="1" allowOverlap="1" wp14:anchorId="7AB6EB1B" wp14:editId="56665714">
            <wp:simplePos x="0" y="0"/>
            <wp:positionH relativeFrom="column">
              <wp:posOffset>5326380</wp:posOffset>
            </wp:positionH>
            <wp:positionV relativeFrom="page">
              <wp:posOffset>560070</wp:posOffset>
            </wp:positionV>
            <wp:extent cx="191770" cy="191770"/>
            <wp:effectExtent l="0" t="0" r="0" b="0"/>
            <wp:wrapSquare wrapText="bothSides"/>
            <wp:docPr id="9" name="Picture 9" descr="Linked in ico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inked in icon">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2" behindDoc="0" locked="0" layoutInCell="1" allowOverlap="1" wp14:anchorId="2F27863D" wp14:editId="1A55A230">
            <wp:simplePos x="0" y="0"/>
            <wp:positionH relativeFrom="column">
              <wp:posOffset>5546725</wp:posOffset>
            </wp:positionH>
            <wp:positionV relativeFrom="page">
              <wp:posOffset>560070</wp:posOffset>
            </wp:positionV>
            <wp:extent cx="191770" cy="191770"/>
            <wp:effectExtent l="0" t="0" r="0" b="0"/>
            <wp:wrapSquare wrapText="bothSides"/>
            <wp:docPr id="10" name="Picture 10" descr="Instagram ico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nstagram icon">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1" behindDoc="0" locked="0" layoutInCell="1" allowOverlap="1" wp14:anchorId="623BBE9D" wp14:editId="290C6933">
            <wp:simplePos x="0" y="0"/>
            <wp:positionH relativeFrom="column">
              <wp:posOffset>4445</wp:posOffset>
            </wp:positionH>
            <wp:positionV relativeFrom="page">
              <wp:posOffset>421005</wp:posOffset>
            </wp:positionV>
            <wp:extent cx="2035810" cy="880110"/>
            <wp:effectExtent l="0" t="0" r="2540" b="0"/>
            <wp:wrapSquare wrapText="bothSides"/>
            <wp:docPr id="16" name="Picture 16" descr="ACCAN 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CCAN logo">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5810" cy="880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7A95" w:rsidRPr="00CF0438">
        <w:t>www.</w:t>
      </w:r>
      <w:r w:rsidRPr="002C5882">
        <w:t>accan</w:t>
      </w:r>
      <w:r w:rsidRPr="00CF0438">
        <w:t>.org.</w:t>
      </w:r>
      <w:r w:rsidRPr="002C5882">
        <w:t>au</w:t>
      </w:r>
    </w:p>
    <w:p w14:paraId="68358627" w14:textId="77777777" w:rsidR="00B47285" w:rsidRPr="002C5882" w:rsidRDefault="00F47D10" w:rsidP="00CF0438">
      <w:pPr>
        <w:pStyle w:val="Letterhead1"/>
      </w:pPr>
      <w:r>
        <w:t>i</w:t>
      </w:r>
      <w:r w:rsidR="00B47285" w:rsidRPr="002C5882">
        <w:t>nfo@accan.org.au</w:t>
      </w:r>
    </w:p>
    <w:p w14:paraId="68687DC0" w14:textId="77777777" w:rsidR="00B47285" w:rsidRPr="002C5882" w:rsidRDefault="00B47285" w:rsidP="00CF0438">
      <w:pPr>
        <w:pStyle w:val="Letterhead1"/>
      </w:pPr>
      <w:r w:rsidRPr="002C5882">
        <w:t>02 9288 4000</w:t>
      </w:r>
    </w:p>
    <w:p w14:paraId="0D599F0A" w14:textId="62910446" w:rsidR="00B47285" w:rsidRPr="00CD2EA0" w:rsidRDefault="00B47285" w:rsidP="00CD2EA0">
      <w:pPr>
        <w:tabs>
          <w:tab w:val="left" w:pos="3855"/>
        </w:tabs>
        <w:rPr>
          <w:rFonts w:ascii="Gotham" w:hAnsi="Gotham"/>
          <w:b/>
          <w:bCs/>
          <w:lang w:val="en-US"/>
        </w:rPr>
      </w:pPr>
      <w:r w:rsidRPr="002C5882">
        <w:rPr>
          <w:noProof/>
        </w:rPr>
        <mc:AlternateContent>
          <mc:Choice Requires="wps">
            <w:drawing>
              <wp:anchor distT="0" distB="0" distL="114300" distR="114300" simplePos="0" relativeHeight="251658240" behindDoc="1" locked="0" layoutInCell="1" allowOverlap="1" wp14:anchorId="5C2C8D09" wp14:editId="342B855C">
                <wp:simplePos x="0" y="0"/>
                <wp:positionH relativeFrom="column">
                  <wp:posOffset>-627380</wp:posOffset>
                </wp:positionH>
                <wp:positionV relativeFrom="page">
                  <wp:posOffset>1675572</wp:posOffset>
                </wp:positionV>
                <wp:extent cx="6892290" cy="45085"/>
                <wp:effectExtent l="0" t="0" r="3810" b="0"/>
                <wp:wrapNone/>
                <wp:docPr id="4379" name="Rectangle 4379"/>
                <wp:cNvGraphicFramePr/>
                <a:graphic xmlns:a="http://schemas.openxmlformats.org/drawingml/2006/main">
                  <a:graphicData uri="http://schemas.microsoft.com/office/word/2010/wordprocessingShape">
                    <wps:wsp>
                      <wps:cNvSpPr/>
                      <wps:spPr>
                        <a:xfrm>
                          <a:off x="0" y="0"/>
                          <a:ext cx="6892290" cy="4508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v:rect id="Rectangle 4379" style="position:absolute;margin-left:-49.4pt;margin-top:131.95pt;width:542.7pt;height:3.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spid="_x0000_s1026" fillcolor="#43c7f4" stroked="f" strokeweight="2pt" w14:anchorId="7CF1B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">
                <w10:wrap anchory="page"/>
              </v:rect>
            </w:pict>
          </mc:Fallback>
        </mc:AlternateContent>
      </w:r>
    </w:p>
    <w:bookmarkEnd w:id="0"/>
    <w:p w14:paraId="2D30DBA1" w14:textId="3A636033" w:rsidR="00AF01B5" w:rsidRDefault="00867C92" w:rsidP="00AF01B5">
      <w:pPr>
        <w:tabs>
          <w:tab w:val="right" w:pos="9026"/>
        </w:tabs>
      </w:pPr>
      <w:r>
        <w:br/>
      </w:r>
      <w:r w:rsidR="00AF01B5" w:rsidRPr="05115472">
        <w:rPr>
          <w:rStyle w:val="DocLabelChar"/>
        </w:rPr>
        <w:t>Submission</w:t>
      </w:r>
      <w:r>
        <w:tab/>
      </w:r>
      <w:r w:rsidR="001136E0" w:rsidRPr="05115472">
        <w:rPr>
          <w:rStyle w:val="DocDateChar"/>
        </w:rPr>
        <w:t xml:space="preserve"> </w:t>
      </w:r>
      <w:r w:rsidR="003C5587">
        <w:rPr>
          <w:rStyle w:val="DocDateChar"/>
        </w:rPr>
        <w:t>30</w:t>
      </w:r>
      <w:r w:rsidR="00401182" w:rsidRPr="05115472">
        <w:rPr>
          <w:rStyle w:val="DocDateChar"/>
        </w:rPr>
        <w:t xml:space="preserve"> </w:t>
      </w:r>
      <w:r w:rsidR="003C5587">
        <w:rPr>
          <w:rStyle w:val="DocDateChar"/>
        </w:rPr>
        <w:t>May</w:t>
      </w:r>
      <w:r w:rsidR="00AF01B5" w:rsidRPr="05115472">
        <w:rPr>
          <w:rStyle w:val="DocDateChar"/>
        </w:rPr>
        <w:t xml:space="preserve"> 202</w:t>
      </w:r>
      <w:r w:rsidR="00B359CD">
        <w:rPr>
          <w:rStyle w:val="DocDateChar"/>
        </w:rPr>
        <w:t>3</w:t>
      </w:r>
    </w:p>
    <w:p w14:paraId="4C4338B1" w14:textId="7A8BF5C6" w:rsidR="3207DC7F" w:rsidRDefault="00D912D0" w:rsidP="05115472">
      <w:pPr>
        <w:spacing w:after="0" w:line="240" w:lineRule="auto"/>
      </w:pPr>
      <w:r>
        <w:t>Sean Riordan</w:t>
      </w:r>
      <w:r w:rsidR="3207DC7F">
        <w:t xml:space="preserve"> </w:t>
      </w:r>
    </w:p>
    <w:p w14:paraId="12520F5C" w14:textId="7A8BF5C6" w:rsidR="00D912D0" w:rsidRDefault="00D912D0" w:rsidP="05115472">
      <w:pPr>
        <w:spacing w:after="0" w:line="240" w:lineRule="auto"/>
      </w:pPr>
      <w:r>
        <w:t>General Manager, Communications Markets</w:t>
      </w:r>
    </w:p>
    <w:p w14:paraId="1CEC2DF8" w14:textId="254D5A88" w:rsidR="73D1BFF7" w:rsidRDefault="00D912D0" w:rsidP="05115472">
      <w:pPr>
        <w:spacing w:after="0" w:line="240" w:lineRule="auto"/>
      </w:pPr>
      <w:r>
        <w:t>and Advocacy</w:t>
      </w:r>
    </w:p>
    <w:p w14:paraId="160DB313" w14:textId="6244A0F1" w:rsidR="00AF01B5" w:rsidRDefault="0084500E" w:rsidP="00AF01B5">
      <w:pPr>
        <w:spacing w:after="0" w:line="240" w:lineRule="auto"/>
      </w:pPr>
      <w:r>
        <w:t>ACCC</w:t>
      </w:r>
    </w:p>
    <w:p w14:paraId="7E11F7D8" w14:textId="77777777" w:rsidR="00A7470D" w:rsidRDefault="00A7470D" w:rsidP="00AF01B5">
      <w:pPr>
        <w:spacing w:after="0" w:line="240" w:lineRule="auto"/>
      </w:pPr>
    </w:p>
    <w:p w14:paraId="269BADFB" w14:textId="6D9775BD" w:rsidR="00AF01B5" w:rsidRDefault="00AF01B5" w:rsidP="05115472">
      <w:pPr>
        <w:jc w:val="center"/>
        <w:rPr>
          <w:b/>
          <w:bCs/>
        </w:rPr>
      </w:pPr>
      <w:r w:rsidRPr="05115472">
        <w:rPr>
          <w:b/>
          <w:bCs/>
        </w:rPr>
        <w:t xml:space="preserve">Re: </w:t>
      </w:r>
      <w:r w:rsidR="0000793F">
        <w:rPr>
          <w:b/>
          <w:bCs/>
        </w:rPr>
        <w:t xml:space="preserve">NBN Special </w:t>
      </w:r>
      <w:r w:rsidR="00714CCC">
        <w:rPr>
          <w:b/>
          <w:bCs/>
        </w:rPr>
        <w:t>Access Undertaking (SAU) Draft Decision</w:t>
      </w:r>
    </w:p>
    <w:p w14:paraId="2DDFE64E" w14:textId="07E1E7B2" w:rsidR="00E72C24" w:rsidRDefault="00AF01B5" w:rsidP="00AF01B5">
      <w:r>
        <w:t>The Australian Communications Consumer Action Network (</w:t>
      </w:r>
      <w:r w:rsidRPr="007C4C45">
        <w:rPr>
          <w:b/>
          <w:bCs/>
        </w:rPr>
        <w:t>ACCAN</w:t>
      </w:r>
      <w:r>
        <w:t xml:space="preserve">) thanks </w:t>
      </w:r>
      <w:r w:rsidR="00DF2EB6">
        <w:t>the ACCC</w:t>
      </w:r>
      <w:r w:rsidR="46DFF84C">
        <w:t xml:space="preserve"> for the</w:t>
      </w:r>
      <w:r w:rsidR="00AF4BF3">
        <w:t xml:space="preserve"> opportunity to comment on </w:t>
      </w:r>
      <w:r w:rsidR="00E72C24">
        <w:t>the</w:t>
      </w:r>
      <w:r w:rsidR="00E34D77">
        <w:t xml:space="preserve"> Variation to the NBN Co Special Access Undertaking Draft Decision consultation</w:t>
      </w:r>
      <w:r w:rsidR="00A17A21">
        <w:t xml:space="preserve"> (</w:t>
      </w:r>
      <w:r w:rsidR="0080440B">
        <w:rPr>
          <w:b/>
          <w:bCs/>
        </w:rPr>
        <w:t>d</w:t>
      </w:r>
      <w:r w:rsidR="00A17A21">
        <w:rPr>
          <w:b/>
          <w:bCs/>
        </w:rPr>
        <w:t>raft decision)</w:t>
      </w:r>
      <w:r w:rsidR="00E34D77">
        <w:t>.</w:t>
      </w:r>
    </w:p>
    <w:p w14:paraId="47CDB838" w14:textId="6466969F" w:rsidR="00AF01B5" w:rsidRDefault="00AF01B5" w:rsidP="00AF01B5">
      <w:r>
        <w:t xml:space="preserve">ACCAN is the peak body that represents consumers on communications issues including telecommunications, broadband, and emerging new services. ACCAN provides a strong unified voice to industry and government as </w:t>
      </w:r>
      <w:r w:rsidR="00BC4F49">
        <w:t xml:space="preserve">we </w:t>
      </w:r>
      <w:r>
        <w:t>work towards communications services that are trusted, inclusive and available for all.</w:t>
      </w:r>
    </w:p>
    <w:p w14:paraId="07951A81" w14:textId="5E262E2D" w:rsidR="00705AD1" w:rsidRDefault="003A3124" w:rsidP="00AF01B5">
      <w:r>
        <w:t xml:space="preserve">ACCAN welcomes the </w:t>
      </w:r>
      <w:r w:rsidR="0080440B">
        <w:t>draft decision</w:t>
      </w:r>
      <w:r>
        <w:t xml:space="preserve"> of the ACCC to reject the proposed </w:t>
      </w:r>
      <w:r w:rsidR="00E34D77">
        <w:t>variation to the Special Access Undertaking (</w:t>
      </w:r>
      <w:r w:rsidR="00E34D77" w:rsidRPr="00E34D77">
        <w:rPr>
          <w:b/>
          <w:bCs/>
        </w:rPr>
        <w:t>SAU</w:t>
      </w:r>
      <w:r w:rsidR="00E34D77">
        <w:t>)</w:t>
      </w:r>
      <w:r>
        <w:t xml:space="preserve"> on the basis that it is not in the long-term interests of end-users</w:t>
      </w:r>
      <w:r w:rsidR="00F97547">
        <w:t xml:space="preserve"> (</w:t>
      </w:r>
      <w:r w:rsidR="00F97547" w:rsidRPr="00F97547">
        <w:rPr>
          <w:b/>
          <w:bCs/>
        </w:rPr>
        <w:t>LTIE</w:t>
      </w:r>
      <w:r w:rsidR="00F97547">
        <w:t>)</w:t>
      </w:r>
      <w:r>
        <w:t>.</w:t>
      </w:r>
      <w:r w:rsidR="00705AD1">
        <w:t xml:space="preserve"> While the proposed variation to the SAU represents a material step forward in addressing the concerns raised by ACCAN</w:t>
      </w:r>
      <w:r w:rsidR="00BC234D">
        <w:t>, further refinements are required</w:t>
      </w:r>
      <w:r w:rsidR="006338F5">
        <w:t xml:space="preserve"> to ensure that it aligns with the LTIE</w:t>
      </w:r>
      <w:r w:rsidR="00BC234D">
        <w:t>.</w:t>
      </w:r>
    </w:p>
    <w:p w14:paraId="36E441A1" w14:textId="648ECDAB" w:rsidR="00D659E0" w:rsidRDefault="001F579B" w:rsidP="05115472">
      <w:r>
        <w:t xml:space="preserve">Noting our </w:t>
      </w:r>
      <w:r w:rsidR="007F06B5">
        <w:t>previous submission</w:t>
      </w:r>
      <w:r>
        <w:t xml:space="preserve"> on the </w:t>
      </w:r>
      <w:r w:rsidR="007F06B5">
        <w:t xml:space="preserve">proposed </w:t>
      </w:r>
      <w:r>
        <w:t>SAU</w:t>
      </w:r>
      <w:r w:rsidR="007F06B5">
        <w:t xml:space="preserve"> variation</w:t>
      </w:r>
      <w:r>
        <w:t>, we have limited our remarks to th</w:t>
      </w:r>
      <w:r w:rsidR="00B67540">
        <w:t>ose matters</w:t>
      </w:r>
      <w:r w:rsidR="007F06B5">
        <w:t xml:space="preserve"> raised in the draft decision</w:t>
      </w:r>
      <w:r w:rsidR="00B67540">
        <w:t xml:space="preserve"> that we consider merit further </w:t>
      </w:r>
      <w:r w:rsidR="007F06B5">
        <w:t xml:space="preserve">comment. </w:t>
      </w:r>
      <w:r w:rsidR="00617645">
        <w:t>The SAU</w:t>
      </w:r>
      <w:r w:rsidR="00AD22DE">
        <w:t xml:space="preserve"> proposal should be changed</w:t>
      </w:r>
      <w:r w:rsidR="00BC234D">
        <w:t xml:space="preserve"> to</w:t>
      </w:r>
      <w:r w:rsidR="007F06B5">
        <w:t xml:space="preserve">: </w:t>
      </w:r>
    </w:p>
    <w:p w14:paraId="099EEC45" w14:textId="6D1AC877" w:rsidR="007F06B5" w:rsidRPr="008C298C" w:rsidRDefault="007F06B5" w:rsidP="001F6758">
      <w:pPr>
        <w:pStyle w:val="ListParagraph"/>
        <w:numPr>
          <w:ilvl w:val="0"/>
          <w:numId w:val="4"/>
        </w:numPr>
      </w:pPr>
      <w:r w:rsidRPr="008C298C">
        <w:t>embed genuine consumer engagement on proposed expenditures</w:t>
      </w:r>
      <w:r w:rsidR="00EF20A3" w:rsidRPr="008C298C">
        <w:t>, revenue, service standards and</w:t>
      </w:r>
      <w:r w:rsidR="00075B17" w:rsidRPr="008C298C">
        <w:t xml:space="preserve"> affordability</w:t>
      </w:r>
      <w:r w:rsidR="00DF7251" w:rsidRPr="008C298C">
        <w:t xml:space="preserve"> by fully resourcing consumer </w:t>
      </w:r>
      <w:proofErr w:type="gramStart"/>
      <w:r w:rsidR="00DF7251" w:rsidRPr="008C298C">
        <w:t>engagement</w:t>
      </w:r>
      <w:r w:rsidR="000E6973" w:rsidRPr="008C298C">
        <w:t>;</w:t>
      </w:r>
      <w:proofErr w:type="gramEnd"/>
    </w:p>
    <w:p w14:paraId="60BAEDB7" w14:textId="68D7C79E" w:rsidR="00B014D3" w:rsidRPr="008C298C" w:rsidRDefault="004D5A2C" w:rsidP="001F6758">
      <w:pPr>
        <w:pStyle w:val="ListParagraph"/>
        <w:numPr>
          <w:ilvl w:val="0"/>
          <w:numId w:val="4"/>
        </w:numPr>
      </w:pPr>
      <w:r w:rsidRPr="008C298C">
        <w:t xml:space="preserve">remove </w:t>
      </w:r>
      <w:r w:rsidR="00B05F03" w:rsidRPr="008C298C">
        <w:t>deemed</w:t>
      </w:r>
      <w:r w:rsidR="00B014D3" w:rsidRPr="008C298C">
        <w:t xml:space="preserve"> endorsement</w:t>
      </w:r>
      <w:r w:rsidR="008C298C" w:rsidRPr="008C298C">
        <w:t xml:space="preserve"> where</w:t>
      </w:r>
      <w:r w:rsidR="00CA5CDA" w:rsidRPr="008C298C">
        <w:t xml:space="preserve"> </w:t>
      </w:r>
      <w:r w:rsidR="00837730">
        <w:t>C</w:t>
      </w:r>
      <w:r w:rsidR="00CA5CDA" w:rsidRPr="008C298C">
        <w:t xml:space="preserve">onsumer </w:t>
      </w:r>
      <w:r w:rsidR="00837730">
        <w:t>A</w:t>
      </w:r>
      <w:r w:rsidR="00CA5CDA" w:rsidRPr="008C298C">
        <w:t xml:space="preserve">dvocacy </w:t>
      </w:r>
      <w:r w:rsidR="00837730">
        <w:t>G</w:t>
      </w:r>
      <w:r w:rsidR="00CA5CDA" w:rsidRPr="008C298C">
        <w:t xml:space="preserve">roups </w:t>
      </w:r>
      <w:r w:rsidR="008C298C" w:rsidRPr="008C298C">
        <w:t>are not able to</w:t>
      </w:r>
      <w:r w:rsidR="00CA5CDA" w:rsidRPr="008C298C">
        <w:t xml:space="preserve"> participate in product </w:t>
      </w:r>
      <w:r w:rsidR="005E2034" w:rsidRPr="008C298C">
        <w:t xml:space="preserve">development </w:t>
      </w:r>
      <w:r w:rsidR="00A2190B" w:rsidRPr="008C298C">
        <w:t>and network change</w:t>
      </w:r>
      <w:r w:rsidR="00B05F03" w:rsidRPr="008C298C">
        <w:t xml:space="preserve"> </w:t>
      </w:r>
      <w:proofErr w:type="gramStart"/>
      <w:r w:rsidR="00B05F03" w:rsidRPr="008C298C">
        <w:t>consultation</w:t>
      </w:r>
      <w:r w:rsidR="008C298C" w:rsidRPr="008C298C">
        <w:t>s</w:t>
      </w:r>
      <w:r w:rsidR="0018181F" w:rsidRPr="008C298C">
        <w:t>;</w:t>
      </w:r>
      <w:proofErr w:type="gramEnd"/>
    </w:p>
    <w:p w14:paraId="2FF20F09" w14:textId="67005F6C" w:rsidR="007F06B5" w:rsidRPr="00BC34CE" w:rsidRDefault="00E81FEF" w:rsidP="001F6758">
      <w:pPr>
        <w:pStyle w:val="ListParagraph"/>
        <w:numPr>
          <w:ilvl w:val="0"/>
          <w:numId w:val="4"/>
        </w:numPr>
      </w:pPr>
      <w:r w:rsidRPr="00BC34CE">
        <w:t xml:space="preserve">remove or revise the credit rating </w:t>
      </w:r>
      <w:proofErr w:type="gramStart"/>
      <w:r w:rsidRPr="00BC34CE">
        <w:t>objective;</w:t>
      </w:r>
      <w:proofErr w:type="gramEnd"/>
    </w:p>
    <w:p w14:paraId="2A0A34D6" w14:textId="693FFCE9" w:rsidR="00601E5A" w:rsidRDefault="00BC234D" w:rsidP="001F6758">
      <w:pPr>
        <w:pStyle w:val="ListParagraph"/>
        <w:numPr>
          <w:ilvl w:val="0"/>
          <w:numId w:val="4"/>
        </w:numPr>
      </w:pPr>
      <w:r>
        <w:t>strengthen service quality provisions for the first regulatory cycle, noting existing standards are likely to be obsolete</w:t>
      </w:r>
      <w:r w:rsidR="0080440B">
        <w:t xml:space="preserve"> shortly after the a</w:t>
      </w:r>
      <w:r w:rsidR="0032062F">
        <w:t>cceptance</w:t>
      </w:r>
      <w:r w:rsidR="0080440B">
        <w:t xml:space="preserve"> of </w:t>
      </w:r>
      <w:r w:rsidR="0032062F">
        <w:t>a revised</w:t>
      </w:r>
      <w:r w:rsidR="0080440B">
        <w:t xml:space="preserve"> </w:t>
      </w:r>
      <w:proofErr w:type="gramStart"/>
      <w:r w:rsidR="0080440B">
        <w:t>SAU</w:t>
      </w:r>
      <w:r w:rsidR="08373E74">
        <w:t>;</w:t>
      </w:r>
      <w:proofErr w:type="gramEnd"/>
      <w:r w:rsidR="007846CA">
        <w:t xml:space="preserve"> </w:t>
      </w:r>
    </w:p>
    <w:p w14:paraId="39E9ACB4" w14:textId="6827FDC0" w:rsidR="007846CA" w:rsidRDefault="007846CA" w:rsidP="001F6758">
      <w:pPr>
        <w:pStyle w:val="ListParagraph"/>
        <w:numPr>
          <w:ilvl w:val="0"/>
          <w:numId w:val="4"/>
        </w:numPr>
      </w:pPr>
      <w:r>
        <w:t>remove restrictions on the ACCC’s power to issue a replacement module determination within the initial regulatory period.</w:t>
      </w:r>
    </w:p>
    <w:p w14:paraId="73D1B301" w14:textId="79A88CA4" w:rsidR="00306D6C" w:rsidRDefault="001F579B" w:rsidP="05115472">
      <w:r>
        <w:t xml:space="preserve">Consumer engagement is at the heart of </w:t>
      </w:r>
      <w:r w:rsidR="0054524F">
        <w:t>the economic regulation of monopoly services</w:t>
      </w:r>
      <w:r w:rsidR="00F13C86">
        <w:t xml:space="preserve">. While no framework </w:t>
      </w:r>
      <w:r w:rsidR="00323F66">
        <w:t xml:space="preserve">of engagement </w:t>
      </w:r>
      <w:r w:rsidR="00F13C86">
        <w:t>is perfec</w:t>
      </w:r>
      <w:r w:rsidR="00323F66">
        <w:t>t, the fra</w:t>
      </w:r>
      <w:r w:rsidR="00390761">
        <w:t>mework set out in the SAU does not provide an adequate bas</w:t>
      </w:r>
      <w:r w:rsidR="009A3CBC">
        <w:t>is</w:t>
      </w:r>
      <w:r w:rsidR="00390761">
        <w:t xml:space="preserve"> for genuine engagement with consumers. </w:t>
      </w:r>
    </w:p>
    <w:p w14:paraId="541FA0FE" w14:textId="2B5572C3" w:rsidR="00062E9C" w:rsidRDefault="00062E9C" w:rsidP="05115472">
      <w:r w:rsidRPr="00153C93">
        <w:t xml:space="preserve">The NBN SAU provides the framework for the assessment and review of </w:t>
      </w:r>
      <w:r w:rsidR="003217F9" w:rsidRPr="00153C93">
        <w:t xml:space="preserve">tens of </w:t>
      </w:r>
      <w:r w:rsidRPr="00153C93">
        <w:t xml:space="preserve">billions of dollars of expenditure </w:t>
      </w:r>
      <w:r w:rsidR="003217F9" w:rsidRPr="00153C93">
        <w:t>to 2040</w:t>
      </w:r>
      <w:r w:rsidR="0026220F">
        <w:t xml:space="preserve">. These </w:t>
      </w:r>
      <w:r w:rsidR="00B071C9">
        <w:t xml:space="preserve">costs </w:t>
      </w:r>
      <w:r w:rsidR="001345BD">
        <w:t>are ultimately</w:t>
      </w:r>
      <w:r w:rsidR="0026220F">
        <w:t xml:space="preserve"> recovered from consumers</w:t>
      </w:r>
      <w:r w:rsidR="00734AB6">
        <w:t>.</w:t>
      </w:r>
      <w:r w:rsidR="001345BD">
        <w:t xml:space="preserve"> </w:t>
      </w:r>
      <w:r w:rsidR="00B10293">
        <w:t>H</w:t>
      </w:r>
      <w:r w:rsidR="001345BD">
        <w:t>owever</w:t>
      </w:r>
      <w:r w:rsidR="00547E7B">
        <w:t>,</w:t>
      </w:r>
      <w:r w:rsidR="00884D79">
        <w:t xml:space="preserve"> </w:t>
      </w:r>
      <w:r w:rsidR="001345BD">
        <w:t xml:space="preserve">the SAU provides no resourcing for consumer representatives to engage with NBN Co on the prudency, </w:t>
      </w:r>
      <w:proofErr w:type="gramStart"/>
      <w:r w:rsidR="001345BD">
        <w:t>efficiency</w:t>
      </w:r>
      <w:proofErr w:type="gramEnd"/>
      <w:r w:rsidR="001345BD">
        <w:t xml:space="preserve"> or prioritisation of this expenditure.</w:t>
      </w:r>
      <w:r w:rsidR="0026220F">
        <w:t xml:space="preserve"> </w:t>
      </w:r>
    </w:p>
    <w:p w14:paraId="58F1F9BA" w14:textId="2B845434" w:rsidR="00142181" w:rsidRDefault="007E5AE9" w:rsidP="00130B20">
      <w:r>
        <w:t xml:space="preserve">ACCAN is regularly called upon to comment on a variety of matters impacting on communications consumers ranging from infrastructure policy, consumer protection, digital </w:t>
      </w:r>
      <w:proofErr w:type="gramStart"/>
      <w:r>
        <w:t>inclusion</w:t>
      </w:r>
      <w:proofErr w:type="gramEnd"/>
      <w:r>
        <w:t xml:space="preserve"> and digital platforms. </w:t>
      </w:r>
      <w:r w:rsidR="007B0212">
        <w:t xml:space="preserve">In contrast to </w:t>
      </w:r>
      <w:r w:rsidR="00A07E52">
        <w:t>other essential services sector</w:t>
      </w:r>
      <w:r w:rsidR="002939D8">
        <w:t>s</w:t>
      </w:r>
      <w:r w:rsidR="00A07E52">
        <w:t>, ACCAN is</w:t>
      </w:r>
      <w:r w:rsidR="00DB7112">
        <w:t xml:space="preserve"> often</w:t>
      </w:r>
      <w:r w:rsidR="00A07E52">
        <w:t xml:space="preserve"> the primary </w:t>
      </w:r>
      <w:r w:rsidR="006E2488">
        <w:t xml:space="preserve">and </w:t>
      </w:r>
      <w:r w:rsidR="00EE3232">
        <w:t xml:space="preserve">sole </w:t>
      </w:r>
      <w:r w:rsidR="00A07E52">
        <w:t xml:space="preserve">contributor </w:t>
      </w:r>
      <w:r w:rsidR="006E0C96">
        <w:t xml:space="preserve">on </w:t>
      </w:r>
      <w:r w:rsidR="00754FF6">
        <w:t xml:space="preserve">matters concerning the economic regulation of </w:t>
      </w:r>
      <w:r w:rsidR="002F7A7C">
        <w:t xml:space="preserve">communications </w:t>
      </w:r>
      <w:r w:rsidR="00754FF6">
        <w:t>infrastructure</w:t>
      </w:r>
      <w:r w:rsidR="006E0C96">
        <w:t xml:space="preserve"> due to </w:t>
      </w:r>
      <w:r w:rsidR="00343619">
        <w:t xml:space="preserve">a </w:t>
      </w:r>
      <w:r w:rsidR="006E0C96">
        <w:t>lack of broader resourcing</w:t>
      </w:r>
      <w:r w:rsidR="00F61835">
        <w:t xml:space="preserve"> of consumer representation.</w:t>
      </w:r>
    </w:p>
    <w:p w14:paraId="3F9C68D8" w14:textId="77777777" w:rsidR="00CC72EE" w:rsidRDefault="00B96D66" w:rsidP="00B96D66">
      <w:r>
        <w:t>NBN Co’s current proposal provides no commitment to resourcing consumer engagement despite a clear expectation that consumers will engage on technical economic and regulatory matters. This includes a material uplift in</w:t>
      </w:r>
      <w:r w:rsidR="00B735FA">
        <w:t xml:space="preserve"> expected</w:t>
      </w:r>
      <w:r>
        <w:t xml:space="preserve"> engagement</w:t>
      </w:r>
      <w:r w:rsidR="00B735FA">
        <w:t xml:space="preserve"> by consumers</w:t>
      </w:r>
      <w:r>
        <w:t xml:space="preserve"> as part of the Replacement Module Application (</w:t>
      </w:r>
      <w:r w:rsidRPr="007C4C45">
        <w:rPr>
          <w:b/>
          <w:bCs/>
        </w:rPr>
        <w:t>RMA</w:t>
      </w:r>
      <w:r>
        <w:t xml:space="preserve">) process. The RMA process could commence in FY24 and there are very few representatives available to engage with the process. </w:t>
      </w:r>
    </w:p>
    <w:p w14:paraId="4CDEC8BA" w14:textId="1FC22426" w:rsidR="00B96D66" w:rsidRDefault="00B96D66" w:rsidP="00130B20">
      <w:r>
        <w:t>Ensuring consumer engagement on these critical matters, and the billions of dollars in forecast expenditure requires immediate action to fund this uplift in capacity.</w:t>
      </w:r>
      <w:r w:rsidR="00CC72EE">
        <w:t xml:space="preserve"> </w:t>
      </w:r>
      <w:r>
        <w:t>While ACCAN’s technical expertise is well established, it is finite. ACCAN cannot properly represent consumers on the economic regulation for both the proposed NBN SAU and broader communications policy matters without a material uplift in recurrent resourcing.</w:t>
      </w:r>
    </w:p>
    <w:p w14:paraId="5910EDDF" w14:textId="40DA01BA" w:rsidR="005D59D8" w:rsidRDefault="00130B20" w:rsidP="00130B20">
      <w:r>
        <w:t>ACCAN will always prioritise those matters that have the most material impact on consumers</w:t>
      </w:r>
      <w:r w:rsidR="76F693F8">
        <w:t>.</w:t>
      </w:r>
      <w:r w:rsidR="38B7FCC4">
        <w:t xml:space="preserve"> </w:t>
      </w:r>
      <w:r w:rsidR="005B5A5A">
        <w:t>However,</w:t>
      </w:r>
      <w:r w:rsidR="0073676F">
        <w:t xml:space="preserve"> to engage </w:t>
      </w:r>
      <w:r w:rsidR="00962EBF">
        <w:t>a</w:t>
      </w:r>
      <w:r w:rsidR="127E218C">
        <w:t>dequately with the NBN</w:t>
      </w:r>
      <w:r w:rsidR="05F9355A">
        <w:t xml:space="preserve"> Co</w:t>
      </w:r>
      <w:r w:rsidR="127E218C">
        <w:t xml:space="preserve">’s framework </w:t>
      </w:r>
      <w:r w:rsidR="00962EBF">
        <w:t>would</w:t>
      </w:r>
      <w:r w:rsidR="003C096B">
        <w:t xml:space="preserve"> potentially require us to </w:t>
      </w:r>
      <w:r w:rsidR="007A04AC">
        <w:t>relinquish</w:t>
      </w:r>
      <w:r w:rsidR="00C00C1A">
        <w:t xml:space="preserve"> </w:t>
      </w:r>
      <w:r w:rsidR="00921FAC">
        <w:t xml:space="preserve">substantive policy </w:t>
      </w:r>
      <w:r w:rsidR="7968B373">
        <w:t>matters in our remit such as:</w:t>
      </w:r>
      <w:r w:rsidR="00921FAC">
        <w:t xml:space="preserve"> consumer protections</w:t>
      </w:r>
      <w:r w:rsidR="0031654D">
        <w:t xml:space="preserve">, </w:t>
      </w:r>
      <w:r w:rsidR="00921FAC">
        <w:t>the future of the universal service obligatio</w:t>
      </w:r>
      <w:r w:rsidR="0031654D">
        <w:t>n</w:t>
      </w:r>
      <w:r w:rsidR="008C45F0">
        <w:t xml:space="preserve">, digital </w:t>
      </w:r>
      <w:proofErr w:type="gramStart"/>
      <w:r w:rsidR="008C45F0">
        <w:t>inclusion</w:t>
      </w:r>
      <w:proofErr w:type="gramEnd"/>
      <w:r w:rsidR="008C45F0">
        <w:t xml:space="preserve"> and </w:t>
      </w:r>
      <w:r w:rsidR="680BD8F5">
        <w:t xml:space="preserve">infrastructure </w:t>
      </w:r>
      <w:r w:rsidR="008C45F0">
        <w:t>resilience.</w:t>
      </w:r>
      <w:r w:rsidR="009B7935">
        <w:t xml:space="preserve"> </w:t>
      </w:r>
      <w:r w:rsidR="00412821">
        <w:t xml:space="preserve">ACCAN’s existing resourcing is limited relative to </w:t>
      </w:r>
      <w:r w:rsidR="5B6FF625">
        <w:t>the range of issues in</w:t>
      </w:r>
      <w:r w:rsidR="38B7FCC4">
        <w:t xml:space="preserve"> </w:t>
      </w:r>
      <w:r w:rsidR="00412821">
        <w:t xml:space="preserve">our broad </w:t>
      </w:r>
      <w:r w:rsidR="0087208E">
        <w:t>remit,</w:t>
      </w:r>
      <w:r w:rsidR="00D7215B">
        <w:t xml:space="preserve"> and</w:t>
      </w:r>
      <w:r w:rsidR="00412821">
        <w:t xml:space="preserve"> it is foreseeable that even </w:t>
      </w:r>
      <w:r w:rsidR="00D7215B">
        <w:t>if we were to</w:t>
      </w:r>
      <w:r w:rsidR="00412821">
        <w:t xml:space="preserve"> full</w:t>
      </w:r>
      <w:r w:rsidR="00D7215B">
        <w:t>y</w:t>
      </w:r>
      <w:r w:rsidR="00412821">
        <w:t xml:space="preserve"> withdraw from </w:t>
      </w:r>
      <w:r w:rsidR="00631E6C">
        <w:t>our</w:t>
      </w:r>
      <w:r w:rsidR="00412821">
        <w:t xml:space="preserve"> other policy </w:t>
      </w:r>
      <w:r w:rsidR="1D01C287">
        <w:t>work</w:t>
      </w:r>
      <w:r w:rsidR="00AB1EA5">
        <w:t>, the</w:t>
      </w:r>
      <w:r w:rsidR="004E7E94">
        <w:t>re would still not be enough resources</w:t>
      </w:r>
      <w:r w:rsidR="00412821">
        <w:t xml:space="preserve"> to allow for ACCAN to engage on the full range of matters that NBN Co </w:t>
      </w:r>
      <w:r w:rsidR="453DC9EE">
        <w:t>proposes</w:t>
      </w:r>
      <w:r w:rsidR="00412821">
        <w:t xml:space="preserve">. </w:t>
      </w:r>
    </w:p>
    <w:p w14:paraId="0D95E5C5" w14:textId="734EE380" w:rsidR="000B5598" w:rsidRDefault="590D6208" w:rsidP="00130B20">
      <w:r>
        <w:t>T</w:t>
      </w:r>
      <w:r w:rsidR="3EFC6342">
        <w:t>he</w:t>
      </w:r>
      <w:r w:rsidR="000B5598">
        <w:t xml:space="preserve"> significant expansion in </w:t>
      </w:r>
      <w:r w:rsidR="6B48DD47">
        <w:t xml:space="preserve">ACCAN’s </w:t>
      </w:r>
      <w:r w:rsidR="000B5598">
        <w:t xml:space="preserve">remit envisioned by NBN Co would significantly monopolise </w:t>
      </w:r>
      <w:r w:rsidR="731913AD">
        <w:t xml:space="preserve">our </w:t>
      </w:r>
      <w:r w:rsidR="000B5598">
        <w:t>resources</w:t>
      </w:r>
      <w:r w:rsidR="00D537CA">
        <w:t xml:space="preserve"> beyond their</w:t>
      </w:r>
      <w:r w:rsidR="00DC04AE">
        <w:t xml:space="preserve"> relative</w:t>
      </w:r>
      <w:r w:rsidR="00D537CA">
        <w:t xml:space="preserve"> contribution </w:t>
      </w:r>
      <w:r w:rsidR="00DC04AE">
        <w:t>to ACCAN funding</w:t>
      </w:r>
      <w:r w:rsidR="00CB7E91">
        <w:t xml:space="preserve"> via the</w:t>
      </w:r>
      <w:r w:rsidR="00FC599D">
        <w:t xml:space="preserve"> Telecommunications Industry Levy (</w:t>
      </w:r>
      <w:r w:rsidR="00FC599D" w:rsidRPr="00DC04AE">
        <w:rPr>
          <w:b/>
          <w:bCs/>
        </w:rPr>
        <w:t>TIL</w:t>
      </w:r>
      <w:r w:rsidR="00FC599D">
        <w:t>)</w:t>
      </w:r>
      <w:r w:rsidR="000B5598">
        <w:t xml:space="preserve">. We consider that such an outcome is inconsistent with the intent of </w:t>
      </w:r>
      <w:r w:rsidR="00FC599D">
        <w:t xml:space="preserve">TIL </w:t>
      </w:r>
      <w:r w:rsidR="00CA2E95">
        <w:t xml:space="preserve">funding arrangements </w:t>
      </w:r>
      <w:r w:rsidR="000B5598">
        <w:t>which envisions</w:t>
      </w:r>
      <w:r w:rsidR="00CA2E95">
        <w:t xml:space="preserve"> that</w:t>
      </w:r>
      <w:r w:rsidR="000B5598">
        <w:t xml:space="preserve"> ACCAN is available to engage with a range of industry participants acro</w:t>
      </w:r>
      <w:r w:rsidR="00CA2E95">
        <w:t>ss a broad spectrum of issues.</w:t>
      </w:r>
    </w:p>
    <w:p w14:paraId="1B5654A9" w14:textId="10892148" w:rsidR="00197E80" w:rsidRPr="00C23B84" w:rsidRDefault="38255AD7" w:rsidP="00130B20">
      <w:r>
        <w:t>S</w:t>
      </w:r>
      <w:r w:rsidR="2ED50B8A">
        <w:t>ignificant</w:t>
      </w:r>
      <w:r w:rsidR="00197E80">
        <w:t xml:space="preserve"> revisions are required to the SAU to amend the processes for consultation to embed </w:t>
      </w:r>
      <w:r w:rsidR="00FB3D22">
        <w:t>additional resourcing to align with the LTIE</w:t>
      </w:r>
      <w:r w:rsidR="00F339D9">
        <w:t xml:space="preserve">. While we note that NBN Co may </w:t>
      </w:r>
      <w:r w:rsidR="62548183">
        <w:t>prefer</w:t>
      </w:r>
      <w:r w:rsidR="00F339D9">
        <w:t xml:space="preserve"> committee based or ad hoc funding arrangements, such an approach would </w:t>
      </w:r>
      <w:r w:rsidR="708B4E4D">
        <w:t>not</w:t>
      </w:r>
      <w:r w:rsidR="550ABF11">
        <w:t xml:space="preserve"> </w:t>
      </w:r>
      <w:r w:rsidR="00F339D9">
        <w:t xml:space="preserve">allow for the development and retention of the </w:t>
      </w:r>
      <w:r w:rsidR="005103EB">
        <w:t xml:space="preserve">capacity </w:t>
      </w:r>
      <w:r w:rsidR="00F339D9">
        <w:t xml:space="preserve">uplift </w:t>
      </w:r>
      <w:r w:rsidR="006068E3">
        <w:t xml:space="preserve">envisioned </w:t>
      </w:r>
      <w:r w:rsidR="005103EB">
        <w:t>by</w:t>
      </w:r>
      <w:r w:rsidR="00F339D9" w:rsidRPr="00C23B84">
        <w:t xml:space="preserve"> the SAU</w:t>
      </w:r>
      <w:r w:rsidR="00197E80" w:rsidRPr="00C23B84">
        <w:t>.</w:t>
      </w:r>
      <w:r w:rsidR="362C7DE0">
        <w:t xml:space="preserve"> Providing </w:t>
      </w:r>
      <w:r w:rsidR="3DD974F3">
        <w:t xml:space="preserve">stable resourcing for consumer </w:t>
      </w:r>
      <w:r w:rsidR="00F7475B">
        <w:t>representation on key matters of economic regulation</w:t>
      </w:r>
      <w:r w:rsidR="3DD974F3">
        <w:t xml:space="preserve"> is the </w:t>
      </w:r>
      <w:r w:rsidR="0049381D">
        <w:t>only feasible</w:t>
      </w:r>
      <w:r w:rsidR="4801EDF9">
        <w:t xml:space="preserve"> way to ensure the LTIE.</w:t>
      </w:r>
    </w:p>
    <w:p w14:paraId="3FBC5BA6" w14:textId="047B2FE2" w:rsidR="00C87520" w:rsidRDefault="00C87520" w:rsidP="00130B20">
      <w:r w:rsidRPr="00C23B84">
        <w:t xml:space="preserve"> </w:t>
      </w:r>
      <w:r w:rsidR="0018181F" w:rsidRPr="00C23B84">
        <w:t>ACCA</w:t>
      </w:r>
      <w:r w:rsidR="00A13630" w:rsidRPr="00C23B84">
        <w:t>N</w:t>
      </w:r>
      <w:r w:rsidR="0018181F" w:rsidRPr="00C23B84">
        <w:t xml:space="preserve"> provides further detailed comments on the proposed revision to the SAU in </w:t>
      </w:r>
      <w:r w:rsidR="0018181F" w:rsidRPr="00C23B84">
        <w:rPr>
          <w:b/>
          <w:bCs/>
        </w:rPr>
        <w:t>Attachment A</w:t>
      </w:r>
      <w:r w:rsidR="0018181F" w:rsidRPr="00C23B84">
        <w:t>.</w:t>
      </w:r>
    </w:p>
    <w:p w14:paraId="318DE74E" w14:textId="2F1A47B2" w:rsidR="00361E7E" w:rsidRDefault="00361E7E" w:rsidP="00361E7E">
      <w:r>
        <w:t>We thank the ACCC for the opportunity to comment on the</w:t>
      </w:r>
      <w:r w:rsidR="007E2456">
        <w:t xml:space="preserve"> draft decision</w:t>
      </w:r>
      <w:r>
        <w:t xml:space="preserve">. Should you wish to discuss any of the issues raised in this submission further, please do not hesitate to contact me at </w:t>
      </w:r>
      <w:hyperlink r:id="rId21" w:history="1">
        <w:r w:rsidR="006E6A44" w:rsidRPr="00895392">
          <w:rPr>
            <w:rStyle w:val="Hyperlink"/>
          </w:rPr>
          <w:t>gareth.downing@accan.org.au</w:t>
        </w:r>
      </w:hyperlink>
      <w:r>
        <w:t>.</w:t>
      </w:r>
    </w:p>
    <w:p w14:paraId="0D790E5D" w14:textId="77777777" w:rsidR="00361E7E" w:rsidRDefault="00361E7E" w:rsidP="00361E7E">
      <w:pPr>
        <w:pStyle w:val="NoSpacing"/>
      </w:pPr>
      <w:r>
        <w:t>Yours sincerely,</w:t>
      </w:r>
    </w:p>
    <w:p w14:paraId="7828C5C5" w14:textId="77777777" w:rsidR="00361E7E" w:rsidRDefault="00361E7E" w:rsidP="00361E7E">
      <w:pPr>
        <w:pStyle w:val="NoSpacing"/>
      </w:pPr>
    </w:p>
    <w:p w14:paraId="4F381B6A" w14:textId="77777777" w:rsidR="00361E7E" w:rsidRPr="00A263E5" w:rsidRDefault="00361E7E" w:rsidP="00361E7E">
      <w:pPr>
        <w:pStyle w:val="NoSpacing"/>
      </w:pPr>
      <w:r>
        <w:t>Dr Gareth Downing</w:t>
      </w:r>
    </w:p>
    <w:p w14:paraId="335F4792" w14:textId="63D32012" w:rsidR="006E6A44" w:rsidRDefault="00361E7E" w:rsidP="006E1BC1">
      <w:pPr>
        <w:pStyle w:val="NoSpacing"/>
      </w:pPr>
      <w:r>
        <w:t>Deputy Chief Executive Officer</w:t>
      </w:r>
      <w:r w:rsidR="00A7470D">
        <w:br/>
      </w:r>
      <w:r w:rsidR="00A7470D">
        <w:br/>
      </w:r>
      <w:r w:rsidR="00A7470D">
        <w:br/>
      </w:r>
    </w:p>
    <w:p w14:paraId="05759046" w14:textId="5FCBE8C5" w:rsidR="00361E7E" w:rsidRPr="00433E94" w:rsidRDefault="00361E7E" w:rsidP="00205FF0">
      <w:pPr>
        <w:pStyle w:val="FootnoteText"/>
        <w:rPr>
          <w:b/>
          <w:bCs/>
          <w:sz w:val="22"/>
          <w:szCs w:val="22"/>
        </w:rPr>
      </w:pPr>
      <w:r w:rsidRPr="00433E94">
        <w:rPr>
          <w:b/>
          <w:bCs/>
          <w:sz w:val="22"/>
          <w:szCs w:val="22"/>
        </w:rPr>
        <w:t>Attachment A. Further comments on the proposed SAU variation</w:t>
      </w:r>
    </w:p>
    <w:p w14:paraId="2F092028" w14:textId="77777777" w:rsidR="00361E7E" w:rsidRPr="00433E94" w:rsidRDefault="00361E7E" w:rsidP="00205FF0">
      <w:pPr>
        <w:pStyle w:val="FootnoteText"/>
        <w:rPr>
          <w:b/>
          <w:bCs/>
          <w:sz w:val="22"/>
          <w:szCs w:val="22"/>
        </w:rPr>
      </w:pPr>
    </w:p>
    <w:p w14:paraId="488C0796" w14:textId="6CD80BE9" w:rsidR="00031F88" w:rsidRPr="00433E94" w:rsidRDefault="00031F88" w:rsidP="00205FF0">
      <w:pPr>
        <w:pStyle w:val="FootnoteText"/>
        <w:rPr>
          <w:b/>
          <w:bCs/>
          <w:sz w:val="22"/>
          <w:szCs w:val="22"/>
        </w:rPr>
      </w:pPr>
      <w:r w:rsidRPr="00433E94">
        <w:rPr>
          <w:b/>
          <w:bCs/>
          <w:sz w:val="22"/>
          <w:szCs w:val="22"/>
        </w:rPr>
        <w:t xml:space="preserve">Consumer engagement is a presumption of the </w:t>
      </w:r>
      <w:proofErr w:type="gramStart"/>
      <w:r w:rsidRPr="00433E94">
        <w:rPr>
          <w:b/>
          <w:bCs/>
          <w:sz w:val="22"/>
          <w:szCs w:val="22"/>
        </w:rPr>
        <w:t>SAU</w:t>
      </w:r>
      <w:proofErr w:type="gramEnd"/>
    </w:p>
    <w:p w14:paraId="43DBBDD3" w14:textId="195E4DFE" w:rsidR="00031F88" w:rsidRDefault="00031F88" w:rsidP="00205FF0">
      <w:pPr>
        <w:pStyle w:val="FootnoteText"/>
        <w:rPr>
          <w:sz w:val="24"/>
          <w:szCs w:val="24"/>
        </w:rPr>
      </w:pPr>
    </w:p>
    <w:p w14:paraId="78075493" w14:textId="76C0DFA1" w:rsidR="00031F88" w:rsidRPr="004C7A52" w:rsidRDefault="00394A8E" w:rsidP="00031F88">
      <w:r>
        <w:t xml:space="preserve">The proposed </w:t>
      </w:r>
      <w:r w:rsidR="004C7A52">
        <w:t xml:space="preserve">revision to the SAU is predicated on extensive, unfunded engagement with </w:t>
      </w:r>
      <w:r w:rsidR="00837730">
        <w:t>C</w:t>
      </w:r>
      <w:r w:rsidR="004C7A52">
        <w:t xml:space="preserve">onsumer </w:t>
      </w:r>
      <w:r w:rsidR="00837730">
        <w:t>A</w:t>
      </w:r>
      <w:r w:rsidR="004C7A52">
        <w:t xml:space="preserve">dvocacy </w:t>
      </w:r>
      <w:r w:rsidR="00837730">
        <w:t>G</w:t>
      </w:r>
      <w:r w:rsidR="004C7A52">
        <w:t xml:space="preserve">roups, of which ACCAN is </w:t>
      </w:r>
      <w:r w:rsidR="00DF69B8">
        <w:t>expected</w:t>
      </w:r>
      <w:r w:rsidR="004C7A52">
        <w:t xml:space="preserve"> to be </w:t>
      </w:r>
      <w:r w:rsidR="00833D93">
        <w:t>a</w:t>
      </w:r>
      <w:r w:rsidR="004C7A52">
        <w:t xml:space="preserve"> primary contributor. </w:t>
      </w:r>
      <w:r w:rsidR="00031F88">
        <w:t xml:space="preserve">The presumption of ACCAN involvement is reflected in the text of the proposed revised SAU. In setting out the process for submitting a </w:t>
      </w:r>
      <w:r w:rsidR="0007000B">
        <w:t>RMA</w:t>
      </w:r>
      <w:r w:rsidR="004349E0">
        <w:t>,</w:t>
      </w:r>
      <w:r w:rsidR="0007000B">
        <w:t xml:space="preserve"> </w:t>
      </w:r>
      <w:r w:rsidR="00031F88">
        <w:t xml:space="preserve">NBN Co is required </w:t>
      </w:r>
      <w:r w:rsidR="00031F88" w:rsidRPr="00205FF0">
        <w:rPr>
          <w:sz w:val="24"/>
          <w:szCs w:val="24"/>
        </w:rPr>
        <w:t>to:</w:t>
      </w:r>
    </w:p>
    <w:p w14:paraId="4C4475E1" w14:textId="77777777" w:rsidR="00031F88" w:rsidRPr="006D34B8" w:rsidRDefault="00031F88" w:rsidP="001F6758">
      <w:pPr>
        <w:pStyle w:val="FootnoteText"/>
        <w:numPr>
          <w:ilvl w:val="0"/>
          <w:numId w:val="6"/>
        </w:numPr>
        <w:rPr>
          <w:sz w:val="22"/>
          <w:szCs w:val="22"/>
        </w:rPr>
      </w:pPr>
      <w:r w:rsidRPr="006D34B8">
        <w:rPr>
          <w:sz w:val="22"/>
          <w:szCs w:val="22"/>
        </w:rPr>
        <w:t>Consult with Access Seekers and Consumer Advocacy Groups on the Relevant Expenditure NBN Co proposes to undertake in that Regulatory Cycle.</w:t>
      </w:r>
      <w:r w:rsidRPr="006D34B8">
        <w:rPr>
          <w:rStyle w:val="FootnoteReference"/>
          <w:sz w:val="22"/>
          <w:szCs w:val="22"/>
        </w:rPr>
        <w:footnoteReference w:id="2"/>
      </w:r>
      <w:r w:rsidRPr="006D34B8">
        <w:rPr>
          <w:sz w:val="22"/>
          <w:szCs w:val="22"/>
        </w:rPr>
        <w:t xml:space="preserve"> </w:t>
      </w:r>
    </w:p>
    <w:p w14:paraId="796B077C" w14:textId="65174028" w:rsidR="00031F88" w:rsidRDefault="55783358" w:rsidP="001F6758">
      <w:pPr>
        <w:pStyle w:val="FootnoteText"/>
        <w:numPr>
          <w:ilvl w:val="0"/>
          <w:numId w:val="6"/>
        </w:numPr>
        <w:rPr>
          <w:sz w:val="22"/>
          <w:szCs w:val="22"/>
        </w:rPr>
      </w:pPr>
      <w:r w:rsidRPr="006D34B8">
        <w:rPr>
          <w:sz w:val="22"/>
          <w:szCs w:val="22"/>
        </w:rPr>
        <w:t>P</w:t>
      </w:r>
      <w:r w:rsidR="00031F88" w:rsidRPr="006D34B8">
        <w:rPr>
          <w:sz w:val="22"/>
          <w:szCs w:val="22"/>
        </w:rPr>
        <w:t xml:space="preserve">rovide a summary </w:t>
      </w:r>
      <w:r w:rsidR="36FF819C" w:rsidRPr="006D34B8">
        <w:rPr>
          <w:sz w:val="22"/>
          <w:szCs w:val="22"/>
        </w:rPr>
        <w:t>of the consultation</w:t>
      </w:r>
      <w:r w:rsidR="78D1FAF6" w:rsidRPr="006D34B8">
        <w:rPr>
          <w:sz w:val="22"/>
          <w:szCs w:val="22"/>
        </w:rPr>
        <w:t xml:space="preserve"> </w:t>
      </w:r>
      <w:r w:rsidR="00031F88" w:rsidRPr="006D34B8">
        <w:rPr>
          <w:sz w:val="22"/>
          <w:szCs w:val="22"/>
        </w:rPr>
        <w:t>to the ACCC setting out the views of stakeholders including Consumer Advocacy Groups and how NBN Co has responded.</w:t>
      </w:r>
      <w:r w:rsidR="00031F88" w:rsidRPr="006D34B8">
        <w:rPr>
          <w:rStyle w:val="FootnoteReference"/>
          <w:sz w:val="22"/>
          <w:szCs w:val="22"/>
        </w:rPr>
        <w:footnoteReference w:id="3"/>
      </w:r>
    </w:p>
    <w:p w14:paraId="5FB92522" w14:textId="2B1787CB" w:rsidR="00BB6E2A" w:rsidRPr="006D34B8" w:rsidRDefault="006B2B6E" w:rsidP="001F6758">
      <w:pPr>
        <w:pStyle w:val="FootnoteText"/>
        <w:numPr>
          <w:ilvl w:val="0"/>
          <w:numId w:val="6"/>
        </w:numPr>
        <w:rPr>
          <w:sz w:val="22"/>
          <w:szCs w:val="22"/>
        </w:rPr>
      </w:pPr>
      <w:r>
        <w:rPr>
          <w:sz w:val="22"/>
          <w:szCs w:val="22"/>
        </w:rPr>
        <w:t xml:space="preserve">Propose expenditure forecasts that </w:t>
      </w:r>
      <w:proofErr w:type="gramStart"/>
      <w:r>
        <w:rPr>
          <w:sz w:val="22"/>
          <w:szCs w:val="22"/>
        </w:rPr>
        <w:t>take into account</w:t>
      </w:r>
      <w:proofErr w:type="gramEnd"/>
      <w:r w:rsidR="00AC791B">
        <w:rPr>
          <w:sz w:val="22"/>
          <w:szCs w:val="22"/>
        </w:rPr>
        <w:t xml:space="preserve"> the concerns of Consumer Advocacy Groups as identified by NBN Co in the course of its engagement with such persons.</w:t>
      </w:r>
      <w:r w:rsidR="00AC791B">
        <w:rPr>
          <w:rStyle w:val="FootnoteReference"/>
          <w:sz w:val="22"/>
          <w:szCs w:val="22"/>
        </w:rPr>
        <w:footnoteReference w:id="4"/>
      </w:r>
    </w:p>
    <w:p w14:paraId="6F52DAFC" w14:textId="02D68AD9" w:rsidR="00AB4A6E" w:rsidRPr="00205FF0" w:rsidRDefault="00AB4A6E" w:rsidP="00205FF0">
      <w:pPr>
        <w:pStyle w:val="FootnoteText"/>
        <w:rPr>
          <w:sz w:val="24"/>
          <w:szCs w:val="24"/>
        </w:rPr>
      </w:pPr>
    </w:p>
    <w:p w14:paraId="33D003F0" w14:textId="22937970" w:rsidR="00493368" w:rsidRDefault="00F05970" w:rsidP="00FB3B65">
      <w:r>
        <w:t>Consumer Advocacy Group</w:t>
      </w:r>
      <w:r w:rsidR="00FB766C">
        <w:t xml:space="preserve"> is defined </w:t>
      </w:r>
      <w:r w:rsidR="008D3DCE">
        <w:t xml:space="preserve">as </w:t>
      </w:r>
      <w:r w:rsidR="00191FB2">
        <w:t>‘</w:t>
      </w:r>
      <w:r w:rsidR="008D3DCE">
        <w:t>a</w:t>
      </w:r>
      <w:r w:rsidR="00FB766C">
        <w:t xml:space="preserve"> body or association whose </w:t>
      </w:r>
      <w:r w:rsidR="00FB766C" w:rsidRPr="00871E2F">
        <w:t>functions include representing the interests of consumers of telecommunications services in Australia</w:t>
      </w:r>
      <w:r w:rsidR="00191FB2">
        <w:t>’</w:t>
      </w:r>
      <w:r w:rsidR="00FB766C" w:rsidRPr="00871E2F">
        <w:t>.</w:t>
      </w:r>
      <w:r w:rsidR="002C2EA0" w:rsidRPr="00871E2F">
        <w:rPr>
          <w:rStyle w:val="FootnoteReference"/>
        </w:rPr>
        <w:footnoteReference w:id="5"/>
      </w:r>
      <w:r w:rsidR="00B95A65" w:rsidRPr="00871E2F">
        <w:t xml:space="preserve"> </w:t>
      </w:r>
      <w:r>
        <w:t>W</w:t>
      </w:r>
      <w:r w:rsidR="00B95A65" w:rsidRPr="00871E2F">
        <w:t xml:space="preserve">hile other organisations may be able </w:t>
      </w:r>
      <w:r w:rsidR="00D63326" w:rsidRPr="00871E2F">
        <w:t xml:space="preserve">to </w:t>
      </w:r>
      <w:r w:rsidR="00765ECE">
        <w:t>speak to specific issues or experiences</w:t>
      </w:r>
      <w:r w:rsidR="00D63326" w:rsidRPr="00871E2F">
        <w:t xml:space="preserve">, </w:t>
      </w:r>
      <w:r w:rsidR="00B60216">
        <w:t>ACCAN is unaware of any other consumer organisation that has a national remit</w:t>
      </w:r>
      <w:r w:rsidR="000C35BD">
        <w:t xml:space="preserve"> or</w:t>
      </w:r>
      <w:r w:rsidR="00B60216">
        <w:t xml:space="preserve"> </w:t>
      </w:r>
      <w:r w:rsidR="000113F6">
        <w:t>the technical economic</w:t>
      </w:r>
      <w:r w:rsidR="00B60216">
        <w:t xml:space="preserve"> expertise</w:t>
      </w:r>
      <w:r w:rsidR="00EF2ABC">
        <w:t xml:space="preserve"> to engage with the RMA process.</w:t>
      </w:r>
      <w:r w:rsidR="00B60216">
        <w:t xml:space="preserve"> </w:t>
      </w:r>
      <w:r w:rsidR="00EF01CA" w:rsidRPr="00E842A3">
        <w:t>In the absence of further resourcing</w:t>
      </w:r>
      <w:r w:rsidR="00515A1D" w:rsidRPr="00E842A3">
        <w:t>,</w:t>
      </w:r>
      <w:r w:rsidR="00EF01CA" w:rsidRPr="00E842A3">
        <w:t xml:space="preserve"> and ACCAN involvement in the RMA process,</w:t>
      </w:r>
      <w:r w:rsidR="006A0029" w:rsidRPr="00E842A3">
        <w:t xml:space="preserve"> we query whether NBN Co can put forward a</w:t>
      </w:r>
      <w:r w:rsidR="00515A1D" w:rsidRPr="00E842A3">
        <w:t xml:space="preserve"> compliant</w:t>
      </w:r>
      <w:r w:rsidR="006A0029" w:rsidRPr="00E842A3">
        <w:t xml:space="preserve"> expenditure forecas</w:t>
      </w:r>
      <w:r w:rsidR="00515A1D" w:rsidRPr="00E842A3">
        <w:t>t.</w:t>
      </w:r>
    </w:p>
    <w:p w14:paraId="1D8922C5" w14:textId="01427F31" w:rsidR="0052623B" w:rsidRDefault="006D34B8" w:rsidP="0052623B">
      <w:r>
        <w:t>In addition to the engagement</w:t>
      </w:r>
      <w:r w:rsidR="397BA8EA">
        <w:t xml:space="preserve"> with the RMA</w:t>
      </w:r>
      <w:r>
        <w:t>, t</w:t>
      </w:r>
      <w:r w:rsidR="0052623B">
        <w:t xml:space="preserve">he SAU as currently drafted envisions </w:t>
      </w:r>
      <w:r w:rsidR="00837730">
        <w:t>C</w:t>
      </w:r>
      <w:r w:rsidR="0052623B">
        <w:t xml:space="preserve">onsumer </w:t>
      </w:r>
      <w:r w:rsidR="00837730">
        <w:t>A</w:t>
      </w:r>
      <w:r w:rsidR="0052623B">
        <w:t xml:space="preserve">dvocacy </w:t>
      </w:r>
      <w:r w:rsidR="00837730">
        <w:t>G</w:t>
      </w:r>
      <w:r w:rsidR="0052623B">
        <w:t xml:space="preserve">roups participating in: </w:t>
      </w:r>
    </w:p>
    <w:p w14:paraId="5DA027E6" w14:textId="00B5B3D8" w:rsidR="006D34B8" w:rsidRDefault="00871E2F" w:rsidP="001F6758">
      <w:pPr>
        <w:pStyle w:val="ListParagraph"/>
        <w:numPr>
          <w:ilvl w:val="0"/>
          <w:numId w:val="5"/>
        </w:numPr>
      </w:pPr>
      <w:r>
        <w:t xml:space="preserve">The </w:t>
      </w:r>
      <w:r w:rsidR="006D34B8">
        <w:t>M</w:t>
      </w:r>
      <w:r w:rsidR="00E25069">
        <w:t>ult</w:t>
      </w:r>
      <w:r w:rsidR="0079647B">
        <w:t>ilateral Standard Form of Access Agreement (</w:t>
      </w:r>
      <w:r w:rsidR="0079647B" w:rsidRPr="003C26DD">
        <w:rPr>
          <w:b/>
          <w:bCs/>
        </w:rPr>
        <w:t>SFAA</w:t>
      </w:r>
      <w:r w:rsidR="0079647B">
        <w:t>) Forum</w:t>
      </w:r>
      <w:r w:rsidR="00F316F5">
        <w:t>,</w:t>
      </w:r>
      <w:r w:rsidR="00F316F5">
        <w:rPr>
          <w:rStyle w:val="FootnoteReference"/>
        </w:rPr>
        <w:footnoteReference w:id="6"/>
      </w:r>
      <w:r w:rsidR="00F316F5">
        <w:t xml:space="preserve"> </w:t>
      </w:r>
      <w:r w:rsidR="000F35E8">
        <w:t xml:space="preserve">which </w:t>
      </w:r>
      <w:r>
        <w:t>involves the setting of the standard terms of access</w:t>
      </w:r>
      <w:r w:rsidR="00834379">
        <w:t xml:space="preserve">, which is critical to facilitating retail </w:t>
      </w:r>
      <w:proofErr w:type="gramStart"/>
      <w:r w:rsidR="00834379">
        <w:t>competition;</w:t>
      </w:r>
      <w:proofErr w:type="gramEnd"/>
    </w:p>
    <w:p w14:paraId="019D0527" w14:textId="797D38B6" w:rsidR="00693333" w:rsidRDefault="00693333" w:rsidP="001F6758">
      <w:pPr>
        <w:pStyle w:val="ListParagraph"/>
        <w:numPr>
          <w:ilvl w:val="0"/>
          <w:numId w:val="5"/>
        </w:numPr>
      </w:pPr>
      <w:r>
        <w:t>Review of Prudency Implementation Papers</w:t>
      </w:r>
      <w:r w:rsidR="00B37FD0">
        <w:t>,</w:t>
      </w:r>
      <w:r w:rsidR="00656C05">
        <w:rPr>
          <w:rStyle w:val="FootnoteReference"/>
        </w:rPr>
        <w:footnoteReference w:id="7"/>
      </w:r>
      <w:r w:rsidR="00B37FD0">
        <w:t xml:space="preserve"> which will set out proposed expenditure </w:t>
      </w:r>
      <w:r w:rsidR="00031F88">
        <w:t xml:space="preserve">on preferred network change </w:t>
      </w:r>
      <w:proofErr w:type="gramStart"/>
      <w:r w:rsidR="00031F88">
        <w:t>options</w:t>
      </w:r>
      <w:r w:rsidR="00B34594">
        <w:t>;</w:t>
      </w:r>
      <w:proofErr w:type="gramEnd"/>
    </w:p>
    <w:p w14:paraId="42EB1DFB" w14:textId="080EC54F" w:rsidR="006A4E29" w:rsidRDefault="0052623B" w:rsidP="001F6758">
      <w:pPr>
        <w:pStyle w:val="ListParagraph"/>
        <w:numPr>
          <w:ilvl w:val="0"/>
          <w:numId w:val="5"/>
        </w:numPr>
      </w:pPr>
      <w:r>
        <w:t xml:space="preserve">The Product Development Forum </w:t>
      </w:r>
      <w:r w:rsidR="003C26DD">
        <w:t>(</w:t>
      </w:r>
      <w:r w:rsidR="003C26DD" w:rsidRPr="003C26DD">
        <w:rPr>
          <w:b/>
          <w:bCs/>
        </w:rPr>
        <w:t>PDF</w:t>
      </w:r>
      <w:r w:rsidR="003C26DD">
        <w:t>)</w:t>
      </w:r>
      <w:r w:rsidR="00B34594">
        <w:t>, which provides the primary mechanism for the development of new pricing constructs and products</w:t>
      </w:r>
      <w:r w:rsidR="00F316F5">
        <w:t>;</w:t>
      </w:r>
      <w:r w:rsidR="00582C25">
        <w:t xml:space="preserve"> </w:t>
      </w:r>
      <w:r w:rsidR="00582C25">
        <w:rPr>
          <w:rStyle w:val="FootnoteReference"/>
        </w:rPr>
        <w:footnoteReference w:id="8"/>
      </w:r>
    </w:p>
    <w:p w14:paraId="6BC47384" w14:textId="4DBCDC6F" w:rsidR="00583B7F" w:rsidRDefault="00583B7F" w:rsidP="001F6758">
      <w:pPr>
        <w:pStyle w:val="ListParagraph"/>
        <w:numPr>
          <w:ilvl w:val="0"/>
          <w:numId w:val="5"/>
        </w:numPr>
      </w:pPr>
      <w:r>
        <w:t>Product withdrawal consultations</w:t>
      </w:r>
      <w:r w:rsidR="00B34594">
        <w:t>;</w:t>
      </w:r>
      <w:r>
        <w:rPr>
          <w:rStyle w:val="FootnoteReference"/>
        </w:rPr>
        <w:footnoteReference w:id="9"/>
      </w:r>
    </w:p>
    <w:p w14:paraId="3B683346" w14:textId="2552A41E" w:rsidR="00F357A0" w:rsidRDefault="00F357A0" w:rsidP="001F6758">
      <w:pPr>
        <w:pStyle w:val="ListParagraph"/>
        <w:numPr>
          <w:ilvl w:val="0"/>
          <w:numId w:val="5"/>
        </w:numPr>
      </w:pPr>
      <w:r>
        <w:t>The Low-income Forum</w:t>
      </w:r>
      <w:r w:rsidR="007D3394">
        <w:t>, the key forum for engagement on matters of affordability</w:t>
      </w:r>
      <w:r>
        <w:t>.</w:t>
      </w:r>
      <w:r>
        <w:rPr>
          <w:rStyle w:val="FootnoteReference"/>
        </w:rPr>
        <w:footnoteReference w:id="10"/>
      </w:r>
    </w:p>
    <w:p w14:paraId="6D5383DE" w14:textId="6D1CAC0A" w:rsidR="009C72B4" w:rsidRDefault="009C72B4" w:rsidP="009C72B4">
      <w:r w:rsidRPr="008E1174">
        <w:t>While participation in many of these forums is</w:t>
      </w:r>
      <w:r w:rsidR="0067759B">
        <w:t xml:space="preserve"> ostensibly </w:t>
      </w:r>
      <w:r w:rsidRPr="008E1174">
        <w:t>voluntary,</w:t>
      </w:r>
      <w:r w:rsidRPr="008E1174">
        <w:rPr>
          <w:rStyle w:val="FootnoteReference"/>
        </w:rPr>
        <w:footnoteReference w:id="11"/>
      </w:r>
      <w:r w:rsidRPr="008E1174">
        <w:t xml:space="preserve"> it is inconsistent with the LTIE that </w:t>
      </w:r>
      <w:r w:rsidR="00E766CA">
        <w:t>C</w:t>
      </w:r>
      <w:r w:rsidRPr="008E1174">
        <w:t xml:space="preserve">onsumer </w:t>
      </w:r>
      <w:r w:rsidR="00E766CA">
        <w:t>A</w:t>
      </w:r>
      <w:r w:rsidRPr="008E1174">
        <w:t xml:space="preserve">dvocacy </w:t>
      </w:r>
      <w:r w:rsidR="00E766CA">
        <w:t>G</w:t>
      </w:r>
      <w:r w:rsidRPr="008E1174">
        <w:t xml:space="preserve">roups may be </w:t>
      </w:r>
      <w:r w:rsidR="00AD24B4" w:rsidRPr="008E1174">
        <w:t xml:space="preserve">excluded from key forums </w:t>
      </w:r>
      <w:r w:rsidR="008E1174" w:rsidRPr="008E1174">
        <w:t>due to resourcing constraints</w:t>
      </w:r>
      <w:r w:rsidR="008E1174">
        <w:t>.</w:t>
      </w:r>
      <w:r>
        <w:t xml:space="preserve"> This approach to engagement is fundamentally inconsistent with the LTIE, which is predicated on consumer preferences informing efficient and prudent investment. </w:t>
      </w:r>
    </w:p>
    <w:p w14:paraId="5E4A97DB" w14:textId="6D2B76BB" w:rsidR="004064AF" w:rsidRDefault="00FC2C7E" w:rsidP="009C72B4">
      <w:r>
        <w:t>We note that the ACCC is constrained from reviewing the existing provisions of the SAU as part of its assessment. However, we consider that the cumulative effect of expan</w:t>
      </w:r>
      <w:r w:rsidR="00D76DD5">
        <w:t>ding consultation obligations and expectations</w:t>
      </w:r>
      <w:r w:rsidR="00AC44D4">
        <w:t xml:space="preserve"> on </w:t>
      </w:r>
      <w:r w:rsidR="00C366F3">
        <w:t>C</w:t>
      </w:r>
      <w:r w:rsidR="00AC44D4">
        <w:t xml:space="preserve">onsumer </w:t>
      </w:r>
      <w:r w:rsidR="00C366F3">
        <w:t>A</w:t>
      </w:r>
      <w:r w:rsidR="00AC44D4">
        <w:t xml:space="preserve">dvocacy </w:t>
      </w:r>
      <w:r w:rsidR="00C366F3">
        <w:t>G</w:t>
      </w:r>
      <w:r w:rsidR="00AC44D4">
        <w:t>roups</w:t>
      </w:r>
      <w:r w:rsidR="00A02435">
        <w:t>’</w:t>
      </w:r>
      <w:r w:rsidR="00AC44D4">
        <w:t xml:space="preserve"> participation should be taken into consideration by the ACCC as a relevant matter when assessing the LTIE. We consider this approach is appropriate, noting that the provisions in their totality, including the RMA provisions,</w:t>
      </w:r>
      <w:r w:rsidR="009C7BC5">
        <w:t xml:space="preserve"> </w:t>
      </w:r>
      <w:r w:rsidR="00C12699">
        <w:t>imply material increases in the demand’s placed on ACCAN.</w:t>
      </w:r>
      <w:r w:rsidR="00AC44D4">
        <w:t xml:space="preserve"> </w:t>
      </w:r>
      <w:r>
        <w:t xml:space="preserve"> </w:t>
      </w:r>
    </w:p>
    <w:p w14:paraId="38B638C9" w14:textId="0D5E5218" w:rsidR="00151F34" w:rsidRDefault="00151F34" w:rsidP="009C72B4">
      <w:r w:rsidRPr="006B01B7">
        <w:t xml:space="preserve">While ACCAN </w:t>
      </w:r>
      <w:r w:rsidR="00526845" w:rsidRPr="006B01B7">
        <w:t xml:space="preserve">has </w:t>
      </w:r>
      <w:r w:rsidR="00965C20">
        <w:t xml:space="preserve">great </w:t>
      </w:r>
      <w:r w:rsidR="00526845" w:rsidRPr="006B01B7">
        <w:t>confidence in</w:t>
      </w:r>
      <w:r w:rsidRPr="006B01B7">
        <w:t xml:space="preserve"> the expertise of the ACCC to </w:t>
      </w:r>
      <w:r w:rsidR="00526845" w:rsidRPr="006B01B7">
        <w:t xml:space="preserve">scrutinise and </w:t>
      </w:r>
      <w:r w:rsidRPr="006B01B7">
        <w:t xml:space="preserve">assess the prudency and efficiency of </w:t>
      </w:r>
      <w:r w:rsidR="00526845" w:rsidRPr="006B01B7">
        <w:t>NBN expenditures</w:t>
      </w:r>
      <w:r w:rsidRPr="006B01B7">
        <w:t xml:space="preserve">, </w:t>
      </w:r>
      <w:r w:rsidR="6D8243AF">
        <w:t>the regulator</w:t>
      </w:r>
      <w:r w:rsidRPr="006B01B7">
        <w:t xml:space="preserve"> is not placed to </w:t>
      </w:r>
      <w:r w:rsidR="004142A8" w:rsidRPr="006B01B7">
        <w:t xml:space="preserve">provide input on the relative merits of various economic trade-offs. This process is fundamentally reliant on extensive and in-depth engagement </w:t>
      </w:r>
      <w:r w:rsidR="00AB61F6" w:rsidRPr="006B01B7">
        <w:t xml:space="preserve">on </w:t>
      </w:r>
      <w:r w:rsidR="00340C7E" w:rsidRPr="006B01B7">
        <w:t>consumer preferences</w:t>
      </w:r>
      <w:r w:rsidR="137792B5">
        <w:t>;</w:t>
      </w:r>
      <w:r w:rsidR="00965C20">
        <w:t xml:space="preserve"> a role that can only be undertaken by a </w:t>
      </w:r>
      <w:r w:rsidR="00C366F3">
        <w:t>C</w:t>
      </w:r>
      <w:r w:rsidR="00965C20">
        <w:t xml:space="preserve">onsumer </w:t>
      </w:r>
      <w:r w:rsidR="00C366F3">
        <w:t>A</w:t>
      </w:r>
      <w:r w:rsidR="00965C20">
        <w:t xml:space="preserve">dvocacy </w:t>
      </w:r>
      <w:r w:rsidR="00C366F3">
        <w:t>G</w:t>
      </w:r>
      <w:r w:rsidR="00965C20">
        <w:t>roup</w:t>
      </w:r>
      <w:r w:rsidR="00340C7E" w:rsidRPr="006B01B7">
        <w:t>.</w:t>
      </w:r>
    </w:p>
    <w:p w14:paraId="2179ED3F" w14:textId="11400466" w:rsidR="00031F88" w:rsidRPr="004D5A2C" w:rsidRDefault="00031F88" w:rsidP="00200029">
      <w:pPr>
        <w:rPr>
          <w:b/>
          <w:bCs/>
        </w:rPr>
      </w:pPr>
      <w:r w:rsidRPr="004D5A2C">
        <w:rPr>
          <w:b/>
          <w:bCs/>
        </w:rPr>
        <w:t>Prudency Implementation Papers</w:t>
      </w:r>
    </w:p>
    <w:p w14:paraId="3A2C8847" w14:textId="56315D2C" w:rsidR="003C215B" w:rsidRDefault="00031F88" w:rsidP="00200029">
      <w:r>
        <w:t>ACCAN holds material reservations concerning the arrangements proposed for the review of Prudency Implementation Papers.</w:t>
      </w:r>
      <w:r w:rsidR="00B32881">
        <w:t xml:space="preserve"> </w:t>
      </w:r>
      <w:r w:rsidR="00B32881" w:rsidDel="00D42A79">
        <w:t>As written</w:t>
      </w:r>
      <w:r w:rsidR="006D1950" w:rsidDel="00D42A79">
        <w:t xml:space="preserve">, </w:t>
      </w:r>
      <w:r w:rsidR="008846E5" w:rsidDel="00D42A79">
        <w:t xml:space="preserve">Clause 1D.11.1 </w:t>
      </w:r>
      <w:r w:rsidR="004A61D6" w:rsidDel="00D42A79">
        <w:t>could be interpreted</w:t>
      </w:r>
      <w:r w:rsidR="00D654FC" w:rsidDel="00D42A79">
        <w:t xml:space="preserve"> as stating that </w:t>
      </w:r>
      <w:r w:rsidR="00B350C3">
        <w:t>Co</w:t>
      </w:r>
      <w:r w:rsidR="00567723">
        <w:t>nsumer Advocacy Groups</w:t>
      </w:r>
      <w:r w:rsidR="007E4B72">
        <w:t xml:space="preserve"> have endorsed a </w:t>
      </w:r>
      <w:r w:rsidR="00FF67A7">
        <w:t xml:space="preserve">Preferred Network Change </w:t>
      </w:r>
      <w:r w:rsidR="007C4C45">
        <w:t>Option</w:t>
      </w:r>
      <w:r w:rsidR="00FF67A7">
        <w:t xml:space="preserve"> </w:t>
      </w:r>
      <w:r w:rsidR="006B70D4">
        <w:t>where</w:t>
      </w:r>
      <w:r w:rsidR="00531C9E">
        <w:t xml:space="preserve"> th</w:t>
      </w:r>
      <w:r w:rsidR="007031BA">
        <w:t xml:space="preserve">ey </w:t>
      </w:r>
      <w:r w:rsidR="00A3267E">
        <w:t>have not</w:t>
      </w:r>
      <w:r w:rsidR="007031BA">
        <w:t xml:space="preserve"> been </w:t>
      </w:r>
      <w:proofErr w:type="gramStart"/>
      <w:r w:rsidR="007031BA">
        <w:t>in a position</w:t>
      </w:r>
      <w:proofErr w:type="gramEnd"/>
      <w:r w:rsidR="007031BA">
        <w:t xml:space="preserve"> to </w:t>
      </w:r>
      <w:r w:rsidR="00D808C4">
        <w:t>engage</w:t>
      </w:r>
      <w:r w:rsidR="006D1950">
        <w:t>:</w:t>
      </w:r>
      <w:r w:rsidR="00731EED">
        <w:rPr>
          <w:rStyle w:val="FootnoteReference"/>
        </w:rPr>
        <w:footnoteReference w:id="12"/>
      </w:r>
    </w:p>
    <w:p w14:paraId="3FFBA05E" w14:textId="4BE99FEC" w:rsidR="00846365" w:rsidRDefault="00846365" w:rsidP="00305165">
      <w:pPr>
        <w:pStyle w:val="ListParagraph"/>
        <w:numPr>
          <w:ilvl w:val="0"/>
          <w:numId w:val="9"/>
        </w:numPr>
        <w:ind w:left="1037" w:right="1134" w:hanging="357"/>
      </w:pPr>
      <w:r>
        <w:t xml:space="preserve">The Preferred Network Change Option will </w:t>
      </w:r>
      <w:proofErr w:type="gramStart"/>
      <w:r>
        <w:t>be considered to be</w:t>
      </w:r>
      <w:proofErr w:type="gramEnd"/>
      <w:r>
        <w:t xml:space="preserve"> endorsed by the Access Seekers</w:t>
      </w:r>
      <w:r w:rsidR="009E2F3D">
        <w:t xml:space="preserve"> </w:t>
      </w:r>
      <w:r>
        <w:t>and Consumer Advocacy Groups and/or the ACCC (as applicable) where:</w:t>
      </w:r>
    </w:p>
    <w:p w14:paraId="572B974D" w14:textId="7ADC9AF4" w:rsidR="00846365" w:rsidRDefault="00846365" w:rsidP="00305165">
      <w:pPr>
        <w:pStyle w:val="ListParagraph"/>
        <w:numPr>
          <w:ilvl w:val="0"/>
          <w:numId w:val="7"/>
        </w:numPr>
        <w:ind w:left="1491" w:right="1134" w:hanging="357"/>
      </w:pPr>
      <w:r>
        <w:t xml:space="preserve">a Network Change Dispute has arisen and the ACCC </w:t>
      </w:r>
      <w:proofErr w:type="gramStart"/>
      <w:r>
        <w:t>makes a decision</w:t>
      </w:r>
      <w:proofErr w:type="gramEnd"/>
      <w:r>
        <w:t xml:space="preserve"> accepting the</w:t>
      </w:r>
      <w:r w:rsidR="00502A78">
        <w:t xml:space="preserve"> </w:t>
      </w:r>
      <w:r>
        <w:t>Preferred Network Change Option in accordance with clause 1D.10.5; or</w:t>
      </w:r>
    </w:p>
    <w:p w14:paraId="2AE7973B" w14:textId="2A0DF7C0" w:rsidR="00846365" w:rsidRDefault="00846365" w:rsidP="00305165">
      <w:pPr>
        <w:pStyle w:val="ListParagraph"/>
        <w:numPr>
          <w:ilvl w:val="0"/>
          <w:numId w:val="7"/>
        </w:numPr>
        <w:ind w:left="1491" w:right="1134" w:hanging="357"/>
      </w:pPr>
      <w:r>
        <w:t>no Access Seeker has satisfied the Network Change Dispute Conditions under clause</w:t>
      </w:r>
      <w:r w:rsidR="00502A78">
        <w:t xml:space="preserve"> </w:t>
      </w:r>
      <w:r>
        <w:t>1D.10.2(b)(i) in respect of the Preferred Network Change Option,</w:t>
      </w:r>
    </w:p>
    <w:p w14:paraId="3081437A" w14:textId="4543D27C" w:rsidR="005F2664" w:rsidRDefault="005F2664" w:rsidP="05115472">
      <w:r>
        <w:t>As a matter of law, we note that</w:t>
      </w:r>
      <w:r w:rsidR="00566D74">
        <w:t xml:space="preserve"> </w:t>
      </w:r>
      <w:r>
        <w:t xml:space="preserve">NBN Co does not have the power to impose binding legal obligations on third parties in the absence of a power being established under </w:t>
      </w:r>
      <w:r w:rsidR="004E0472">
        <w:t>NBN Co’</w:t>
      </w:r>
      <w:r w:rsidR="00777F0D">
        <w:t xml:space="preserve">s </w:t>
      </w:r>
      <w:r>
        <w:t xml:space="preserve">legislative framework. For clarity, NBN Co cannot, through the terms of the SAU seek to unilaterally impose obligations on </w:t>
      </w:r>
      <w:r w:rsidR="00C366F3">
        <w:t>C</w:t>
      </w:r>
      <w:r>
        <w:t xml:space="preserve">onsumer </w:t>
      </w:r>
      <w:r w:rsidR="00C366F3">
        <w:t>A</w:t>
      </w:r>
      <w:r>
        <w:t xml:space="preserve">dvocacy </w:t>
      </w:r>
      <w:r w:rsidR="00C366F3">
        <w:t>G</w:t>
      </w:r>
      <w:r>
        <w:t>roups such as ACCAN</w:t>
      </w:r>
      <w:r w:rsidR="00B32881">
        <w:t>.</w:t>
      </w:r>
    </w:p>
    <w:p w14:paraId="26E52628" w14:textId="1A39A525" w:rsidR="00491C53" w:rsidRDefault="003C215B" w:rsidP="05115472">
      <w:r>
        <w:t xml:space="preserve">ACCAN’s silence on any matter relating to NBN Co expenditure should not and cannot be </w:t>
      </w:r>
      <w:r w:rsidR="00686A10">
        <w:t>treated as an endorsement of the proposed expenditure</w:t>
      </w:r>
      <w:r w:rsidR="00042123">
        <w:t>.</w:t>
      </w:r>
      <w:r w:rsidR="00130B20" w:rsidRPr="00130B20">
        <w:rPr>
          <w:rStyle w:val="FootnoteReference"/>
        </w:rPr>
        <w:t xml:space="preserve"> </w:t>
      </w:r>
      <w:r w:rsidR="00130B20">
        <w:rPr>
          <w:rStyle w:val="FootnoteReference"/>
        </w:rPr>
        <w:footnoteReference w:id="13"/>
      </w:r>
      <w:r w:rsidR="00686A10">
        <w:t xml:space="preserve"> </w:t>
      </w:r>
      <w:r w:rsidR="009346E7">
        <w:t xml:space="preserve">To characterise </w:t>
      </w:r>
      <w:r w:rsidR="36F5D57A">
        <w:t>lack of engagement as endorsement</w:t>
      </w:r>
      <w:r w:rsidR="009346E7">
        <w:t xml:space="preserve"> is inconsistent with best practice engagement and </w:t>
      </w:r>
      <w:r w:rsidR="3F09B1D8">
        <w:t>risks</w:t>
      </w:r>
      <w:r w:rsidR="018D2DA3">
        <w:t xml:space="preserve"> </w:t>
      </w:r>
      <w:r w:rsidR="001A2461">
        <w:t>misrepresenting</w:t>
      </w:r>
      <w:r w:rsidR="009346E7">
        <w:t xml:space="preserve"> ACCAN’s </w:t>
      </w:r>
      <w:r w:rsidR="018D2DA3">
        <w:t>view</w:t>
      </w:r>
      <w:r w:rsidR="0005578F">
        <w:t>s on proposed expenditure</w:t>
      </w:r>
      <w:r w:rsidR="00130B20">
        <w:t>.</w:t>
      </w:r>
      <w:r w:rsidR="00F62336">
        <w:t xml:space="preserve"> </w:t>
      </w:r>
    </w:p>
    <w:p w14:paraId="0B84FEEC" w14:textId="0650E4A1" w:rsidR="009428A7" w:rsidRPr="00E326BA" w:rsidRDefault="6FE7A256" w:rsidP="05115472">
      <w:r>
        <w:t>T</w:t>
      </w:r>
      <w:r w:rsidR="72C65512">
        <w:t xml:space="preserve">he </w:t>
      </w:r>
      <w:r w:rsidR="00AE5B71">
        <w:t xml:space="preserve">lack of </w:t>
      </w:r>
      <w:r w:rsidR="00F80772">
        <w:t xml:space="preserve">appropriate arrangements </w:t>
      </w:r>
      <w:r w:rsidR="00670727">
        <w:t xml:space="preserve">for consumer engagement in the </w:t>
      </w:r>
      <w:r w:rsidR="72C65512">
        <w:t xml:space="preserve">SAU </w:t>
      </w:r>
      <w:r w:rsidR="634AB019">
        <w:t>risks undermining consumer</w:t>
      </w:r>
      <w:r w:rsidR="00AE5B71">
        <w:t xml:space="preserve"> confidence </w:t>
      </w:r>
      <w:r w:rsidR="634AB019">
        <w:t>in the legitimacy of the SAU and the RMA process in th</w:t>
      </w:r>
      <w:r w:rsidR="4AD5AABA">
        <w:t>e long term.</w:t>
      </w:r>
      <w:r w:rsidR="00A20720">
        <w:t xml:space="preserve"> </w:t>
      </w:r>
      <w:r w:rsidR="5AF3D2A0">
        <w:t>R</w:t>
      </w:r>
      <w:r w:rsidR="008516CE">
        <w:t>ecent</w:t>
      </w:r>
      <w:r w:rsidR="002811BD">
        <w:t xml:space="preserve"> Roy Morgan research </w:t>
      </w:r>
      <w:r w:rsidR="41439F07">
        <w:t>found</w:t>
      </w:r>
      <w:r w:rsidR="002811BD">
        <w:t xml:space="preserve"> that the telecommunications sector is the most distrusted industry in the Australian economy</w:t>
      </w:r>
      <w:r w:rsidR="3FC276B3">
        <w:t>.</w:t>
      </w:r>
      <w:r w:rsidR="001C359A" w:rsidRPr="001C359A">
        <w:rPr>
          <w:rStyle w:val="FootnoteReference"/>
        </w:rPr>
        <w:t xml:space="preserve"> </w:t>
      </w:r>
      <w:r w:rsidR="001C359A">
        <w:rPr>
          <w:rStyle w:val="FootnoteReference"/>
        </w:rPr>
        <w:footnoteReference w:id="14"/>
      </w:r>
      <w:r w:rsidR="002811BD" w:rsidRPr="00491C53">
        <w:t xml:space="preserve"> </w:t>
      </w:r>
      <w:r w:rsidR="37B6FAEF" w:rsidRPr="00491C53">
        <w:t xml:space="preserve">Inadequate consumer input </w:t>
      </w:r>
      <w:r w:rsidR="00B83BD5">
        <w:t xml:space="preserve">on proposed </w:t>
      </w:r>
      <w:r w:rsidR="008A0BAE">
        <w:t xml:space="preserve">expenditures </w:t>
      </w:r>
      <w:r w:rsidR="008A0BAE" w:rsidRPr="00491C53">
        <w:t>may</w:t>
      </w:r>
      <w:r w:rsidR="002811BD" w:rsidRPr="00491C53">
        <w:t xml:space="preserve"> diminish consumer</w:t>
      </w:r>
      <w:r w:rsidR="00D85C2F">
        <w:t xml:space="preserve"> confidence and trust in the legitimacy of regulatory settings for NBN Co.</w:t>
      </w:r>
    </w:p>
    <w:p w14:paraId="2C7B269C" w14:textId="0201F981" w:rsidR="003660D4" w:rsidRPr="009428A7" w:rsidRDefault="52F99022" w:rsidP="05115472">
      <w:pPr>
        <w:rPr>
          <w:b/>
        </w:rPr>
      </w:pPr>
      <w:r w:rsidRPr="1E38E84D">
        <w:rPr>
          <w:b/>
          <w:bCs/>
        </w:rPr>
        <w:t>The</w:t>
      </w:r>
      <w:r w:rsidR="00BE3EEE">
        <w:rPr>
          <w:b/>
          <w:bCs/>
        </w:rPr>
        <w:t xml:space="preserve"> </w:t>
      </w:r>
      <w:r w:rsidR="0041648F">
        <w:rPr>
          <w:b/>
          <w:bCs/>
        </w:rPr>
        <w:t xml:space="preserve">SAU </w:t>
      </w:r>
      <w:r w:rsidR="00BE3EEE">
        <w:rPr>
          <w:b/>
          <w:bCs/>
        </w:rPr>
        <w:t xml:space="preserve">restricts </w:t>
      </w:r>
      <w:r w:rsidRPr="1E38E84D">
        <w:rPr>
          <w:b/>
          <w:bCs/>
        </w:rPr>
        <w:t xml:space="preserve">subsequent </w:t>
      </w:r>
      <w:proofErr w:type="gramStart"/>
      <w:r w:rsidRPr="29200C59">
        <w:rPr>
          <w:b/>
          <w:bCs/>
        </w:rPr>
        <w:t>engagement</w:t>
      </w:r>
      <w:proofErr w:type="gramEnd"/>
      <w:r w:rsidRPr="29200C59">
        <w:rPr>
          <w:b/>
          <w:bCs/>
        </w:rPr>
        <w:t xml:space="preserve"> </w:t>
      </w:r>
    </w:p>
    <w:p w14:paraId="0BAFDA43" w14:textId="063EDD54" w:rsidR="0004489B" w:rsidRDefault="009428A7" w:rsidP="005A4A06">
      <w:r>
        <w:t xml:space="preserve">We note that similar provisions exist with respect to the </w:t>
      </w:r>
      <w:r w:rsidR="00837BCB">
        <w:t>PDF</w:t>
      </w:r>
      <w:r>
        <w:t>, with Access Seekers and Consumer Advocacy Groups being</w:t>
      </w:r>
      <w:r w:rsidR="00812A75">
        <w:t xml:space="preserve"> </w:t>
      </w:r>
      <w:r w:rsidR="229F8C02">
        <w:t xml:space="preserve">asked </w:t>
      </w:r>
      <w:r w:rsidR="1008A758">
        <w:t>to</w:t>
      </w:r>
      <w:r w:rsidR="001E61C5">
        <w:t xml:space="preserve"> participate in workshops on product constructs</w:t>
      </w:r>
      <w:r w:rsidR="00812A75">
        <w:t xml:space="preserve">. </w:t>
      </w:r>
      <w:r w:rsidR="430E5905">
        <w:t>However,</w:t>
      </w:r>
      <w:r w:rsidR="19204291">
        <w:t xml:space="preserve"> we are concerned that, according to our</w:t>
      </w:r>
      <w:r w:rsidR="490EBCA1">
        <w:t xml:space="preserve"> </w:t>
      </w:r>
      <w:r w:rsidR="19204291">
        <w:t xml:space="preserve">reading of </w:t>
      </w:r>
      <w:r w:rsidR="00FD5E45" w:rsidRPr="00FD5E45">
        <w:t>Schedule 1I: Annexure 1</w:t>
      </w:r>
      <w:r w:rsidR="00792063">
        <w:t>,</w:t>
      </w:r>
      <w:r w:rsidR="19204291">
        <w:t xml:space="preserve"> </w:t>
      </w:r>
      <w:r w:rsidR="005B0BD8">
        <w:t xml:space="preserve">Clause </w:t>
      </w:r>
      <w:r w:rsidR="00457C88">
        <w:t>6.3</w:t>
      </w:r>
      <w:r w:rsidR="006A7018">
        <w:t xml:space="preserve"> </w:t>
      </w:r>
      <w:r w:rsidR="006A7018" w:rsidRPr="00305165">
        <w:rPr>
          <w:i/>
        </w:rPr>
        <w:t>Participation</w:t>
      </w:r>
      <w:r w:rsidR="005854EF" w:rsidRPr="00305165">
        <w:rPr>
          <w:i/>
        </w:rPr>
        <w:t xml:space="preserve"> in Workshops</w:t>
      </w:r>
      <w:r w:rsidR="004A645E">
        <w:t>,</w:t>
      </w:r>
      <w:r w:rsidR="490EBCA1">
        <w:t xml:space="preserve"> </w:t>
      </w:r>
      <w:r w:rsidR="009133F2">
        <w:t>i</w:t>
      </w:r>
      <w:r w:rsidR="490EBCA1">
        <w:t>f a consumer</w:t>
      </w:r>
      <w:r w:rsidR="00812A75">
        <w:t xml:space="preserve"> </w:t>
      </w:r>
      <w:r w:rsidR="490EBCA1">
        <w:t>group fails</w:t>
      </w:r>
      <w:r w:rsidR="00812A75">
        <w:t xml:space="preserve"> to participate or attend </w:t>
      </w:r>
      <w:r w:rsidR="23DE6F94">
        <w:t>a particular workshop</w:t>
      </w:r>
      <w:r w:rsidR="19EEC6FB">
        <w:t>,</w:t>
      </w:r>
      <w:r w:rsidR="430E5905">
        <w:t xml:space="preserve"> </w:t>
      </w:r>
      <w:r w:rsidR="00D742F6">
        <w:t xml:space="preserve">Clause </w:t>
      </w:r>
      <w:r w:rsidR="0016790B">
        <w:t>6.3(a)</w:t>
      </w:r>
      <w:r w:rsidR="009E52D9">
        <w:t xml:space="preserve"> </w:t>
      </w:r>
      <w:r w:rsidR="19EEC6FB">
        <w:t>could</w:t>
      </w:r>
      <w:r w:rsidR="430E5905">
        <w:t xml:space="preserve"> </w:t>
      </w:r>
      <w:r w:rsidR="00812A75">
        <w:t>subsequently l</w:t>
      </w:r>
      <w:r w:rsidR="001E61C5">
        <w:t xml:space="preserve">imit the ability of consumer </w:t>
      </w:r>
      <w:r w:rsidR="008B2D39">
        <w:t>advocacy group to query or amend the outcomes of the workshop.</w:t>
      </w:r>
      <w:r w:rsidR="008810EB">
        <w:t xml:space="preserve"> </w:t>
      </w:r>
      <w:r w:rsidR="00F11F5F">
        <w:t xml:space="preserve">As the </w:t>
      </w:r>
      <w:r w:rsidR="005025F9">
        <w:t>proposal states</w:t>
      </w:r>
      <w:r w:rsidR="00651D05">
        <w:t>:</w:t>
      </w:r>
    </w:p>
    <w:p w14:paraId="418C8B92" w14:textId="45DA3298" w:rsidR="006D6D55" w:rsidRDefault="006D6D55" w:rsidP="007166F7">
      <w:pPr>
        <w:pStyle w:val="ListParagraph"/>
        <w:numPr>
          <w:ilvl w:val="0"/>
          <w:numId w:val="8"/>
        </w:numPr>
        <w:ind w:left="1491" w:right="1134" w:hanging="357"/>
      </w:pPr>
      <w:r>
        <w:t>If an Access Seeker or Consumer Advocacy</w:t>
      </w:r>
      <w:r w:rsidR="0060389B">
        <w:t xml:space="preserve"> </w:t>
      </w:r>
      <w:r>
        <w:t>Group declines or fails to participate in a Workshop at any time, the Access Seeker or Consumer</w:t>
      </w:r>
      <w:r w:rsidR="0060389B">
        <w:t xml:space="preserve"> </w:t>
      </w:r>
      <w:r>
        <w:t>Advocacy Group may not subsequently amend or query the results or contributions achieved by</w:t>
      </w:r>
      <w:r w:rsidR="00FB2E8B">
        <w:t xml:space="preserve"> </w:t>
      </w:r>
      <w:r>
        <w:t>that Workshop during the period in which the Access Seeker or Consumer Advocacy Group did</w:t>
      </w:r>
      <w:r w:rsidR="00FB2E8B">
        <w:t xml:space="preserve"> </w:t>
      </w:r>
      <w:r>
        <w:t>not participate in the Workshop.</w:t>
      </w:r>
    </w:p>
    <w:p w14:paraId="62F231CD" w14:textId="2290A558" w:rsidR="00BF11D1" w:rsidRDefault="00BE3753" w:rsidP="00BF11D1">
      <w:r>
        <w:t>In short, the expectation is that consumer organisations will attend or have their ability to express a view on a product construct curtailed.</w:t>
      </w:r>
      <w:r>
        <w:rPr>
          <w:rStyle w:val="FootnoteReference"/>
        </w:rPr>
        <w:footnoteReference w:id="15"/>
      </w:r>
      <w:r>
        <w:t xml:space="preserve"> </w:t>
      </w:r>
      <w:r w:rsidR="00DA7474">
        <w:t>We</w:t>
      </w:r>
      <w:r w:rsidR="005F169D">
        <w:t xml:space="preserve"> are also concerned </w:t>
      </w:r>
      <w:r w:rsidR="001133FE">
        <w:t xml:space="preserve">that </w:t>
      </w:r>
      <w:r w:rsidR="00F15C2F">
        <w:t xml:space="preserve">Clause </w:t>
      </w:r>
      <w:r w:rsidR="00CA0B9E">
        <w:t>6.3(</w:t>
      </w:r>
      <w:r w:rsidR="00325929">
        <w:t>b</w:t>
      </w:r>
      <w:r w:rsidR="00CA0B9E">
        <w:t xml:space="preserve">) could be read as </w:t>
      </w:r>
      <w:r w:rsidR="00A66C63">
        <w:t xml:space="preserve">requiring </w:t>
      </w:r>
      <w:r w:rsidR="00C41C08">
        <w:t>Consumer Ad</w:t>
      </w:r>
      <w:r w:rsidR="00302D23">
        <w:t xml:space="preserve">vocacy Groups </w:t>
      </w:r>
      <w:r w:rsidR="00C5283C">
        <w:t>to supply</w:t>
      </w:r>
      <w:r w:rsidR="00302D23">
        <w:t xml:space="preserve"> </w:t>
      </w:r>
      <w:r w:rsidR="00D47E8F">
        <w:t>technical ex</w:t>
      </w:r>
      <w:r w:rsidR="00EC2937">
        <w:t>p</w:t>
      </w:r>
      <w:r w:rsidR="00872B15">
        <w:t>ertise</w:t>
      </w:r>
      <w:r w:rsidR="002A32E5">
        <w:t xml:space="preserve"> without</w:t>
      </w:r>
      <w:r w:rsidR="00B273F4">
        <w:t xml:space="preserve"> additional resourcing. </w:t>
      </w:r>
      <w:r w:rsidR="00F15C2F">
        <w:t>Clause</w:t>
      </w:r>
      <w:r w:rsidR="00B273F4">
        <w:t xml:space="preserve"> </w:t>
      </w:r>
      <w:r w:rsidR="00A313C3">
        <w:t>6.3(b) read</w:t>
      </w:r>
      <w:r w:rsidR="00325929">
        <w:t>s:</w:t>
      </w:r>
    </w:p>
    <w:p w14:paraId="2240B82B" w14:textId="525FAE8D" w:rsidR="00AF3DFD" w:rsidRDefault="006D6D55" w:rsidP="007166F7">
      <w:pPr>
        <w:pStyle w:val="ListParagraph"/>
        <w:numPr>
          <w:ilvl w:val="0"/>
          <w:numId w:val="8"/>
        </w:numPr>
        <w:ind w:left="1491" w:right="1134" w:hanging="357"/>
      </w:pPr>
      <w:r>
        <w:t>If an Access Seeker or Consumer Advocacy Group representative to a Workshop does not have</w:t>
      </w:r>
      <w:r w:rsidR="00FB2E8B">
        <w:t xml:space="preserve"> </w:t>
      </w:r>
      <w:r>
        <w:t xml:space="preserve">sufficient authority, knowledge, </w:t>
      </w:r>
      <w:proofErr w:type="gramStart"/>
      <w:r>
        <w:t>experience</w:t>
      </w:r>
      <w:proofErr w:type="gramEnd"/>
      <w:r>
        <w:t xml:space="preserve"> or expertise to participate fully in a Workshop, NBN</w:t>
      </w:r>
      <w:r w:rsidR="00FB2E8B">
        <w:t xml:space="preserve"> </w:t>
      </w:r>
      <w:r>
        <w:t>Co may raise the issue with that entity’s PDF Representative or other appropriate relationship</w:t>
      </w:r>
      <w:r w:rsidR="00FB2E8B">
        <w:t xml:space="preserve"> </w:t>
      </w:r>
      <w:r>
        <w:t>manager</w:t>
      </w:r>
      <w:r w:rsidR="006559FB">
        <w:t>.</w:t>
      </w:r>
    </w:p>
    <w:p w14:paraId="6244505C" w14:textId="10DEAA8A" w:rsidR="00325929" w:rsidRDefault="003160E6" w:rsidP="00325929">
      <w:r>
        <w:t xml:space="preserve">We would like further clarification as </w:t>
      </w:r>
      <w:r w:rsidR="00357B26">
        <w:t>to what</w:t>
      </w:r>
      <w:r w:rsidR="008F5FA6">
        <w:t xml:space="preserve"> </w:t>
      </w:r>
      <w:r w:rsidR="00B16594">
        <w:t>‘</w:t>
      </w:r>
      <w:r w:rsidR="008F5FA6">
        <w:t>ra</w:t>
      </w:r>
      <w:r w:rsidR="00BE31F3">
        <w:t>ising the issue</w:t>
      </w:r>
      <w:r w:rsidR="00B16594">
        <w:t>’</w:t>
      </w:r>
      <w:r w:rsidR="00BE31F3">
        <w:t xml:space="preserve"> might entail</w:t>
      </w:r>
      <w:r w:rsidR="006130B4">
        <w:t>.</w:t>
      </w:r>
      <w:r w:rsidR="006F398E">
        <w:t xml:space="preserve"> G</w:t>
      </w:r>
      <w:r w:rsidR="0043698B">
        <w:t>iven the lack of resourcing for consumer engagement in the SAU</w:t>
      </w:r>
      <w:r w:rsidR="00690564">
        <w:t xml:space="preserve"> it is </w:t>
      </w:r>
      <w:r w:rsidR="0000653E">
        <w:t xml:space="preserve">possible that </w:t>
      </w:r>
      <w:r w:rsidR="007602CA">
        <w:t xml:space="preserve">some Consumer Advocacy Groups engaging with </w:t>
      </w:r>
      <w:r w:rsidR="00B83626">
        <w:t xml:space="preserve">the Workshops </w:t>
      </w:r>
      <w:r w:rsidR="009C379F">
        <w:t xml:space="preserve">may not </w:t>
      </w:r>
      <w:r w:rsidR="00863A29">
        <w:t xml:space="preserve">meet every </w:t>
      </w:r>
      <w:proofErr w:type="gramStart"/>
      <w:r w:rsidR="00863A29">
        <w:t>criteria</w:t>
      </w:r>
      <w:proofErr w:type="gramEnd"/>
      <w:r w:rsidR="00863A29">
        <w:t>.</w:t>
      </w:r>
    </w:p>
    <w:p w14:paraId="6147FC6E" w14:textId="4DCF49A8" w:rsidR="003C1FFB" w:rsidRPr="003C1FFB" w:rsidRDefault="003C1FFB" w:rsidP="05115472">
      <w:pPr>
        <w:rPr>
          <w:b/>
          <w:bCs/>
        </w:rPr>
      </w:pPr>
      <w:r>
        <w:rPr>
          <w:b/>
          <w:bCs/>
        </w:rPr>
        <w:t xml:space="preserve">Introducing minimum guaranteed consultation periods is necessary to safeguard consumer </w:t>
      </w:r>
      <w:proofErr w:type="gramStart"/>
      <w:r>
        <w:rPr>
          <w:b/>
          <w:bCs/>
        </w:rPr>
        <w:t>engagement</w:t>
      </w:r>
      <w:proofErr w:type="gramEnd"/>
    </w:p>
    <w:p w14:paraId="47413FDD" w14:textId="59A93191" w:rsidR="00D34AE0" w:rsidRDefault="6DAC19E6" w:rsidP="05115472">
      <w:r>
        <w:t>M</w:t>
      </w:r>
      <w:r w:rsidR="007E73E5">
        <w:t xml:space="preserve">inimum guaranteed periods for consultation and engagement with consumer representatives </w:t>
      </w:r>
      <w:r w:rsidR="60A7E574">
        <w:t>are</w:t>
      </w:r>
      <w:r w:rsidR="007E73E5">
        <w:t xml:space="preserve"> </w:t>
      </w:r>
      <w:r w:rsidR="60A7E574">
        <w:t>critical</w:t>
      </w:r>
      <w:r w:rsidR="109C8076">
        <w:t xml:space="preserve"> </w:t>
      </w:r>
      <w:r w:rsidR="007E73E5">
        <w:t xml:space="preserve">to </w:t>
      </w:r>
      <w:r w:rsidR="77C9DE30">
        <w:t>offering consumers</w:t>
      </w:r>
      <w:r w:rsidR="007E73E5">
        <w:t xml:space="preserve"> reasonable opportunity</w:t>
      </w:r>
      <w:r w:rsidR="002939D8">
        <w:t xml:space="preserve"> to engage on matter</w:t>
      </w:r>
      <w:r w:rsidR="430BB59F">
        <w:t>s</w:t>
      </w:r>
      <w:r w:rsidR="002939D8">
        <w:t xml:space="preserve"> that materially impact upon them. </w:t>
      </w:r>
      <w:r w:rsidR="009E74B4">
        <w:t xml:space="preserve">In the absence of </w:t>
      </w:r>
      <w:r w:rsidR="70E1EDDA">
        <w:t xml:space="preserve">minimum periods of </w:t>
      </w:r>
      <w:r w:rsidR="0013230F">
        <w:t>consultation being</w:t>
      </w:r>
      <w:r w:rsidR="009E74B4">
        <w:t xml:space="preserve"> included in the SAU</w:t>
      </w:r>
      <w:r w:rsidR="408FB5F3">
        <w:t>,</w:t>
      </w:r>
      <w:r w:rsidR="009E74B4">
        <w:t xml:space="preserve"> ACCAN</w:t>
      </w:r>
      <w:r w:rsidR="007666DC">
        <w:t xml:space="preserve"> considers that it is </w:t>
      </w:r>
      <w:r w:rsidR="00217234">
        <w:t>possible</w:t>
      </w:r>
      <w:r w:rsidR="007666DC">
        <w:t xml:space="preserve"> that we </w:t>
      </w:r>
      <w:r w:rsidR="00217234">
        <w:t>would</w:t>
      </w:r>
      <w:r w:rsidR="00297A22">
        <w:t xml:space="preserve"> not always</w:t>
      </w:r>
      <w:r w:rsidR="00217234">
        <w:t xml:space="preserve"> </w:t>
      </w:r>
      <w:r w:rsidR="007666DC">
        <w:t>be able to engage on matters critical to the RMA</w:t>
      </w:r>
      <w:r w:rsidR="00297A22">
        <w:t xml:space="preserve"> in the required time</w:t>
      </w:r>
      <w:r w:rsidR="007666DC">
        <w:t>.</w:t>
      </w:r>
      <w:r w:rsidR="009E74B4">
        <w:t xml:space="preserve"> </w:t>
      </w:r>
      <w:r w:rsidR="00A3267E">
        <w:br/>
      </w:r>
      <w:r w:rsidR="00A3267E">
        <w:br/>
      </w:r>
    </w:p>
    <w:p w14:paraId="42D5215F" w14:textId="159C82A8" w:rsidR="0065143B" w:rsidRPr="004F5E02" w:rsidRDefault="007F06B5" w:rsidP="05115472">
      <w:pPr>
        <w:rPr>
          <w:b/>
          <w:bCs/>
        </w:rPr>
      </w:pPr>
      <w:r>
        <w:rPr>
          <w:b/>
          <w:bCs/>
        </w:rPr>
        <w:t>Credit rating</w:t>
      </w:r>
      <w:r w:rsidR="00E81FEF">
        <w:rPr>
          <w:b/>
          <w:bCs/>
        </w:rPr>
        <w:t xml:space="preserve"> objective</w:t>
      </w:r>
    </w:p>
    <w:p w14:paraId="54CEDFD2" w14:textId="40D33A03" w:rsidR="00970604" w:rsidRDefault="004B3023" w:rsidP="05115472">
      <w:r>
        <w:t>ACCAN agrees with the ACCC that the proposed credit rating objective principle is not consistent with the LTIE.</w:t>
      </w:r>
      <w:r w:rsidR="00D27F1F">
        <w:t xml:space="preserve"> </w:t>
      </w:r>
      <w:r w:rsidR="6B851A6B">
        <w:t>W</w:t>
      </w:r>
      <w:r w:rsidR="004F5E02">
        <w:t xml:space="preserve">e consider that achievement of a standalone investment grade credit rating has merit as a policy objective, </w:t>
      </w:r>
      <w:r w:rsidR="2838FF32">
        <w:t xml:space="preserve">but </w:t>
      </w:r>
      <w:r w:rsidR="00192073">
        <w:t>any such objective must be subsidiary to and consistent with prudent and efficient investment.</w:t>
      </w:r>
    </w:p>
    <w:p w14:paraId="4388CD30" w14:textId="306CA222" w:rsidR="00F61C83" w:rsidRPr="00F00C9D" w:rsidRDefault="007C2806" w:rsidP="002049AD">
      <w:r>
        <w:t>ACCAN notes the supplementary submission by NBN Co set out further potential revisions to the SAU</w:t>
      </w:r>
      <w:r w:rsidR="00686ADD">
        <w:t xml:space="preserve"> to address the concerns raised by the ACCC with respect to the credit rating objective. </w:t>
      </w:r>
      <w:r w:rsidR="00174650">
        <w:t xml:space="preserve">Notwithstanding the potential further revisions to the SAU, ACCAN maintains its view that the credit rating objective </w:t>
      </w:r>
      <w:r w:rsidR="00CA1B8E">
        <w:t>should be removed, or at a minimum revised</w:t>
      </w:r>
      <w:r w:rsidR="000D418D">
        <w:t>,</w:t>
      </w:r>
      <w:r w:rsidR="00CA1B8E">
        <w:t xml:space="preserve"> to expressly </w:t>
      </w:r>
      <w:r w:rsidR="00A263B8">
        <w:t xml:space="preserve">indicate that it is subsidiary to the prudency and efficiency requirement. </w:t>
      </w:r>
    </w:p>
    <w:p w14:paraId="7A786542" w14:textId="50100F14" w:rsidR="002049AD" w:rsidRDefault="002049AD" w:rsidP="002049AD">
      <w:pPr>
        <w:rPr>
          <w:b/>
          <w:bCs/>
        </w:rPr>
      </w:pPr>
      <w:r>
        <w:rPr>
          <w:b/>
          <w:bCs/>
        </w:rPr>
        <w:t xml:space="preserve">Service quality </w:t>
      </w:r>
    </w:p>
    <w:p w14:paraId="1497CA82" w14:textId="6D46A61D" w:rsidR="00E13ED4" w:rsidRDefault="00E043A2" w:rsidP="002049AD">
      <w:r>
        <w:t>ACCAN welcomes the comments of the ACCC with respect to benchmark wholesale service standards</w:t>
      </w:r>
      <w:r w:rsidR="00E13ED4">
        <w:t xml:space="preserve"> </w:t>
      </w:r>
      <w:r w:rsidR="006B0B3B">
        <w:t xml:space="preserve">and concur that the proposed arrangements are not consistent with the LTIE. As noted, by the ACCC the wholesale service standards were not developed in consultation with </w:t>
      </w:r>
      <w:r w:rsidR="0042509B">
        <w:t>stakeholders and</w:t>
      </w:r>
      <w:r w:rsidR="00454E1B">
        <w:t xml:space="preserve"> are likely to become obsolete shortly after the acceptance of the SAU.</w:t>
      </w:r>
    </w:p>
    <w:p w14:paraId="16DB1A7F" w14:textId="3C6364F5" w:rsidR="003C4708" w:rsidRDefault="003C4708" w:rsidP="002049AD">
      <w:r>
        <w:t xml:space="preserve">While ACCAN welcomes the commitment of NBN Co to further engagement on the </w:t>
      </w:r>
      <w:r w:rsidR="00662382">
        <w:t>service quality through the W</w:t>
      </w:r>
      <w:r w:rsidR="006972AC">
        <w:t xml:space="preserve">holesale Broadband Agreement </w:t>
      </w:r>
      <w:r w:rsidR="00272C5A">
        <w:t xml:space="preserve">5 </w:t>
      </w:r>
      <w:r w:rsidR="00662382">
        <w:t>process, w</w:t>
      </w:r>
      <w:r w:rsidR="000C2D3C">
        <w:t xml:space="preserve">e note that ACCAN’s ability to engage with </w:t>
      </w:r>
      <w:r w:rsidR="0016090D">
        <w:t xml:space="preserve">service standards via the SFAA is limited. </w:t>
      </w:r>
      <w:r w:rsidR="00D93619">
        <w:t xml:space="preserve">Service quality is a key issue for consumers and </w:t>
      </w:r>
      <w:r w:rsidR="00B27A64">
        <w:t xml:space="preserve">as proposed the SAU provides a limited basis for engagement with consumers on critical issues of service performance. </w:t>
      </w:r>
    </w:p>
    <w:p w14:paraId="6037BC87" w14:textId="77777777" w:rsidR="00A7470D" w:rsidRDefault="00741476" w:rsidP="00187AC3">
      <w:r>
        <w:t>The</w:t>
      </w:r>
      <w:r w:rsidR="006B2729">
        <w:t xml:space="preserve"> proposed SAU variation must embed processes that </w:t>
      </w:r>
      <w:r w:rsidR="00951D3B">
        <w:t xml:space="preserve">reflect </w:t>
      </w:r>
      <w:r w:rsidR="006B2729">
        <w:t>consumer preferences and values</w:t>
      </w:r>
      <w:r w:rsidR="00865A7A">
        <w:t>.</w:t>
      </w:r>
      <w:r w:rsidR="005B51C9">
        <w:t xml:space="preserve"> The SAU</w:t>
      </w:r>
      <w:r w:rsidR="002635A4">
        <w:t xml:space="preserve">’s </w:t>
      </w:r>
      <w:r w:rsidR="00AF0402">
        <w:t>processes should prioritise</w:t>
      </w:r>
      <w:r w:rsidR="006B2729">
        <w:t xml:space="preserve"> investment and expenditure to address those dimensions of service delivery that </w:t>
      </w:r>
      <w:r w:rsidR="00AF0402">
        <w:t>are</w:t>
      </w:r>
      <w:r w:rsidR="006B2729">
        <w:t xml:space="preserve"> most important to consumers. The proposed SAU variation as drafted provides a limited, optional approach to engagement on key matters relating to</w:t>
      </w:r>
      <w:r w:rsidR="001F6758">
        <w:t xml:space="preserve"> service quality</w:t>
      </w:r>
      <w:r w:rsidR="001145A4">
        <w:t>.</w:t>
      </w:r>
      <w:r w:rsidR="00BA4929">
        <w:t xml:space="preserve"> It</w:t>
      </w:r>
      <w:r w:rsidR="006B2729">
        <w:t xml:space="preserve"> </w:t>
      </w:r>
      <w:r w:rsidR="001F6758">
        <w:t xml:space="preserve">does not reflect </w:t>
      </w:r>
      <w:r w:rsidR="004D0E19">
        <w:t xml:space="preserve">consumer preferences and accordingly cannot </w:t>
      </w:r>
      <w:r w:rsidR="00DF5B80">
        <w:t>be in the LTIE.</w:t>
      </w:r>
    </w:p>
    <w:p w14:paraId="5526CADC" w14:textId="77777777" w:rsidR="00A7470D" w:rsidRDefault="00A7470D" w:rsidP="00187AC3"/>
    <w:p w14:paraId="3B36D2E3" w14:textId="77777777" w:rsidR="00A7470D" w:rsidRDefault="00A7470D" w:rsidP="00187AC3"/>
    <w:p w14:paraId="305A2F8D" w14:textId="77777777" w:rsidR="00A7470D" w:rsidRDefault="00A7470D" w:rsidP="00187AC3"/>
    <w:p w14:paraId="487B523B" w14:textId="77777777" w:rsidR="00A7470D" w:rsidRDefault="00A7470D" w:rsidP="00187AC3"/>
    <w:p w14:paraId="4ABBF3B3" w14:textId="77777777" w:rsidR="00A7470D" w:rsidRDefault="00A7470D" w:rsidP="00187AC3"/>
    <w:p w14:paraId="18AE021C" w14:textId="77777777" w:rsidR="00A7470D" w:rsidRDefault="00A7470D" w:rsidP="00187AC3"/>
    <w:p w14:paraId="4829D76F" w14:textId="77777777" w:rsidR="00A7470D" w:rsidRDefault="00A7470D" w:rsidP="00187AC3"/>
    <w:p w14:paraId="0681B277" w14:textId="77777777" w:rsidR="00A7470D" w:rsidRDefault="00A7470D" w:rsidP="00187AC3"/>
    <w:p w14:paraId="62C0A3FE" w14:textId="6D1A6027" w:rsidR="00022997" w:rsidRDefault="00A7470D" w:rsidP="00A7470D">
      <w:pPr>
        <w:pStyle w:val="FundingAcknowledgement"/>
      </w:pPr>
      <w:r w:rsidRPr="006C7432">
        <w:t xml:space="preserve">The Australian Communications Consumer </w:t>
      </w:r>
      <w:r w:rsidRPr="00A44854">
        <w:t>Action</w:t>
      </w:r>
      <w:r w:rsidRPr="006C7432">
        <w:t xml:space="preserve"> Network (ACCAN) is Australia’s peak communication consumer organisation. The operation of ACCAN is made possible by funding </w:t>
      </w:r>
      <w:r w:rsidRPr="00A44854">
        <w:t>provided</w:t>
      </w:r>
      <w:r w:rsidRPr="006C7432">
        <w:t xml:space="preserve"> by the Commonwealth of Australia under section 593 of the Telecommunications Act 1997. This funding is recovered from charges on telecommunications carriers.</w:t>
      </w:r>
    </w:p>
    <w:sectPr w:rsidR="00022997" w:rsidSect="00472A35">
      <w:headerReference w:type="default" r:id="rId22"/>
      <w:footerReference w:type="default" r:id="rId23"/>
      <w:pgSz w:w="11906" w:h="16838"/>
      <w:pgMar w:top="1418" w:right="1440" w:bottom="709" w:left="1440" w:header="454"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F43309" w14:textId="77777777" w:rsidR="00C721CE" w:rsidRDefault="00C721CE">
      <w:pPr>
        <w:spacing w:after="0" w:line="240" w:lineRule="auto"/>
      </w:pPr>
      <w:r>
        <w:separator/>
      </w:r>
    </w:p>
  </w:endnote>
  <w:endnote w:type="continuationSeparator" w:id="0">
    <w:p w14:paraId="2D11D723" w14:textId="77777777" w:rsidR="00C721CE" w:rsidRDefault="00C721CE">
      <w:pPr>
        <w:spacing w:after="0" w:line="240" w:lineRule="auto"/>
      </w:pPr>
      <w:r>
        <w:continuationSeparator/>
      </w:r>
    </w:p>
  </w:endnote>
  <w:endnote w:type="continuationNotice" w:id="1">
    <w:p w14:paraId="185D9C1F" w14:textId="77777777" w:rsidR="00C721CE" w:rsidRDefault="00C721C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8FE8C91-D713-4CAA-9BCA-C8FBBF08C9F7}"/>
    <w:embedBold r:id="rId2" w:fontKey="{F939CFE8-5AF8-46BE-A33B-7B518FBD9DF9}"/>
    <w:embedItalic r:id="rId3" w:fontKey="{C41F211B-D643-4728-A226-E0BC483A63D8}"/>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4" w:fontKey="{BDB86202-2428-45E0-A4AA-C29648332487}"/>
  </w:font>
  <w:font w:name="Gotham">
    <w:altName w:val="Calibri"/>
    <w:charset w:val="00"/>
    <w:family w:val="auto"/>
    <w:pitch w:val="variable"/>
    <w:sig w:usb0="800000A7" w:usb1="00000000" w:usb2="00000000" w:usb3="00000000" w:csb0="00000009" w:csb1="00000000"/>
  </w:font>
  <w:font w:name="Gotham Black">
    <w:altName w:val="Calibri"/>
    <w:charset w:val="00"/>
    <w:family w:val="auto"/>
    <w:pitch w:val="variable"/>
    <w:sig w:usb0="A00000AF" w:usb1="40000048" w:usb2="00000000" w:usb3="00000000" w:csb0="00000111" w:csb1="00000000"/>
  </w:font>
  <w:font w:name="Cambria">
    <w:panose1 w:val="02040503050406030204"/>
    <w:charset w:val="00"/>
    <w:family w:val="roman"/>
    <w:pitch w:val="variable"/>
    <w:sig w:usb0="E00006FF" w:usb1="420024FF" w:usb2="02000000" w:usb3="00000000" w:csb0="0000019F" w:csb1="00000000"/>
    <w:embedRegular r:id="rId5" w:fontKey="{ABCD395F-09C7-478C-A27C-199F3E1C10E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otham" w:hAnsi="Gotham"/>
        <w:b/>
        <w:bCs/>
        <w:sz w:val="20"/>
        <w:szCs w:val="20"/>
      </w:rPr>
      <w:id w:val="-1113674512"/>
      <w:docPartObj>
        <w:docPartGallery w:val="Page Numbers (Bottom of Page)"/>
        <w:docPartUnique/>
      </w:docPartObj>
    </w:sdtPr>
    <w:sdtEndPr>
      <w:rPr>
        <w:rStyle w:val="Letterhead1Char"/>
        <w:spacing w:val="8"/>
      </w:rPr>
    </w:sdtEndPr>
    <w:sdtContent>
      <w:p w14:paraId="0F46D66A" w14:textId="77777777" w:rsidR="00200982" w:rsidRPr="009236CD" w:rsidRDefault="0088720C" w:rsidP="0088720C">
        <w:pPr>
          <w:jc w:val="right"/>
          <w:rPr>
            <w:rStyle w:val="Letterhead1Char"/>
          </w:rPr>
        </w:pPr>
        <w:r w:rsidRPr="009236CD">
          <w:rPr>
            <w:rStyle w:val="Letterhead1Char"/>
          </w:rPr>
          <w:fldChar w:fldCharType="begin"/>
        </w:r>
        <w:r w:rsidRPr="009236CD">
          <w:rPr>
            <w:rStyle w:val="Letterhead1Char"/>
          </w:rPr>
          <w:instrText xml:space="preserve"> PAGE   \* MERGEFORMAT </w:instrText>
        </w:r>
        <w:r w:rsidRPr="009236CD">
          <w:rPr>
            <w:rStyle w:val="Letterhead1Char"/>
          </w:rPr>
          <w:fldChar w:fldCharType="separate"/>
        </w:r>
        <w:r w:rsidRPr="009236CD">
          <w:rPr>
            <w:rStyle w:val="Letterhead1Char"/>
          </w:rPr>
          <w:t>1</w:t>
        </w:r>
        <w:r w:rsidRPr="009236CD">
          <w:rPr>
            <w:rStyle w:val="Letterhead1Char"/>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4D2A81" w14:textId="77777777" w:rsidR="00C721CE" w:rsidRDefault="00C721CE">
      <w:pPr>
        <w:spacing w:after="0" w:line="240" w:lineRule="auto"/>
      </w:pPr>
      <w:r>
        <w:separator/>
      </w:r>
    </w:p>
  </w:footnote>
  <w:footnote w:type="continuationSeparator" w:id="0">
    <w:p w14:paraId="75270E50" w14:textId="77777777" w:rsidR="00C721CE" w:rsidRDefault="00C721CE">
      <w:pPr>
        <w:spacing w:after="0" w:line="240" w:lineRule="auto"/>
      </w:pPr>
      <w:r>
        <w:continuationSeparator/>
      </w:r>
    </w:p>
  </w:footnote>
  <w:footnote w:type="continuationNotice" w:id="1">
    <w:p w14:paraId="6AB07558" w14:textId="77777777" w:rsidR="00C721CE" w:rsidRDefault="00C721CE">
      <w:pPr>
        <w:spacing w:after="0" w:line="240" w:lineRule="auto"/>
      </w:pPr>
    </w:p>
  </w:footnote>
  <w:footnote w:id="2">
    <w:p w14:paraId="1A0B1C95" w14:textId="77777777" w:rsidR="00031F88" w:rsidRDefault="00031F88" w:rsidP="00031F88">
      <w:pPr>
        <w:pStyle w:val="FootnoteText"/>
      </w:pPr>
      <w:r>
        <w:rPr>
          <w:rStyle w:val="FootnoteReference"/>
        </w:rPr>
        <w:footnoteRef/>
      </w:r>
      <w:r>
        <w:t xml:space="preserve"> Clause 5.7(a).</w:t>
      </w:r>
    </w:p>
  </w:footnote>
  <w:footnote w:id="3">
    <w:p w14:paraId="37542F69" w14:textId="77777777" w:rsidR="00031F88" w:rsidRDefault="00031F88" w:rsidP="00031F88">
      <w:pPr>
        <w:pStyle w:val="FootnoteText"/>
      </w:pPr>
      <w:r>
        <w:rPr>
          <w:rStyle w:val="FootnoteReference"/>
        </w:rPr>
        <w:footnoteRef/>
      </w:r>
      <w:r>
        <w:t xml:space="preserve"> Clause 5.7(b).</w:t>
      </w:r>
    </w:p>
  </w:footnote>
  <w:footnote w:id="4">
    <w:p w14:paraId="40C13D07" w14:textId="221D5D6C" w:rsidR="00AC791B" w:rsidRDefault="00AC791B">
      <w:pPr>
        <w:pStyle w:val="FootnoteText"/>
      </w:pPr>
      <w:r>
        <w:rPr>
          <w:rStyle w:val="FootnoteReference"/>
        </w:rPr>
        <w:footnoteRef/>
      </w:r>
      <w:r>
        <w:t xml:space="preserve"> Clause 2G</w:t>
      </w:r>
      <w:r w:rsidR="002476F7">
        <w:t>.2.5(d).</w:t>
      </w:r>
    </w:p>
  </w:footnote>
  <w:footnote w:id="5">
    <w:p w14:paraId="74573452" w14:textId="4034036A" w:rsidR="002C2EA0" w:rsidRDefault="002C2EA0">
      <w:pPr>
        <w:pStyle w:val="FootnoteText"/>
      </w:pPr>
      <w:r>
        <w:rPr>
          <w:rStyle w:val="FootnoteReference"/>
        </w:rPr>
        <w:footnoteRef/>
      </w:r>
      <w:r>
        <w:t xml:space="preserve"> </w:t>
      </w:r>
      <w:r w:rsidR="003E4966">
        <w:t>Attachment C Dictionary</w:t>
      </w:r>
      <w:r w:rsidR="00895615">
        <w:t>, Clause 1.</w:t>
      </w:r>
    </w:p>
  </w:footnote>
  <w:footnote w:id="6">
    <w:p w14:paraId="05F35C53" w14:textId="67EEA033" w:rsidR="00F316F5" w:rsidRDefault="00F316F5">
      <w:pPr>
        <w:pStyle w:val="FootnoteText"/>
      </w:pPr>
      <w:r>
        <w:rPr>
          <w:rStyle w:val="FootnoteReference"/>
        </w:rPr>
        <w:footnoteRef/>
      </w:r>
      <w:r>
        <w:t xml:space="preserve"> </w:t>
      </w:r>
      <w:r w:rsidR="00001FAC">
        <w:t xml:space="preserve">Schedule </w:t>
      </w:r>
      <w:r w:rsidR="005D2FAA">
        <w:t>1B</w:t>
      </w:r>
      <w:r w:rsidR="00E537CD">
        <w:t>,</w:t>
      </w:r>
      <w:r w:rsidR="005D2FAA">
        <w:t xml:space="preserve"> </w:t>
      </w:r>
      <w:r>
        <w:t>Clause 1B.3.1</w:t>
      </w:r>
      <w:r w:rsidR="00656C05">
        <w:t>.</w:t>
      </w:r>
    </w:p>
  </w:footnote>
  <w:footnote w:id="7">
    <w:p w14:paraId="53BC639B" w14:textId="180E8EC1" w:rsidR="00656C05" w:rsidRDefault="00656C05">
      <w:pPr>
        <w:pStyle w:val="FootnoteText"/>
      </w:pPr>
      <w:r>
        <w:rPr>
          <w:rStyle w:val="FootnoteReference"/>
        </w:rPr>
        <w:footnoteRef/>
      </w:r>
      <w:r>
        <w:t xml:space="preserve"> </w:t>
      </w:r>
      <w:r w:rsidR="00AA288D">
        <w:t xml:space="preserve">Schedule 1D, </w:t>
      </w:r>
      <w:r>
        <w:t>Clause 1D.9.2.</w:t>
      </w:r>
    </w:p>
  </w:footnote>
  <w:footnote w:id="8">
    <w:p w14:paraId="3BA165FA" w14:textId="6C2DB9C7" w:rsidR="00582C25" w:rsidRDefault="00582C25">
      <w:pPr>
        <w:pStyle w:val="FootnoteText"/>
      </w:pPr>
      <w:r>
        <w:rPr>
          <w:rStyle w:val="FootnoteReference"/>
        </w:rPr>
        <w:footnoteRef/>
      </w:r>
      <w:r>
        <w:t xml:space="preserve"> </w:t>
      </w:r>
      <w:r w:rsidR="005E31DB">
        <w:t xml:space="preserve">Schedule 1I, </w:t>
      </w:r>
      <w:r w:rsidR="00F44A76">
        <w:t xml:space="preserve">Clause </w:t>
      </w:r>
      <w:r w:rsidR="00E217B7">
        <w:t>1</w:t>
      </w:r>
      <w:r w:rsidR="00C91AB1">
        <w:t xml:space="preserve">I.1.2 provides that </w:t>
      </w:r>
      <w:r w:rsidR="00C366F3">
        <w:t>C</w:t>
      </w:r>
      <w:r w:rsidR="00C91AB1">
        <w:t xml:space="preserve">onsumer </w:t>
      </w:r>
      <w:r w:rsidR="00C366F3">
        <w:t>A</w:t>
      </w:r>
      <w:r w:rsidR="00C91AB1">
        <w:t xml:space="preserve">dvocacy </w:t>
      </w:r>
      <w:r w:rsidR="00C366F3">
        <w:t>G</w:t>
      </w:r>
      <w:r w:rsidR="00C91AB1">
        <w:t xml:space="preserve">roup engagement is </w:t>
      </w:r>
      <w:r w:rsidR="00D34AE0">
        <w:t>encouraged but</w:t>
      </w:r>
      <w:r w:rsidR="00C91AB1">
        <w:t xml:space="preserve"> provides no genuine commitment to resource engagement.</w:t>
      </w:r>
      <w:r w:rsidR="004A2B1C">
        <w:t xml:space="preserve"> </w:t>
      </w:r>
      <w:r w:rsidR="005E31DB">
        <w:t xml:space="preserve">Schedule 2H, </w:t>
      </w:r>
      <w:r w:rsidR="004A2B1C">
        <w:t>Clause 2</w:t>
      </w:r>
      <w:r w:rsidR="00306B5B">
        <w:t>H.4</w:t>
      </w:r>
      <w:r w:rsidR="00E106EE">
        <w:t xml:space="preserve">.1 </w:t>
      </w:r>
      <w:r w:rsidR="00306B5B">
        <w:t>(</w:t>
      </w:r>
      <w:r w:rsidR="00F42EAC">
        <w:t xml:space="preserve">a) provides that NBN Co will implement a product development process through which they will engage with Consumer Advocacy Groups in respect of Product development, a provision that conflicts </w:t>
      </w:r>
      <w:r w:rsidR="00F916A8">
        <w:t xml:space="preserve">Schedule 1I, </w:t>
      </w:r>
      <w:r w:rsidR="00F42EAC">
        <w:t>Clause 1I.1.2.</w:t>
      </w:r>
      <w:r w:rsidR="001F425F">
        <w:t xml:space="preserve"> </w:t>
      </w:r>
      <w:r w:rsidR="00F916A8">
        <w:t xml:space="preserve">Schedule 1I, </w:t>
      </w:r>
      <w:r w:rsidR="00CF7856">
        <w:t xml:space="preserve">Clause 2H.4.1 (a) </w:t>
      </w:r>
      <w:r w:rsidR="00DE1E05">
        <w:t>reads that NBN</w:t>
      </w:r>
      <w:r w:rsidR="00FC44F4">
        <w:t xml:space="preserve"> Co will consult</w:t>
      </w:r>
      <w:r w:rsidR="001F425F">
        <w:t xml:space="preserve"> </w:t>
      </w:r>
      <w:r w:rsidR="00571537">
        <w:t xml:space="preserve">with </w:t>
      </w:r>
      <w:r w:rsidR="00C366F3">
        <w:t>C</w:t>
      </w:r>
      <w:r w:rsidR="00571537">
        <w:t xml:space="preserve">onsumer </w:t>
      </w:r>
      <w:r w:rsidR="00C366F3">
        <w:t>A</w:t>
      </w:r>
      <w:r w:rsidR="00571537">
        <w:t>d</w:t>
      </w:r>
      <w:r w:rsidR="00585A68">
        <w:t>vocacy</w:t>
      </w:r>
      <w:r w:rsidR="00497891">
        <w:t xml:space="preserve"> </w:t>
      </w:r>
      <w:r w:rsidR="00C366F3">
        <w:t>G</w:t>
      </w:r>
      <w:r w:rsidR="00497891">
        <w:t>roup</w:t>
      </w:r>
      <w:r w:rsidR="00401AAB">
        <w:t>s</w:t>
      </w:r>
      <w:r w:rsidR="001F425F">
        <w:t xml:space="preserve"> </w:t>
      </w:r>
      <w:r w:rsidR="001D7859">
        <w:t xml:space="preserve">while </w:t>
      </w:r>
      <w:r w:rsidR="00F916A8">
        <w:t xml:space="preserve">Schedule 1I, </w:t>
      </w:r>
      <w:r w:rsidR="00063844">
        <w:t>Clause 1I.1.2</w:t>
      </w:r>
      <w:r w:rsidR="001D7859">
        <w:t xml:space="preserve"> </w:t>
      </w:r>
      <w:r w:rsidR="00B33DC3">
        <w:t xml:space="preserve">reads that </w:t>
      </w:r>
      <w:r w:rsidR="00063844">
        <w:t>engagement is voluntary</w:t>
      </w:r>
      <w:r w:rsidR="00BD0981">
        <w:t xml:space="preserve"> and that they may consult.</w:t>
      </w:r>
      <w:r w:rsidR="001F425F">
        <w:t xml:space="preserve"> </w:t>
      </w:r>
      <w:r w:rsidR="00F916A8">
        <w:t>Schedule 2H</w:t>
      </w:r>
      <w:r w:rsidR="00A74ABB">
        <w:t xml:space="preserve">, </w:t>
      </w:r>
      <w:r w:rsidR="00306106">
        <w:t xml:space="preserve">Clause 2.H.4.4 similarly establishes a positive obligation </w:t>
      </w:r>
      <w:r w:rsidR="005D4260">
        <w:t>t</w:t>
      </w:r>
      <w:r w:rsidR="00306106">
        <w:t>o consult Consumer Advocacy Groups</w:t>
      </w:r>
      <w:r w:rsidR="00C72D91">
        <w:t xml:space="preserve"> on pricing matters, with Cl</w:t>
      </w:r>
      <w:r w:rsidR="00A74ABB">
        <w:t>ause</w:t>
      </w:r>
      <w:r w:rsidR="00C72D91">
        <w:t xml:space="preserve">. 2.H.4.5 requiring </w:t>
      </w:r>
      <w:r w:rsidR="00E52679">
        <w:t>consultation on technical attributes</w:t>
      </w:r>
      <w:r w:rsidR="00FF3271">
        <w:t>, Cl</w:t>
      </w:r>
      <w:r w:rsidR="009F13E6">
        <w:t>ause</w:t>
      </w:r>
      <w:r w:rsidR="00FF3271">
        <w:t>. 2</w:t>
      </w:r>
      <w:r w:rsidR="001363A1">
        <w:t>H</w:t>
      </w:r>
      <w:r w:rsidR="00FF3271">
        <w:t>.4.6 requiring consultation on service levels.</w:t>
      </w:r>
    </w:p>
  </w:footnote>
  <w:footnote w:id="9">
    <w:p w14:paraId="6C602D2F" w14:textId="24B7C8EC" w:rsidR="00583B7F" w:rsidRDefault="00583B7F">
      <w:pPr>
        <w:pStyle w:val="FootnoteText"/>
      </w:pPr>
      <w:r>
        <w:rPr>
          <w:rStyle w:val="FootnoteReference"/>
        </w:rPr>
        <w:footnoteRef/>
      </w:r>
      <w:r>
        <w:t xml:space="preserve"> </w:t>
      </w:r>
      <w:r w:rsidR="00BD2070">
        <w:t xml:space="preserve">Schedule 1I, </w:t>
      </w:r>
      <w:r>
        <w:t>Clause 1I.5.4</w:t>
      </w:r>
      <w:r w:rsidR="00D33924">
        <w:t>; Schedule 2H</w:t>
      </w:r>
      <w:r w:rsidR="00473233">
        <w:t>, Clause 2H.2.</w:t>
      </w:r>
      <w:r w:rsidR="005A3CB8">
        <w:t xml:space="preserve"> </w:t>
      </w:r>
    </w:p>
  </w:footnote>
  <w:footnote w:id="10">
    <w:p w14:paraId="5F6566D6" w14:textId="21463EFA" w:rsidR="00F357A0" w:rsidRDefault="00F357A0">
      <w:pPr>
        <w:pStyle w:val="FootnoteText"/>
      </w:pPr>
      <w:r>
        <w:rPr>
          <w:rStyle w:val="FootnoteReference"/>
        </w:rPr>
        <w:footnoteRef/>
      </w:r>
      <w:r>
        <w:t xml:space="preserve"> </w:t>
      </w:r>
      <w:r w:rsidR="00F0157E">
        <w:t xml:space="preserve">Schedule 2B, Clause </w:t>
      </w:r>
      <w:r>
        <w:t>2B.7</w:t>
      </w:r>
      <w:r w:rsidR="00585D18">
        <w:t>.</w:t>
      </w:r>
    </w:p>
  </w:footnote>
  <w:footnote w:id="11">
    <w:p w14:paraId="3C6CAA14" w14:textId="4577656C" w:rsidR="009C72B4" w:rsidRDefault="009C72B4">
      <w:pPr>
        <w:pStyle w:val="FootnoteText"/>
      </w:pPr>
      <w:r>
        <w:rPr>
          <w:rStyle w:val="FootnoteReference"/>
        </w:rPr>
        <w:footnoteRef/>
      </w:r>
      <w:r>
        <w:t xml:space="preserve"> </w:t>
      </w:r>
      <w:r w:rsidR="00585D18">
        <w:t xml:space="preserve">Schedule, 1B, </w:t>
      </w:r>
      <w:r w:rsidR="0011718F">
        <w:t>Clause 1B.3.1.</w:t>
      </w:r>
    </w:p>
  </w:footnote>
  <w:footnote w:id="12">
    <w:p w14:paraId="49805351" w14:textId="4E558615" w:rsidR="00731EED" w:rsidRDefault="00731EED">
      <w:pPr>
        <w:pStyle w:val="FootnoteText"/>
      </w:pPr>
      <w:r>
        <w:rPr>
          <w:rStyle w:val="FootnoteReference"/>
        </w:rPr>
        <w:footnoteRef/>
      </w:r>
      <w:r>
        <w:t xml:space="preserve"> </w:t>
      </w:r>
      <w:r w:rsidR="00585D18">
        <w:t xml:space="preserve">Schedule </w:t>
      </w:r>
      <w:r w:rsidR="00E02A74">
        <w:t xml:space="preserve">1D, </w:t>
      </w:r>
      <w:r>
        <w:t>Clause 1D.11</w:t>
      </w:r>
      <w:r w:rsidR="00130B20">
        <w:t>.1</w:t>
      </w:r>
      <w:r w:rsidR="00F62336">
        <w:t>(a)</w:t>
      </w:r>
      <w:r w:rsidR="00130B20">
        <w:t>.</w:t>
      </w:r>
    </w:p>
  </w:footnote>
  <w:footnote w:id="13">
    <w:p w14:paraId="0D6E73C6" w14:textId="028696BD" w:rsidR="00130B20" w:rsidRDefault="00130B20" w:rsidP="00130B20">
      <w:pPr>
        <w:pStyle w:val="FootnoteText"/>
      </w:pPr>
      <w:r>
        <w:rPr>
          <w:rStyle w:val="FootnoteReference"/>
        </w:rPr>
        <w:footnoteRef/>
      </w:r>
      <w:r>
        <w:t xml:space="preserve"> </w:t>
      </w:r>
      <w:r w:rsidR="00980A1B">
        <w:t xml:space="preserve">Schedule 1D, </w:t>
      </w:r>
      <w:r>
        <w:t>Clause 1D.11.1.</w:t>
      </w:r>
    </w:p>
  </w:footnote>
  <w:footnote w:id="14">
    <w:p w14:paraId="0DA0C8AB" w14:textId="2CA4F55E" w:rsidR="001C359A" w:rsidRPr="0063091B" w:rsidRDefault="001C359A" w:rsidP="001C359A">
      <w:pPr>
        <w:pStyle w:val="FootnoteText"/>
        <w:rPr>
          <w:lang w:val="en-US"/>
        </w:rPr>
      </w:pPr>
      <w:r>
        <w:rPr>
          <w:rStyle w:val="FootnoteReference"/>
        </w:rPr>
        <w:footnoteRef/>
      </w:r>
      <w:r>
        <w:t xml:space="preserve"> </w:t>
      </w:r>
      <w:r w:rsidR="00BE5842">
        <w:t>Roy Morgan, 2023.</w:t>
      </w:r>
      <w:r w:rsidR="00945B5C">
        <w:t xml:space="preserve"> </w:t>
      </w:r>
      <w:r w:rsidR="00C4033C">
        <w:t>‘</w:t>
      </w:r>
      <w:r w:rsidR="00C4033C" w:rsidRPr="00C4033C">
        <w:t>Telecommunications industry overtakes Social Media as the most distrusted industry</w:t>
      </w:r>
      <w:r w:rsidR="00C4033C">
        <w:t>’.</w:t>
      </w:r>
      <w:r w:rsidR="00BE5842">
        <w:t xml:space="preserve"> Available at: </w:t>
      </w:r>
      <w:hyperlink r:id="rId1" w:history="1">
        <w:r w:rsidR="00945B5C" w:rsidRPr="00945B5C">
          <w:rPr>
            <w:rStyle w:val="Hyperlink"/>
          </w:rPr>
          <w:t>https://www.roymorgan.com/findings/9193-risk-monitor-telco-most-distrusted-industry-2023</w:t>
        </w:r>
      </w:hyperlink>
      <w:r>
        <w:t xml:space="preserve"> </w:t>
      </w:r>
    </w:p>
  </w:footnote>
  <w:footnote w:id="15">
    <w:p w14:paraId="722FEB98" w14:textId="02D19AA7" w:rsidR="00BE3753" w:rsidRDefault="00BE3753" w:rsidP="00BE3753">
      <w:pPr>
        <w:pStyle w:val="FootnoteText"/>
      </w:pPr>
      <w:r>
        <w:rPr>
          <w:rStyle w:val="FootnoteReference"/>
        </w:rPr>
        <w:footnoteRef/>
      </w:r>
      <w:r>
        <w:t xml:space="preserve"> </w:t>
      </w:r>
      <w:r w:rsidR="003344F6">
        <w:t xml:space="preserve">Schedule 1I, </w:t>
      </w:r>
      <w:r>
        <w:t>Annexure 1, PDF Processes, Clause 6.3.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266D2" w14:textId="77777777" w:rsidR="00200982" w:rsidRPr="00AD3EFC" w:rsidRDefault="00AD3EFC" w:rsidP="00CB1B60">
    <w:pPr>
      <w:pStyle w:val="Letterhead2"/>
    </w:pPr>
    <w:r>
      <w:rPr>
        <w:noProof/>
      </w:rPr>
      <w:drawing>
        <wp:anchor distT="0" distB="0" distL="114300" distR="114300" simplePos="0" relativeHeight="251658240" behindDoc="0" locked="0" layoutInCell="1" allowOverlap="1" wp14:anchorId="39D26513" wp14:editId="577C4D43">
          <wp:simplePos x="0" y="0"/>
          <wp:positionH relativeFrom="column">
            <wp:posOffset>-4445</wp:posOffset>
          </wp:positionH>
          <wp:positionV relativeFrom="page">
            <wp:posOffset>224790</wp:posOffset>
          </wp:positionV>
          <wp:extent cx="777240" cy="335915"/>
          <wp:effectExtent l="0" t="0" r="3810" b="6985"/>
          <wp:wrapSquare wrapText="bothSides"/>
          <wp:docPr id="12" name="Picture 12" descr="ACCAN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7" descr="ACCAN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 cy="335915"/>
                  </a:xfrm>
                  <a:prstGeom prst="rect">
                    <a:avLst/>
                  </a:prstGeom>
                  <a:noFill/>
                </pic:spPr>
              </pic:pic>
            </a:graphicData>
          </a:graphic>
          <wp14:sizeRelH relativeFrom="margin">
            <wp14:pctWidth>0</wp14:pctWidth>
          </wp14:sizeRelH>
          <wp14:sizeRelV relativeFrom="margin">
            <wp14:pctHeight>0</wp14:pctHeight>
          </wp14:sizeRelV>
        </wp:anchor>
      </w:drawing>
    </w:r>
    <w:r>
      <w:t xml:space="preserve">   Your </w:t>
    </w:r>
    <w:r w:rsidRPr="00CF0438">
      <w:t>consumer</w:t>
    </w:r>
    <w:r>
      <w:t xml:space="preserve"> voice on phones and internet</w:t>
    </w:r>
    <w:r>
      <w:rPr>
        <w:noProof/>
      </w:rPr>
      <mc:AlternateContent>
        <mc:Choice Requires="wps">
          <w:drawing>
            <wp:anchor distT="0" distB="0" distL="114300" distR="114300" simplePos="0" relativeHeight="251658241" behindDoc="1" locked="0" layoutInCell="1" allowOverlap="1" wp14:anchorId="56ACE87E" wp14:editId="42600BDB">
              <wp:simplePos x="0" y="0"/>
              <wp:positionH relativeFrom="column">
                <wp:posOffset>-574675</wp:posOffset>
              </wp:positionH>
              <wp:positionV relativeFrom="page">
                <wp:posOffset>694055</wp:posOffset>
              </wp:positionV>
              <wp:extent cx="6894195" cy="46990"/>
              <wp:effectExtent l="0" t="0" r="1905" b="0"/>
              <wp:wrapNone/>
              <wp:docPr id="1" name="Rectangle 1"/>
              <wp:cNvGraphicFramePr/>
              <a:graphic xmlns:a="http://schemas.openxmlformats.org/drawingml/2006/main">
                <a:graphicData uri="http://schemas.microsoft.com/office/word/2010/wordprocessingShape">
                  <wps:wsp>
                    <wps:cNvSpPr/>
                    <wps:spPr>
                      <a:xfrm>
                        <a:off x="0" y="0"/>
                        <a:ext cx="6893560" cy="4635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v:rect id="Rectangle 1" style="position:absolute;margin-left:-45.25pt;margin-top:54.65pt;width:542.85pt;height:3.7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spid="_x0000_s1026" fillcolor="#43c7f4" stroked="f" strokeweight="2pt" w14:anchorId="721519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">
              <w10:wrap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EE5AB3"/>
    <w:multiLevelType w:val="hybridMultilevel"/>
    <w:tmpl w:val="7A908A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248525B"/>
    <w:multiLevelType w:val="hybridMultilevel"/>
    <w:tmpl w:val="5ACA5268"/>
    <w:lvl w:ilvl="0" w:tplc="0409001B">
      <w:start w:val="1"/>
      <w:numFmt w:val="lowerRoman"/>
      <w:lvlText w:val="%1."/>
      <w:lvlJc w:val="right"/>
      <w:pPr>
        <w:ind w:left="2412" w:hanging="360"/>
      </w:pPr>
    </w:lvl>
    <w:lvl w:ilvl="1" w:tplc="04090019" w:tentative="1">
      <w:start w:val="1"/>
      <w:numFmt w:val="lowerLetter"/>
      <w:lvlText w:val="%2."/>
      <w:lvlJc w:val="left"/>
      <w:pPr>
        <w:ind w:left="3132" w:hanging="360"/>
      </w:pPr>
    </w:lvl>
    <w:lvl w:ilvl="2" w:tplc="0409001B" w:tentative="1">
      <w:start w:val="1"/>
      <w:numFmt w:val="lowerRoman"/>
      <w:lvlText w:val="%3."/>
      <w:lvlJc w:val="right"/>
      <w:pPr>
        <w:ind w:left="3852" w:hanging="180"/>
      </w:pPr>
    </w:lvl>
    <w:lvl w:ilvl="3" w:tplc="0409000F" w:tentative="1">
      <w:start w:val="1"/>
      <w:numFmt w:val="decimal"/>
      <w:lvlText w:val="%4."/>
      <w:lvlJc w:val="left"/>
      <w:pPr>
        <w:ind w:left="4572" w:hanging="360"/>
      </w:pPr>
    </w:lvl>
    <w:lvl w:ilvl="4" w:tplc="04090019" w:tentative="1">
      <w:start w:val="1"/>
      <w:numFmt w:val="lowerLetter"/>
      <w:lvlText w:val="%5."/>
      <w:lvlJc w:val="left"/>
      <w:pPr>
        <w:ind w:left="5292" w:hanging="360"/>
      </w:pPr>
    </w:lvl>
    <w:lvl w:ilvl="5" w:tplc="0409001B" w:tentative="1">
      <w:start w:val="1"/>
      <w:numFmt w:val="lowerRoman"/>
      <w:lvlText w:val="%6."/>
      <w:lvlJc w:val="right"/>
      <w:pPr>
        <w:ind w:left="6012" w:hanging="180"/>
      </w:pPr>
    </w:lvl>
    <w:lvl w:ilvl="6" w:tplc="0409000F" w:tentative="1">
      <w:start w:val="1"/>
      <w:numFmt w:val="decimal"/>
      <w:lvlText w:val="%7."/>
      <w:lvlJc w:val="left"/>
      <w:pPr>
        <w:ind w:left="6732" w:hanging="360"/>
      </w:pPr>
    </w:lvl>
    <w:lvl w:ilvl="7" w:tplc="04090019" w:tentative="1">
      <w:start w:val="1"/>
      <w:numFmt w:val="lowerLetter"/>
      <w:lvlText w:val="%8."/>
      <w:lvlJc w:val="left"/>
      <w:pPr>
        <w:ind w:left="7452" w:hanging="360"/>
      </w:pPr>
    </w:lvl>
    <w:lvl w:ilvl="8" w:tplc="0409001B" w:tentative="1">
      <w:start w:val="1"/>
      <w:numFmt w:val="lowerRoman"/>
      <w:lvlText w:val="%9."/>
      <w:lvlJc w:val="right"/>
      <w:pPr>
        <w:ind w:left="8172" w:hanging="180"/>
      </w:pPr>
    </w:lvl>
  </w:abstractNum>
  <w:abstractNum w:abstractNumId="2" w15:restartNumberingAfterBreak="0">
    <w:nsid w:val="2C4F0862"/>
    <w:multiLevelType w:val="multilevel"/>
    <w:tmpl w:val="6AFEEB4C"/>
    <w:styleLink w:val="Bullets"/>
    <w:lvl w:ilvl="0">
      <w:start w:val="1"/>
      <w:numFmt w:val="bullet"/>
      <w:pStyle w:val="Bulletlist1"/>
      <w:lvlText w:val=""/>
      <w:lvlJc w:val="left"/>
      <w:pPr>
        <w:ind w:left="851" w:hanging="284"/>
      </w:pPr>
      <w:rPr>
        <w:rFonts w:ascii="Symbol" w:hAnsi="Symbol" w:hint="default"/>
      </w:rPr>
    </w:lvl>
    <w:lvl w:ilvl="1">
      <w:start w:val="1"/>
      <w:numFmt w:val="bullet"/>
      <w:pStyle w:val="Bulletlist2"/>
      <w:lvlText w:val=""/>
      <w:lvlJc w:val="left"/>
      <w:pPr>
        <w:ind w:left="1277" w:hanging="284"/>
      </w:pPr>
      <w:rPr>
        <w:rFonts w:ascii="Symbol" w:hAnsi="Symbol" w:hint="default"/>
      </w:rPr>
    </w:lvl>
    <w:lvl w:ilvl="2">
      <w:start w:val="1"/>
      <w:numFmt w:val="bullet"/>
      <w:pStyle w:val="Bulletlist3"/>
      <w:lvlText w:val=""/>
      <w:lvlJc w:val="left"/>
      <w:pPr>
        <w:ind w:left="1985" w:hanging="284"/>
      </w:pPr>
      <w:rPr>
        <w:rFonts w:ascii="Symbol" w:hAnsi="Symbol" w:hint="default"/>
        <w:color w:val="auto"/>
      </w:rPr>
    </w:lvl>
    <w:lvl w:ilvl="3">
      <w:start w:val="1"/>
      <w:numFmt w:val="bullet"/>
      <w:lvlText w:val=""/>
      <w:lvlJc w:val="left"/>
      <w:pPr>
        <w:ind w:left="2552" w:hanging="284"/>
      </w:pPr>
      <w:rPr>
        <w:rFonts w:ascii="Symbol" w:hAnsi="Symbol" w:hint="default"/>
      </w:rPr>
    </w:lvl>
    <w:lvl w:ilvl="4">
      <w:start w:val="1"/>
      <w:numFmt w:val="bullet"/>
      <w:lvlText w:val=""/>
      <w:lvlJc w:val="left"/>
      <w:pPr>
        <w:ind w:left="3119" w:hanging="284"/>
      </w:pPr>
      <w:rPr>
        <w:rFonts w:ascii="Symbol" w:hAnsi="Symbol" w:hint="default"/>
      </w:rPr>
    </w:lvl>
    <w:lvl w:ilvl="5">
      <w:start w:val="1"/>
      <w:numFmt w:val="bullet"/>
      <w:lvlText w:val=""/>
      <w:lvlJc w:val="left"/>
      <w:pPr>
        <w:ind w:left="3686" w:hanging="284"/>
      </w:pPr>
      <w:rPr>
        <w:rFonts w:ascii="Symbol" w:hAnsi="Symbol" w:hint="default"/>
      </w:rPr>
    </w:lvl>
    <w:lvl w:ilvl="6">
      <w:start w:val="1"/>
      <w:numFmt w:val="bullet"/>
      <w:lvlText w:val=""/>
      <w:lvlJc w:val="left"/>
      <w:pPr>
        <w:ind w:left="4253" w:hanging="284"/>
      </w:pPr>
      <w:rPr>
        <w:rFonts w:ascii="Symbol" w:hAnsi="Symbol" w:hint="default"/>
      </w:rPr>
    </w:lvl>
    <w:lvl w:ilvl="7">
      <w:start w:val="1"/>
      <w:numFmt w:val="bullet"/>
      <w:lvlText w:val=""/>
      <w:lvlJc w:val="left"/>
      <w:pPr>
        <w:ind w:left="4820" w:hanging="284"/>
      </w:pPr>
      <w:rPr>
        <w:rFonts w:ascii="Symbol" w:hAnsi="Symbol" w:hint="default"/>
      </w:rPr>
    </w:lvl>
    <w:lvl w:ilvl="8">
      <w:start w:val="1"/>
      <w:numFmt w:val="bullet"/>
      <w:lvlText w:val=""/>
      <w:lvlJc w:val="left"/>
      <w:pPr>
        <w:ind w:left="5387" w:hanging="284"/>
      </w:pPr>
      <w:rPr>
        <w:rFonts w:ascii="Symbol" w:hAnsi="Symbol" w:hint="default"/>
      </w:rPr>
    </w:lvl>
  </w:abstractNum>
  <w:abstractNum w:abstractNumId="3" w15:restartNumberingAfterBreak="0">
    <w:nsid w:val="2C8E0472"/>
    <w:multiLevelType w:val="hybridMultilevel"/>
    <w:tmpl w:val="BA66934A"/>
    <w:lvl w:ilvl="0" w:tplc="F3CC8B12">
      <w:start w:val="1"/>
      <w:numFmt w:val="lowerLetter"/>
      <w:lvlText w:val="(%1)"/>
      <w:lvlJc w:val="left"/>
      <w:pPr>
        <w:ind w:left="-1296" w:hanging="360"/>
      </w:pPr>
      <w:rPr>
        <w:rFonts w:hint="default"/>
      </w:rPr>
    </w:lvl>
    <w:lvl w:ilvl="1" w:tplc="0C090019" w:tentative="1">
      <w:start w:val="1"/>
      <w:numFmt w:val="lowerLetter"/>
      <w:lvlText w:val="%2."/>
      <w:lvlJc w:val="left"/>
      <w:pPr>
        <w:ind w:left="-576" w:hanging="360"/>
      </w:pPr>
    </w:lvl>
    <w:lvl w:ilvl="2" w:tplc="0C09001B" w:tentative="1">
      <w:start w:val="1"/>
      <w:numFmt w:val="lowerRoman"/>
      <w:lvlText w:val="%3."/>
      <w:lvlJc w:val="right"/>
      <w:pPr>
        <w:ind w:left="144" w:hanging="180"/>
      </w:pPr>
    </w:lvl>
    <w:lvl w:ilvl="3" w:tplc="0C09000F" w:tentative="1">
      <w:start w:val="1"/>
      <w:numFmt w:val="decimal"/>
      <w:lvlText w:val="%4."/>
      <w:lvlJc w:val="left"/>
      <w:pPr>
        <w:ind w:left="864" w:hanging="360"/>
      </w:pPr>
    </w:lvl>
    <w:lvl w:ilvl="4" w:tplc="0C090019" w:tentative="1">
      <w:start w:val="1"/>
      <w:numFmt w:val="lowerLetter"/>
      <w:lvlText w:val="%5."/>
      <w:lvlJc w:val="left"/>
      <w:pPr>
        <w:ind w:left="1584" w:hanging="360"/>
      </w:pPr>
    </w:lvl>
    <w:lvl w:ilvl="5" w:tplc="0C09001B" w:tentative="1">
      <w:start w:val="1"/>
      <w:numFmt w:val="lowerRoman"/>
      <w:lvlText w:val="%6."/>
      <w:lvlJc w:val="right"/>
      <w:pPr>
        <w:ind w:left="2304" w:hanging="180"/>
      </w:pPr>
    </w:lvl>
    <w:lvl w:ilvl="6" w:tplc="0C09000F" w:tentative="1">
      <w:start w:val="1"/>
      <w:numFmt w:val="decimal"/>
      <w:lvlText w:val="%7."/>
      <w:lvlJc w:val="left"/>
      <w:pPr>
        <w:ind w:left="3024" w:hanging="360"/>
      </w:pPr>
    </w:lvl>
    <w:lvl w:ilvl="7" w:tplc="0C090019" w:tentative="1">
      <w:start w:val="1"/>
      <w:numFmt w:val="lowerLetter"/>
      <w:lvlText w:val="%8."/>
      <w:lvlJc w:val="left"/>
      <w:pPr>
        <w:ind w:left="3744" w:hanging="360"/>
      </w:pPr>
    </w:lvl>
    <w:lvl w:ilvl="8" w:tplc="0C09001B" w:tentative="1">
      <w:start w:val="1"/>
      <w:numFmt w:val="lowerRoman"/>
      <w:lvlText w:val="%9."/>
      <w:lvlJc w:val="right"/>
      <w:pPr>
        <w:ind w:left="4464" w:hanging="180"/>
      </w:pPr>
    </w:lvl>
  </w:abstractNum>
  <w:abstractNum w:abstractNumId="4" w15:restartNumberingAfterBreak="0">
    <w:nsid w:val="337C5FB2"/>
    <w:multiLevelType w:val="multilevel"/>
    <w:tmpl w:val="6AFEEB4C"/>
    <w:numStyleLink w:val="Bullets"/>
  </w:abstractNum>
  <w:abstractNum w:abstractNumId="5" w15:restartNumberingAfterBreak="0">
    <w:nsid w:val="35F41370"/>
    <w:multiLevelType w:val="multilevel"/>
    <w:tmpl w:val="9384D0D8"/>
    <w:styleLink w:val="Recommendations"/>
    <w:lvl w:ilvl="0">
      <w:start w:val="1"/>
      <w:numFmt w:val="decimal"/>
      <w:pStyle w:val="Recommendation"/>
      <w:lvlText w:val="Recommendation %1:"/>
      <w:lvlJc w:val="left"/>
      <w:pPr>
        <w:ind w:left="851" w:firstLine="0"/>
      </w:pPr>
      <w:rPr>
        <w:rFonts w:hint="default"/>
      </w:rPr>
    </w:lvl>
    <w:lvl w:ilvl="1">
      <w:start w:val="1"/>
      <w:numFmt w:val="none"/>
      <w:lvlText w:val=""/>
      <w:lvlJc w:val="left"/>
      <w:pPr>
        <w:ind w:left="851" w:hanging="851"/>
      </w:pPr>
      <w:rPr>
        <w:rFonts w:hint="default"/>
      </w:rPr>
    </w:lvl>
    <w:lvl w:ilvl="2">
      <w:start w:val="1"/>
      <w:numFmt w:val="none"/>
      <w:lvlText w:val=""/>
      <w:lvlJc w:val="left"/>
      <w:pPr>
        <w:ind w:left="851" w:hanging="851"/>
      </w:pPr>
      <w:rPr>
        <w:rFonts w:hint="default"/>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6" w15:restartNumberingAfterBreak="0">
    <w:nsid w:val="45D83F17"/>
    <w:multiLevelType w:val="hybridMultilevel"/>
    <w:tmpl w:val="AB569276"/>
    <w:lvl w:ilvl="0" w:tplc="6D968AFE">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63F5099E"/>
    <w:multiLevelType w:val="hybridMultilevel"/>
    <w:tmpl w:val="5C664C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AD22A8E"/>
    <w:multiLevelType w:val="hybridMultilevel"/>
    <w:tmpl w:val="A8EA8C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133592771">
    <w:abstractNumId w:val="2"/>
  </w:num>
  <w:num w:numId="2" w16cid:durableId="1705908320">
    <w:abstractNumId w:val="4"/>
  </w:num>
  <w:num w:numId="3" w16cid:durableId="195047647">
    <w:abstractNumId w:val="5"/>
  </w:num>
  <w:num w:numId="4" w16cid:durableId="1322656291">
    <w:abstractNumId w:val="7"/>
  </w:num>
  <w:num w:numId="5" w16cid:durableId="1129857634">
    <w:abstractNumId w:val="8"/>
  </w:num>
  <w:num w:numId="6" w16cid:durableId="1556116451">
    <w:abstractNumId w:val="0"/>
  </w:num>
  <w:num w:numId="7" w16cid:durableId="15617736">
    <w:abstractNumId w:val="1"/>
  </w:num>
  <w:num w:numId="8" w16cid:durableId="1356999813">
    <w:abstractNumId w:val="6"/>
  </w:num>
  <w:num w:numId="9" w16cid:durableId="1934239962">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2E81"/>
    <w:rsid w:val="00000686"/>
    <w:rsid w:val="00000813"/>
    <w:rsid w:val="00001DEF"/>
    <w:rsid w:val="00001FAC"/>
    <w:rsid w:val="0000211A"/>
    <w:rsid w:val="00002592"/>
    <w:rsid w:val="00002A84"/>
    <w:rsid w:val="000039D9"/>
    <w:rsid w:val="0000425D"/>
    <w:rsid w:val="000043E5"/>
    <w:rsid w:val="0000653E"/>
    <w:rsid w:val="00006849"/>
    <w:rsid w:val="00006AAB"/>
    <w:rsid w:val="00006C00"/>
    <w:rsid w:val="0000793F"/>
    <w:rsid w:val="00010117"/>
    <w:rsid w:val="00010CAF"/>
    <w:rsid w:val="000113F6"/>
    <w:rsid w:val="0001160C"/>
    <w:rsid w:val="0001193F"/>
    <w:rsid w:val="00012073"/>
    <w:rsid w:val="000121ED"/>
    <w:rsid w:val="000130E1"/>
    <w:rsid w:val="0001338C"/>
    <w:rsid w:val="00014E08"/>
    <w:rsid w:val="000150E9"/>
    <w:rsid w:val="00015D77"/>
    <w:rsid w:val="00016FA2"/>
    <w:rsid w:val="0001751C"/>
    <w:rsid w:val="00017F6C"/>
    <w:rsid w:val="00017FF5"/>
    <w:rsid w:val="00020140"/>
    <w:rsid w:val="0002144A"/>
    <w:rsid w:val="0002178D"/>
    <w:rsid w:val="000217FD"/>
    <w:rsid w:val="000218CC"/>
    <w:rsid w:val="00021EEE"/>
    <w:rsid w:val="00022050"/>
    <w:rsid w:val="000221FF"/>
    <w:rsid w:val="00022392"/>
    <w:rsid w:val="00022997"/>
    <w:rsid w:val="00022D35"/>
    <w:rsid w:val="00023DC1"/>
    <w:rsid w:val="000244D8"/>
    <w:rsid w:val="0002478C"/>
    <w:rsid w:val="00024E5A"/>
    <w:rsid w:val="00025032"/>
    <w:rsid w:val="0002541D"/>
    <w:rsid w:val="00025FC3"/>
    <w:rsid w:val="00026140"/>
    <w:rsid w:val="00026672"/>
    <w:rsid w:val="00026BD6"/>
    <w:rsid w:val="00030D26"/>
    <w:rsid w:val="00031DE1"/>
    <w:rsid w:val="00031F88"/>
    <w:rsid w:val="00032441"/>
    <w:rsid w:val="000341DA"/>
    <w:rsid w:val="000345B4"/>
    <w:rsid w:val="000362DE"/>
    <w:rsid w:val="000374B5"/>
    <w:rsid w:val="00037C09"/>
    <w:rsid w:val="00040002"/>
    <w:rsid w:val="00040E6E"/>
    <w:rsid w:val="00042123"/>
    <w:rsid w:val="00043833"/>
    <w:rsid w:val="00044434"/>
    <w:rsid w:val="0004489B"/>
    <w:rsid w:val="0004526C"/>
    <w:rsid w:val="000466D6"/>
    <w:rsid w:val="00051BF9"/>
    <w:rsid w:val="00052737"/>
    <w:rsid w:val="00052787"/>
    <w:rsid w:val="00052D56"/>
    <w:rsid w:val="000530BA"/>
    <w:rsid w:val="00053BD5"/>
    <w:rsid w:val="00054A4B"/>
    <w:rsid w:val="0005578F"/>
    <w:rsid w:val="00056A12"/>
    <w:rsid w:val="00056B6C"/>
    <w:rsid w:val="00056D71"/>
    <w:rsid w:val="00056DAD"/>
    <w:rsid w:val="000576D9"/>
    <w:rsid w:val="00057A92"/>
    <w:rsid w:val="00061244"/>
    <w:rsid w:val="00061D64"/>
    <w:rsid w:val="00061E6F"/>
    <w:rsid w:val="00062A46"/>
    <w:rsid w:val="00062E9C"/>
    <w:rsid w:val="00063844"/>
    <w:rsid w:val="00063DD0"/>
    <w:rsid w:val="000642FD"/>
    <w:rsid w:val="00064B02"/>
    <w:rsid w:val="00066C39"/>
    <w:rsid w:val="00066CD4"/>
    <w:rsid w:val="0007000B"/>
    <w:rsid w:val="00072C5D"/>
    <w:rsid w:val="00074521"/>
    <w:rsid w:val="00074E04"/>
    <w:rsid w:val="00075B17"/>
    <w:rsid w:val="00075C32"/>
    <w:rsid w:val="0007676E"/>
    <w:rsid w:val="00077240"/>
    <w:rsid w:val="00080605"/>
    <w:rsid w:val="0008068C"/>
    <w:rsid w:val="000825B0"/>
    <w:rsid w:val="00083F4B"/>
    <w:rsid w:val="000840C2"/>
    <w:rsid w:val="00086136"/>
    <w:rsid w:val="00086378"/>
    <w:rsid w:val="00086B9C"/>
    <w:rsid w:val="000876AF"/>
    <w:rsid w:val="00090606"/>
    <w:rsid w:val="00091379"/>
    <w:rsid w:val="0009245D"/>
    <w:rsid w:val="00093716"/>
    <w:rsid w:val="000954FD"/>
    <w:rsid w:val="00095B45"/>
    <w:rsid w:val="00096E7E"/>
    <w:rsid w:val="0009715B"/>
    <w:rsid w:val="00097EF3"/>
    <w:rsid w:val="000A0DE3"/>
    <w:rsid w:val="000A0E10"/>
    <w:rsid w:val="000A1C2D"/>
    <w:rsid w:val="000A295D"/>
    <w:rsid w:val="000A3806"/>
    <w:rsid w:val="000A383F"/>
    <w:rsid w:val="000A3CC1"/>
    <w:rsid w:val="000A3F8C"/>
    <w:rsid w:val="000A3FBC"/>
    <w:rsid w:val="000A41A1"/>
    <w:rsid w:val="000A4520"/>
    <w:rsid w:val="000A5242"/>
    <w:rsid w:val="000A7094"/>
    <w:rsid w:val="000A7FCF"/>
    <w:rsid w:val="000B11EF"/>
    <w:rsid w:val="000B1725"/>
    <w:rsid w:val="000B2023"/>
    <w:rsid w:val="000B259A"/>
    <w:rsid w:val="000B2847"/>
    <w:rsid w:val="000B2C45"/>
    <w:rsid w:val="000B3240"/>
    <w:rsid w:val="000B5598"/>
    <w:rsid w:val="000B597D"/>
    <w:rsid w:val="000B59DD"/>
    <w:rsid w:val="000B6659"/>
    <w:rsid w:val="000B7682"/>
    <w:rsid w:val="000C231C"/>
    <w:rsid w:val="000C2D3C"/>
    <w:rsid w:val="000C3436"/>
    <w:rsid w:val="000C35BD"/>
    <w:rsid w:val="000C463F"/>
    <w:rsid w:val="000C5BAA"/>
    <w:rsid w:val="000C6B7F"/>
    <w:rsid w:val="000C7431"/>
    <w:rsid w:val="000D17E4"/>
    <w:rsid w:val="000D18A2"/>
    <w:rsid w:val="000D21DE"/>
    <w:rsid w:val="000D3F85"/>
    <w:rsid w:val="000D418D"/>
    <w:rsid w:val="000D4FC4"/>
    <w:rsid w:val="000D5255"/>
    <w:rsid w:val="000D67CC"/>
    <w:rsid w:val="000D6C9F"/>
    <w:rsid w:val="000D6DE8"/>
    <w:rsid w:val="000E02E3"/>
    <w:rsid w:val="000E0A5E"/>
    <w:rsid w:val="000E1593"/>
    <w:rsid w:val="000E2A17"/>
    <w:rsid w:val="000E319B"/>
    <w:rsid w:val="000E5B99"/>
    <w:rsid w:val="000E5CAE"/>
    <w:rsid w:val="000E624D"/>
    <w:rsid w:val="000E6973"/>
    <w:rsid w:val="000E6D72"/>
    <w:rsid w:val="000F01BB"/>
    <w:rsid w:val="000F0991"/>
    <w:rsid w:val="000F0CA7"/>
    <w:rsid w:val="000F21D4"/>
    <w:rsid w:val="000F3349"/>
    <w:rsid w:val="000F35E8"/>
    <w:rsid w:val="000F3856"/>
    <w:rsid w:val="000F41EE"/>
    <w:rsid w:val="000F66C9"/>
    <w:rsid w:val="000F764C"/>
    <w:rsid w:val="00101FB8"/>
    <w:rsid w:val="00102E33"/>
    <w:rsid w:val="00103999"/>
    <w:rsid w:val="00103B0F"/>
    <w:rsid w:val="00103DAC"/>
    <w:rsid w:val="00104819"/>
    <w:rsid w:val="00104DAD"/>
    <w:rsid w:val="00106122"/>
    <w:rsid w:val="00106898"/>
    <w:rsid w:val="00106AEC"/>
    <w:rsid w:val="00111988"/>
    <w:rsid w:val="00111F02"/>
    <w:rsid w:val="0011276C"/>
    <w:rsid w:val="001133FE"/>
    <w:rsid w:val="00113465"/>
    <w:rsid w:val="001136E0"/>
    <w:rsid w:val="00113AE0"/>
    <w:rsid w:val="001145A4"/>
    <w:rsid w:val="00116757"/>
    <w:rsid w:val="0011718F"/>
    <w:rsid w:val="00117C47"/>
    <w:rsid w:val="00120423"/>
    <w:rsid w:val="001217E2"/>
    <w:rsid w:val="001217FD"/>
    <w:rsid w:val="00121D47"/>
    <w:rsid w:val="00122DD1"/>
    <w:rsid w:val="00123FEE"/>
    <w:rsid w:val="001245D6"/>
    <w:rsid w:val="00124F88"/>
    <w:rsid w:val="00125060"/>
    <w:rsid w:val="00125282"/>
    <w:rsid w:val="00126183"/>
    <w:rsid w:val="0012626F"/>
    <w:rsid w:val="0012636E"/>
    <w:rsid w:val="0012663D"/>
    <w:rsid w:val="001270D6"/>
    <w:rsid w:val="0012729C"/>
    <w:rsid w:val="001275E7"/>
    <w:rsid w:val="00130B20"/>
    <w:rsid w:val="00130E70"/>
    <w:rsid w:val="0013215A"/>
    <w:rsid w:val="0013230F"/>
    <w:rsid w:val="00132365"/>
    <w:rsid w:val="00132C91"/>
    <w:rsid w:val="001345BD"/>
    <w:rsid w:val="00134BAC"/>
    <w:rsid w:val="00135818"/>
    <w:rsid w:val="00135C01"/>
    <w:rsid w:val="00135DF6"/>
    <w:rsid w:val="001363A1"/>
    <w:rsid w:val="00136D82"/>
    <w:rsid w:val="00136E66"/>
    <w:rsid w:val="001374C9"/>
    <w:rsid w:val="00137C51"/>
    <w:rsid w:val="00142181"/>
    <w:rsid w:val="00145394"/>
    <w:rsid w:val="00146383"/>
    <w:rsid w:val="00147139"/>
    <w:rsid w:val="001472C6"/>
    <w:rsid w:val="00147ED6"/>
    <w:rsid w:val="00150873"/>
    <w:rsid w:val="00150BCA"/>
    <w:rsid w:val="00150F03"/>
    <w:rsid w:val="001514F8"/>
    <w:rsid w:val="0015159F"/>
    <w:rsid w:val="00151DAB"/>
    <w:rsid w:val="00151EAB"/>
    <w:rsid w:val="00151F34"/>
    <w:rsid w:val="001531E7"/>
    <w:rsid w:val="001537A7"/>
    <w:rsid w:val="00153C93"/>
    <w:rsid w:val="00154FEF"/>
    <w:rsid w:val="00157282"/>
    <w:rsid w:val="0016010C"/>
    <w:rsid w:val="001604B2"/>
    <w:rsid w:val="001605C9"/>
    <w:rsid w:val="0016069D"/>
    <w:rsid w:val="0016090D"/>
    <w:rsid w:val="001617F8"/>
    <w:rsid w:val="001618D5"/>
    <w:rsid w:val="00161AE5"/>
    <w:rsid w:val="00161B2B"/>
    <w:rsid w:val="001623E5"/>
    <w:rsid w:val="001624D4"/>
    <w:rsid w:val="00163200"/>
    <w:rsid w:val="00163B56"/>
    <w:rsid w:val="001641EF"/>
    <w:rsid w:val="00165638"/>
    <w:rsid w:val="00165F56"/>
    <w:rsid w:val="00167714"/>
    <w:rsid w:val="0016790B"/>
    <w:rsid w:val="0017083D"/>
    <w:rsid w:val="00170B09"/>
    <w:rsid w:val="00171821"/>
    <w:rsid w:val="00172CEC"/>
    <w:rsid w:val="00172EA2"/>
    <w:rsid w:val="001730E0"/>
    <w:rsid w:val="001734C4"/>
    <w:rsid w:val="00173897"/>
    <w:rsid w:val="00174650"/>
    <w:rsid w:val="001747D5"/>
    <w:rsid w:val="001754ED"/>
    <w:rsid w:val="00175B17"/>
    <w:rsid w:val="00176021"/>
    <w:rsid w:val="001766A1"/>
    <w:rsid w:val="001768CD"/>
    <w:rsid w:val="00176BC0"/>
    <w:rsid w:val="00176C16"/>
    <w:rsid w:val="00177778"/>
    <w:rsid w:val="00177907"/>
    <w:rsid w:val="00177B5D"/>
    <w:rsid w:val="0018009F"/>
    <w:rsid w:val="00180A13"/>
    <w:rsid w:val="0018181F"/>
    <w:rsid w:val="00181BDF"/>
    <w:rsid w:val="001828D8"/>
    <w:rsid w:val="00183955"/>
    <w:rsid w:val="00184E49"/>
    <w:rsid w:val="00185442"/>
    <w:rsid w:val="00187AC3"/>
    <w:rsid w:val="00187BF0"/>
    <w:rsid w:val="00190012"/>
    <w:rsid w:val="00190FBA"/>
    <w:rsid w:val="00191FB2"/>
    <w:rsid w:val="00192073"/>
    <w:rsid w:val="00192C5F"/>
    <w:rsid w:val="00192F4A"/>
    <w:rsid w:val="0019340F"/>
    <w:rsid w:val="00193689"/>
    <w:rsid w:val="00193C4D"/>
    <w:rsid w:val="00193DB9"/>
    <w:rsid w:val="0019461C"/>
    <w:rsid w:val="001948E0"/>
    <w:rsid w:val="00194B7F"/>
    <w:rsid w:val="00194CF1"/>
    <w:rsid w:val="0019567C"/>
    <w:rsid w:val="00195B7B"/>
    <w:rsid w:val="00196FE2"/>
    <w:rsid w:val="00197E80"/>
    <w:rsid w:val="001A0171"/>
    <w:rsid w:val="001A2461"/>
    <w:rsid w:val="001A2736"/>
    <w:rsid w:val="001A2BA5"/>
    <w:rsid w:val="001A319E"/>
    <w:rsid w:val="001A3380"/>
    <w:rsid w:val="001A442F"/>
    <w:rsid w:val="001A5600"/>
    <w:rsid w:val="001A5738"/>
    <w:rsid w:val="001A5ACB"/>
    <w:rsid w:val="001A60E4"/>
    <w:rsid w:val="001A6405"/>
    <w:rsid w:val="001A67B6"/>
    <w:rsid w:val="001A6857"/>
    <w:rsid w:val="001A7159"/>
    <w:rsid w:val="001A772D"/>
    <w:rsid w:val="001B07F5"/>
    <w:rsid w:val="001B0DED"/>
    <w:rsid w:val="001B2045"/>
    <w:rsid w:val="001B2192"/>
    <w:rsid w:val="001B3E43"/>
    <w:rsid w:val="001B4F92"/>
    <w:rsid w:val="001B5856"/>
    <w:rsid w:val="001B5FB2"/>
    <w:rsid w:val="001B63DD"/>
    <w:rsid w:val="001B6438"/>
    <w:rsid w:val="001C359A"/>
    <w:rsid w:val="001C40D8"/>
    <w:rsid w:val="001C4264"/>
    <w:rsid w:val="001C55E5"/>
    <w:rsid w:val="001C672F"/>
    <w:rsid w:val="001C67EA"/>
    <w:rsid w:val="001D21D7"/>
    <w:rsid w:val="001D2405"/>
    <w:rsid w:val="001D5C22"/>
    <w:rsid w:val="001D64B9"/>
    <w:rsid w:val="001D6F9E"/>
    <w:rsid w:val="001D7859"/>
    <w:rsid w:val="001D7A1B"/>
    <w:rsid w:val="001E1AE7"/>
    <w:rsid w:val="001E2CD4"/>
    <w:rsid w:val="001E3CC3"/>
    <w:rsid w:val="001E404E"/>
    <w:rsid w:val="001E61C5"/>
    <w:rsid w:val="001E707D"/>
    <w:rsid w:val="001E7889"/>
    <w:rsid w:val="001E7CA6"/>
    <w:rsid w:val="001E7D05"/>
    <w:rsid w:val="001F013B"/>
    <w:rsid w:val="001F2191"/>
    <w:rsid w:val="001F2DFB"/>
    <w:rsid w:val="001F3911"/>
    <w:rsid w:val="001F425F"/>
    <w:rsid w:val="001F4884"/>
    <w:rsid w:val="001F579B"/>
    <w:rsid w:val="001F5BCC"/>
    <w:rsid w:val="001F5F42"/>
    <w:rsid w:val="001F64BC"/>
    <w:rsid w:val="001F6758"/>
    <w:rsid w:val="001F6D1C"/>
    <w:rsid w:val="001F7374"/>
    <w:rsid w:val="001F77F6"/>
    <w:rsid w:val="00200029"/>
    <w:rsid w:val="0020028A"/>
    <w:rsid w:val="00200982"/>
    <w:rsid w:val="00200A85"/>
    <w:rsid w:val="00202CEB"/>
    <w:rsid w:val="00203B14"/>
    <w:rsid w:val="002049AD"/>
    <w:rsid w:val="00205FF0"/>
    <w:rsid w:val="00207BED"/>
    <w:rsid w:val="00207EC8"/>
    <w:rsid w:val="00211174"/>
    <w:rsid w:val="002112C6"/>
    <w:rsid w:val="002118F3"/>
    <w:rsid w:val="00213850"/>
    <w:rsid w:val="002140FC"/>
    <w:rsid w:val="0021413E"/>
    <w:rsid w:val="00215005"/>
    <w:rsid w:val="0021536F"/>
    <w:rsid w:val="0021558D"/>
    <w:rsid w:val="002160DD"/>
    <w:rsid w:val="00216E8C"/>
    <w:rsid w:val="0021710C"/>
    <w:rsid w:val="00217234"/>
    <w:rsid w:val="00221EE2"/>
    <w:rsid w:val="002225E3"/>
    <w:rsid w:val="00223840"/>
    <w:rsid w:val="002273A3"/>
    <w:rsid w:val="00230920"/>
    <w:rsid w:val="00232693"/>
    <w:rsid w:val="00234B4A"/>
    <w:rsid w:val="002355F6"/>
    <w:rsid w:val="002366E4"/>
    <w:rsid w:val="00240647"/>
    <w:rsid w:val="002412A0"/>
    <w:rsid w:val="00242675"/>
    <w:rsid w:val="002446C4"/>
    <w:rsid w:val="00244FE0"/>
    <w:rsid w:val="00245265"/>
    <w:rsid w:val="00246498"/>
    <w:rsid w:val="0024679A"/>
    <w:rsid w:val="002475B0"/>
    <w:rsid w:val="002476F7"/>
    <w:rsid w:val="002502E6"/>
    <w:rsid w:val="00250AAF"/>
    <w:rsid w:val="002511D5"/>
    <w:rsid w:val="0025132A"/>
    <w:rsid w:val="002515B9"/>
    <w:rsid w:val="00251782"/>
    <w:rsid w:val="00251939"/>
    <w:rsid w:val="002520EE"/>
    <w:rsid w:val="00252148"/>
    <w:rsid w:val="00252E5E"/>
    <w:rsid w:val="0025331F"/>
    <w:rsid w:val="002557C5"/>
    <w:rsid w:val="0025604E"/>
    <w:rsid w:val="002567BC"/>
    <w:rsid w:val="0025715F"/>
    <w:rsid w:val="00257786"/>
    <w:rsid w:val="0026030A"/>
    <w:rsid w:val="00260397"/>
    <w:rsid w:val="00261658"/>
    <w:rsid w:val="00261BA9"/>
    <w:rsid w:val="0026220F"/>
    <w:rsid w:val="00262EA2"/>
    <w:rsid w:val="002635A4"/>
    <w:rsid w:val="0026420E"/>
    <w:rsid w:val="002651B7"/>
    <w:rsid w:val="0026557C"/>
    <w:rsid w:val="00265D71"/>
    <w:rsid w:val="00266048"/>
    <w:rsid w:val="002661BC"/>
    <w:rsid w:val="00266313"/>
    <w:rsid w:val="0026652F"/>
    <w:rsid w:val="00266F54"/>
    <w:rsid w:val="0026705E"/>
    <w:rsid w:val="0027168A"/>
    <w:rsid w:val="00271720"/>
    <w:rsid w:val="002718A5"/>
    <w:rsid w:val="002719DA"/>
    <w:rsid w:val="00272512"/>
    <w:rsid w:val="002729FE"/>
    <w:rsid w:val="00272B6D"/>
    <w:rsid w:val="00272C5A"/>
    <w:rsid w:val="00273305"/>
    <w:rsid w:val="00274126"/>
    <w:rsid w:val="00274E04"/>
    <w:rsid w:val="0027501A"/>
    <w:rsid w:val="00275427"/>
    <w:rsid w:val="002763EC"/>
    <w:rsid w:val="002767A3"/>
    <w:rsid w:val="00276F66"/>
    <w:rsid w:val="00277385"/>
    <w:rsid w:val="00277555"/>
    <w:rsid w:val="00277683"/>
    <w:rsid w:val="00277BA3"/>
    <w:rsid w:val="002801B4"/>
    <w:rsid w:val="00280390"/>
    <w:rsid w:val="00280451"/>
    <w:rsid w:val="00280DA0"/>
    <w:rsid w:val="00280E17"/>
    <w:rsid w:val="00281129"/>
    <w:rsid w:val="002811BD"/>
    <w:rsid w:val="00281259"/>
    <w:rsid w:val="00281CE2"/>
    <w:rsid w:val="00281FF9"/>
    <w:rsid w:val="0028204C"/>
    <w:rsid w:val="002822AB"/>
    <w:rsid w:val="00282A01"/>
    <w:rsid w:val="002849F9"/>
    <w:rsid w:val="00285137"/>
    <w:rsid w:val="002856F5"/>
    <w:rsid w:val="0028661C"/>
    <w:rsid w:val="00286797"/>
    <w:rsid w:val="00286929"/>
    <w:rsid w:val="0028734E"/>
    <w:rsid w:val="002876B6"/>
    <w:rsid w:val="002904FB"/>
    <w:rsid w:val="00290579"/>
    <w:rsid w:val="00292D66"/>
    <w:rsid w:val="002939D8"/>
    <w:rsid w:val="00293B84"/>
    <w:rsid w:val="00294208"/>
    <w:rsid w:val="00294F3E"/>
    <w:rsid w:val="00296FA3"/>
    <w:rsid w:val="00297A22"/>
    <w:rsid w:val="002A1728"/>
    <w:rsid w:val="002A1CF9"/>
    <w:rsid w:val="002A2197"/>
    <w:rsid w:val="002A304D"/>
    <w:rsid w:val="002A32E5"/>
    <w:rsid w:val="002A36E0"/>
    <w:rsid w:val="002A4CBF"/>
    <w:rsid w:val="002A6483"/>
    <w:rsid w:val="002A69AB"/>
    <w:rsid w:val="002A6DE1"/>
    <w:rsid w:val="002B04E2"/>
    <w:rsid w:val="002B0920"/>
    <w:rsid w:val="002B0AC8"/>
    <w:rsid w:val="002B143B"/>
    <w:rsid w:val="002B1BA5"/>
    <w:rsid w:val="002B3072"/>
    <w:rsid w:val="002B429F"/>
    <w:rsid w:val="002B49CE"/>
    <w:rsid w:val="002B5ED8"/>
    <w:rsid w:val="002C21D2"/>
    <w:rsid w:val="002C2EA0"/>
    <w:rsid w:val="002C30D3"/>
    <w:rsid w:val="002C3D6C"/>
    <w:rsid w:val="002C417A"/>
    <w:rsid w:val="002C4B8A"/>
    <w:rsid w:val="002C58B8"/>
    <w:rsid w:val="002C7F9B"/>
    <w:rsid w:val="002C7FF4"/>
    <w:rsid w:val="002D0309"/>
    <w:rsid w:val="002D0E21"/>
    <w:rsid w:val="002D1707"/>
    <w:rsid w:val="002D18C5"/>
    <w:rsid w:val="002D23E2"/>
    <w:rsid w:val="002D333A"/>
    <w:rsid w:val="002D3DF4"/>
    <w:rsid w:val="002D68BD"/>
    <w:rsid w:val="002D77C0"/>
    <w:rsid w:val="002D7ACE"/>
    <w:rsid w:val="002E1A64"/>
    <w:rsid w:val="002E225B"/>
    <w:rsid w:val="002E2CF0"/>
    <w:rsid w:val="002E36F3"/>
    <w:rsid w:val="002E4DF3"/>
    <w:rsid w:val="002E4FFE"/>
    <w:rsid w:val="002E599E"/>
    <w:rsid w:val="002E5AFB"/>
    <w:rsid w:val="002E5D88"/>
    <w:rsid w:val="002E74A4"/>
    <w:rsid w:val="002E7588"/>
    <w:rsid w:val="002F065A"/>
    <w:rsid w:val="002F09EA"/>
    <w:rsid w:val="002F0F8D"/>
    <w:rsid w:val="002F1108"/>
    <w:rsid w:val="002F1EFA"/>
    <w:rsid w:val="002F292E"/>
    <w:rsid w:val="002F2ADF"/>
    <w:rsid w:val="002F425A"/>
    <w:rsid w:val="002F48F3"/>
    <w:rsid w:val="002F5E8C"/>
    <w:rsid w:val="002F604C"/>
    <w:rsid w:val="002F6143"/>
    <w:rsid w:val="002F6A91"/>
    <w:rsid w:val="002F6FD6"/>
    <w:rsid w:val="002F772E"/>
    <w:rsid w:val="002F7A7C"/>
    <w:rsid w:val="00301A71"/>
    <w:rsid w:val="00301D3A"/>
    <w:rsid w:val="003025AF"/>
    <w:rsid w:val="00302A8F"/>
    <w:rsid w:val="00302D23"/>
    <w:rsid w:val="00302D3C"/>
    <w:rsid w:val="00303490"/>
    <w:rsid w:val="00305165"/>
    <w:rsid w:val="00305471"/>
    <w:rsid w:val="00306106"/>
    <w:rsid w:val="003065DD"/>
    <w:rsid w:val="00306B5B"/>
    <w:rsid w:val="00306D6C"/>
    <w:rsid w:val="0031012F"/>
    <w:rsid w:val="003108BC"/>
    <w:rsid w:val="00310CBD"/>
    <w:rsid w:val="003113F6"/>
    <w:rsid w:val="0031268A"/>
    <w:rsid w:val="003134D9"/>
    <w:rsid w:val="00313E09"/>
    <w:rsid w:val="00316094"/>
    <w:rsid w:val="003160E6"/>
    <w:rsid w:val="0031654A"/>
    <w:rsid w:val="0031654D"/>
    <w:rsid w:val="00317E1B"/>
    <w:rsid w:val="0032062F"/>
    <w:rsid w:val="0032136A"/>
    <w:rsid w:val="003217F9"/>
    <w:rsid w:val="00321DED"/>
    <w:rsid w:val="00323453"/>
    <w:rsid w:val="00323F66"/>
    <w:rsid w:val="0032407E"/>
    <w:rsid w:val="00324274"/>
    <w:rsid w:val="00324879"/>
    <w:rsid w:val="00325929"/>
    <w:rsid w:val="0032616D"/>
    <w:rsid w:val="00326735"/>
    <w:rsid w:val="00333F12"/>
    <w:rsid w:val="003344F6"/>
    <w:rsid w:val="003360A5"/>
    <w:rsid w:val="003367F5"/>
    <w:rsid w:val="00336BC3"/>
    <w:rsid w:val="00336F1E"/>
    <w:rsid w:val="003376AC"/>
    <w:rsid w:val="003403FD"/>
    <w:rsid w:val="00340A76"/>
    <w:rsid w:val="00340C7E"/>
    <w:rsid w:val="00342A89"/>
    <w:rsid w:val="00343619"/>
    <w:rsid w:val="003437B0"/>
    <w:rsid w:val="00343BF7"/>
    <w:rsid w:val="00343CDD"/>
    <w:rsid w:val="003444A4"/>
    <w:rsid w:val="00347170"/>
    <w:rsid w:val="003503FF"/>
    <w:rsid w:val="003516E7"/>
    <w:rsid w:val="00351C15"/>
    <w:rsid w:val="00351F70"/>
    <w:rsid w:val="00352046"/>
    <w:rsid w:val="003521C8"/>
    <w:rsid w:val="003532F3"/>
    <w:rsid w:val="00357B26"/>
    <w:rsid w:val="00360559"/>
    <w:rsid w:val="00360987"/>
    <w:rsid w:val="00360C3E"/>
    <w:rsid w:val="00361E7E"/>
    <w:rsid w:val="0036416F"/>
    <w:rsid w:val="00364A72"/>
    <w:rsid w:val="003658B2"/>
    <w:rsid w:val="003660D4"/>
    <w:rsid w:val="00370BF8"/>
    <w:rsid w:val="00370CEA"/>
    <w:rsid w:val="00372F65"/>
    <w:rsid w:val="003742A1"/>
    <w:rsid w:val="003753FF"/>
    <w:rsid w:val="0038160C"/>
    <w:rsid w:val="00381786"/>
    <w:rsid w:val="00381C48"/>
    <w:rsid w:val="003820AE"/>
    <w:rsid w:val="00382F45"/>
    <w:rsid w:val="00383369"/>
    <w:rsid w:val="0038397D"/>
    <w:rsid w:val="00384121"/>
    <w:rsid w:val="00385856"/>
    <w:rsid w:val="003867A2"/>
    <w:rsid w:val="00386C98"/>
    <w:rsid w:val="0039031B"/>
    <w:rsid w:val="00390761"/>
    <w:rsid w:val="00390D29"/>
    <w:rsid w:val="00392A94"/>
    <w:rsid w:val="00393D26"/>
    <w:rsid w:val="0039416E"/>
    <w:rsid w:val="003944C0"/>
    <w:rsid w:val="0039477C"/>
    <w:rsid w:val="00394A8E"/>
    <w:rsid w:val="00395434"/>
    <w:rsid w:val="00395FAB"/>
    <w:rsid w:val="003A0471"/>
    <w:rsid w:val="003A0C66"/>
    <w:rsid w:val="003A12A3"/>
    <w:rsid w:val="003A1858"/>
    <w:rsid w:val="003A22CB"/>
    <w:rsid w:val="003A2485"/>
    <w:rsid w:val="003A284A"/>
    <w:rsid w:val="003A3124"/>
    <w:rsid w:val="003A3318"/>
    <w:rsid w:val="003A380A"/>
    <w:rsid w:val="003A4429"/>
    <w:rsid w:val="003A504A"/>
    <w:rsid w:val="003A5509"/>
    <w:rsid w:val="003A7D2E"/>
    <w:rsid w:val="003B0198"/>
    <w:rsid w:val="003B19EF"/>
    <w:rsid w:val="003B37B3"/>
    <w:rsid w:val="003B458F"/>
    <w:rsid w:val="003B4F26"/>
    <w:rsid w:val="003B4F60"/>
    <w:rsid w:val="003B76A9"/>
    <w:rsid w:val="003B7CB3"/>
    <w:rsid w:val="003C096B"/>
    <w:rsid w:val="003C1118"/>
    <w:rsid w:val="003C1FFB"/>
    <w:rsid w:val="003C215B"/>
    <w:rsid w:val="003C236C"/>
    <w:rsid w:val="003C26DD"/>
    <w:rsid w:val="003C3084"/>
    <w:rsid w:val="003C3577"/>
    <w:rsid w:val="003C433F"/>
    <w:rsid w:val="003C4708"/>
    <w:rsid w:val="003C530F"/>
    <w:rsid w:val="003C5587"/>
    <w:rsid w:val="003C6128"/>
    <w:rsid w:val="003C6711"/>
    <w:rsid w:val="003C7551"/>
    <w:rsid w:val="003D0A5A"/>
    <w:rsid w:val="003D1CDF"/>
    <w:rsid w:val="003D2F73"/>
    <w:rsid w:val="003D3639"/>
    <w:rsid w:val="003D5727"/>
    <w:rsid w:val="003D5997"/>
    <w:rsid w:val="003D68B9"/>
    <w:rsid w:val="003D7C36"/>
    <w:rsid w:val="003D7DCC"/>
    <w:rsid w:val="003E0713"/>
    <w:rsid w:val="003E0E6E"/>
    <w:rsid w:val="003E176F"/>
    <w:rsid w:val="003E2698"/>
    <w:rsid w:val="003E2BD6"/>
    <w:rsid w:val="003E2DAA"/>
    <w:rsid w:val="003E3D2C"/>
    <w:rsid w:val="003E3FCB"/>
    <w:rsid w:val="003E4441"/>
    <w:rsid w:val="003E4966"/>
    <w:rsid w:val="003E57DE"/>
    <w:rsid w:val="003E5871"/>
    <w:rsid w:val="003E5B17"/>
    <w:rsid w:val="003E5C01"/>
    <w:rsid w:val="003E5F61"/>
    <w:rsid w:val="003E69A1"/>
    <w:rsid w:val="003F0FC3"/>
    <w:rsid w:val="003F1614"/>
    <w:rsid w:val="003F2807"/>
    <w:rsid w:val="003F31F9"/>
    <w:rsid w:val="003F3FBD"/>
    <w:rsid w:val="003F54B2"/>
    <w:rsid w:val="003F5DCE"/>
    <w:rsid w:val="003F74E3"/>
    <w:rsid w:val="003F78BC"/>
    <w:rsid w:val="004007B2"/>
    <w:rsid w:val="00401182"/>
    <w:rsid w:val="00401520"/>
    <w:rsid w:val="00401AAB"/>
    <w:rsid w:val="00401C2C"/>
    <w:rsid w:val="0040204B"/>
    <w:rsid w:val="00403105"/>
    <w:rsid w:val="004041AB"/>
    <w:rsid w:val="00404E05"/>
    <w:rsid w:val="00405151"/>
    <w:rsid w:val="0040530A"/>
    <w:rsid w:val="00405393"/>
    <w:rsid w:val="0040544A"/>
    <w:rsid w:val="0040553A"/>
    <w:rsid w:val="004064AF"/>
    <w:rsid w:val="004112F5"/>
    <w:rsid w:val="00412821"/>
    <w:rsid w:val="00412A61"/>
    <w:rsid w:val="00412B37"/>
    <w:rsid w:val="00413565"/>
    <w:rsid w:val="004138E1"/>
    <w:rsid w:val="004142A8"/>
    <w:rsid w:val="00415621"/>
    <w:rsid w:val="0041565C"/>
    <w:rsid w:val="004159EE"/>
    <w:rsid w:val="004160AF"/>
    <w:rsid w:val="0041648F"/>
    <w:rsid w:val="00417E84"/>
    <w:rsid w:val="004205D1"/>
    <w:rsid w:val="00424E95"/>
    <w:rsid w:val="0042509B"/>
    <w:rsid w:val="00426A20"/>
    <w:rsid w:val="00426E45"/>
    <w:rsid w:val="00430604"/>
    <w:rsid w:val="00431641"/>
    <w:rsid w:val="00431DB3"/>
    <w:rsid w:val="00432683"/>
    <w:rsid w:val="0043310D"/>
    <w:rsid w:val="00433638"/>
    <w:rsid w:val="004336B6"/>
    <w:rsid w:val="00433E94"/>
    <w:rsid w:val="00433F49"/>
    <w:rsid w:val="004343C1"/>
    <w:rsid w:val="004349E0"/>
    <w:rsid w:val="00434C0C"/>
    <w:rsid w:val="00435029"/>
    <w:rsid w:val="0043698B"/>
    <w:rsid w:val="004371CE"/>
    <w:rsid w:val="00437501"/>
    <w:rsid w:val="00437768"/>
    <w:rsid w:val="00437A19"/>
    <w:rsid w:val="004405D5"/>
    <w:rsid w:val="00440C19"/>
    <w:rsid w:val="004431B1"/>
    <w:rsid w:val="00443D19"/>
    <w:rsid w:val="004440F3"/>
    <w:rsid w:val="004451E9"/>
    <w:rsid w:val="0044596A"/>
    <w:rsid w:val="004459D2"/>
    <w:rsid w:val="00445BB7"/>
    <w:rsid w:val="00445D76"/>
    <w:rsid w:val="00451585"/>
    <w:rsid w:val="00451614"/>
    <w:rsid w:val="004523A4"/>
    <w:rsid w:val="004528C4"/>
    <w:rsid w:val="004532F8"/>
    <w:rsid w:val="00453DC0"/>
    <w:rsid w:val="004543CD"/>
    <w:rsid w:val="00454E1B"/>
    <w:rsid w:val="00455428"/>
    <w:rsid w:val="00456C63"/>
    <w:rsid w:val="00456C80"/>
    <w:rsid w:val="004572B8"/>
    <w:rsid w:val="00457A53"/>
    <w:rsid w:val="00457C88"/>
    <w:rsid w:val="00460747"/>
    <w:rsid w:val="00460AB8"/>
    <w:rsid w:val="00461876"/>
    <w:rsid w:val="00461AA6"/>
    <w:rsid w:val="00463596"/>
    <w:rsid w:val="004652AC"/>
    <w:rsid w:val="00465327"/>
    <w:rsid w:val="00467840"/>
    <w:rsid w:val="00470338"/>
    <w:rsid w:val="00470B4F"/>
    <w:rsid w:val="00472A35"/>
    <w:rsid w:val="00472BAB"/>
    <w:rsid w:val="00473233"/>
    <w:rsid w:val="004748A4"/>
    <w:rsid w:val="0047590B"/>
    <w:rsid w:val="00476F0F"/>
    <w:rsid w:val="00477185"/>
    <w:rsid w:val="00480FFA"/>
    <w:rsid w:val="0048163E"/>
    <w:rsid w:val="004818FF"/>
    <w:rsid w:val="0048203F"/>
    <w:rsid w:val="0048316A"/>
    <w:rsid w:val="00484120"/>
    <w:rsid w:val="00484A23"/>
    <w:rsid w:val="00485226"/>
    <w:rsid w:val="00485B08"/>
    <w:rsid w:val="00486982"/>
    <w:rsid w:val="00486F4E"/>
    <w:rsid w:val="00487898"/>
    <w:rsid w:val="00487E7D"/>
    <w:rsid w:val="00487EC4"/>
    <w:rsid w:val="00491C53"/>
    <w:rsid w:val="00491F05"/>
    <w:rsid w:val="00492370"/>
    <w:rsid w:val="004925B4"/>
    <w:rsid w:val="00492DA2"/>
    <w:rsid w:val="00493368"/>
    <w:rsid w:val="00493666"/>
    <w:rsid w:val="0049381D"/>
    <w:rsid w:val="00494F02"/>
    <w:rsid w:val="0049502E"/>
    <w:rsid w:val="004953DE"/>
    <w:rsid w:val="00495D3F"/>
    <w:rsid w:val="004969CF"/>
    <w:rsid w:val="00497891"/>
    <w:rsid w:val="00497C6F"/>
    <w:rsid w:val="00497F47"/>
    <w:rsid w:val="004A0C39"/>
    <w:rsid w:val="004A1618"/>
    <w:rsid w:val="004A24C8"/>
    <w:rsid w:val="004A2966"/>
    <w:rsid w:val="004A2B1C"/>
    <w:rsid w:val="004A2C26"/>
    <w:rsid w:val="004A2C6D"/>
    <w:rsid w:val="004A3908"/>
    <w:rsid w:val="004A4B08"/>
    <w:rsid w:val="004A4B6D"/>
    <w:rsid w:val="004A5421"/>
    <w:rsid w:val="004A59D4"/>
    <w:rsid w:val="004A5E82"/>
    <w:rsid w:val="004A61D6"/>
    <w:rsid w:val="004A631E"/>
    <w:rsid w:val="004A645E"/>
    <w:rsid w:val="004A6815"/>
    <w:rsid w:val="004A6866"/>
    <w:rsid w:val="004A6F23"/>
    <w:rsid w:val="004B0BBF"/>
    <w:rsid w:val="004B2773"/>
    <w:rsid w:val="004B3023"/>
    <w:rsid w:val="004B31A7"/>
    <w:rsid w:val="004B35D3"/>
    <w:rsid w:val="004B7419"/>
    <w:rsid w:val="004B794F"/>
    <w:rsid w:val="004B7A5E"/>
    <w:rsid w:val="004B7C73"/>
    <w:rsid w:val="004C04CB"/>
    <w:rsid w:val="004C09B2"/>
    <w:rsid w:val="004C147A"/>
    <w:rsid w:val="004C175A"/>
    <w:rsid w:val="004C2BD6"/>
    <w:rsid w:val="004C413F"/>
    <w:rsid w:val="004C475D"/>
    <w:rsid w:val="004C49E2"/>
    <w:rsid w:val="004C4E2A"/>
    <w:rsid w:val="004C55B4"/>
    <w:rsid w:val="004C5C0D"/>
    <w:rsid w:val="004C5C64"/>
    <w:rsid w:val="004C6001"/>
    <w:rsid w:val="004C644B"/>
    <w:rsid w:val="004C6A9E"/>
    <w:rsid w:val="004C6BEC"/>
    <w:rsid w:val="004C7030"/>
    <w:rsid w:val="004C7A52"/>
    <w:rsid w:val="004D01B3"/>
    <w:rsid w:val="004D0E19"/>
    <w:rsid w:val="004D173A"/>
    <w:rsid w:val="004D1EC9"/>
    <w:rsid w:val="004D2DAC"/>
    <w:rsid w:val="004D34AA"/>
    <w:rsid w:val="004D39C5"/>
    <w:rsid w:val="004D3F5D"/>
    <w:rsid w:val="004D4D1C"/>
    <w:rsid w:val="004D4D32"/>
    <w:rsid w:val="004D4D8A"/>
    <w:rsid w:val="004D5722"/>
    <w:rsid w:val="004D5A2C"/>
    <w:rsid w:val="004E0472"/>
    <w:rsid w:val="004E144C"/>
    <w:rsid w:val="004E1F91"/>
    <w:rsid w:val="004E2FD7"/>
    <w:rsid w:val="004E48F7"/>
    <w:rsid w:val="004E4F1C"/>
    <w:rsid w:val="004E5143"/>
    <w:rsid w:val="004E54E8"/>
    <w:rsid w:val="004E5FA7"/>
    <w:rsid w:val="004E77B8"/>
    <w:rsid w:val="004E7E94"/>
    <w:rsid w:val="004F0426"/>
    <w:rsid w:val="004F0512"/>
    <w:rsid w:val="004F0DF9"/>
    <w:rsid w:val="004F16E4"/>
    <w:rsid w:val="004F18F7"/>
    <w:rsid w:val="004F4BCB"/>
    <w:rsid w:val="004F4E15"/>
    <w:rsid w:val="004F53E8"/>
    <w:rsid w:val="004F5E02"/>
    <w:rsid w:val="004F757D"/>
    <w:rsid w:val="00500C39"/>
    <w:rsid w:val="00500C74"/>
    <w:rsid w:val="00502567"/>
    <w:rsid w:val="005025F9"/>
    <w:rsid w:val="00502A78"/>
    <w:rsid w:val="0050401D"/>
    <w:rsid w:val="005043D2"/>
    <w:rsid w:val="00504AC7"/>
    <w:rsid w:val="005056B2"/>
    <w:rsid w:val="00505946"/>
    <w:rsid w:val="00505C70"/>
    <w:rsid w:val="00506616"/>
    <w:rsid w:val="00507159"/>
    <w:rsid w:val="005103EB"/>
    <w:rsid w:val="00510D4B"/>
    <w:rsid w:val="00511326"/>
    <w:rsid w:val="00511465"/>
    <w:rsid w:val="0051223B"/>
    <w:rsid w:val="0051227E"/>
    <w:rsid w:val="00512C16"/>
    <w:rsid w:val="0051315D"/>
    <w:rsid w:val="0051429A"/>
    <w:rsid w:val="00515A1D"/>
    <w:rsid w:val="00515F99"/>
    <w:rsid w:val="00516672"/>
    <w:rsid w:val="005172A4"/>
    <w:rsid w:val="0052068D"/>
    <w:rsid w:val="00522027"/>
    <w:rsid w:val="00523768"/>
    <w:rsid w:val="00523A77"/>
    <w:rsid w:val="005244BB"/>
    <w:rsid w:val="0052623B"/>
    <w:rsid w:val="00526845"/>
    <w:rsid w:val="00531161"/>
    <w:rsid w:val="00531C9E"/>
    <w:rsid w:val="00533CCD"/>
    <w:rsid w:val="00533D81"/>
    <w:rsid w:val="005401FE"/>
    <w:rsid w:val="00540A91"/>
    <w:rsid w:val="005415AD"/>
    <w:rsid w:val="00542492"/>
    <w:rsid w:val="005424F9"/>
    <w:rsid w:val="005428CD"/>
    <w:rsid w:val="00542DF1"/>
    <w:rsid w:val="00544032"/>
    <w:rsid w:val="005441A3"/>
    <w:rsid w:val="00544CE4"/>
    <w:rsid w:val="0054524F"/>
    <w:rsid w:val="0054584B"/>
    <w:rsid w:val="00545E34"/>
    <w:rsid w:val="00547E26"/>
    <w:rsid w:val="00547E7B"/>
    <w:rsid w:val="0055034C"/>
    <w:rsid w:val="00551282"/>
    <w:rsid w:val="005522F7"/>
    <w:rsid w:val="00552613"/>
    <w:rsid w:val="00552B60"/>
    <w:rsid w:val="0055356F"/>
    <w:rsid w:val="005535F9"/>
    <w:rsid w:val="00554E89"/>
    <w:rsid w:val="005558C9"/>
    <w:rsid w:val="005559F4"/>
    <w:rsid w:val="00557D9A"/>
    <w:rsid w:val="00560159"/>
    <w:rsid w:val="00560B89"/>
    <w:rsid w:val="0056134B"/>
    <w:rsid w:val="005615C6"/>
    <w:rsid w:val="00561E5E"/>
    <w:rsid w:val="005623FF"/>
    <w:rsid w:val="00562AF3"/>
    <w:rsid w:val="00562D0F"/>
    <w:rsid w:val="00563EA6"/>
    <w:rsid w:val="00564B67"/>
    <w:rsid w:val="00565E28"/>
    <w:rsid w:val="0056682F"/>
    <w:rsid w:val="00566935"/>
    <w:rsid w:val="00566D74"/>
    <w:rsid w:val="00566EB6"/>
    <w:rsid w:val="00567464"/>
    <w:rsid w:val="00567723"/>
    <w:rsid w:val="005677EC"/>
    <w:rsid w:val="00571537"/>
    <w:rsid w:val="0057156B"/>
    <w:rsid w:val="00571665"/>
    <w:rsid w:val="00571A94"/>
    <w:rsid w:val="00574AFF"/>
    <w:rsid w:val="00575409"/>
    <w:rsid w:val="0057560A"/>
    <w:rsid w:val="00576D4A"/>
    <w:rsid w:val="005770BF"/>
    <w:rsid w:val="005778BB"/>
    <w:rsid w:val="0058019C"/>
    <w:rsid w:val="00581495"/>
    <w:rsid w:val="005816BF"/>
    <w:rsid w:val="00582C25"/>
    <w:rsid w:val="00583490"/>
    <w:rsid w:val="00583B7F"/>
    <w:rsid w:val="00583E29"/>
    <w:rsid w:val="005854EF"/>
    <w:rsid w:val="00585A68"/>
    <w:rsid w:val="00585D18"/>
    <w:rsid w:val="005870DC"/>
    <w:rsid w:val="0058767E"/>
    <w:rsid w:val="00587E39"/>
    <w:rsid w:val="00591780"/>
    <w:rsid w:val="00593613"/>
    <w:rsid w:val="00593AF7"/>
    <w:rsid w:val="005946B9"/>
    <w:rsid w:val="005948E8"/>
    <w:rsid w:val="00594C44"/>
    <w:rsid w:val="005976E2"/>
    <w:rsid w:val="005A02FB"/>
    <w:rsid w:val="005A23CC"/>
    <w:rsid w:val="005A2642"/>
    <w:rsid w:val="005A3CB8"/>
    <w:rsid w:val="005A43A2"/>
    <w:rsid w:val="005A4A06"/>
    <w:rsid w:val="005A5745"/>
    <w:rsid w:val="005A6986"/>
    <w:rsid w:val="005A7E55"/>
    <w:rsid w:val="005B091B"/>
    <w:rsid w:val="005B0A64"/>
    <w:rsid w:val="005B0BD8"/>
    <w:rsid w:val="005B1761"/>
    <w:rsid w:val="005B2A38"/>
    <w:rsid w:val="005B3823"/>
    <w:rsid w:val="005B38F2"/>
    <w:rsid w:val="005B3D95"/>
    <w:rsid w:val="005B51C9"/>
    <w:rsid w:val="005B5A5A"/>
    <w:rsid w:val="005B6817"/>
    <w:rsid w:val="005B7A51"/>
    <w:rsid w:val="005B7B2B"/>
    <w:rsid w:val="005C0702"/>
    <w:rsid w:val="005C2AFE"/>
    <w:rsid w:val="005C3340"/>
    <w:rsid w:val="005C3A0F"/>
    <w:rsid w:val="005C44CB"/>
    <w:rsid w:val="005C4AD5"/>
    <w:rsid w:val="005C5BA1"/>
    <w:rsid w:val="005C6417"/>
    <w:rsid w:val="005C64CC"/>
    <w:rsid w:val="005C6875"/>
    <w:rsid w:val="005C7A5A"/>
    <w:rsid w:val="005D03CA"/>
    <w:rsid w:val="005D0532"/>
    <w:rsid w:val="005D056B"/>
    <w:rsid w:val="005D1DC9"/>
    <w:rsid w:val="005D225F"/>
    <w:rsid w:val="005D2FAA"/>
    <w:rsid w:val="005D3A52"/>
    <w:rsid w:val="005D4260"/>
    <w:rsid w:val="005D4597"/>
    <w:rsid w:val="005D59D8"/>
    <w:rsid w:val="005D6D96"/>
    <w:rsid w:val="005D73C8"/>
    <w:rsid w:val="005D7D74"/>
    <w:rsid w:val="005E01DE"/>
    <w:rsid w:val="005E0929"/>
    <w:rsid w:val="005E123F"/>
    <w:rsid w:val="005E1D01"/>
    <w:rsid w:val="005E1D95"/>
    <w:rsid w:val="005E2034"/>
    <w:rsid w:val="005E28DD"/>
    <w:rsid w:val="005E31DB"/>
    <w:rsid w:val="005E57B7"/>
    <w:rsid w:val="005E5B96"/>
    <w:rsid w:val="005E78E6"/>
    <w:rsid w:val="005F169D"/>
    <w:rsid w:val="005F2664"/>
    <w:rsid w:val="005F36BD"/>
    <w:rsid w:val="005F57F3"/>
    <w:rsid w:val="005F5F10"/>
    <w:rsid w:val="005F7AF4"/>
    <w:rsid w:val="005F7DF4"/>
    <w:rsid w:val="0060129D"/>
    <w:rsid w:val="006017DE"/>
    <w:rsid w:val="00601AF4"/>
    <w:rsid w:val="00601CA1"/>
    <w:rsid w:val="00601E5A"/>
    <w:rsid w:val="0060206F"/>
    <w:rsid w:val="0060389B"/>
    <w:rsid w:val="00603D10"/>
    <w:rsid w:val="00604233"/>
    <w:rsid w:val="00604680"/>
    <w:rsid w:val="006059A8"/>
    <w:rsid w:val="0060609A"/>
    <w:rsid w:val="00606892"/>
    <w:rsid w:val="006068E3"/>
    <w:rsid w:val="00607687"/>
    <w:rsid w:val="00607F4C"/>
    <w:rsid w:val="00610157"/>
    <w:rsid w:val="006104FE"/>
    <w:rsid w:val="00610888"/>
    <w:rsid w:val="006116A6"/>
    <w:rsid w:val="00612473"/>
    <w:rsid w:val="00612652"/>
    <w:rsid w:val="00612A3F"/>
    <w:rsid w:val="006130B4"/>
    <w:rsid w:val="00615342"/>
    <w:rsid w:val="00615AD9"/>
    <w:rsid w:val="00616039"/>
    <w:rsid w:val="0061685B"/>
    <w:rsid w:val="00616A50"/>
    <w:rsid w:val="00616D29"/>
    <w:rsid w:val="00616D2F"/>
    <w:rsid w:val="00617645"/>
    <w:rsid w:val="00620895"/>
    <w:rsid w:val="0062290B"/>
    <w:rsid w:val="00623036"/>
    <w:rsid w:val="006230F0"/>
    <w:rsid w:val="00623803"/>
    <w:rsid w:val="00626120"/>
    <w:rsid w:val="00626BB2"/>
    <w:rsid w:val="0062761A"/>
    <w:rsid w:val="00631E6C"/>
    <w:rsid w:val="00632708"/>
    <w:rsid w:val="0063279D"/>
    <w:rsid w:val="006331D4"/>
    <w:rsid w:val="006338F5"/>
    <w:rsid w:val="00633E41"/>
    <w:rsid w:val="00634D19"/>
    <w:rsid w:val="00634F5F"/>
    <w:rsid w:val="0063541B"/>
    <w:rsid w:val="006365CA"/>
    <w:rsid w:val="006365CB"/>
    <w:rsid w:val="00636CB2"/>
    <w:rsid w:val="0063714D"/>
    <w:rsid w:val="00637267"/>
    <w:rsid w:val="0064170A"/>
    <w:rsid w:val="006417CE"/>
    <w:rsid w:val="006422C6"/>
    <w:rsid w:val="00642477"/>
    <w:rsid w:val="006424AB"/>
    <w:rsid w:val="0064256A"/>
    <w:rsid w:val="0064428D"/>
    <w:rsid w:val="00644DAA"/>
    <w:rsid w:val="0064568C"/>
    <w:rsid w:val="00646423"/>
    <w:rsid w:val="00646957"/>
    <w:rsid w:val="006474A4"/>
    <w:rsid w:val="00647B8E"/>
    <w:rsid w:val="006501BE"/>
    <w:rsid w:val="0065143B"/>
    <w:rsid w:val="00651BF8"/>
    <w:rsid w:val="00651D05"/>
    <w:rsid w:val="006538CE"/>
    <w:rsid w:val="0065393B"/>
    <w:rsid w:val="00653AB6"/>
    <w:rsid w:val="006545DD"/>
    <w:rsid w:val="00654DC5"/>
    <w:rsid w:val="00655941"/>
    <w:rsid w:val="006559FB"/>
    <w:rsid w:val="00655CA6"/>
    <w:rsid w:val="00656066"/>
    <w:rsid w:val="00656491"/>
    <w:rsid w:val="00656C05"/>
    <w:rsid w:val="00656D77"/>
    <w:rsid w:val="006608AE"/>
    <w:rsid w:val="00662263"/>
    <w:rsid w:val="00662382"/>
    <w:rsid w:val="006628BD"/>
    <w:rsid w:val="00664339"/>
    <w:rsid w:val="00665366"/>
    <w:rsid w:val="006656D6"/>
    <w:rsid w:val="00665D86"/>
    <w:rsid w:val="006667E9"/>
    <w:rsid w:val="0066764F"/>
    <w:rsid w:val="006702C9"/>
    <w:rsid w:val="00670727"/>
    <w:rsid w:val="00670A36"/>
    <w:rsid w:val="00671DFD"/>
    <w:rsid w:val="00672B90"/>
    <w:rsid w:val="006747FE"/>
    <w:rsid w:val="006764E1"/>
    <w:rsid w:val="0067759B"/>
    <w:rsid w:val="00680E33"/>
    <w:rsid w:val="00680FCB"/>
    <w:rsid w:val="00681534"/>
    <w:rsid w:val="00681CAA"/>
    <w:rsid w:val="006828B9"/>
    <w:rsid w:val="00684233"/>
    <w:rsid w:val="006845C1"/>
    <w:rsid w:val="00684FAC"/>
    <w:rsid w:val="0068607D"/>
    <w:rsid w:val="006860F1"/>
    <w:rsid w:val="00686A10"/>
    <w:rsid w:val="00686ADD"/>
    <w:rsid w:val="00687CD4"/>
    <w:rsid w:val="00690564"/>
    <w:rsid w:val="00691F58"/>
    <w:rsid w:val="00692275"/>
    <w:rsid w:val="00693333"/>
    <w:rsid w:val="00693CC5"/>
    <w:rsid w:val="0069548A"/>
    <w:rsid w:val="00695BB8"/>
    <w:rsid w:val="00695C73"/>
    <w:rsid w:val="00696C1C"/>
    <w:rsid w:val="00696D38"/>
    <w:rsid w:val="006972AC"/>
    <w:rsid w:val="0069798D"/>
    <w:rsid w:val="006A0029"/>
    <w:rsid w:val="006A0581"/>
    <w:rsid w:val="006A0DE9"/>
    <w:rsid w:val="006A1876"/>
    <w:rsid w:val="006A1E4D"/>
    <w:rsid w:val="006A2265"/>
    <w:rsid w:val="006A24B9"/>
    <w:rsid w:val="006A4546"/>
    <w:rsid w:val="006A46CD"/>
    <w:rsid w:val="006A47E2"/>
    <w:rsid w:val="006A4B35"/>
    <w:rsid w:val="006A4D2B"/>
    <w:rsid w:val="006A4E29"/>
    <w:rsid w:val="006A5C89"/>
    <w:rsid w:val="006A6130"/>
    <w:rsid w:val="006A64C5"/>
    <w:rsid w:val="006A6781"/>
    <w:rsid w:val="006A6D33"/>
    <w:rsid w:val="006A7018"/>
    <w:rsid w:val="006A7027"/>
    <w:rsid w:val="006A7A6F"/>
    <w:rsid w:val="006A7CFB"/>
    <w:rsid w:val="006A7FB8"/>
    <w:rsid w:val="006B01B7"/>
    <w:rsid w:val="006B0483"/>
    <w:rsid w:val="006B0B3B"/>
    <w:rsid w:val="006B1AE9"/>
    <w:rsid w:val="006B1AEB"/>
    <w:rsid w:val="006B2729"/>
    <w:rsid w:val="006B2B6E"/>
    <w:rsid w:val="006B3BBD"/>
    <w:rsid w:val="006B3D9C"/>
    <w:rsid w:val="006B514F"/>
    <w:rsid w:val="006B572B"/>
    <w:rsid w:val="006B5FCE"/>
    <w:rsid w:val="006B6387"/>
    <w:rsid w:val="006B6B7A"/>
    <w:rsid w:val="006B70D4"/>
    <w:rsid w:val="006B7377"/>
    <w:rsid w:val="006C0196"/>
    <w:rsid w:val="006C10EB"/>
    <w:rsid w:val="006C1F0B"/>
    <w:rsid w:val="006C1FD1"/>
    <w:rsid w:val="006C25DF"/>
    <w:rsid w:val="006C2FCF"/>
    <w:rsid w:val="006C583E"/>
    <w:rsid w:val="006C5BBE"/>
    <w:rsid w:val="006C60C6"/>
    <w:rsid w:val="006C7430"/>
    <w:rsid w:val="006C74DF"/>
    <w:rsid w:val="006D1950"/>
    <w:rsid w:val="006D2F9C"/>
    <w:rsid w:val="006D34B8"/>
    <w:rsid w:val="006D5F32"/>
    <w:rsid w:val="006D6191"/>
    <w:rsid w:val="006D6A6A"/>
    <w:rsid w:val="006D6D55"/>
    <w:rsid w:val="006D6F63"/>
    <w:rsid w:val="006D75E8"/>
    <w:rsid w:val="006E03BA"/>
    <w:rsid w:val="006E0712"/>
    <w:rsid w:val="006E08E3"/>
    <w:rsid w:val="006E0C96"/>
    <w:rsid w:val="006E106F"/>
    <w:rsid w:val="006E191F"/>
    <w:rsid w:val="006E1BC1"/>
    <w:rsid w:val="006E1CE7"/>
    <w:rsid w:val="006E209A"/>
    <w:rsid w:val="006E23C6"/>
    <w:rsid w:val="006E2488"/>
    <w:rsid w:val="006E2DE3"/>
    <w:rsid w:val="006E3E42"/>
    <w:rsid w:val="006E4004"/>
    <w:rsid w:val="006E5C2B"/>
    <w:rsid w:val="006E6A44"/>
    <w:rsid w:val="006F0890"/>
    <w:rsid w:val="006F17DC"/>
    <w:rsid w:val="006F2645"/>
    <w:rsid w:val="006F26D3"/>
    <w:rsid w:val="006F27D4"/>
    <w:rsid w:val="006F363B"/>
    <w:rsid w:val="006F37D5"/>
    <w:rsid w:val="006F398E"/>
    <w:rsid w:val="006F44DE"/>
    <w:rsid w:val="006F6F07"/>
    <w:rsid w:val="007003B1"/>
    <w:rsid w:val="0070165A"/>
    <w:rsid w:val="0070230F"/>
    <w:rsid w:val="007031BA"/>
    <w:rsid w:val="00703336"/>
    <w:rsid w:val="007039D9"/>
    <w:rsid w:val="00704288"/>
    <w:rsid w:val="00704AD6"/>
    <w:rsid w:val="00705139"/>
    <w:rsid w:val="00705AD1"/>
    <w:rsid w:val="007062F9"/>
    <w:rsid w:val="00711D73"/>
    <w:rsid w:val="007122C9"/>
    <w:rsid w:val="0071362E"/>
    <w:rsid w:val="00713AE9"/>
    <w:rsid w:val="00713C5A"/>
    <w:rsid w:val="00714161"/>
    <w:rsid w:val="00714CCC"/>
    <w:rsid w:val="00714DE5"/>
    <w:rsid w:val="0071501B"/>
    <w:rsid w:val="007166F7"/>
    <w:rsid w:val="007170D3"/>
    <w:rsid w:val="00717226"/>
    <w:rsid w:val="00717B54"/>
    <w:rsid w:val="00717E2E"/>
    <w:rsid w:val="007201E3"/>
    <w:rsid w:val="0072184D"/>
    <w:rsid w:val="00722D3E"/>
    <w:rsid w:val="00723584"/>
    <w:rsid w:val="00723E61"/>
    <w:rsid w:val="00724E68"/>
    <w:rsid w:val="00727494"/>
    <w:rsid w:val="00730BA6"/>
    <w:rsid w:val="007318C0"/>
    <w:rsid w:val="00731EED"/>
    <w:rsid w:val="007333F2"/>
    <w:rsid w:val="00734AB6"/>
    <w:rsid w:val="00735194"/>
    <w:rsid w:val="00735EB8"/>
    <w:rsid w:val="00736127"/>
    <w:rsid w:val="0073676F"/>
    <w:rsid w:val="00736FBA"/>
    <w:rsid w:val="007409F5"/>
    <w:rsid w:val="007410EA"/>
    <w:rsid w:val="00741476"/>
    <w:rsid w:val="00741B63"/>
    <w:rsid w:val="00741E8F"/>
    <w:rsid w:val="00741F5C"/>
    <w:rsid w:val="00743E4F"/>
    <w:rsid w:val="0074488D"/>
    <w:rsid w:val="00744A39"/>
    <w:rsid w:val="0074570E"/>
    <w:rsid w:val="007458BD"/>
    <w:rsid w:val="0074602B"/>
    <w:rsid w:val="00746385"/>
    <w:rsid w:val="00746B76"/>
    <w:rsid w:val="0074783B"/>
    <w:rsid w:val="007506E9"/>
    <w:rsid w:val="00750B26"/>
    <w:rsid w:val="00752116"/>
    <w:rsid w:val="0075271D"/>
    <w:rsid w:val="00753C18"/>
    <w:rsid w:val="00754FF6"/>
    <w:rsid w:val="007556AC"/>
    <w:rsid w:val="00755744"/>
    <w:rsid w:val="00756A5E"/>
    <w:rsid w:val="00756D28"/>
    <w:rsid w:val="0075717B"/>
    <w:rsid w:val="007602CA"/>
    <w:rsid w:val="007611DF"/>
    <w:rsid w:val="007613E7"/>
    <w:rsid w:val="0076399D"/>
    <w:rsid w:val="0076578C"/>
    <w:rsid w:val="00765ECE"/>
    <w:rsid w:val="0076626B"/>
    <w:rsid w:val="007665C0"/>
    <w:rsid w:val="007665E0"/>
    <w:rsid w:val="007666DC"/>
    <w:rsid w:val="00766DF4"/>
    <w:rsid w:val="00767F5D"/>
    <w:rsid w:val="00771DD8"/>
    <w:rsid w:val="00772C52"/>
    <w:rsid w:val="00772D57"/>
    <w:rsid w:val="007732DD"/>
    <w:rsid w:val="00773DEE"/>
    <w:rsid w:val="00774248"/>
    <w:rsid w:val="00774BCF"/>
    <w:rsid w:val="00774F71"/>
    <w:rsid w:val="007750ED"/>
    <w:rsid w:val="00775B87"/>
    <w:rsid w:val="007760DA"/>
    <w:rsid w:val="007766CF"/>
    <w:rsid w:val="00777F0D"/>
    <w:rsid w:val="007818A2"/>
    <w:rsid w:val="00781917"/>
    <w:rsid w:val="00781A50"/>
    <w:rsid w:val="0078296B"/>
    <w:rsid w:val="00782CEB"/>
    <w:rsid w:val="0078367E"/>
    <w:rsid w:val="0078393C"/>
    <w:rsid w:val="00783EB8"/>
    <w:rsid w:val="007844FD"/>
    <w:rsid w:val="007846CA"/>
    <w:rsid w:val="00784A2D"/>
    <w:rsid w:val="00784CD4"/>
    <w:rsid w:val="0078543E"/>
    <w:rsid w:val="00785950"/>
    <w:rsid w:val="00785A4C"/>
    <w:rsid w:val="0078659E"/>
    <w:rsid w:val="007879CC"/>
    <w:rsid w:val="0079040E"/>
    <w:rsid w:val="007908C5"/>
    <w:rsid w:val="007908C9"/>
    <w:rsid w:val="00790EDC"/>
    <w:rsid w:val="007914BC"/>
    <w:rsid w:val="00791C35"/>
    <w:rsid w:val="00791DE2"/>
    <w:rsid w:val="00792063"/>
    <w:rsid w:val="0079241D"/>
    <w:rsid w:val="007929FB"/>
    <w:rsid w:val="00792D73"/>
    <w:rsid w:val="00793530"/>
    <w:rsid w:val="00793940"/>
    <w:rsid w:val="00793BA9"/>
    <w:rsid w:val="007944BC"/>
    <w:rsid w:val="00794AD1"/>
    <w:rsid w:val="007952D1"/>
    <w:rsid w:val="0079647B"/>
    <w:rsid w:val="00796A0B"/>
    <w:rsid w:val="007A009C"/>
    <w:rsid w:val="007A04AC"/>
    <w:rsid w:val="007A061F"/>
    <w:rsid w:val="007A06DC"/>
    <w:rsid w:val="007A1BEB"/>
    <w:rsid w:val="007A1C9E"/>
    <w:rsid w:val="007A2591"/>
    <w:rsid w:val="007A317B"/>
    <w:rsid w:val="007A32A1"/>
    <w:rsid w:val="007A36A7"/>
    <w:rsid w:val="007A497A"/>
    <w:rsid w:val="007A4B52"/>
    <w:rsid w:val="007A5D36"/>
    <w:rsid w:val="007A5EB3"/>
    <w:rsid w:val="007A68A1"/>
    <w:rsid w:val="007A69CE"/>
    <w:rsid w:val="007A76A5"/>
    <w:rsid w:val="007A77F8"/>
    <w:rsid w:val="007B0212"/>
    <w:rsid w:val="007B0F1F"/>
    <w:rsid w:val="007B33BA"/>
    <w:rsid w:val="007B3B7B"/>
    <w:rsid w:val="007B3C52"/>
    <w:rsid w:val="007B4532"/>
    <w:rsid w:val="007B538B"/>
    <w:rsid w:val="007B66E2"/>
    <w:rsid w:val="007C1AE7"/>
    <w:rsid w:val="007C1BB5"/>
    <w:rsid w:val="007C253D"/>
    <w:rsid w:val="007C2806"/>
    <w:rsid w:val="007C2CFB"/>
    <w:rsid w:val="007C2E09"/>
    <w:rsid w:val="007C3FD0"/>
    <w:rsid w:val="007C4901"/>
    <w:rsid w:val="007C4C45"/>
    <w:rsid w:val="007C4DDD"/>
    <w:rsid w:val="007C5D50"/>
    <w:rsid w:val="007C6C91"/>
    <w:rsid w:val="007C78FE"/>
    <w:rsid w:val="007C7B9D"/>
    <w:rsid w:val="007C7E27"/>
    <w:rsid w:val="007C7FF9"/>
    <w:rsid w:val="007D16B8"/>
    <w:rsid w:val="007D21F3"/>
    <w:rsid w:val="007D3394"/>
    <w:rsid w:val="007D33B5"/>
    <w:rsid w:val="007D4CC8"/>
    <w:rsid w:val="007D59C9"/>
    <w:rsid w:val="007D5B5F"/>
    <w:rsid w:val="007D5DEF"/>
    <w:rsid w:val="007D608B"/>
    <w:rsid w:val="007E015B"/>
    <w:rsid w:val="007E01EE"/>
    <w:rsid w:val="007E0824"/>
    <w:rsid w:val="007E0E9D"/>
    <w:rsid w:val="007E1361"/>
    <w:rsid w:val="007E2456"/>
    <w:rsid w:val="007E24B6"/>
    <w:rsid w:val="007E29EC"/>
    <w:rsid w:val="007E4966"/>
    <w:rsid w:val="007E4A9C"/>
    <w:rsid w:val="007E4B72"/>
    <w:rsid w:val="007E4C51"/>
    <w:rsid w:val="007E52CD"/>
    <w:rsid w:val="007E56E3"/>
    <w:rsid w:val="007E5AE9"/>
    <w:rsid w:val="007E63FD"/>
    <w:rsid w:val="007E73E5"/>
    <w:rsid w:val="007E77F8"/>
    <w:rsid w:val="007F06B5"/>
    <w:rsid w:val="007F16B5"/>
    <w:rsid w:val="007F2A03"/>
    <w:rsid w:val="007F2DE0"/>
    <w:rsid w:val="007F4E7A"/>
    <w:rsid w:val="007F5087"/>
    <w:rsid w:val="007F50F0"/>
    <w:rsid w:val="007F62AC"/>
    <w:rsid w:val="007F7F52"/>
    <w:rsid w:val="00800900"/>
    <w:rsid w:val="00800C00"/>
    <w:rsid w:val="00801125"/>
    <w:rsid w:val="008011CC"/>
    <w:rsid w:val="00801923"/>
    <w:rsid w:val="00802234"/>
    <w:rsid w:val="0080352B"/>
    <w:rsid w:val="008036C2"/>
    <w:rsid w:val="0080376F"/>
    <w:rsid w:val="0080440B"/>
    <w:rsid w:val="00804A69"/>
    <w:rsid w:val="008052C7"/>
    <w:rsid w:val="008101F0"/>
    <w:rsid w:val="00810E6A"/>
    <w:rsid w:val="00811D1A"/>
    <w:rsid w:val="00812754"/>
    <w:rsid w:val="00812A75"/>
    <w:rsid w:val="0081308C"/>
    <w:rsid w:val="0081449C"/>
    <w:rsid w:val="00814A45"/>
    <w:rsid w:val="00814BC9"/>
    <w:rsid w:val="00815710"/>
    <w:rsid w:val="00815D6B"/>
    <w:rsid w:val="00815F1C"/>
    <w:rsid w:val="0081707B"/>
    <w:rsid w:val="008204C2"/>
    <w:rsid w:val="00821C2A"/>
    <w:rsid w:val="008227D4"/>
    <w:rsid w:val="008242B5"/>
    <w:rsid w:val="00824D07"/>
    <w:rsid w:val="008259D6"/>
    <w:rsid w:val="008264FA"/>
    <w:rsid w:val="00826E14"/>
    <w:rsid w:val="00827453"/>
    <w:rsid w:val="0083016D"/>
    <w:rsid w:val="008302FB"/>
    <w:rsid w:val="008303C1"/>
    <w:rsid w:val="008303F2"/>
    <w:rsid w:val="00832250"/>
    <w:rsid w:val="008323A9"/>
    <w:rsid w:val="00832E35"/>
    <w:rsid w:val="00833D93"/>
    <w:rsid w:val="00833ECB"/>
    <w:rsid w:val="00834379"/>
    <w:rsid w:val="00834584"/>
    <w:rsid w:val="00834A8D"/>
    <w:rsid w:val="008357CB"/>
    <w:rsid w:val="00836216"/>
    <w:rsid w:val="00836D2F"/>
    <w:rsid w:val="008375E6"/>
    <w:rsid w:val="00837730"/>
    <w:rsid w:val="00837BCB"/>
    <w:rsid w:val="00837D81"/>
    <w:rsid w:val="00840080"/>
    <w:rsid w:val="00840BDC"/>
    <w:rsid w:val="00844347"/>
    <w:rsid w:val="00845004"/>
    <w:rsid w:val="0084500E"/>
    <w:rsid w:val="00845E64"/>
    <w:rsid w:val="00846365"/>
    <w:rsid w:val="0085021E"/>
    <w:rsid w:val="008503A7"/>
    <w:rsid w:val="00850611"/>
    <w:rsid w:val="00851042"/>
    <w:rsid w:val="00851529"/>
    <w:rsid w:val="008515B6"/>
    <w:rsid w:val="008516CE"/>
    <w:rsid w:val="00851DC5"/>
    <w:rsid w:val="0085202D"/>
    <w:rsid w:val="00853438"/>
    <w:rsid w:val="00853459"/>
    <w:rsid w:val="00853DCF"/>
    <w:rsid w:val="008547DB"/>
    <w:rsid w:val="00854C94"/>
    <w:rsid w:val="00855F03"/>
    <w:rsid w:val="00856044"/>
    <w:rsid w:val="00856867"/>
    <w:rsid w:val="00856F7D"/>
    <w:rsid w:val="008603F1"/>
    <w:rsid w:val="0086084B"/>
    <w:rsid w:val="00861923"/>
    <w:rsid w:val="0086232B"/>
    <w:rsid w:val="00862505"/>
    <w:rsid w:val="00862874"/>
    <w:rsid w:val="00862C0A"/>
    <w:rsid w:val="0086339A"/>
    <w:rsid w:val="008633A2"/>
    <w:rsid w:val="0086372D"/>
    <w:rsid w:val="00863A29"/>
    <w:rsid w:val="0086493C"/>
    <w:rsid w:val="00864C49"/>
    <w:rsid w:val="00865249"/>
    <w:rsid w:val="00865A7A"/>
    <w:rsid w:val="00865D76"/>
    <w:rsid w:val="0086638F"/>
    <w:rsid w:val="008667DF"/>
    <w:rsid w:val="00866F99"/>
    <w:rsid w:val="00867C92"/>
    <w:rsid w:val="00867EE6"/>
    <w:rsid w:val="00867F02"/>
    <w:rsid w:val="00871E2F"/>
    <w:rsid w:val="0087208E"/>
    <w:rsid w:val="00872B15"/>
    <w:rsid w:val="00873EB7"/>
    <w:rsid w:val="00874291"/>
    <w:rsid w:val="00874C05"/>
    <w:rsid w:val="00876875"/>
    <w:rsid w:val="00876AD1"/>
    <w:rsid w:val="00877710"/>
    <w:rsid w:val="00877DE4"/>
    <w:rsid w:val="0088035F"/>
    <w:rsid w:val="00880915"/>
    <w:rsid w:val="008810EB"/>
    <w:rsid w:val="008822D6"/>
    <w:rsid w:val="00882492"/>
    <w:rsid w:val="008826B4"/>
    <w:rsid w:val="00882A26"/>
    <w:rsid w:val="00882F2E"/>
    <w:rsid w:val="00882F81"/>
    <w:rsid w:val="008833DD"/>
    <w:rsid w:val="00883444"/>
    <w:rsid w:val="0088458A"/>
    <w:rsid w:val="008846E5"/>
    <w:rsid w:val="00884979"/>
    <w:rsid w:val="00884D79"/>
    <w:rsid w:val="00886CED"/>
    <w:rsid w:val="00886F38"/>
    <w:rsid w:val="0088720C"/>
    <w:rsid w:val="00887FA8"/>
    <w:rsid w:val="00890F30"/>
    <w:rsid w:val="00892175"/>
    <w:rsid w:val="00892C74"/>
    <w:rsid w:val="008931BF"/>
    <w:rsid w:val="008947C8"/>
    <w:rsid w:val="008952EF"/>
    <w:rsid w:val="00895615"/>
    <w:rsid w:val="00895CDD"/>
    <w:rsid w:val="008966A9"/>
    <w:rsid w:val="00897497"/>
    <w:rsid w:val="0089767D"/>
    <w:rsid w:val="00897729"/>
    <w:rsid w:val="00897817"/>
    <w:rsid w:val="00897989"/>
    <w:rsid w:val="00897A5C"/>
    <w:rsid w:val="00897A89"/>
    <w:rsid w:val="008A0BAE"/>
    <w:rsid w:val="008A0C39"/>
    <w:rsid w:val="008A2443"/>
    <w:rsid w:val="008A32D2"/>
    <w:rsid w:val="008A40A6"/>
    <w:rsid w:val="008A50E4"/>
    <w:rsid w:val="008A5A84"/>
    <w:rsid w:val="008A7DB4"/>
    <w:rsid w:val="008B0D8F"/>
    <w:rsid w:val="008B11E4"/>
    <w:rsid w:val="008B1872"/>
    <w:rsid w:val="008B1C8C"/>
    <w:rsid w:val="008B2297"/>
    <w:rsid w:val="008B25C0"/>
    <w:rsid w:val="008B2703"/>
    <w:rsid w:val="008B2D39"/>
    <w:rsid w:val="008B3812"/>
    <w:rsid w:val="008B6002"/>
    <w:rsid w:val="008B6761"/>
    <w:rsid w:val="008B6872"/>
    <w:rsid w:val="008B7938"/>
    <w:rsid w:val="008B7AE8"/>
    <w:rsid w:val="008C06C0"/>
    <w:rsid w:val="008C10B9"/>
    <w:rsid w:val="008C10CE"/>
    <w:rsid w:val="008C298C"/>
    <w:rsid w:val="008C45F0"/>
    <w:rsid w:val="008C54AB"/>
    <w:rsid w:val="008C6194"/>
    <w:rsid w:val="008C6D00"/>
    <w:rsid w:val="008D04EA"/>
    <w:rsid w:val="008D0810"/>
    <w:rsid w:val="008D0B76"/>
    <w:rsid w:val="008D1174"/>
    <w:rsid w:val="008D1CCE"/>
    <w:rsid w:val="008D2128"/>
    <w:rsid w:val="008D28EA"/>
    <w:rsid w:val="008D3059"/>
    <w:rsid w:val="008D3281"/>
    <w:rsid w:val="008D3323"/>
    <w:rsid w:val="008D3716"/>
    <w:rsid w:val="008D3DCE"/>
    <w:rsid w:val="008D3ED1"/>
    <w:rsid w:val="008D4055"/>
    <w:rsid w:val="008D4538"/>
    <w:rsid w:val="008D6210"/>
    <w:rsid w:val="008D6CE1"/>
    <w:rsid w:val="008D6E8B"/>
    <w:rsid w:val="008D710D"/>
    <w:rsid w:val="008D7F73"/>
    <w:rsid w:val="008E0C63"/>
    <w:rsid w:val="008E1174"/>
    <w:rsid w:val="008E1E94"/>
    <w:rsid w:val="008E1EBD"/>
    <w:rsid w:val="008E5BF6"/>
    <w:rsid w:val="008E6279"/>
    <w:rsid w:val="008E63D6"/>
    <w:rsid w:val="008E77D0"/>
    <w:rsid w:val="008F0495"/>
    <w:rsid w:val="008F05C4"/>
    <w:rsid w:val="008F13EC"/>
    <w:rsid w:val="008F2ED5"/>
    <w:rsid w:val="008F3B2B"/>
    <w:rsid w:val="008F52F8"/>
    <w:rsid w:val="008F5397"/>
    <w:rsid w:val="008F56F4"/>
    <w:rsid w:val="008F5EE4"/>
    <w:rsid w:val="008F5F8C"/>
    <w:rsid w:val="008F5FA6"/>
    <w:rsid w:val="008F7808"/>
    <w:rsid w:val="008F78DC"/>
    <w:rsid w:val="008F7F1A"/>
    <w:rsid w:val="009010D2"/>
    <w:rsid w:val="00901B9C"/>
    <w:rsid w:val="00902659"/>
    <w:rsid w:val="009027CD"/>
    <w:rsid w:val="009037D9"/>
    <w:rsid w:val="00905305"/>
    <w:rsid w:val="00905959"/>
    <w:rsid w:val="009060A9"/>
    <w:rsid w:val="0090655A"/>
    <w:rsid w:val="00907A34"/>
    <w:rsid w:val="009107B6"/>
    <w:rsid w:val="00912373"/>
    <w:rsid w:val="00912D17"/>
    <w:rsid w:val="009133F2"/>
    <w:rsid w:val="00916598"/>
    <w:rsid w:val="00916AA4"/>
    <w:rsid w:val="00916BAD"/>
    <w:rsid w:val="00917B48"/>
    <w:rsid w:val="00921ABC"/>
    <w:rsid w:val="00921CCF"/>
    <w:rsid w:val="00921D1A"/>
    <w:rsid w:val="00921FAC"/>
    <w:rsid w:val="00922BC1"/>
    <w:rsid w:val="00922D52"/>
    <w:rsid w:val="009236CD"/>
    <w:rsid w:val="00923CA6"/>
    <w:rsid w:val="00923CC1"/>
    <w:rsid w:val="00924089"/>
    <w:rsid w:val="00924097"/>
    <w:rsid w:val="009249BD"/>
    <w:rsid w:val="00924C5F"/>
    <w:rsid w:val="00925076"/>
    <w:rsid w:val="0092567A"/>
    <w:rsid w:val="00925FFF"/>
    <w:rsid w:val="00926657"/>
    <w:rsid w:val="00927B74"/>
    <w:rsid w:val="009311E3"/>
    <w:rsid w:val="00931618"/>
    <w:rsid w:val="00931F19"/>
    <w:rsid w:val="00932534"/>
    <w:rsid w:val="0093282D"/>
    <w:rsid w:val="00932834"/>
    <w:rsid w:val="0093361E"/>
    <w:rsid w:val="009336B8"/>
    <w:rsid w:val="0093372D"/>
    <w:rsid w:val="009346E7"/>
    <w:rsid w:val="00934D3C"/>
    <w:rsid w:val="00934E4B"/>
    <w:rsid w:val="00935BE6"/>
    <w:rsid w:val="00936E8E"/>
    <w:rsid w:val="009376DF"/>
    <w:rsid w:val="009377FC"/>
    <w:rsid w:val="0093790D"/>
    <w:rsid w:val="00940C92"/>
    <w:rsid w:val="00941D11"/>
    <w:rsid w:val="009428A7"/>
    <w:rsid w:val="00942BC5"/>
    <w:rsid w:val="00943C1D"/>
    <w:rsid w:val="00944218"/>
    <w:rsid w:val="00944A3A"/>
    <w:rsid w:val="00945B5C"/>
    <w:rsid w:val="00947239"/>
    <w:rsid w:val="00947F30"/>
    <w:rsid w:val="00951D3B"/>
    <w:rsid w:val="00951DFC"/>
    <w:rsid w:val="00952200"/>
    <w:rsid w:val="00952FAD"/>
    <w:rsid w:val="0095361D"/>
    <w:rsid w:val="00953837"/>
    <w:rsid w:val="00953E57"/>
    <w:rsid w:val="00954C2A"/>
    <w:rsid w:val="00955576"/>
    <w:rsid w:val="009555B2"/>
    <w:rsid w:val="00955677"/>
    <w:rsid w:val="00957A69"/>
    <w:rsid w:val="00957A90"/>
    <w:rsid w:val="00957C1A"/>
    <w:rsid w:val="00957E1F"/>
    <w:rsid w:val="0096083B"/>
    <w:rsid w:val="00960CC0"/>
    <w:rsid w:val="00961171"/>
    <w:rsid w:val="00961507"/>
    <w:rsid w:val="0096157C"/>
    <w:rsid w:val="0096162A"/>
    <w:rsid w:val="00961D6B"/>
    <w:rsid w:val="00962EBF"/>
    <w:rsid w:val="009636E5"/>
    <w:rsid w:val="00963BE0"/>
    <w:rsid w:val="00964685"/>
    <w:rsid w:val="00965903"/>
    <w:rsid w:val="00965C20"/>
    <w:rsid w:val="0096712F"/>
    <w:rsid w:val="0096714F"/>
    <w:rsid w:val="00970214"/>
    <w:rsid w:val="00970429"/>
    <w:rsid w:val="00970604"/>
    <w:rsid w:val="009746A3"/>
    <w:rsid w:val="009762A1"/>
    <w:rsid w:val="00976ADE"/>
    <w:rsid w:val="00976CF0"/>
    <w:rsid w:val="009774D0"/>
    <w:rsid w:val="00977753"/>
    <w:rsid w:val="00977ED2"/>
    <w:rsid w:val="00980A1B"/>
    <w:rsid w:val="00980FC5"/>
    <w:rsid w:val="009819B7"/>
    <w:rsid w:val="00981F3D"/>
    <w:rsid w:val="009838AA"/>
    <w:rsid w:val="00983D15"/>
    <w:rsid w:val="00985CFE"/>
    <w:rsid w:val="0098654F"/>
    <w:rsid w:val="00987515"/>
    <w:rsid w:val="00987BF3"/>
    <w:rsid w:val="009903A7"/>
    <w:rsid w:val="00991452"/>
    <w:rsid w:val="00991DA0"/>
    <w:rsid w:val="0099331F"/>
    <w:rsid w:val="009940F3"/>
    <w:rsid w:val="00995301"/>
    <w:rsid w:val="009953D2"/>
    <w:rsid w:val="0099570E"/>
    <w:rsid w:val="00995B6D"/>
    <w:rsid w:val="00996069"/>
    <w:rsid w:val="00997D9E"/>
    <w:rsid w:val="009A0D84"/>
    <w:rsid w:val="009A3CBC"/>
    <w:rsid w:val="009A466E"/>
    <w:rsid w:val="009A54BB"/>
    <w:rsid w:val="009A7785"/>
    <w:rsid w:val="009A7891"/>
    <w:rsid w:val="009A7DE9"/>
    <w:rsid w:val="009B0CD4"/>
    <w:rsid w:val="009B0CDE"/>
    <w:rsid w:val="009B2B83"/>
    <w:rsid w:val="009B331E"/>
    <w:rsid w:val="009B4B01"/>
    <w:rsid w:val="009B4C71"/>
    <w:rsid w:val="009B596A"/>
    <w:rsid w:val="009B61A1"/>
    <w:rsid w:val="009B7935"/>
    <w:rsid w:val="009C094B"/>
    <w:rsid w:val="009C0A44"/>
    <w:rsid w:val="009C0C6D"/>
    <w:rsid w:val="009C1278"/>
    <w:rsid w:val="009C20D3"/>
    <w:rsid w:val="009C2331"/>
    <w:rsid w:val="009C264D"/>
    <w:rsid w:val="009C3225"/>
    <w:rsid w:val="009C3382"/>
    <w:rsid w:val="009C379F"/>
    <w:rsid w:val="009C385D"/>
    <w:rsid w:val="009C3BDF"/>
    <w:rsid w:val="009C3F77"/>
    <w:rsid w:val="009C47DF"/>
    <w:rsid w:val="009C5D0E"/>
    <w:rsid w:val="009C61CE"/>
    <w:rsid w:val="009C6CCE"/>
    <w:rsid w:val="009C6E29"/>
    <w:rsid w:val="009C72B4"/>
    <w:rsid w:val="009C7BC5"/>
    <w:rsid w:val="009D085C"/>
    <w:rsid w:val="009D1AE9"/>
    <w:rsid w:val="009D1C23"/>
    <w:rsid w:val="009D3283"/>
    <w:rsid w:val="009D3585"/>
    <w:rsid w:val="009D3634"/>
    <w:rsid w:val="009D4A4A"/>
    <w:rsid w:val="009D4CEB"/>
    <w:rsid w:val="009D5B1F"/>
    <w:rsid w:val="009D69C1"/>
    <w:rsid w:val="009D6E1B"/>
    <w:rsid w:val="009D7815"/>
    <w:rsid w:val="009D7D07"/>
    <w:rsid w:val="009E02BE"/>
    <w:rsid w:val="009E05E2"/>
    <w:rsid w:val="009E104E"/>
    <w:rsid w:val="009E1133"/>
    <w:rsid w:val="009E22EE"/>
    <w:rsid w:val="009E2F3D"/>
    <w:rsid w:val="009E2F5F"/>
    <w:rsid w:val="009E34CE"/>
    <w:rsid w:val="009E4C32"/>
    <w:rsid w:val="009E52D9"/>
    <w:rsid w:val="009E600F"/>
    <w:rsid w:val="009E69B6"/>
    <w:rsid w:val="009E6AE0"/>
    <w:rsid w:val="009E74B4"/>
    <w:rsid w:val="009F0C9D"/>
    <w:rsid w:val="009F111A"/>
    <w:rsid w:val="009F13E6"/>
    <w:rsid w:val="009F15A4"/>
    <w:rsid w:val="009F2767"/>
    <w:rsid w:val="009F396B"/>
    <w:rsid w:val="009F3FE9"/>
    <w:rsid w:val="009F4086"/>
    <w:rsid w:val="009F45E2"/>
    <w:rsid w:val="009F524B"/>
    <w:rsid w:val="009F5E7B"/>
    <w:rsid w:val="009F5F23"/>
    <w:rsid w:val="009F6B52"/>
    <w:rsid w:val="009F75D0"/>
    <w:rsid w:val="00A00AE9"/>
    <w:rsid w:val="00A011D0"/>
    <w:rsid w:val="00A01FC9"/>
    <w:rsid w:val="00A02416"/>
    <w:rsid w:val="00A02435"/>
    <w:rsid w:val="00A02E4F"/>
    <w:rsid w:val="00A03B0E"/>
    <w:rsid w:val="00A03E6F"/>
    <w:rsid w:val="00A04187"/>
    <w:rsid w:val="00A04328"/>
    <w:rsid w:val="00A05861"/>
    <w:rsid w:val="00A0796F"/>
    <w:rsid w:val="00A07E52"/>
    <w:rsid w:val="00A10851"/>
    <w:rsid w:val="00A10C55"/>
    <w:rsid w:val="00A13212"/>
    <w:rsid w:val="00A135F2"/>
    <w:rsid w:val="00A13630"/>
    <w:rsid w:val="00A13884"/>
    <w:rsid w:val="00A13A47"/>
    <w:rsid w:val="00A1426B"/>
    <w:rsid w:val="00A142E0"/>
    <w:rsid w:val="00A164D9"/>
    <w:rsid w:val="00A166FF"/>
    <w:rsid w:val="00A172EE"/>
    <w:rsid w:val="00A1766C"/>
    <w:rsid w:val="00A17A21"/>
    <w:rsid w:val="00A2058A"/>
    <w:rsid w:val="00A20720"/>
    <w:rsid w:val="00A2190B"/>
    <w:rsid w:val="00A21F5B"/>
    <w:rsid w:val="00A22EC3"/>
    <w:rsid w:val="00A2305F"/>
    <w:rsid w:val="00A25492"/>
    <w:rsid w:val="00A263B8"/>
    <w:rsid w:val="00A263E5"/>
    <w:rsid w:val="00A26685"/>
    <w:rsid w:val="00A268B1"/>
    <w:rsid w:val="00A27463"/>
    <w:rsid w:val="00A278B5"/>
    <w:rsid w:val="00A30BF5"/>
    <w:rsid w:val="00A313C3"/>
    <w:rsid w:val="00A323BF"/>
    <w:rsid w:val="00A3267E"/>
    <w:rsid w:val="00A33D37"/>
    <w:rsid w:val="00A342ED"/>
    <w:rsid w:val="00A36139"/>
    <w:rsid w:val="00A369C3"/>
    <w:rsid w:val="00A36CF4"/>
    <w:rsid w:val="00A376FC"/>
    <w:rsid w:val="00A4056F"/>
    <w:rsid w:val="00A41094"/>
    <w:rsid w:val="00A42142"/>
    <w:rsid w:val="00A42294"/>
    <w:rsid w:val="00A43106"/>
    <w:rsid w:val="00A43E3D"/>
    <w:rsid w:val="00A454A1"/>
    <w:rsid w:val="00A45595"/>
    <w:rsid w:val="00A472E2"/>
    <w:rsid w:val="00A50659"/>
    <w:rsid w:val="00A506AA"/>
    <w:rsid w:val="00A522E4"/>
    <w:rsid w:val="00A53835"/>
    <w:rsid w:val="00A54476"/>
    <w:rsid w:val="00A564A7"/>
    <w:rsid w:val="00A57123"/>
    <w:rsid w:val="00A61854"/>
    <w:rsid w:val="00A629AB"/>
    <w:rsid w:val="00A629BD"/>
    <w:rsid w:val="00A62CEC"/>
    <w:rsid w:val="00A62E89"/>
    <w:rsid w:val="00A63027"/>
    <w:rsid w:val="00A632F2"/>
    <w:rsid w:val="00A6434E"/>
    <w:rsid w:val="00A64D8D"/>
    <w:rsid w:val="00A65930"/>
    <w:rsid w:val="00A66905"/>
    <w:rsid w:val="00A66C63"/>
    <w:rsid w:val="00A66CBA"/>
    <w:rsid w:val="00A71705"/>
    <w:rsid w:val="00A72DB0"/>
    <w:rsid w:val="00A73092"/>
    <w:rsid w:val="00A73C23"/>
    <w:rsid w:val="00A73C9E"/>
    <w:rsid w:val="00A74418"/>
    <w:rsid w:val="00A7470D"/>
    <w:rsid w:val="00A74ABB"/>
    <w:rsid w:val="00A74F01"/>
    <w:rsid w:val="00A753EA"/>
    <w:rsid w:val="00A75E47"/>
    <w:rsid w:val="00A762E5"/>
    <w:rsid w:val="00A7743E"/>
    <w:rsid w:val="00A80C2A"/>
    <w:rsid w:val="00A8138B"/>
    <w:rsid w:val="00A83557"/>
    <w:rsid w:val="00A83589"/>
    <w:rsid w:val="00A839F1"/>
    <w:rsid w:val="00A8473E"/>
    <w:rsid w:val="00A84EB9"/>
    <w:rsid w:val="00A84ED7"/>
    <w:rsid w:val="00A8659F"/>
    <w:rsid w:val="00A86A47"/>
    <w:rsid w:val="00A90B1C"/>
    <w:rsid w:val="00A918BD"/>
    <w:rsid w:val="00A91F46"/>
    <w:rsid w:val="00A944B5"/>
    <w:rsid w:val="00A9584C"/>
    <w:rsid w:val="00A959B6"/>
    <w:rsid w:val="00A95C60"/>
    <w:rsid w:val="00A95CC8"/>
    <w:rsid w:val="00A97440"/>
    <w:rsid w:val="00AA1622"/>
    <w:rsid w:val="00AA1DA5"/>
    <w:rsid w:val="00AA2325"/>
    <w:rsid w:val="00AA288D"/>
    <w:rsid w:val="00AA321A"/>
    <w:rsid w:val="00AA34BE"/>
    <w:rsid w:val="00AA4E39"/>
    <w:rsid w:val="00AA5E48"/>
    <w:rsid w:val="00AA7049"/>
    <w:rsid w:val="00AA705E"/>
    <w:rsid w:val="00AA778F"/>
    <w:rsid w:val="00AA7A37"/>
    <w:rsid w:val="00AA7A8D"/>
    <w:rsid w:val="00AA7DED"/>
    <w:rsid w:val="00AB0507"/>
    <w:rsid w:val="00AB189F"/>
    <w:rsid w:val="00AB1976"/>
    <w:rsid w:val="00AB197C"/>
    <w:rsid w:val="00AB1EA5"/>
    <w:rsid w:val="00AB20DB"/>
    <w:rsid w:val="00AB2331"/>
    <w:rsid w:val="00AB24DC"/>
    <w:rsid w:val="00AB28BE"/>
    <w:rsid w:val="00AB2EB2"/>
    <w:rsid w:val="00AB3C1D"/>
    <w:rsid w:val="00AB3E2C"/>
    <w:rsid w:val="00AB4185"/>
    <w:rsid w:val="00AB4A6E"/>
    <w:rsid w:val="00AB61F6"/>
    <w:rsid w:val="00AB63D5"/>
    <w:rsid w:val="00AB70DC"/>
    <w:rsid w:val="00AB7DA7"/>
    <w:rsid w:val="00AC0222"/>
    <w:rsid w:val="00AC0566"/>
    <w:rsid w:val="00AC0575"/>
    <w:rsid w:val="00AC1C2D"/>
    <w:rsid w:val="00AC296D"/>
    <w:rsid w:val="00AC3B96"/>
    <w:rsid w:val="00AC44D4"/>
    <w:rsid w:val="00AC601E"/>
    <w:rsid w:val="00AC6B1E"/>
    <w:rsid w:val="00AC70A7"/>
    <w:rsid w:val="00AC7448"/>
    <w:rsid w:val="00AC745A"/>
    <w:rsid w:val="00AC76EA"/>
    <w:rsid w:val="00AC791B"/>
    <w:rsid w:val="00AD0C28"/>
    <w:rsid w:val="00AD0EDF"/>
    <w:rsid w:val="00AD117E"/>
    <w:rsid w:val="00AD1349"/>
    <w:rsid w:val="00AD1461"/>
    <w:rsid w:val="00AD22DE"/>
    <w:rsid w:val="00AD24B4"/>
    <w:rsid w:val="00AD2DC0"/>
    <w:rsid w:val="00AD2E81"/>
    <w:rsid w:val="00AD3C3C"/>
    <w:rsid w:val="00AD3EFC"/>
    <w:rsid w:val="00AD7546"/>
    <w:rsid w:val="00AD77B5"/>
    <w:rsid w:val="00AE02B9"/>
    <w:rsid w:val="00AE24A6"/>
    <w:rsid w:val="00AE3A9B"/>
    <w:rsid w:val="00AE466D"/>
    <w:rsid w:val="00AE4F32"/>
    <w:rsid w:val="00AE5B71"/>
    <w:rsid w:val="00AE5EF2"/>
    <w:rsid w:val="00AE5F21"/>
    <w:rsid w:val="00AE6859"/>
    <w:rsid w:val="00AE6DEC"/>
    <w:rsid w:val="00AE75D5"/>
    <w:rsid w:val="00AE775B"/>
    <w:rsid w:val="00AE7876"/>
    <w:rsid w:val="00AE7B2D"/>
    <w:rsid w:val="00AF01B5"/>
    <w:rsid w:val="00AF0402"/>
    <w:rsid w:val="00AF14AD"/>
    <w:rsid w:val="00AF24BE"/>
    <w:rsid w:val="00AF2E24"/>
    <w:rsid w:val="00AF32A9"/>
    <w:rsid w:val="00AF3C5A"/>
    <w:rsid w:val="00AF3DB8"/>
    <w:rsid w:val="00AF3DFD"/>
    <w:rsid w:val="00AF49BE"/>
    <w:rsid w:val="00AF4BF3"/>
    <w:rsid w:val="00AF5184"/>
    <w:rsid w:val="00AF53F1"/>
    <w:rsid w:val="00AF6203"/>
    <w:rsid w:val="00AF675C"/>
    <w:rsid w:val="00AF7213"/>
    <w:rsid w:val="00AF7BF6"/>
    <w:rsid w:val="00B003CF"/>
    <w:rsid w:val="00B014D3"/>
    <w:rsid w:val="00B01F19"/>
    <w:rsid w:val="00B03442"/>
    <w:rsid w:val="00B03C69"/>
    <w:rsid w:val="00B042CB"/>
    <w:rsid w:val="00B04EBB"/>
    <w:rsid w:val="00B05A40"/>
    <w:rsid w:val="00B05CAC"/>
    <w:rsid w:val="00B05F03"/>
    <w:rsid w:val="00B071C9"/>
    <w:rsid w:val="00B0759E"/>
    <w:rsid w:val="00B10293"/>
    <w:rsid w:val="00B1122A"/>
    <w:rsid w:val="00B112AF"/>
    <w:rsid w:val="00B11940"/>
    <w:rsid w:val="00B121FE"/>
    <w:rsid w:val="00B1522F"/>
    <w:rsid w:val="00B152FE"/>
    <w:rsid w:val="00B15CCC"/>
    <w:rsid w:val="00B16531"/>
    <w:rsid w:val="00B16594"/>
    <w:rsid w:val="00B17C48"/>
    <w:rsid w:val="00B17D0B"/>
    <w:rsid w:val="00B209F0"/>
    <w:rsid w:val="00B2146E"/>
    <w:rsid w:val="00B2187D"/>
    <w:rsid w:val="00B21BA6"/>
    <w:rsid w:val="00B21C6D"/>
    <w:rsid w:val="00B21FC8"/>
    <w:rsid w:val="00B23C63"/>
    <w:rsid w:val="00B250F6"/>
    <w:rsid w:val="00B2547C"/>
    <w:rsid w:val="00B25E8C"/>
    <w:rsid w:val="00B26074"/>
    <w:rsid w:val="00B269FC"/>
    <w:rsid w:val="00B273F4"/>
    <w:rsid w:val="00B27A64"/>
    <w:rsid w:val="00B30C5E"/>
    <w:rsid w:val="00B31566"/>
    <w:rsid w:val="00B31ABF"/>
    <w:rsid w:val="00B3271C"/>
    <w:rsid w:val="00B32881"/>
    <w:rsid w:val="00B332AE"/>
    <w:rsid w:val="00B33DC3"/>
    <w:rsid w:val="00B33DCF"/>
    <w:rsid w:val="00B344EF"/>
    <w:rsid w:val="00B34594"/>
    <w:rsid w:val="00B34792"/>
    <w:rsid w:val="00B350C3"/>
    <w:rsid w:val="00B356F6"/>
    <w:rsid w:val="00B359CD"/>
    <w:rsid w:val="00B3653C"/>
    <w:rsid w:val="00B37FD0"/>
    <w:rsid w:val="00B422B1"/>
    <w:rsid w:val="00B4329B"/>
    <w:rsid w:val="00B43CA3"/>
    <w:rsid w:val="00B45ACF"/>
    <w:rsid w:val="00B45BE3"/>
    <w:rsid w:val="00B45CBF"/>
    <w:rsid w:val="00B46C24"/>
    <w:rsid w:val="00B47285"/>
    <w:rsid w:val="00B47D72"/>
    <w:rsid w:val="00B503BF"/>
    <w:rsid w:val="00B516F8"/>
    <w:rsid w:val="00B520F1"/>
    <w:rsid w:val="00B53202"/>
    <w:rsid w:val="00B5424C"/>
    <w:rsid w:val="00B5577D"/>
    <w:rsid w:val="00B55C27"/>
    <w:rsid w:val="00B561C4"/>
    <w:rsid w:val="00B57D9B"/>
    <w:rsid w:val="00B60216"/>
    <w:rsid w:val="00B610A5"/>
    <w:rsid w:val="00B61C3A"/>
    <w:rsid w:val="00B633E6"/>
    <w:rsid w:val="00B640FC"/>
    <w:rsid w:val="00B64A95"/>
    <w:rsid w:val="00B64B58"/>
    <w:rsid w:val="00B65ADE"/>
    <w:rsid w:val="00B66B17"/>
    <w:rsid w:val="00B66C84"/>
    <w:rsid w:val="00B67540"/>
    <w:rsid w:val="00B67855"/>
    <w:rsid w:val="00B67B32"/>
    <w:rsid w:val="00B703EE"/>
    <w:rsid w:val="00B7090A"/>
    <w:rsid w:val="00B720D3"/>
    <w:rsid w:val="00B73256"/>
    <w:rsid w:val="00B735FA"/>
    <w:rsid w:val="00B73C34"/>
    <w:rsid w:val="00B73EF4"/>
    <w:rsid w:val="00B755AA"/>
    <w:rsid w:val="00B756A9"/>
    <w:rsid w:val="00B76659"/>
    <w:rsid w:val="00B773F7"/>
    <w:rsid w:val="00B777AA"/>
    <w:rsid w:val="00B80922"/>
    <w:rsid w:val="00B828ED"/>
    <w:rsid w:val="00B83625"/>
    <w:rsid w:val="00B83626"/>
    <w:rsid w:val="00B83BD5"/>
    <w:rsid w:val="00B84A76"/>
    <w:rsid w:val="00B84DAD"/>
    <w:rsid w:val="00B86830"/>
    <w:rsid w:val="00B86ED7"/>
    <w:rsid w:val="00B9041F"/>
    <w:rsid w:val="00B9127C"/>
    <w:rsid w:val="00B916C2"/>
    <w:rsid w:val="00B9178F"/>
    <w:rsid w:val="00B91FBC"/>
    <w:rsid w:val="00B93723"/>
    <w:rsid w:val="00B95199"/>
    <w:rsid w:val="00B95A65"/>
    <w:rsid w:val="00B96599"/>
    <w:rsid w:val="00B96D66"/>
    <w:rsid w:val="00B9753A"/>
    <w:rsid w:val="00BA0B6F"/>
    <w:rsid w:val="00BA0F77"/>
    <w:rsid w:val="00BA2EF0"/>
    <w:rsid w:val="00BA35C0"/>
    <w:rsid w:val="00BA3B4D"/>
    <w:rsid w:val="00BA4053"/>
    <w:rsid w:val="00BA4929"/>
    <w:rsid w:val="00BA4AB0"/>
    <w:rsid w:val="00BA7930"/>
    <w:rsid w:val="00BA7DA2"/>
    <w:rsid w:val="00BB00FD"/>
    <w:rsid w:val="00BB128B"/>
    <w:rsid w:val="00BB1566"/>
    <w:rsid w:val="00BB1641"/>
    <w:rsid w:val="00BB288D"/>
    <w:rsid w:val="00BB2A36"/>
    <w:rsid w:val="00BB37F8"/>
    <w:rsid w:val="00BB673B"/>
    <w:rsid w:val="00BB6E2A"/>
    <w:rsid w:val="00BB7A95"/>
    <w:rsid w:val="00BC1851"/>
    <w:rsid w:val="00BC1E7F"/>
    <w:rsid w:val="00BC234D"/>
    <w:rsid w:val="00BC253D"/>
    <w:rsid w:val="00BC34CE"/>
    <w:rsid w:val="00BC38F7"/>
    <w:rsid w:val="00BC483A"/>
    <w:rsid w:val="00BC48E0"/>
    <w:rsid w:val="00BC4F49"/>
    <w:rsid w:val="00BC4FAC"/>
    <w:rsid w:val="00BC569E"/>
    <w:rsid w:val="00BC597F"/>
    <w:rsid w:val="00BC5BEE"/>
    <w:rsid w:val="00BC5E7A"/>
    <w:rsid w:val="00BC6C05"/>
    <w:rsid w:val="00BC7352"/>
    <w:rsid w:val="00BD0981"/>
    <w:rsid w:val="00BD15C1"/>
    <w:rsid w:val="00BD1BFE"/>
    <w:rsid w:val="00BD2070"/>
    <w:rsid w:val="00BD28EF"/>
    <w:rsid w:val="00BD3100"/>
    <w:rsid w:val="00BD345F"/>
    <w:rsid w:val="00BD42C5"/>
    <w:rsid w:val="00BD4329"/>
    <w:rsid w:val="00BD58EF"/>
    <w:rsid w:val="00BD6678"/>
    <w:rsid w:val="00BD7156"/>
    <w:rsid w:val="00BD71A1"/>
    <w:rsid w:val="00BE0C81"/>
    <w:rsid w:val="00BE0ED3"/>
    <w:rsid w:val="00BE109F"/>
    <w:rsid w:val="00BE1D4A"/>
    <w:rsid w:val="00BE207A"/>
    <w:rsid w:val="00BE2D70"/>
    <w:rsid w:val="00BE31F3"/>
    <w:rsid w:val="00BE3753"/>
    <w:rsid w:val="00BE3EEE"/>
    <w:rsid w:val="00BE4682"/>
    <w:rsid w:val="00BE4AA1"/>
    <w:rsid w:val="00BE57BB"/>
    <w:rsid w:val="00BE5842"/>
    <w:rsid w:val="00BE5EF2"/>
    <w:rsid w:val="00BE6DEF"/>
    <w:rsid w:val="00BF00DD"/>
    <w:rsid w:val="00BF100F"/>
    <w:rsid w:val="00BF11D1"/>
    <w:rsid w:val="00BF17E8"/>
    <w:rsid w:val="00BF1DD0"/>
    <w:rsid w:val="00BF3B43"/>
    <w:rsid w:val="00BF605F"/>
    <w:rsid w:val="00BF6213"/>
    <w:rsid w:val="00BF7077"/>
    <w:rsid w:val="00BF7917"/>
    <w:rsid w:val="00BF79E2"/>
    <w:rsid w:val="00C00C1A"/>
    <w:rsid w:val="00C0225D"/>
    <w:rsid w:val="00C03029"/>
    <w:rsid w:val="00C03CDF"/>
    <w:rsid w:val="00C041A3"/>
    <w:rsid w:val="00C0518C"/>
    <w:rsid w:val="00C05C0E"/>
    <w:rsid w:val="00C05DD8"/>
    <w:rsid w:val="00C06616"/>
    <w:rsid w:val="00C071D7"/>
    <w:rsid w:val="00C078EA"/>
    <w:rsid w:val="00C10481"/>
    <w:rsid w:val="00C10915"/>
    <w:rsid w:val="00C11372"/>
    <w:rsid w:val="00C1217A"/>
    <w:rsid w:val="00C12437"/>
    <w:rsid w:val="00C12544"/>
    <w:rsid w:val="00C12699"/>
    <w:rsid w:val="00C14CA4"/>
    <w:rsid w:val="00C14CE3"/>
    <w:rsid w:val="00C14DFA"/>
    <w:rsid w:val="00C14EDF"/>
    <w:rsid w:val="00C155FA"/>
    <w:rsid w:val="00C166EB"/>
    <w:rsid w:val="00C169E4"/>
    <w:rsid w:val="00C176E6"/>
    <w:rsid w:val="00C177A3"/>
    <w:rsid w:val="00C21248"/>
    <w:rsid w:val="00C216CB"/>
    <w:rsid w:val="00C2269B"/>
    <w:rsid w:val="00C22CAE"/>
    <w:rsid w:val="00C23144"/>
    <w:rsid w:val="00C235C3"/>
    <w:rsid w:val="00C23892"/>
    <w:rsid w:val="00C23B84"/>
    <w:rsid w:val="00C2411F"/>
    <w:rsid w:val="00C2495C"/>
    <w:rsid w:val="00C24A8E"/>
    <w:rsid w:val="00C24F4F"/>
    <w:rsid w:val="00C25243"/>
    <w:rsid w:val="00C25453"/>
    <w:rsid w:val="00C26429"/>
    <w:rsid w:val="00C26CA1"/>
    <w:rsid w:val="00C2740C"/>
    <w:rsid w:val="00C2781B"/>
    <w:rsid w:val="00C30B67"/>
    <w:rsid w:val="00C33115"/>
    <w:rsid w:val="00C33276"/>
    <w:rsid w:val="00C366F3"/>
    <w:rsid w:val="00C4033C"/>
    <w:rsid w:val="00C409A3"/>
    <w:rsid w:val="00C419E1"/>
    <w:rsid w:val="00C41C08"/>
    <w:rsid w:val="00C41CCA"/>
    <w:rsid w:val="00C4316D"/>
    <w:rsid w:val="00C4339E"/>
    <w:rsid w:val="00C44118"/>
    <w:rsid w:val="00C4427A"/>
    <w:rsid w:val="00C46506"/>
    <w:rsid w:val="00C47BB2"/>
    <w:rsid w:val="00C503DB"/>
    <w:rsid w:val="00C513C2"/>
    <w:rsid w:val="00C51C1A"/>
    <w:rsid w:val="00C52483"/>
    <w:rsid w:val="00C5283C"/>
    <w:rsid w:val="00C52C76"/>
    <w:rsid w:val="00C52CDF"/>
    <w:rsid w:val="00C54340"/>
    <w:rsid w:val="00C55D88"/>
    <w:rsid w:val="00C57272"/>
    <w:rsid w:val="00C57E3B"/>
    <w:rsid w:val="00C609FE"/>
    <w:rsid w:val="00C60DFD"/>
    <w:rsid w:val="00C60EBF"/>
    <w:rsid w:val="00C61DE3"/>
    <w:rsid w:val="00C62769"/>
    <w:rsid w:val="00C630D9"/>
    <w:rsid w:val="00C636AE"/>
    <w:rsid w:val="00C64A04"/>
    <w:rsid w:val="00C64C9B"/>
    <w:rsid w:val="00C64D84"/>
    <w:rsid w:val="00C668A5"/>
    <w:rsid w:val="00C66BF0"/>
    <w:rsid w:val="00C67030"/>
    <w:rsid w:val="00C67B0B"/>
    <w:rsid w:val="00C7027D"/>
    <w:rsid w:val="00C702C1"/>
    <w:rsid w:val="00C70BD6"/>
    <w:rsid w:val="00C7196B"/>
    <w:rsid w:val="00C721CE"/>
    <w:rsid w:val="00C723C5"/>
    <w:rsid w:val="00C72A64"/>
    <w:rsid w:val="00C72D91"/>
    <w:rsid w:val="00C73074"/>
    <w:rsid w:val="00C73ADC"/>
    <w:rsid w:val="00C7435F"/>
    <w:rsid w:val="00C74C7C"/>
    <w:rsid w:val="00C74D4D"/>
    <w:rsid w:val="00C75356"/>
    <w:rsid w:val="00C75817"/>
    <w:rsid w:val="00C76F00"/>
    <w:rsid w:val="00C77D37"/>
    <w:rsid w:val="00C77EF6"/>
    <w:rsid w:val="00C8196B"/>
    <w:rsid w:val="00C81FE2"/>
    <w:rsid w:val="00C82415"/>
    <w:rsid w:val="00C83CC1"/>
    <w:rsid w:val="00C84547"/>
    <w:rsid w:val="00C87335"/>
    <w:rsid w:val="00C874BB"/>
    <w:rsid w:val="00C87520"/>
    <w:rsid w:val="00C87535"/>
    <w:rsid w:val="00C90987"/>
    <w:rsid w:val="00C91AB1"/>
    <w:rsid w:val="00C92155"/>
    <w:rsid w:val="00C923D4"/>
    <w:rsid w:val="00C92D36"/>
    <w:rsid w:val="00C9358A"/>
    <w:rsid w:val="00C944AE"/>
    <w:rsid w:val="00C94D36"/>
    <w:rsid w:val="00C94D82"/>
    <w:rsid w:val="00C95F98"/>
    <w:rsid w:val="00C962AB"/>
    <w:rsid w:val="00C965A4"/>
    <w:rsid w:val="00C967DE"/>
    <w:rsid w:val="00C96A20"/>
    <w:rsid w:val="00C96A35"/>
    <w:rsid w:val="00C96BF4"/>
    <w:rsid w:val="00CA0B9E"/>
    <w:rsid w:val="00CA1B8E"/>
    <w:rsid w:val="00CA2E4E"/>
    <w:rsid w:val="00CA2E95"/>
    <w:rsid w:val="00CA4583"/>
    <w:rsid w:val="00CA5C7F"/>
    <w:rsid w:val="00CA5CDA"/>
    <w:rsid w:val="00CA6152"/>
    <w:rsid w:val="00CA6773"/>
    <w:rsid w:val="00CA6CF4"/>
    <w:rsid w:val="00CB04D9"/>
    <w:rsid w:val="00CB0C3A"/>
    <w:rsid w:val="00CB1342"/>
    <w:rsid w:val="00CB1B60"/>
    <w:rsid w:val="00CB1C53"/>
    <w:rsid w:val="00CB1EDF"/>
    <w:rsid w:val="00CB22F5"/>
    <w:rsid w:val="00CB2FCD"/>
    <w:rsid w:val="00CB3240"/>
    <w:rsid w:val="00CB48FE"/>
    <w:rsid w:val="00CB529E"/>
    <w:rsid w:val="00CB585F"/>
    <w:rsid w:val="00CB6091"/>
    <w:rsid w:val="00CB6F86"/>
    <w:rsid w:val="00CB7C02"/>
    <w:rsid w:val="00CB7E91"/>
    <w:rsid w:val="00CC01BC"/>
    <w:rsid w:val="00CC02AD"/>
    <w:rsid w:val="00CC0363"/>
    <w:rsid w:val="00CC0FB0"/>
    <w:rsid w:val="00CC1C57"/>
    <w:rsid w:val="00CC23A4"/>
    <w:rsid w:val="00CC283B"/>
    <w:rsid w:val="00CC33FA"/>
    <w:rsid w:val="00CC377F"/>
    <w:rsid w:val="00CC3862"/>
    <w:rsid w:val="00CC5390"/>
    <w:rsid w:val="00CC557F"/>
    <w:rsid w:val="00CC5BA4"/>
    <w:rsid w:val="00CC7176"/>
    <w:rsid w:val="00CC7268"/>
    <w:rsid w:val="00CC72EE"/>
    <w:rsid w:val="00CC73A0"/>
    <w:rsid w:val="00CC7F1D"/>
    <w:rsid w:val="00CC7F94"/>
    <w:rsid w:val="00CD034D"/>
    <w:rsid w:val="00CD0C9D"/>
    <w:rsid w:val="00CD0D19"/>
    <w:rsid w:val="00CD2776"/>
    <w:rsid w:val="00CD2EA0"/>
    <w:rsid w:val="00CD3E57"/>
    <w:rsid w:val="00CD4283"/>
    <w:rsid w:val="00CD56D3"/>
    <w:rsid w:val="00CD6837"/>
    <w:rsid w:val="00CD6BA8"/>
    <w:rsid w:val="00CD6D13"/>
    <w:rsid w:val="00CD7813"/>
    <w:rsid w:val="00CE0303"/>
    <w:rsid w:val="00CE14AD"/>
    <w:rsid w:val="00CE20A7"/>
    <w:rsid w:val="00CE3A9C"/>
    <w:rsid w:val="00CE3C91"/>
    <w:rsid w:val="00CE4EF2"/>
    <w:rsid w:val="00CE567C"/>
    <w:rsid w:val="00CE644F"/>
    <w:rsid w:val="00CE64B0"/>
    <w:rsid w:val="00CE6D8D"/>
    <w:rsid w:val="00CE7A94"/>
    <w:rsid w:val="00CF02B0"/>
    <w:rsid w:val="00CF0438"/>
    <w:rsid w:val="00CF1822"/>
    <w:rsid w:val="00CF454F"/>
    <w:rsid w:val="00CF4B43"/>
    <w:rsid w:val="00CF4D81"/>
    <w:rsid w:val="00CF6357"/>
    <w:rsid w:val="00CF6428"/>
    <w:rsid w:val="00CF6E51"/>
    <w:rsid w:val="00CF7856"/>
    <w:rsid w:val="00CF7985"/>
    <w:rsid w:val="00D02932"/>
    <w:rsid w:val="00D02EBC"/>
    <w:rsid w:val="00D0323E"/>
    <w:rsid w:val="00D04498"/>
    <w:rsid w:val="00D04C4E"/>
    <w:rsid w:val="00D0588B"/>
    <w:rsid w:val="00D06041"/>
    <w:rsid w:val="00D074D0"/>
    <w:rsid w:val="00D100C1"/>
    <w:rsid w:val="00D10484"/>
    <w:rsid w:val="00D1125C"/>
    <w:rsid w:val="00D1198F"/>
    <w:rsid w:val="00D128D1"/>
    <w:rsid w:val="00D13641"/>
    <w:rsid w:val="00D13843"/>
    <w:rsid w:val="00D1429C"/>
    <w:rsid w:val="00D14C73"/>
    <w:rsid w:val="00D151D6"/>
    <w:rsid w:val="00D15B26"/>
    <w:rsid w:val="00D15F20"/>
    <w:rsid w:val="00D20DA2"/>
    <w:rsid w:val="00D20E7F"/>
    <w:rsid w:val="00D2295D"/>
    <w:rsid w:val="00D23195"/>
    <w:rsid w:val="00D2353C"/>
    <w:rsid w:val="00D2523E"/>
    <w:rsid w:val="00D25542"/>
    <w:rsid w:val="00D278DF"/>
    <w:rsid w:val="00D27F1F"/>
    <w:rsid w:val="00D30927"/>
    <w:rsid w:val="00D328E5"/>
    <w:rsid w:val="00D33924"/>
    <w:rsid w:val="00D33C12"/>
    <w:rsid w:val="00D33FB6"/>
    <w:rsid w:val="00D34AE0"/>
    <w:rsid w:val="00D34C8B"/>
    <w:rsid w:val="00D3584B"/>
    <w:rsid w:val="00D35C67"/>
    <w:rsid w:val="00D375B4"/>
    <w:rsid w:val="00D377AC"/>
    <w:rsid w:val="00D40603"/>
    <w:rsid w:val="00D4079C"/>
    <w:rsid w:val="00D4141D"/>
    <w:rsid w:val="00D418F0"/>
    <w:rsid w:val="00D42A79"/>
    <w:rsid w:val="00D44976"/>
    <w:rsid w:val="00D449CF"/>
    <w:rsid w:val="00D46488"/>
    <w:rsid w:val="00D466ED"/>
    <w:rsid w:val="00D4682B"/>
    <w:rsid w:val="00D46EEA"/>
    <w:rsid w:val="00D476A0"/>
    <w:rsid w:val="00D47E8F"/>
    <w:rsid w:val="00D50777"/>
    <w:rsid w:val="00D516F3"/>
    <w:rsid w:val="00D520BA"/>
    <w:rsid w:val="00D537CA"/>
    <w:rsid w:val="00D53C34"/>
    <w:rsid w:val="00D560F9"/>
    <w:rsid w:val="00D5651E"/>
    <w:rsid w:val="00D5689E"/>
    <w:rsid w:val="00D5700B"/>
    <w:rsid w:val="00D57128"/>
    <w:rsid w:val="00D611C0"/>
    <w:rsid w:val="00D61427"/>
    <w:rsid w:val="00D61A54"/>
    <w:rsid w:val="00D6249B"/>
    <w:rsid w:val="00D626A6"/>
    <w:rsid w:val="00D632FE"/>
    <w:rsid w:val="00D63326"/>
    <w:rsid w:val="00D6462A"/>
    <w:rsid w:val="00D64A25"/>
    <w:rsid w:val="00D64BB2"/>
    <w:rsid w:val="00D64D20"/>
    <w:rsid w:val="00D65181"/>
    <w:rsid w:val="00D654FC"/>
    <w:rsid w:val="00D659E0"/>
    <w:rsid w:val="00D65F0D"/>
    <w:rsid w:val="00D6788F"/>
    <w:rsid w:val="00D703FB"/>
    <w:rsid w:val="00D7215B"/>
    <w:rsid w:val="00D72AD7"/>
    <w:rsid w:val="00D739DB"/>
    <w:rsid w:val="00D74201"/>
    <w:rsid w:val="00D742F6"/>
    <w:rsid w:val="00D74413"/>
    <w:rsid w:val="00D747CD"/>
    <w:rsid w:val="00D74943"/>
    <w:rsid w:val="00D74A64"/>
    <w:rsid w:val="00D75A68"/>
    <w:rsid w:val="00D75B12"/>
    <w:rsid w:val="00D76DD5"/>
    <w:rsid w:val="00D804DB"/>
    <w:rsid w:val="00D808C4"/>
    <w:rsid w:val="00D80B77"/>
    <w:rsid w:val="00D81165"/>
    <w:rsid w:val="00D814A3"/>
    <w:rsid w:val="00D83D91"/>
    <w:rsid w:val="00D84FD0"/>
    <w:rsid w:val="00D85024"/>
    <w:rsid w:val="00D857BC"/>
    <w:rsid w:val="00D85C2F"/>
    <w:rsid w:val="00D870AE"/>
    <w:rsid w:val="00D876D2"/>
    <w:rsid w:val="00D876D8"/>
    <w:rsid w:val="00D87C32"/>
    <w:rsid w:val="00D90774"/>
    <w:rsid w:val="00D912D0"/>
    <w:rsid w:val="00D9136A"/>
    <w:rsid w:val="00D91537"/>
    <w:rsid w:val="00D91C8D"/>
    <w:rsid w:val="00D93619"/>
    <w:rsid w:val="00D93A19"/>
    <w:rsid w:val="00D94FB4"/>
    <w:rsid w:val="00D950F7"/>
    <w:rsid w:val="00D951B6"/>
    <w:rsid w:val="00D95B0C"/>
    <w:rsid w:val="00D95B60"/>
    <w:rsid w:val="00D96114"/>
    <w:rsid w:val="00D96A67"/>
    <w:rsid w:val="00D97344"/>
    <w:rsid w:val="00D9760A"/>
    <w:rsid w:val="00D97742"/>
    <w:rsid w:val="00DA0352"/>
    <w:rsid w:val="00DA1129"/>
    <w:rsid w:val="00DA23F0"/>
    <w:rsid w:val="00DA2614"/>
    <w:rsid w:val="00DA3D87"/>
    <w:rsid w:val="00DA3E68"/>
    <w:rsid w:val="00DA5D9B"/>
    <w:rsid w:val="00DA6627"/>
    <w:rsid w:val="00DA7474"/>
    <w:rsid w:val="00DA76C5"/>
    <w:rsid w:val="00DA7FA9"/>
    <w:rsid w:val="00DB4279"/>
    <w:rsid w:val="00DB4E2B"/>
    <w:rsid w:val="00DB4F7A"/>
    <w:rsid w:val="00DB54C1"/>
    <w:rsid w:val="00DB552C"/>
    <w:rsid w:val="00DB5D66"/>
    <w:rsid w:val="00DB7112"/>
    <w:rsid w:val="00DB7E65"/>
    <w:rsid w:val="00DC0061"/>
    <w:rsid w:val="00DC00C7"/>
    <w:rsid w:val="00DC04AE"/>
    <w:rsid w:val="00DC0E05"/>
    <w:rsid w:val="00DC13F4"/>
    <w:rsid w:val="00DC2143"/>
    <w:rsid w:val="00DC27A8"/>
    <w:rsid w:val="00DC29C0"/>
    <w:rsid w:val="00DC33DC"/>
    <w:rsid w:val="00DC3DA0"/>
    <w:rsid w:val="00DC42A5"/>
    <w:rsid w:val="00DC4870"/>
    <w:rsid w:val="00DC5330"/>
    <w:rsid w:val="00DC5B38"/>
    <w:rsid w:val="00DC60BE"/>
    <w:rsid w:val="00DC7589"/>
    <w:rsid w:val="00DC7670"/>
    <w:rsid w:val="00DC775D"/>
    <w:rsid w:val="00DC7933"/>
    <w:rsid w:val="00DC7A00"/>
    <w:rsid w:val="00DD316E"/>
    <w:rsid w:val="00DD33C5"/>
    <w:rsid w:val="00DD3656"/>
    <w:rsid w:val="00DD3E93"/>
    <w:rsid w:val="00DD3EB6"/>
    <w:rsid w:val="00DD4DCF"/>
    <w:rsid w:val="00DD4E1A"/>
    <w:rsid w:val="00DD5568"/>
    <w:rsid w:val="00DD6989"/>
    <w:rsid w:val="00DD75F0"/>
    <w:rsid w:val="00DE1615"/>
    <w:rsid w:val="00DE17C6"/>
    <w:rsid w:val="00DE190F"/>
    <w:rsid w:val="00DE1D94"/>
    <w:rsid w:val="00DE1E05"/>
    <w:rsid w:val="00DE279A"/>
    <w:rsid w:val="00DE3D95"/>
    <w:rsid w:val="00DE46B5"/>
    <w:rsid w:val="00DE4759"/>
    <w:rsid w:val="00DE4C7C"/>
    <w:rsid w:val="00DE6BAC"/>
    <w:rsid w:val="00DE6F14"/>
    <w:rsid w:val="00DF08A2"/>
    <w:rsid w:val="00DF2EB6"/>
    <w:rsid w:val="00DF307A"/>
    <w:rsid w:val="00DF35DE"/>
    <w:rsid w:val="00DF3C86"/>
    <w:rsid w:val="00DF4638"/>
    <w:rsid w:val="00DF4AB3"/>
    <w:rsid w:val="00DF4DA9"/>
    <w:rsid w:val="00DF54FF"/>
    <w:rsid w:val="00DF553B"/>
    <w:rsid w:val="00DF5B80"/>
    <w:rsid w:val="00DF5BCB"/>
    <w:rsid w:val="00DF69B8"/>
    <w:rsid w:val="00DF6CA7"/>
    <w:rsid w:val="00DF70EB"/>
    <w:rsid w:val="00DF7251"/>
    <w:rsid w:val="00DF7833"/>
    <w:rsid w:val="00DF79AA"/>
    <w:rsid w:val="00DF7F19"/>
    <w:rsid w:val="00E005ED"/>
    <w:rsid w:val="00E0060F"/>
    <w:rsid w:val="00E022A6"/>
    <w:rsid w:val="00E02341"/>
    <w:rsid w:val="00E02886"/>
    <w:rsid w:val="00E02A74"/>
    <w:rsid w:val="00E02B15"/>
    <w:rsid w:val="00E043A2"/>
    <w:rsid w:val="00E0457B"/>
    <w:rsid w:val="00E05439"/>
    <w:rsid w:val="00E05DF9"/>
    <w:rsid w:val="00E06E0D"/>
    <w:rsid w:val="00E071C0"/>
    <w:rsid w:val="00E07A3F"/>
    <w:rsid w:val="00E106EE"/>
    <w:rsid w:val="00E10E38"/>
    <w:rsid w:val="00E1101E"/>
    <w:rsid w:val="00E11066"/>
    <w:rsid w:val="00E11ED4"/>
    <w:rsid w:val="00E11FE2"/>
    <w:rsid w:val="00E12419"/>
    <w:rsid w:val="00E13111"/>
    <w:rsid w:val="00E13ED4"/>
    <w:rsid w:val="00E146A8"/>
    <w:rsid w:val="00E14B5F"/>
    <w:rsid w:val="00E1565E"/>
    <w:rsid w:val="00E177EF"/>
    <w:rsid w:val="00E17DAA"/>
    <w:rsid w:val="00E20943"/>
    <w:rsid w:val="00E217A3"/>
    <w:rsid w:val="00E217B7"/>
    <w:rsid w:val="00E21CE0"/>
    <w:rsid w:val="00E22FAC"/>
    <w:rsid w:val="00E24C5D"/>
    <w:rsid w:val="00E25069"/>
    <w:rsid w:val="00E25A9C"/>
    <w:rsid w:val="00E261B9"/>
    <w:rsid w:val="00E26D50"/>
    <w:rsid w:val="00E273B9"/>
    <w:rsid w:val="00E277C2"/>
    <w:rsid w:val="00E312DB"/>
    <w:rsid w:val="00E31D87"/>
    <w:rsid w:val="00E326BA"/>
    <w:rsid w:val="00E32D59"/>
    <w:rsid w:val="00E33DD9"/>
    <w:rsid w:val="00E34D77"/>
    <w:rsid w:val="00E35BA2"/>
    <w:rsid w:val="00E36BE4"/>
    <w:rsid w:val="00E40C2C"/>
    <w:rsid w:val="00E413C8"/>
    <w:rsid w:val="00E41414"/>
    <w:rsid w:val="00E451D7"/>
    <w:rsid w:val="00E462EC"/>
    <w:rsid w:val="00E46C64"/>
    <w:rsid w:val="00E47319"/>
    <w:rsid w:val="00E517CD"/>
    <w:rsid w:val="00E52679"/>
    <w:rsid w:val="00E537CD"/>
    <w:rsid w:val="00E53F99"/>
    <w:rsid w:val="00E546A4"/>
    <w:rsid w:val="00E55218"/>
    <w:rsid w:val="00E55AF0"/>
    <w:rsid w:val="00E56259"/>
    <w:rsid w:val="00E56349"/>
    <w:rsid w:val="00E5719C"/>
    <w:rsid w:val="00E61526"/>
    <w:rsid w:val="00E62487"/>
    <w:rsid w:val="00E62DFF"/>
    <w:rsid w:val="00E63612"/>
    <w:rsid w:val="00E646A0"/>
    <w:rsid w:val="00E64F63"/>
    <w:rsid w:val="00E65B04"/>
    <w:rsid w:val="00E65DC5"/>
    <w:rsid w:val="00E67131"/>
    <w:rsid w:val="00E67846"/>
    <w:rsid w:val="00E70AEE"/>
    <w:rsid w:val="00E71183"/>
    <w:rsid w:val="00E7255A"/>
    <w:rsid w:val="00E726E1"/>
    <w:rsid w:val="00E72C24"/>
    <w:rsid w:val="00E73960"/>
    <w:rsid w:val="00E73E40"/>
    <w:rsid w:val="00E74A5F"/>
    <w:rsid w:val="00E762D0"/>
    <w:rsid w:val="00E766CA"/>
    <w:rsid w:val="00E767A3"/>
    <w:rsid w:val="00E76CF2"/>
    <w:rsid w:val="00E76EC1"/>
    <w:rsid w:val="00E80FBC"/>
    <w:rsid w:val="00E8120C"/>
    <w:rsid w:val="00E81349"/>
    <w:rsid w:val="00E81FEF"/>
    <w:rsid w:val="00E82469"/>
    <w:rsid w:val="00E82905"/>
    <w:rsid w:val="00E833A4"/>
    <w:rsid w:val="00E842A3"/>
    <w:rsid w:val="00E843E3"/>
    <w:rsid w:val="00E84BEE"/>
    <w:rsid w:val="00E84FF3"/>
    <w:rsid w:val="00E85196"/>
    <w:rsid w:val="00E87456"/>
    <w:rsid w:val="00E8765E"/>
    <w:rsid w:val="00E9075C"/>
    <w:rsid w:val="00E912EE"/>
    <w:rsid w:val="00E916F4"/>
    <w:rsid w:val="00E91C30"/>
    <w:rsid w:val="00E91CBC"/>
    <w:rsid w:val="00E92252"/>
    <w:rsid w:val="00E944A1"/>
    <w:rsid w:val="00E9787B"/>
    <w:rsid w:val="00E97B54"/>
    <w:rsid w:val="00E97CBE"/>
    <w:rsid w:val="00EA046F"/>
    <w:rsid w:val="00EA30FA"/>
    <w:rsid w:val="00EA3214"/>
    <w:rsid w:val="00EA38F4"/>
    <w:rsid w:val="00EA3A0D"/>
    <w:rsid w:val="00EA691A"/>
    <w:rsid w:val="00EB0566"/>
    <w:rsid w:val="00EB0736"/>
    <w:rsid w:val="00EB0B3D"/>
    <w:rsid w:val="00EB0FB9"/>
    <w:rsid w:val="00EB29F9"/>
    <w:rsid w:val="00EB2E24"/>
    <w:rsid w:val="00EB32C1"/>
    <w:rsid w:val="00EB344B"/>
    <w:rsid w:val="00EB36D3"/>
    <w:rsid w:val="00EB5AB6"/>
    <w:rsid w:val="00EB6D04"/>
    <w:rsid w:val="00EB7C7A"/>
    <w:rsid w:val="00EC079D"/>
    <w:rsid w:val="00EC2937"/>
    <w:rsid w:val="00EC3020"/>
    <w:rsid w:val="00EC34BC"/>
    <w:rsid w:val="00EC389D"/>
    <w:rsid w:val="00EC3C9E"/>
    <w:rsid w:val="00EC450B"/>
    <w:rsid w:val="00EC4CC7"/>
    <w:rsid w:val="00EC6A0F"/>
    <w:rsid w:val="00EC7219"/>
    <w:rsid w:val="00EC7341"/>
    <w:rsid w:val="00EC7AD7"/>
    <w:rsid w:val="00EC7DDD"/>
    <w:rsid w:val="00ED03E7"/>
    <w:rsid w:val="00ED1B62"/>
    <w:rsid w:val="00ED2C92"/>
    <w:rsid w:val="00ED2F64"/>
    <w:rsid w:val="00ED3A6F"/>
    <w:rsid w:val="00ED40D5"/>
    <w:rsid w:val="00ED4DDA"/>
    <w:rsid w:val="00ED5FC6"/>
    <w:rsid w:val="00ED607C"/>
    <w:rsid w:val="00ED7BAC"/>
    <w:rsid w:val="00ED7F0F"/>
    <w:rsid w:val="00EE1941"/>
    <w:rsid w:val="00EE233B"/>
    <w:rsid w:val="00EE28B1"/>
    <w:rsid w:val="00EE2AC2"/>
    <w:rsid w:val="00EE3232"/>
    <w:rsid w:val="00EE37D7"/>
    <w:rsid w:val="00EE4306"/>
    <w:rsid w:val="00EE4FD8"/>
    <w:rsid w:val="00EE511B"/>
    <w:rsid w:val="00EE709B"/>
    <w:rsid w:val="00EF01CA"/>
    <w:rsid w:val="00EF147C"/>
    <w:rsid w:val="00EF1554"/>
    <w:rsid w:val="00EF1C9B"/>
    <w:rsid w:val="00EF1E11"/>
    <w:rsid w:val="00EF20A3"/>
    <w:rsid w:val="00EF2ABC"/>
    <w:rsid w:val="00EF2B1E"/>
    <w:rsid w:val="00EF2E6D"/>
    <w:rsid w:val="00EF3316"/>
    <w:rsid w:val="00EF3777"/>
    <w:rsid w:val="00EF3A6D"/>
    <w:rsid w:val="00EF438F"/>
    <w:rsid w:val="00EF4BCA"/>
    <w:rsid w:val="00EF54D8"/>
    <w:rsid w:val="00EF57AC"/>
    <w:rsid w:val="00EF5BCF"/>
    <w:rsid w:val="00EF7A5E"/>
    <w:rsid w:val="00EF7B2A"/>
    <w:rsid w:val="00EF7F46"/>
    <w:rsid w:val="00F00696"/>
    <w:rsid w:val="00F00C9D"/>
    <w:rsid w:val="00F0157E"/>
    <w:rsid w:val="00F02B49"/>
    <w:rsid w:val="00F03017"/>
    <w:rsid w:val="00F05970"/>
    <w:rsid w:val="00F0681B"/>
    <w:rsid w:val="00F06869"/>
    <w:rsid w:val="00F06F43"/>
    <w:rsid w:val="00F07961"/>
    <w:rsid w:val="00F1057A"/>
    <w:rsid w:val="00F11663"/>
    <w:rsid w:val="00F119AE"/>
    <w:rsid w:val="00F11A8F"/>
    <w:rsid w:val="00F11F5F"/>
    <w:rsid w:val="00F12546"/>
    <w:rsid w:val="00F13C86"/>
    <w:rsid w:val="00F13CEA"/>
    <w:rsid w:val="00F13F32"/>
    <w:rsid w:val="00F14193"/>
    <w:rsid w:val="00F15309"/>
    <w:rsid w:val="00F155C9"/>
    <w:rsid w:val="00F15C2F"/>
    <w:rsid w:val="00F17485"/>
    <w:rsid w:val="00F17A6A"/>
    <w:rsid w:val="00F17E60"/>
    <w:rsid w:val="00F2009F"/>
    <w:rsid w:val="00F20AE5"/>
    <w:rsid w:val="00F20BB6"/>
    <w:rsid w:val="00F20D1C"/>
    <w:rsid w:val="00F2110A"/>
    <w:rsid w:val="00F22D09"/>
    <w:rsid w:val="00F230DD"/>
    <w:rsid w:val="00F23629"/>
    <w:rsid w:val="00F23998"/>
    <w:rsid w:val="00F25B08"/>
    <w:rsid w:val="00F2728A"/>
    <w:rsid w:val="00F27564"/>
    <w:rsid w:val="00F316F5"/>
    <w:rsid w:val="00F319BF"/>
    <w:rsid w:val="00F322F0"/>
    <w:rsid w:val="00F3257F"/>
    <w:rsid w:val="00F32E57"/>
    <w:rsid w:val="00F338EC"/>
    <w:rsid w:val="00F339D9"/>
    <w:rsid w:val="00F3444E"/>
    <w:rsid w:val="00F3454E"/>
    <w:rsid w:val="00F3521B"/>
    <w:rsid w:val="00F357A0"/>
    <w:rsid w:val="00F36683"/>
    <w:rsid w:val="00F3713A"/>
    <w:rsid w:val="00F37263"/>
    <w:rsid w:val="00F37CB4"/>
    <w:rsid w:val="00F42AEB"/>
    <w:rsid w:val="00F42EAC"/>
    <w:rsid w:val="00F42FC4"/>
    <w:rsid w:val="00F441BE"/>
    <w:rsid w:val="00F44A76"/>
    <w:rsid w:val="00F4509D"/>
    <w:rsid w:val="00F45210"/>
    <w:rsid w:val="00F455EF"/>
    <w:rsid w:val="00F45BDC"/>
    <w:rsid w:val="00F47A31"/>
    <w:rsid w:val="00F47CCE"/>
    <w:rsid w:val="00F47D10"/>
    <w:rsid w:val="00F52965"/>
    <w:rsid w:val="00F52C68"/>
    <w:rsid w:val="00F53641"/>
    <w:rsid w:val="00F54354"/>
    <w:rsid w:val="00F55516"/>
    <w:rsid w:val="00F57774"/>
    <w:rsid w:val="00F60EB9"/>
    <w:rsid w:val="00F61835"/>
    <w:rsid w:val="00F61C83"/>
    <w:rsid w:val="00F62336"/>
    <w:rsid w:val="00F646C2"/>
    <w:rsid w:val="00F64C59"/>
    <w:rsid w:val="00F65614"/>
    <w:rsid w:val="00F6592D"/>
    <w:rsid w:val="00F65DE1"/>
    <w:rsid w:val="00F66CAE"/>
    <w:rsid w:val="00F71C7C"/>
    <w:rsid w:val="00F72F58"/>
    <w:rsid w:val="00F7475B"/>
    <w:rsid w:val="00F74E01"/>
    <w:rsid w:val="00F75BCE"/>
    <w:rsid w:val="00F80474"/>
    <w:rsid w:val="00F80772"/>
    <w:rsid w:val="00F8307D"/>
    <w:rsid w:val="00F8417F"/>
    <w:rsid w:val="00F848AD"/>
    <w:rsid w:val="00F84BFF"/>
    <w:rsid w:val="00F84D57"/>
    <w:rsid w:val="00F85DAA"/>
    <w:rsid w:val="00F86B82"/>
    <w:rsid w:val="00F87CA1"/>
    <w:rsid w:val="00F90032"/>
    <w:rsid w:val="00F916A8"/>
    <w:rsid w:val="00F9170F"/>
    <w:rsid w:val="00F922AA"/>
    <w:rsid w:val="00F92626"/>
    <w:rsid w:val="00F93925"/>
    <w:rsid w:val="00F939BE"/>
    <w:rsid w:val="00F94F16"/>
    <w:rsid w:val="00F9507F"/>
    <w:rsid w:val="00F95C6F"/>
    <w:rsid w:val="00F97547"/>
    <w:rsid w:val="00F97FC7"/>
    <w:rsid w:val="00FA12B7"/>
    <w:rsid w:val="00FA17B2"/>
    <w:rsid w:val="00FA18A7"/>
    <w:rsid w:val="00FA1BBA"/>
    <w:rsid w:val="00FA21C2"/>
    <w:rsid w:val="00FA34CC"/>
    <w:rsid w:val="00FA3FD9"/>
    <w:rsid w:val="00FA413F"/>
    <w:rsid w:val="00FA5CF6"/>
    <w:rsid w:val="00FA686F"/>
    <w:rsid w:val="00FB09D1"/>
    <w:rsid w:val="00FB2A39"/>
    <w:rsid w:val="00FB2E8B"/>
    <w:rsid w:val="00FB3B65"/>
    <w:rsid w:val="00FB3D22"/>
    <w:rsid w:val="00FB3FB5"/>
    <w:rsid w:val="00FB5753"/>
    <w:rsid w:val="00FB5804"/>
    <w:rsid w:val="00FB5A5C"/>
    <w:rsid w:val="00FB5FD0"/>
    <w:rsid w:val="00FB61EF"/>
    <w:rsid w:val="00FB6FA8"/>
    <w:rsid w:val="00FB766C"/>
    <w:rsid w:val="00FC255F"/>
    <w:rsid w:val="00FC2678"/>
    <w:rsid w:val="00FC2C7E"/>
    <w:rsid w:val="00FC44F4"/>
    <w:rsid w:val="00FC501F"/>
    <w:rsid w:val="00FC576C"/>
    <w:rsid w:val="00FC599D"/>
    <w:rsid w:val="00FC64B5"/>
    <w:rsid w:val="00FC6EE1"/>
    <w:rsid w:val="00FC708B"/>
    <w:rsid w:val="00FC7DE1"/>
    <w:rsid w:val="00FD18B2"/>
    <w:rsid w:val="00FD2B0D"/>
    <w:rsid w:val="00FD2E33"/>
    <w:rsid w:val="00FD3AF2"/>
    <w:rsid w:val="00FD5CE4"/>
    <w:rsid w:val="00FD5E45"/>
    <w:rsid w:val="00FD654B"/>
    <w:rsid w:val="00FD7D0C"/>
    <w:rsid w:val="00FE0AFB"/>
    <w:rsid w:val="00FE250F"/>
    <w:rsid w:val="00FE2A3B"/>
    <w:rsid w:val="00FE2BB4"/>
    <w:rsid w:val="00FE2F7F"/>
    <w:rsid w:val="00FE3CC6"/>
    <w:rsid w:val="00FE4B13"/>
    <w:rsid w:val="00FE5691"/>
    <w:rsid w:val="00FE61CA"/>
    <w:rsid w:val="00FE6EC4"/>
    <w:rsid w:val="00FED34F"/>
    <w:rsid w:val="00FF0BAB"/>
    <w:rsid w:val="00FF0F9B"/>
    <w:rsid w:val="00FF2A83"/>
    <w:rsid w:val="00FF3271"/>
    <w:rsid w:val="00FF4F03"/>
    <w:rsid w:val="00FF5DD5"/>
    <w:rsid w:val="00FF67A7"/>
    <w:rsid w:val="00FF688C"/>
    <w:rsid w:val="00FF7819"/>
    <w:rsid w:val="00FF7D81"/>
    <w:rsid w:val="00FF7DB3"/>
    <w:rsid w:val="00FF7EE4"/>
    <w:rsid w:val="01311ECA"/>
    <w:rsid w:val="014BDE61"/>
    <w:rsid w:val="018D2DA3"/>
    <w:rsid w:val="01FDD292"/>
    <w:rsid w:val="0224484C"/>
    <w:rsid w:val="03343D49"/>
    <w:rsid w:val="03ABFBC1"/>
    <w:rsid w:val="03FB6761"/>
    <w:rsid w:val="0404E72C"/>
    <w:rsid w:val="04A842DD"/>
    <w:rsid w:val="04B36192"/>
    <w:rsid w:val="05115472"/>
    <w:rsid w:val="052C41D8"/>
    <w:rsid w:val="0579D441"/>
    <w:rsid w:val="05F9355A"/>
    <w:rsid w:val="07565635"/>
    <w:rsid w:val="07A5CA34"/>
    <w:rsid w:val="08373E74"/>
    <w:rsid w:val="0879D5AE"/>
    <w:rsid w:val="08C96EF0"/>
    <w:rsid w:val="099C0504"/>
    <w:rsid w:val="099C7EB2"/>
    <w:rsid w:val="09A9A96E"/>
    <w:rsid w:val="0A492DDD"/>
    <w:rsid w:val="0A814EAC"/>
    <w:rsid w:val="0B20F9A4"/>
    <w:rsid w:val="0B5F636C"/>
    <w:rsid w:val="0C08E541"/>
    <w:rsid w:val="0CC93BD7"/>
    <w:rsid w:val="0CD6C8E2"/>
    <w:rsid w:val="0D1B25FC"/>
    <w:rsid w:val="0D278CAF"/>
    <w:rsid w:val="0D458C1C"/>
    <w:rsid w:val="0D683971"/>
    <w:rsid w:val="0DF6F5F1"/>
    <w:rsid w:val="0E0CDA7D"/>
    <w:rsid w:val="0EF774F8"/>
    <w:rsid w:val="1008A758"/>
    <w:rsid w:val="10815E46"/>
    <w:rsid w:val="109C8076"/>
    <w:rsid w:val="10B9CCE1"/>
    <w:rsid w:val="10D54A10"/>
    <w:rsid w:val="10F646EA"/>
    <w:rsid w:val="114BD628"/>
    <w:rsid w:val="1174DE1E"/>
    <w:rsid w:val="118E25D2"/>
    <w:rsid w:val="1212D9A4"/>
    <w:rsid w:val="127E218C"/>
    <w:rsid w:val="137792B5"/>
    <w:rsid w:val="138F661D"/>
    <w:rsid w:val="14B88DC5"/>
    <w:rsid w:val="14D0CAAC"/>
    <w:rsid w:val="153FD142"/>
    <w:rsid w:val="158FA36E"/>
    <w:rsid w:val="16400262"/>
    <w:rsid w:val="168BB1CA"/>
    <w:rsid w:val="16DD5E9A"/>
    <w:rsid w:val="18D06AFB"/>
    <w:rsid w:val="190D0892"/>
    <w:rsid w:val="19204291"/>
    <w:rsid w:val="195EB98F"/>
    <w:rsid w:val="1985E77A"/>
    <w:rsid w:val="19CD4E67"/>
    <w:rsid w:val="19EEC6FB"/>
    <w:rsid w:val="19F6420D"/>
    <w:rsid w:val="1A26F3A6"/>
    <w:rsid w:val="1A9E3202"/>
    <w:rsid w:val="1B62ED44"/>
    <w:rsid w:val="1BA36738"/>
    <w:rsid w:val="1BD37F39"/>
    <w:rsid w:val="1C39A32B"/>
    <w:rsid w:val="1C691674"/>
    <w:rsid w:val="1C922310"/>
    <w:rsid w:val="1CDDA23C"/>
    <w:rsid w:val="1D01C287"/>
    <w:rsid w:val="1D415E47"/>
    <w:rsid w:val="1D7255AD"/>
    <w:rsid w:val="1D9EDDA9"/>
    <w:rsid w:val="1DD89F3C"/>
    <w:rsid w:val="1E38E84D"/>
    <w:rsid w:val="1F86CAFA"/>
    <w:rsid w:val="1FEE13DC"/>
    <w:rsid w:val="20E304C4"/>
    <w:rsid w:val="210F4956"/>
    <w:rsid w:val="214B9DC9"/>
    <w:rsid w:val="216DC0F6"/>
    <w:rsid w:val="217E57B0"/>
    <w:rsid w:val="22845A33"/>
    <w:rsid w:val="229F8C02"/>
    <w:rsid w:val="22B0CAD5"/>
    <w:rsid w:val="22BF114F"/>
    <w:rsid w:val="2302CB33"/>
    <w:rsid w:val="23DE6F94"/>
    <w:rsid w:val="240ED094"/>
    <w:rsid w:val="24646D4C"/>
    <w:rsid w:val="246FF141"/>
    <w:rsid w:val="251DC197"/>
    <w:rsid w:val="254E4820"/>
    <w:rsid w:val="26077BB3"/>
    <w:rsid w:val="26690B29"/>
    <w:rsid w:val="26A87E29"/>
    <w:rsid w:val="26B223AB"/>
    <w:rsid w:val="26BE2D17"/>
    <w:rsid w:val="26CF7BA7"/>
    <w:rsid w:val="270BE237"/>
    <w:rsid w:val="271F864F"/>
    <w:rsid w:val="27C1DDD4"/>
    <w:rsid w:val="2815A722"/>
    <w:rsid w:val="2838FF32"/>
    <w:rsid w:val="289D53CC"/>
    <w:rsid w:val="2912F4CF"/>
    <w:rsid w:val="29200C59"/>
    <w:rsid w:val="292F0F01"/>
    <w:rsid w:val="2978FDC7"/>
    <w:rsid w:val="298EAEB0"/>
    <w:rsid w:val="299E2144"/>
    <w:rsid w:val="2A1B35A8"/>
    <w:rsid w:val="2A57647A"/>
    <w:rsid w:val="2A81308F"/>
    <w:rsid w:val="2ACDE1DA"/>
    <w:rsid w:val="2AE38681"/>
    <w:rsid w:val="2B003C31"/>
    <w:rsid w:val="2B081428"/>
    <w:rsid w:val="2B3B09B8"/>
    <w:rsid w:val="2B6979CE"/>
    <w:rsid w:val="2B9E5943"/>
    <w:rsid w:val="2B9EEE33"/>
    <w:rsid w:val="2BF4872F"/>
    <w:rsid w:val="2BFBABBE"/>
    <w:rsid w:val="2C4934CB"/>
    <w:rsid w:val="2C8384BF"/>
    <w:rsid w:val="2CF1DEE6"/>
    <w:rsid w:val="2CF63441"/>
    <w:rsid w:val="2D8455C2"/>
    <w:rsid w:val="2D960BA9"/>
    <w:rsid w:val="2ED50B8A"/>
    <w:rsid w:val="2F042677"/>
    <w:rsid w:val="2F348607"/>
    <w:rsid w:val="2F6AD45E"/>
    <w:rsid w:val="2F7B0EE3"/>
    <w:rsid w:val="2F7DAF87"/>
    <w:rsid w:val="2FE51AFC"/>
    <w:rsid w:val="300921B9"/>
    <w:rsid w:val="3014E9D1"/>
    <w:rsid w:val="30557BD6"/>
    <w:rsid w:val="30D42DD6"/>
    <w:rsid w:val="30DC9912"/>
    <w:rsid w:val="3152AA26"/>
    <w:rsid w:val="31987144"/>
    <w:rsid w:val="31ADB60E"/>
    <w:rsid w:val="3207DC7F"/>
    <w:rsid w:val="320C096E"/>
    <w:rsid w:val="32CB6BEE"/>
    <w:rsid w:val="32F8CBA1"/>
    <w:rsid w:val="3345A429"/>
    <w:rsid w:val="335AC241"/>
    <w:rsid w:val="3365DF7D"/>
    <w:rsid w:val="338AD733"/>
    <w:rsid w:val="33C629ED"/>
    <w:rsid w:val="33CD418D"/>
    <w:rsid w:val="348624F1"/>
    <w:rsid w:val="3492F96A"/>
    <w:rsid w:val="34FA290F"/>
    <w:rsid w:val="350639E2"/>
    <w:rsid w:val="3507CE0E"/>
    <w:rsid w:val="3516BA94"/>
    <w:rsid w:val="35326F65"/>
    <w:rsid w:val="35574B41"/>
    <w:rsid w:val="362C7DE0"/>
    <w:rsid w:val="369DDED0"/>
    <w:rsid w:val="36F5D57A"/>
    <w:rsid w:val="36FF819C"/>
    <w:rsid w:val="371064C4"/>
    <w:rsid w:val="37B6FAEF"/>
    <w:rsid w:val="37E54AC1"/>
    <w:rsid w:val="37E5EAF4"/>
    <w:rsid w:val="38255AD7"/>
    <w:rsid w:val="3834332B"/>
    <w:rsid w:val="38B7FCC4"/>
    <w:rsid w:val="38C4D32A"/>
    <w:rsid w:val="38E3BD03"/>
    <w:rsid w:val="3932A5D9"/>
    <w:rsid w:val="394C8A17"/>
    <w:rsid w:val="39788F36"/>
    <w:rsid w:val="397BA8EA"/>
    <w:rsid w:val="3A71AC8C"/>
    <w:rsid w:val="3AC5E411"/>
    <w:rsid w:val="3B4B6ED1"/>
    <w:rsid w:val="3BB085C5"/>
    <w:rsid w:val="3BEFD102"/>
    <w:rsid w:val="3BF2C0F9"/>
    <w:rsid w:val="3C1FBE7B"/>
    <w:rsid w:val="3CC69261"/>
    <w:rsid w:val="3D186F04"/>
    <w:rsid w:val="3D31C50C"/>
    <w:rsid w:val="3DD974F3"/>
    <w:rsid w:val="3E1D46F7"/>
    <w:rsid w:val="3E8BD46F"/>
    <w:rsid w:val="3E93F2B8"/>
    <w:rsid w:val="3EFC6342"/>
    <w:rsid w:val="3F09B1D8"/>
    <w:rsid w:val="3FC276B3"/>
    <w:rsid w:val="40820576"/>
    <w:rsid w:val="408FB5F3"/>
    <w:rsid w:val="40B91A68"/>
    <w:rsid w:val="40FA4FF1"/>
    <w:rsid w:val="41439F07"/>
    <w:rsid w:val="419EF15D"/>
    <w:rsid w:val="41C24E4B"/>
    <w:rsid w:val="41E6BFC0"/>
    <w:rsid w:val="42598F73"/>
    <w:rsid w:val="427DDFBE"/>
    <w:rsid w:val="42A044BE"/>
    <w:rsid w:val="42E39FD1"/>
    <w:rsid w:val="430BB59F"/>
    <w:rsid w:val="430E5905"/>
    <w:rsid w:val="43FBFF56"/>
    <w:rsid w:val="43FFB094"/>
    <w:rsid w:val="44A4249E"/>
    <w:rsid w:val="45101BF9"/>
    <w:rsid w:val="453DC9EE"/>
    <w:rsid w:val="455AA853"/>
    <w:rsid w:val="462482D8"/>
    <w:rsid w:val="464B9401"/>
    <w:rsid w:val="4691BB2B"/>
    <w:rsid w:val="46AB63CB"/>
    <w:rsid w:val="46DFF84C"/>
    <w:rsid w:val="47B211F7"/>
    <w:rsid w:val="47C92FC2"/>
    <w:rsid w:val="4801EDF9"/>
    <w:rsid w:val="490EBCA1"/>
    <w:rsid w:val="4AD5AABA"/>
    <w:rsid w:val="4B57799C"/>
    <w:rsid w:val="4B8B76F7"/>
    <w:rsid w:val="4B9E7836"/>
    <w:rsid w:val="4C2D20D9"/>
    <w:rsid w:val="4C387655"/>
    <w:rsid w:val="4C4A0D1E"/>
    <w:rsid w:val="4C736D62"/>
    <w:rsid w:val="4CC560BF"/>
    <w:rsid w:val="4D04151A"/>
    <w:rsid w:val="4D54D746"/>
    <w:rsid w:val="4DA9A321"/>
    <w:rsid w:val="4E0EF0D1"/>
    <w:rsid w:val="4E412C67"/>
    <w:rsid w:val="4F24850B"/>
    <w:rsid w:val="4F4DC1C5"/>
    <w:rsid w:val="4F5AD084"/>
    <w:rsid w:val="4F5D6062"/>
    <w:rsid w:val="4FF5D099"/>
    <w:rsid w:val="501DE2A2"/>
    <w:rsid w:val="5024D30E"/>
    <w:rsid w:val="5095CB60"/>
    <w:rsid w:val="525016C6"/>
    <w:rsid w:val="52F99022"/>
    <w:rsid w:val="530416FB"/>
    <w:rsid w:val="5348577F"/>
    <w:rsid w:val="53A5EED9"/>
    <w:rsid w:val="5441D815"/>
    <w:rsid w:val="549BAEDF"/>
    <w:rsid w:val="550ABF11"/>
    <w:rsid w:val="55783358"/>
    <w:rsid w:val="559AA7E8"/>
    <w:rsid w:val="573C216B"/>
    <w:rsid w:val="575579AB"/>
    <w:rsid w:val="58679F10"/>
    <w:rsid w:val="590D6208"/>
    <w:rsid w:val="5944099A"/>
    <w:rsid w:val="597C6962"/>
    <w:rsid w:val="59A39EAB"/>
    <w:rsid w:val="59B47C82"/>
    <w:rsid w:val="59C908CE"/>
    <w:rsid w:val="5A09BBD7"/>
    <w:rsid w:val="5AF3D2A0"/>
    <w:rsid w:val="5B2E6CC8"/>
    <w:rsid w:val="5B6B783E"/>
    <w:rsid w:val="5B6FF625"/>
    <w:rsid w:val="5BCA9AF6"/>
    <w:rsid w:val="5C7FC227"/>
    <w:rsid w:val="5C80599F"/>
    <w:rsid w:val="5D1137E9"/>
    <w:rsid w:val="5DC4B467"/>
    <w:rsid w:val="5DDEE69A"/>
    <w:rsid w:val="5DF1BB0F"/>
    <w:rsid w:val="5EE16208"/>
    <w:rsid w:val="5F099304"/>
    <w:rsid w:val="5FB826F7"/>
    <w:rsid w:val="601A1D0B"/>
    <w:rsid w:val="60A7E574"/>
    <w:rsid w:val="610F4ECB"/>
    <w:rsid w:val="6241FE0F"/>
    <w:rsid w:val="62548183"/>
    <w:rsid w:val="62C03FC1"/>
    <w:rsid w:val="62F787AE"/>
    <w:rsid w:val="63232560"/>
    <w:rsid w:val="6339AB16"/>
    <w:rsid w:val="634AB019"/>
    <w:rsid w:val="636080DA"/>
    <w:rsid w:val="6375AB29"/>
    <w:rsid w:val="63AADD50"/>
    <w:rsid w:val="63B729E2"/>
    <w:rsid w:val="63F757F1"/>
    <w:rsid w:val="64551E2C"/>
    <w:rsid w:val="6495636B"/>
    <w:rsid w:val="64A79753"/>
    <w:rsid w:val="64B0E122"/>
    <w:rsid w:val="64F73C27"/>
    <w:rsid w:val="65053439"/>
    <w:rsid w:val="650841D8"/>
    <w:rsid w:val="6525B226"/>
    <w:rsid w:val="679146BB"/>
    <w:rsid w:val="67AD6FFD"/>
    <w:rsid w:val="680BD8F5"/>
    <w:rsid w:val="686C4CBA"/>
    <w:rsid w:val="69BF309F"/>
    <w:rsid w:val="69C36EF6"/>
    <w:rsid w:val="6A29DDE6"/>
    <w:rsid w:val="6A310B7F"/>
    <w:rsid w:val="6A41B298"/>
    <w:rsid w:val="6A5C6F67"/>
    <w:rsid w:val="6A61E10E"/>
    <w:rsid w:val="6B176BD2"/>
    <w:rsid w:val="6B48DD47"/>
    <w:rsid w:val="6B851A6B"/>
    <w:rsid w:val="6BB1F27C"/>
    <w:rsid w:val="6C9DD8CB"/>
    <w:rsid w:val="6CB88AED"/>
    <w:rsid w:val="6D0A7A1E"/>
    <w:rsid w:val="6D249D3F"/>
    <w:rsid w:val="6D4C6237"/>
    <w:rsid w:val="6D8243AF"/>
    <w:rsid w:val="6D8BD9A2"/>
    <w:rsid w:val="6DAC19E6"/>
    <w:rsid w:val="6DFE2D0B"/>
    <w:rsid w:val="6E363E46"/>
    <w:rsid w:val="6E9F620F"/>
    <w:rsid w:val="6F50762A"/>
    <w:rsid w:val="6F830FCD"/>
    <w:rsid w:val="6F8DD57A"/>
    <w:rsid w:val="6F99D76B"/>
    <w:rsid w:val="6FE7A256"/>
    <w:rsid w:val="703110F8"/>
    <w:rsid w:val="708B4E4D"/>
    <w:rsid w:val="70DB41FD"/>
    <w:rsid w:val="70DE2D26"/>
    <w:rsid w:val="70E1EDDA"/>
    <w:rsid w:val="70EC0E29"/>
    <w:rsid w:val="712F303C"/>
    <w:rsid w:val="713CF10A"/>
    <w:rsid w:val="72B7E760"/>
    <w:rsid w:val="72C65512"/>
    <w:rsid w:val="72CA1F1E"/>
    <w:rsid w:val="72FFBD55"/>
    <w:rsid w:val="731913AD"/>
    <w:rsid w:val="733AF196"/>
    <w:rsid w:val="73AD4C73"/>
    <w:rsid w:val="73D1BFF7"/>
    <w:rsid w:val="73DAC2B2"/>
    <w:rsid w:val="74A61268"/>
    <w:rsid w:val="752AFDE1"/>
    <w:rsid w:val="75E65908"/>
    <w:rsid w:val="7601EEAE"/>
    <w:rsid w:val="761DD946"/>
    <w:rsid w:val="7633D172"/>
    <w:rsid w:val="76F693F8"/>
    <w:rsid w:val="7731B346"/>
    <w:rsid w:val="775121DD"/>
    <w:rsid w:val="7757F813"/>
    <w:rsid w:val="77929AF2"/>
    <w:rsid w:val="77AC6527"/>
    <w:rsid w:val="77BCC4E2"/>
    <w:rsid w:val="77C9DE30"/>
    <w:rsid w:val="77FD9B55"/>
    <w:rsid w:val="781CC53E"/>
    <w:rsid w:val="78D1FAF6"/>
    <w:rsid w:val="7968B373"/>
    <w:rsid w:val="79827144"/>
    <w:rsid w:val="79C8B336"/>
    <w:rsid w:val="79D4427B"/>
    <w:rsid w:val="7A399AD3"/>
    <w:rsid w:val="7B694354"/>
    <w:rsid w:val="7BD595DF"/>
    <w:rsid w:val="7CF46CAA"/>
    <w:rsid w:val="7D1B7655"/>
    <w:rsid w:val="7D2F853A"/>
    <w:rsid w:val="7D56EE6D"/>
    <w:rsid w:val="7DE7C32A"/>
    <w:rsid w:val="7E441350"/>
    <w:rsid w:val="7F572121"/>
    <w:rsid w:val="7FAFA120"/>
    <w:rsid w:val="7FB57E0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46CC1D"/>
  <w15:docId w15:val="{6BF923C5-D0F8-4184-9FF2-9D07F46BC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8E0"/>
    <w:rPr>
      <w:rFonts w:eastAsiaTheme="minorEastAsia"/>
      <w:lang w:eastAsia="en-AU"/>
    </w:rPr>
  </w:style>
  <w:style w:type="paragraph" w:styleId="Heading1">
    <w:name w:val="heading 1"/>
    <w:basedOn w:val="Normal"/>
    <w:next w:val="Normal"/>
    <w:link w:val="Heading1Char"/>
    <w:uiPriority w:val="9"/>
    <w:qFormat/>
    <w:rsid w:val="00DF54FF"/>
    <w:pPr>
      <w:outlineLvl w:val="0"/>
    </w:pPr>
    <w:rPr>
      <w:rFonts w:cstheme="minorHAnsi"/>
      <w:sz w:val="32"/>
      <w:szCs w:val="32"/>
    </w:rPr>
  </w:style>
  <w:style w:type="paragraph" w:styleId="Heading2">
    <w:name w:val="heading 2"/>
    <w:basedOn w:val="Normal"/>
    <w:next w:val="Normal"/>
    <w:link w:val="Heading2Char"/>
    <w:uiPriority w:val="9"/>
    <w:unhideWhenUsed/>
    <w:qFormat/>
    <w:rsid w:val="00DF54FF"/>
    <w:pPr>
      <w:outlineLvl w:val="1"/>
    </w:pPr>
    <w:rPr>
      <w:rFonts w:cstheme="minorHAnsi"/>
      <w:sz w:val="28"/>
      <w:szCs w:val="28"/>
    </w:rPr>
  </w:style>
  <w:style w:type="paragraph" w:styleId="Heading3">
    <w:name w:val="heading 3"/>
    <w:basedOn w:val="Normal"/>
    <w:next w:val="Normal"/>
    <w:link w:val="Heading3Char"/>
    <w:uiPriority w:val="9"/>
    <w:unhideWhenUsed/>
    <w:qFormat/>
    <w:rsid w:val="00DF54FF"/>
    <w:pPr>
      <w:keepNext/>
      <w:keepLines/>
      <w:spacing w:before="100" w:beforeAutospacing="1" w:after="240" w:line="240" w:lineRule="auto"/>
      <w:outlineLvl w:val="2"/>
    </w:pPr>
    <w:rPr>
      <w:rFonts w:ascii="Calibri" w:eastAsia="MS Gothic" w:hAnsi="Calibri" w:cs="Times New Roman"/>
      <w:bCs/>
      <w:i/>
      <w:iCs/>
      <w:sz w:val="24"/>
      <w:lang w:val="en-US" w:eastAsia="en-US"/>
    </w:rPr>
  </w:style>
  <w:style w:type="paragraph" w:styleId="Heading4">
    <w:name w:val="heading 4"/>
    <w:basedOn w:val="Heading3"/>
    <w:next w:val="Normal"/>
    <w:link w:val="Heading4Char"/>
    <w:uiPriority w:val="9"/>
    <w:unhideWhenUsed/>
    <w:rsid w:val="002E4FFE"/>
    <w:pPr>
      <w:outlineLvl w:val="3"/>
    </w:pPr>
    <w:rPr>
      <w:color w:val="086F93" w:themeColor="accent1" w:themeShade="80"/>
    </w:rPr>
  </w:style>
  <w:style w:type="paragraph" w:styleId="Heading5">
    <w:name w:val="heading 5"/>
    <w:basedOn w:val="Heading3"/>
    <w:next w:val="Normal"/>
    <w:link w:val="Heading5Char"/>
    <w:uiPriority w:val="9"/>
    <w:unhideWhenUsed/>
    <w:rsid w:val="002E4FFE"/>
    <w:pPr>
      <w:outlineLvl w:val="4"/>
    </w:pPr>
    <w:rPr>
      <w:color w:val="086F93"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s">
    <w:name w:val="Bullets"/>
    <w:uiPriority w:val="99"/>
    <w:rsid w:val="0004526C"/>
    <w:pPr>
      <w:numPr>
        <w:numId w:val="1"/>
      </w:numPr>
    </w:pPr>
  </w:style>
  <w:style w:type="paragraph" w:customStyle="1" w:styleId="Bulletlist1">
    <w:name w:val="Bullet list 1"/>
    <w:basedOn w:val="Normal"/>
    <w:link w:val="Bulletlist1Char"/>
    <w:qFormat/>
    <w:rsid w:val="0004526C"/>
    <w:pPr>
      <w:numPr>
        <w:numId w:val="2"/>
      </w:numPr>
      <w:spacing w:before="100" w:beforeAutospacing="1" w:after="100" w:afterAutospacing="1" w:line="240" w:lineRule="auto"/>
    </w:pPr>
    <w:rPr>
      <w:rFonts w:ascii="Calibri" w:hAnsi="Calibri"/>
    </w:rPr>
  </w:style>
  <w:style w:type="character" w:customStyle="1" w:styleId="Heading4Char">
    <w:name w:val="Heading 4 Char"/>
    <w:basedOn w:val="DefaultParagraphFont"/>
    <w:link w:val="Heading4"/>
    <w:uiPriority w:val="9"/>
    <w:rsid w:val="002E4FFE"/>
    <w:rPr>
      <w:rFonts w:ascii="Calibri" w:eastAsia="MS Gothic" w:hAnsi="Calibri" w:cs="Times New Roman"/>
      <w:bCs/>
      <w:i/>
      <w:iCs/>
      <w:color w:val="086F93" w:themeColor="accent1" w:themeShade="80"/>
      <w:sz w:val="24"/>
      <w:lang w:val="en-US"/>
    </w:rPr>
  </w:style>
  <w:style w:type="paragraph" w:styleId="Title">
    <w:name w:val="Title"/>
    <w:basedOn w:val="Normal"/>
    <w:next w:val="Normal"/>
    <w:link w:val="TitleChar"/>
    <w:qFormat/>
    <w:rsid w:val="00BB00FD"/>
    <w:pPr>
      <w:spacing w:after="0"/>
      <w:outlineLvl w:val="0"/>
    </w:pPr>
    <w:rPr>
      <w:rFonts w:cstheme="minorHAnsi"/>
      <w:sz w:val="48"/>
      <w:szCs w:val="48"/>
    </w:rPr>
  </w:style>
  <w:style w:type="character" w:styleId="Hyperlink">
    <w:name w:val="Hyperlink"/>
    <w:basedOn w:val="DefaultParagraphFont"/>
    <w:uiPriority w:val="99"/>
    <w:unhideWhenUsed/>
    <w:rsid w:val="007A5D36"/>
    <w:rPr>
      <w:color w:val="0000FF" w:themeColor="hyperlink"/>
      <w:u w:val="single"/>
    </w:rPr>
  </w:style>
  <w:style w:type="character" w:customStyle="1" w:styleId="TitleChar">
    <w:name w:val="Title Char"/>
    <w:basedOn w:val="DefaultParagraphFont"/>
    <w:link w:val="Title"/>
    <w:rsid w:val="00BB00FD"/>
    <w:rPr>
      <w:rFonts w:eastAsiaTheme="minorEastAsia" w:cstheme="minorHAnsi"/>
      <w:sz w:val="48"/>
      <w:szCs w:val="48"/>
      <w:lang w:eastAsia="en-AU"/>
    </w:rPr>
  </w:style>
  <w:style w:type="paragraph" w:styleId="ListParagraph">
    <w:name w:val="List Paragraph"/>
    <w:basedOn w:val="Normal"/>
    <w:uiPriority w:val="34"/>
    <w:qFormat/>
    <w:rsid w:val="00BD42C5"/>
    <w:pPr>
      <w:ind w:left="720"/>
      <w:contextualSpacing/>
    </w:pPr>
  </w:style>
  <w:style w:type="character" w:customStyle="1" w:styleId="Heading1Char">
    <w:name w:val="Heading 1 Char"/>
    <w:basedOn w:val="DefaultParagraphFont"/>
    <w:link w:val="Heading1"/>
    <w:uiPriority w:val="9"/>
    <w:rsid w:val="00DF54FF"/>
    <w:rPr>
      <w:rFonts w:eastAsiaTheme="minorEastAsia" w:cstheme="minorHAnsi"/>
      <w:sz w:val="32"/>
      <w:szCs w:val="32"/>
      <w:lang w:eastAsia="en-AU"/>
    </w:rPr>
  </w:style>
  <w:style w:type="paragraph" w:styleId="FootnoteText">
    <w:name w:val="footnote text"/>
    <w:basedOn w:val="Normal"/>
    <w:link w:val="FootnoteTextChar"/>
    <w:uiPriority w:val="99"/>
    <w:unhideWhenUsed/>
    <w:rsid w:val="00EA3214"/>
    <w:pPr>
      <w:spacing w:after="0" w:line="240" w:lineRule="auto"/>
    </w:pPr>
    <w:rPr>
      <w:sz w:val="20"/>
      <w:szCs w:val="20"/>
    </w:rPr>
  </w:style>
  <w:style w:type="character" w:customStyle="1" w:styleId="FootnoteTextChar">
    <w:name w:val="Footnote Text Char"/>
    <w:basedOn w:val="DefaultParagraphFont"/>
    <w:link w:val="FootnoteText"/>
    <w:uiPriority w:val="99"/>
    <w:rsid w:val="00EA3214"/>
    <w:rPr>
      <w:rFonts w:eastAsiaTheme="minorEastAsia"/>
      <w:sz w:val="20"/>
      <w:szCs w:val="20"/>
      <w:lang w:eastAsia="en-AU"/>
    </w:rPr>
  </w:style>
  <w:style w:type="character" w:styleId="FootnoteReference">
    <w:name w:val="footnote reference"/>
    <w:basedOn w:val="DefaultParagraphFont"/>
    <w:uiPriority w:val="99"/>
    <w:semiHidden/>
    <w:unhideWhenUsed/>
    <w:rsid w:val="00EA3214"/>
    <w:rPr>
      <w:vertAlign w:val="superscript"/>
    </w:rPr>
  </w:style>
  <w:style w:type="character" w:styleId="CommentReference">
    <w:name w:val="annotation reference"/>
    <w:basedOn w:val="DefaultParagraphFont"/>
    <w:uiPriority w:val="99"/>
    <w:semiHidden/>
    <w:unhideWhenUsed/>
    <w:rsid w:val="00EA3214"/>
    <w:rPr>
      <w:sz w:val="16"/>
      <w:szCs w:val="16"/>
    </w:rPr>
  </w:style>
  <w:style w:type="paragraph" w:styleId="CommentSubject">
    <w:name w:val="annotation subject"/>
    <w:basedOn w:val="Normal"/>
    <w:next w:val="Normal"/>
    <w:link w:val="CommentSubjectChar"/>
    <w:uiPriority w:val="99"/>
    <w:semiHidden/>
    <w:unhideWhenUsed/>
    <w:rsid w:val="00EC3020"/>
    <w:rPr>
      <w:b/>
      <w:bCs/>
    </w:rPr>
  </w:style>
  <w:style w:type="character" w:customStyle="1" w:styleId="CommentSubjectChar">
    <w:name w:val="Comment Subject Char"/>
    <w:basedOn w:val="DefaultParagraphFont"/>
    <w:link w:val="CommentSubject"/>
    <w:uiPriority w:val="99"/>
    <w:semiHidden/>
    <w:rsid w:val="00EC3020"/>
    <w:rPr>
      <w:rFonts w:eastAsiaTheme="minorEastAsia"/>
      <w:b/>
      <w:bCs/>
      <w:sz w:val="20"/>
      <w:szCs w:val="20"/>
      <w:lang w:eastAsia="en-AU"/>
    </w:rPr>
  </w:style>
  <w:style w:type="paragraph" w:styleId="BalloonText">
    <w:name w:val="Balloon Text"/>
    <w:basedOn w:val="Normal"/>
    <w:link w:val="BalloonTextChar"/>
    <w:uiPriority w:val="99"/>
    <w:semiHidden/>
    <w:unhideWhenUsed/>
    <w:rsid w:val="00EA32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3214"/>
    <w:rPr>
      <w:rFonts w:ascii="Tahoma" w:eastAsiaTheme="minorEastAsia" w:hAnsi="Tahoma" w:cs="Tahoma"/>
      <w:sz w:val="16"/>
      <w:szCs w:val="16"/>
      <w:lang w:eastAsia="en-AU"/>
    </w:rPr>
  </w:style>
  <w:style w:type="character" w:customStyle="1" w:styleId="Heading2Char">
    <w:name w:val="Heading 2 Char"/>
    <w:basedOn w:val="DefaultParagraphFont"/>
    <w:link w:val="Heading2"/>
    <w:uiPriority w:val="9"/>
    <w:rsid w:val="00DF54FF"/>
    <w:rPr>
      <w:rFonts w:eastAsiaTheme="minorEastAsia" w:cstheme="minorHAnsi"/>
      <w:sz w:val="28"/>
      <w:szCs w:val="28"/>
      <w:lang w:eastAsia="en-AU"/>
    </w:rPr>
  </w:style>
  <w:style w:type="character" w:customStyle="1" w:styleId="Heading3Char">
    <w:name w:val="Heading 3 Char"/>
    <w:basedOn w:val="DefaultParagraphFont"/>
    <w:link w:val="Heading3"/>
    <w:uiPriority w:val="9"/>
    <w:rsid w:val="00DF54FF"/>
    <w:rPr>
      <w:rFonts w:ascii="Calibri" w:eastAsia="MS Gothic" w:hAnsi="Calibri" w:cs="Times New Roman"/>
      <w:bCs/>
      <w:i/>
      <w:iCs/>
      <w:sz w:val="24"/>
      <w:lang w:val="en-US"/>
    </w:rPr>
  </w:style>
  <w:style w:type="character" w:styleId="UnresolvedMention">
    <w:name w:val="Unresolved Mention"/>
    <w:basedOn w:val="DefaultParagraphFont"/>
    <w:uiPriority w:val="99"/>
    <w:semiHidden/>
    <w:unhideWhenUsed/>
    <w:rsid w:val="00A0796F"/>
    <w:rPr>
      <w:color w:val="605E5C"/>
      <w:shd w:val="clear" w:color="auto" w:fill="E1DFDD"/>
    </w:rPr>
  </w:style>
  <w:style w:type="table" w:styleId="TableGrid">
    <w:name w:val="Table Grid"/>
    <w:basedOn w:val="TableNormal"/>
    <w:uiPriority w:val="59"/>
    <w:rsid w:val="00917B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36E66"/>
    <w:rPr>
      <w:color w:val="800080" w:themeColor="followedHyperlink"/>
      <w:u w:val="single"/>
    </w:rPr>
  </w:style>
  <w:style w:type="paragraph" w:styleId="Revision">
    <w:name w:val="Revision"/>
    <w:hidden/>
    <w:uiPriority w:val="99"/>
    <w:semiHidden/>
    <w:rsid w:val="00D65181"/>
    <w:pPr>
      <w:spacing w:after="0" w:line="240" w:lineRule="auto"/>
    </w:pPr>
    <w:rPr>
      <w:rFonts w:eastAsiaTheme="minorEastAsia"/>
      <w:lang w:eastAsia="en-AU"/>
    </w:rPr>
  </w:style>
  <w:style w:type="paragraph" w:customStyle="1" w:styleId="FundingAcknowledgement">
    <w:name w:val="Funding Acknowledgement"/>
    <w:basedOn w:val="Normal"/>
    <w:autoRedefine/>
    <w:qFormat/>
    <w:rsid w:val="00347170"/>
    <w:pPr>
      <w:pBdr>
        <w:top w:val="single" w:sz="36" w:space="10" w:color="43C7F4" w:themeColor="accent1"/>
        <w:bottom w:val="single" w:sz="36" w:space="10" w:color="43C7F4" w:themeColor="accent1"/>
      </w:pBdr>
      <w:spacing w:before="360" w:after="360"/>
      <w:ind w:right="-46"/>
    </w:pPr>
    <w:rPr>
      <w:rFonts w:ascii="Gotham" w:hAnsi="Gotham"/>
      <w:b/>
      <w:i/>
      <w:iCs/>
      <w:sz w:val="16"/>
      <w:lang w:val="en-US"/>
    </w:rPr>
  </w:style>
  <w:style w:type="character" w:customStyle="1" w:styleId="Heading5Char">
    <w:name w:val="Heading 5 Char"/>
    <w:basedOn w:val="DefaultParagraphFont"/>
    <w:link w:val="Heading5"/>
    <w:uiPriority w:val="9"/>
    <w:rsid w:val="002E4FFE"/>
    <w:rPr>
      <w:rFonts w:ascii="Calibri" w:eastAsia="MS Gothic" w:hAnsi="Calibri" w:cs="Times New Roman"/>
      <w:bCs/>
      <w:i/>
      <w:iCs/>
      <w:color w:val="086F93" w:themeColor="accent1" w:themeShade="80"/>
      <w:sz w:val="24"/>
      <w:lang w:val="en-US"/>
    </w:rPr>
  </w:style>
  <w:style w:type="paragraph" w:customStyle="1" w:styleId="Bulletlist2">
    <w:name w:val="Bullet list 2"/>
    <w:basedOn w:val="Bulletlist1"/>
    <w:link w:val="Bulletlist2Char"/>
    <w:qFormat/>
    <w:rsid w:val="0004526C"/>
    <w:pPr>
      <w:numPr>
        <w:ilvl w:val="1"/>
      </w:numPr>
    </w:pPr>
  </w:style>
  <w:style w:type="character" w:customStyle="1" w:styleId="Bulletlist1Char">
    <w:name w:val="Bullet list 1 Char"/>
    <w:basedOn w:val="DefaultParagraphFont"/>
    <w:link w:val="Bulletlist1"/>
    <w:rsid w:val="0004526C"/>
    <w:rPr>
      <w:rFonts w:ascii="Calibri" w:eastAsiaTheme="minorEastAsia" w:hAnsi="Calibri"/>
      <w:lang w:eastAsia="en-AU"/>
    </w:rPr>
  </w:style>
  <w:style w:type="paragraph" w:customStyle="1" w:styleId="Bulletlist3">
    <w:name w:val="Bullet list 3"/>
    <w:basedOn w:val="Bulletlist2"/>
    <w:link w:val="Bulletlist3Char"/>
    <w:qFormat/>
    <w:rsid w:val="0004526C"/>
    <w:pPr>
      <w:numPr>
        <w:ilvl w:val="2"/>
      </w:numPr>
    </w:pPr>
  </w:style>
  <w:style w:type="paragraph" w:customStyle="1" w:styleId="DocLabel">
    <w:name w:val="Doc Label"/>
    <w:basedOn w:val="Normal"/>
    <w:link w:val="DocLabelChar"/>
    <w:qFormat/>
    <w:rsid w:val="00877710"/>
    <w:pPr>
      <w:tabs>
        <w:tab w:val="right" w:pos="9026"/>
      </w:tabs>
    </w:pPr>
    <w:rPr>
      <w:rFonts w:ascii="Gotham Black" w:hAnsi="Gotham Black"/>
      <w:color w:val="43C7F4" w:themeColor="accent1"/>
      <w:sz w:val="36"/>
      <w:szCs w:val="36"/>
    </w:rPr>
  </w:style>
  <w:style w:type="character" w:customStyle="1" w:styleId="Bulletlist2Char">
    <w:name w:val="Bullet list 2 Char"/>
    <w:basedOn w:val="Bulletlist1Char"/>
    <w:link w:val="Bulletlist2"/>
    <w:rsid w:val="0004526C"/>
    <w:rPr>
      <w:rFonts w:ascii="Calibri" w:eastAsiaTheme="minorEastAsia" w:hAnsi="Calibri"/>
      <w:lang w:eastAsia="en-AU"/>
    </w:rPr>
  </w:style>
  <w:style w:type="paragraph" w:customStyle="1" w:styleId="DocDate">
    <w:name w:val="Doc Date"/>
    <w:basedOn w:val="Normal"/>
    <w:link w:val="DocDateChar"/>
    <w:qFormat/>
    <w:rsid w:val="00877710"/>
    <w:pPr>
      <w:tabs>
        <w:tab w:val="right" w:pos="9026"/>
      </w:tabs>
    </w:pPr>
    <w:rPr>
      <w:rFonts w:ascii="Gotham" w:hAnsi="Gotham"/>
      <w:b/>
      <w:bCs/>
    </w:rPr>
  </w:style>
  <w:style w:type="character" w:customStyle="1" w:styleId="DocLabelChar">
    <w:name w:val="Doc Label Char"/>
    <w:basedOn w:val="DefaultParagraphFont"/>
    <w:link w:val="DocLabel"/>
    <w:rsid w:val="00877710"/>
    <w:rPr>
      <w:rFonts w:ascii="Gotham Black" w:eastAsiaTheme="minorEastAsia" w:hAnsi="Gotham Black"/>
      <w:color w:val="43C7F4" w:themeColor="accent1"/>
      <w:sz w:val="36"/>
      <w:szCs w:val="36"/>
      <w:lang w:eastAsia="en-AU"/>
    </w:rPr>
  </w:style>
  <w:style w:type="paragraph" w:customStyle="1" w:styleId="Letterhead1">
    <w:name w:val="Letterhead 1"/>
    <w:basedOn w:val="Normal"/>
    <w:link w:val="Letterhead1Char"/>
    <w:qFormat/>
    <w:rsid w:val="002E4FFE"/>
    <w:pPr>
      <w:tabs>
        <w:tab w:val="left" w:pos="3855"/>
        <w:tab w:val="center" w:pos="4513"/>
        <w:tab w:val="right" w:pos="9026"/>
      </w:tabs>
      <w:spacing w:after="0"/>
      <w:jc w:val="right"/>
    </w:pPr>
    <w:rPr>
      <w:rFonts w:ascii="Gotham" w:hAnsi="Gotham"/>
      <w:b/>
      <w:bCs/>
      <w:spacing w:val="8"/>
      <w:sz w:val="20"/>
      <w:szCs w:val="20"/>
    </w:rPr>
  </w:style>
  <w:style w:type="character" w:customStyle="1" w:styleId="DocDateChar">
    <w:name w:val="Doc Date Char"/>
    <w:basedOn w:val="DefaultParagraphFont"/>
    <w:link w:val="DocDate"/>
    <w:rsid w:val="00877710"/>
    <w:rPr>
      <w:rFonts w:ascii="Gotham" w:eastAsiaTheme="minorEastAsia" w:hAnsi="Gotham"/>
      <w:b/>
      <w:bCs/>
      <w:lang w:eastAsia="en-AU"/>
    </w:rPr>
  </w:style>
  <w:style w:type="paragraph" w:customStyle="1" w:styleId="Letterhead2">
    <w:name w:val="Letterhead 2"/>
    <w:basedOn w:val="Normal"/>
    <w:link w:val="Letterhead2Char"/>
    <w:qFormat/>
    <w:rsid w:val="002E4FFE"/>
    <w:pPr>
      <w:tabs>
        <w:tab w:val="left" w:pos="1843"/>
        <w:tab w:val="center" w:pos="4513"/>
        <w:tab w:val="right" w:pos="9026"/>
      </w:tabs>
      <w:spacing w:after="0" w:line="240" w:lineRule="auto"/>
      <w:ind w:hanging="851"/>
    </w:pPr>
    <w:rPr>
      <w:rFonts w:ascii="Gotham" w:hAnsi="Gotham"/>
      <w:b/>
      <w:bCs/>
      <w:i/>
      <w:iCs/>
      <w:color w:val="43C7F4" w:themeColor="accent1"/>
    </w:rPr>
  </w:style>
  <w:style w:type="character" w:customStyle="1" w:styleId="Letterhead1Char">
    <w:name w:val="Letterhead 1 Char"/>
    <w:basedOn w:val="DefaultParagraphFont"/>
    <w:link w:val="Letterhead1"/>
    <w:rsid w:val="002E4FFE"/>
    <w:rPr>
      <w:rFonts w:ascii="Gotham" w:eastAsiaTheme="minorEastAsia" w:hAnsi="Gotham"/>
      <w:b/>
      <w:bCs/>
      <w:spacing w:val="8"/>
      <w:sz w:val="20"/>
      <w:szCs w:val="20"/>
      <w:lang w:eastAsia="en-AU"/>
    </w:rPr>
  </w:style>
  <w:style w:type="paragraph" w:styleId="NoSpacing">
    <w:name w:val="No Spacing"/>
    <w:uiPriority w:val="1"/>
    <w:qFormat/>
    <w:rsid w:val="00604680"/>
    <w:pPr>
      <w:spacing w:after="0" w:line="240" w:lineRule="auto"/>
    </w:pPr>
    <w:rPr>
      <w:rFonts w:eastAsiaTheme="minorEastAsia"/>
      <w:lang w:eastAsia="en-AU"/>
    </w:rPr>
  </w:style>
  <w:style w:type="character" w:customStyle="1" w:styleId="Letterhead2Char">
    <w:name w:val="Letterhead 2 Char"/>
    <w:basedOn w:val="DefaultParagraphFont"/>
    <w:link w:val="Letterhead2"/>
    <w:rsid w:val="002E4FFE"/>
    <w:rPr>
      <w:rFonts w:ascii="Gotham" w:eastAsiaTheme="minorEastAsia" w:hAnsi="Gotham"/>
      <w:b/>
      <w:bCs/>
      <w:i/>
      <w:iCs/>
      <w:color w:val="43C7F4" w:themeColor="accent1"/>
      <w:lang w:eastAsia="en-AU"/>
    </w:rPr>
  </w:style>
  <w:style w:type="character" w:styleId="IntenseEmphasis">
    <w:name w:val="Intense Emphasis"/>
    <w:basedOn w:val="DefaultParagraphFont"/>
    <w:uiPriority w:val="21"/>
    <w:rsid w:val="00124F88"/>
    <w:rPr>
      <w:i/>
      <w:iCs/>
      <w:color w:val="43C7F4" w:themeColor="accent1"/>
    </w:rPr>
  </w:style>
  <w:style w:type="paragraph" w:customStyle="1" w:styleId="Recommendation">
    <w:name w:val="Recommendation"/>
    <w:basedOn w:val="Normal"/>
    <w:link w:val="RecommendationChar"/>
    <w:qFormat/>
    <w:rsid w:val="00261658"/>
    <w:pPr>
      <w:numPr>
        <w:numId w:val="3"/>
      </w:numPr>
      <w:pBdr>
        <w:top w:val="single" w:sz="18" w:space="6" w:color="44C8F5"/>
        <w:left w:val="single" w:sz="18" w:space="5" w:color="44C8F5"/>
        <w:bottom w:val="single" w:sz="18" w:space="6" w:color="44C8F5"/>
        <w:right w:val="single" w:sz="18" w:space="5" w:color="44C8F5"/>
      </w:pBdr>
      <w:spacing w:before="100" w:beforeAutospacing="1" w:after="100" w:afterAutospacing="1" w:line="240" w:lineRule="auto"/>
      <w:ind w:right="851"/>
    </w:pPr>
    <w:rPr>
      <w:rFonts w:ascii="Calibri" w:hAnsi="Calibri"/>
      <w:lang w:eastAsia="en-US"/>
    </w:rPr>
  </w:style>
  <w:style w:type="character" w:customStyle="1" w:styleId="RecommendationChar">
    <w:name w:val="Recommendation Char"/>
    <w:basedOn w:val="DefaultParagraphFont"/>
    <w:link w:val="Recommendation"/>
    <w:rsid w:val="00261658"/>
    <w:rPr>
      <w:rFonts w:ascii="Calibri" w:eastAsiaTheme="minorEastAsia" w:hAnsi="Calibri"/>
    </w:rPr>
  </w:style>
  <w:style w:type="numbering" w:customStyle="1" w:styleId="Recommendations">
    <w:name w:val="Recommendations"/>
    <w:uiPriority w:val="99"/>
    <w:rsid w:val="00730BA6"/>
    <w:pPr>
      <w:numPr>
        <w:numId w:val="3"/>
      </w:numPr>
    </w:pPr>
  </w:style>
  <w:style w:type="character" w:customStyle="1" w:styleId="Bulletlist3Char">
    <w:name w:val="Bullet list 3 Char"/>
    <w:basedOn w:val="Bulletlist2Char"/>
    <w:link w:val="Bulletlist3"/>
    <w:rsid w:val="0004526C"/>
    <w:rPr>
      <w:rFonts w:ascii="Calibri" w:eastAsiaTheme="minorEastAsia" w:hAnsi="Calibri"/>
      <w:lang w:eastAsia="en-AU"/>
    </w:rPr>
  </w:style>
  <w:style w:type="table" w:styleId="ListTable3-Accent1">
    <w:name w:val="List Table 3 Accent 1"/>
    <w:basedOn w:val="TableNormal"/>
    <w:uiPriority w:val="48"/>
    <w:rsid w:val="00917B48"/>
    <w:pPr>
      <w:spacing w:after="0" w:line="240" w:lineRule="auto"/>
    </w:pPr>
    <w:tblPr>
      <w:tblStyleRowBandSize w:val="1"/>
      <w:tblStyleColBandSize w:val="1"/>
      <w:tblBorders>
        <w:top w:val="single" w:sz="4" w:space="0" w:color="43C7F4" w:themeColor="accent1"/>
        <w:left w:val="single" w:sz="4" w:space="0" w:color="43C7F4" w:themeColor="accent1"/>
        <w:bottom w:val="single" w:sz="4" w:space="0" w:color="43C7F4" w:themeColor="accent1"/>
        <w:right w:val="single" w:sz="4" w:space="0" w:color="43C7F4" w:themeColor="accent1"/>
      </w:tblBorders>
    </w:tblPr>
    <w:tblStylePr w:type="firstRow">
      <w:rPr>
        <w:b/>
        <w:bCs/>
        <w:color w:val="FFFFFF" w:themeColor="background1"/>
      </w:rPr>
      <w:tblPr/>
      <w:tcPr>
        <w:shd w:val="clear" w:color="auto" w:fill="43C7F4" w:themeFill="accent1"/>
      </w:tcPr>
    </w:tblStylePr>
    <w:tblStylePr w:type="lastRow">
      <w:rPr>
        <w:b/>
        <w:bCs/>
      </w:rPr>
      <w:tblPr/>
      <w:tcPr>
        <w:tcBorders>
          <w:top w:val="double" w:sz="4" w:space="0" w:color="43C7F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3C7F4" w:themeColor="accent1"/>
          <w:right w:val="single" w:sz="4" w:space="0" w:color="43C7F4" w:themeColor="accent1"/>
        </w:tcBorders>
      </w:tcPr>
    </w:tblStylePr>
    <w:tblStylePr w:type="band1Horz">
      <w:tblPr/>
      <w:tcPr>
        <w:tcBorders>
          <w:top w:val="single" w:sz="4" w:space="0" w:color="43C7F4" w:themeColor="accent1"/>
          <w:bottom w:val="single" w:sz="4" w:space="0" w:color="43C7F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3C7F4" w:themeColor="accent1"/>
          <w:left w:val="nil"/>
        </w:tcBorders>
      </w:tcPr>
    </w:tblStylePr>
    <w:tblStylePr w:type="swCell">
      <w:tblPr/>
      <w:tcPr>
        <w:tcBorders>
          <w:top w:val="double" w:sz="4" w:space="0" w:color="43C7F4" w:themeColor="accent1"/>
          <w:right w:val="nil"/>
        </w:tcBorders>
      </w:tcPr>
    </w:tblStylePr>
  </w:style>
  <w:style w:type="table" w:styleId="GridTable1Light-Accent1">
    <w:name w:val="Grid Table 1 Light Accent 1"/>
    <w:basedOn w:val="TableNormal"/>
    <w:uiPriority w:val="46"/>
    <w:rsid w:val="00917B48"/>
    <w:pPr>
      <w:spacing w:after="0" w:line="240" w:lineRule="auto"/>
    </w:pPr>
    <w:tblPr>
      <w:tblStyleRowBandSize w:val="1"/>
      <w:tblStyleColBandSize w:val="1"/>
      <w:tblBorders>
        <w:top w:val="single" w:sz="4" w:space="0" w:color="B3E8FA" w:themeColor="accent1" w:themeTint="66"/>
        <w:left w:val="single" w:sz="4" w:space="0" w:color="B3E8FA" w:themeColor="accent1" w:themeTint="66"/>
        <w:bottom w:val="single" w:sz="4" w:space="0" w:color="B3E8FA" w:themeColor="accent1" w:themeTint="66"/>
        <w:right w:val="single" w:sz="4" w:space="0" w:color="B3E8FA" w:themeColor="accent1" w:themeTint="66"/>
        <w:insideH w:val="single" w:sz="4" w:space="0" w:color="B3E8FA" w:themeColor="accent1" w:themeTint="66"/>
        <w:insideV w:val="single" w:sz="4" w:space="0" w:color="B3E8FA" w:themeColor="accent1" w:themeTint="66"/>
      </w:tblBorders>
    </w:tblPr>
    <w:tblStylePr w:type="firstRow">
      <w:rPr>
        <w:b/>
        <w:bCs/>
      </w:rPr>
      <w:tblPr/>
      <w:tcPr>
        <w:tcBorders>
          <w:bottom w:val="single" w:sz="12" w:space="0" w:color="8DDDF8" w:themeColor="accent1" w:themeTint="99"/>
        </w:tcBorders>
      </w:tcPr>
    </w:tblStylePr>
    <w:tblStylePr w:type="lastRow">
      <w:rPr>
        <w:b/>
        <w:bCs/>
      </w:rPr>
      <w:tblPr/>
      <w:tcPr>
        <w:tcBorders>
          <w:top w:val="double" w:sz="2" w:space="0" w:color="8DDDF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A7A37"/>
    <w:pPr>
      <w:spacing w:after="0" w:line="240" w:lineRule="auto"/>
    </w:pPr>
    <w:tblPr>
      <w:tblStyleRowBandSize w:val="1"/>
      <w:tblStyleColBandSize w:val="1"/>
      <w:tblBorders>
        <w:top w:val="single" w:sz="4" w:space="0" w:color="ACCADF" w:themeColor="accent2" w:themeTint="66"/>
        <w:left w:val="single" w:sz="4" w:space="0" w:color="ACCADF" w:themeColor="accent2" w:themeTint="66"/>
        <w:bottom w:val="single" w:sz="4" w:space="0" w:color="ACCADF" w:themeColor="accent2" w:themeTint="66"/>
        <w:right w:val="single" w:sz="4" w:space="0" w:color="ACCADF" w:themeColor="accent2" w:themeTint="66"/>
        <w:insideH w:val="single" w:sz="4" w:space="0" w:color="ACCADF" w:themeColor="accent2" w:themeTint="66"/>
        <w:insideV w:val="single" w:sz="4" w:space="0" w:color="ACCADF" w:themeColor="accent2" w:themeTint="66"/>
      </w:tblBorders>
    </w:tblPr>
    <w:tblStylePr w:type="firstRow">
      <w:rPr>
        <w:b/>
        <w:bCs/>
      </w:rPr>
      <w:tblPr/>
      <w:tcPr>
        <w:tcBorders>
          <w:bottom w:val="single" w:sz="12" w:space="0" w:color="83AFD0" w:themeColor="accent2" w:themeTint="99"/>
        </w:tcBorders>
      </w:tcPr>
    </w:tblStylePr>
    <w:tblStylePr w:type="lastRow">
      <w:rPr>
        <w:b/>
        <w:bCs/>
      </w:rPr>
      <w:tblPr/>
      <w:tcPr>
        <w:tcBorders>
          <w:top w:val="double" w:sz="2" w:space="0" w:color="83AFD0" w:themeColor="accent2" w:themeTint="99"/>
        </w:tcBorders>
      </w:tcPr>
    </w:tblStylePr>
    <w:tblStylePr w:type="firstCol">
      <w:rPr>
        <w:b/>
        <w:bCs/>
      </w:rPr>
    </w:tblStylePr>
    <w:tblStylePr w:type="lastCol">
      <w:rPr>
        <w:b/>
        <w:bCs/>
      </w:rPr>
    </w:tblStylePr>
  </w:style>
  <w:style w:type="paragraph" w:customStyle="1" w:styleId="Footnotes">
    <w:name w:val="Footnotes"/>
    <w:basedOn w:val="Normal"/>
    <w:link w:val="FootnotesChar"/>
    <w:qFormat/>
    <w:rsid w:val="00DB4E2B"/>
    <w:rPr>
      <w:sz w:val="20"/>
      <w:szCs w:val="20"/>
    </w:rPr>
  </w:style>
  <w:style w:type="character" w:customStyle="1" w:styleId="FootnotesChar">
    <w:name w:val="Footnotes Char"/>
    <w:basedOn w:val="DefaultParagraphFont"/>
    <w:link w:val="Footnotes"/>
    <w:rsid w:val="00DB4E2B"/>
    <w:rPr>
      <w:rFonts w:eastAsiaTheme="minorEastAsia"/>
      <w:sz w:val="20"/>
      <w:szCs w:val="20"/>
      <w:lang w:eastAsia="en-AU"/>
    </w:rPr>
  </w:style>
  <w:style w:type="paragraph" w:styleId="CommentText">
    <w:name w:val="annotation text"/>
    <w:basedOn w:val="Normal"/>
    <w:link w:val="CommentTextChar"/>
    <w:uiPriority w:val="99"/>
    <w:unhideWhenUsed/>
    <w:rsid w:val="008E0C63"/>
    <w:pPr>
      <w:spacing w:line="240" w:lineRule="auto"/>
    </w:pPr>
    <w:rPr>
      <w:sz w:val="20"/>
      <w:szCs w:val="20"/>
    </w:rPr>
  </w:style>
  <w:style w:type="character" w:customStyle="1" w:styleId="CommentTextChar">
    <w:name w:val="Comment Text Char"/>
    <w:basedOn w:val="DefaultParagraphFont"/>
    <w:link w:val="CommentText"/>
    <w:uiPriority w:val="99"/>
    <w:rsid w:val="008E0C63"/>
    <w:rPr>
      <w:rFonts w:eastAsiaTheme="minorEastAsia"/>
      <w:sz w:val="20"/>
      <w:szCs w:val="20"/>
      <w:lang w:eastAsia="en-AU"/>
    </w:rPr>
  </w:style>
  <w:style w:type="paragraph" w:styleId="Header">
    <w:name w:val="header"/>
    <w:basedOn w:val="Normal"/>
    <w:link w:val="HeaderChar"/>
    <w:uiPriority w:val="99"/>
    <w:unhideWhenUsed/>
    <w:rsid w:val="00C83C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3CC1"/>
    <w:rPr>
      <w:rFonts w:eastAsiaTheme="minorEastAsia"/>
      <w:lang w:eastAsia="en-AU"/>
    </w:rPr>
  </w:style>
  <w:style w:type="paragraph" w:styleId="Footer">
    <w:name w:val="footer"/>
    <w:basedOn w:val="Normal"/>
    <w:link w:val="FooterChar"/>
    <w:uiPriority w:val="99"/>
    <w:unhideWhenUsed/>
    <w:rsid w:val="00C83C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3CC1"/>
    <w:rPr>
      <w:rFonts w:eastAsiaTheme="minorEastAsia"/>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572333">
      <w:bodyDiv w:val="1"/>
      <w:marLeft w:val="0"/>
      <w:marRight w:val="0"/>
      <w:marTop w:val="0"/>
      <w:marBottom w:val="0"/>
      <w:divBdr>
        <w:top w:val="none" w:sz="0" w:space="0" w:color="auto"/>
        <w:left w:val="none" w:sz="0" w:space="0" w:color="auto"/>
        <w:bottom w:val="none" w:sz="0" w:space="0" w:color="auto"/>
        <w:right w:val="none" w:sz="0" w:space="0" w:color="auto"/>
      </w:divBdr>
    </w:div>
    <w:div w:id="119569641">
      <w:bodyDiv w:val="1"/>
      <w:marLeft w:val="0"/>
      <w:marRight w:val="0"/>
      <w:marTop w:val="0"/>
      <w:marBottom w:val="0"/>
      <w:divBdr>
        <w:top w:val="none" w:sz="0" w:space="0" w:color="auto"/>
        <w:left w:val="none" w:sz="0" w:space="0" w:color="auto"/>
        <w:bottom w:val="none" w:sz="0" w:space="0" w:color="auto"/>
        <w:right w:val="none" w:sz="0" w:space="0" w:color="auto"/>
      </w:divBdr>
    </w:div>
    <w:div w:id="123548982">
      <w:bodyDiv w:val="1"/>
      <w:marLeft w:val="0"/>
      <w:marRight w:val="0"/>
      <w:marTop w:val="0"/>
      <w:marBottom w:val="0"/>
      <w:divBdr>
        <w:top w:val="none" w:sz="0" w:space="0" w:color="auto"/>
        <w:left w:val="none" w:sz="0" w:space="0" w:color="auto"/>
        <w:bottom w:val="none" w:sz="0" w:space="0" w:color="auto"/>
        <w:right w:val="none" w:sz="0" w:space="0" w:color="auto"/>
      </w:divBdr>
    </w:div>
    <w:div w:id="208804938">
      <w:bodyDiv w:val="1"/>
      <w:marLeft w:val="0"/>
      <w:marRight w:val="0"/>
      <w:marTop w:val="0"/>
      <w:marBottom w:val="0"/>
      <w:divBdr>
        <w:top w:val="none" w:sz="0" w:space="0" w:color="auto"/>
        <w:left w:val="none" w:sz="0" w:space="0" w:color="auto"/>
        <w:bottom w:val="none" w:sz="0" w:space="0" w:color="auto"/>
        <w:right w:val="none" w:sz="0" w:space="0" w:color="auto"/>
      </w:divBdr>
    </w:div>
    <w:div w:id="215165960">
      <w:bodyDiv w:val="1"/>
      <w:marLeft w:val="0"/>
      <w:marRight w:val="0"/>
      <w:marTop w:val="0"/>
      <w:marBottom w:val="0"/>
      <w:divBdr>
        <w:top w:val="none" w:sz="0" w:space="0" w:color="auto"/>
        <w:left w:val="none" w:sz="0" w:space="0" w:color="auto"/>
        <w:bottom w:val="none" w:sz="0" w:space="0" w:color="auto"/>
        <w:right w:val="none" w:sz="0" w:space="0" w:color="auto"/>
      </w:divBdr>
    </w:div>
    <w:div w:id="240140262">
      <w:bodyDiv w:val="1"/>
      <w:marLeft w:val="0"/>
      <w:marRight w:val="0"/>
      <w:marTop w:val="0"/>
      <w:marBottom w:val="0"/>
      <w:divBdr>
        <w:top w:val="none" w:sz="0" w:space="0" w:color="auto"/>
        <w:left w:val="none" w:sz="0" w:space="0" w:color="auto"/>
        <w:bottom w:val="none" w:sz="0" w:space="0" w:color="auto"/>
        <w:right w:val="none" w:sz="0" w:space="0" w:color="auto"/>
      </w:divBdr>
    </w:div>
    <w:div w:id="284888464">
      <w:bodyDiv w:val="1"/>
      <w:marLeft w:val="0"/>
      <w:marRight w:val="0"/>
      <w:marTop w:val="0"/>
      <w:marBottom w:val="0"/>
      <w:divBdr>
        <w:top w:val="none" w:sz="0" w:space="0" w:color="auto"/>
        <w:left w:val="none" w:sz="0" w:space="0" w:color="auto"/>
        <w:bottom w:val="none" w:sz="0" w:space="0" w:color="auto"/>
        <w:right w:val="none" w:sz="0" w:space="0" w:color="auto"/>
      </w:divBdr>
    </w:div>
    <w:div w:id="304046622">
      <w:bodyDiv w:val="1"/>
      <w:marLeft w:val="0"/>
      <w:marRight w:val="0"/>
      <w:marTop w:val="0"/>
      <w:marBottom w:val="0"/>
      <w:divBdr>
        <w:top w:val="none" w:sz="0" w:space="0" w:color="auto"/>
        <w:left w:val="none" w:sz="0" w:space="0" w:color="auto"/>
        <w:bottom w:val="none" w:sz="0" w:space="0" w:color="auto"/>
        <w:right w:val="none" w:sz="0" w:space="0" w:color="auto"/>
      </w:divBdr>
    </w:div>
    <w:div w:id="408314425">
      <w:bodyDiv w:val="1"/>
      <w:marLeft w:val="0"/>
      <w:marRight w:val="0"/>
      <w:marTop w:val="0"/>
      <w:marBottom w:val="0"/>
      <w:divBdr>
        <w:top w:val="none" w:sz="0" w:space="0" w:color="auto"/>
        <w:left w:val="none" w:sz="0" w:space="0" w:color="auto"/>
        <w:bottom w:val="none" w:sz="0" w:space="0" w:color="auto"/>
        <w:right w:val="none" w:sz="0" w:space="0" w:color="auto"/>
      </w:divBdr>
    </w:div>
    <w:div w:id="558976667">
      <w:bodyDiv w:val="1"/>
      <w:marLeft w:val="0"/>
      <w:marRight w:val="0"/>
      <w:marTop w:val="0"/>
      <w:marBottom w:val="0"/>
      <w:divBdr>
        <w:top w:val="none" w:sz="0" w:space="0" w:color="auto"/>
        <w:left w:val="none" w:sz="0" w:space="0" w:color="auto"/>
        <w:bottom w:val="none" w:sz="0" w:space="0" w:color="auto"/>
        <w:right w:val="none" w:sz="0" w:space="0" w:color="auto"/>
      </w:divBdr>
    </w:div>
    <w:div w:id="612790912">
      <w:bodyDiv w:val="1"/>
      <w:marLeft w:val="0"/>
      <w:marRight w:val="0"/>
      <w:marTop w:val="0"/>
      <w:marBottom w:val="0"/>
      <w:divBdr>
        <w:top w:val="none" w:sz="0" w:space="0" w:color="auto"/>
        <w:left w:val="none" w:sz="0" w:space="0" w:color="auto"/>
        <w:bottom w:val="none" w:sz="0" w:space="0" w:color="auto"/>
        <w:right w:val="none" w:sz="0" w:space="0" w:color="auto"/>
      </w:divBdr>
    </w:div>
    <w:div w:id="675813625">
      <w:bodyDiv w:val="1"/>
      <w:marLeft w:val="0"/>
      <w:marRight w:val="0"/>
      <w:marTop w:val="0"/>
      <w:marBottom w:val="0"/>
      <w:divBdr>
        <w:top w:val="none" w:sz="0" w:space="0" w:color="auto"/>
        <w:left w:val="none" w:sz="0" w:space="0" w:color="auto"/>
        <w:bottom w:val="none" w:sz="0" w:space="0" w:color="auto"/>
        <w:right w:val="none" w:sz="0" w:space="0" w:color="auto"/>
      </w:divBdr>
    </w:div>
    <w:div w:id="692655905">
      <w:bodyDiv w:val="1"/>
      <w:marLeft w:val="0"/>
      <w:marRight w:val="0"/>
      <w:marTop w:val="0"/>
      <w:marBottom w:val="0"/>
      <w:divBdr>
        <w:top w:val="none" w:sz="0" w:space="0" w:color="auto"/>
        <w:left w:val="none" w:sz="0" w:space="0" w:color="auto"/>
        <w:bottom w:val="none" w:sz="0" w:space="0" w:color="auto"/>
        <w:right w:val="none" w:sz="0" w:space="0" w:color="auto"/>
      </w:divBdr>
    </w:div>
    <w:div w:id="748692367">
      <w:bodyDiv w:val="1"/>
      <w:marLeft w:val="0"/>
      <w:marRight w:val="0"/>
      <w:marTop w:val="0"/>
      <w:marBottom w:val="0"/>
      <w:divBdr>
        <w:top w:val="none" w:sz="0" w:space="0" w:color="auto"/>
        <w:left w:val="none" w:sz="0" w:space="0" w:color="auto"/>
        <w:bottom w:val="none" w:sz="0" w:space="0" w:color="auto"/>
        <w:right w:val="none" w:sz="0" w:space="0" w:color="auto"/>
      </w:divBdr>
    </w:div>
    <w:div w:id="805701622">
      <w:bodyDiv w:val="1"/>
      <w:marLeft w:val="0"/>
      <w:marRight w:val="0"/>
      <w:marTop w:val="0"/>
      <w:marBottom w:val="0"/>
      <w:divBdr>
        <w:top w:val="none" w:sz="0" w:space="0" w:color="auto"/>
        <w:left w:val="none" w:sz="0" w:space="0" w:color="auto"/>
        <w:bottom w:val="none" w:sz="0" w:space="0" w:color="auto"/>
        <w:right w:val="none" w:sz="0" w:space="0" w:color="auto"/>
      </w:divBdr>
    </w:div>
    <w:div w:id="812873634">
      <w:bodyDiv w:val="1"/>
      <w:marLeft w:val="0"/>
      <w:marRight w:val="0"/>
      <w:marTop w:val="0"/>
      <w:marBottom w:val="0"/>
      <w:divBdr>
        <w:top w:val="none" w:sz="0" w:space="0" w:color="auto"/>
        <w:left w:val="none" w:sz="0" w:space="0" w:color="auto"/>
        <w:bottom w:val="none" w:sz="0" w:space="0" w:color="auto"/>
        <w:right w:val="none" w:sz="0" w:space="0" w:color="auto"/>
      </w:divBdr>
    </w:div>
    <w:div w:id="847213487">
      <w:bodyDiv w:val="1"/>
      <w:marLeft w:val="0"/>
      <w:marRight w:val="0"/>
      <w:marTop w:val="0"/>
      <w:marBottom w:val="0"/>
      <w:divBdr>
        <w:top w:val="none" w:sz="0" w:space="0" w:color="auto"/>
        <w:left w:val="none" w:sz="0" w:space="0" w:color="auto"/>
        <w:bottom w:val="none" w:sz="0" w:space="0" w:color="auto"/>
        <w:right w:val="none" w:sz="0" w:space="0" w:color="auto"/>
      </w:divBdr>
    </w:div>
    <w:div w:id="892273665">
      <w:bodyDiv w:val="1"/>
      <w:marLeft w:val="0"/>
      <w:marRight w:val="0"/>
      <w:marTop w:val="0"/>
      <w:marBottom w:val="0"/>
      <w:divBdr>
        <w:top w:val="none" w:sz="0" w:space="0" w:color="auto"/>
        <w:left w:val="none" w:sz="0" w:space="0" w:color="auto"/>
        <w:bottom w:val="none" w:sz="0" w:space="0" w:color="auto"/>
        <w:right w:val="none" w:sz="0" w:space="0" w:color="auto"/>
      </w:divBdr>
    </w:div>
    <w:div w:id="918519613">
      <w:bodyDiv w:val="1"/>
      <w:marLeft w:val="0"/>
      <w:marRight w:val="0"/>
      <w:marTop w:val="0"/>
      <w:marBottom w:val="0"/>
      <w:divBdr>
        <w:top w:val="none" w:sz="0" w:space="0" w:color="auto"/>
        <w:left w:val="none" w:sz="0" w:space="0" w:color="auto"/>
        <w:bottom w:val="none" w:sz="0" w:space="0" w:color="auto"/>
        <w:right w:val="none" w:sz="0" w:space="0" w:color="auto"/>
      </w:divBdr>
    </w:div>
    <w:div w:id="931814667">
      <w:bodyDiv w:val="1"/>
      <w:marLeft w:val="0"/>
      <w:marRight w:val="0"/>
      <w:marTop w:val="0"/>
      <w:marBottom w:val="0"/>
      <w:divBdr>
        <w:top w:val="none" w:sz="0" w:space="0" w:color="auto"/>
        <w:left w:val="none" w:sz="0" w:space="0" w:color="auto"/>
        <w:bottom w:val="none" w:sz="0" w:space="0" w:color="auto"/>
        <w:right w:val="none" w:sz="0" w:space="0" w:color="auto"/>
      </w:divBdr>
    </w:div>
    <w:div w:id="937909959">
      <w:bodyDiv w:val="1"/>
      <w:marLeft w:val="0"/>
      <w:marRight w:val="0"/>
      <w:marTop w:val="0"/>
      <w:marBottom w:val="0"/>
      <w:divBdr>
        <w:top w:val="none" w:sz="0" w:space="0" w:color="auto"/>
        <w:left w:val="none" w:sz="0" w:space="0" w:color="auto"/>
        <w:bottom w:val="none" w:sz="0" w:space="0" w:color="auto"/>
        <w:right w:val="none" w:sz="0" w:space="0" w:color="auto"/>
      </w:divBdr>
    </w:div>
    <w:div w:id="1045372483">
      <w:bodyDiv w:val="1"/>
      <w:marLeft w:val="0"/>
      <w:marRight w:val="0"/>
      <w:marTop w:val="0"/>
      <w:marBottom w:val="0"/>
      <w:divBdr>
        <w:top w:val="none" w:sz="0" w:space="0" w:color="auto"/>
        <w:left w:val="none" w:sz="0" w:space="0" w:color="auto"/>
        <w:bottom w:val="none" w:sz="0" w:space="0" w:color="auto"/>
        <w:right w:val="none" w:sz="0" w:space="0" w:color="auto"/>
      </w:divBdr>
    </w:div>
    <w:div w:id="1060863082">
      <w:bodyDiv w:val="1"/>
      <w:marLeft w:val="0"/>
      <w:marRight w:val="0"/>
      <w:marTop w:val="0"/>
      <w:marBottom w:val="0"/>
      <w:divBdr>
        <w:top w:val="none" w:sz="0" w:space="0" w:color="auto"/>
        <w:left w:val="none" w:sz="0" w:space="0" w:color="auto"/>
        <w:bottom w:val="none" w:sz="0" w:space="0" w:color="auto"/>
        <w:right w:val="none" w:sz="0" w:space="0" w:color="auto"/>
      </w:divBdr>
    </w:div>
    <w:div w:id="1064066064">
      <w:bodyDiv w:val="1"/>
      <w:marLeft w:val="0"/>
      <w:marRight w:val="0"/>
      <w:marTop w:val="0"/>
      <w:marBottom w:val="0"/>
      <w:divBdr>
        <w:top w:val="none" w:sz="0" w:space="0" w:color="auto"/>
        <w:left w:val="none" w:sz="0" w:space="0" w:color="auto"/>
        <w:bottom w:val="none" w:sz="0" w:space="0" w:color="auto"/>
        <w:right w:val="none" w:sz="0" w:space="0" w:color="auto"/>
      </w:divBdr>
    </w:div>
    <w:div w:id="1085146870">
      <w:bodyDiv w:val="1"/>
      <w:marLeft w:val="0"/>
      <w:marRight w:val="0"/>
      <w:marTop w:val="0"/>
      <w:marBottom w:val="0"/>
      <w:divBdr>
        <w:top w:val="none" w:sz="0" w:space="0" w:color="auto"/>
        <w:left w:val="none" w:sz="0" w:space="0" w:color="auto"/>
        <w:bottom w:val="none" w:sz="0" w:space="0" w:color="auto"/>
        <w:right w:val="none" w:sz="0" w:space="0" w:color="auto"/>
      </w:divBdr>
    </w:div>
    <w:div w:id="1094667650">
      <w:bodyDiv w:val="1"/>
      <w:marLeft w:val="0"/>
      <w:marRight w:val="0"/>
      <w:marTop w:val="0"/>
      <w:marBottom w:val="0"/>
      <w:divBdr>
        <w:top w:val="none" w:sz="0" w:space="0" w:color="auto"/>
        <w:left w:val="none" w:sz="0" w:space="0" w:color="auto"/>
        <w:bottom w:val="none" w:sz="0" w:space="0" w:color="auto"/>
        <w:right w:val="none" w:sz="0" w:space="0" w:color="auto"/>
      </w:divBdr>
    </w:div>
    <w:div w:id="1167786340">
      <w:bodyDiv w:val="1"/>
      <w:marLeft w:val="0"/>
      <w:marRight w:val="0"/>
      <w:marTop w:val="0"/>
      <w:marBottom w:val="0"/>
      <w:divBdr>
        <w:top w:val="none" w:sz="0" w:space="0" w:color="auto"/>
        <w:left w:val="none" w:sz="0" w:space="0" w:color="auto"/>
        <w:bottom w:val="none" w:sz="0" w:space="0" w:color="auto"/>
        <w:right w:val="none" w:sz="0" w:space="0" w:color="auto"/>
      </w:divBdr>
    </w:div>
    <w:div w:id="1212111848">
      <w:bodyDiv w:val="1"/>
      <w:marLeft w:val="0"/>
      <w:marRight w:val="0"/>
      <w:marTop w:val="0"/>
      <w:marBottom w:val="0"/>
      <w:divBdr>
        <w:top w:val="none" w:sz="0" w:space="0" w:color="auto"/>
        <w:left w:val="none" w:sz="0" w:space="0" w:color="auto"/>
        <w:bottom w:val="none" w:sz="0" w:space="0" w:color="auto"/>
        <w:right w:val="none" w:sz="0" w:space="0" w:color="auto"/>
      </w:divBdr>
    </w:div>
    <w:div w:id="1239746668">
      <w:bodyDiv w:val="1"/>
      <w:marLeft w:val="0"/>
      <w:marRight w:val="0"/>
      <w:marTop w:val="0"/>
      <w:marBottom w:val="0"/>
      <w:divBdr>
        <w:top w:val="none" w:sz="0" w:space="0" w:color="auto"/>
        <w:left w:val="none" w:sz="0" w:space="0" w:color="auto"/>
        <w:bottom w:val="none" w:sz="0" w:space="0" w:color="auto"/>
        <w:right w:val="none" w:sz="0" w:space="0" w:color="auto"/>
      </w:divBdr>
    </w:div>
    <w:div w:id="1302999721">
      <w:bodyDiv w:val="1"/>
      <w:marLeft w:val="0"/>
      <w:marRight w:val="0"/>
      <w:marTop w:val="0"/>
      <w:marBottom w:val="0"/>
      <w:divBdr>
        <w:top w:val="none" w:sz="0" w:space="0" w:color="auto"/>
        <w:left w:val="none" w:sz="0" w:space="0" w:color="auto"/>
        <w:bottom w:val="none" w:sz="0" w:space="0" w:color="auto"/>
        <w:right w:val="none" w:sz="0" w:space="0" w:color="auto"/>
      </w:divBdr>
    </w:div>
    <w:div w:id="1354918187">
      <w:bodyDiv w:val="1"/>
      <w:marLeft w:val="0"/>
      <w:marRight w:val="0"/>
      <w:marTop w:val="0"/>
      <w:marBottom w:val="0"/>
      <w:divBdr>
        <w:top w:val="none" w:sz="0" w:space="0" w:color="auto"/>
        <w:left w:val="none" w:sz="0" w:space="0" w:color="auto"/>
        <w:bottom w:val="none" w:sz="0" w:space="0" w:color="auto"/>
        <w:right w:val="none" w:sz="0" w:space="0" w:color="auto"/>
      </w:divBdr>
    </w:div>
    <w:div w:id="1463888701">
      <w:bodyDiv w:val="1"/>
      <w:marLeft w:val="0"/>
      <w:marRight w:val="0"/>
      <w:marTop w:val="0"/>
      <w:marBottom w:val="0"/>
      <w:divBdr>
        <w:top w:val="none" w:sz="0" w:space="0" w:color="auto"/>
        <w:left w:val="none" w:sz="0" w:space="0" w:color="auto"/>
        <w:bottom w:val="none" w:sz="0" w:space="0" w:color="auto"/>
        <w:right w:val="none" w:sz="0" w:space="0" w:color="auto"/>
      </w:divBdr>
    </w:div>
    <w:div w:id="1470897400">
      <w:bodyDiv w:val="1"/>
      <w:marLeft w:val="0"/>
      <w:marRight w:val="0"/>
      <w:marTop w:val="0"/>
      <w:marBottom w:val="0"/>
      <w:divBdr>
        <w:top w:val="none" w:sz="0" w:space="0" w:color="auto"/>
        <w:left w:val="none" w:sz="0" w:space="0" w:color="auto"/>
        <w:bottom w:val="none" w:sz="0" w:space="0" w:color="auto"/>
        <w:right w:val="none" w:sz="0" w:space="0" w:color="auto"/>
      </w:divBdr>
    </w:div>
    <w:div w:id="1534539415">
      <w:bodyDiv w:val="1"/>
      <w:marLeft w:val="0"/>
      <w:marRight w:val="0"/>
      <w:marTop w:val="0"/>
      <w:marBottom w:val="0"/>
      <w:divBdr>
        <w:top w:val="none" w:sz="0" w:space="0" w:color="auto"/>
        <w:left w:val="none" w:sz="0" w:space="0" w:color="auto"/>
        <w:bottom w:val="none" w:sz="0" w:space="0" w:color="auto"/>
        <w:right w:val="none" w:sz="0" w:space="0" w:color="auto"/>
      </w:divBdr>
    </w:div>
    <w:div w:id="1536698264">
      <w:bodyDiv w:val="1"/>
      <w:marLeft w:val="0"/>
      <w:marRight w:val="0"/>
      <w:marTop w:val="0"/>
      <w:marBottom w:val="0"/>
      <w:divBdr>
        <w:top w:val="none" w:sz="0" w:space="0" w:color="auto"/>
        <w:left w:val="none" w:sz="0" w:space="0" w:color="auto"/>
        <w:bottom w:val="none" w:sz="0" w:space="0" w:color="auto"/>
        <w:right w:val="none" w:sz="0" w:space="0" w:color="auto"/>
      </w:divBdr>
    </w:div>
    <w:div w:id="1539900652">
      <w:bodyDiv w:val="1"/>
      <w:marLeft w:val="0"/>
      <w:marRight w:val="0"/>
      <w:marTop w:val="0"/>
      <w:marBottom w:val="0"/>
      <w:divBdr>
        <w:top w:val="none" w:sz="0" w:space="0" w:color="auto"/>
        <w:left w:val="none" w:sz="0" w:space="0" w:color="auto"/>
        <w:bottom w:val="none" w:sz="0" w:space="0" w:color="auto"/>
        <w:right w:val="none" w:sz="0" w:space="0" w:color="auto"/>
      </w:divBdr>
    </w:div>
    <w:div w:id="1543522191">
      <w:bodyDiv w:val="1"/>
      <w:marLeft w:val="0"/>
      <w:marRight w:val="0"/>
      <w:marTop w:val="0"/>
      <w:marBottom w:val="0"/>
      <w:divBdr>
        <w:top w:val="none" w:sz="0" w:space="0" w:color="auto"/>
        <w:left w:val="none" w:sz="0" w:space="0" w:color="auto"/>
        <w:bottom w:val="none" w:sz="0" w:space="0" w:color="auto"/>
        <w:right w:val="none" w:sz="0" w:space="0" w:color="auto"/>
      </w:divBdr>
    </w:div>
    <w:div w:id="1559777881">
      <w:bodyDiv w:val="1"/>
      <w:marLeft w:val="0"/>
      <w:marRight w:val="0"/>
      <w:marTop w:val="0"/>
      <w:marBottom w:val="0"/>
      <w:divBdr>
        <w:top w:val="none" w:sz="0" w:space="0" w:color="auto"/>
        <w:left w:val="none" w:sz="0" w:space="0" w:color="auto"/>
        <w:bottom w:val="none" w:sz="0" w:space="0" w:color="auto"/>
        <w:right w:val="none" w:sz="0" w:space="0" w:color="auto"/>
      </w:divBdr>
      <w:divsChild>
        <w:div w:id="1006904912">
          <w:marLeft w:val="0"/>
          <w:marRight w:val="0"/>
          <w:marTop w:val="0"/>
          <w:marBottom w:val="0"/>
          <w:divBdr>
            <w:top w:val="none" w:sz="0" w:space="0" w:color="auto"/>
            <w:left w:val="none" w:sz="0" w:space="0" w:color="auto"/>
            <w:bottom w:val="none" w:sz="0" w:space="0" w:color="auto"/>
            <w:right w:val="none" w:sz="0" w:space="0" w:color="auto"/>
          </w:divBdr>
        </w:div>
      </w:divsChild>
    </w:div>
    <w:div w:id="1560894056">
      <w:bodyDiv w:val="1"/>
      <w:marLeft w:val="0"/>
      <w:marRight w:val="0"/>
      <w:marTop w:val="0"/>
      <w:marBottom w:val="0"/>
      <w:divBdr>
        <w:top w:val="none" w:sz="0" w:space="0" w:color="auto"/>
        <w:left w:val="none" w:sz="0" w:space="0" w:color="auto"/>
        <w:bottom w:val="none" w:sz="0" w:space="0" w:color="auto"/>
        <w:right w:val="none" w:sz="0" w:space="0" w:color="auto"/>
      </w:divBdr>
    </w:div>
    <w:div w:id="1575627504">
      <w:bodyDiv w:val="1"/>
      <w:marLeft w:val="0"/>
      <w:marRight w:val="0"/>
      <w:marTop w:val="0"/>
      <w:marBottom w:val="0"/>
      <w:divBdr>
        <w:top w:val="none" w:sz="0" w:space="0" w:color="auto"/>
        <w:left w:val="none" w:sz="0" w:space="0" w:color="auto"/>
        <w:bottom w:val="none" w:sz="0" w:space="0" w:color="auto"/>
        <w:right w:val="none" w:sz="0" w:space="0" w:color="auto"/>
      </w:divBdr>
    </w:div>
    <w:div w:id="1607928095">
      <w:bodyDiv w:val="1"/>
      <w:marLeft w:val="0"/>
      <w:marRight w:val="0"/>
      <w:marTop w:val="0"/>
      <w:marBottom w:val="0"/>
      <w:divBdr>
        <w:top w:val="none" w:sz="0" w:space="0" w:color="auto"/>
        <w:left w:val="none" w:sz="0" w:space="0" w:color="auto"/>
        <w:bottom w:val="none" w:sz="0" w:space="0" w:color="auto"/>
        <w:right w:val="none" w:sz="0" w:space="0" w:color="auto"/>
      </w:divBdr>
    </w:div>
    <w:div w:id="1613631364">
      <w:bodyDiv w:val="1"/>
      <w:marLeft w:val="0"/>
      <w:marRight w:val="0"/>
      <w:marTop w:val="0"/>
      <w:marBottom w:val="0"/>
      <w:divBdr>
        <w:top w:val="none" w:sz="0" w:space="0" w:color="auto"/>
        <w:left w:val="none" w:sz="0" w:space="0" w:color="auto"/>
        <w:bottom w:val="none" w:sz="0" w:space="0" w:color="auto"/>
        <w:right w:val="none" w:sz="0" w:space="0" w:color="auto"/>
      </w:divBdr>
    </w:div>
    <w:div w:id="1657876862">
      <w:bodyDiv w:val="1"/>
      <w:marLeft w:val="0"/>
      <w:marRight w:val="0"/>
      <w:marTop w:val="0"/>
      <w:marBottom w:val="0"/>
      <w:divBdr>
        <w:top w:val="none" w:sz="0" w:space="0" w:color="auto"/>
        <w:left w:val="none" w:sz="0" w:space="0" w:color="auto"/>
        <w:bottom w:val="none" w:sz="0" w:space="0" w:color="auto"/>
        <w:right w:val="none" w:sz="0" w:space="0" w:color="auto"/>
      </w:divBdr>
    </w:div>
    <w:div w:id="1699894979">
      <w:bodyDiv w:val="1"/>
      <w:marLeft w:val="0"/>
      <w:marRight w:val="0"/>
      <w:marTop w:val="0"/>
      <w:marBottom w:val="0"/>
      <w:divBdr>
        <w:top w:val="none" w:sz="0" w:space="0" w:color="auto"/>
        <w:left w:val="none" w:sz="0" w:space="0" w:color="auto"/>
        <w:bottom w:val="none" w:sz="0" w:space="0" w:color="auto"/>
        <w:right w:val="none" w:sz="0" w:space="0" w:color="auto"/>
      </w:divBdr>
    </w:div>
    <w:div w:id="1709377364">
      <w:bodyDiv w:val="1"/>
      <w:marLeft w:val="0"/>
      <w:marRight w:val="0"/>
      <w:marTop w:val="0"/>
      <w:marBottom w:val="0"/>
      <w:divBdr>
        <w:top w:val="none" w:sz="0" w:space="0" w:color="auto"/>
        <w:left w:val="none" w:sz="0" w:space="0" w:color="auto"/>
        <w:bottom w:val="none" w:sz="0" w:space="0" w:color="auto"/>
        <w:right w:val="none" w:sz="0" w:space="0" w:color="auto"/>
      </w:divBdr>
    </w:div>
    <w:div w:id="1712992693">
      <w:bodyDiv w:val="1"/>
      <w:marLeft w:val="0"/>
      <w:marRight w:val="0"/>
      <w:marTop w:val="0"/>
      <w:marBottom w:val="0"/>
      <w:divBdr>
        <w:top w:val="none" w:sz="0" w:space="0" w:color="auto"/>
        <w:left w:val="none" w:sz="0" w:space="0" w:color="auto"/>
        <w:bottom w:val="none" w:sz="0" w:space="0" w:color="auto"/>
        <w:right w:val="none" w:sz="0" w:space="0" w:color="auto"/>
      </w:divBdr>
    </w:div>
    <w:div w:id="1728800082">
      <w:bodyDiv w:val="1"/>
      <w:marLeft w:val="0"/>
      <w:marRight w:val="0"/>
      <w:marTop w:val="0"/>
      <w:marBottom w:val="0"/>
      <w:divBdr>
        <w:top w:val="none" w:sz="0" w:space="0" w:color="auto"/>
        <w:left w:val="none" w:sz="0" w:space="0" w:color="auto"/>
        <w:bottom w:val="none" w:sz="0" w:space="0" w:color="auto"/>
        <w:right w:val="none" w:sz="0" w:space="0" w:color="auto"/>
      </w:divBdr>
    </w:div>
    <w:div w:id="1738438704">
      <w:bodyDiv w:val="1"/>
      <w:marLeft w:val="0"/>
      <w:marRight w:val="0"/>
      <w:marTop w:val="0"/>
      <w:marBottom w:val="0"/>
      <w:divBdr>
        <w:top w:val="none" w:sz="0" w:space="0" w:color="auto"/>
        <w:left w:val="none" w:sz="0" w:space="0" w:color="auto"/>
        <w:bottom w:val="none" w:sz="0" w:space="0" w:color="auto"/>
        <w:right w:val="none" w:sz="0" w:space="0" w:color="auto"/>
      </w:divBdr>
    </w:div>
    <w:div w:id="1823958239">
      <w:bodyDiv w:val="1"/>
      <w:marLeft w:val="0"/>
      <w:marRight w:val="0"/>
      <w:marTop w:val="0"/>
      <w:marBottom w:val="0"/>
      <w:divBdr>
        <w:top w:val="none" w:sz="0" w:space="0" w:color="auto"/>
        <w:left w:val="none" w:sz="0" w:space="0" w:color="auto"/>
        <w:bottom w:val="none" w:sz="0" w:space="0" w:color="auto"/>
        <w:right w:val="none" w:sz="0" w:space="0" w:color="auto"/>
      </w:divBdr>
    </w:div>
    <w:div w:id="1855345082">
      <w:bodyDiv w:val="1"/>
      <w:marLeft w:val="0"/>
      <w:marRight w:val="0"/>
      <w:marTop w:val="0"/>
      <w:marBottom w:val="0"/>
      <w:divBdr>
        <w:top w:val="none" w:sz="0" w:space="0" w:color="auto"/>
        <w:left w:val="none" w:sz="0" w:space="0" w:color="auto"/>
        <w:bottom w:val="none" w:sz="0" w:space="0" w:color="auto"/>
        <w:right w:val="none" w:sz="0" w:space="0" w:color="auto"/>
      </w:divBdr>
    </w:div>
    <w:div w:id="1999917830">
      <w:bodyDiv w:val="1"/>
      <w:marLeft w:val="0"/>
      <w:marRight w:val="0"/>
      <w:marTop w:val="0"/>
      <w:marBottom w:val="0"/>
      <w:divBdr>
        <w:top w:val="none" w:sz="0" w:space="0" w:color="auto"/>
        <w:left w:val="none" w:sz="0" w:space="0" w:color="auto"/>
        <w:bottom w:val="none" w:sz="0" w:space="0" w:color="auto"/>
        <w:right w:val="none" w:sz="0" w:space="0" w:color="auto"/>
      </w:divBdr>
    </w:div>
    <w:div w:id="2013947221">
      <w:bodyDiv w:val="1"/>
      <w:marLeft w:val="0"/>
      <w:marRight w:val="0"/>
      <w:marTop w:val="0"/>
      <w:marBottom w:val="0"/>
      <w:divBdr>
        <w:top w:val="none" w:sz="0" w:space="0" w:color="auto"/>
        <w:left w:val="none" w:sz="0" w:space="0" w:color="auto"/>
        <w:bottom w:val="none" w:sz="0" w:space="0" w:color="auto"/>
        <w:right w:val="none" w:sz="0" w:space="0" w:color="auto"/>
      </w:divBdr>
    </w:div>
    <w:div w:id="2048215168">
      <w:bodyDiv w:val="1"/>
      <w:marLeft w:val="0"/>
      <w:marRight w:val="0"/>
      <w:marTop w:val="0"/>
      <w:marBottom w:val="0"/>
      <w:divBdr>
        <w:top w:val="none" w:sz="0" w:space="0" w:color="auto"/>
        <w:left w:val="none" w:sz="0" w:space="0" w:color="auto"/>
        <w:bottom w:val="none" w:sz="0" w:space="0" w:color="auto"/>
        <w:right w:val="none" w:sz="0" w:space="0" w:color="auto"/>
      </w:divBdr>
    </w:div>
    <w:div w:id="2053457797">
      <w:bodyDiv w:val="1"/>
      <w:marLeft w:val="0"/>
      <w:marRight w:val="0"/>
      <w:marTop w:val="0"/>
      <w:marBottom w:val="0"/>
      <w:divBdr>
        <w:top w:val="none" w:sz="0" w:space="0" w:color="auto"/>
        <w:left w:val="none" w:sz="0" w:space="0" w:color="auto"/>
        <w:bottom w:val="none" w:sz="0" w:space="0" w:color="auto"/>
        <w:right w:val="none" w:sz="0" w:space="0" w:color="auto"/>
      </w:divBdr>
    </w:div>
    <w:div w:id="2075857805">
      <w:bodyDiv w:val="1"/>
      <w:marLeft w:val="0"/>
      <w:marRight w:val="0"/>
      <w:marTop w:val="0"/>
      <w:marBottom w:val="0"/>
      <w:divBdr>
        <w:top w:val="none" w:sz="0" w:space="0" w:color="auto"/>
        <w:left w:val="none" w:sz="0" w:space="0" w:color="auto"/>
        <w:bottom w:val="none" w:sz="0" w:space="0" w:color="auto"/>
        <w:right w:val="none" w:sz="0" w:space="0" w:color="auto"/>
      </w:divBdr>
    </w:div>
    <w:div w:id="2093120511">
      <w:bodyDiv w:val="1"/>
      <w:marLeft w:val="0"/>
      <w:marRight w:val="0"/>
      <w:marTop w:val="0"/>
      <w:marBottom w:val="0"/>
      <w:divBdr>
        <w:top w:val="none" w:sz="0" w:space="0" w:color="auto"/>
        <w:left w:val="none" w:sz="0" w:space="0" w:color="auto"/>
        <w:bottom w:val="none" w:sz="0" w:space="0" w:color="auto"/>
        <w:right w:val="none" w:sz="0" w:space="0" w:color="auto"/>
      </w:divBdr>
    </w:div>
    <w:div w:id="2094886753">
      <w:bodyDiv w:val="1"/>
      <w:marLeft w:val="0"/>
      <w:marRight w:val="0"/>
      <w:marTop w:val="0"/>
      <w:marBottom w:val="0"/>
      <w:divBdr>
        <w:top w:val="none" w:sz="0" w:space="0" w:color="auto"/>
        <w:left w:val="none" w:sz="0" w:space="0" w:color="auto"/>
        <w:bottom w:val="none" w:sz="0" w:space="0" w:color="auto"/>
        <w:right w:val="none" w:sz="0" w:space="0" w:color="auto"/>
      </w:divBdr>
    </w:div>
    <w:div w:id="2106725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acebook.com/accanau" TargetMode="External"/><Relationship Id="rId18"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hyperlink" Target="mailto:gareth.downing@accan.org.au" TargetMode="Externa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s://www.instagram.com/accan_au"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witter.com/ACCAN_AU"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linkedin.com/company/accanau/"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accan.org.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www.roymorgan.com/findings/9193-risk-monitor-telco-most-distrusted-industry-2023"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hyperlink" Target="http://www.accan.org.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muelKininmonth\ACCAN\ACCAN%20-%20Business\Templates%202022\DocumentTemplate-Submission.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3C7F4"/>
      </a:accent1>
      <a:accent2>
        <a:srgbClr val="3E79A3"/>
      </a:accent2>
      <a:accent3>
        <a:srgbClr val="F05E5E"/>
      </a:accent3>
      <a:accent4>
        <a:srgbClr val="E5BB47"/>
      </a:accent4>
      <a:accent5>
        <a:srgbClr val="4FC2C1"/>
      </a:accent5>
      <a:accent6>
        <a:srgbClr val="757FB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 xmlns:b="http://schemas.openxmlformats.org/officeDocument/2006/bibliography" xmlns="http://schemas.openxmlformats.org/officeDocument/2006/bibliography">
    <b:Tag>Placeholder3</b:Tag>
    <b:RefOrder>3</b:RefOrder>
  </b:Source>
</b:Sources>
</file>

<file path=customXml/item2.xml><?xml version="1.0" encoding="utf-8"?>
<p:properties xmlns:p="http://schemas.microsoft.com/office/2006/metadata/properties" xmlns:xsi="http://www.w3.org/2001/XMLSchema-instance" xmlns:pc="http://schemas.microsoft.com/office/infopath/2007/PartnerControls">
  <documentManagement>
    <SharedWithUsers xmlns="2afa1a33-c191-48ee-b288-192490d33fec">
      <UserInfo>
        <DisplayName>Rebekah Sarkoezy</DisplayName>
        <AccountId>16</AccountId>
        <AccountType/>
      </UserInfo>
      <UserInfo>
        <DisplayName>Meredith Lea</DisplayName>
        <AccountId>27</AccountId>
        <AccountType/>
      </UserInfo>
    </SharedWithUsers>
    <TaxCatchAll xmlns="2afa1a33-c191-48ee-b288-192490d33fec" xsi:nil="true"/>
    <lcf76f155ced4ddcb4097134ff3c332f xmlns="25af2f0e-673d-4721-b64c-73e7c4e9e0c5">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3E4A5C17F963D4A81626FBA9D0C3C6E" ma:contentTypeVersion="14" ma:contentTypeDescription="Create a new document." ma:contentTypeScope="" ma:versionID="688d442676ed479a47b166668315870a">
  <xsd:schema xmlns:xsd="http://www.w3.org/2001/XMLSchema" xmlns:xs="http://www.w3.org/2001/XMLSchema" xmlns:p="http://schemas.microsoft.com/office/2006/metadata/properties" xmlns:ns2="25af2f0e-673d-4721-b64c-73e7c4e9e0c5" xmlns:ns3="2afa1a33-c191-48ee-b288-192490d33fec" targetNamespace="http://schemas.microsoft.com/office/2006/metadata/properties" ma:root="true" ma:fieldsID="b91ef8a57aff9f342f2bdb2c1c5c8411" ns2:_="" ns3:_="">
    <xsd:import namespace="25af2f0e-673d-4721-b64c-73e7c4e9e0c5"/>
    <xsd:import namespace="2afa1a33-c191-48ee-b288-192490d33f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f2f0e-673d-4721-b64c-73e7c4e9e0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69d907b-a4f2-42ff-8dc5-96e66a0aa2d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fa1a33-c191-48ee-b288-192490d33fe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6d9b9666-9797-4e44-9182-60ce046d5dd1}" ma:internalName="TaxCatchAll" ma:showField="CatchAllData" ma:web="2afa1a33-c191-48ee-b288-192490d33f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AD6AB5B-4BC6-45AF-ACC9-A99FA1A8EC38}">
  <ds:schemaRefs>
    <ds:schemaRef ds:uri="http://schemas.openxmlformats.org/officeDocument/2006/bibliography"/>
  </ds:schemaRefs>
</ds:datastoreItem>
</file>

<file path=customXml/itemProps2.xml><?xml version="1.0" encoding="utf-8"?>
<ds:datastoreItem xmlns:ds="http://schemas.openxmlformats.org/officeDocument/2006/customXml" ds:itemID="{122F4F94-1AF4-4521-991E-7AE5BA2A5212}">
  <ds:schemaRefs>
    <ds:schemaRef ds:uri="http://schemas.microsoft.com/office/2006/metadata/properties"/>
    <ds:schemaRef ds:uri="http://schemas.microsoft.com/office/infopath/2007/PartnerControls"/>
    <ds:schemaRef ds:uri="2afa1a33-c191-48ee-b288-192490d33fec"/>
    <ds:schemaRef ds:uri="25af2f0e-673d-4721-b64c-73e7c4e9e0c5"/>
  </ds:schemaRefs>
</ds:datastoreItem>
</file>

<file path=customXml/itemProps3.xml><?xml version="1.0" encoding="utf-8"?>
<ds:datastoreItem xmlns:ds="http://schemas.openxmlformats.org/officeDocument/2006/customXml" ds:itemID="{4841F4B8-EC42-42AF-998B-D30D2F077E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af2f0e-673d-4721-b64c-73e7c4e9e0c5"/>
    <ds:schemaRef ds:uri="2afa1a33-c191-48ee-b288-192490d33f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6C21FB9-1321-4B4B-A22E-45DA56E9FF6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DocumentTemplate-Submission.dotx</Template>
  <TotalTime>467</TotalTime>
  <Pages>1</Pages>
  <Words>2357</Words>
  <Characters>13437</Characters>
  <Application>Microsoft Office Word</Application>
  <DocSecurity>4</DocSecurity>
  <Lines>111</Lines>
  <Paragraphs>31</Paragraphs>
  <ScaleCrop>false</ScaleCrop>
  <Company/>
  <LinksUpToDate>false</LinksUpToDate>
  <CharactersWithSpaces>15763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Kininmonth</dc:creator>
  <cp:keywords/>
  <cp:lastModifiedBy>Samuel Kininmonth</cp:lastModifiedBy>
  <cp:revision>910</cp:revision>
  <cp:lastPrinted>2022-04-01T20:13:00Z</cp:lastPrinted>
  <dcterms:created xsi:type="dcterms:W3CDTF">2022-11-06T16:25:00Z</dcterms:created>
  <dcterms:modified xsi:type="dcterms:W3CDTF">2023-05-30T23:29:00Z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haredWithUsers">
    <vt:lpwstr>16;#Rebekah Sarkoezy;#27;#Meredith Lea</vt:lpwstr>
  </property>
  <property fmtid="{D5CDD505-2E9C-101B-9397-08002B2CF9AE}" pid="3" name="MediaServiceImageTags">
    <vt:lpwstr/>
  </property>
  <property fmtid="{D5CDD505-2E9C-101B-9397-08002B2CF9AE}" pid="4" name="ContentTypeId">
    <vt:lpwstr>0x010100B3E4A5C17F963D4A81626FBA9D0C3C6E</vt:lpwstr>
  </property>
</Properties>
</file>