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9244AF"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41175BC3" w:rsidR="00AF01B5" w:rsidRDefault="00867C92" w:rsidP="00AF01B5">
      <w:pPr>
        <w:tabs>
          <w:tab w:val="right" w:pos="9026"/>
        </w:tabs>
      </w:pPr>
      <w:r>
        <w:br/>
      </w:r>
      <w:r w:rsidR="00AF01B5" w:rsidRPr="5AAC2601">
        <w:rPr>
          <w:rStyle w:val="DocLabelChar"/>
        </w:rPr>
        <w:t>Submission</w:t>
      </w:r>
      <w:r>
        <w:tab/>
      </w:r>
      <w:r w:rsidR="197896A1" w:rsidRPr="5AAC2601">
        <w:rPr>
          <w:rStyle w:val="DocDateChar"/>
        </w:rPr>
        <w:t>27 March</w:t>
      </w:r>
      <w:r w:rsidR="001136E0" w:rsidRPr="5AAC2601">
        <w:rPr>
          <w:rStyle w:val="DocDateChar"/>
        </w:rPr>
        <w:t xml:space="preserve"> </w:t>
      </w:r>
      <w:r w:rsidR="00AF01B5" w:rsidRPr="5AAC2601">
        <w:rPr>
          <w:rStyle w:val="DocDateChar"/>
        </w:rPr>
        <w:t>202</w:t>
      </w:r>
      <w:r w:rsidR="0F865964" w:rsidRPr="5AAC2601">
        <w:rPr>
          <w:rStyle w:val="DocDateChar"/>
        </w:rPr>
        <w:t>3</w:t>
      </w:r>
    </w:p>
    <w:p w14:paraId="1CEC2DF8" w14:textId="56389474" w:rsidR="73D1BFF7" w:rsidRDefault="009B3DD3" w:rsidP="05115472">
      <w:pPr>
        <w:spacing w:after="0" w:line="240" w:lineRule="auto"/>
      </w:pPr>
      <w:r>
        <w:rPr>
          <w:color w:val="000000" w:themeColor="text1"/>
        </w:rPr>
        <w:t>T</w:t>
      </w:r>
      <w:r w:rsidRPr="5AAC2601">
        <w:rPr>
          <w:color w:val="000000" w:themeColor="text1"/>
        </w:rPr>
        <w:t xml:space="preserve">he Department of Infrastructure, Transport, Regional Development, Communications and the Arts </w:t>
      </w:r>
      <w:r>
        <w:t xml:space="preserve">Via email: </w:t>
      </w:r>
      <w:hyperlink r:id="rId21" w:history="1">
        <w:r w:rsidRPr="00300A56">
          <w:rPr>
            <w:rStyle w:val="Hyperlink"/>
          </w:rPr>
          <w:t>usb@communications.gov.au</w:t>
        </w:r>
      </w:hyperlink>
      <w:r>
        <w:t xml:space="preserve"> </w:t>
      </w:r>
    </w:p>
    <w:p w14:paraId="160DB313" w14:textId="77777777" w:rsidR="00AF01B5" w:rsidRDefault="00AF01B5" w:rsidP="00AF01B5">
      <w:pPr>
        <w:spacing w:after="0" w:line="240" w:lineRule="auto"/>
      </w:pPr>
    </w:p>
    <w:p w14:paraId="269BADFB" w14:textId="71C42324" w:rsidR="00AF01B5" w:rsidRDefault="00AF01B5" w:rsidP="5AAC2601">
      <w:pPr>
        <w:jc w:val="center"/>
        <w:rPr>
          <w:b/>
          <w:bCs/>
        </w:rPr>
      </w:pPr>
      <w:r w:rsidRPr="5AAC2601">
        <w:rPr>
          <w:b/>
          <w:bCs/>
        </w:rPr>
        <w:t xml:space="preserve">Re: </w:t>
      </w:r>
      <w:r w:rsidR="2CF97F0C" w:rsidRPr="5AAC2601">
        <w:rPr>
          <w:b/>
          <w:bCs/>
        </w:rPr>
        <w:t>Thematic review of the Customer Service Guarantee</w:t>
      </w:r>
    </w:p>
    <w:p w14:paraId="3D6E3400" w14:textId="5C8407F3" w:rsidR="00AF01B5" w:rsidRDefault="2CF97F0C" w:rsidP="5AAC2601">
      <w:pPr>
        <w:rPr>
          <w:color w:val="000000" w:themeColor="text1"/>
        </w:rPr>
      </w:pPr>
      <w:r w:rsidRPr="5AAC2601">
        <w:rPr>
          <w:color w:val="000000" w:themeColor="text1"/>
        </w:rPr>
        <w:t>The Australian Communications Consumer Action Network (</w:t>
      </w:r>
      <w:r w:rsidRPr="5AAC2601">
        <w:rPr>
          <w:b/>
          <w:bCs/>
          <w:color w:val="000000" w:themeColor="text1"/>
        </w:rPr>
        <w:t>ACCAN</w:t>
      </w:r>
      <w:r w:rsidRPr="5AAC2601">
        <w:rPr>
          <w:color w:val="000000" w:themeColor="text1"/>
        </w:rPr>
        <w:t xml:space="preserve">) thanks the Department of Infrastructure, Transport, Regional Development, </w:t>
      </w:r>
      <w:proofErr w:type="gramStart"/>
      <w:r w:rsidRPr="5AAC2601">
        <w:rPr>
          <w:color w:val="000000" w:themeColor="text1"/>
        </w:rPr>
        <w:t>Communications</w:t>
      </w:r>
      <w:proofErr w:type="gramEnd"/>
      <w:r w:rsidRPr="5AAC2601">
        <w:rPr>
          <w:color w:val="000000" w:themeColor="text1"/>
        </w:rPr>
        <w:t xml:space="preserve"> and the Arts (</w:t>
      </w:r>
      <w:r w:rsidRPr="5AAC2601">
        <w:rPr>
          <w:b/>
          <w:bCs/>
          <w:color w:val="000000" w:themeColor="text1"/>
        </w:rPr>
        <w:t>the Departmen</w:t>
      </w:r>
      <w:r w:rsidRPr="005A7A0A">
        <w:rPr>
          <w:b/>
          <w:bCs/>
          <w:color w:val="000000" w:themeColor="text1"/>
        </w:rPr>
        <w:t>t</w:t>
      </w:r>
      <w:r w:rsidRPr="5AAC2601">
        <w:rPr>
          <w:color w:val="000000" w:themeColor="text1"/>
        </w:rPr>
        <w:t xml:space="preserve">) for the opportunity to comment on the Thematic review </w:t>
      </w:r>
      <w:r w:rsidR="1EFB82AF" w:rsidRPr="5AAC2601">
        <w:rPr>
          <w:color w:val="000000" w:themeColor="text1"/>
        </w:rPr>
        <w:t>of</w:t>
      </w:r>
      <w:r w:rsidR="4AF0D6D6" w:rsidRPr="5AAC2601">
        <w:rPr>
          <w:color w:val="000000" w:themeColor="text1"/>
        </w:rPr>
        <w:t xml:space="preserve"> </w:t>
      </w:r>
      <w:r w:rsidRPr="5AAC2601">
        <w:rPr>
          <w:color w:val="000000" w:themeColor="text1"/>
        </w:rPr>
        <w:t>the Customer Service Guarantee</w:t>
      </w:r>
      <w:r w:rsidR="00EA14AE">
        <w:rPr>
          <w:color w:val="000000" w:themeColor="text1"/>
        </w:rPr>
        <w:t xml:space="preserve"> (</w:t>
      </w:r>
      <w:r w:rsidR="00EA14AE" w:rsidRPr="00EA14AE">
        <w:rPr>
          <w:b/>
          <w:bCs/>
          <w:color w:val="000000" w:themeColor="text1"/>
        </w:rPr>
        <w:t>CSG</w:t>
      </w:r>
      <w:r w:rsidR="00EA14AE">
        <w:rPr>
          <w:color w:val="000000" w:themeColor="text1"/>
        </w:rPr>
        <w:t>)</w:t>
      </w:r>
      <w:r w:rsidR="004D023B">
        <w:rPr>
          <w:color w:val="000000" w:themeColor="text1"/>
        </w:rPr>
        <w:t>.</w:t>
      </w:r>
    </w:p>
    <w:p w14:paraId="47CDB838" w14:textId="6466969F" w:rsidR="00AF01B5" w:rsidRDefault="00AF01B5" w:rsidP="00AF01B5">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5C0A413E" w14:textId="0593D98E" w:rsidR="05115472" w:rsidRDefault="00F4084C" w:rsidP="05115472">
      <w:r>
        <w:t xml:space="preserve">Access to reliable communications is vital for Australian consumers </w:t>
      </w:r>
      <w:r w:rsidR="00BF4B1A">
        <w:t>and critical</w:t>
      </w:r>
      <w:r>
        <w:t xml:space="preserve"> to supporting social and economic participation. The </w:t>
      </w:r>
      <w:r w:rsidR="265074F7" w:rsidRPr="00EA14AE">
        <w:t>CSG</w:t>
      </w:r>
      <w:r w:rsidR="265074F7">
        <w:t xml:space="preserve"> </w:t>
      </w:r>
      <w:r w:rsidR="4E4B212C">
        <w:t>p</w:t>
      </w:r>
      <w:r>
        <w:t xml:space="preserve">lays an important role in underpinning the delivery of fixed-line voice services to Australian consumers, regardless of whether they reside in regional, rural, </w:t>
      </w:r>
      <w:proofErr w:type="gramStart"/>
      <w:r>
        <w:t>remote</w:t>
      </w:r>
      <w:proofErr w:type="gramEnd"/>
      <w:r>
        <w:t xml:space="preserve"> or peri-urban areas.</w:t>
      </w:r>
      <w:r w:rsidR="007B3085">
        <w:t xml:space="preserve"> ACCAN considers that:</w:t>
      </w:r>
    </w:p>
    <w:p w14:paraId="6E2F40CA" w14:textId="5D46D6D2" w:rsidR="007B3085" w:rsidRDefault="007B3085" w:rsidP="007B3085">
      <w:pPr>
        <w:pStyle w:val="Bulletlist1"/>
      </w:pPr>
      <w:r>
        <w:t>The CSG framework should be retained</w:t>
      </w:r>
      <w:r w:rsidR="003A1F1D">
        <w:t>.</w:t>
      </w:r>
    </w:p>
    <w:p w14:paraId="145FB5A3" w14:textId="23539751" w:rsidR="007B3085" w:rsidRDefault="007B3085" w:rsidP="00A96350">
      <w:pPr>
        <w:pStyle w:val="Bulletlist1"/>
      </w:pPr>
      <w:r>
        <w:t>Short term amendments are required</w:t>
      </w:r>
      <w:r w:rsidR="00760D68">
        <w:t xml:space="preserve"> (</w:t>
      </w:r>
      <w:r w:rsidR="00760D68">
        <w:rPr>
          <w:b/>
          <w:bCs/>
        </w:rPr>
        <w:t>Attachment A</w:t>
      </w:r>
      <w:r w:rsidR="00760D68" w:rsidRPr="00205272">
        <w:t>)</w:t>
      </w:r>
      <w:r>
        <w:t>.</w:t>
      </w:r>
    </w:p>
    <w:p w14:paraId="6E381AB2" w14:textId="33B4E4AF" w:rsidR="00760D68" w:rsidRDefault="00760D68" w:rsidP="00760D68">
      <w:pPr>
        <w:pStyle w:val="Bulletlist1"/>
      </w:pPr>
      <w:r>
        <w:t>Long term reform of the CSG is necessary (</w:t>
      </w:r>
      <w:r>
        <w:rPr>
          <w:b/>
          <w:bCs/>
        </w:rPr>
        <w:t>Attachment B</w:t>
      </w:r>
      <w:r w:rsidRPr="00205272">
        <w:t>)</w:t>
      </w:r>
      <w:r w:rsidR="003A1F1D">
        <w:t>.</w:t>
      </w:r>
    </w:p>
    <w:p w14:paraId="4C818679" w14:textId="6A076094" w:rsidR="00A9039C" w:rsidRPr="00A9039C" w:rsidRDefault="00A9039C" w:rsidP="00DD66C4">
      <w:pPr>
        <w:pStyle w:val="Heading3"/>
      </w:pPr>
      <w:r w:rsidRPr="00A9039C">
        <w:t>The CSG framework should be retained</w:t>
      </w:r>
    </w:p>
    <w:p w14:paraId="49127E19" w14:textId="0D38C66D" w:rsidR="00F4084C" w:rsidRDefault="00F4084C" w:rsidP="05115472">
      <w:r>
        <w:t xml:space="preserve">While ACCAN notes that </w:t>
      </w:r>
      <w:r w:rsidR="00B07FEA">
        <w:t xml:space="preserve">the use of fixed-line voice services is declining, fixed-line services remain essential for Australians residing in locations </w:t>
      </w:r>
      <w:r w:rsidR="00FD7CED">
        <w:t xml:space="preserve">with no, poor or limited mobile coverage. </w:t>
      </w:r>
      <w:r w:rsidR="0068118C">
        <w:t xml:space="preserve">Further, older Australians, and people requiring Priority Assistance are heavily reliant and have a strong preference to retain their fixed-line services. </w:t>
      </w:r>
      <w:r>
        <w:t xml:space="preserve">The CSG continues to provide a critical safety-net for those consumers that </w:t>
      </w:r>
      <w:r w:rsidR="004F0D20">
        <w:t>depend upon</w:t>
      </w:r>
      <w:r>
        <w:t xml:space="preserve"> their fixed-line service for their </w:t>
      </w:r>
      <w:r w:rsidR="00C86ECA">
        <w:t>connectivity</w:t>
      </w:r>
      <w:r w:rsidR="75BC6C1C">
        <w:t>.</w:t>
      </w:r>
      <w:r w:rsidR="00A4201D">
        <w:t xml:space="preserve"> </w:t>
      </w:r>
    </w:p>
    <w:p w14:paraId="0E53BA29" w14:textId="64479DEF" w:rsidR="00F8602A" w:rsidRDefault="00780445" w:rsidP="00520EA6">
      <w:r>
        <w:t xml:space="preserve">Whilst the </w:t>
      </w:r>
      <w:r w:rsidR="00AB6441">
        <w:t>Australian Communications Media Authority (</w:t>
      </w:r>
      <w:r w:rsidRPr="00AB6441">
        <w:rPr>
          <w:b/>
          <w:bCs/>
        </w:rPr>
        <w:t>ACMA</w:t>
      </w:r>
      <w:r w:rsidR="00AB6441">
        <w:t>)</w:t>
      </w:r>
      <w:r>
        <w:t xml:space="preserve"> no longer publishes data on </w:t>
      </w:r>
      <w:r w:rsidR="00AD392D">
        <w:t xml:space="preserve">Telstra’s performance against the CSG Standard, examination of the data published </w:t>
      </w:r>
      <w:r w:rsidR="004711C5">
        <w:t>in 2020</w:t>
      </w:r>
      <w:r w:rsidR="00D539F8">
        <w:t xml:space="preserve"> sho</w:t>
      </w:r>
      <w:r w:rsidR="00122742">
        <w:t>w</w:t>
      </w:r>
      <w:r w:rsidR="00946B56">
        <w:t>ed the</w:t>
      </w:r>
      <w:r w:rsidR="00D539F8">
        <w:t xml:space="preserve"> network</w:t>
      </w:r>
      <w:r w:rsidR="0084566E">
        <w:t xml:space="preserve"> </w:t>
      </w:r>
      <w:r w:rsidR="00946B56">
        <w:t>to be</w:t>
      </w:r>
      <w:r w:rsidR="0084566E">
        <w:t xml:space="preserve"> reliable. For instance, </w:t>
      </w:r>
      <w:r w:rsidR="00A4201D" w:rsidRPr="00A4201D">
        <w:t>the percentage of CSG services that experienced a fault between 2014-2019 was on average 1.6% every month</w:t>
      </w:r>
      <w:r w:rsidR="006151A3">
        <w:t>.</w:t>
      </w:r>
      <w:r w:rsidR="000452ED">
        <w:t xml:space="preserve"> </w:t>
      </w:r>
      <w:r w:rsidR="00F8602A" w:rsidRPr="00F8602A">
        <w:t xml:space="preserve">Between </w:t>
      </w:r>
      <w:r w:rsidR="00676AD8">
        <w:t>the same</w:t>
      </w:r>
      <w:r w:rsidR="00F8602A" w:rsidRPr="00F8602A">
        <w:t xml:space="preserve"> period, the percentage of time in a month that CSG services were available was </w:t>
      </w:r>
      <w:r w:rsidR="00536B70">
        <w:t xml:space="preserve">on </w:t>
      </w:r>
      <w:r w:rsidR="00536B70" w:rsidRPr="00F8602A">
        <w:t xml:space="preserve">average </w:t>
      </w:r>
      <w:r w:rsidR="00F8602A" w:rsidRPr="00F8602A">
        <w:t>99.8%</w:t>
      </w:r>
      <w:r w:rsidR="00305AA4">
        <w:t>.</w:t>
      </w:r>
      <w:r w:rsidR="00907E53">
        <w:rPr>
          <w:rStyle w:val="FootnoteReference"/>
        </w:rPr>
        <w:footnoteReference w:id="2"/>
      </w:r>
      <w:r w:rsidR="00305AA4">
        <w:t xml:space="preserve"> </w:t>
      </w:r>
    </w:p>
    <w:p w14:paraId="1BE7317B" w14:textId="1F52EEBF" w:rsidR="00241402" w:rsidRDefault="00D93DA7" w:rsidP="00F8602A">
      <w:r>
        <w:t xml:space="preserve">Indeed, Telstra states that </w:t>
      </w:r>
      <w:r w:rsidR="00C44348">
        <w:t>the data they publish on</w:t>
      </w:r>
      <w:r w:rsidR="004C45E2">
        <w:t xml:space="preserve"> their Network Reliability Framework shows that </w:t>
      </w:r>
      <w:r>
        <w:t>‘</w:t>
      </w:r>
      <w:r w:rsidR="003B5E6C">
        <w:t>the vast majorit</w:t>
      </w:r>
      <w:r w:rsidR="0015714B">
        <w:t>y</w:t>
      </w:r>
      <w:r w:rsidR="003B5E6C">
        <w:t xml:space="preserve"> of CSG services in any given month are fault-free and that where faults do occur, </w:t>
      </w:r>
      <w:r w:rsidR="003B5E6C">
        <w:lastRenderedPageBreak/>
        <w:t>they are fixed promptly</w:t>
      </w:r>
      <w:r>
        <w:t>’</w:t>
      </w:r>
      <w:r w:rsidR="003B5E6C">
        <w:t>.</w:t>
      </w:r>
      <w:r w:rsidR="0015714B">
        <w:rPr>
          <w:rStyle w:val="FootnoteReference"/>
        </w:rPr>
        <w:footnoteReference w:id="3"/>
      </w:r>
      <w:r w:rsidR="003B5E6C">
        <w:t xml:space="preserve"> </w:t>
      </w:r>
      <w:r w:rsidR="00810381">
        <w:t>Th</w:t>
      </w:r>
      <w:r w:rsidR="00F8602A">
        <w:t xml:space="preserve">e above </w:t>
      </w:r>
      <w:r w:rsidR="00810381">
        <w:t xml:space="preserve">data, alongside </w:t>
      </w:r>
      <w:r w:rsidR="00455855">
        <w:t>ongoing</w:t>
      </w:r>
      <w:r w:rsidR="006D08FA">
        <w:t xml:space="preserve"> compliance with the reliability benchmarks suggests that the network is </w:t>
      </w:r>
      <w:r w:rsidR="002046E7">
        <w:t xml:space="preserve">holding up well and </w:t>
      </w:r>
      <w:r w:rsidR="007B00C9">
        <w:t>the framework is working to protect users of these services</w:t>
      </w:r>
      <w:r w:rsidR="00BA696D">
        <w:t xml:space="preserve"> on average</w:t>
      </w:r>
      <w:r w:rsidR="002046E7">
        <w:t xml:space="preserve">. </w:t>
      </w:r>
      <w:r w:rsidR="00BA696D">
        <w:t xml:space="preserve">That said, </w:t>
      </w:r>
      <w:r w:rsidR="00027A87">
        <w:t xml:space="preserve">ACCAN </w:t>
      </w:r>
      <w:r w:rsidR="00A96350">
        <w:t>regularly receive</w:t>
      </w:r>
      <w:r w:rsidR="008F1EC0">
        <w:t>s</w:t>
      </w:r>
      <w:r w:rsidR="00027A87">
        <w:t xml:space="preserve"> anecdotal</w:t>
      </w:r>
      <w:r w:rsidR="008F1EC0">
        <w:t xml:space="preserve"> reports</w:t>
      </w:r>
      <w:r w:rsidR="00027A87">
        <w:t xml:space="preserve"> of poor outcomes for individual consumers, including long timeframes for repair and rectification of services. </w:t>
      </w:r>
      <w:r w:rsidR="00A91309">
        <w:t xml:space="preserve">Greater transparency could shed light on </w:t>
      </w:r>
      <w:r w:rsidR="00AB37F2">
        <w:t>individual cases where the CSG framework is not working</w:t>
      </w:r>
      <w:r w:rsidR="00A01464">
        <w:t xml:space="preserve"> to</w:t>
      </w:r>
      <w:r w:rsidR="00AB37F2">
        <w:t xml:space="preserve"> </w:t>
      </w:r>
      <w:r w:rsidR="00821E8C">
        <w:t>effectively protect</w:t>
      </w:r>
      <w:r w:rsidR="00AB37F2">
        <w:t xml:space="preserve"> consumers</w:t>
      </w:r>
      <w:r w:rsidR="00A91309">
        <w:t xml:space="preserve">. </w:t>
      </w:r>
    </w:p>
    <w:p w14:paraId="6EC8AFE3" w14:textId="6D285BC0" w:rsidR="00AD3CBE" w:rsidRDefault="00AD3CBE" w:rsidP="00DD66C4">
      <w:pPr>
        <w:pStyle w:val="Heading3"/>
      </w:pPr>
      <w:r w:rsidRPr="00AD3CBE">
        <w:t>Short term amendments are required</w:t>
      </w:r>
    </w:p>
    <w:p w14:paraId="0841C3ED" w14:textId="7A019D27" w:rsidR="00821315" w:rsidRDefault="006C1768" w:rsidP="00027A87">
      <w:pPr>
        <w:pStyle w:val="Bulletlist1"/>
        <w:numPr>
          <w:ilvl w:val="0"/>
          <w:numId w:val="0"/>
        </w:numPr>
      </w:pPr>
      <w:r>
        <w:t>Prior to major reform,</w:t>
      </w:r>
      <w:r w:rsidR="00027A87">
        <w:t xml:space="preserve"> ACCAN recommends that</w:t>
      </w:r>
      <w:r w:rsidR="00821315">
        <w:t>:</w:t>
      </w:r>
    </w:p>
    <w:p w14:paraId="05050733" w14:textId="2E24455A" w:rsidR="00821315" w:rsidRPr="008B2097" w:rsidRDefault="00821315" w:rsidP="00223C01">
      <w:pPr>
        <w:pStyle w:val="Bulletlist1"/>
      </w:pPr>
      <w:r>
        <w:t>T</w:t>
      </w:r>
      <w:r w:rsidR="00027A87">
        <w:t xml:space="preserve">he CSG instruments are amended and remade for a period of </w:t>
      </w:r>
      <w:r w:rsidR="00865B0F">
        <w:t>3</w:t>
      </w:r>
      <w:r w:rsidR="00027A87">
        <w:t xml:space="preserve"> years. This should allow enough time for the development and implementation of the longer-term policy changes required.</w:t>
      </w:r>
    </w:p>
    <w:p w14:paraId="26897EF1" w14:textId="40C41006" w:rsidR="00004871" w:rsidRDefault="00004871" w:rsidP="00223C01">
      <w:pPr>
        <w:pStyle w:val="Bulletlist1"/>
      </w:pPr>
      <w:r>
        <w:t xml:space="preserve">Amendments to the current framework should be made with the aim of improving transparency of the framework.  </w:t>
      </w:r>
    </w:p>
    <w:p w14:paraId="2887BE58" w14:textId="0C9327AD" w:rsidR="00944759" w:rsidRDefault="0031030C" w:rsidP="004A1DCA">
      <w:r>
        <w:t>A</w:t>
      </w:r>
      <w:r w:rsidR="002033D3">
        <w:t>llowing</w:t>
      </w:r>
      <w:r w:rsidR="00705F34" w:rsidRPr="00520EA6">
        <w:t xml:space="preserve"> granular</w:t>
      </w:r>
      <w:r w:rsidR="007206A9" w:rsidRPr="00520EA6">
        <w:t xml:space="preserve"> information on CSG compliance</w:t>
      </w:r>
      <w:r>
        <w:t xml:space="preserve"> to</w:t>
      </w:r>
      <w:r w:rsidR="007206A9" w:rsidRPr="00520EA6">
        <w:t xml:space="preserve"> be published</w:t>
      </w:r>
      <w:r w:rsidR="00C743A3" w:rsidRPr="00520EA6">
        <w:t xml:space="preserve"> </w:t>
      </w:r>
      <w:r>
        <w:t xml:space="preserve">will </w:t>
      </w:r>
      <w:r w:rsidR="00C743A3" w:rsidRPr="00520EA6">
        <w:t xml:space="preserve">improve accountability and understanding of </w:t>
      </w:r>
      <w:r w:rsidR="00C45D57" w:rsidRPr="00520EA6">
        <w:t>the framework’s effectiveness</w:t>
      </w:r>
      <w:r w:rsidR="00705F34" w:rsidRPr="00520EA6">
        <w:t>.</w:t>
      </w:r>
      <w:r w:rsidR="007206A9" w:rsidRPr="00520EA6">
        <w:t xml:space="preserve"> </w:t>
      </w:r>
      <w:r w:rsidR="00944759">
        <w:t xml:space="preserve">The merit of improving transparency of the framework will allow for </w:t>
      </w:r>
      <w:r w:rsidR="000956BB">
        <w:t>more informed consideration</w:t>
      </w:r>
      <w:r w:rsidR="00944759">
        <w:t xml:space="preserve"> regarding future changes to the CSG.</w:t>
      </w:r>
    </w:p>
    <w:p w14:paraId="5A6AE69E" w14:textId="77777777" w:rsidR="00760D68" w:rsidRPr="00A9039C" w:rsidRDefault="00760D68" w:rsidP="00760D68">
      <w:pPr>
        <w:pStyle w:val="Heading3"/>
      </w:pPr>
      <w:r>
        <w:t>Long term reform of the CSG is necessary</w:t>
      </w:r>
    </w:p>
    <w:p w14:paraId="521E20DA" w14:textId="77777777" w:rsidR="00760D68" w:rsidRDefault="00760D68" w:rsidP="00760D68">
      <w:r>
        <w:t>We recognise that longer term reform of the CSG is required to ensure the framework keeps up to date with consumer expectations. ACCAN encourages the Department to conduct a full review and consultation with consumers, community organisations and industry prior to long term changes to the CSG. Long term reform of the CSG and the consumer safeguards framework should be carried out with the aim of:</w:t>
      </w:r>
    </w:p>
    <w:p w14:paraId="68DF22C9" w14:textId="3F659D23" w:rsidR="00760D68" w:rsidRDefault="00760D68" w:rsidP="00760D68">
      <w:pPr>
        <w:pStyle w:val="Bulletlist1"/>
      </w:pPr>
      <w:r w:rsidRPr="000A67C4">
        <w:rPr>
          <w:b/>
          <w:bCs/>
        </w:rPr>
        <w:t xml:space="preserve">Implementing </w:t>
      </w:r>
      <w:r>
        <w:rPr>
          <w:b/>
          <w:bCs/>
        </w:rPr>
        <w:t>appropriate</w:t>
      </w:r>
      <w:r w:rsidRPr="00E25938">
        <w:rPr>
          <w:b/>
          <w:bCs/>
        </w:rPr>
        <w:t xml:space="preserve"> Statutory Infrastructure Providers (SIP) standards, </w:t>
      </w:r>
      <w:proofErr w:type="gramStart"/>
      <w:r w:rsidRPr="00E25938">
        <w:rPr>
          <w:b/>
          <w:bCs/>
        </w:rPr>
        <w:t>rules</w:t>
      </w:r>
      <w:proofErr w:type="gramEnd"/>
      <w:r w:rsidRPr="00E25938">
        <w:rPr>
          <w:b/>
          <w:bCs/>
        </w:rPr>
        <w:t xml:space="preserve"> and benchmarks</w:t>
      </w:r>
      <w:r>
        <w:t xml:space="preserve"> – </w:t>
      </w:r>
      <w:r w:rsidR="00B56024">
        <w:t xml:space="preserve">to address key </w:t>
      </w:r>
      <w:r w:rsidR="00CB6EA9">
        <w:t xml:space="preserve">reliability </w:t>
      </w:r>
      <w:r w:rsidR="00B56024">
        <w:t xml:space="preserve">issues </w:t>
      </w:r>
      <w:r w:rsidR="00CB6EA9">
        <w:t>arising</w:t>
      </w:r>
      <w:r w:rsidR="00B56024">
        <w:t xml:space="preserve"> at the wholesale level.</w:t>
      </w:r>
    </w:p>
    <w:p w14:paraId="53465FD2" w14:textId="14BD94C7" w:rsidR="00760D68" w:rsidRPr="005F64B6" w:rsidRDefault="00760D68" w:rsidP="00760D68">
      <w:pPr>
        <w:pStyle w:val="Bulletlist1"/>
      </w:pPr>
      <w:r w:rsidRPr="00B808AC">
        <w:rPr>
          <w:b/>
          <w:bCs/>
        </w:rPr>
        <w:t xml:space="preserve">Expanding </w:t>
      </w:r>
      <w:r w:rsidR="00E94EBE">
        <w:rPr>
          <w:b/>
          <w:bCs/>
        </w:rPr>
        <w:t xml:space="preserve">CSG </w:t>
      </w:r>
      <w:r w:rsidRPr="00B808AC">
        <w:rPr>
          <w:b/>
          <w:bCs/>
        </w:rPr>
        <w:t>s</w:t>
      </w:r>
      <w:r w:rsidRPr="00E25938">
        <w:rPr>
          <w:b/>
          <w:bCs/>
        </w:rPr>
        <w:t>ervices</w:t>
      </w:r>
      <w:r w:rsidR="00E94EBE">
        <w:rPr>
          <w:b/>
          <w:bCs/>
        </w:rPr>
        <w:t xml:space="preserve"> to include broadband</w:t>
      </w:r>
      <w:r>
        <w:t xml:space="preserve"> – </w:t>
      </w:r>
      <w:r w:rsidR="00E94EBE">
        <w:t>so that minimum service levels exist at the retail level.</w:t>
      </w:r>
      <w:r w:rsidR="00E05E89" w:rsidRPr="00E05E89">
        <w:t xml:space="preserve"> </w:t>
      </w:r>
      <w:r w:rsidR="00E05E89">
        <w:t>This will allow for back-to-back consumer protections between wholesale and retail services regardless of network or location.</w:t>
      </w:r>
    </w:p>
    <w:p w14:paraId="4DD6DD38" w14:textId="77777777" w:rsidR="00760D68" w:rsidRPr="00E25938" w:rsidRDefault="00760D68" w:rsidP="00760D68">
      <w:pPr>
        <w:pStyle w:val="Bulletlist1"/>
      </w:pPr>
      <w:r>
        <w:rPr>
          <w:b/>
          <w:bCs/>
        </w:rPr>
        <w:t>Modernising adverse weather exemptions</w:t>
      </w:r>
      <w:r>
        <w:t xml:space="preserve"> - to ensure that the effects of climate change and increasing adverse weather events do not unduly reduce the scope of the CSG standard. </w:t>
      </w:r>
    </w:p>
    <w:p w14:paraId="4E7EB4F5" w14:textId="360AF576" w:rsidR="00614E92" w:rsidRDefault="00760D68" w:rsidP="005B4406">
      <w:pPr>
        <w:pStyle w:val="Bulletlist1"/>
      </w:pPr>
      <w:r>
        <w:rPr>
          <w:b/>
          <w:bCs/>
        </w:rPr>
        <w:t>Reviewing</w:t>
      </w:r>
      <w:r w:rsidRPr="00B808AC">
        <w:rPr>
          <w:b/>
          <w:bCs/>
        </w:rPr>
        <w:t xml:space="preserve"> compensation</w:t>
      </w:r>
      <w:r>
        <w:rPr>
          <w:b/>
          <w:bCs/>
        </w:rPr>
        <w:t xml:space="preserve"> amounts</w:t>
      </w:r>
      <w:r w:rsidRPr="00B808AC">
        <w:rPr>
          <w:b/>
          <w:bCs/>
        </w:rPr>
        <w:t xml:space="preserve"> </w:t>
      </w:r>
      <w:r>
        <w:t>– to ensure that compensation for breaches of service standards reflects the economic and social costs faced by consumers from disconnection.</w:t>
      </w:r>
    </w:p>
    <w:p w14:paraId="13EFCE3B" w14:textId="2AD89132" w:rsidR="000C6ECD" w:rsidRDefault="000C6ECD" w:rsidP="00223C01">
      <w:pPr>
        <w:pStyle w:val="Heading3"/>
      </w:pPr>
      <w:r>
        <w:t xml:space="preserve">Response to </w:t>
      </w:r>
      <w:r w:rsidR="00447541">
        <w:t>discussion paper questions</w:t>
      </w:r>
    </w:p>
    <w:p w14:paraId="6A21EEDA" w14:textId="77777777" w:rsidR="000C6ECD" w:rsidRPr="00223C01" w:rsidRDefault="000C6ECD" w:rsidP="000C6ECD">
      <w:pPr>
        <w:pStyle w:val="ListParagraph"/>
        <w:numPr>
          <w:ilvl w:val="0"/>
          <w:numId w:val="4"/>
        </w:numPr>
        <w:rPr>
          <w:rStyle w:val="Emphasis"/>
        </w:rPr>
      </w:pPr>
      <w:r w:rsidRPr="00223C01">
        <w:rPr>
          <w:rStyle w:val="Emphasis"/>
        </w:rPr>
        <w:t xml:space="preserve">Does the CSG remain relevant and useful, noting the changes in the Australian telecommunications </w:t>
      </w:r>
      <w:proofErr w:type="gramStart"/>
      <w:r w:rsidRPr="00223C01">
        <w:rPr>
          <w:rStyle w:val="Emphasis"/>
        </w:rPr>
        <w:t>market place</w:t>
      </w:r>
      <w:proofErr w:type="gramEnd"/>
      <w:r w:rsidRPr="00223C01">
        <w:rPr>
          <w:rStyle w:val="Emphasis"/>
        </w:rPr>
        <w:t>? Why/Why not?</w:t>
      </w:r>
    </w:p>
    <w:p w14:paraId="32D5084C" w14:textId="77777777" w:rsidR="000C6ECD" w:rsidRDefault="000C6ECD" w:rsidP="000C6ECD">
      <w:r>
        <w:t xml:space="preserve">As mentioned previously, the CSG remains relevant and useful, however we consider that there is scope for modernisation in the next few years. </w:t>
      </w:r>
    </w:p>
    <w:p w14:paraId="31AC230D" w14:textId="77777777" w:rsidR="000C6ECD" w:rsidRPr="002251DA" w:rsidRDefault="000C6ECD" w:rsidP="000C6ECD">
      <w:pPr>
        <w:pStyle w:val="ListParagraph"/>
        <w:numPr>
          <w:ilvl w:val="0"/>
          <w:numId w:val="4"/>
        </w:numPr>
        <w:rPr>
          <w:rStyle w:val="Emphasis"/>
          <w:lang w:val="en-US"/>
        </w:rPr>
      </w:pPr>
      <w:r w:rsidRPr="002251DA">
        <w:rPr>
          <w:rStyle w:val="Emphasis"/>
          <w:lang w:val="en-US"/>
        </w:rPr>
        <w:lastRenderedPageBreak/>
        <w:t>Are there other approaches to the CSG that should be considered? If so, what are these and why would these be preferable?</w:t>
      </w:r>
    </w:p>
    <w:p w14:paraId="33C98297" w14:textId="19029158" w:rsidR="000C6ECD" w:rsidRPr="00724106" w:rsidRDefault="000C6ECD" w:rsidP="000C6ECD">
      <w:pPr>
        <w:rPr>
          <w:rStyle w:val="Emphasis"/>
          <w:i w:val="0"/>
          <w:iCs w:val="0"/>
          <w:lang w:val="en-US"/>
        </w:rPr>
      </w:pPr>
      <w:r>
        <w:rPr>
          <w:rStyle w:val="Emphasis"/>
          <w:i w:val="0"/>
          <w:iCs w:val="0"/>
          <w:lang w:val="en-US"/>
        </w:rPr>
        <w:t>ACCAN has provided our preferred approach to the CSG in this response,</w:t>
      </w:r>
      <w:r w:rsidR="0064508C">
        <w:rPr>
          <w:rStyle w:val="Emphasis"/>
          <w:i w:val="0"/>
          <w:iCs w:val="0"/>
          <w:lang w:val="en-US"/>
        </w:rPr>
        <w:t xml:space="preserve"> detailed in Attachment B</w:t>
      </w:r>
      <w:r w:rsidR="007B01D5">
        <w:rPr>
          <w:rStyle w:val="Emphasis"/>
          <w:i w:val="0"/>
          <w:iCs w:val="0"/>
          <w:lang w:val="en-US"/>
        </w:rPr>
        <w:t>.</w:t>
      </w:r>
      <w:r>
        <w:rPr>
          <w:rStyle w:val="Emphasis"/>
          <w:i w:val="0"/>
          <w:iCs w:val="0"/>
          <w:lang w:val="en-US"/>
        </w:rPr>
        <w:t xml:space="preserve"> </w:t>
      </w:r>
      <w:r w:rsidR="007B01D5">
        <w:rPr>
          <w:rStyle w:val="Emphasis"/>
          <w:i w:val="0"/>
          <w:iCs w:val="0"/>
          <w:lang w:val="en-US"/>
        </w:rPr>
        <w:t>H</w:t>
      </w:r>
      <w:r>
        <w:rPr>
          <w:rStyle w:val="Emphasis"/>
          <w:i w:val="0"/>
          <w:iCs w:val="0"/>
          <w:lang w:val="en-US"/>
        </w:rPr>
        <w:t>owever</w:t>
      </w:r>
      <w:r w:rsidR="00760B4F">
        <w:rPr>
          <w:rStyle w:val="Emphasis"/>
          <w:i w:val="0"/>
          <w:iCs w:val="0"/>
          <w:lang w:val="en-US"/>
        </w:rPr>
        <w:t>,</w:t>
      </w:r>
      <w:r>
        <w:rPr>
          <w:rStyle w:val="Emphasis"/>
          <w:i w:val="0"/>
          <w:iCs w:val="0"/>
          <w:lang w:val="en-US"/>
        </w:rPr>
        <w:t xml:space="preserve"> we consider that alternatives should be considered as part of a </w:t>
      </w:r>
      <w:r w:rsidR="000D6227">
        <w:rPr>
          <w:rStyle w:val="Emphasis"/>
          <w:i w:val="0"/>
          <w:iCs w:val="0"/>
          <w:lang w:val="en-US"/>
        </w:rPr>
        <w:t>m</w:t>
      </w:r>
      <w:r w:rsidR="00713706">
        <w:rPr>
          <w:rStyle w:val="Emphasis"/>
          <w:i w:val="0"/>
          <w:iCs w:val="0"/>
          <w:lang w:val="en-US"/>
        </w:rPr>
        <w:t>oderni</w:t>
      </w:r>
      <w:r w:rsidR="000D6227">
        <w:rPr>
          <w:rStyle w:val="Emphasis"/>
          <w:i w:val="0"/>
          <w:iCs w:val="0"/>
          <w:lang w:val="en-US"/>
        </w:rPr>
        <w:t>s</w:t>
      </w:r>
      <w:r w:rsidR="00713706">
        <w:rPr>
          <w:rStyle w:val="Emphasis"/>
          <w:i w:val="0"/>
          <w:iCs w:val="0"/>
          <w:lang w:val="en-US"/>
        </w:rPr>
        <w:t>ation</w:t>
      </w:r>
      <w:r>
        <w:rPr>
          <w:rStyle w:val="Emphasis"/>
          <w:i w:val="0"/>
          <w:iCs w:val="0"/>
          <w:lang w:val="en-US"/>
        </w:rPr>
        <w:t xml:space="preserve"> process that strengthens the existing framework.</w:t>
      </w:r>
    </w:p>
    <w:p w14:paraId="54A39EAA" w14:textId="77777777" w:rsidR="000C6ECD" w:rsidRDefault="000C6ECD" w:rsidP="000C6ECD">
      <w:pPr>
        <w:pStyle w:val="ListParagraph"/>
        <w:numPr>
          <w:ilvl w:val="0"/>
          <w:numId w:val="4"/>
        </w:numPr>
        <w:rPr>
          <w:rStyle w:val="Emphasis"/>
          <w:lang w:val="en-US"/>
        </w:rPr>
      </w:pPr>
      <w:r w:rsidRPr="002251DA">
        <w:rPr>
          <w:rStyle w:val="Emphasis"/>
          <w:lang w:val="en-US"/>
        </w:rPr>
        <w:t>Are different approaches potentially required in relation to the NBN and similar networks as opposed to the fixed line voice network still operated by Telstra outside NBN Co’s fixed line footprint (where voice services subject to the CSG are still primarily supplied over Telstra’s copper network)?</w:t>
      </w:r>
    </w:p>
    <w:p w14:paraId="240AC85C" w14:textId="77777777" w:rsidR="000C6ECD" w:rsidRDefault="000C6ECD" w:rsidP="000C6ECD">
      <w:pPr>
        <w:rPr>
          <w:rStyle w:val="Emphasis"/>
          <w:i w:val="0"/>
          <w:iCs w:val="0"/>
          <w:lang w:val="en-US"/>
        </w:rPr>
      </w:pPr>
      <w:r>
        <w:rPr>
          <w:rStyle w:val="Emphasis"/>
          <w:i w:val="0"/>
          <w:iCs w:val="0"/>
          <w:lang w:val="en-US"/>
        </w:rPr>
        <w:t xml:space="preserve">ACCAN considers that consumers would benefit from uniformity between broadband networks and voice services, noting that many voice services are now delivered over broadband networks. We are not aware of any technical reasons as to why broadband services should warrant a different approach to CSG services. </w:t>
      </w:r>
    </w:p>
    <w:p w14:paraId="69511020" w14:textId="00FEC038" w:rsidR="006F6A17" w:rsidRPr="0020355D" w:rsidRDefault="0059296C" w:rsidP="000C6ECD">
      <w:pPr>
        <w:rPr>
          <w:rStyle w:val="Emphasis"/>
          <w:i w:val="0"/>
          <w:iCs w:val="0"/>
          <w:lang w:val="en-US"/>
        </w:rPr>
      </w:pPr>
      <w:r>
        <w:rPr>
          <w:rStyle w:val="Emphasis"/>
          <w:i w:val="0"/>
          <w:iCs w:val="0"/>
          <w:lang w:val="en-US"/>
        </w:rPr>
        <w:t xml:space="preserve">Different approaches could potentially be followed if the network </w:t>
      </w:r>
      <w:proofErr w:type="gramStart"/>
      <w:r>
        <w:rPr>
          <w:rStyle w:val="Emphasis"/>
          <w:i w:val="0"/>
          <w:iCs w:val="0"/>
          <w:lang w:val="en-US"/>
        </w:rPr>
        <w:t>is capable of achieving</w:t>
      </w:r>
      <w:proofErr w:type="gramEnd"/>
      <w:r>
        <w:rPr>
          <w:rStyle w:val="Emphasis"/>
          <w:i w:val="0"/>
          <w:iCs w:val="0"/>
          <w:lang w:val="en-US"/>
        </w:rPr>
        <w:t xml:space="preserve"> higher </w:t>
      </w:r>
      <w:r w:rsidR="00A40819">
        <w:rPr>
          <w:rStyle w:val="Emphasis"/>
          <w:i w:val="0"/>
          <w:iCs w:val="0"/>
          <w:lang w:val="en-US"/>
        </w:rPr>
        <w:t xml:space="preserve">reliability service standards. For example, consumers expect that the NBN, as a newly built network, should have greater reliability </w:t>
      </w:r>
      <w:r w:rsidR="00FF09FE">
        <w:rPr>
          <w:rStyle w:val="Emphasis"/>
          <w:i w:val="0"/>
          <w:iCs w:val="0"/>
          <w:lang w:val="en-US"/>
        </w:rPr>
        <w:t>than</w:t>
      </w:r>
      <w:r w:rsidR="00A40819">
        <w:rPr>
          <w:rStyle w:val="Emphasis"/>
          <w:i w:val="0"/>
          <w:iCs w:val="0"/>
          <w:lang w:val="en-US"/>
        </w:rPr>
        <w:t xml:space="preserve"> </w:t>
      </w:r>
      <w:r w:rsidR="005B5F9F">
        <w:rPr>
          <w:rStyle w:val="Emphasis"/>
          <w:i w:val="0"/>
          <w:iCs w:val="0"/>
          <w:lang w:val="en-US"/>
        </w:rPr>
        <w:t xml:space="preserve">copper networks. </w:t>
      </w:r>
      <w:r w:rsidR="00FF09FE">
        <w:rPr>
          <w:rStyle w:val="Emphasis"/>
          <w:i w:val="0"/>
          <w:iCs w:val="0"/>
          <w:lang w:val="en-US"/>
        </w:rPr>
        <w:t>However,</w:t>
      </w:r>
      <w:r w:rsidR="005B5F9F">
        <w:rPr>
          <w:rStyle w:val="Emphasis"/>
          <w:i w:val="0"/>
          <w:iCs w:val="0"/>
          <w:lang w:val="en-US"/>
        </w:rPr>
        <w:t xml:space="preserve"> it is important that the minimum standard across all networks is appropriate to protect consumers from poor reliability. </w:t>
      </w:r>
    </w:p>
    <w:p w14:paraId="4CB53AC7" w14:textId="77777777" w:rsidR="000C6ECD" w:rsidRPr="002251DA" w:rsidRDefault="000C6ECD" w:rsidP="000C6ECD">
      <w:pPr>
        <w:pStyle w:val="ListParagraph"/>
        <w:numPr>
          <w:ilvl w:val="0"/>
          <w:numId w:val="4"/>
        </w:numPr>
        <w:rPr>
          <w:rStyle w:val="Emphasis"/>
          <w:lang w:val="en-US"/>
        </w:rPr>
      </w:pPr>
      <w:r w:rsidRPr="002251DA">
        <w:rPr>
          <w:rStyle w:val="Emphasis"/>
          <w:lang w:val="en-US"/>
        </w:rPr>
        <w:t xml:space="preserve">If there is an ongoing role for the CSG, are there any changes required to the details of the subordinate legislation that give effect to it? If so, </w:t>
      </w:r>
      <w:proofErr w:type="gramStart"/>
      <w:r w:rsidRPr="002251DA">
        <w:rPr>
          <w:rStyle w:val="Emphasis"/>
          <w:lang w:val="en-US"/>
        </w:rPr>
        <w:t>what</w:t>
      </w:r>
      <w:proofErr w:type="gramEnd"/>
      <w:r w:rsidRPr="002251DA">
        <w:rPr>
          <w:rStyle w:val="Emphasis"/>
          <w:lang w:val="en-US"/>
        </w:rPr>
        <w:t xml:space="preserve"> and why?</w:t>
      </w:r>
    </w:p>
    <w:p w14:paraId="04FFB2F7" w14:textId="7E9031A6" w:rsidR="000C6ECD" w:rsidRDefault="005F622C" w:rsidP="00913622">
      <w:r>
        <w:t xml:space="preserve">See </w:t>
      </w:r>
      <w:r w:rsidR="003F4F03">
        <w:t>Attachment</w:t>
      </w:r>
      <w:r>
        <w:t xml:space="preserve"> A for information </w:t>
      </w:r>
      <w:r w:rsidR="003F4F03">
        <w:t>detail regarding changes to the subordinate legislation.</w:t>
      </w:r>
    </w:p>
    <w:p w14:paraId="30D3F1E0" w14:textId="73AA6C1E" w:rsidR="000217FD" w:rsidRDefault="000217FD" w:rsidP="000217FD">
      <w:r>
        <w:t xml:space="preserve">We </w:t>
      </w:r>
      <w:r w:rsidR="00B15CCC">
        <w:t xml:space="preserve">thank </w:t>
      </w:r>
      <w:r w:rsidR="00705F34">
        <w:t xml:space="preserve">the Department </w:t>
      </w:r>
      <w:r w:rsidR="00B15CCC">
        <w:t>for</w:t>
      </w:r>
      <w:r>
        <w:t xml:space="preserve"> the opportunity to </w:t>
      </w:r>
      <w:r w:rsidR="008242B5">
        <w:t xml:space="preserve">comment on </w:t>
      </w:r>
      <w:r w:rsidR="004E17E4">
        <w:t>the thematic review of the CSG</w:t>
      </w:r>
      <w:r w:rsidR="00F97FC7">
        <w:t>.</w:t>
      </w:r>
      <w:r>
        <w:t xml:space="preserve"> Should you wish to discuss any of the issues raised in this submission further, please do not hesitate to contact me </w:t>
      </w:r>
      <w:r w:rsidR="00591C8A">
        <w:t xml:space="preserve">on </w:t>
      </w:r>
      <w:r w:rsidR="00591C8A">
        <w:rPr>
          <w:rFonts w:ascii="Arial" w:hAnsi="Arial" w:cs="Arial"/>
          <w:sz w:val="20"/>
          <w:szCs w:val="20"/>
          <w:lang w:val="en-US"/>
        </w:rPr>
        <w:t>02 9288 4000</w:t>
      </w:r>
      <w:r>
        <w:t>.</w:t>
      </w:r>
    </w:p>
    <w:p w14:paraId="4DF2E88E" w14:textId="77777777" w:rsidR="000217FD" w:rsidRDefault="000217FD" w:rsidP="000217FD">
      <w:pPr>
        <w:pStyle w:val="NoSpacing"/>
      </w:pPr>
      <w:r>
        <w:t>Yours sincerely,</w:t>
      </w:r>
    </w:p>
    <w:p w14:paraId="1B1CF9F0" w14:textId="77777777" w:rsidR="006F44DE" w:rsidRDefault="006F44DE" w:rsidP="000217FD">
      <w:pPr>
        <w:pStyle w:val="NoSpacing"/>
      </w:pPr>
    </w:p>
    <w:p w14:paraId="12191E7A" w14:textId="5F81496B" w:rsidR="005650CF" w:rsidRDefault="005D74FD" w:rsidP="05115472">
      <w:pPr>
        <w:pStyle w:val="NoSpacing"/>
      </w:pPr>
      <w:r>
        <w:t xml:space="preserve">Megan Ward </w:t>
      </w:r>
    </w:p>
    <w:p w14:paraId="366E7454" w14:textId="27893820" w:rsidR="005D74FD" w:rsidRDefault="005D74FD" w:rsidP="05115472">
      <w:pPr>
        <w:pStyle w:val="NoSpacing"/>
      </w:pPr>
      <w:r>
        <w:t>Senior Economic Adviser</w:t>
      </w:r>
    </w:p>
    <w:p w14:paraId="7B8E5143" w14:textId="6E0B2AB4" w:rsidR="005650CF" w:rsidRDefault="005650CF"/>
    <w:p w14:paraId="2DBB8B8F" w14:textId="77777777" w:rsidR="001D0196" w:rsidRDefault="001D0196">
      <w:pPr>
        <w:rPr>
          <w:rFonts w:cstheme="minorHAnsi"/>
          <w:sz w:val="32"/>
          <w:szCs w:val="32"/>
        </w:rPr>
      </w:pPr>
      <w:r>
        <w:br w:type="page"/>
      </w:r>
    </w:p>
    <w:p w14:paraId="3875E6CD" w14:textId="6AC6B475" w:rsidR="00801013" w:rsidRDefault="004E15D3" w:rsidP="00801013">
      <w:pPr>
        <w:pStyle w:val="Heading1"/>
      </w:pPr>
      <w:r>
        <w:lastRenderedPageBreak/>
        <w:t>Attachment A</w:t>
      </w:r>
      <w:r w:rsidR="00665CEE">
        <w:t>: Short term amendments to the CSG</w:t>
      </w:r>
    </w:p>
    <w:p w14:paraId="35FC0308" w14:textId="1551A859" w:rsidR="005777D3" w:rsidRPr="005777D3" w:rsidRDefault="005777D3" w:rsidP="00C50138">
      <w:pPr>
        <w:pStyle w:val="Heading2"/>
      </w:pPr>
      <w:r>
        <w:t xml:space="preserve">Improvements to </w:t>
      </w:r>
      <w:proofErr w:type="gramStart"/>
      <w:r>
        <w:t>reporting</w:t>
      </w:r>
      <w:proofErr w:type="gramEnd"/>
      <w:r>
        <w:t xml:space="preserve"> </w:t>
      </w:r>
    </w:p>
    <w:p w14:paraId="7EB96048" w14:textId="5967070F" w:rsidR="00094E1C" w:rsidRDefault="009F7BC2" w:rsidP="009A674F">
      <w:r>
        <w:t>Currently compliance reporting</w:t>
      </w:r>
      <w:r w:rsidR="009A674F">
        <w:t xml:space="preserve"> only </w:t>
      </w:r>
      <w:r w:rsidR="00EF27EE">
        <w:t>requires</w:t>
      </w:r>
      <w:r w:rsidR="004D0E6E">
        <w:t xml:space="preserve"> details of </w:t>
      </w:r>
      <w:r w:rsidR="00732B61">
        <w:t>whether</w:t>
      </w:r>
      <w:r w:rsidR="004D0E6E">
        <w:t xml:space="preserve"> a qualifying carriage service provider </w:t>
      </w:r>
      <w:r w:rsidR="00A314E4">
        <w:t>(</w:t>
      </w:r>
      <w:r w:rsidR="00A314E4" w:rsidRPr="00A314E4">
        <w:rPr>
          <w:b/>
          <w:bCs/>
        </w:rPr>
        <w:t>CSP</w:t>
      </w:r>
      <w:r w:rsidR="00A314E4">
        <w:t xml:space="preserve">) </w:t>
      </w:r>
      <w:r w:rsidR="009A674F">
        <w:t>has met</w:t>
      </w:r>
      <w:r w:rsidR="004D0E6E">
        <w:t xml:space="preserve"> the CSG benchmark standards.</w:t>
      </w:r>
      <w:r w:rsidR="00E95152">
        <w:rPr>
          <w:rStyle w:val="FootnoteReference"/>
        </w:rPr>
        <w:footnoteReference w:id="4"/>
      </w:r>
      <w:r w:rsidR="004D0E6E">
        <w:t xml:space="preserve"> </w:t>
      </w:r>
    </w:p>
    <w:p w14:paraId="68D43ED5" w14:textId="61EDE6BA" w:rsidR="009A674F" w:rsidRDefault="00D27221" w:rsidP="009A674F">
      <w:r>
        <w:t xml:space="preserve">In instances where a qualifying CSP has failed to comply with a CSG timeframe, </w:t>
      </w:r>
      <w:r w:rsidR="004D0E6E">
        <w:t>ACCAN considers that</w:t>
      </w:r>
      <w:r w:rsidR="00EF27EE">
        <w:t xml:space="preserve"> there is merit </w:t>
      </w:r>
      <w:r w:rsidR="005F23F5">
        <w:t>in</w:t>
      </w:r>
      <w:r w:rsidR="00732B61">
        <w:t xml:space="preserve"> </w:t>
      </w:r>
      <w:r>
        <w:t>the</w:t>
      </w:r>
      <w:r w:rsidR="005F23F5">
        <w:t xml:space="preserve"> </w:t>
      </w:r>
      <w:r w:rsidR="00A314E4">
        <w:t xml:space="preserve">CSP </w:t>
      </w:r>
      <w:r w:rsidR="004D0E6E">
        <w:t>reporti</w:t>
      </w:r>
      <w:r>
        <w:t>ng t</w:t>
      </w:r>
      <w:r w:rsidR="00EF27EE">
        <w:t xml:space="preserve">he extent of the failure. </w:t>
      </w:r>
      <w:r w:rsidR="00001B63">
        <w:t>Thus, s</w:t>
      </w:r>
      <w:r w:rsidR="00B134A7">
        <w:t>chedule 1 of the</w:t>
      </w:r>
      <w:r w:rsidR="008D25C4">
        <w:t xml:space="preserve"> </w:t>
      </w:r>
      <w:r w:rsidR="008D25C4" w:rsidRPr="008D25C4">
        <w:rPr>
          <w:i/>
          <w:iCs/>
        </w:rPr>
        <w:t>Telecommunications (Customer Service Guarantee) Record-Keeping Rules 2011</w:t>
      </w:r>
      <w:r w:rsidR="008D25C4">
        <w:rPr>
          <w:i/>
          <w:iCs/>
        </w:rPr>
        <w:t xml:space="preserve"> </w:t>
      </w:r>
      <w:r w:rsidR="009A674F">
        <w:t xml:space="preserve">should be extended </w:t>
      </w:r>
      <w:r w:rsidR="00E4310D">
        <w:t>to include</w:t>
      </w:r>
      <w:r w:rsidR="005A6C77">
        <w:t>:</w:t>
      </w:r>
    </w:p>
    <w:p w14:paraId="27DCBBAA" w14:textId="03A28B70" w:rsidR="005A6C77" w:rsidRDefault="005A6C77" w:rsidP="007D08A0">
      <w:pPr>
        <w:pStyle w:val="Bulletlist1"/>
      </w:pPr>
      <w:r>
        <w:t xml:space="preserve">Each instance of where the </w:t>
      </w:r>
      <w:r w:rsidR="00231B50">
        <w:t>CSP</w:t>
      </w:r>
      <w:r>
        <w:t xml:space="preserve"> has failed to meet a timeframe </w:t>
      </w:r>
      <w:r w:rsidR="00231B50">
        <w:t>as specified by the CSG standard.</w:t>
      </w:r>
    </w:p>
    <w:p w14:paraId="387DAA4A" w14:textId="100DC391" w:rsidR="005A6C77" w:rsidRDefault="007F49C2" w:rsidP="007D08A0">
      <w:pPr>
        <w:pStyle w:val="Bulletlist1"/>
      </w:pPr>
      <w:r>
        <w:t xml:space="preserve">The number of working days </w:t>
      </w:r>
      <w:r w:rsidR="007623E1">
        <w:t xml:space="preserve">between the date and time at which the guaranteed maximum connection </w:t>
      </w:r>
      <w:r w:rsidR="005777D3">
        <w:t xml:space="preserve">or fault rectification </w:t>
      </w:r>
      <w:r w:rsidR="007623E1">
        <w:t>period expired and the date and time at which the connection</w:t>
      </w:r>
      <w:r w:rsidR="00001B63">
        <w:t xml:space="preserve"> or fault rectification</w:t>
      </w:r>
      <w:r w:rsidR="007623E1">
        <w:t xml:space="preserve"> </w:t>
      </w:r>
      <w:r w:rsidR="005777D3">
        <w:t xml:space="preserve">took place. </w:t>
      </w:r>
    </w:p>
    <w:p w14:paraId="57459174" w14:textId="3C262D25" w:rsidR="00001B63" w:rsidRPr="009A674F" w:rsidRDefault="00687CF0" w:rsidP="00001B63">
      <w:pPr>
        <w:pStyle w:val="Bulletlist1"/>
        <w:numPr>
          <w:ilvl w:val="0"/>
          <w:numId w:val="0"/>
        </w:numPr>
      </w:pPr>
      <w:r>
        <w:t xml:space="preserve">These changes </w:t>
      </w:r>
      <w:r w:rsidR="00001B63">
        <w:t xml:space="preserve">will allow for closer examination of </w:t>
      </w:r>
      <w:r w:rsidR="004C100D">
        <w:t xml:space="preserve">the effectiveness of the </w:t>
      </w:r>
      <w:r w:rsidR="0043107A">
        <w:t>framework and inform future reform.</w:t>
      </w:r>
    </w:p>
    <w:p w14:paraId="5E8B641B" w14:textId="0BE80B39" w:rsidR="00732973" w:rsidRDefault="003965C7" w:rsidP="005B4406">
      <w:pPr>
        <w:pStyle w:val="Heading2"/>
      </w:pPr>
      <w:r>
        <w:t xml:space="preserve">Allowing the ACMA to publish </w:t>
      </w:r>
      <w:proofErr w:type="gramStart"/>
      <w:r>
        <w:t>data</w:t>
      </w:r>
      <w:proofErr w:type="gramEnd"/>
      <w:r>
        <w:t xml:space="preserve"> </w:t>
      </w:r>
    </w:p>
    <w:p w14:paraId="790F7191" w14:textId="1F1CA2D7" w:rsidR="003965C7" w:rsidRDefault="003965C7" w:rsidP="003965C7">
      <w:pPr>
        <w:rPr>
          <w:lang w:val="en-US" w:eastAsia="en-US"/>
        </w:rPr>
      </w:pPr>
      <w:r>
        <w:rPr>
          <w:lang w:val="en-US" w:eastAsia="en-US"/>
        </w:rPr>
        <w:t>In 201</w:t>
      </w:r>
      <w:r w:rsidR="00CD5844">
        <w:rPr>
          <w:lang w:val="en-US" w:eastAsia="en-US"/>
        </w:rPr>
        <w:t xml:space="preserve">9, the Telecommunications Act was amended </w:t>
      </w:r>
      <w:r w:rsidR="00D62F67">
        <w:rPr>
          <w:lang w:val="en-US" w:eastAsia="en-US"/>
        </w:rPr>
        <w:t>to</w:t>
      </w:r>
      <w:r w:rsidR="00D941D0">
        <w:rPr>
          <w:lang w:val="en-US" w:eastAsia="en-US"/>
        </w:rPr>
        <w:t xml:space="preserve"> remove the reporting requirement </w:t>
      </w:r>
      <w:r w:rsidR="00F23CB3">
        <w:rPr>
          <w:lang w:val="en-US" w:eastAsia="en-US"/>
        </w:rPr>
        <w:t xml:space="preserve">for the </w:t>
      </w:r>
      <w:r w:rsidR="006C6C8B">
        <w:rPr>
          <w:lang w:val="en-US" w:eastAsia="en-US"/>
        </w:rPr>
        <w:t>adequacy of each carrier</w:t>
      </w:r>
      <w:r w:rsidR="00873A00">
        <w:rPr>
          <w:lang w:val="en-US" w:eastAsia="en-US"/>
        </w:rPr>
        <w:t>’</w:t>
      </w:r>
      <w:r w:rsidR="006C6C8B">
        <w:rPr>
          <w:lang w:val="en-US" w:eastAsia="en-US"/>
        </w:rPr>
        <w:t xml:space="preserve">s </w:t>
      </w:r>
      <w:r w:rsidR="004313F0">
        <w:rPr>
          <w:lang w:val="en-US" w:eastAsia="en-US"/>
        </w:rPr>
        <w:t xml:space="preserve">and each carriage service provider’s </w:t>
      </w:r>
      <w:r w:rsidR="00CD40A2">
        <w:rPr>
          <w:lang w:val="en-US" w:eastAsia="en-US"/>
        </w:rPr>
        <w:t>compliance</w:t>
      </w:r>
      <w:r w:rsidR="004313F0">
        <w:rPr>
          <w:lang w:val="en-US" w:eastAsia="en-US"/>
        </w:rPr>
        <w:t xml:space="preserve"> with its obligations to industry standards.</w:t>
      </w:r>
      <w:r w:rsidR="00396B95">
        <w:rPr>
          <w:rStyle w:val="FootnoteReference"/>
          <w:lang w:val="en-US" w:eastAsia="en-US"/>
        </w:rPr>
        <w:footnoteReference w:id="5"/>
      </w:r>
    </w:p>
    <w:p w14:paraId="2807E54C" w14:textId="7C2CFA29" w:rsidR="00446695" w:rsidRDefault="0035304D" w:rsidP="003965C7">
      <w:pPr>
        <w:rPr>
          <w:lang w:val="en-US" w:eastAsia="en-US"/>
        </w:rPr>
      </w:pPr>
      <w:r>
        <w:rPr>
          <w:lang w:val="en-US" w:eastAsia="en-US"/>
        </w:rPr>
        <w:t xml:space="preserve">ACCAN notes that in 2022, the Department consulted on an exposure draft which would reinstate powers </w:t>
      </w:r>
      <w:r w:rsidR="00002736">
        <w:rPr>
          <w:lang w:val="en-US" w:eastAsia="en-US"/>
        </w:rPr>
        <w:t xml:space="preserve">that would allow the </w:t>
      </w:r>
      <w:r>
        <w:rPr>
          <w:lang w:val="en-US" w:eastAsia="en-US"/>
        </w:rPr>
        <w:t xml:space="preserve">ACMA to </w:t>
      </w:r>
      <w:r w:rsidR="00396B95">
        <w:rPr>
          <w:lang w:val="en-US" w:eastAsia="en-US"/>
        </w:rPr>
        <w:t>disclose information that relates to the affairs of a carriage service provider.</w:t>
      </w:r>
      <w:r w:rsidR="00396B95">
        <w:rPr>
          <w:rStyle w:val="FootnoteReference"/>
          <w:lang w:val="en-US" w:eastAsia="en-US"/>
        </w:rPr>
        <w:footnoteReference w:id="6"/>
      </w:r>
      <w:r w:rsidR="000C5066">
        <w:rPr>
          <w:lang w:val="en-US" w:eastAsia="en-US"/>
        </w:rPr>
        <w:t xml:space="preserve"> ACCAN is supportive of the exposure draft. </w:t>
      </w:r>
      <w:r w:rsidR="00F36F5D">
        <w:rPr>
          <w:lang w:val="en-US" w:eastAsia="en-US"/>
        </w:rPr>
        <w:t xml:space="preserve">We encourage the Department to expedite the progress of the </w:t>
      </w:r>
      <w:r w:rsidR="00F36F5D" w:rsidRPr="00B97F82">
        <w:rPr>
          <w:i/>
          <w:iCs/>
          <w:lang w:val="en-US" w:eastAsia="en-US"/>
        </w:rPr>
        <w:t>Telecommunications Legislation Amendment (Statutory Infrastructure Providers and Other Measures) Bill 2022</w:t>
      </w:r>
      <w:r w:rsidR="00F36F5D">
        <w:rPr>
          <w:i/>
          <w:iCs/>
          <w:lang w:val="en-US" w:eastAsia="en-US"/>
        </w:rPr>
        <w:t>.</w:t>
      </w:r>
    </w:p>
    <w:p w14:paraId="11071373" w14:textId="77777777" w:rsidR="00A77E35" w:rsidRDefault="00721F95" w:rsidP="003965C7">
      <w:pPr>
        <w:rPr>
          <w:lang w:val="en-US" w:eastAsia="en-US"/>
        </w:rPr>
      </w:pPr>
      <w:r>
        <w:rPr>
          <w:lang w:val="en-US" w:eastAsia="en-US"/>
        </w:rPr>
        <w:t xml:space="preserve">We note that whilst the </w:t>
      </w:r>
      <w:r w:rsidR="00446695">
        <w:rPr>
          <w:lang w:val="en-US" w:eastAsia="en-US"/>
        </w:rPr>
        <w:t>exposure draft</w:t>
      </w:r>
      <w:r>
        <w:rPr>
          <w:lang w:val="en-US" w:eastAsia="en-US"/>
        </w:rPr>
        <w:t xml:space="preserve"> </w:t>
      </w:r>
      <w:r w:rsidR="00446695">
        <w:rPr>
          <w:lang w:val="en-US" w:eastAsia="en-US"/>
        </w:rPr>
        <w:t>intends to</w:t>
      </w:r>
      <w:r>
        <w:rPr>
          <w:lang w:val="en-US" w:eastAsia="en-US"/>
        </w:rPr>
        <w:t xml:space="preserve"> give the ACMA power to publish information regarding </w:t>
      </w:r>
      <w:r w:rsidR="00A053E0">
        <w:rPr>
          <w:lang w:val="en-US" w:eastAsia="en-US"/>
        </w:rPr>
        <w:t xml:space="preserve">many issues covered by the CSG such as </w:t>
      </w:r>
      <w:r w:rsidR="00D5563B">
        <w:rPr>
          <w:lang w:val="en-US" w:eastAsia="en-US"/>
        </w:rPr>
        <w:t xml:space="preserve">faults and service difficulties, </w:t>
      </w:r>
      <w:r w:rsidR="00A053E0">
        <w:rPr>
          <w:lang w:val="en-US" w:eastAsia="en-US"/>
        </w:rPr>
        <w:t>rectification and</w:t>
      </w:r>
      <w:r w:rsidR="00D5563B">
        <w:rPr>
          <w:lang w:val="en-US" w:eastAsia="en-US"/>
        </w:rPr>
        <w:t xml:space="preserve"> service activation and provisioning</w:t>
      </w:r>
      <w:r w:rsidR="00A053E0">
        <w:rPr>
          <w:lang w:val="en-US" w:eastAsia="en-US"/>
        </w:rPr>
        <w:t>, it does not include information regarding compensation paid.</w:t>
      </w:r>
    </w:p>
    <w:p w14:paraId="40B6DBD5" w14:textId="731E4E94" w:rsidR="0035304D" w:rsidRDefault="003B6E41" w:rsidP="003965C7">
      <w:pPr>
        <w:rPr>
          <w:lang w:val="en-US" w:eastAsia="en-US"/>
        </w:rPr>
      </w:pPr>
      <w:r>
        <w:rPr>
          <w:lang w:val="en-US" w:eastAsia="en-US"/>
        </w:rPr>
        <w:t>While</w:t>
      </w:r>
      <w:r w:rsidR="000C1111">
        <w:rPr>
          <w:lang w:val="en-US" w:eastAsia="en-US"/>
        </w:rPr>
        <w:t xml:space="preserve"> </w:t>
      </w:r>
      <w:r w:rsidR="00A431CE">
        <w:rPr>
          <w:lang w:val="en-US" w:eastAsia="en-US"/>
        </w:rPr>
        <w:t xml:space="preserve">the exposure draft </w:t>
      </w:r>
      <w:r w:rsidR="00D411C0">
        <w:rPr>
          <w:lang w:val="en-US" w:eastAsia="en-US"/>
        </w:rPr>
        <w:t>details</w:t>
      </w:r>
      <w:r w:rsidR="005D1D3D">
        <w:rPr>
          <w:lang w:val="en-US" w:eastAsia="en-US"/>
        </w:rPr>
        <w:t xml:space="preserve"> the</w:t>
      </w:r>
      <w:r w:rsidR="000C1111">
        <w:rPr>
          <w:lang w:val="en-US" w:eastAsia="en-US"/>
        </w:rPr>
        <w:t xml:space="preserve"> Minister</w:t>
      </w:r>
      <w:r w:rsidR="00D411C0">
        <w:rPr>
          <w:lang w:val="en-US" w:eastAsia="en-US"/>
        </w:rPr>
        <w:t>’s</w:t>
      </w:r>
      <w:r w:rsidR="005D1D3D">
        <w:rPr>
          <w:lang w:val="en-US" w:eastAsia="en-US"/>
        </w:rPr>
        <w:t xml:space="preserve"> ability</w:t>
      </w:r>
      <w:r w:rsidR="000C1111">
        <w:rPr>
          <w:lang w:val="en-US" w:eastAsia="en-US"/>
        </w:rPr>
        <w:t xml:space="preserve"> to </w:t>
      </w:r>
      <w:r w:rsidR="00F33525">
        <w:rPr>
          <w:lang w:val="en-US" w:eastAsia="en-US"/>
        </w:rPr>
        <w:t xml:space="preserve">determine additional matters that the ACMA can disclose, we </w:t>
      </w:r>
      <w:r>
        <w:rPr>
          <w:lang w:val="en-US" w:eastAsia="en-US"/>
        </w:rPr>
        <w:t xml:space="preserve">consider there would be benefit in the </w:t>
      </w:r>
      <w:r w:rsidR="00F36F5D" w:rsidRPr="00B97F82">
        <w:rPr>
          <w:i/>
          <w:iCs/>
          <w:lang w:val="en-US" w:eastAsia="en-US"/>
        </w:rPr>
        <w:t>Telecommunications Legislation Amendment (Statutory Infrastructure Providers and Other Measures) Bill 2022</w:t>
      </w:r>
      <w:r w:rsidR="00F36F5D">
        <w:rPr>
          <w:i/>
          <w:iCs/>
          <w:lang w:val="en-US" w:eastAsia="en-US"/>
        </w:rPr>
        <w:t xml:space="preserve"> </w:t>
      </w:r>
      <w:r w:rsidR="00F36F5D">
        <w:rPr>
          <w:lang w:val="en-US" w:eastAsia="en-US"/>
        </w:rPr>
        <w:t>includ</w:t>
      </w:r>
      <w:r>
        <w:rPr>
          <w:lang w:val="en-US" w:eastAsia="en-US"/>
        </w:rPr>
        <w:t>ing</w:t>
      </w:r>
      <w:r w:rsidR="00F36F5D">
        <w:rPr>
          <w:lang w:val="en-US" w:eastAsia="en-US"/>
        </w:rPr>
        <w:t xml:space="preserve"> a provision which</w:t>
      </w:r>
      <w:r w:rsidR="00F36F5D" w:rsidRPr="00F36F5D">
        <w:rPr>
          <w:lang w:val="en-US" w:eastAsia="en-US"/>
        </w:rPr>
        <w:t xml:space="preserve"> </w:t>
      </w:r>
      <w:r>
        <w:rPr>
          <w:lang w:val="en-US" w:eastAsia="en-US"/>
        </w:rPr>
        <w:t xml:space="preserve">explicitly </w:t>
      </w:r>
      <w:r w:rsidR="00F36F5D">
        <w:rPr>
          <w:lang w:val="en-US" w:eastAsia="en-US"/>
        </w:rPr>
        <w:t>allows</w:t>
      </w:r>
      <w:r w:rsidR="00D27221">
        <w:rPr>
          <w:lang w:val="en-US" w:eastAsia="en-US"/>
        </w:rPr>
        <w:t xml:space="preserve"> for</w:t>
      </w:r>
      <w:r w:rsidR="00F36F5D">
        <w:rPr>
          <w:lang w:val="en-US" w:eastAsia="en-US"/>
        </w:rPr>
        <w:t xml:space="preserve"> the publication of compensation amounts paid for missed service standards.</w:t>
      </w:r>
    </w:p>
    <w:p w14:paraId="2946CE2E" w14:textId="77777777" w:rsidR="00C53DA4" w:rsidRPr="00F36F5D" w:rsidRDefault="00C53DA4" w:rsidP="003965C7">
      <w:pPr>
        <w:rPr>
          <w:lang w:val="en-US" w:eastAsia="en-US"/>
        </w:rPr>
      </w:pPr>
    </w:p>
    <w:p w14:paraId="2B508DD9" w14:textId="40EFBE6E" w:rsidR="005650CF" w:rsidRDefault="000C6ECD" w:rsidP="00B82398">
      <w:pPr>
        <w:pStyle w:val="Heading1"/>
      </w:pPr>
      <w:r>
        <w:lastRenderedPageBreak/>
        <w:t xml:space="preserve">Attachment </w:t>
      </w:r>
      <w:r w:rsidR="00665CEE">
        <w:t>B: Long term changes to the CSG</w:t>
      </w:r>
    </w:p>
    <w:p w14:paraId="6A88B6BD" w14:textId="59759991" w:rsidR="00123492" w:rsidRDefault="00123492" w:rsidP="00123492">
      <w:pPr>
        <w:pStyle w:val="Heading2"/>
      </w:pPr>
      <w:r>
        <w:t xml:space="preserve">Implementing </w:t>
      </w:r>
      <w:r w:rsidR="00902C7C">
        <w:t>appropriate</w:t>
      </w:r>
      <w:r>
        <w:t xml:space="preserve"> SIP Standards, </w:t>
      </w:r>
      <w:proofErr w:type="gramStart"/>
      <w:r>
        <w:t>Rules</w:t>
      </w:r>
      <w:proofErr w:type="gramEnd"/>
      <w:r>
        <w:t xml:space="preserve"> and Benchmarks</w:t>
      </w:r>
    </w:p>
    <w:p w14:paraId="5B9A8781" w14:textId="472B75B8" w:rsidR="00CD1F5E" w:rsidRDefault="00913BE4" w:rsidP="00CD1F5E">
      <w:r>
        <w:t xml:space="preserve">All consumers receiving broadband services should be protected by Statutory Infrastructure Provider standards, </w:t>
      </w:r>
      <w:r w:rsidR="00F81AB7">
        <w:t>rules,</w:t>
      </w:r>
      <w:r>
        <w:t xml:space="preserve"> and benchmarks. </w:t>
      </w:r>
    </w:p>
    <w:p w14:paraId="6E162B8B" w14:textId="04403E5E" w:rsidR="00B6785E" w:rsidRDefault="00B61DF5" w:rsidP="00CD1F5E">
      <w:r>
        <w:t xml:space="preserve">ACCAN regularly hears from consumers and members regarding issues of reliability on broadband networks. </w:t>
      </w:r>
      <w:r w:rsidR="00B67DFA">
        <w:t>Last year,</w:t>
      </w:r>
      <w:r w:rsidR="00B6785E">
        <w:t xml:space="preserve"> </w:t>
      </w:r>
      <w:proofErr w:type="gramStart"/>
      <w:r w:rsidR="00B6785E">
        <w:t>a number of</w:t>
      </w:r>
      <w:proofErr w:type="gramEnd"/>
      <w:r w:rsidR="00B6785E">
        <w:t xml:space="preserve"> reliability issues </w:t>
      </w:r>
      <w:r w:rsidR="00A7774F">
        <w:t xml:space="preserve">made the top 10 issues </w:t>
      </w:r>
      <w:r w:rsidR="006925BD">
        <w:t xml:space="preserve">for internet services </w:t>
      </w:r>
      <w:r w:rsidR="00571148">
        <w:t xml:space="preserve">complaints </w:t>
      </w:r>
      <w:r w:rsidR="006925BD">
        <w:t xml:space="preserve">that the TIO </w:t>
      </w:r>
      <w:r w:rsidR="00571148">
        <w:t>received</w:t>
      </w:r>
      <w:r w:rsidR="006925BD">
        <w:t>, including:</w:t>
      </w:r>
    </w:p>
    <w:p w14:paraId="0932AFBE" w14:textId="2640783D" w:rsidR="006925BD" w:rsidRDefault="00517CBD" w:rsidP="00571148">
      <w:pPr>
        <w:pStyle w:val="Bulletlist1"/>
      </w:pPr>
      <w:r>
        <w:t xml:space="preserve">No or delayed action by provider </w:t>
      </w:r>
      <w:r w:rsidR="000A3B73">
        <w:t>– 43.</w:t>
      </w:r>
      <w:r w:rsidR="002425FC">
        <w:t>1%</w:t>
      </w:r>
    </w:p>
    <w:p w14:paraId="5CDAC7DB" w14:textId="53819464" w:rsidR="002425FC" w:rsidRDefault="002425FC" w:rsidP="00571148">
      <w:pPr>
        <w:pStyle w:val="Bulletlist1"/>
      </w:pPr>
      <w:r>
        <w:t xml:space="preserve">Intermittent service or </w:t>
      </w:r>
      <w:r w:rsidR="00F67472">
        <w:t>dropouts</w:t>
      </w:r>
      <w:r>
        <w:t xml:space="preserve"> </w:t>
      </w:r>
      <w:r w:rsidR="002865A8">
        <w:t>– 29.2%</w:t>
      </w:r>
    </w:p>
    <w:p w14:paraId="62FDE145" w14:textId="0D781448" w:rsidR="002865A8" w:rsidRDefault="002865A8" w:rsidP="00571148">
      <w:pPr>
        <w:pStyle w:val="Bulletlist1"/>
      </w:pPr>
      <w:r>
        <w:t>No phone or internet service – 17.0%</w:t>
      </w:r>
    </w:p>
    <w:p w14:paraId="180A6CB7" w14:textId="1A612A5A" w:rsidR="002865A8" w:rsidRDefault="002865A8" w:rsidP="00571148">
      <w:pPr>
        <w:pStyle w:val="Bulletlist1"/>
      </w:pPr>
      <w:r>
        <w:t>Slow data speed – 15.7%</w:t>
      </w:r>
    </w:p>
    <w:p w14:paraId="2124FB16" w14:textId="50BF2547" w:rsidR="002865A8" w:rsidRDefault="002865A8" w:rsidP="00571148">
      <w:pPr>
        <w:pStyle w:val="Bulletlist1"/>
      </w:pPr>
      <w:r>
        <w:t>Delay establishing a service – 14.2%</w:t>
      </w:r>
    </w:p>
    <w:p w14:paraId="0F83A44F" w14:textId="0D2298B3" w:rsidR="002865A8" w:rsidRDefault="00AD4BC1" w:rsidP="00571148">
      <w:pPr>
        <w:pStyle w:val="Bulletlist1"/>
      </w:pPr>
      <w:r>
        <w:t>Inadequate fault testing – 7.3%</w:t>
      </w:r>
    </w:p>
    <w:p w14:paraId="17CFB767" w14:textId="6E2173C8" w:rsidR="00AD4BC1" w:rsidRDefault="00AD4BC1" w:rsidP="00571148">
      <w:pPr>
        <w:pStyle w:val="Bulletlist1"/>
      </w:pPr>
      <w:r>
        <w:t xml:space="preserve">Missed appointment </w:t>
      </w:r>
      <w:r w:rsidR="004138CF">
        <w:t>–</w:t>
      </w:r>
      <w:r>
        <w:t xml:space="preserve"> </w:t>
      </w:r>
      <w:r w:rsidR="004138CF">
        <w:t>6.8%</w:t>
      </w:r>
      <w:r w:rsidR="006B4FB8">
        <w:rPr>
          <w:rStyle w:val="FootnoteReference"/>
        </w:rPr>
        <w:footnoteReference w:id="7"/>
      </w:r>
    </w:p>
    <w:p w14:paraId="7301A82D" w14:textId="6335C77E" w:rsidR="004138CF" w:rsidRDefault="00571148" w:rsidP="004138CF">
      <w:r>
        <w:t>A significant proportion of the</w:t>
      </w:r>
      <w:r w:rsidR="004138CF">
        <w:t xml:space="preserve"> forementioned issues could be addressed with adequate standards and benchmarks at the network level. </w:t>
      </w:r>
    </w:p>
    <w:p w14:paraId="42FB72E2" w14:textId="22541CB4" w:rsidR="000659BB" w:rsidRDefault="000838D9" w:rsidP="004138CF">
      <w:r>
        <w:t xml:space="preserve">We note that in 2021, the Department consulted on </w:t>
      </w:r>
      <w:r w:rsidR="00AA66C5">
        <w:t xml:space="preserve">a draft </w:t>
      </w:r>
      <w:r w:rsidR="00AA66C5">
        <w:rPr>
          <w:i/>
          <w:iCs/>
        </w:rPr>
        <w:t xml:space="preserve">Telecommunications (Statutory </w:t>
      </w:r>
      <w:r w:rsidR="009A76C4">
        <w:rPr>
          <w:i/>
          <w:iCs/>
        </w:rPr>
        <w:t>Infrastructure</w:t>
      </w:r>
      <w:r w:rsidR="00AA66C5">
        <w:rPr>
          <w:i/>
          <w:iCs/>
        </w:rPr>
        <w:t xml:space="preserve"> Providers – Standards, Rules and Benchmarks) Determination 2021.</w:t>
      </w:r>
      <w:r w:rsidR="00F4488A">
        <w:rPr>
          <w:rStyle w:val="FootnoteReference"/>
          <w:i/>
          <w:iCs/>
        </w:rPr>
        <w:footnoteReference w:id="8"/>
      </w:r>
      <w:r w:rsidR="00AA66C5">
        <w:rPr>
          <w:i/>
          <w:iCs/>
        </w:rPr>
        <w:t xml:space="preserve"> </w:t>
      </w:r>
      <w:r w:rsidR="00443DC8">
        <w:t xml:space="preserve">The draft </w:t>
      </w:r>
      <w:r w:rsidR="00571148">
        <w:t>d</w:t>
      </w:r>
      <w:r w:rsidR="00443DC8">
        <w:t xml:space="preserve">etermination is a significant step forward in ensuring telecommunications services are reliable and </w:t>
      </w:r>
      <w:r w:rsidR="009A76C4">
        <w:t>consumer’s</w:t>
      </w:r>
      <w:r w:rsidR="00443DC8">
        <w:t xml:space="preserve"> expectations are being met regardless of which network </w:t>
      </w:r>
      <w:r w:rsidR="00571148">
        <w:t>serves</w:t>
      </w:r>
      <w:r w:rsidR="00443DC8">
        <w:t xml:space="preserve"> them. We encourage the Department to </w:t>
      </w:r>
      <w:r w:rsidR="00571148">
        <w:t>prioritise progress</w:t>
      </w:r>
      <w:r w:rsidR="006A20F3">
        <w:t xml:space="preserve"> of</w:t>
      </w:r>
      <w:r w:rsidR="00571148">
        <w:t xml:space="preserve"> the</w:t>
      </w:r>
      <w:r w:rsidR="006A20F3">
        <w:t xml:space="preserve"> </w:t>
      </w:r>
      <w:r w:rsidR="009A76C4">
        <w:t>draft determination.</w:t>
      </w:r>
    </w:p>
    <w:p w14:paraId="56AAC027" w14:textId="731C7785" w:rsidR="004C2B80" w:rsidRPr="00443DC8" w:rsidRDefault="00D36ABE" w:rsidP="004138CF">
      <w:r>
        <w:t xml:space="preserve">In setting appropriate standards, </w:t>
      </w:r>
      <w:r w:rsidR="009D4D0C">
        <w:t>the Department should fin</w:t>
      </w:r>
      <w:r w:rsidR="00571148">
        <w:t>d</w:t>
      </w:r>
      <w:r w:rsidR="009D4D0C">
        <w:t xml:space="preserve"> a</w:t>
      </w:r>
      <w:r w:rsidR="00571148">
        <w:t>n appropriate</w:t>
      </w:r>
      <w:r w:rsidR="009D4D0C">
        <w:t xml:space="preserve"> balance between technical limits and consumer need. </w:t>
      </w:r>
      <w:r w:rsidR="00B11FFD">
        <w:t>It is ACCAN</w:t>
      </w:r>
      <w:r w:rsidR="00071435">
        <w:t>’</w:t>
      </w:r>
      <w:r w:rsidR="00B11FFD">
        <w:t xml:space="preserve">s position that the timeframes for connection and fault rectification for broadband services should be closely aligned with the timeframes </w:t>
      </w:r>
      <w:r w:rsidR="00571148">
        <w:t xml:space="preserve">currently </w:t>
      </w:r>
      <w:r w:rsidR="00A27991">
        <w:t xml:space="preserve">set out in the CSG. </w:t>
      </w:r>
      <w:r w:rsidR="005F52F8">
        <w:t>This will ensure that as we progress to different technologies, consumer protections do not weaken.</w:t>
      </w:r>
    </w:p>
    <w:p w14:paraId="7D2EC2FE" w14:textId="302C583C" w:rsidR="002953D8" w:rsidRDefault="002953D8" w:rsidP="002953D8">
      <w:pPr>
        <w:pStyle w:val="Heading2"/>
      </w:pPr>
      <w:r>
        <w:t xml:space="preserve">Expanding </w:t>
      </w:r>
      <w:r w:rsidR="00A71013">
        <w:t xml:space="preserve">CSG </w:t>
      </w:r>
      <w:r>
        <w:t xml:space="preserve">services </w:t>
      </w:r>
      <w:r w:rsidR="00A71013">
        <w:t xml:space="preserve">to include </w:t>
      </w:r>
      <w:proofErr w:type="gramStart"/>
      <w:r w:rsidR="00A71013">
        <w:t>broadband</w:t>
      </w:r>
      <w:proofErr w:type="gramEnd"/>
      <w:r w:rsidR="00A71013">
        <w:t xml:space="preserve"> </w:t>
      </w:r>
    </w:p>
    <w:p w14:paraId="05FB7F64" w14:textId="2B468D96" w:rsidR="002953D8" w:rsidRDefault="00A71013" w:rsidP="002953D8">
      <w:r>
        <w:t xml:space="preserve">The CSG framework should be expanded to include broadband services as well as voice services. </w:t>
      </w:r>
      <w:r w:rsidR="00652641">
        <w:t>This would ensure that o</w:t>
      </w:r>
      <w:r w:rsidR="00491D5B">
        <w:t xml:space="preserve">nce nationwide </w:t>
      </w:r>
      <w:r w:rsidR="004E4E14">
        <w:t xml:space="preserve">wholesale service </w:t>
      </w:r>
      <w:r w:rsidR="005F5832">
        <w:t>standards, rule</w:t>
      </w:r>
      <w:r w:rsidR="00CC10CD">
        <w:t>s</w:t>
      </w:r>
      <w:r w:rsidR="005F5832">
        <w:t xml:space="preserve"> and benchmarks are in place, there</w:t>
      </w:r>
      <w:r w:rsidR="00491D5B">
        <w:t xml:space="preserve"> </w:t>
      </w:r>
      <w:r w:rsidR="00652641">
        <w:t>is</w:t>
      </w:r>
      <w:r w:rsidR="00491D5B">
        <w:t xml:space="preserve"> a transparent streamline</w:t>
      </w:r>
      <w:r w:rsidR="00E548FE">
        <w:t>d</w:t>
      </w:r>
      <w:r w:rsidR="00491D5B">
        <w:t xml:space="preserve"> mechanism that deals with the tension between wholesale and retail end-user obligations.</w:t>
      </w:r>
      <w:r w:rsidR="005F5832">
        <w:t xml:space="preserve"> </w:t>
      </w:r>
      <w:r w:rsidR="00E548FE">
        <w:t xml:space="preserve"> </w:t>
      </w:r>
    </w:p>
    <w:p w14:paraId="025A3E77" w14:textId="2030EFC5" w:rsidR="002953D8" w:rsidRDefault="002953D8" w:rsidP="002D1725">
      <w:r>
        <w:t xml:space="preserve">Timeframes set at the network level create a ceiling for </w:t>
      </w:r>
      <w:r w:rsidR="00E548FE">
        <w:t>retail service providers (</w:t>
      </w:r>
      <w:r w:rsidR="00E548FE">
        <w:rPr>
          <w:b/>
          <w:bCs/>
        </w:rPr>
        <w:t>RSPs</w:t>
      </w:r>
      <w:r w:rsidR="00E548FE">
        <w:t>)</w:t>
      </w:r>
      <w:r>
        <w:t xml:space="preserve"> to make service level commitments yet there is no guarantee that RSPs will match these timeframes. Whilst </w:t>
      </w:r>
      <w:r>
        <w:lastRenderedPageBreak/>
        <w:t>there is competition at the retail level</w:t>
      </w:r>
      <w:r w:rsidR="002F1CDC">
        <w:t xml:space="preserve"> for broadband</w:t>
      </w:r>
      <w:r>
        <w:t xml:space="preserve"> there are certain features of this market which result in weak signals from consumers to RSPs regarding service quality</w:t>
      </w:r>
      <w:r w:rsidR="0066666B">
        <w:t xml:space="preserve"> including information asymmetries, </w:t>
      </w:r>
      <w:r w:rsidR="005561F0">
        <w:t>behavioural</w:t>
      </w:r>
      <w:r w:rsidR="0066666B">
        <w:t xml:space="preserve"> </w:t>
      </w:r>
      <w:r w:rsidR="005561F0">
        <w:t>biases,</w:t>
      </w:r>
      <w:r w:rsidR="0066666B">
        <w:t xml:space="preserve"> and barriers to switching.</w:t>
      </w:r>
      <w:r>
        <w:t xml:space="preserve"> ACCAN encourages the department to look beyond market structure and consider whether the features of the telecommunications market lend it</w:t>
      </w:r>
      <w:r w:rsidR="00BD2959">
        <w:t>self</w:t>
      </w:r>
      <w:r>
        <w:t xml:space="preserve"> to benefiting from regulated retail service level commitments. </w:t>
      </w:r>
    </w:p>
    <w:p w14:paraId="574BF7C8" w14:textId="0D346BE3" w:rsidR="00801013" w:rsidRDefault="00801013" w:rsidP="00801013">
      <w:pPr>
        <w:pStyle w:val="Heading2"/>
      </w:pPr>
      <w:r>
        <w:t>Modernising adverse weather exemptions</w:t>
      </w:r>
    </w:p>
    <w:p w14:paraId="453103F1" w14:textId="151B9CBC" w:rsidR="00DB4A71" w:rsidRDefault="00DB4A71" w:rsidP="00AD2C00">
      <w:r>
        <w:t>The Department should create a framework which appropriately addresses adverse weather exemptions so that consumers can have confidence that everything reasonably possible was done to minimise service disruptions.</w:t>
      </w:r>
    </w:p>
    <w:p w14:paraId="186D9CC9" w14:textId="5FC4B3A5" w:rsidR="00801013" w:rsidRPr="00D5426A" w:rsidRDefault="00053075" w:rsidP="00AD2C00">
      <w:r>
        <w:t>Currently, a</w:t>
      </w:r>
      <w:r w:rsidR="00801013">
        <w:t xml:space="preserve"> </w:t>
      </w:r>
      <w:r w:rsidR="00EF2E2E">
        <w:t>CSP</w:t>
      </w:r>
      <w:r w:rsidR="00801013">
        <w:t xml:space="preserve"> is exempt from complying with a</w:t>
      </w:r>
      <w:r>
        <w:t xml:space="preserve"> CSG</w:t>
      </w:r>
      <w:r w:rsidR="00801013">
        <w:t xml:space="preserve"> performance standard </w:t>
      </w:r>
      <w:r w:rsidR="00DE6F8C">
        <w:t xml:space="preserve">if non-compliance </w:t>
      </w:r>
      <w:r w:rsidR="003C3B5B">
        <w:t>result</w:t>
      </w:r>
      <w:r w:rsidR="00DC151B">
        <w:t>s</w:t>
      </w:r>
      <w:r w:rsidR="00DE6F8C">
        <w:t xml:space="preserve"> from circumstances out of the CSP’s control. </w:t>
      </w:r>
      <w:r w:rsidR="0002294C">
        <w:t>Additionally,</w:t>
      </w:r>
      <w:r w:rsidR="00AD2C00">
        <w:t xml:space="preserve"> a CSP is exempt if they are required to move staff or equipment to areas affected by severe weather conditions</w:t>
      </w:r>
      <w:r w:rsidR="00801013">
        <w:t>.</w:t>
      </w:r>
      <w:r w:rsidR="00801013">
        <w:rPr>
          <w:rStyle w:val="FootnoteReference"/>
        </w:rPr>
        <w:footnoteReference w:id="9"/>
      </w:r>
      <w:r w:rsidR="00801013">
        <w:t xml:space="preserve"> Circumstances beyond the control of the provider may include but are not limited to a natural disaster or extreme weather conditions that cause mass outages of service and restrict connection or fault rectification. </w:t>
      </w:r>
    </w:p>
    <w:p w14:paraId="4024786D" w14:textId="5FC29621" w:rsidR="00801013" w:rsidRDefault="00801013" w:rsidP="00801013">
      <w:r>
        <w:t xml:space="preserve">The Standard does not allow exemption from compliance unless the </w:t>
      </w:r>
      <w:r w:rsidR="00271744">
        <w:t>CSP</w:t>
      </w:r>
      <w:r>
        <w:t xml:space="preserve"> has procedures in place to ensure that the provider does not rely on the exemption in circumstances that are not beyond the control of the provider. </w:t>
      </w:r>
    </w:p>
    <w:p w14:paraId="742F57E6" w14:textId="2128A3CB" w:rsidR="00801013" w:rsidRDefault="00F765E1" w:rsidP="00801013">
      <w:r>
        <w:t>AC</w:t>
      </w:r>
      <w:r w:rsidR="004C452E">
        <w:t>CAN recommends that the adverse weather exemptions be</w:t>
      </w:r>
      <w:r w:rsidR="002B3862">
        <w:t xml:space="preserve"> examined with the aim of</w:t>
      </w:r>
      <w:r w:rsidR="004C452E">
        <w:t xml:space="preserve"> </w:t>
      </w:r>
      <w:r w:rsidR="002B3862">
        <w:t>aligning the framework with best pr</w:t>
      </w:r>
      <w:r w:rsidR="004C452E">
        <w:t>actice</w:t>
      </w:r>
      <w:r w:rsidR="00B17811">
        <w:t xml:space="preserve"> in</w:t>
      </w:r>
      <w:r w:rsidR="00544884">
        <w:t xml:space="preserve"> other regulated</w:t>
      </w:r>
      <w:r w:rsidR="00223C01">
        <w:t xml:space="preserve"> essential service</w:t>
      </w:r>
      <w:r w:rsidR="00544884">
        <w:t xml:space="preserve"> </w:t>
      </w:r>
      <w:r w:rsidR="00223C01">
        <w:t>sectors</w:t>
      </w:r>
      <w:r w:rsidR="004C452E">
        <w:t xml:space="preserve">. </w:t>
      </w:r>
      <w:r w:rsidR="0019771A">
        <w:t xml:space="preserve">For example, </w:t>
      </w:r>
      <w:r w:rsidR="006D0E1F">
        <w:t>in the energy sector for each force majeure event,</w:t>
      </w:r>
      <w:r w:rsidR="007E1CFF">
        <w:t xml:space="preserve"> </w:t>
      </w:r>
      <w:r w:rsidR="00DF6702">
        <w:t>service provider</w:t>
      </w:r>
      <w:r w:rsidR="002B3862">
        <w:t>s</w:t>
      </w:r>
      <w:r w:rsidR="00DF6702">
        <w:t xml:space="preserve"> </w:t>
      </w:r>
      <w:r w:rsidR="007E1CFF">
        <w:t xml:space="preserve">must provide information regarding the steps taken to address the outage, the length of time until the relevant equipment was </w:t>
      </w:r>
      <w:r w:rsidR="00E66F28">
        <w:t>restored</w:t>
      </w:r>
      <w:r w:rsidR="007E1CFF">
        <w:t xml:space="preserve">, what additional steps could have </w:t>
      </w:r>
      <w:r w:rsidR="00E66F28">
        <w:t>been undertaking</w:t>
      </w:r>
      <w:r w:rsidR="007E1CFF">
        <w:t xml:space="preserve"> and the reasons why these actions were not taken.</w:t>
      </w:r>
      <w:r w:rsidR="007E1CFF">
        <w:rPr>
          <w:rStyle w:val="FootnoteReference"/>
        </w:rPr>
        <w:footnoteReference w:id="10"/>
      </w:r>
    </w:p>
    <w:p w14:paraId="00E667B5" w14:textId="427DEEBC" w:rsidR="00721640" w:rsidRDefault="00E66F28" w:rsidP="007D08A0">
      <w:r>
        <w:t>Furthermore, i</w:t>
      </w:r>
      <w:r w:rsidR="00721640">
        <w:t xml:space="preserve">n determining whether to accept or reject a force majeure exclusion claim, </w:t>
      </w:r>
      <w:r>
        <w:t>the A</w:t>
      </w:r>
      <w:r w:rsidR="00EF2E2E">
        <w:t xml:space="preserve">ustralian </w:t>
      </w:r>
      <w:r>
        <w:t>E</w:t>
      </w:r>
      <w:r w:rsidR="00EF2E2E">
        <w:t xml:space="preserve">nergy </w:t>
      </w:r>
      <w:r>
        <w:t>R</w:t>
      </w:r>
      <w:r w:rsidR="00EF2E2E">
        <w:t>egulator (</w:t>
      </w:r>
      <w:r w:rsidR="00EF2E2E">
        <w:rPr>
          <w:b/>
          <w:bCs/>
        </w:rPr>
        <w:t>AER)</w:t>
      </w:r>
      <w:r>
        <w:t xml:space="preserve"> will consider the following:</w:t>
      </w:r>
    </w:p>
    <w:p w14:paraId="14E2CA8F" w14:textId="77777777" w:rsidR="003E2D20" w:rsidRPr="007D08A0" w:rsidRDefault="003E2D20" w:rsidP="007D08A0">
      <w:pPr>
        <w:pStyle w:val="Bulletlist1"/>
      </w:pPr>
      <w:r w:rsidRPr="007D08A0">
        <w:t xml:space="preserve">Was the event unforeseeable and its impact extraordinary, </w:t>
      </w:r>
      <w:proofErr w:type="gramStart"/>
      <w:r w:rsidRPr="007D08A0">
        <w:t>uncontrollable</w:t>
      </w:r>
      <w:proofErr w:type="gramEnd"/>
      <w:r w:rsidRPr="007D08A0">
        <w:t xml:space="preserve"> and not manageable? </w:t>
      </w:r>
    </w:p>
    <w:p w14:paraId="5B8183F3" w14:textId="77777777" w:rsidR="003E2D20" w:rsidRPr="007D08A0" w:rsidRDefault="003E2D20" w:rsidP="007D08A0">
      <w:pPr>
        <w:pStyle w:val="Bulletlist1"/>
      </w:pPr>
      <w:r w:rsidRPr="007D08A0">
        <w:t xml:space="preserve">Does the event occur frequently? If so, how did the impact of the </w:t>
      </w:r>
      <w:proofErr w:type="gramStart"/>
      <w:r w:rsidRPr="007D08A0">
        <w:t>particular event</w:t>
      </w:r>
      <w:proofErr w:type="gramEnd"/>
      <w:r w:rsidRPr="007D08A0">
        <w:t xml:space="preserve"> differ? </w:t>
      </w:r>
    </w:p>
    <w:p w14:paraId="12AFDD5E" w14:textId="71723E73" w:rsidR="003E2D20" w:rsidRPr="007D08A0" w:rsidRDefault="003E2D20" w:rsidP="007D08A0">
      <w:pPr>
        <w:pStyle w:val="Bulletlist1"/>
      </w:pPr>
      <w:r w:rsidRPr="007D08A0">
        <w:t xml:space="preserve">Could the </w:t>
      </w:r>
      <w:r w:rsidR="000C07B8">
        <w:t>network</w:t>
      </w:r>
      <w:r w:rsidRPr="007D08A0">
        <w:t xml:space="preserve">, in practice, have prevented the impact (not necessarily the event itself)? </w:t>
      </w:r>
    </w:p>
    <w:p w14:paraId="31B147F9" w14:textId="7E42DC26" w:rsidR="007D08A0" w:rsidRPr="007D08A0" w:rsidRDefault="003E2D20" w:rsidP="007D08A0">
      <w:pPr>
        <w:pStyle w:val="Bulletlist1"/>
      </w:pPr>
      <w:r>
        <w:t xml:space="preserve">Could the </w:t>
      </w:r>
      <w:r w:rsidR="000C07B8">
        <w:t>network</w:t>
      </w:r>
      <w:r>
        <w:t xml:space="preserve"> have effectively reduced the impact of the event by adopting better practices? </w:t>
      </w:r>
    </w:p>
    <w:p w14:paraId="7C582716" w14:textId="6D50AC90" w:rsidR="00EE7E2A" w:rsidRDefault="009B45CD" w:rsidP="007D08A0">
      <w:r>
        <w:t>T</w:t>
      </w:r>
      <w:r w:rsidR="003E2D20">
        <w:t xml:space="preserve">he AER may reject a force majeure exclusion claim where it considers that the </w:t>
      </w:r>
      <w:r w:rsidR="001E0B6C">
        <w:t>network</w:t>
      </w:r>
      <w:r w:rsidR="003E2D20">
        <w:t xml:space="preserve"> has provided insufficient justification that force majeure applies to the event.</w:t>
      </w:r>
      <w:r w:rsidR="00863151">
        <w:t xml:space="preserve"> </w:t>
      </w:r>
      <w:r w:rsidR="00947B6E">
        <w:t xml:space="preserve">As part of </w:t>
      </w:r>
      <w:r w:rsidR="00146425">
        <w:t xml:space="preserve">a reformed </w:t>
      </w:r>
      <w:r w:rsidR="00947B6E">
        <w:t xml:space="preserve">framework the ACMA should be empowered </w:t>
      </w:r>
      <w:r w:rsidR="005A46F3">
        <w:t xml:space="preserve">to investigate exemption requests to ensure </w:t>
      </w:r>
      <w:r w:rsidR="009B526A">
        <w:t>disruptions</w:t>
      </w:r>
      <w:r w:rsidR="005A46F3">
        <w:t xml:space="preserve"> are legi</w:t>
      </w:r>
      <w:r w:rsidR="009B526A">
        <w:t>timately caused and could not have reasonably been avoided.</w:t>
      </w:r>
    </w:p>
    <w:p w14:paraId="04239CB2" w14:textId="77777777" w:rsidR="00736BAD" w:rsidRPr="007D08A0" w:rsidRDefault="00736BAD" w:rsidP="007D08A0"/>
    <w:p w14:paraId="215284AF" w14:textId="791A057E" w:rsidR="005650CF" w:rsidRDefault="00EE7E2A" w:rsidP="005650CF">
      <w:pPr>
        <w:pStyle w:val="Heading2"/>
      </w:pPr>
      <w:r>
        <w:lastRenderedPageBreak/>
        <w:t>Reviewing</w:t>
      </w:r>
      <w:r w:rsidR="005650CF">
        <w:t xml:space="preserve"> compensation</w:t>
      </w:r>
      <w:r>
        <w:t xml:space="preserve"> amounts</w:t>
      </w:r>
    </w:p>
    <w:p w14:paraId="56B753FA" w14:textId="0E3C31C4" w:rsidR="00553EAE" w:rsidRDefault="004451F7" w:rsidP="00553EAE">
      <w:r>
        <w:t xml:space="preserve">The CSG framework should include an </w:t>
      </w:r>
      <w:r w:rsidR="00553EAE">
        <w:t xml:space="preserve">appropriate level of compensation to accurately account for the cost to consumers and small businesses of not being connected to voice or broadband networks. </w:t>
      </w:r>
    </w:p>
    <w:p w14:paraId="0AAD3B04" w14:textId="7B5A2746" w:rsidR="00FD3454" w:rsidRDefault="0019256B" w:rsidP="005650CF">
      <w:r>
        <w:t>ACCAN considers that the Department should set the level of compensation</w:t>
      </w:r>
      <w:r w:rsidR="00F22F16">
        <w:t xml:space="preserve"> based on </w:t>
      </w:r>
      <w:r w:rsidR="00113410">
        <w:t>evidence</w:t>
      </w:r>
      <w:r w:rsidR="00BD2378">
        <w:t>. For example, i</w:t>
      </w:r>
      <w:r w:rsidR="00FD3454">
        <w:t xml:space="preserve">n 2017, </w:t>
      </w:r>
      <w:proofErr w:type="spellStart"/>
      <w:r w:rsidR="00B158FA">
        <w:t>Ofcom</w:t>
      </w:r>
      <w:proofErr w:type="spellEnd"/>
      <w:r w:rsidR="00B158FA">
        <w:t xml:space="preserve"> set appropriate compensation amounts informed by three separate types of survey evidence:</w:t>
      </w:r>
    </w:p>
    <w:p w14:paraId="23473D81" w14:textId="277AFA2E" w:rsidR="00113410" w:rsidRDefault="00113410" w:rsidP="00113389">
      <w:pPr>
        <w:pStyle w:val="Bulletlist1"/>
      </w:pPr>
      <w:r w:rsidRPr="00113389">
        <w:rPr>
          <w:b/>
          <w:bCs/>
        </w:rPr>
        <w:t>Reasonable compensation</w:t>
      </w:r>
      <w:r>
        <w:t xml:space="preserve"> </w:t>
      </w:r>
      <w:r w:rsidR="00B158FA">
        <w:t xml:space="preserve">– consumers who had experienced service quality problems </w:t>
      </w:r>
      <w:r w:rsidR="00113389">
        <w:t xml:space="preserve">were asked </w:t>
      </w:r>
      <w:r w:rsidR="00B158FA">
        <w:t xml:space="preserve">what level of compensation would have been enough to compensate them for that problem. </w:t>
      </w:r>
    </w:p>
    <w:p w14:paraId="0FB2212E" w14:textId="0150CACF" w:rsidR="00B158FA" w:rsidRDefault="00B158FA" w:rsidP="00113389">
      <w:pPr>
        <w:pStyle w:val="Bulletlist1"/>
      </w:pPr>
      <w:r w:rsidRPr="00113389">
        <w:rPr>
          <w:b/>
          <w:bCs/>
        </w:rPr>
        <w:t>Willingness to Pay</w:t>
      </w:r>
      <w:r>
        <w:t xml:space="preserve"> –</w:t>
      </w:r>
      <w:r w:rsidR="00113389">
        <w:t>R</w:t>
      </w:r>
      <w:r>
        <w:t xml:space="preserve">espondents </w:t>
      </w:r>
      <w:r w:rsidR="00113389">
        <w:t xml:space="preserve">were asked </w:t>
      </w:r>
      <w:r>
        <w:t xml:space="preserve">to </w:t>
      </w:r>
      <w:r w:rsidR="00113389">
        <w:t>imagine</w:t>
      </w:r>
      <w:r>
        <w:t xml:space="preserve"> they had experienced a </w:t>
      </w:r>
      <w:r w:rsidR="0086521C">
        <w:t>specific</w:t>
      </w:r>
      <w:r>
        <w:t xml:space="preserve"> service quality problem and then to report how much they would be willing to pay for faster repair or provisioning. </w:t>
      </w:r>
    </w:p>
    <w:p w14:paraId="43D7370B" w14:textId="07F6608A" w:rsidR="00B158FA" w:rsidRDefault="00B158FA" w:rsidP="00113389">
      <w:pPr>
        <w:pStyle w:val="Bulletlist1"/>
      </w:pPr>
      <w:r w:rsidRPr="00113389">
        <w:rPr>
          <w:b/>
          <w:bCs/>
        </w:rPr>
        <w:t>Component based</w:t>
      </w:r>
      <w:r>
        <w:t xml:space="preserve"> </w:t>
      </w:r>
      <w:r w:rsidR="00BA086B">
        <w:t>–survey responses</w:t>
      </w:r>
      <w:r w:rsidR="005A0C47">
        <w:t xml:space="preserve"> were used</w:t>
      </w:r>
      <w:r w:rsidR="00BA086B">
        <w:t xml:space="preserve"> to estimate individual components of harm (such as time spent to restore the service) and </w:t>
      </w:r>
      <w:r w:rsidR="005A0C47">
        <w:t xml:space="preserve">then </w:t>
      </w:r>
      <w:r w:rsidR="00BA086B">
        <w:t>combine</w:t>
      </w:r>
      <w:r w:rsidR="005A0C47">
        <w:t>d</w:t>
      </w:r>
      <w:r w:rsidR="00BA086B">
        <w:t xml:space="preserve"> to create a final </w:t>
      </w:r>
      <w:r w:rsidR="00C3080C">
        <w:t>estimate</w:t>
      </w:r>
      <w:r w:rsidR="00BA086B">
        <w:t xml:space="preserve">. </w:t>
      </w:r>
    </w:p>
    <w:p w14:paraId="70ED82DD" w14:textId="3E612DC3" w:rsidR="00DD66C4" w:rsidRPr="00D22946" w:rsidRDefault="00C3080C" w:rsidP="00B82398">
      <w:proofErr w:type="spellStart"/>
      <w:r>
        <w:t>Ofcom’s</w:t>
      </w:r>
      <w:proofErr w:type="spellEnd"/>
      <w:r>
        <w:t xml:space="preserve"> estimate was also informed by benchmarks across other essential </w:t>
      </w:r>
      <w:r w:rsidR="00200F33">
        <w:t>services</w:t>
      </w:r>
      <w:r>
        <w:t xml:space="preserve"> and international </w:t>
      </w:r>
      <w:r w:rsidR="003472BA">
        <w:t>communication sectors.</w:t>
      </w:r>
      <w:r w:rsidR="007D28B1">
        <w:rPr>
          <w:rStyle w:val="FootnoteReference"/>
        </w:rPr>
        <w:footnoteReference w:id="11"/>
      </w:r>
      <w:r w:rsidR="00FD062D">
        <w:t xml:space="preserve">ACCAN </w:t>
      </w:r>
      <w:r w:rsidR="005C3175">
        <w:t xml:space="preserve">considers that the Bureau of Communications, Arts and Regional Research could conduct </w:t>
      </w:r>
      <w:r w:rsidR="005A0C47">
        <w:t xml:space="preserve">similar </w:t>
      </w:r>
      <w:r w:rsidR="005C3175">
        <w:t>stud</w:t>
      </w:r>
      <w:r w:rsidR="005A0C47">
        <w:t>ies</w:t>
      </w:r>
      <w:r w:rsidR="005C3175">
        <w:t xml:space="preserve"> to inform appropriate future compensation amounts. </w:t>
      </w:r>
    </w:p>
    <w:p w14:paraId="13096187" w14:textId="77777777" w:rsidR="00DC13F4" w:rsidRDefault="00BA4AB0" w:rsidP="000C6ECD">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2"/>
      <w:footerReference w:type="default" r:id="rId23"/>
      <w:headerReference w:type="firs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3D1A" w14:textId="77777777" w:rsidR="00425272" w:rsidRDefault="00425272">
      <w:pPr>
        <w:spacing w:after="0" w:line="240" w:lineRule="auto"/>
      </w:pPr>
      <w:r>
        <w:separator/>
      </w:r>
    </w:p>
  </w:endnote>
  <w:endnote w:type="continuationSeparator" w:id="0">
    <w:p w14:paraId="525A7D42" w14:textId="77777777" w:rsidR="00425272" w:rsidRDefault="00425272">
      <w:pPr>
        <w:spacing w:after="0" w:line="240" w:lineRule="auto"/>
      </w:pPr>
      <w:r>
        <w:continuationSeparator/>
      </w:r>
    </w:p>
  </w:endnote>
  <w:endnote w:type="continuationNotice" w:id="1">
    <w:p w14:paraId="0E3C214E" w14:textId="77777777" w:rsidR="00425272" w:rsidRDefault="004252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8A7431E-8F88-4DD5-81D4-EED5E874415A}"/>
    <w:embedBold r:id="rId2" w:fontKey="{C6A771E5-91EB-44BF-9D1F-58D537307314}"/>
    <w:embedItalic r:id="rId3" w:fontKey="{6A5A008D-7D21-4FE3-AC95-78190D1E6917}"/>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F461E59-F312-40DF-A5B0-0E91EE12982B}"/>
  </w:font>
  <w:font w:name="Gotham">
    <w:altName w:val="Calibri"/>
    <w:panose1 w:val="02000604040000020004"/>
    <w:charset w:val="00"/>
    <w:family w:val="auto"/>
    <w:pitch w:val="variable"/>
    <w:sig w:usb0="800000A7" w:usb1="00000000" w:usb2="00000000" w:usb3="00000000" w:csb0="00000009" w:csb1="00000000"/>
    <w:embedBold r:id="rId5" w:fontKey="{56813AB9-F90F-4D82-8435-CBB341B8AA0C}"/>
    <w:embedBoldItalic r:id="rId6" w:fontKey="{725338CA-6C87-4159-8C95-E50A8F5F88FC}"/>
  </w:font>
  <w:font w:name="Gotham Black">
    <w:altName w:val="Calibri"/>
    <w:panose1 w:val="02000603040000020004"/>
    <w:charset w:val="00"/>
    <w:family w:val="auto"/>
    <w:pitch w:val="variable"/>
    <w:sig w:usb0="A00000AF" w:usb1="40000048" w:usb2="00000000" w:usb3="00000000" w:csb0="00000111" w:csb1="00000000"/>
    <w:embedRegular r:id="rId7" w:fontKey="{B507C6EB-1712-4580-9E49-9313773BEC83}"/>
  </w:font>
  <w:font w:name="Cambria">
    <w:panose1 w:val="02040503050406030204"/>
    <w:charset w:val="00"/>
    <w:family w:val="roman"/>
    <w:pitch w:val="variable"/>
    <w:sig w:usb0="E00006FF" w:usb1="420024FF" w:usb2="02000000" w:usb3="00000000" w:csb0="0000019F" w:csb1="00000000"/>
    <w:embedRegular r:id="rId8" w:fontKey="{E6B09A8F-031F-49FC-870F-83AC05FD07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25D18A" w14:paraId="63ABB1B3" w14:textId="77777777" w:rsidTr="4E25D18A">
      <w:trPr>
        <w:trHeight w:val="300"/>
      </w:trPr>
      <w:tc>
        <w:tcPr>
          <w:tcW w:w="3005" w:type="dxa"/>
        </w:tcPr>
        <w:p w14:paraId="3D20BD77" w14:textId="66C59A70" w:rsidR="4E25D18A" w:rsidRDefault="4E25D18A" w:rsidP="4E25D18A">
          <w:pPr>
            <w:pStyle w:val="Header"/>
            <w:ind w:left="-115"/>
          </w:pPr>
        </w:p>
      </w:tc>
      <w:tc>
        <w:tcPr>
          <w:tcW w:w="3005" w:type="dxa"/>
        </w:tcPr>
        <w:p w14:paraId="19266489" w14:textId="15AC2F6E" w:rsidR="4E25D18A" w:rsidRDefault="4E25D18A" w:rsidP="4E25D18A">
          <w:pPr>
            <w:pStyle w:val="Header"/>
            <w:jc w:val="center"/>
          </w:pPr>
        </w:p>
      </w:tc>
      <w:tc>
        <w:tcPr>
          <w:tcW w:w="3005" w:type="dxa"/>
        </w:tcPr>
        <w:p w14:paraId="29DA836B" w14:textId="6E6BE49D" w:rsidR="4E25D18A" w:rsidRDefault="4E25D18A" w:rsidP="4E25D18A">
          <w:pPr>
            <w:pStyle w:val="Header"/>
            <w:ind w:right="-115"/>
            <w:jc w:val="right"/>
          </w:pPr>
        </w:p>
      </w:tc>
    </w:tr>
  </w:tbl>
  <w:p w14:paraId="27984C57" w14:textId="676B6344" w:rsidR="4E25D18A" w:rsidRDefault="4E25D18A" w:rsidP="4E25D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7C0B" w14:textId="77777777" w:rsidR="00425272" w:rsidRDefault="00425272">
      <w:pPr>
        <w:spacing w:after="0" w:line="240" w:lineRule="auto"/>
      </w:pPr>
      <w:r>
        <w:separator/>
      </w:r>
    </w:p>
  </w:footnote>
  <w:footnote w:type="continuationSeparator" w:id="0">
    <w:p w14:paraId="00A72E93" w14:textId="77777777" w:rsidR="00425272" w:rsidRDefault="00425272">
      <w:pPr>
        <w:spacing w:after="0" w:line="240" w:lineRule="auto"/>
      </w:pPr>
      <w:r>
        <w:continuationSeparator/>
      </w:r>
    </w:p>
  </w:footnote>
  <w:footnote w:type="continuationNotice" w:id="1">
    <w:p w14:paraId="611FB3B8" w14:textId="77777777" w:rsidR="00425272" w:rsidRDefault="00425272">
      <w:pPr>
        <w:spacing w:after="0" w:line="240" w:lineRule="auto"/>
      </w:pPr>
    </w:p>
  </w:footnote>
  <w:footnote w:id="2">
    <w:p w14:paraId="73BABD9A" w14:textId="591E58B6" w:rsidR="00907E53" w:rsidRPr="00E25938" w:rsidRDefault="00907E53">
      <w:pPr>
        <w:pStyle w:val="FootnoteText"/>
        <w:rPr>
          <w:lang w:val="en-US"/>
        </w:rPr>
      </w:pPr>
      <w:r>
        <w:rPr>
          <w:rStyle w:val="FootnoteReference"/>
        </w:rPr>
        <w:footnoteRef/>
      </w:r>
      <w:r w:rsidR="0013171A">
        <w:t xml:space="preserve"> ACMA,</w:t>
      </w:r>
      <w:r w:rsidR="004711C5">
        <w:t xml:space="preserve"> 2020,</w:t>
      </w:r>
      <w:r w:rsidR="0013171A">
        <w:t xml:space="preserve"> </w:t>
      </w:r>
      <w:r w:rsidR="0013171A" w:rsidRPr="00E25938">
        <w:rPr>
          <w:i/>
          <w:iCs/>
        </w:rPr>
        <w:t>Communications repo</w:t>
      </w:r>
      <w:r w:rsidR="004711C5">
        <w:rPr>
          <w:i/>
          <w:iCs/>
        </w:rPr>
        <w:t>r</w:t>
      </w:r>
      <w:r w:rsidR="0013171A" w:rsidRPr="00E25938">
        <w:rPr>
          <w:i/>
          <w:iCs/>
        </w:rPr>
        <w:t>t 18-19 Chapter 4 Data files</w:t>
      </w:r>
      <w:r w:rsidR="0013171A">
        <w:t>,</w:t>
      </w:r>
      <w:r>
        <w:t xml:space="preserve"> </w:t>
      </w:r>
      <w:hyperlink r:id="rId1" w:history="1">
        <w:r w:rsidR="0013171A" w:rsidRPr="006B5545">
          <w:rPr>
            <w:rStyle w:val="Hyperlink"/>
          </w:rPr>
          <w:t>https://www.acma.gov.au/publications/2020-02/report/communications-report-2018-19</w:t>
        </w:r>
      </w:hyperlink>
      <w:r w:rsidR="0013171A">
        <w:t xml:space="preserve"> [accessed 15/03/2023</w:t>
      </w:r>
      <w:r w:rsidR="004711C5">
        <w:t xml:space="preserve">]. </w:t>
      </w:r>
    </w:p>
  </w:footnote>
  <w:footnote w:id="3">
    <w:p w14:paraId="65BCD010" w14:textId="198A9C52" w:rsidR="0015714B" w:rsidRPr="0015714B" w:rsidRDefault="0015714B">
      <w:pPr>
        <w:pStyle w:val="FootnoteText"/>
        <w:rPr>
          <w:lang w:val="en-US"/>
        </w:rPr>
      </w:pPr>
      <w:r>
        <w:rPr>
          <w:rStyle w:val="FootnoteReference"/>
        </w:rPr>
        <w:footnoteRef/>
      </w:r>
      <w:r>
        <w:t xml:space="preserve"> Telstra, ‘Network Reliability Framework for fixed voice services’,</w:t>
      </w:r>
      <w:r w:rsidR="003332E6">
        <w:t xml:space="preserve"> </w:t>
      </w:r>
      <w:hyperlink r:id="rId2" w:history="1">
        <w:r w:rsidR="003332E6" w:rsidRPr="006B5545">
          <w:rPr>
            <w:rStyle w:val="Hyperlink"/>
          </w:rPr>
          <w:t>https://www.telstra.com.au/consumer-advice/customer-service/network-reliability</w:t>
        </w:r>
      </w:hyperlink>
      <w:r>
        <w:t xml:space="preserve"> </w:t>
      </w:r>
      <w:r w:rsidR="00446E08">
        <w:t>[accessed</w:t>
      </w:r>
      <w:r>
        <w:t xml:space="preserve"> </w:t>
      </w:r>
      <w:r w:rsidR="00446E08">
        <w:t>15/03/2023].</w:t>
      </w:r>
    </w:p>
  </w:footnote>
  <w:footnote w:id="4">
    <w:p w14:paraId="4E59B639" w14:textId="56A3236D" w:rsidR="00E95152" w:rsidRPr="00223C01" w:rsidRDefault="00E95152">
      <w:pPr>
        <w:pStyle w:val="FootnoteText"/>
        <w:rPr>
          <w:lang w:val="en-US"/>
        </w:rPr>
      </w:pPr>
      <w:r>
        <w:rPr>
          <w:rStyle w:val="FootnoteReference"/>
        </w:rPr>
        <w:footnoteRef/>
      </w:r>
      <w:r>
        <w:t xml:space="preserve"> </w:t>
      </w:r>
      <w:r w:rsidRPr="00E95152">
        <w:t>Schedule 1</w:t>
      </w:r>
      <w:r>
        <w:t xml:space="preserve">, </w:t>
      </w:r>
      <w:r w:rsidRPr="00E95152">
        <w:t>Telecommunications (Customer Service Guarantee) Record-Keeping Rules 2011</w:t>
      </w:r>
      <w:r>
        <w:t>.</w:t>
      </w:r>
    </w:p>
  </w:footnote>
  <w:footnote w:id="5">
    <w:p w14:paraId="6CD2015D" w14:textId="336D7D04" w:rsidR="00396B95" w:rsidRDefault="00396B95">
      <w:pPr>
        <w:pStyle w:val="FootnoteText"/>
      </w:pPr>
      <w:r>
        <w:rPr>
          <w:rStyle w:val="FootnoteReference"/>
        </w:rPr>
        <w:footnoteRef/>
      </w:r>
      <w:r>
        <w:t xml:space="preserve"> </w:t>
      </w:r>
      <w:r w:rsidR="000C5066" w:rsidRPr="00EE0994">
        <w:rPr>
          <w:i/>
          <w:iCs/>
        </w:rPr>
        <w:t>Communications Legislation Amendment (Deregulation and Other Measures) Act 2019</w:t>
      </w:r>
      <w:r w:rsidR="000C5066">
        <w:t xml:space="preserve">. </w:t>
      </w:r>
    </w:p>
  </w:footnote>
  <w:footnote w:id="6">
    <w:p w14:paraId="01689CB7" w14:textId="3686C9A0" w:rsidR="00396B95" w:rsidRDefault="00396B95">
      <w:pPr>
        <w:pStyle w:val="FootnoteText"/>
      </w:pPr>
      <w:r>
        <w:rPr>
          <w:rStyle w:val="FootnoteReference"/>
        </w:rPr>
        <w:footnoteRef/>
      </w:r>
      <w:r w:rsidR="00B97F82">
        <w:t xml:space="preserve"> </w:t>
      </w:r>
      <w:r w:rsidR="00B97F82" w:rsidRPr="00EE0994">
        <w:rPr>
          <w:i/>
          <w:iCs/>
        </w:rPr>
        <w:t>Telecommunications Legislation Amendment (Statutory Infrastructure Provides and Other Measures) Bill 2022 Exposure Draft</w:t>
      </w:r>
      <w:r w:rsidR="00B97F82">
        <w:t>.</w:t>
      </w:r>
    </w:p>
  </w:footnote>
  <w:footnote w:id="7">
    <w:p w14:paraId="1463BDC3" w14:textId="3B06077E" w:rsidR="006B4FB8" w:rsidRPr="006B4FB8" w:rsidRDefault="006B4FB8">
      <w:pPr>
        <w:pStyle w:val="FootnoteText"/>
      </w:pPr>
      <w:r>
        <w:rPr>
          <w:rStyle w:val="FootnoteReference"/>
        </w:rPr>
        <w:footnoteRef/>
      </w:r>
      <w:r>
        <w:t xml:space="preserve"> Telecommunications Industry Ombudsman, 2022, </w:t>
      </w:r>
      <w:r>
        <w:rPr>
          <w:i/>
          <w:iCs/>
        </w:rPr>
        <w:t>Annual Report,</w:t>
      </w:r>
      <w:r>
        <w:t xml:space="preserve"> </w:t>
      </w:r>
      <w:hyperlink r:id="rId3" w:history="1">
        <w:r w:rsidRPr="006956AF">
          <w:rPr>
            <w:rStyle w:val="Hyperlink"/>
          </w:rPr>
          <w:t>https://www.tio.com.au/sites/default/files/2022-09/4097_TIO_AR_22_FA-WEB.pdf</w:t>
        </w:r>
      </w:hyperlink>
      <w:r w:rsidR="00FB3B5D">
        <w:t xml:space="preserve"> [Accessed 23/03/2023].</w:t>
      </w:r>
    </w:p>
  </w:footnote>
  <w:footnote w:id="8">
    <w:p w14:paraId="59B30320" w14:textId="1897D24A" w:rsidR="00F4488A" w:rsidRPr="00F4488A" w:rsidRDefault="00F4488A">
      <w:pPr>
        <w:pStyle w:val="FootnoteText"/>
        <w:rPr>
          <w:lang w:val="en-US"/>
        </w:rPr>
      </w:pPr>
      <w:r>
        <w:rPr>
          <w:rStyle w:val="FootnoteReference"/>
        </w:rPr>
        <w:footnoteRef/>
      </w:r>
      <w:r>
        <w:t xml:space="preserve"> Department of Infrastructure, Transport, Regional Development and Communications, 2021, </w:t>
      </w:r>
      <w:r>
        <w:rPr>
          <w:i/>
          <w:iCs/>
        </w:rPr>
        <w:t xml:space="preserve">Telecommunications (Statutory Infrastructure Providers – Standards, Rules and Benchmarks) Determination 2021 consultation paper, </w:t>
      </w:r>
      <w:hyperlink r:id="rId4" w:history="1">
        <w:r w:rsidRPr="00F4488A">
          <w:rPr>
            <w:rStyle w:val="Hyperlink"/>
          </w:rPr>
          <w:t>https://www.infrastructure.gov.au/sites/default/files/documents/consultation-paper-telecommunications-statutory-infrastructure-providers-standards-rules-and-benchmarks-determination-2021.pdf</w:t>
        </w:r>
      </w:hyperlink>
      <w:r>
        <w:t xml:space="preserve"> [Accessed 16/03/2023].</w:t>
      </w:r>
      <w:r w:rsidRPr="00F4488A">
        <w:t xml:space="preserve"> </w:t>
      </w:r>
    </w:p>
  </w:footnote>
  <w:footnote w:id="9">
    <w:p w14:paraId="1B592073" w14:textId="6BF1D13E" w:rsidR="00801013" w:rsidRPr="00E25938" w:rsidRDefault="00801013" w:rsidP="00801013">
      <w:pPr>
        <w:pStyle w:val="FootnoteText"/>
        <w:rPr>
          <w:lang w:val="en-US"/>
        </w:rPr>
      </w:pPr>
      <w:r>
        <w:rPr>
          <w:rStyle w:val="FootnoteReference"/>
        </w:rPr>
        <w:footnoteRef/>
      </w:r>
      <w:r>
        <w:t xml:space="preserve"> </w:t>
      </w:r>
      <w:r w:rsidRPr="002B5402">
        <w:rPr>
          <w:i/>
          <w:iCs/>
        </w:rPr>
        <w:t>Telecommunications (Customer Service Guarantee) Standard 2011</w:t>
      </w:r>
      <w:r>
        <w:rPr>
          <w:i/>
          <w:iCs/>
        </w:rPr>
        <w:t xml:space="preserve">, </w:t>
      </w:r>
      <w:r>
        <w:rPr>
          <w:lang w:val="en-US"/>
        </w:rPr>
        <w:t>Section 21(1).</w:t>
      </w:r>
    </w:p>
  </w:footnote>
  <w:footnote w:id="10">
    <w:p w14:paraId="055DAC88" w14:textId="1FE6B162" w:rsidR="007E1CFF" w:rsidRDefault="007E1CFF">
      <w:pPr>
        <w:pStyle w:val="FootnoteText"/>
      </w:pPr>
      <w:r>
        <w:rPr>
          <w:rStyle w:val="FootnoteReference"/>
        </w:rPr>
        <w:footnoteRef/>
      </w:r>
      <w:r>
        <w:t xml:space="preserve"> </w:t>
      </w:r>
      <w:r w:rsidR="003007F3">
        <w:t xml:space="preserve">AER, 2015, </w:t>
      </w:r>
      <w:r w:rsidR="003007F3">
        <w:rPr>
          <w:i/>
          <w:iCs/>
        </w:rPr>
        <w:t xml:space="preserve">Service target performance incentive scheme version 5, </w:t>
      </w:r>
      <w:hyperlink r:id="rId5" w:history="1">
        <w:r w:rsidR="003007F3" w:rsidRPr="006956AF">
          <w:rPr>
            <w:rStyle w:val="Hyperlink"/>
          </w:rPr>
          <w:t>https://www.aer.gov.au/system/files/AER%20-%20STPIS%20version%205%20%28corrected%29%20-%2030%20September%202015.pdf</w:t>
        </w:r>
      </w:hyperlink>
      <w:r w:rsidR="00CD5624">
        <w:t xml:space="preserve"> </w:t>
      </w:r>
      <w:r w:rsidR="003007F3">
        <w:t>[accessed 23/03/2023].</w:t>
      </w:r>
    </w:p>
  </w:footnote>
  <w:footnote w:id="11">
    <w:p w14:paraId="1A50D300" w14:textId="19B30DDA" w:rsidR="007D28B1" w:rsidRDefault="007D28B1">
      <w:pPr>
        <w:pStyle w:val="FootnoteText"/>
      </w:pPr>
      <w:r>
        <w:rPr>
          <w:rStyle w:val="FootnoteReference"/>
        </w:rPr>
        <w:footnoteRef/>
      </w:r>
      <w:r>
        <w:t xml:space="preserve"> </w:t>
      </w:r>
      <w:proofErr w:type="spellStart"/>
      <w:r>
        <w:t>Ofcom</w:t>
      </w:r>
      <w:proofErr w:type="spellEnd"/>
      <w:r w:rsidR="00FD062D">
        <w:t xml:space="preserve">, 2017, </w:t>
      </w:r>
      <w:r w:rsidR="00FD062D" w:rsidRPr="00200F33">
        <w:rPr>
          <w:i/>
          <w:iCs/>
        </w:rPr>
        <w:t>Automatic compensation. Protecting consumers from service quality problems</w:t>
      </w:r>
      <w:r w:rsidR="007B5DC5">
        <w:rPr>
          <w:i/>
          <w:iCs/>
        </w:rPr>
        <w:t>,</w:t>
      </w:r>
      <w:r w:rsidR="00FD062D" w:rsidRPr="00200F33">
        <w:rPr>
          <w:i/>
          <w:iCs/>
        </w:rPr>
        <w:t xml:space="preserve"> </w:t>
      </w:r>
      <w:r w:rsidRPr="00200F33">
        <w:rPr>
          <w:i/>
          <w:iCs/>
        </w:rPr>
        <w:t xml:space="preserve"> </w:t>
      </w:r>
      <w:hyperlink r:id="rId6" w:history="1">
        <w:r w:rsidR="00FD062D" w:rsidRPr="006B5545">
          <w:rPr>
            <w:rStyle w:val="Hyperlink"/>
          </w:rPr>
          <w:t>https://www.ofcom.org.uk/__data/assets/pdf_file/0026/107693/Statement-automatic-compensation.pdf</w:t>
        </w:r>
      </w:hyperlink>
      <w:r w:rsidR="0046734B">
        <w:t xml:space="preserve"> [Accessed 23/03/2023].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55B418"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E25D18A" w14:paraId="74C9AA97" w14:textId="77777777" w:rsidTr="4E25D18A">
      <w:trPr>
        <w:trHeight w:val="300"/>
      </w:trPr>
      <w:tc>
        <w:tcPr>
          <w:tcW w:w="3005" w:type="dxa"/>
        </w:tcPr>
        <w:p w14:paraId="69FDE724" w14:textId="41F4DBB9" w:rsidR="4E25D18A" w:rsidRDefault="4E25D18A" w:rsidP="4E25D18A">
          <w:pPr>
            <w:pStyle w:val="Header"/>
            <w:ind w:left="-115"/>
          </w:pPr>
        </w:p>
      </w:tc>
      <w:tc>
        <w:tcPr>
          <w:tcW w:w="3005" w:type="dxa"/>
        </w:tcPr>
        <w:p w14:paraId="27EF7053" w14:textId="7F66242F" w:rsidR="4E25D18A" w:rsidRDefault="4E25D18A" w:rsidP="4E25D18A">
          <w:pPr>
            <w:pStyle w:val="Header"/>
            <w:jc w:val="center"/>
          </w:pPr>
        </w:p>
      </w:tc>
      <w:tc>
        <w:tcPr>
          <w:tcW w:w="3005" w:type="dxa"/>
        </w:tcPr>
        <w:p w14:paraId="7B2A740B" w14:textId="3EA89088" w:rsidR="4E25D18A" w:rsidRDefault="4E25D18A" w:rsidP="4E25D18A">
          <w:pPr>
            <w:pStyle w:val="Header"/>
            <w:ind w:right="-115"/>
            <w:jc w:val="right"/>
          </w:pPr>
        </w:p>
      </w:tc>
    </w:tr>
  </w:tbl>
  <w:p w14:paraId="12992A46" w14:textId="27684277" w:rsidR="4E25D18A" w:rsidRDefault="4E25D18A" w:rsidP="4E25D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C1063"/>
    <w:multiLevelType w:val="hybridMultilevel"/>
    <w:tmpl w:val="DAF0C3B6"/>
    <w:lvl w:ilvl="0" w:tplc="D2FC9CE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2" w15:restartNumberingAfterBreak="0">
    <w:nsid w:val="337C5FB2"/>
    <w:multiLevelType w:val="multilevel"/>
    <w:tmpl w:val="6AFEEB4C"/>
    <w:numStyleLink w:val="Bullets"/>
  </w:abstractNum>
  <w:abstractNum w:abstractNumId="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4" w15:restartNumberingAfterBreak="0">
    <w:nsid w:val="59722D6D"/>
    <w:multiLevelType w:val="hybridMultilevel"/>
    <w:tmpl w:val="F59AD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067259C"/>
    <w:multiLevelType w:val="hybridMultilevel"/>
    <w:tmpl w:val="6A140C6E"/>
    <w:lvl w:ilvl="0" w:tplc="0B8C708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592771">
    <w:abstractNumId w:val="1"/>
  </w:num>
  <w:num w:numId="2" w16cid:durableId="1705908320">
    <w:abstractNumId w:val="2"/>
  </w:num>
  <w:num w:numId="3" w16cid:durableId="195047647">
    <w:abstractNumId w:val="3"/>
  </w:num>
  <w:num w:numId="4" w16cid:durableId="926428745">
    <w:abstractNumId w:val="4"/>
  </w:num>
  <w:num w:numId="5" w16cid:durableId="83233248">
    <w:abstractNumId w:val="5"/>
  </w:num>
  <w:num w:numId="6" w16cid:durableId="133086357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1B63"/>
    <w:rsid w:val="00002592"/>
    <w:rsid w:val="00002736"/>
    <w:rsid w:val="00002A84"/>
    <w:rsid w:val="000039D9"/>
    <w:rsid w:val="00004871"/>
    <w:rsid w:val="000055AA"/>
    <w:rsid w:val="00006849"/>
    <w:rsid w:val="00006AAB"/>
    <w:rsid w:val="00006C00"/>
    <w:rsid w:val="0001160C"/>
    <w:rsid w:val="000122DF"/>
    <w:rsid w:val="000130E1"/>
    <w:rsid w:val="00014E08"/>
    <w:rsid w:val="0001751C"/>
    <w:rsid w:val="00017FF5"/>
    <w:rsid w:val="00020140"/>
    <w:rsid w:val="0002144A"/>
    <w:rsid w:val="0002178D"/>
    <w:rsid w:val="000217FD"/>
    <w:rsid w:val="000218CC"/>
    <w:rsid w:val="00021EEE"/>
    <w:rsid w:val="00022392"/>
    <w:rsid w:val="0002294C"/>
    <w:rsid w:val="00022D35"/>
    <w:rsid w:val="000244D8"/>
    <w:rsid w:val="00024E5A"/>
    <w:rsid w:val="00025032"/>
    <w:rsid w:val="00025FC3"/>
    <w:rsid w:val="00026F68"/>
    <w:rsid w:val="00027A87"/>
    <w:rsid w:val="00030D26"/>
    <w:rsid w:val="00031DE1"/>
    <w:rsid w:val="00032441"/>
    <w:rsid w:val="000341DA"/>
    <w:rsid w:val="000345B4"/>
    <w:rsid w:val="000362DE"/>
    <w:rsid w:val="000374B5"/>
    <w:rsid w:val="00040E6E"/>
    <w:rsid w:val="00042FA3"/>
    <w:rsid w:val="00043833"/>
    <w:rsid w:val="00043C0D"/>
    <w:rsid w:val="00044434"/>
    <w:rsid w:val="0004526C"/>
    <w:rsid w:val="000452ED"/>
    <w:rsid w:val="00052737"/>
    <w:rsid w:val="00052787"/>
    <w:rsid w:val="00052D56"/>
    <w:rsid w:val="00053075"/>
    <w:rsid w:val="000530BA"/>
    <w:rsid w:val="00053BD5"/>
    <w:rsid w:val="00054518"/>
    <w:rsid w:val="00056A12"/>
    <w:rsid w:val="00056D71"/>
    <w:rsid w:val="00057638"/>
    <w:rsid w:val="000576D9"/>
    <w:rsid w:val="00057A92"/>
    <w:rsid w:val="00061D64"/>
    <w:rsid w:val="00062A46"/>
    <w:rsid w:val="00062F96"/>
    <w:rsid w:val="00063490"/>
    <w:rsid w:val="00063DD0"/>
    <w:rsid w:val="000659BB"/>
    <w:rsid w:val="00066C39"/>
    <w:rsid w:val="00066CD4"/>
    <w:rsid w:val="00071435"/>
    <w:rsid w:val="00072C5D"/>
    <w:rsid w:val="00074521"/>
    <w:rsid w:val="000759EA"/>
    <w:rsid w:val="00075C32"/>
    <w:rsid w:val="000769E9"/>
    <w:rsid w:val="00077240"/>
    <w:rsid w:val="0008068C"/>
    <w:rsid w:val="000838D9"/>
    <w:rsid w:val="000839A9"/>
    <w:rsid w:val="00083F4B"/>
    <w:rsid w:val="000840C2"/>
    <w:rsid w:val="00086136"/>
    <w:rsid w:val="00086378"/>
    <w:rsid w:val="000876AF"/>
    <w:rsid w:val="00090606"/>
    <w:rsid w:val="0009245D"/>
    <w:rsid w:val="00094522"/>
    <w:rsid w:val="00094E1C"/>
    <w:rsid w:val="000956BB"/>
    <w:rsid w:val="0009712F"/>
    <w:rsid w:val="0009715B"/>
    <w:rsid w:val="000A0DE3"/>
    <w:rsid w:val="000A3806"/>
    <w:rsid w:val="000A3B73"/>
    <w:rsid w:val="000A3FBC"/>
    <w:rsid w:val="000A41A1"/>
    <w:rsid w:val="000A4520"/>
    <w:rsid w:val="000A5F94"/>
    <w:rsid w:val="000A67C4"/>
    <w:rsid w:val="000B0145"/>
    <w:rsid w:val="000B11EF"/>
    <w:rsid w:val="000B1725"/>
    <w:rsid w:val="000B2023"/>
    <w:rsid w:val="000B259A"/>
    <w:rsid w:val="000B2847"/>
    <w:rsid w:val="000B2C45"/>
    <w:rsid w:val="000B7682"/>
    <w:rsid w:val="000C07B8"/>
    <w:rsid w:val="000C1111"/>
    <w:rsid w:val="000C231C"/>
    <w:rsid w:val="000C2FA4"/>
    <w:rsid w:val="000C463F"/>
    <w:rsid w:val="000C5066"/>
    <w:rsid w:val="000C5BAA"/>
    <w:rsid w:val="000C6ECD"/>
    <w:rsid w:val="000C7431"/>
    <w:rsid w:val="000C7727"/>
    <w:rsid w:val="000D146E"/>
    <w:rsid w:val="000D17E4"/>
    <w:rsid w:val="000D18A2"/>
    <w:rsid w:val="000D3F85"/>
    <w:rsid w:val="000D5255"/>
    <w:rsid w:val="000D6227"/>
    <w:rsid w:val="000D67CC"/>
    <w:rsid w:val="000D6C9F"/>
    <w:rsid w:val="000E0A5E"/>
    <w:rsid w:val="000E1593"/>
    <w:rsid w:val="000E2A17"/>
    <w:rsid w:val="000E427D"/>
    <w:rsid w:val="000E47ED"/>
    <w:rsid w:val="000E4CAE"/>
    <w:rsid w:val="000E5CAE"/>
    <w:rsid w:val="000E624D"/>
    <w:rsid w:val="000E6D72"/>
    <w:rsid w:val="000F0991"/>
    <w:rsid w:val="000F21D4"/>
    <w:rsid w:val="000F2E36"/>
    <w:rsid w:val="000F3349"/>
    <w:rsid w:val="000F3856"/>
    <w:rsid w:val="000F764C"/>
    <w:rsid w:val="001004A3"/>
    <w:rsid w:val="001025DF"/>
    <w:rsid w:val="00103999"/>
    <w:rsid w:val="00103DAC"/>
    <w:rsid w:val="00104DAD"/>
    <w:rsid w:val="00106AEC"/>
    <w:rsid w:val="00110E97"/>
    <w:rsid w:val="00111F02"/>
    <w:rsid w:val="00113389"/>
    <w:rsid w:val="00113410"/>
    <w:rsid w:val="00113465"/>
    <w:rsid w:val="001136E0"/>
    <w:rsid w:val="00113AE0"/>
    <w:rsid w:val="00115B63"/>
    <w:rsid w:val="001217E2"/>
    <w:rsid w:val="001217FD"/>
    <w:rsid w:val="00121D47"/>
    <w:rsid w:val="00122742"/>
    <w:rsid w:val="00122DD1"/>
    <w:rsid w:val="00123492"/>
    <w:rsid w:val="00124F88"/>
    <w:rsid w:val="00125060"/>
    <w:rsid w:val="00126183"/>
    <w:rsid w:val="0012626F"/>
    <w:rsid w:val="0012636E"/>
    <w:rsid w:val="0012663D"/>
    <w:rsid w:val="001270D6"/>
    <w:rsid w:val="001275E7"/>
    <w:rsid w:val="001278F8"/>
    <w:rsid w:val="00130E70"/>
    <w:rsid w:val="0013171A"/>
    <w:rsid w:val="00132365"/>
    <w:rsid w:val="00132C91"/>
    <w:rsid w:val="00134BAC"/>
    <w:rsid w:val="00135818"/>
    <w:rsid w:val="00135C01"/>
    <w:rsid w:val="00135DF6"/>
    <w:rsid w:val="00136E66"/>
    <w:rsid w:val="00136FA3"/>
    <w:rsid w:val="00137C51"/>
    <w:rsid w:val="0014086A"/>
    <w:rsid w:val="00145394"/>
    <w:rsid w:val="00146383"/>
    <w:rsid w:val="00146425"/>
    <w:rsid w:val="00146906"/>
    <w:rsid w:val="00147139"/>
    <w:rsid w:val="00150873"/>
    <w:rsid w:val="001514F8"/>
    <w:rsid w:val="0015159F"/>
    <w:rsid w:val="00151EAB"/>
    <w:rsid w:val="001531E7"/>
    <w:rsid w:val="001537A7"/>
    <w:rsid w:val="00153AAA"/>
    <w:rsid w:val="0015714B"/>
    <w:rsid w:val="001605C9"/>
    <w:rsid w:val="001617F8"/>
    <w:rsid w:val="00161B2B"/>
    <w:rsid w:val="001623E5"/>
    <w:rsid w:val="00163200"/>
    <w:rsid w:val="00163B56"/>
    <w:rsid w:val="00166B9E"/>
    <w:rsid w:val="00167714"/>
    <w:rsid w:val="0017083D"/>
    <w:rsid w:val="001712C0"/>
    <w:rsid w:val="00171821"/>
    <w:rsid w:val="00172EA2"/>
    <w:rsid w:val="001730E0"/>
    <w:rsid w:val="001754ED"/>
    <w:rsid w:val="00175B17"/>
    <w:rsid w:val="001766A1"/>
    <w:rsid w:val="00176958"/>
    <w:rsid w:val="00177907"/>
    <w:rsid w:val="00177B5D"/>
    <w:rsid w:val="00180ABC"/>
    <w:rsid w:val="001828D8"/>
    <w:rsid w:val="00184A9A"/>
    <w:rsid w:val="00184E49"/>
    <w:rsid w:val="00185442"/>
    <w:rsid w:val="00186073"/>
    <w:rsid w:val="00190012"/>
    <w:rsid w:val="0019256B"/>
    <w:rsid w:val="0019340F"/>
    <w:rsid w:val="00193DB9"/>
    <w:rsid w:val="0019461C"/>
    <w:rsid w:val="001948E0"/>
    <w:rsid w:val="00194B7F"/>
    <w:rsid w:val="0019567C"/>
    <w:rsid w:val="00196FE2"/>
    <w:rsid w:val="0019771A"/>
    <w:rsid w:val="001A0171"/>
    <w:rsid w:val="001A2736"/>
    <w:rsid w:val="001A2BA5"/>
    <w:rsid w:val="001A3380"/>
    <w:rsid w:val="001A5600"/>
    <w:rsid w:val="001A5738"/>
    <w:rsid w:val="001A5ACB"/>
    <w:rsid w:val="001A60E4"/>
    <w:rsid w:val="001A772D"/>
    <w:rsid w:val="001B0DED"/>
    <w:rsid w:val="001B4F92"/>
    <w:rsid w:val="001B5856"/>
    <w:rsid w:val="001B5FB2"/>
    <w:rsid w:val="001B63DD"/>
    <w:rsid w:val="001B6438"/>
    <w:rsid w:val="001B6601"/>
    <w:rsid w:val="001B7F6C"/>
    <w:rsid w:val="001C09FE"/>
    <w:rsid w:val="001C40D8"/>
    <w:rsid w:val="001C4264"/>
    <w:rsid w:val="001C672F"/>
    <w:rsid w:val="001C67EA"/>
    <w:rsid w:val="001C6D9A"/>
    <w:rsid w:val="001C7411"/>
    <w:rsid w:val="001C7F29"/>
    <w:rsid w:val="001D0196"/>
    <w:rsid w:val="001D1F2C"/>
    <w:rsid w:val="001D2405"/>
    <w:rsid w:val="001D5C22"/>
    <w:rsid w:val="001D64B9"/>
    <w:rsid w:val="001D6F9E"/>
    <w:rsid w:val="001D7A1B"/>
    <w:rsid w:val="001E0B6C"/>
    <w:rsid w:val="001E1AE7"/>
    <w:rsid w:val="001E2997"/>
    <w:rsid w:val="001E307E"/>
    <w:rsid w:val="001E3CC3"/>
    <w:rsid w:val="001E5CF7"/>
    <w:rsid w:val="001E7889"/>
    <w:rsid w:val="001F0012"/>
    <w:rsid w:val="001F013B"/>
    <w:rsid w:val="001F07FF"/>
    <w:rsid w:val="001F22D4"/>
    <w:rsid w:val="001F3911"/>
    <w:rsid w:val="001F66D3"/>
    <w:rsid w:val="001F6BDD"/>
    <w:rsid w:val="001F7374"/>
    <w:rsid w:val="001F7548"/>
    <w:rsid w:val="001F77F6"/>
    <w:rsid w:val="0020028A"/>
    <w:rsid w:val="00200982"/>
    <w:rsid w:val="00200F33"/>
    <w:rsid w:val="00202AE4"/>
    <w:rsid w:val="00202CEB"/>
    <w:rsid w:val="002033D3"/>
    <w:rsid w:val="0020355D"/>
    <w:rsid w:val="002046E7"/>
    <w:rsid w:val="00205272"/>
    <w:rsid w:val="00207BED"/>
    <w:rsid w:val="00207EC8"/>
    <w:rsid w:val="00211174"/>
    <w:rsid w:val="002118F3"/>
    <w:rsid w:val="00213850"/>
    <w:rsid w:val="002140FC"/>
    <w:rsid w:val="0021413E"/>
    <w:rsid w:val="00215005"/>
    <w:rsid w:val="0021558D"/>
    <w:rsid w:val="00216E8C"/>
    <w:rsid w:val="00221EE2"/>
    <w:rsid w:val="00223840"/>
    <w:rsid w:val="00223C01"/>
    <w:rsid w:val="002251DA"/>
    <w:rsid w:val="00225C65"/>
    <w:rsid w:val="0023020A"/>
    <w:rsid w:val="00230A0B"/>
    <w:rsid w:val="00231B50"/>
    <w:rsid w:val="002330E5"/>
    <w:rsid w:val="002366E4"/>
    <w:rsid w:val="002407DD"/>
    <w:rsid w:val="002412A0"/>
    <w:rsid w:val="00241402"/>
    <w:rsid w:val="002425FC"/>
    <w:rsid w:val="002446C4"/>
    <w:rsid w:val="00244FE0"/>
    <w:rsid w:val="00245265"/>
    <w:rsid w:val="00245474"/>
    <w:rsid w:val="002515B9"/>
    <w:rsid w:val="00251782"/>
    <w:rsid w:val="00251939"/>
    <w:rsid w:val="002520EE"/>
    <w:rsid w:val="00252148"/>
    <w:rsid w:val="00252E5E"/>
    <w:rsid w:val="002547E5"/>
    <w:rsid w:val="002557C5"/>
    <w:rsid w:val="0025604E"/>
    <w:rsid w:val="002567BC"/>
    <w:rsid w:val="00260073"/>
    <w:rsid w:val="0026030A"/>
    <w:rsid w:val="00260397"/>
    <w:rsid w:val="00261658"/>
    <w:rsid w:val="00261BA9"/>
    <w:rsid w:val="0026420E"/>
    <w:rsid w:val="0026493F"/>
    <w:rsid w:val="002652C0"/>
    <w:rsid w:val="00265473"/>
    <w:rsid w:val="002659B1"/>
    <w:rsid w:val="0026652F"/>
    <w:rsid w:val="0026705E"/>
    <w:rsid w:val="0026783B"/>
    <w:rsid w:val="0027168A"/>
    <w:rsid w:val="00271720"/>
    <w:rsid w:val="00271744"/>
    <w:rsid w:val="002718A5"/>
    <w:rsid w:val="002719DA"/>
    <w:rsid w:val="00272512"/>
    <w:rsid w:val="00272B6D"/>
    <w:rsid w:val="00274126"/>
    <w:rsid w:val="00274E04"/>
    <w:rsid w:val="00275427"/>
    <w:rsid w:val="002767A3"/>
    <w:rsid w:val="00276D36"/>
    <w:rsid w:val="00276F66"/>
    <w:rsid w:val="0027788E"/>
    <w:rsid w:val="00277BA3"/>
    <w:rsid w:val="002801B4"/>
    <w:rsid w:val="00280451"/>
    <w:rsid w:val="00280E17"/>
    <w:rsid w:val="00281129"/>
    <w:rsid w:val="00281259"/>
    <w:rsid w:val="00281CE2"/>
    <w:rsid w:val="00281FF9"/>
    <w:rsid w:val="00282A01"/>
    <w:rsid w:val="002865A8"/>
    <w:rsid w:val="0028661C"/>
    <w:rsid w:val="0028734E"/>
    <w:rsid w:val="002904FB"/>
    <w:rsid w:val="00290EBB"/>
    <w:rsid w:val="00294208"/>
    <w:rsid w:val="002953D8"/>
    <w:rsid w:val="00296FA3"/>
    <w:rsid w:val="002A1728"/>
    <w:rsid w:val="002A4CBF"/>
    <w:rsid w:val="002A6483"/>
    <w:rsid w:val="002B0920"/>
    <w:rsid w:val="002B143B"/>
    <w:rsid w:val="002B3862"/>
    <w:rsid w:val="002B429F"/>
    <w:rsid w:val="002B531A"/>
    <w:rsid w:val="002C1CD2"/>
    <w:rsid w:val="002C21D2"/>
    <w:rsid w:val="002C30D3"/>
    <w:rsid w:val="002C56AE"/>
    <w:rsid w:val="002C58B8"/>
    <w:rsid w:val="002C7F9B"/>
    <w:rsid w:val="002D0309"/>
    <w:rsid w:val="002D0E21"/>
    <w:rsid w:val="002D1707"/>
    <w:rsid w:val="002D1725"/>
    <w:rsid w:val="002D18C5"/>
    <w:rsid w:val="002D2D03"/>
    <w:rsid w:val="002D7ACE"/>
    <w:rsid w:val="002E06C8"/>
    <w:rsid w:val="002E1A64"/>
    <w:rsid w:val="002E225B"/>
    <w:rsid w:val="002E4DF3"/>
    <w:rsid w:val="002E4FFE"/>
    <w:rsid w:val="002E5AFB"/>
    <w:rsid w:val="002E74A4"/>
    <w:rsid w:val="002F0F8D"/>
    <w:rsid w:val="002F1108"/>
    <w:rsid w:val="002F183A"/>
    <w:rsid w:val="002F1CDC"/>
    <w:rsid w:val="002F1EFA"/>
    <w:rsid w:val="002F292E"/>
    <w:rsid w:val="002F2ADF"/>
    <w:rsid w:val="002F3A56"/>
    <w:rsid w:val="002F425A"/>
    <w:rsid w:val="002F48F3"/>
    <w:rsid w:val="002F5E8C"/>
    <w:rsid w:val="002F604C"/>
    <w:rsid w:val="002F6143"/>
    <w:rsid w:val="003007F3"/>
    <w:rsid w:val="00301A71"/>
    <w:rsid w:val="00301D3A"/>
    <w:rsid w:val="003025AF"/>
    <w:rsid w:val="00302A8F"/>
    <w:rsid w:val="00302D3C"/>
    <w:rsid w:val="00305AA4"/>
    <w:rsid w:val="003065DD"/>
    <w:rsid w:val="00306F64"/>
    <w:rsid w:val="0031030C"/>
    <w:rsid w:val="00310CBD"/>
    <w:rsid w:val="003113F6"/>
    <w:rsid w:val="003134D9"/>
    <w:rsid w:val="00314231"/>
    <w:rsid w:val="00316094"/>
    <w:rsid w:val="0031654A"/>
    <w:rsid w:val="00317E1B"/>
    <w:rsid w:val="00320979"/>
    <w:rsid w:val="0032136A"/>
    <w:rsid w:val="00321FC2"/>
    <w:rsid w:val="00324464"/>
    <w:rsid w:val="003332E6"/>
    <w:rsid w:val="00333F12"/>
    <w:rsid w:val="003367F5"/>
    <w:rsid w:val="00336BC3"/>
    <w:rsid w:val="00336C88"/>
    <w:rsid w:val="00336F1E"/>
    <w:rsid w:val="003403FD"/>
    <w:rsid w:val="00340A76"/>
    <w:rsid w:val="003437B0"/>
    <w:rsid w:val="00343BF7"/>
    <w:rsid w:val="00343CDD"/>
    <w:rsid w:val="003444A4"/>
    <w:rsid w:val="003457E3"/>
    <w:rsid w:val="00345FE6"/>
    <w:rsid w:val="00346C00"/>
    <w:rsid w:val="00347170"/>
    <w:rsid w:val="003472BA"/>
    <w:rsid w:val="00351771"/>
    <w:rsid w:val="003517EB"/>
    <w:rsid w:val="00351C15"/>
    <w:rsid w:val="00351F70"/>
    <w:rsid w:val="003521C8"/>
    <w:rsid w:val="0035304D"/>
    <w:rsid w:val="003532F3"/>
    <w:rsid w:val="00360559"/>
    <w:rsid w:val="00360987"/>
    <w:rsid w:val="00361222"/>
    <w:rsid w:val="00364494"/>
    <w:rsid w:val="00364A72"/>
    <w:rsid w:val="003658B2"/>
    <w:rsid w:val="00370BF8"/>
    <w:rsid w:val="00372F65"/>
    <w:rsid w:val="003742A1"/>
    <w:rsid w:val="003753FF"/>
    <w:rsid w:val="00376AA4"/>
    <w:rsid w:val="00381C48"/>
    <w:rsid w:val="00383369"/>
    <w:rsid w:val="0038397D"/>
    <w:rsid w:val="003867A2"/>
    <w:rsid w:val="00386C98"/>
    <w:rsid w:val="003876C0"/>
    <w:rsid w:val="00392B76"/>
    <w:rsid w:val="00392C52"/>
    <w:rsid w:val="0039416E"/>
    <w:rsid w:val="003965C7"/>
    <w:rsid w:val="00396B95"/>
    <w:rsid w:val="003A0471"/>
    <w:rsid w:val="003A1858"/>
    <w:rsid w:val="003A1F1D"/>
    <w:rsid w:val="003A22CB"/>
    <w:rsid w:val="003A2485"/>
    <w:rsid w:val="003A284A"/>
    <w:rsid w:val="003A2AA7"/>
    <w:rsid w:val="003A2D09"/>
    <w:rsid w:val="003A4429"/>
    <w:rsid w:val="003A504A"/>
    <w:rsid w:val="003A5205"/>
    <w:rsid w:val="003A7439"/>
    <w:rsid w:val="003B0198"/>
    <w:rsid w:val="003B37B3"/>
    <w:rsid w:val="003B4F26"/>
    <w:rsid w:val="003B4F60"/>
    <w:rsid w:val="003B5E6C"/>
    <w:rsid w:val="003B6E41"/>
    <w:rsid w:val="003C08CB"/>
    <w:rsid w:val="003C1118"/>
    <w:rsid w:val="003C3084"/>
    <w:rsid w:val="003C3577"/>
    <w:rsid w:val="003C3B5B"/>
    <w:rsid w:val="003C4B8F"/>
    <w:rsid w:val="003C530F"/>
    <w:rsid w:val="003C61A1"/>
    <w:rsid w:val="003C6711"/>
    <w:rsid w:val="003C7551"/>
    <w:rsid w:val="003D1CDF"/>
    <w:rsid w:val="003D2F73"/>
    <w:rsid w:val="003D5727"/>
    <w:rsid w:val="003D5916"/>
    <w:rsid w:val="003D5997"/>
    <w:rsid w:val="003D7C36"/>
    <w:rsid w:val="003D7DCC"/>
    <w:rsid w:val="003E0713"/>
    <w:rsid w:val="003E0A22"/>
    <w:rsid w:val="003E2D20"/>
    <w:rsid w:val="003E2DAA"/>
    <w:rsid w:val="003E3D2C"/>
    <w:rsid w:val="003E57DE"/>
    <w:rsid w:val="003E5B17"/>
    <w:rsid w:val="003F04BB"/>
    <w:rsid w:val="003F0FC3"/>
    <w:rsid w:val="003F3FBD"/>
    <w:rsid w:val="003F4F03"/>
    <w:rsid w:val="003F74E3"/>
    <w:rsid w:val="003F78BC"/>
    <w:rsid w:val="004007B2"/>
    <w:rsid w:val="00400D28"/>
    <w:rsid w:val="00401182"/>
    <w:rsid w:val="00401520"/>
    <w:rsid w:val="00401C2C"/>
    <w:rsid w:val="0040204B"/>
    <w:rsid w:val="00403105"/>
    <w:rsid w:val="00405151"/>
    <w:rsid w:val="0040544A"/>
    <w:rsid w:val="0040553A"/>
    <w:rsid w:val="00407668"/>
    <w:rsid w:val="004112F5"/>
    <w:rsid w:val="00413565"/>
    <w:rsid w:val="004138CF"/>
    <w:rsid w:val="0041565C"/>
    <w:rsid w:val="004159EE"/>
    <w:rsid w:val="004205D1"/>
    <w:rsid w:val="00424934"/>
    <w:rsid w:val="00425272"/>
    <w:rsid w:val="0042644B"/>
    <w:rsid w:val="00426523"/>
    <w:rsid w:val="00426E45"/>
    <w:rsid w:val="00430604"/>
    <w:rsid w:val="0043107A"/>
    <w:rsid w:val="004310B2"/>
    <w:rsid w:val="004311C4"/>
    <w:rsid w:val="004313F0"/>
    <w:rsid w:val="00431DB3"/>
    <w:rsid w:val="00432683"/>
    <w:rsid w:val="00432D1F"/>
    <w:rsid w:val="0043310D"/>
    <w:rsid w:val="00433638"/>
    <w:rsid w:val="00434C0C"/>
    <w:rsid w:val="00435029"/>
    <w:rsid w:val="004405D5"/>
    <w:rsid w:val="00441CCC"/>
    <w:rsid w:val="004431B1"/>
    <w:rsid w:val="00443D19"/>
    <w:rsid w:val="00443DC8"/>
    <w:rsid w:val="004451F7"/>
    <w:rsid w:val="004459D2"/>
    <w:rsid w:val="00445BB7"/>
    <w:rsid w:val="00445D76"/>
    <w:rsid w:val="00446695"/>
    <w:rsid w:val="00446E08"/>
    <w:rsid w:val="00446FEB"/>
    <w:rsid w:val="00447541"/>
    <w:rsid w:val="00450769"/>
    <w:rsid w:val="00451585"/>
    <w:rsid w:val="004523A4"/>
    <w:rsid w:val="004528C4"/>
    <w:rsid w:val="004532F8"/>
    <w:rsid w:val="00453DC0"/>
    <w:rsid w:val="00455252"/>
    <w:rsid w:val="00455428"/>
    <w:rsid w:val="00455855"/>
    <w:rsid w:val="00455A31"/>
    <w:rsid w:val="00456C63"/>
    <w:rsid w:val="00456C80"/>
    <w:rsid w:val="004572B8"/>
    <w:rsid w:val="00457A53"/>
    <w:rsid w:val="00460AB8"/>
    <w:rsid w:val="00461876"/>
    <w:rsid w:val="00461AA6"/>
    <w:rsid w:val="00463596"/>
    <w:rsid w:val="004652AC"/>
    <w:rsid w:val="00465FA3"/>
    <w:rsid w:val="0046734B"/>
    <w:rsid w:val="00467840"/>
    <w:rsid w:val="00470338"/>
    <w:rsid w:val="00470B4F"/>
    <w:rsid w:val="004711C5"/>
    <w:rsid w:val="00472A35"/>
    <w:rsid w:val="00475214"/>
    <w:rsid w:val="0047590B"/>
    <w:rsid w:val="0048040C"/>
    <w:rsid w:val="00480FFA"/>
    <w:rsid w:val="0048163E"/>
    <w:rsid w:val="004818FF"/>
    <w:rsid w:val="004824EB"/>
    <w:rsid w:val="00484120"/>
    <w:rsid w:val="00485226"/>
    <w:rsid w:val="00486D6B"/>
    <w:rsid w:val="00487898"/>
    <w:rsid w:val="00487E7D"/>
    <w:rsid w:val="00487EC4"/>
    <w:rsid w:val="00490D91"/>
    <w:rsid w:val="00491610"/>
    <w:rsid w:val="00491D5B"/>
    <w:rsid w:val="00491F05"/>
    <w:rsid w:val="004925B4"/>
    <w:rsid w:val="00492DA2"/>
    <w:rsid w:val="00493666"/>
    <w:rsid w:val="00493FBF"/>
    <w:rsid w:val="00494531"/>
    <w:rsid w:val="00494F02"/>
    <w:rsid w:val="0049502E"/>
    <w:rsid w:val="00495345"/>
    <w:rsid w:val="004969CF"/>
    <w:rsid w:val="00497EA2"/>
    <w:rsid w:val="00497F47"/>
    <w:rsid w:val="004A1DCA"/>
    <w:rsid w:val="004A3908"/>
    <w:rsid w:val="004A5421"/>
    <w:rsid w:val="004A59D4"/>
    <w:rsid w:val="004A5E82"/>
    <w:rsid w:val="004A631E"/>
    <w:rsid w:val="004A6815"/>
    <w:rsid w:val="004A6866"/>
    <w:rsid w:val="004A6F23"/>
    <w:rsid w:val="004B0BBF"/>
    <w:rsid w:val="004B2773"/>
    <w:rsid w:val="004B2856"/>
    <w:rsid w:val="004B77DC"/>
    <w:rsid w:val="004B7A5E"/>
    <w:rsid w:val="004C04CB"/>
    <w:rsid w:val="004C09B2"/>
    <w:rsid w:val="004C100D"/>
    <w:rsid w:val="004C175A"/>
    <w:rsid w:val="004C2B80"/>
    <w:rsid w:val="004C2BD6"/>
    <w:rsid w:val="004C413F"/>
    <w:rsid w:val="004C452E"/>
    <w:rsid w:val="004C45E2"/>
    <w:rsid w:val="004C475D"/>
    <w:rsid w:val="004C49E2"/>
    <w:rsid w:val="004C552D"/>
    <w:rsid w:val="004C56DB"/>
    <w:rsid w:val="004C6001"/>
    <w:rsid w:val="004C644B"/>
    <w:rsid w:val="004C6BEC"/>
    <w:rsid w:val="004D01B3"/>
    <w:rsid w:val="004D023B"/>
    <w:rsid w:val="004D0E6E"/>
    <w:rsid w:val="004D1EC9"/>
    <w:rsid w:val="004D34AA"/>
    <w:rsid w:val="004D39C5"/>
    <w:rsid w:val="004D4D1C"/>
    <w:rsid w:val="004D4D32"/>
    <w:rsid w:val="004D4D8A"/>
    <w:rsid w:val="004E144C"/>
    <w:rsid w:val="004E15D3"/>
    <w:rsid w:val="004E17E4"/>
    <w:rsid w:val="004E1F91"/>
    <w:rsid w:val="004E2FD7"/>
    <w:rsid w:val="004E4E14"/>
    <w:rsid w:val="004E5143"/>
    <w:rsid w:val="004E54E8"/>
    <w:rsid w:val="004F0426"/>
    <w:rsid w:val="004F0512"/>
    <w:rsid w:val="004F0D20"/>
    <w:rsid w:val="004F0DF9"/>
    <w:rsid w:val="004F16E4"/>
    <w:rsid w:val="004F1E98"/>
    <w:rsid w:val="004F4BCB"/>
    <w:rsid w:val="004F4E15"/>
    <w:rsid w:val="004F53E8"/>
    <w:rsid w:val="004F66ED"/>
    <w:rsid w:val="004F757D"/>
    <w:rsid w:val="00500C39"/>
    <w:rsid w:val="0050401D"/>
    <w:rsid w:val="0050444F"/>
    <w:rsid w:val="00505946"/>
    <w:rsid w:val="00507159"/>
    <w:rsid w:val="00510A25"/>
    <w:rsid w:val="00510D4B"/>
    <w:rsid w:val="00511326"/>
    <w:rsid w:val="00511465"/>
    <w:rsid w:val="00511576"/>
    <w:rsid w:val="0051223B"/>
    <w:rsid w:val="0051227E"/>
    <w:rsid w:val="00512C16"/>
    <w:rsid w:val="0051315D"/>
    <w:rsid w:val="00513BB6"/>
    <w:rsid w:val="00513EE7"/>
    <w:rsid w:val="00514AED"/>
    <w:rsid w:val="00516672"/>
    <w:rsid w:val="0051708B"/>
    <w:rsid w:val="005172A4"/>
    <w:rsid w:val="00517CBD"/>
    <w:rsid w:val="00520EA6"/>
    <w:rsid w:val="00521C76"/>
    <w:rsid w:val="00521C8C"/>
    <w:rsid w:val="00522697"/>
    <w:rsid w:val="00523A77"/>
    <w:rsid w:val="005255A3"/>
    <w:rsid w:val="00530598"/>
    <w:rsid w:val="00531161"/>
    <w:rsid w:val="00532DE4"/>
    <w:rsid w:val="00533CCD"/>
    <w:rsid w:val="00533D81"/>
    <w:rsid w:val="005347CC"/>
    <w:rsid w:val="00536B70"/>
    <w:rsid w:val="005401FE"/>
    <w:rsid w:val="00540A91"/>
    <w:rsid w:val="005415AD"/>
    <w:rsid w:val="00542492"/>
    <w:rsid w:val="005424F9"/>
    <w:rsid w:val="005428CD"/>
    <w:rsid w:val="00544884"/>
    <w:rsid w:val="00544CE4"/>
    <w:rsid w:val="0054584B"/>
    <w:rsid w:val="005459EF"/>
    <w:rsid w:val="00545E34"/>
    <w:rsid w:val="0055186A"/>
    <w:rsid w:val="00552153"/>
    <w:rsid w:val="00552B60"/>
    <w:rsid w:val="0055356F"/>
    <w:rsid w:val="00553EAE"/>
    <w:rsid w:val="00554E89"/>
    <w:rsid w:val="005559F4"/>
    <w:rsid w:val="005561F0"/>
    <w:rsid w:val="0055719F"/>
    <w:rsid w:val="00557D9A"/>
    <w:rsid w:val="00560159"/>
    <w:rsid w:val="0056134B"/>
    <w:rsid w:val="00561E5E"/>
    <w:rsid w:val="005623FF"/>
    <w:rsid w:val="00562453"/>
    <w:rsid w:val="00562D0F"/>
    <w:rsid w:val="00563EA6"/>
    <w:rsid w:val="00564D8D"/>
    <w:rsid w:val="005650CF"/>
    <w:rsid w:val="00565E28"/>
    <w:rsid w:val="00566935"/>
    <w:rsid w:val="00566EB6"/>
    <w:rsid w:val="00567464"/>
    <w:rsid w:val="00571148"/>
    <w:rsid w:val="00571665"/>
    <w:rsid w:val="00571742"/>
    <w:rsid w:val="00571A94"/>
    <w:rsid w:val="00573304"/>
    <w:rsid w:val="00574AFF"/>
    <w:rsid w:val="0057560A"/>
    <w:rsid w:val="005768C3"/>
    <w:rsid w:val="00576D4A"/>
    <w:rsid w:val="005770BF"/>
    <w:rsid w:val="005777D3"/>
    <w:rsid w:val="0058019C"/>
    <w:rsid w:val="005824AA"/>
    <w:rsid w:val="00583A93"/>
    <w:rsid w:val="00585364"/>
    <w:rsid w:val="005865C0"/>
    <w:rsid w:val="005870DC"/>
    <w:rsid w:val="0058767E"/>
    <w:rsid w:val="00587E39"/>
    <w:rsid w:val="00591C8A"/>
    <w:rsid w:val="0059296C"/>
    <w:rsid w:val="00593AF7"/>
    <w:rsid w:val="005946B9"/>
    <w:rsid w:val="005948E8"/>
    <w:rsid w:val="00594C44"/>
    <w:rsid w:val="005969BD"/>
    <w:rsid w:val="005A0C47"/>
    <w:rsid w:val="005A23CC"/>
    <w:rsid w:val="005A2642"/>
    <w:rsid w:val="005A46F3"/>
    <w:rsid w:val="005A5745"/>
    <w:rsid w:val="005A62F6"/>
    <w:rsid w:val="005A6986"/>
    <w:rsid w:val="005A6C77"/>
    <w:rsid w:val="005A7A0A"/>
    <w:rsid w:val="005A7C05"/>
    <w:rsid w:val="005A7E55"/>
    <w:rsid w:val="005A7F87"/>
    <w:rsid w:val="005B091B"/>
    <w:rsid w:val="005B0A64"/>
    <w:rsid w:val="005B2409"/>
    <w:rsid w:val="005B3823"/>
    <w:rsid w:val="005B3D95"/>
    <w:rsid w:val="005B3E2B"/>
    <w:rsid w:val="005B4406"/>
    <w:rsid w:val="005B53C0"/>
    <w:rsid w:val="005B5F9F"/>
    <w:rsid w:val="005B7A51"/>
    <w:rsid w:val="005B7B2B"/>
    <w:rsid w:val="005C23D6"/>
    <w:rsid w:val="005C3175"/>
    <w:rsid w:val="005C3340"/>
    <w:rsid w:val="005C356F"/>
    <w:rsid w:val="005C40AE"/>
    <w:rsid w:val="005C44CB"/>
    <w:rsid w:val="005C6417"/>
    <w:rsid w:val="005C64CC"/>
    <w:rsid w:val="005C6875"/>
    <w:rsid w:val="005D0532"/>
    <w:rsid w:val="005D1D3D"/>
    <w:rsid w:val="005D1DC9"/>
    <w:rsid w:val="005D2110"/>
    <w:rsid w:val="005D3A52"/>
    <w:rsid w:val="005D74FD"/>
    <w:rsid w:val="005E0929"/>
    <w:rsid w:val="005E1050"/>
    <w:rsid w:val="005E1D01"/>
    <w:rsid w:val="005E1D95"/>
    <w:rsid w:val="005E28DD"/>
    <w:rsid w:val="005E5174"/>
    <w:rsid w:val="005E57B7"/>
    <w:rsid w:val="005E5CF8"/>
    <w:rsid w:val="005F0172"/>
    <w:rsid w:val="005F23F5"/>
    <w:rsid w:val="005F52F8"/>
    <w:rsid w:val="005F5832"/>
    <w:rsid w:val="005F5F10"/>
    <w:rsid w:val="005F622C"/>
    <w:rsid w:val="005F64B6"/>
    <w:rsid w:val="005F7AF4"/>
    <w:rsid w:val="005F7CCE"/>
    <w:rsid w:val="005F7DF4"/>
    <w:rsid w:val="0060129D"/>
    <w:rsid w:val="00601E8D"/>
    <w:rsid w:val="0060206F"/>
    <w:rsid w:val="00602EB9"/>
    <w:rsid w:val="00604233"/>
    <w:rsid w:val="00604680"/>
    <w:rsid w:val="006059A8"/>
    <w:rsid w:val="0060609A"/>
    <w:rsid w:val="00607D79"/>
    <w:rsid w:val="00610157"/>
    <w:rsid w:val="006104FE"/>
    <w:rsid w:val="00610888"/>
    <w:rsid w:val="006116A6"/>
    <w:rsid w:val="00612473"/>
    <w:rsid w:val="00612652"/>
    <w:rsid w:val="00614E92"/>
    <w:rsid w:val="006151A3"/>
    <w:rsid w:val="00615C7C"/>
    <w:rsid w:val="00616249"/>
    <w:rsid w:val="0061685B"/>
    <w:rsid w:val="00616A50"/>
    <w:rsid w:val="00616D29"/>
    <w:rsid w:val="00616D2F"/>
    <w:rsid w:val="00620895"/>
    <w:rsid w:val="006227FE"/>
    <w:rsid w:val="00623803"/>
    <w:rsid w:val="00626120"/>
    <w:rsid w:val="00626BB2"/>
    <w:rsid w:val="0062761A"/>
    <w:rsid w:val="00631BE8"/>
    <w:rsid w:val="00632708"/>
    <w:rsid w:val="006331D4"/>
    <w:rsid w:val="00633E41"/>
    <w:rsid w:val="0063541B"/>
    <w:rsid w:val="00635A09"/>
    <w:rsid w:val="006365CB"/>
    <w:rsid w:val="00636CB2"/>
    <w:rsid w:val="0063714D"/>
    <w:rsid w:val="00637267"/>
    <w:rsid w:val="0064170A"/>
    <w:rsid w:val="006417CE"/>
    <w:rsid w:val="00641A8C"/>
    <w:rsid w:val="006422C6"/>
    <w:rsid w:val="00642477"/>
    <w:rsid w:val="00642560"/>
    <w:rsid w:val="0064256A"/>
    <w:rsid w:val="0064428D"/>
    <w:rsid w:val="0064508C"/>
    <w:rsid w:val="0064568C"/>
    <w:rsid w:val="00646957"/>
    <w:rsid w:val="006474A4"/>
    <w:rsid w:val="006501BE"/>
    <w:rsid w:val="00652641"/>
    <w:rsid w:val="006538CE"/>
    <w:rsid w:val="0065393B"/>
    <w:rsid w:val="006545DD"/>
    <w:rsid w:val="00654DC5"/>
    <w:rsid w:val="00655941"/>
    <w:rsid w:val="00655CA6"/>
    <w:rsid w:val="006608AE"/>
    <w:rsid w:val="00662263"/>
    <w:rsid w:val="006628BD"/>
    <w:rsid w:val="00664339"/>
    <w:rsid w:val="0066440D"/>
    <w:rsid w:val="00665366"/>
    <w:rsid w:val="00665CEE"/>
    <w:rsid w:val="0066666B"/>
    <w:rsid w:val="0066764F"/>
    <w:rsid w:val="006702C9"/>
    <w:rsid w:val="00671DFD"/>
    <w:rsid w:val="00672B90"/>
    <w:rsid w:val="006747FE"/>
    <w:rsid w:val="00676AD8"/>
    <w:rsid w:val="006777CA"/>
    <w:rsid w:val="00680E33"/>
    <w:rsid w:val="0068118C"/>
    <w:rsid w:val="006857D2"/>
    <w:rsid w:val="0068607D"/>
    <w:rsid w:val="006860F1"/>
    <w:rsid w:val="00687CF0"/>
    <w:rsid w:val="006916AF"/>
    <w:rsid w:val="00691F58"/>
    <w:rsid w:val="00692275"/>
    <w:rsid w:val="006925BD"/>
    <w:rsid w:val="00692CD2"/>
    <w:rsid w:val="00693CC5"/>
    <w:rsid w:val="0069548A"/>
    <w:rsid w:val="00695DA8"/>
    <w:rsid w:val="00696653"/>
    <w:rsid w:val="00696D38"/>
    <w:rsid w:val="0069798D"/>
    <w:rsid w:val="006A1876"/>
    <w:rsid w:val="006A1E4D"/>
    <w:rsid w:val="006A20F3"/>
    <w:rsid w:val="006A2265"/>
    <w:rsid w:val="006A46CD"/>
    <w:rsid w:val="006A4B35"/>
    <w:rsid w:val="006A4D2B"/>
    <w:rsid w:val="006A5C89"/>
    <w:rsid w:val="006A64C5"/>
    <w:rsid w:val="006A7027"/>
    <w:rsid w:val="006B0409"/>
    <w:rsid w:val="006B04DD"/>
    <w:rsid w:val="006B0738"/>
    <w:rsid w:val="006B0C97"/>
    <w:rsid w:val="006B1AE9"/>
    <w:rsid w:val="006B1AEB"/>
    <w:rsid w:val="006B24A5"/>
    <w:rsid w:val="006B393B"/>
    <w:rsid w:val="006B3BBD"/>
    <w:rsid w:val="006B4FB8"/>
    <w:rsid w:val="006B514F"/>
    <w:rsid w:val="006B6387"/>
    <w:rsid w:val="006B64AA"/>
    <w:rsid w:val="006B7377"/>
    <w:rsid w:val="006B7CE3"/>
    <w:rsid w:val="006C0196"/>
    <w:rsid w:val="006C0F4D"/>
    <w:rsid w:val="006C10EB"/>
    <w:rsid w:val="006C1768"/>
    <w:rsid w:val="006C1F0B"/>
    <w:rsid w:val="006C2FCF"/>
    <w:rsid w:val="006C583E"/>
    <w:rsid w:val="006C5BBE"/>
    <w:rsid w:val="006C5C14"/>
    <w:rsid w:val="006C6C8B"/>
    <w:rsid w:val="006C74DF"/>
    <w:rsid w:val="006D08FA"/>
    <w:rsid w:val="006D0E1F"/>
    <w:rsid w:val="006D2F9C"/>
    <w:rsid w:val="006D5F32"/>
    <w:rsid w:val="006D6A6A"/>
    <w:rsid w:val="006D6F63"/>
    <w:rsid w:val="006D75E8"/>
    <w:rsid w:val="006E0712"/>
    <w:rsid w:val="006E08E3"/>
    <w:rsid w:val="006E13B2"/>
    <w:rsid w:val="006E191F"/>
    <w:rsid w:val="006E23C6"/>
    <w:rsid w:val="006E2DE3"/>
    <w:rsid w:val="006E3E42"/>
    <w:rsid w:val="006E5C2B"/>
    <w:rsid w:val="006F0890"/>
    <w:rsid w:val="006F17DC"/>
    <w:rsid w:val="006F26D3"/>
    <w:rsid w:val="006F27D4"/>
    <w:rsid w:val="006F44DE"/>
    <w:rsid w:val="006F6A17"/>
    <w:rsid w:val="006F6E25"/>
    <w:rsid w:val="0070230F"/>
    <w:rsid w:val="00702D9B"/>
    <w:rsid w:val="007039D9"/>
    <w:rsid w:val="00704288"/>
    <w:rsid w:val="00705139"/>
    <w:rsid w:val="00705F34"/>
    <w:rsid w:val="007062F9"/>
    <w:rsid w:val="00706EC6"/>
    <w:rsid w:val="007073DD"/>
    <w:rsid w:val="007122C9"/>
    <w:rsid w:val="00713706"/>
    <w:rsid w:val="0071501B"/>
    <w:rsid w:val="007170D3"/>
    <w:rsid w:val="00717226"/>
    <w:rsid w:val="00717B54"/>
    <w:rsid w:val="00717E2E"/>
    <w:rsid w:val="007201E3"/>
    <w:rsid w:val="007206A9"/>
    <w:rsid w:val="00721640"/>
    <w:rsid w:val="0072184D"/>
    <w:rsid w:val="00721D92"/>
    <w:rsid w:val="00721F95"/>
    <w:rsid w:val="00724106"/>
    <w:rsid w:val="00730BA6"/>
    <w:rsid w:val="007318C0"/>
    <w:rsid w:val="00732973"/>
    <w:rsid w:val="00732B61"/>
    <w:rsid w:val="007333F2"/>
    <w:rsid w:val="007342C1"/>
    <w:rsid w:val="00735194"/>
    <w:rsid w:val="00735A4B"/>
    <w:rsid w:val="00735EB8"/>
    <w:rsid w:val="00736BAD"/>
    <w:rsid w:val="00736FBA"/>
    <w:rsid w:val="00741E8F"/>
    <w:rsid w:val="00741F5C"/>
    <w:rsid w:val="00743E4F"/>
    <w:rsid w:val="007445D1"/>
    <w:rsid w:val="0074488D"/>
    <w:rsid w:val="00744A39"/>
    <w:rsid w:val="0074570E"/>
    <w:rsid w:val="0074602B"/>
    <w:rsid w:val="00746385"/>
    <w:rsid w:val="007506E9"/>
    <w:rsid w:val="00752A74"/>
    <w:rsid w:val="00753C18"/>
    <w:rsid w:val="00756D28"/>
    <w:rsid w:val="00757769"/>
    <w:rsid w:val="00760B4F"/>
    <w:rsid w:val="00760D68"/>
    <w:rsid w:val="007613E7"/>
    <w:rsid w:val="007623E1"/>
    <w:rsid w:val="0076399D"/>
    <w:rsid w:val="0076578C"/>
    <w:rsid w:val="00765E47"/>
    <w:rsid w:val="0076626B"/>
    <w:rsid w:val="007665E0"/>
    <w:rsid w:val="00766DF4"/>
    <w:rsid w:val="00767F5D"/>
    <w:rsid w:val="00771481"/>
    <w:rsid w:val="00773DEE"/>
    <w:rsid w:val="00774248"/>
    <w:rsid w:val="00774BCF"/>
    <w:rsid w:val="00774F71"/>
    <w:rsid w:val="007750ED"/>
    <w:rsid w:val="00775B87"/>
    <w:rsid w:val="007760DA"/>
    <w:rsid w:val="007766CF"/>
    <w:rsid w:val="00780445"/>
    <w:rsid w:val="007818A2"/>
    <w:rsid w:val="0078296B"/>
    <w:rsid w:val="00782A24"/>
    <w:rsid w:val="0078393C"/>
    <w:rsid w:val="00783EB8"/>
    <w:rsid w:val="00785A4C"/>
    <w:rsid w:val="007860AD"/>
    <w:rsid w:val="007879CC"/>
    <w:rsid w:val="007908C5"/>
    <w:rsid w:val="007908C9"/>
    <w:rsid w:val="007921D5"/>
    <w:rsid w:val="00792D73"/>
    <w:rsid w:val="00793530"/>
    <w:rsid w:val="00793940"/>
    <w:rsid w:val="007944BC"/>
    <w:rsid w:val="007959EA"/>
    <w:rsid w:val="007970D4"/>
    <w:rsid w:val="007A009C"/>
    <w:rsid w:val="007A045D"/>
    <w:rsid w:val="007A061F"/>
    <w:rsid w:val="007A1BEB"/>
    <w:rsid w:val="007A1C9E"/>
    <w:rsid w:val="007A2591"/>
    <w:rsid w:val="007A317B"/>
    <w:rsid w:val="007A32A1"/>
    <w:rsid w:val="007A497A"/>
    <w:rsid w:val="007A4B52"/>
    <w:rsid w:val="007A5D36"/>
    <w:rsid w:val="007A5EB3"/>
    <w:rsid w:val="007A68A1"/>
    <w:rsid w:val="007A69CE"/>
    <w:rsid w:val="007A77F8"/>
    <w:rsid w:val="007A7C19"/>
    <w:rsid w:val="007B00C9"/>
    <w:rsid w:val="007B01D5"/>
    <w:rsid w:val="007B1D05"/>
    <w:rsid w:val="007B3085"/>
    <w:rsid w:val="007B33BA"/>
    <w:rsid w:val="007B3B7B"/>
    <w:rsid w:val="007B4532"/>
    <w:rsid w:val="007B538B"/>
    <w:rsid w:val="007B5DC5"/>
    <w:rsid w:val="007B66E2"/>
    <w:rsid w:val="007C1AE7"/>
    <w:rsid w:val="007C1BB5"/>
    <w:rsid w:val="007C4901"/>
    <w:rsid w:val="007C51A8"/>
    <w:rsid w:val="007C6C91"/>
    <w:rsid w:val="007C7B9D"/>
    <w:rsid w:val="007C7E27"/>
    <w:rsid w:val="007C7FF9"/>
    <w:rsid w:val="007D08A0"/>
    <w:rsid w:val="007D16B8"/>
    <w:rsid w:val="007D28B1"/>
    <w:rsid w:val="007D4CC8"/>
    <w:rsid w:val="007D537E"/>
    <w:rsid w:val="007D5DEF"/>
    <w:rsid w:val="007D608B"/>
    <w:rsid w:val="007E015B"/>
    <w:rsid w:val="007E0E9D"/>
    <w:rsid w:val="007E1CFF"/>
    <w:rsid w:val="007E24B6"/>
    <w:rsid w:val="007E4966"/>
    <w:rsid w:val="007E4A9C"/>
    <w:rsid w:val="007E52CD"/>
    <w:rsid w:val="007E56E3"/>
    <w:rsid w:val="007E63FD"/>
    <w:rsid w:val="007F2DE0"/>
    <w:rsid w:val="007F4056"/>
    <w:rsid w:val="007F4357"/>
    <w:rsid w:val="007F49C2"/>
    <w:rsid w:val="007F4E7A"/>
    <w:rsid w:val="00800511"/>
    <w:rsid w:val="00801013"/>
    <w:rsid w:val="00802234"/>
    <w:rsid w:val="0080352B"/>
    <w:rsid w:val="008052C7"/>
    <w:rsid w:val="008101F0"/>
    <w:rsid w:val="00810381"/>
    <w:rsid w:val="00810E6A"/>
    <w:rsid w:val="00811243"/>
    <w:rsid w:val="00811C0A"/>
    <w:rsid w:val="00812754"/>
    <w:rsid w:val="00814BC9"/>
    <w:rsid w:val="008153A3"/>
    <w:rsid w:val="0081707B"/>
    <w:rsid w:val="00821315"/>
    <w:rsid w:val="00821C2A"/>
    <w:rsid w:val="00821E8C"/>
    <w:rsid w:val="008227D4"/>
    <w:rsid w:val="008242B5"/>
    <w:rsid w:val="00824D07"/>
    <w:rsid w:val="008264FA"/>
    <w:rsid w:val="00826E14"/>
    <w:rsid w:val="0083016D"/>
    <w:rsid w:val="008302FB"/>
    <w:rsid w:val="008303C1"/>
    <w:rsid w:val="008303F2"/>
    <w:rsid w:val="00832250"/>
    <w:rsid w:val="00832E35"/>
    <w:rsid w:val="00833ECB"/>
    <w:rsid w:val="008341A5"/>
    <w:rsid w:val="00834584"/>
    <w:rsid w:val="00834A8D"/>
    <w:rsid w:val="008357CB"/>
    <w:rsid w:val="00836216"/>
    <w:rsid w:val="008375E6"/>
    <w:rsid w:val="00837D81"/>
    <w:rsid w:val="00840080"/>
    <w:rsid w:val="00840BDC"/>
    <w:rsid w:val="00844097"/>
    <w:rsid w:val="00844347"/>
    <w:rsid w:val="0084549B"/>
    <w:rsid w:val="0084566E"/>
    <w:rsid w:val="00851529"/>
    <w:rsid w:val="008515B6"/>
    <w:rsid w:val="00851BBC"/>
    <w:rsid w:val="00853438"/>
    <w:rsid w:val="00853459"/>
    <w:rsid w:val="00853DCF"/>
    <w:rsid w:val="008547DB"/>
    <w:rsid w:val="00854C94"/>
    <w:rsid w:val="00855F03"/>
    <w:rsid w:val="00856044"/>
    <w:rsid w:val="00856867"/>
    <w:rsid w:val="00856F7D"/>
    <w:rsid w:val="0086084B"/>
    <w:rsid w:val="00861923"/>
    <w:rsid w:val="0086232B"/>
    <w:rsid w:val="00862505"/>
    <w:rsid w:val="008625CA"/>
    <w:rsid w:val="00862C0A"/>
    <w:rsid w:val="00863151"/>
    <w:rsid w:val="008633A2"/>
    <w:rsid w:val="0086493C"/>
    <w:rsid w:val="0086521C"/>
    <w:rsid w:val="00865247"/>
    <w:rsid w:val="00865249"/>
    <w:rsid w:val="00865B0F"/>
    <w:rsid w:val="00865EDD"/>
    <w:rsid w:val="0086638F"/>
    <w:rsid w:val="008667DF"/>
    <w:rsid w:val="00867C92"/>
    <w:rsid w:val="00867EE6"/>
    <w:rsid w:val="00867F02"/>
    <w:rsid w:val="00870D67"/>
    <w:rsid w:val="00873A00"/>
    <w:rsid w:val="00873E83"/>
    <w:rsid w:val="00874291"/>
    <w:rsid w:val="00874C05"/>
    <w:rsid w:val="00876875"/>
    <w:rsid w:val="00876876"/>
    <w:rsid w:val="00876AD1"/>
    <w:rsid w:val="00877710"/>
    <w:rsid w:val="00877DE4"/>
    <w:rsid w:val="00880915"/>
    <w:rsid w:val="00880DED"/>
    <w:rsid w:val="008822D6"/>
    <w:rsid w:val="00882492"/>
    <w:rsid w:val="00882A26"/>
    <w:rsid w:val="00882F81"/>
    <w:rsid w:val="008833DD"/>
    <w:rsid w:val="00883444"/>
    <w:rsid w:val="0088458A"/>
    <w:rsid w:val="00884979"/>
    <w:rsid w:val="00886CED"/>
    <w:rsid w:val="00886F38"/>
    <w:rsid w:val="0088720C"/>
    <w:rsid w:val="00890CF1"/>
    <w:rsid w:val="00890F30"/>
    <w:rsid w:val="00895287"/>
    <w:rsid w:val="008952EF"/>
    <w:rsid w:val="008971A6"/>
    <w:rsid w:val="00897497"/>
    <w:rsid w:val="0089767D"/>
    <w:rsid w:val="00897989"/>
    <w:rsid w:val="00897A5C"/>
    <w:rsid w:val="008A0BB5"/>
    <w:rsid w:val="008A2443"/>
    <w:rsid w:val="008A32D2"/>
    <w:rsid w:val="008A6A6A"/>
    <w:rsid w:val="008A71EC"/>
    <w:rsid w:val="008A7DB4"/>
    <w:rsid w:val="008B01E4"/>
    <w:rsid w:val="008B0D8F"/>
    <w:rsid w:val="008B11E4"/>
    <w:rsid w:val="008B1C8C"/>
    <w:rsid w:val="008B2097"/>
    <w:rsid w:val="008B2703"/>
    <w:rsid w:val="008B3A26"/>
    <w:rsid w:val="008B5D97"/>
    <w:rsid w:val="008B624D"/>
    <w:rsid w:val="008B6761"/>
    <w:rsid w:val="008B7AE8"/>
    <w:rsid w:val="008C0D4F"/>
    <w:rsid w:val="008C3BAF"/>
    <w:rsid w:val="008C3DB9"/>
    <w:rsid w:val="008C54AB"/>
    <w:rsid w:val="008C6D00"/>
    <w:rsid w:val="008D04EA"/>
    <w:rsid w:val="008D0810"/>
    <w:rsid w:val="008D1174"/>
    <w:rsid w:val="008D1A47"/>
    <w:rsid w:val="008D1CCE"/>
    <w:rsid w:val="008D25C4"/>
    <w:rsid w:val="008D28EA"/>
    <w:rsid w:val="008D3059"/>
    <w:rsid w:val="008D3281"/>
    <w:rsid w:val="008D3323"/>
    <w:rsid w:val="008D4538"/>
    <w:rsid w:val="008D6210"/>
    <w:rsid w:val="008D710D"/>
    <w:rsid w:val="008D7313"/>
    <w:rsid w:val="008E0B5D"/>
    <w:rsid w:val="008E0C63"/>
    <w:rsid w:val="008E1EBD"/>
    <w:rsid w:val="008E53DF"/>
    <w:rsid w:val="008E6278"/>
    <w:rsid w:val="008E6279"/>
    <w:rsid w:val="008E77D0"/>
    <w:rsid w:val="008F05C4"/>
    <w:rsid w:val="008F13EC"/>
    <w:rsid w:val="008F1EC0"/>
    <w:rsid w:val="008F2ED5"/>
    <w:rsid w:val="008F56F4"/>
    <w:rsid w:val="008F61CC"/>
    <w:rsid w:val="008F7808"/>
    <w:rsid w:val="008F78DC"/>
    <w:rsid w:val="009010D2"/>
    <w:rsid w:val="009012C7"/>
    <w:rsid w:val="00902659"/>
    <w:rsid w:val="00902C7C"/>
    <w:rsid w:val="009037D9"/>
    <w:rsid w:val="009042D0"/>
    <w:rsid w:val="00904451"/>
    <w:rsid w:val="009049F9"/>
    <w:rsid w:val="00905305"/>
    <w:rsid w:val="00907E53"/>
    <w:rsid w:val="009107B6"/>
    <w:rsid w:val="00912373"/>
    <w:rsid w:val="00913622"/>
    <w:rsid w:val="00913B2C"/>
    <w:rsid w:val="00913BE4"/>
    <w:rsid w:val="00916598"/>
    <w:rsid w:val="00916AA4"/>
    <w:rsid w:val="00916BAD"/>
    <w:rsid w:val="00917639"/>
    <w:rsid w:val="00917B48"/>
    <w:rsid w:val="00921CCF"/>
    <w:rsid w:val="009236CD"/>
    <w:rsid w:val="00923CA6"/>
    <w:rsid w:val="00923CC1"/>
    <w:rsid w:val="00924089"/>
    <w:rsid w:val="00924097"/>
    <w:rsid w:val="009249BD"/>
    <w:rsid w:val="00924C5F"/>
    <w:rsid w:val="009267E5"/>
    <w:rsid w:val="009311E3"/>
    <w:rsid w:val="0093282D"/>
    <w:rsid w:val="0093361E"/>
    <w:rsid w:val="0093372D"/>
    <w:rsid w:val="00934D3C"/>
    <w:rsid w:val="00936E8E"/>
    <w:rsid w:val="0093790D"/>
    <w:rsid w:val="00940C92"/>
    <w:rsid w:val="009417FB"/>
    <w:rsid w:val="00941D45"/>
    <w:rsid w:val="00942243"/>
    <w:rsid w:val="00944218"/>
    <w:rsid w:val="00944759"/>
    <w:rsid w:val="00944A3A"/>
    <w:rsid w:val="00946B56"/>
    <w:rsid w:val="00947239"/>
    <w:rsid w:val="00947610"/>
    <w:rsid w:val="00947A9A"/>
    <w:rsid w:val="00947B6E"/>
    <w:rsid w:val="00947F30"/>
    <w:rsid w:val="00951DFC"/>
    <w:rsid w:val="00952200"/>
    <w:rsid w:val="00952FAD"/>
    <w:rsid w:val="00953837"/>
    <w:rsid w:val="00953E57"/>
    <w:rsid w:val="00955576"/>
    <w:rsid w:val="00955677"/>
    <w:rsid w:val="00957A69"/>
    <w:rsid w:val="00957A90"/>
    <w:rsid w:val="0096083B"/>
    <w:rsid w:val="00961507"/>
    <w:rsid w:val="0096333B"/>
    <w:rsid w:val="009636E5"/>
    <w:rsid w:val="00964685"/>
    <w:rsid w:val="00966A10"/>
    <w:rsid w:val="00966BA6"/>
    <w:rsid w:val="0096714F"/>
    <w:rsid w:val="00970429"/>
    <w:rsid w:val="009727F7"/>
    <w:rsid w:val="009762A1"/>
    <w:rsid w:val="00976CF0"/>
    <w:rsid w:val="009774D0"/>
    <w:rsid w:val="00977753"/>
    <w:rsid w:val="009819B7"/>
    <w:rsid w:val="00981F3D"/>
    <w:rsid w:val="00983D15"/>
    <w:rsid w:val="00985CFE"/>
    <w:rsid w:val="00991452"/>
    <w:rsid w:val="0099331F"/>
    <w:rsid w:val="009940F3"/>
    <w:rsid w:val="00995301"/>
    <w:rsid w:val="009953D2"/>
    <w:rsid w:val="0099570E"/>
    <w:rsid w:val="00995B6D"/>
    <w:rsid w:val="00996B6B"/>
    <w:rsid w:val="00997D9E"/>
    <w:rsid w:val="009A466E"/>
    <w:rsid w:val="009A54BB"/>
    <w:rsid w:val="009A674F"/>
    <w:rsid w:val="009A76C4"/>
    <w:rsid w:val="009A7891"/>
    <w:rsid w:val="009A7F88"/>
    <w:rsid w:val="009B0CD4"/>
    <w:rsid w:val="009B2B83"/>
    <w:rsid w:val="009B3DD3"/>
    <w:rsid w:val="009B45CD"/>
    <w:rsid w:val="009B4C71"/>
    <w:rsid w:val="009B526A"/>
    <w:rsid w:val="009B596A"/>
    <w:rsid w:val="009B61A1"/>
    <w:rsid w:val="009C094B"/>
    <w:rsid w:val="009C0C6D"/>
    <w:rsid w:val="009C3225"/>
    <w:rsid w:val="009C385D"/>
    <w:rsid w:val="009C3F77"/>
    <w:rsid w:val="009C6CCE"/>
    <w:rsid w:val="009D1972"/>
    <w:rsid w:val="009D1AE9"/>
    <w:rsid w:val="009D3283"/>
    <w:rsid w:val="009D3634"/>
    <w:rsid w:val="009D3797"/>
    <w:rsid w:val="009D4D0C"/>
    <w:rsid w:val="009D5141"/>
    <w:rsid w:val="009D6E1B"/>
    <w:rsid w:val="009E22EE"/>
    <w:rsid w:val="009E248F"/>
    <w:rsid w:val="009E2F5F"/>
    <w:rsid w:val="009E4C32"/>
    <w:rsid w:val="009F111A"/>
    <w:rsid w:val="009F15A4"/>
    <w:rsid w:val="009F2767"/>
    <w:rsid w:val="009F396B"/>
    <w:rsid w:val="009F4086"/>
    <w:rsid w:val="009F41CC"/>
    <w:rsid w:val="009F45E2"/>
    <w:rsid w:val="009F524B"/>
    <w:rsid w:val="009F5E7B"/>
    <w:rsid w:val="009F7BC2"/>
    <w:rsid w:val="00A00AE9"/>
    <w:rsid w:val="00A01464"/>
    <w:rsid w:val="00A02416"/>
    <w:rsid w:val="00A03B0E"/>
    <w:rsid w:val="00A04187"/>
    <w:rsid w:val="00A053E0"/>
    <w:rsid w:val="00A05510"/>
    <w:rsid w:val="00A05861"/>
    <w:rsid w:val="00A0796F"/>
    <w:rsid w:val="00A10851"/>
    <w:rsid w:val="00A10C55"/>
    <w:rsid w:val="00A13212"/>
    <w:rsid w:val="00A13884"/>
    <w:rsid w:val="00A13A47"/>
    <w:rsid w:val="00A164D9"/>
    <w:rsid w:val="00A166FF"/>
    <w:rsid w:val="00A2058A"/>
    <w:rsid w:val="00A2124D"/>
    <w:rsid w:val="00A25492"/>
    <w:rsid w:val="00A263E5"/>
    <w:rsid w:val="00A268B1"/>
    <w:rsid w:val="00A278B5"/>
    <w:rsid w:val="00A27991"/>
    <w:rsid w:val="00A30BF5"/>
    <w:rsid w:val="00A314E4"/>
    <w:rsid w:val="00A31DB4"/>
    <w:rsid w:val="00A323BF"/>
    <w:rsid w:val="00A33D37"/>
    <w:rsid w:val="00A369C3"/>
    <w:rsid w:val="00A36CF4"/>
    <w:rsid w:val="00A37318"/>
    <w:rsid w:val="00A376FC"/>
    <w:rsid w:val="00A4056F"/>
    <w:rsid w:val="00A40819"/>
    <w:rsid w:val="00A4201D"/>
    <w:rsid w:val="00A42142"/>
    <w:rsid w:val="00A431CE"/>
    <w:rsid w:val="00A43E3D"/>
    <w:rsid w:val="00A44D5A"/>
    <w:rsid w:val="00A506AA"/>
    <w:rsid w:val="00A53835"/>
    <w:rsid w:val="00A545A2"/>
    <w:rsid w:val="00A564A7"/>
    <w:rsid w:val="00A57D1D"/>
    <w:rsid w:val="00A6171F"/>
    <w:rsid w:val="00A61C01"/>
    <w:rsid w:val="00A62CEC"/>
    <w:rsid w:val="00A62E89"/>
    <w:rsid w:val="00A63027"/>
    <w:rsid w:val="00A64D8D"/>
    <w:rsid w:val="00A65930"/>
    <w:rsid w:val="00A66B98"/>
    <w:rsid w:val="00A678EF"/>
    <w:rsid w:val="00A71013"/>
    <w:rsid w:val="00A71705"/>
    <w:rsid w:val="00A71874"/>
    <w:rsid w:val="00A72DB0"/>
    <w:rsid w:val="00A73092"/>
    <w:rsid w:val="00A73C9E"/>
    <w:rsid w:val="00A753EA"/>
    <w:rsid w:val="00A75E47"/>
    <w:rsid w:val="00A7774F"/>
    <w:rsid w:val="00A77E35"/>
    <w:rsid w:val="00A80C2A"/>
    <w:rsid w:val="00A8138B"/>
    <w:rsid w:val="00A83589"/>
    <w:rsid w:val="00A8659F"/>
    <w:rsid w:val="00A86792"/>
    <w:rsid w:val="00A9039C"/>
    <w:rsid w:val="00A90A74"/>
    <w:rsid w:val="00A91309"/>
    <w:rsid w:val="00A918BD"/>
    <w:rsid w:val="00A91F46"/>
    <w:rsid w:val="00A937A3"/>
    <w:rsid w:val="00A944B5"/>
    <w:rsid w:val="00A959B6"/>
    <w:rsid w:val="00A95CC8"/>
    <w:rsid w:val="00A96350"/>
    <w:rsid w:val="00A97376"/>
    <w:rsid w:val="00A97440"/>
    <w:rsid w:val="00AA0A45"/>
    <w:rsid w:val="00AA1622"/>
    <w:rsid w:val="00AA321A"/>
    <w:rsid w:val="00AA66C5"/>
    <w:rsid w:val="00AA7049"/>
    <w:rsid w:val="00AA778F"/>
    <w:rsid w:val="00AA7A37"/>
    <w:rsid w:val="00AA7A8D"/>
    <w:rsid w:val="00AB0507"/>
    <w:rsid w:val="00AB2331"/>
    <w:rsid w:val="00AB24DC"/>
    <w:rsid w:val="00AB2EB2"/>
    <w:rsid w:val="00AB37F2"/>
    <w:rsid w:val="00AB3C1D"/>
    <w:rsid w:val="00AB3E2C"/>
    <w:rsid w:val="00AB5807"/>
    <w:rsid w:val="00AB6441"/>
    <w:rsid w:val="00AB6993"/>
    <w:rsid w:val="00AC0230"/>
    <w:rsid w:val="00AC1C2D"/>
    <w:rsid w:val="00AC3510"/>
    <w:rsid w:val="00AC601E"/>
    <w:rsid w:val="00AC70A7"/>
    <w:rsid w:val="00AC7448"/>
    <w:rsid w:val="00AC745A"/>
    <w:rsid w:val="00AD1349"/>
    <w:rsid w:val="00AD2C00"/>
    <w:rsid w:val="00AD2DC0"/>
    <w:rsid w:val="00AD2E81"/>
    <w:rsid w:val="00AD392D"/>
    <w:rsid w:val="00AD3CBE"/>
    <w:rsid w:val="00AD3EFC"/>
    <w:rsid w:val="00AD4BC1"/>
    <w:rsid w:val="00AD4F51"/>
    <w:rsid w:val="00AD7546"/>
    <w:rsid w:val="00AD7699"/>
    <w:rsid w:val="00AE02B9"/>
    <w:rsid w:val="00AE11FB"/>
    <w:rsid w:val="00AE24A6"/>
    <w:rsid w:val="00AE3A9B"/>
    <w:rsid w:val="00AE466D"/>
    <w:rsid w:val="00AE4F32"/>
    <w:rsid w:val="00AE5480"/>
    <w:rsid w:val="00AE6859"/>
    <w:rsid w:val="00AE6DEC"/>
    <w:rsid w:val="00AE75D5"/>
    <w:rsid w:val="00AF01B5"/>
    <w:rsid w:val="00AF24BE"/>
    <w:rsid w:val="00AF2E24"/>
    <w:rsid w:val="00AF49BE"/>
    <w:rsid w:val="00AF4BF3"/>
    <w:rsid w:val="00AF53F1"/>
    <w:rsid w:val="00AF6359"/>
    <w:rsid w:val="00AF675C"/>
    <w:rsid w:val="00B003CF"/>
    <w:rsid w:val="00B01F19"/>
    <w:rsid w:val="00B03442"/>
    <w:rsid w:val="00B035DC"/>
    <w:rsid w:val="00B042CB"/>
    <w:rsid w:val="00B0491E"/>
    <w:rsid w:val="00B04EBB"/>
    <w:rsid w:val="00B04FD0"/>
    <w:rsid w:val="00B05A40"/>
    <w:rsid w:val="00B05CAC"/>
    <w:rsid w:val="00B0759E"/>
    <w:rsid w:val="00B07FEA"/>
    <w:rsid w:val="00B108C9"/>
    <w:rsid w:val="00B112AF"/>
    <w:rsid w:val="00B11940"/>
    <w:rsid w:val="00B11B26"/>
    <w:rsid w:val="00B11FFD"/>
    <w:rsid w:val="00B134A7"/>
    <w:rsid w:val="00B138C4"/>
    <w:rsid w:val="00B1522F"/>
    <w:rsid w:val="00B158FA"/>
    <w:rsid w:val="00B15CCC"/>
    <w:rsid w:val="00B17811"/>
    <w:rsid w:val="00B2146E"/>
    <w:rsid w:val="00B21BA6"/>
    <w:rsid w:val="00B21FC8"/>
    <w:rsid w:val="00B23722"/>
    <w:rsid w:val="00B24651"/>
    <w:rsid w:val="00B2547C"/>
    <w:rsid w:val="00B25E8C"/>
    <w:rsid w:val="00B269FC"/>
    <w:rsid w:val="00B30C5E"/>
    <w:rsid w:val="00B314D2"/>
    <w:rsid w:val="00B31ABF"/>
    <w:rsid w:val="00B3271C"/>
    <w:rsid w:val="00B32D3D"/>
    <w:rsid w:val="00B34792"/>
    <w:rsid w:val="00B356F6"/>
    <w:rsid w:val="00B3653C"/>
    <w:rsid w:val="00B41D49"/>
    <w:rsid w:val="00B4329B"/>
    <w:rsid w:val="00B45BE3"/>
    <w:rsid w:val="00B46C24"/>
    <w:rsid w:val="00B47285"/>
    <w:rsid w:val="00B47D72"/>
    <w:rsid w:val="00B503BF"/>
    <w:rsid w:val="00B516F8"/>
    <w:rsid w:val="00B5170E"/>
    <w:rsid w:val="00B520F1"/>
    <w:rsid w:val="00B56024"/>
    <w:rsid w:val="00B610A5"/>
    <w:rsid w:val="00B6167A"/>
    <w:rsid w:val="00B619B2"/>
    <w:rsid w:val="00B61DF5"/>
    <w:rsid w:val="00B633E6"/>
    <w:rsid w:val="00B640FC"/>
    <w:rsid w:val="00B64A95"/>
    <w:rsid w:val="00B65504"/>
    <w:rsid w:val="00B65ADE"/>
    <w:rsid w:val="00B66B69"/>
    <w:rsid w:val="00B6785E"/>
    <w:rsid w:val="00B6796B"/>
    <w:rsid w:val="00B67B32"/>
    <w:rsid w:val="00B67DFA"/>
    <w:rsid w:val="00B7090A"/>
    <w:rsid w:val="00B72BAE"/>
    <w:rsid w:val="00B73256"/>
    <w:rsid w:val="00B73C34"/>
    <w:rsid w:val="00B73EF4"/>
    <w:rsid w:val="00B755AA"/>
    <w:rsid w:val="00B756A9"/>
    <w:rsid w:val="00B76659"/>
    <w:rsid w:val="00B773F7"/>
    <w:rsid w:val="00B777AA"/>
    <w:rsid w:val="00B808AC"/>
    <w:rsid w:val="00B82398"/>
    <w:rsid w:val="00B828ED"/>
    <w:rsid w:val="00B82BD1"/>
    <w:rsid w:val="00B83FAC"/>
    <w:rsid w:val="00B84A76"/>
    <w:rsid w:val="00B86830"/>
    <w:rsid w:val="00B8783E"/>
    <w:rsid w:val="00B9041F"/>
    <w:rsid w:val="00B910A0"/>
    <w:rsid w:val="00B9178F"/>
    <w:rsid w:val="00B91FBC"/>
    <w:rsid w:val="00B95199"/>
    <w:rsid w:val="00B9753A"/>
    <w:rsid w:val="00B97F82"/>
    <w:rsid w:val="00BA051C"/>
    <w:rsid w:val="00BA086B"/>
    <w:rsid w:val="00BA35C0"/>
    <w:rsid w:val="00BA3F7A"/>
    <w:rsid w:val="00BA4AB0"/>
    <w:rsid w:val="00BA5060"/>
    <w:rsid w:val="00BA5CAC"/>
    <w:rsid w:val="00BA5E58"/>
    <w:rsid w:val="00BA696D"/>
    <w:rsid w:val="00BA7930"/>
    <w:rsid w:val="00BA7DA2"/>
    <w:rsid w:val="00BB00FD"/>
    <w:rsid w:val="00BB1641"/>
    <w:rsid w:val="00BB2225"/>
    <w:rsid w:val="00BB2A36"/>
    <w:rsid w:val="00BB58DA"/>
    <w:rsid w:val="00BB7A95"/>
    <w:rsid w:val="00BC1851"/>
    <w:rsid w:val="00BC1E7F"/>
    <w:rsid w:val="00BC2024"/>
    <w:rsid w:val="00BC253D"/>
    <w:rsid w:val="00BC38F7"/>
    <w:rsid w:val="00BC4F49"/>
    <w:rsid w:val="00BC5BEE"/>
    <w:rsid w:val="00BC5E7A"/>
    <w:rsid w:val="00BD15C1"/>
    <w:rsid w:val="00BD2378"/>
    <w:rsid w:val="00BD2959"/>
    <w:rsid w:val="00BD2B97"/>
    <w:rsid w:val="00BD331C"/>
    <w:rsid w:val="00BD345F"/>
    <w:rsid w:val="00BD42C5"/>
    <w:rsid w:val="00BD4329"/>
    <w:rsid w:val="00BD6678"/>
    <w:rsid w:val="00BD71A1"/>
    <w:rsid w:val="00BE0C81"/>
    <w:rsid w:val="00BE0ED3"/>
    <w:rsid w:val="00BE109F"/>
    <w:rsid w:val="00BE1D4A"/>
    <w:rsid w:val="00BE2D46"/>
    <w:rsid w:val="00BE2D70"/>
    <w:rsid w:val="00BE358A"/>
    <w:rsid w:val="00BE4682"/>
    <w:rsid w:val="00BE4AA1"/>
    <w:rsid w:val="00BE4CE0"/>
    <w:rsid w:val="00BE57BB"/>
    <w:rsid w:val="00BE5EF2"/>
    <w:rsid w:val="00BF17CF"/>
    <w:rsid w:val="00BF1DD0"/>
    <w:rsid w:val="00BF4B1A"/>
    <w:rsid w:val="00BF6213"/>
    <w:rsid w:val="00BF7077"/>
    <w:rsid w:val="00BF79E2"/>
    <w:rsid w:val="00C01F5C"/>
    <w:rsid w:val="00C03815"/>
    <w:rsid w:val="00C03AA6"/>
    <w:rsid w:val="00C03AA8"/>
    <w:rsid w:val="00C03CDF"/>
    <w:rsid w:val="00C041A3"/>
    <w:rsid w:val="00C078EA"/>
    <w:rsid w:val="00C10481"/>
    <w:rsid w:val="00C10AF5"/>
    <w:rsid w:val="00C11FCD"/>
    <w:rsid w:val="00C1217A"/>
    <w:rsid w:val="00C12544"/>
    <w:rsid w:val="00C14CA4"/>
    <w:rsid w:val="00C14CE3"/>
    <w:rsid w:val="00C14EDF"/>
    <w:rsid w:val="00C155FA"/>
    <w:rsid w:val="00C169E4"/>
    <w:rsid w:val="00C2121F"/>
    <w:rsid w:val="00C216CB"/>
    <w:rsid w:val="00C2269B"/>
    <w:rsid w:val="00C22CAE"/>
    <w:rsid w:val="00C23144"/>
    <w:rsid w:val="00C23C1B"/>
    <w:rsid w:val="00C24A8E"/>
    <w:rsid w:val="00C24F4F"/>
    <w:rsid w:val="00C27E2D"/>
    <w:rsid w:val="00C3080C"/>
    <w:rsid w:val="00C30B67"/>
    <w:rsid w:val="00C33115"/>
    <w:rsid w:val="00C3659B"/>
    <w:rsid w:val="00C409A3"/>
    <w:rsid w:val="00C41CCA"/>
    <w:rsid w:val="00C42F31"/>
    <w:rsid w:val="00C44118"/>
    <w:rsid w:val="00C4427A"/>
    <w:rsid w:val="00C44348"/>
    <w:rsid w:val="00C45D57"/>
    <w:rsid w:val="00C47BB2"/>
    <w:rsid w:val="00C50138"/>
    <w:rsid w:val="00C510E5"/>
    <w:rsid w:val="00C513C2"/>
    <w:rsid w:val="00C51C1A"/>
    <w:rsid w:val="00C51D5B"/>
    <w:rsid w:val="00C52CDF"/>
    <w:rsid w:val="00C53DA4"/>
    <w:rsid w:val="00C54340"/>
    <w:rsid w:val="00C551A8"/>
    <w:rsid w:val="00C565B9"/>
    <w:rsid w:val="00C609FE"/>
    <w:rsid w:val="00C60DFD"/>
    <w:rsid w:val="00C61DE3"/>
    <w:rsid w:val="00C63F5B"/>
    <w:rsid w:val="00C64C9B"/>
    <w:rsid w:val="00C668A5"/>
    <w:rsid w:val="00C7027D"/>
    <w:rsid w:val="00C70BD6"/>
    <w:rsid w:val="00C71954"/>
    <w:rsid w:val="00C7196B"/>
    <w:rsid w:val="00C72A64"/>
    <w:rsid w:val="00C738D9"/>
    <w:rsid w:val="00C73ADC"/>
    <w:rsid w:val="00C7435F"/>
    <w:rsid w:val="00C743A3"/>
    <w:rsid w:val="00C74C3B"/>
    <w:rsid w:val="00C74C7C"/>
    <w:rsid w:val="00C74D4D"/>
    <w:rsid w:val="00C83089"/>
    <w:rsid w:val="00C83CC1"/>
    <w:rsid w:val="00C8581D"/>
    <w:rsid w:val="00C86059"/>
    <w:rsid w:val="00C86ECA"/>
    <w:rsid w:val="00C90987"/>
    <w:rsid w:val="00C92155"/>
    <w:rsid w:val="00C923D4"/>
    <w:rsid w:val="00C92D36"/>
    <w:rsid w:val="00C9358A"/>
    <w:rsid w:val="00C944AE"/>
    <w:rsid w:val="00C9494D"/>
    <w:rsid w:val="00C94D36"/>
    <w:rsid w:val="00C965A4"/>
    <w:rsid w:val="00C967DE"/>
    <w:rsid w:val="00C96A20"/>
    <w:rsid w:val="00C96A35"/>
    <w:rsid w:val="00C971DB"/>
    <w:rsid w:val="00CA0105"/>
    <w:rsid w:val="00CA0124"/>
    <w:rsid w:val="00CA08EA"/>
    <w:rsid w:val="00CA2E4E"/>
    <w:rsid w:val="00CA4583"/>
    <w:rsid w:val="00CA5E90"/>
    <w:rsid w:val="00CA6773"/>
    <w:rsid w:val="00CB04D9"/>
    <w:rsid w:val="00CB0C3A"/>
    <w:rsid w:val="00CB1342"/>
    <w:rsid w:val="00CB1B60"/>
    <w:rsid w:val="00CB1C53"/>
    <w:rsid w:val="00CB1EDF"/>
    <w:rsid w:val="00CB22F5"/>
    <w:rsid w:val="00CB2FCD"/>
    <w:rsid w:val="00CB3240"/>
    <w:rsid w:val="00CB454C"/>
    <w:rsid w:val="00CB529E"/>
    <w:rsid w:val="00CB60B4"/>
    <w:rsid w:val="00CB6EA9"/>
    <w:rsid w:val="00CB6F86"/>
    <w:rsid w:val="00CB6FF9"/>
    <w:rsid w:val="00CB7C02"/>
    <w:rsid w:val="00CC01BC"/>
    <w:rsid w:val="00CC0763"/>
    <w:rsid w:val="00CC0FB0"/>
    <w:rsid w:val="00CC10CD"/>
    <w:rsid w:val="00CC283B"/>
    <w:rsid w:val="00CC3862"/>
    <w:rsid w:val="00CC3D9A"/>
    <w:rsid w:val="00CC4CF7"/>
    <w:rsid w:val="00CC5390"/>
    <w:rsid w:val="00CC61B5"/>
    <w:rsid w:val="00CC7176"/>
    <w:rsid w:val="00CC73A0"/>
    <w:rsid w:val="00CC7775"/>
    <w:rsid w:val="00CC7F94"/>
    <w:rsid w:val="00CD034D"/>
    <w:rsid w:val="00CD078F"/>
    <w:rsid w:val="00CD0D19"/>
    <w:rsid w:val="00CD1F5E"/>
    <w:rsid w:val="00CD2776"/>
    <w:rsid w:val="00CD2EA0"/>
    <w:rsid w:val="00CD3E57"/>
    <w:rsid w:val="00CD40A2"/>
    <w:rsid w:val="00CD5624"/>
    <w:rsid w:val="00CD56D3"/>
    <w:rsid w:val="00CD5844"/>
    <w:rsid w:val="00CD594A"/>
    <w:rsid w:val="00CD6793"/>
    <w:rsid w:val="00CD6CF6"/>
    <w:rsid w:val="00CD6D13"/>
    <w:rsid w:val="00CD7813"/>
    <w:rsid w:val="00CE0303"/>
    <w:rsid w:val="00CE20A7"/>
    <w:rsid w:val="00CE3A9C"/>
    <w:rsid w:val="00CE4EF2"/>
    <w:rsid w:val="00CE567C"/>
    <w:rsid w:val="00CE644F"/>
    <w:rsid w:val="00CE64B0"/>
    <w:rsid w:val="00CE68CC"/>
    <w:rsid w:val="00CE6D8D"/>
    <w:rsid w:val="00CE7D98"/>
    <w:rsid w:val="00CF02B0"/>
    <w:rsid w:val="00CF0438"/>
    <w:rsid w:val="00CF0CB7"/>
    <w:rsid w:val="00CF1822"/>
    <w:rsid w:val="00CF4B43"/>
    <w:rsid w:val="00CF6428"/>
    <w:rsid w:val="00CF6E51"/>
    <w:rsid w:val="00CF7985"/>
    <w:rsid w:val="00D02932"/>
    <w:rsid w:val="00D02EBC"/>
    <w:rsid w:val="00D0323E"/>
    <w:rsid w:val="00D0588B"/>
    <w:rsid w:val="00D06041"/>
    <w:rsid w:val="00D06FB7"/>
    <w:rsid w:val="00D10484"/>
    <w:rsid w:val="00D1125C"/>
    <w:rsid w:val="00D128D1"/>
    <w:rsid w:val="00D12C01"/>
    <w:rsid w:val="00D13843"/>
    <w:rsid w:val="00D15B26"/>
    <w:rsid w:val="00D15F20"/>
    <w:rsid w:val="00D168FA"/>
    <w:rsid w:val="00D20DA2"/>
    <w:rsid w:val="00D22946"/>
    <w:rsid w:val="00D2295D"/>
    <w:rsid w:val="00D23195"/>
    <w:rsid w:val="00D27221"/>
    <w:rsid w:val="00D278DF"/>
    <w:rsid w:val="00D328E5"/>
    <w:rsid w:val="00D33FB6"/>
    <w:rsid w:val="00D3584B"/>
    <w:rsid w:val="00D35D5A"/>
    <w:rsid w:val="00D36ABE"/>
    <w:rsid w:val="00D377AC"/>
    <w:rsid w:val="00D40603"/>
    <w:rsid w:val="00D4079C"/>
    <w:rsid w:val="00D411C0"/>
    <w:rsid w:val="00D418F0"/>
    <w:rsid w:val="00D449CF"/>
    <w:rsid w:val="00D46488"/>
    <w:rsid w:val="00D466ED"/>
    <w:rsid w:val="00D476A0"/>
    <w:rsid w:val="00D50777"/>
    <w:rsid w:val="00D50FE1"/>
    <w:rsid w:val="00D516F3"/>
    <w:rsid w:val="00D520BA"/>
    <w:rsid w:val="00D539F8"/>
    <w:rsid w:val="00D5426A"/>
    <w:rsid w:val="00D5563B"/>
    <w:rsid w:val="00D560F9"/>
    <w:rsid w:val="00D5651E"/>
    <w:rsid w:val="00D57128"/>
    <w:rsid w:val="00D611C0"/>
    <w:rsid w:val="00D61427"/>
    <w:rsid w:val="00D61992"/>
    <w:rsid w:val="00D6249B"/>
    <w:rsid w:val="00D62F67"/>
    <w:rsid w:val="00D632FE"/>
    <w:rsid w:val="00D65181"/>
    <w:rsid w:val="00D72AD7"/>
    <w:rsid w:val="00D747CD"/>
    <w:rsid w:val="00D74943"/>
    <w:rsid w:val="00D76869"/>
    <w:rsid w:val="00D804DB"/>
    <w:rsid w:val="00D80B77"/>
    <w:rsid w:val="00D81165"/>
    <w:rsid w:val="00D85024"/>
    <w:rsid w:val="00D857BC"/>
    <w:rsid w:val="00D870AE"/>
    <w:rsid w:val="00D876D2"/>
    <w:rsid w:val="00D876D8"/>
    <w:rsid w:val="00D8787E"/>
    <w:rsid w:val="00D90774"/>
    <w:rsid w:val="00D9136A"/>
    <w:rsid w:val="00D93A19"/>
    <w:rsid w:val="00D93DA7"/>
    <w:rsid w:val="00D941D0"/>
    <w:rsid w:val="00D951B6"/>
    <w:rsid w:val="00D95B0C"/>
    <w:rsid w:val="00D96114"/>
    <w:rsid w:val="00D97344"/>
    <w:rsid w:val="00D9760A"/>
    <w:rsid w:val="00D97CBD"/>
    <w:rsid w:val="00DA0352"/>
    <w:rsid w:val="00DA1129"/>
    <w:rsid w:val="00DA23F0"/>
    <w:rsid w:val="00DA2614"/>
    <w:rsid w:val="00DA4566"/>
    <w:rsid w:val="00DA46BB"/>
    <w:rsid w:val="00DA629B"/>
    <w:rsid w:val="00DA6ED7"/>
    <w:rsid w:val="00DA7FA9"/>
    <w:rsid w:val="00DB4A71"/>
    <w:rsid w:val="00DB4E2B"/>
    <w:rsid w:val="00DB4F7A"/>
    <w:rsid w:val="00DB54C1"/>
    <w:rsid w:val="00DB7E65"/>
    <w:rsid w:val="00DC0061"/>
    <w:rsid w:val="00DC00C7"/>
    <w:rsid w:val="00DC0E05"/>
    <w:rsid w:val="00DC13F4"/>
    <w:rsid w:val="00DC151B"/>
    <w:rsid w:val="00DC27A8"/>
    <w:rsid w:val="00DC33DC"/>
    <w:rsid w:val="00DC42A5"/>
    <w:rsid w:val="00DC5330"/>
    <w:rsid w:val="00DC5D5B"/>
    <w:rsid w:val="00DC7670"/>
    <w:rsid w:val="00DC775D"/>
    <w:rsid w:val="00DC7933"/>
    <w:rsid w:val="00DC7A00"/>
    <w:rsid w:val="00DD316E"/>
    <w:rsid w:val="00DD33C5"/>
    <w:rsid w:val="00DD341C"/>
    <w:rsid w:val="00DD3656"/>
    <w:rsid w:val="00DD3E93"/>
    <w:rsid w:val="00DD4E1A"/>
    <w:rsid w:val="00DD5568"/>
    <w:rsid w:val="00DD66C4"/>
    <w:rsid w:val="00DD6989"/>
    <w:rsid w:val="00DD6C9D"/>
    <w:rsid w:val="00DE0A25"/>
    <w:rsid w:val="00DE1615"/>
    <w:rsid w:val="00DE1D94"/>
    <w:rsid w:val="00DE2474"/>
    <w:rsid w:val="00DE2725"/>
    <w:rsid w:val="00DE3D95"/>
    <w:rsid w:val="00DE4759"/>
    <w:rsid w:val="00DE4792"/>
    <w:rsid w:val="00DE4C7C"/>
    <w:rsid w:val="00DE6F8C"/>
    <w:rsid w:val="00DF0E85"/>
    <w:rsid w:val="00DF1CD9"/>
    <w:rsid w:val="00DF307A"/>
    <w:rsid w:val="00DF43D5"/>
    <w:rsid w:val="00DF4638"/>
    <w:rsid w:val="00DF497F"/>
    <w:rsid w:val="00DF54FF"/>
    <w:rsid w:val="00DF553B"/>
    <w:rsid w:val="00DF6702"/>
    <w:rsid w:val="00DF6CA7"/>
    <w:rsid w:val="00DF70EB"/>
    <w:rsid w:val="00DF7833"/>
    <w:rsid w:val="00E005ED"/>
    <w:rsid w:val="00E022A6"/>
    <w:rsid w:val="00E02886"/>
    <w:rsid w:val="00E02B15"/>
    <w:rsid w:val="00E0457B"/>
    <w:rsid w:val="00E05439"/>
    <w:rsid w:val="00E05E89"/>
    <w:rsid w:val="00E071C0"/>
    <w:rsid w:val="00E07A3F"/>
    <w:rsid w:val="00E1035E"/>
    <w:rsid w:val="00E11ED4"/>
    <w:rsid w:val="00E11FE2"/>
    <w:rsid w:val="00E12419"/>
    <w:rsid w:val="00E13111"/>
    <w:rsid w:val="00E13349"/>
    <w:rsid w:val="00E146A8"/>
    <w:rsid w:val="00E1478F"/>
    <w:rsid w:val="00E17DAA"/>
    <w:rsid w:val="00E2018A"/>
    <w:rsid w:val="00E20943"/>
    <w:rsid w:val="00E217A3"/>
    <w:rsid w:val="00E21CE0"/>
    <w:rsid w:val="00E220EA"/>
    <w:rsid w:val="00E22A3F"/>
    <w:rsid w:val="00E22B68"/>
    <w:rsid w:val="00E23430"/>
    <w:rsid w:val="00E24C5D"/>
    <w:rsid w:val="00E25938"/>
    <w:rsid w:val="00E25A9C"/>
    <w:rsid w:val="00E261B9"/>
    <w:rsid w:val="00E30ECC"/>
    <w:rsid w:val="00E312DB"/>
    <w:rsid w:val="00E31D87"/>
    <w:rsid w:val="00E32D59"/>
    <w:rsid w:val="00E33DD9"/>
    <w:rsid w:val="00E35A29"/>
    <w:rsid w:val="00E35BA2"/>
    <w:rsid w:val="00E36BE4"/>
    <w:rsid w:val="00E40C2C"/>
    <w:rsid w:val="00E413C8"/>
    <w:rsid w:val="00E4310D"/>
    <w:rsid w:val="00E4659F"/>
    <w:rsid w:val="00E46C64"/>
    <w:rsid w:val="00E53F99"/>
    <w:rsid w:val="00E543E5"/>
    <w:rsid w:val="00E546A4"/>
    <w:rsid w:val="00E548FE"/>
    <w:rsid w:val="00E55A48"/>
    <w:rsid w:val="00E55AF0"/>
    <w:rsid w:val="00E56259"/>
    <w:rsid w:val="00E56349"/>
    <w:rsid w:val="00E5719C"/>
    <w:rsid w:val="00E62487"/>
    <w:rsid w:val="00E62DFF"/>
    <w:rsid w:val="00E63612"/>
    <w:rsid w:val="00E646A0"/>
    <w:rsid w:val="00E65DC5"/>
    <w:rsid w:val="00E66F28"/>
    <w:rsid w:val="00E70AEE"/>
    <w:rsid w:val="00E71183"/>
    <w:rsid w:val="00E7255A"/>
    <w:rsid w:val="00E762D0"/>
    <w:rsid w:val="00E767A3"/>
    <w:rsid w:val="00E76EC1"/>
    <w:rsid w:val="00E80FBC"/>
    <w:rsid w:val="00E81349"/>
    <w:rsid w:val="00E843E3"/>
    <w:rsid w:val="00E84BEE"/>
    <w:rsid w:val="00E84FF3"/>
    <w:rsid w:val="00E8765E"/>
    <w:rsid w:val="00E90249"/>
    <w:rsid w:val="00E9075C"/>
    <w:rsid w:val="00E916F4"/>
    <w:rsid w:val="00E91CBC"/>
    <w:rsid w:val="00E92252"/>
    <w:rsid w:val="00E944A1"/>
    <w:rsid w:val="00E94EBE"/>
    <w:rsid w:val="00E95152"/>
    <w:rsid w:val="00E955BF"/>
    <w:rsid w:val="00E95D25"/>
    <w:rsid w:val="00E9787B"/>
    <w:rsid w:val="00E97B54"/>
    <w:rsid w:val="00EA14AE"/>
    <w:rsid w:val="00EA3214"/>
    <w:rsid w:val="00EA38F4"/>
    <w:rsid w:val="00EA3A0D"/>
    <w:rsid w:val="00EA5398"/>
    <w:rsid w:val="00EA691A"/>
    <w:rsid w:val="00EA7244"/>
    <w:rsid w:val="00EA737E"/>
    <w:rsid w:val="00EB0736"/>
    <w:rsid w:val="00EB0B3D"/>
    <w:rsid w:val="00EB0FB9"/>
    <w:rsid w:val="00EB32C1"/>
    <w:rsid w:val="00EB344B"/>
    <w:rsid w:val="00EB386E"/>
    <w:rsid w:val="00EB5AB6"/>
    <w:rsid w:val="00EB6D04"/>
    <w:rsid w:val="00EB7C7A"/>
    <w:rsid w:val="00EC079D"/>
    <w:rsid w:val="00EC2512"/>
    <w:rsid w:val="00EC3020"/>
    <w:rsid w:val="00EC34BC"/>
    <w:rsid w:val="00EC450B"/>
    <w:rsid w:val="00EC4CC7"/>
    <w:rsid w:val="00EC7219"/>
    <w:rsid w:val="00EC7341"/>
    <w:rsid w:val="00EC7AD7"/>
    <w:rsid w:val="00ED03E7"/>
    <w:rsid w:val="00ED1B62"/>
    <w:rsid w:val="00ED40D5"/>
    <w:rsid w:val="00ED4655"/>
    <w:rsid w:val="00ED607C"/>
    <w:rsid w:val="00ED6BA0"/>
    <w:rsid w:val="00ED7F0F"/>
    <w:rsid w:val="00EE0994"/>
    <w:rsid w:val="00EE1941"/>
    <w:rsid w:val="00EE233B"/>
    <w:rsid w:val="00EE28B1"/>
    <w:rsid w:val="00EE2AC2"/>
    <w:rsid w:val="00EE37D7"/>
    <w:rsid w:val="00EE62EC"/>
    <w:rsid w:val="00EE709B"/>
    <w:rsid w:val="00EE7E2A"/>
    <w:rsid w:val="00EF1554"/>
    <w:rsid w:val="00EF164D"/>
    <w:rsid w:val="00EF1C9B"/>
    <w:rsid w:val="00EF1E11"/>
    <w:rsid w:val="00EF2613"/>
    <w:rsid w:val="00EF27EE"/>
    <w:rsid w:val="00EF2B1E"/>
    <w:rsid w:val="00EF2E2E"/>
    <w:rsid w:val="00EF342A"/>
    <w:rsid w:val="00EF3A6D"/>
    <w:rsid w:val="00EF438F"/>
    <w:rsid w:val="00EF4BCA"/>
    <w:rsid w:val="00EF54D8"/>
    <w:rsid w:val="00EF5593"/>
    <w:rsid w:val="00EF57AC"/>
    <w:rsid w:val="00EF5BCF"/>
    <w:rsid w:val="00EF7A5E"/>
    <w:rsid w:val="00EF7B2A"/>
    <w:rsid w:val="00F02B49"/>
    <w:rsid w:val="00F0387D"/>
    <w:rsid w:val="00F04863"/>
    <w:rsid w:val="00F0681B"/>
    <w:rsid w:val="00F06869"/>
    <w:rsid w:val="00F13CEA"/>
    <w:rsid w:val="00F13F32"/>
    <w:rsid w:val="00F14193"/>
    <w:rsid w:val="00F155C9"/>
    <w:rsid w:val="00F16168"/>
    <w:rsid w:val="00F17485"/>
    <w:rsid w:val="00F17A6A"/>
    <w:rsid w:val="00F20AE5"/>
    <w:rsid w:val="00F20D1C"/>
    <w:rsid w:val="00F2110A"/>
    <w:rsid w:val="00F22D09"/>
    <w:rsid w:val="00F22F16"/>
    <w:rsid w:val="00F230DD"/>
    <w:rsid w:val="00F23629"/>
    <w:rsid w:val="00F23CB3"/>
    <w:rsid w:val="00F2544B"/>
    <w:rsid w:val="00F254C6"/>
    <w:rsid w:val="00F25B08"/>
    <w:rsid w:val="00F26979"/>
    <w:rsid w:val="00F26AAB"/>
    <w:rsid w:val="00F270CA"/>
    <w:rsid w:val="00F27564"/>
    <w:rsid w:val="00F319BF"/>
    <w:rsid w:val="00F322F0"/>
    <w:rsid w:val="00F3257F"/>
    <w:rsid w:val="00F32E57"/>
    <w:rsid w:val="00F330D7"/>
    <w:rsid w:val="00F33525"/>
    <w:rsid w:val="00F3521B"/>
    <w:rsid w:val="00F36F5D"/>
    <w:rsid w:val="00F4046A"/>
    <w:rsid w:val="00F4084C"/>
    <w:rsid w:val="00F42AEB"/>
    <w:rsid w:val="00F42BD3"/>
    <w:rsid w:val="00F42FC4"/>
    <w:rsid w:val="00F441BE"/>
    <w:rsid w:val="00F443FC"/>
    <w:rsid w:val="00F4488A"/>
    <w:rsid w:val="00F455EF"/>
    <w:rsid w:val="00F45BDC"/>
    <w:rsid w:val="00F47A31"/>
    <w:rsid w:val="00F47D10"/>
    <w:rsid w:val="00F51522"/>
    <w:rsid w:val="00F51BCE"/>
    <w:rsid w:val="00F52965"/>
    <w:rsid w:val="00F53641"/>
    <w:rsid w:val="00F54354"/>
    <w:rsid w:val="00F555FC"/>
    <w:rsid w:val="00F64C59"/>
    <w:rsid w:val="00F6592D"/>
    <w:rsid w:val="00F67472"/>
    <w:rsid w:val="00F71C7C"/>
    <w:rsid w:val="00F72F58"/>
    <w:rsid w:val="00F765E1"/>
    <w:rsid w:val="00F76664"/>
    <w:rsid w:val="00F80474"/>
    <w:rsid w:val="00F81AB7"/>
    <w:rsid w:val="00F8307D"/>
    <w:rsid w:val="00F83F64"/>
    <w:rsid w:val="00F84BFF"/>
    <w:rsid w:val="00F84D57"/>
    <w:rsid w:val="00F8602A"/>
    <w:rsid w:val="00F86B82"/>
    <w:rsid w:val="00F87CA1"/>
    <w:rsid w:val="00F9170F"/>
    <w:rsid w:val="00F922AA"/>
    <w:rsid w:val="00F9507F"/>
    <w:rsid w:val="00F95C6C"/>
    <w:rsid w:val="00F97FC7"/>
    <w:rsid w:val="00FA12B7"/>
    <w:rsid w:val="00FA17B2"/>
    <w:rsid w:val="00FA18A7"/>
    <w:rsid w:val="00FA18C3"/>
    <w:rsid w:val="00FA23E8"/>
    <w:rsid w:val="00FA34CC"/>
    <w:rsid w:val="00FA3C7B"/>
    <w:rsid w:val="00FA5CF6"/>
    <w:rsid w:val="00FA686F"/>
    <w:rsid w:val="00FB3B5D"/>
    <w:rsid w:val="00FB3FB5"/>
    <w:rsid w:val="00FB5A5C"/>
    <w:rsid w:val="00FB5FBE"/>
    <w:rsid w:val="00FB61EF"/>
    <w:rsid w:val="00FB6FA8"/>
    <w:rsid w:val="00FC255F"/>
    <w:rsid w:val="00FC2678"/>
    <w:rsid w:val="00FC324A"/>
    <w:rsid w:val="00FC501F"/>
    <w:rsid w:val="00FC5039"/>
    <w:rsid w:val="00FC6EE1"/>
    <w:rsid w:val="00FD062D"/>
    <w:rsid w:val="00FD18B2"/>
    <w:rsid w:val="00FD3454"/>
    <w:rsid w:val="00FD3AF2"/>
    <w:rsid w:val="00FD5467"/>
    <w:rsid w:val="00FD6D0E"/>
    <w:rsid w:val="00FD7CED"/>
    <w:rsid w:val="00FD7D0C"/>
    <w:rsid w:val="00FE02DE"/>
    <w:rsid w:val="00FE07F8"/>
    <w:rsid w:val="00FE0AFB"/>
    <w:rsid w:val="00FE11F6"/>
    <w:rsid w:val="00FE2A3B"/>
    <w:rsid w:val="00FE2BB4"/>
    <w:rsid w:val="00FE2F7F"/>
    <w:rsid w:val="00FE33D1"/>
    <w:rsid w:val="00FE3CC6"/>
    <w:rsid w:val="00FE4B13"/>
    <w:rsid w:val="00FE5691"/>
    <w:rsid w:val="00FE7A4F"/>
    <w:rsid w:val="00FF02A2"/>
    <w:rsid w:val="00FF09FE"/>
    <w:rsid w:val="00FF0F9B"/>
    <w:rsid w:val="00FF2A83"/>
    <w:rsid w:val="00FF4E64"/>
    <w:rsid w:val="00FF5DD5"/>
    <w:rsid w:val="00FF664C"/>
    <w:rsid w:val="00FF688C"/>
    <w:rsid w:val="00FF7819"/>
    <w:rsid w:val="00FF7DB3"/>
    <w:rsid w:val="00FF7EE4"/>
    <w:rsid w:val="01FDD292"/>
    <w:rsid w:val="03343D49"/>
    <w:rsid w:val="03ABFBC1"/>
    <w:rsid w:val="03FB6761"/>
    <w:rsid w:val="04A842DD"/>
    <w:rsid w:val="05115472"/>
    <w:rsid w:val="07A5CA34"/>
    <w:rsid w:val="0879D5AE"/>
    <w:rsid w:val="08C96EF0"/>
    <w:rsid w:val="0B20F9A4"/>
    <w:rsid w:val="0CD6C8E2"/>
    <w:rsid w:val="0D1B25FC"/>
    <w:rsid w:val="0D458C1C"/>
    <w:rsid w:val="0E0CDA7D"/>
    <w:rsid w:val="0EF774F8"/>
    <w:rsid w:val="0F865964"/>
    <w:rsid w:val="0FEADCB8"/>
    <w:rsid w:val="10B9CCE1"/>
    <w:rsid w:val="10F646EA"/>
    <w:rsid w:val="1174DE1E"/>
    <w:rsid w:val="118E25D2"/>
    <w:rsid w:val="14B88DC5"/>
    <w:rsid w:val="14BE4DDB"/>
    <w:rsid w:val="153FD142"/>
    <w:rsid w:val="16400262"/>
    <w:rsid w:val="168BB1CA"/>
    <w:rsid w:val="16DD5E9A"/>
    <w:rsid w:val="190D0892"/>
    <w:rsid w:val="197896A1"/>
    <w:rsid w:val="1985E77A"/>
    <w:rsid w:val="1A9E3202"/>
    <w:rsid w:val="1D415E47"/>
    <w:rsid w:val="1D9EDDA9"/>
    <w:rsid w:val="1EFB82AF"/>
    <w:rsid w:val="1F86CAFA"/>
    <w:rsid w:val="214B9DC9"/>
    <w:rsid w:val="2302CB33"/>
    <w:rsid w:val="240ED094"/>
    <w:rsid w:val="246FF141"/>
    <w:rsid w:val="265074F7"/>
    <w:rsid w:val="2655B2D8"/>
    <w:rsid w:val="26A87E29"/>
    <w:rsid w:val="270BE237"/>
    <w:rsid w:val="289D53CC"/>
    <w:rsid w:val="292F0F01"/>
    <w:rsid w:val="298EAEB0"/>
    <w:rsid w:val="299E2144"/>
    <w:rsid w:val="2A81308F"/>
    <w:rsid w:val="2AE38681"/>
    <w:rsid w:val="2B081428"/>
    <w:rsid w:val="2B3B09B8"/>
    <w:rsid w:val="2B844E1E"/>
    <w:rsid w:val="2B9EEE33"/>
    <w:rsid w:val="2BFBABBE"/>
    <w:rsid w:val="2CF1DEE6"/>
    <w:rsid w:val="2CF63441"/>
    <w:rsid w:val="2CF97F0C"/>
    <w:rsid w:val="2D960BA9"/>
    <w:rsid w:val="300921B9"/>
    <w:rsid w:val="3014E9D1"/>
    <w:rsid w:val="30DC9912"/>
    <w:rsid w:val="3152AA26"/>
    <w:rsid w:val="31987144"/>
    <w:rsid w:val="3207DC7F"/>
    <w:rsid w:val="320C096E"/>
    <w:rsid w:val="3345A429"/>
    <w:rsid w:val="3365DF7D"/>
    <w:rsid w:val="338AD733"/>
    <w:rsid w:val="33C629ED"/>
    <w:rsid w:val="33CD418D"/>
    <w:rsid w:val="348624F1"/>
    <w:rsid w:val="35AC07A8"/>
    <w:rsid w:val="35BF2473"/>
    <w:rsid w:val="369DDED0"/>
    <w:rsid w:val="371064C4"/>
    <w:rsid w:val="37FC8A8C"/>
    <w:rsid w:val="39788F36"/>
    <w:rsid w:val="3A3371AF"/>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AF0D6D6"/>
    <w:rsid w:val="4CC560BF"/>
    <w:rsid w:val="4D04151A"/>
    <w:rsid w:val="4D54D746"/>
    <w:rsid w:val="4E0EF0D1"/>
    <w:rsid w:val="4E25D18A"/>
    <w:rsid w:val="4E412C67"/>
    <w:rsid w:val="4E4B212C"/>
    <w:rsid w:val="4F4DC1C5"/>
    <w:rsid w:val="4F5AD084"/>
    <w:rsid w:val="4F5D6062"/>
    <w:rsid w:val="4FF5D099"/>
    <w:rsid w:val="5348577F"/>
    <w:rsid w:val="5441D815"/>
    <w:rsid w:val="575579AB"/>
    <w:rsid w:val="58679F10"/>
    <w:rsid w:val="59C908CE"/>
    <w:rsid w:val="5AAC2601"/>
    <w:rsid w:val="5B6B783E"/>
    <w:rsid w:val="5BCA9AF6"/>
    <w:rsid w:val="5DDEE69A"/>
    <w:rsid w:val="5DF1BB0F"/>
    <w:rsid w:val="5EE16208"/>
    <w:rsid w:val="5FB826F7"/>
    <w:rsid w:val="601A1D0B"/>
    <w:rsid w:val="63232560"/>
    <w:rsid w:val="6339AB16"/>
    <w:rsid w:val="63F757F1"/>
    <w:rsid w:val="64551E2C"/>
    <w:rsid w:val="6495636B"/>
    <w:rsid w:val="679146BB"/>
    <w:rsid w:val="686C4CBA"/>
    <w:rsid w:val="686CCB83"/>
    <w:rsid w:val="69C36EF6"/>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1BFF7"/>
    <w:rsid w:val="73DAC2B2"/>
    <w:rsid w:val="75BC6C1C"/>
    <w:rsid w:val="7601EEAE"/>
    <w:rsid w:val="7633D172"/>
    <w:rsid w:val="775121DD"/>
    <w:rsid w:val="77FD9B55"/>
    <w:rsid w:val="79C8B336"/>
    <w:rsid w:val="79D4427B"/>
    <w:rsid w:val="7BD595DF"/>
    <w:rsid w:val="7D2F853A"/>
    <w:rsid w:val="7E30FB06"/>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F54298E1-4331-442E-A008-085FB82E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0C6ECD"/>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Emphasis">
    <w:name w:val="Emphasis"/>
    <w:basedOn w:val="DefaultParagraphFont"/>
    <w:uiPriority w:val="20"/>
    <w:qFormat/>
    <w:rsid w:val="00BD331C"/>
    <w:rPr>
      <w:i/>
      <w:iCs/>
    </w:rPr>
  </w:style>
  <w:style w:type="character" w:styleId="Mention">
    <w:name w:val="Mention"/>
    <w:basedOn w:val="DefaultParagraphFont"/>
    <w:uiPriority w:val="99"/>
    <w:unhideWhenUsed/>
    <w:rsid w:val="00532D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4901250">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usb@communications.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tio.com.au/sites/default/files/2022-09/4097_TIO_AR_22_FA-WEB.pdf" TargetMode="External"/><Relationship Id="rId2" Type="http://schemas.openxmlformats.org/officeDocument/2006/relationships/hyperlink" Target="https://www.telstra.com.au/consumer-advice/customer-service/network-reliability" TargetMode="External"/><Relationship Id="rId1" Type="http://schemas.openxmlformats.org/officeDocument/2006/relationships/hyperlink" Target="https://www.acma.gov.au/publications/2020-02/report/communications-report-2018-19" TargetMode="External"/><Relationship Id="rId6" Type="http://schemas.openxmlformats.org/officeDocument/2006/relationships/hyperlink" Target="https://www.ofcom.org.uk/__data/assets/pdf_file/0026/107693/Statement-automatic-compensation.pdf" TargetMode="External"/><Relationship Id="rId5" Type="http://schemas.openxmlformats.org/officeDocument/2006/relationships/hyperlink" Target="https://www.aer.gov.au/system/files/AER%20-%20STPIS%20version%205%20%28corrected%29%20-%2030%20September%202015.pdf" TargetMode="External"/><Relationship Id="rId4" Type="http://schemas.openxmlformats.org/officeDocument/2006/relationships/hyperlink" Target="https://www.infrastructure.gov.au/sites/default/files/documents/consultation-paper-telecommunications-statutory-infrastructure-providers-standards-rules-and-benchmarks-determination-2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41F4B8-EC42-42AF-998B-D30D2F0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48</TotalTime>
  <Pages>7</Pages>
  <Words>2398</Words>
  <Characters>13673</Characters>
  <Application>Microsoft Office Word</Application>
  <DocSecurity>0</DocSecurity>
  <Lines>113</Lines>
  <Paragraphs>32</Paragraphs>
  <ScaleCrop>false</ScaleCrop>
  <Company/>
  <LinksUpToDate>false</LinksUpToDate>
  <CharactersWithSpaces>16039</CharactersWithSpaces>
  <SharedDoc>false</SharedDoc>
  <HLinks>
    <vt:vector size="96" baseType="variant">
      <vt:variant>
        <vt:i4>1769582</vt:i4>
      </vt:variant>
      <vt:variant>
        <vt:i4>0</vt:i4>
      </vt:variant>
      <vt:variant>
        <vt:i4>0</vt:i4>
      </vt:variant>
      <vt:variant>
        <vt:i4>5</vt:i4>
      </vt:variant>
      <vt:variant>
        <vt:lpwstr>mailto:usb@communications.gov.au</vt:lpwstr>
      </vt:variant>
      <vt:variant>
        <vt:lpwstr/>
      </vt:variant>
      <vt:variant>
        <vt:i4>6815754</vt:i4>
      </vt:variant>
      <vt:variant>
        <vt:i4>15</vt:i4>
      </vt:variant>
      <vt:variant>
        <vt:i4>0</vt:i4>
      </vt:variant>
      <vt:variant>
        <vt:i4>5</vt:i4>
      </vt:variant>
      <vt:variant>
        <vt:lpwstr>https://www.ofcom.org.uk/__data/assets/pdf_file/0026/107693/Statement-automatic-compensation.pdf</vt:lpwstr>
      </vt:variant>
      <vt:variant>
        <vt:lpwstr/>
      </vt:variant>
      <vt:variant>
        <vt:i4>1310725</vt:i4>
      </vt:variant>
      <vt:variant>
        <vt:i4>12</vt:i4>
      </vt:variant>
      <vt:variant>
        <vt:i4>0</vt:i4>
      </vt:variant>
      <vt:variant>
        <vt:i4>5</vt:i4>
      </vt:variant>
      <vt:variant>
        <vt:lpwstr>https://www.aer.gov.au/system/files/AER - STPIS version 5 %28corrected%29 - 30 September 2015.pdf</vt:lpwstr>
      </vt:variant>
      <vt:variant>
        <vt:lpwstr/>
      </vt:variant>
      <vt:variant>
        <vt:i4>6553653</vt:i4>
      </vt:variant>
      <vt:variant>
        <vt:i4>9</vt:i4>
      </vt:variant>
      <vt:variant>
        <vt:i4>0</vt:i4>
      </vt:variant>
      <vt:variant>
        <vt:i4>5</vt:i4>
      </vt:variant>
      <vt:variant>
        <vt:lpwstr>https://www.infrastructure.gov.au/sites/default/files/documents/consultation-paper-telecommunications-statutory-infrastructure-providers-standards-rules-and-benchmarks-determination-2021.pdf</vt:lpwstr>
      </vt:variant>
      <vt:variant>
        <vt:lpwstr/>
      </vt:variant>
      <vt:variant>
        <vt:i4>3670069</vt:i4>
      </vt:variant>
      <vt:variant>
        <vt:i4>6</vt:i4>
      </vt:variant>
      <vt:variant>
        <vt:i4>0</vt:i4>
      </vt:variant>
      <vt:variant>
        <vt:i4>5</vt:i4>
      </vt:variant>
      <vt:variant>
        <vt:lpwstr>https://www.tio.com.au/sites/default/files/2022-09/4097_TIO_AR_22_FA-WEB.pdf</vt:lpwstr>
      </vt:variant>
      <vt:variant>
        <vt:lpwstr/>
      </vt:variant>
      <vt:variant>
        <vt:i4>3997735</vt:i4>
      </vt:variant>
      <vt:variant>
        <vt:i4>3</vt:i4>
      </vt:variant>
      <vt:variant>
        <vt:i4>0</vt:i4>
      </vt:variant>
      <vt:variant>
        <vt:i4>5</vt:i4>
      </vt:variant>
      <vt:variant>
        <vt:lpwstr>https://www.telstra.com.au/consumer-advice/customer-service/network-reliability</vt:lpwstr>
      </vt:variant>
      <vt:variant>
        <vt:lpwstr/>
      </vt:variant>
      <vt:variant>
        <vt:i4>4456460</vt:i4>
      </vt:variant>
      <vt:variant>
        <vt:i4>0</vt:i4>
      </vt:variant>
      <vt:variant>
        <vt:i4>0</vt:i4>
      </vt:variant>
      <vt:variant>
        <vt:i4>5</vt:i4>
      </vt:variant>
      <vt:variant>
        <vt:lpwstr>https://www.acma.gov.au/publications/2020-02/report/communications-report-2018-19</vt:lpwstr>
      </vt:variant>
      <vt:variant>
        <vt:lpwstr/>
      </vt:variant>
      <vt:variant>
        <vt:i4>3670117</vt:i4>
      </vt:variant>
      <vt:variant>
        <vt:i4>24</vt:i4>
      </vt:variant>
      <vt:variant>
        <vt:i4>0</vt:i4>
      </vt:variant>
      <vt:variant>
        <vt:i4>5</vt:i4>
      </vt:variant>
      <vt:variant>
        <vt:lpwstr>https://www.tio.com.au/reports</vt:lpwstr>
      </vt:variant>
      <vt:variant>
        <vt:lpwstr/>
      </vt:variant>
      <vt:variant>
        <vt:i4>720967</vt:i4>
      </vt:variant>
      <vt:variant>
        <vt:i4>21</vt:i4>
      </vt:variant>
      <vt:variant>
        <vt:i4>0</vt:i4>
      </vt:variant>
      <vt:variant>
        <vt:i4>5</vt:i4>
      </vt:variant>
      <vt:variant>
        <vt:lpwstr>https://www.infrastructure.gov.au/have-your-say/exposure-draft-telecommunications-legislation-amendment-statutory-infrastructure-providers-and-other</vt:lpwstr>
      </vt:variant>
      <vt:variant>
        <vt:lpwstr/>
      </vt:variant>
      <vt:variant>
        <vt:i4>4587616</vt:i4>
      </vt:variant>
      <vt:variant>
        <vt:i4>18</vt:i4>
      </vt:variant>
      <vt:variant>
        <vt:i4>0</vt:i4>
      </vt:variant>
      <vt:variant>
        <vt:i4>5</vt:i4>
      </vt:variant>
      <vt:variant>
        <vt:lpwstr>mailto:megan.ward@accan.org.au</vt:lpwstr>
      </vt:variant>
      <vt:variant>
        <vt:lpwstr/>
      </vt:variant>
      <vt:variant>
        <vt:i4>458814</vt:i4>
      </vt:variant>
      <vt:variant>
        <vt:i4>15</vt:i4>
      </vt:variant>
      <vt:variant>
        <vt:i4>0</vt:i4>
      </vt:variant>
      <vt:variant>
        <vt:i4>5</vt:i4>
      </vt:variant>
      <vt:variant>
        <vt:lpwstr>mailto:gareth.downing@accan.org.au</vt:lpwstr>
      </vt:variant>
      <vt:variant>
        <vt:lpwstr/>
      </vt:variant>
      <vt:variant>
        <vt:i4>4587616</vt:i4>
      </vt:variant>
      <vt:variant>
        <vt:i4>12</vt:i4>
      </vt:variant>
      <vt:variant>
        <vt:i4>0</vt:i4>
      </vt:variant>
      <vt:variant>
        <vt:i4>5</vt:i4>
      </vt:variant>
      <vt:variant>
        <vt:lpwstr>mailto:megan.ward@accan.org.au</vt:lpwstr>
      </vt:variant>
      <vt:variant>
        <vt:lpwstr/>
      </vt:variant>
      <vt:variant>
        <vt:i4>4587616</vt:i4>
      </vt:variant>
      <vt:variant>
        <vt:i4>9</vt:i4>
      </vt:variant>
      <vt:variant>
        <vt:i4>0</vt:i4>
      </vt:variant>
      <vt:variant>
        <vt:i4>5</vt:i4>
      </vt:variant>
      <vt:variant>
        <vt:lpwstr>mailto:megan.ward@accan.org.au</vt:lpwstr>
      </vt:variant>
      <vt:variant>
        <vt:lpwstr/>
      </vt:variant>
      <vt:variant>
        <vt:i4>4587616</vt:i4>
      </vt:variant>
      <vt:variant>
        <vt:i4>6</vt:i4>
      </vt:variant>
      <vt:variant>
        <vt:i4>0</vt:i4>
      </vt:variant>
      <vt:variant>
        <vt:i4>5</vt:i4>
      </vt:variant>
      <vt:variant>
        <vt:lpwstr>mailto:megan.ward@accan.org.au</vt:lpwstr>
      </vt:variant>
      <vt:variant>
        <vt:lpwstr/>
      </vt:variant>
      <vt:variant>
        <vt:i4>7143479</vt:i4>
      </vt:variant>
      <vt:variant>
        <vt:i4>3</vt:i4>
      </vt:variant>
      <vt:variant>
        <vt:i4>0</vt:i4>
      </vt:variant>
      <vt:variant>
        <vt:i4>5</vt:i4>
      </vt:variant>
      <vt:variant>
        <vt:lpwstr>https://acconsumeractionnetwork.sharepoint.com/:x:/s/ACCAN/EYjiPZaLJutLmuKJSkVAOOUB5vVybMIMVjF2Cn9zaF9uUw?e=UGjAxb</vt:lpwstr>
      </vt:variant>
      <vt:variant>
        <vt:lpwstr/>
      </vt:variant>
      <vt:variant>
        <vt:i4>4587616</vt:i4>
      </vt:variant>
      <vt:variant>
        <vt:i4>0</vt:i4>
      </vt:variant>
      <vt:variant>
        <vt:i4>0</vt:i4>
      </vt:variant>
      <vt:variant>
        <vt:i4>5</vt:i4>
      </vt:variant>
      <vt:variant>
        <vt:lpwstr>mailto:megan.ward@accan.org.au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Megan Ward</cp:lastModifiedBy>
  <cp:revision>186</cp:revision>
  <cp:lastPrinted>2022-03-31T08:13:00Z</cp:lastPrinted>
  <dcterms:created xsi:type="dcterms:W3CDTF">2023-03-16T22:13:00Z</dcterms:created>
  <dcterms:modified xsi:type="dcterms:W3CDTF">2023-03-26T23:04:00Z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