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173C" w14:textId="77777777" w:rsidR="00BB3EC8" w:rsidRPr="00506D90" w:rsidRDefault="00BB3EC8" w:rsidP="00BB3EC8">
      <w:pPr>
        <w:pStyle w:val="Letterhead1"/>
        <w:rPr>
          <w:rFonts w:asciiTheme="minorHAnsi" w:hAnsiTheme="minorHAnsi" w:cstheme="minorHAnsi"/>
        </w:rPr>
      </w:pPr>
      <w:bookmarkStart w:id="0" w:name="_Hlk95835868"/>
      <w:r w:rsidRPr="00506D90">
        <w:rPr>
          <w:rFonts w:asciiTheme="minorHAnsi" w:hAnsiTheme="minorHAnsi" w:cstheme="minorHAnsi"/>
          <w:noProof/>
        </w:rPr>
        <w:drawing>
          <wp:anchor distT="0" distB="0" distL="114300" distR="114300" simplePos="0" relativeHeight="251658244" behindDoc="1" locked="0" layoutInCell="1" allowOverlap="1" wp14:anchorId="7FAA188E" wp14:editId="3B7D06AF">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sidRPr="00506D90">
        <w:rPr>
          <w:rFonts w:asciiTheme="minorHAnsi" w:hAnsiTheme="minorHAnsi" w:cstheme="minorHAnsi"/>
          <w:noProof/>
        </w:rPr>
        <w:drawing>
          <wp:anchor distT="0" distB="0" distL="114300" distR="114300" simplePos="0" relativeHeight="251658245" behindDoc="0" locked="0" layoutInCell="1" allowOverlap="1" wp14:anchorId="46762E3B" wp14:editId="3ED8724A">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sidRPr="00506D90">
        <w:rPr>
          <w:rFonts w:asciiTheme="minorHAnsi" w:hAnsiTheme="minorHAnsi" w:cstheme="minorHAnsi"/>
          <w:noProof/>
        </w:rPr>
        <w:drawing>
          <wp:anchor distT="0" distB="0" distL="114300" distR="114300" simplePos="0" relativeHeight="251658246" behindDoc="0" locked="0" layoutInCell="1" allowOverlap="1" wp14:anchorId="10A54718" wp14:editId="2FA51EC3">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sidRPr="00506D90">
        <w:rPr>
          <w:rFonts w:asciiTheme="minorHAnsi" w:hAnsiTheme="minorHAnsi" w:cstheme="minorHAnsi"/>
          <w:noProof/>
        </w:rPr>
        <w:drawing>
          <wp:anchor distT="0" distB="0" distL="114300" distR="114300" simplePos="0" relativeHeight="251658243" behindDoc="0" locked="0" layoutInCell="1" allowOverlap="1" wp14:anchorId="6C99FDC6" wp14:editId="6AA97416">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sidRPr="00506D90">
        <w:rPr>
          <w:rFonts w:asciiTheme="minorHAnsi" w:hAnsiTheme="minorHAnsi" w:cstheme="minorHAnsi"/>
          <w:noProof/>
        </w:rPr>
        <w:drawing>
          <wp:anchor distT="0" distB="0" distL="114300" distR="114300" simplePos="0" relativeHeight="251658242" behindDoc="0" locked="0" layoutInCell="1" allowOverlap="1" wp14:anchorId="01D76436" wp14:editId="3F2C1487">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rsidRPr="00506D90">
        <w:rPr>
          <w:rFonts w:asciiTheme="minorHAnsi" w:hAnsiTheme="minorHAnsi" w:cstheme="minorHAnsi"/>
        </w:rPr>
        <w:t>www.accan.org.au</w:t>
      </w:r>
    </w:p>
    <w:p w14:paraId="0A4F5615" w14:textId="77777777" w:rsidR="00BB3EC8" w:rsidRPr="00506D90" w:rsidRDefault="00BB3EC8" w:rsidP="00BB3EC8">
      <w:pPr>
        <w:pStyle w:val="Letterhead1"/>
        <w:rPr>
          <w:rFonts w:asciiTheme="minorHAnsi" w:hAnsiTheme="minorHAnsi" w:cstheme="minorHAnsi"/>
        </w:rPr>
      </w:pPr>
      <w:r w:rsidRPr="00506D90">
        <w:rPr>
          <w:rFonts w:asciiTheme="minorHAnsi" w:hAnsiTheme="minorHAnsi" w:cstheme="minorHAnsi"/>
        </w:rPr>
        <w:t>info@accan.org.au</w:t>
      </w:r>
    </w:p>
    <w:p w14:paraId="20A60BB8" w14:textId="77777777" w:rsidR="00BB3EC8" w:rsidRPr="00506D90" w:rsidRDefault="00BB3EC8" w:rsidP="00BB3EC8">
      <w:pPr>
        <w:pStyle w:val="Letterhead1"/>
        <w:rPr>
          <w:rFonts w:asciiTheme="minorHAnsi" w:hAnsiTheme="minorHAnsi" w:cstheme="minorHAnsi"/>
        </w:rPr>
      </w:pPr>
      <w:r w:rsidRPr="00506D90">
        <w:rPr>
          <w:rFonts w:asciiTheme="minorHAnsi" w:hAnsiTheme="minorHAnsi" w:cstheme="minorHAnsi"/>
        </w:rPr>
        <w:t>02 9288 4000</w:t>
      </w:r>
    </w:p>
    <w:p w14:paraId="1D1C4C24"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191C5FA1" wp14:editId="708D7322">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489D12D3"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1A1C0B1"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7D86E2C6" wp14:editId="3AB6B6D9">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4E8BCE99"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156A284F" w14:textId="1B63D4D6" w:rsidR="00F45BDC" w:rsidRPr="00506D90" w:rsidRDefault="008912FE" w:rsidP="00AA7049">
      <w:pPr>
        <w:tabs>
          <w:tab w:val="right" w:pos="9026"/>
        </w:tabs>
        <w:rPr>
          <w:rFonts w:cstheme="minorHAnsi"/>
          <w:color w:val="43C7F4"/>
          <w:sz w:val="36"/>
          <w:szCs w:val="36"/>
        </w:rPr>
      </w:pPr>
      <w:r w:rsidRPr="00042C3A">
        <w:rPr>
          <w:rStyle w:val="DocLabelChar"/>
        </w:rPr>
        <w:t>Submission</w:t>
      </w:r>
      <w:r w:rsidR="00F45BDC" w:rsidRPr="00506D90">
        <w:rPr>
          <w:rFonts w:cstheme="minorHAnsi"/>
          <w:color w:val="44C7F4"/>
          <w:sz w:val="36"/>
          <w:szCs w:val="36"/>
        </w:rPr>
        <w:tab/>
      </w:r>
      <w:r w:rsidR="000A4540" w:rsidRPr="00042C3A">
        <w:rPr>
          <w:rStyle w:val="DocDateChar"/>
        </w:rPr>
        <w:t>February 2023</w:t>
      </w:r>
    </w:p>
    <w:bookmarkEnd w:id="0"/>
    <w:p w14:paraId="249928A8" w14:textId="77777777" w:rsidR="00771AA7" w:rsidRDefault="00771AA7" w:rsidP="006B1CBA"/>
    <w:p w14:paraId="4FD5502E" w14:textId="77777777" w:rsidR="00BF4462" w:rsidRDefault="00BF4462" w:rsidP="006B1CBA"/>
    <w:p w14:paraId="4571E4F4" w14:textId="77777777" w:rsidR="00BF4462" w:rsidRDefault="00BF4462" w:rsidP="006B1CBA"/>
    <w:p w14:paraId="22B97339" w14:textId="0A1E7FE5" w:rsidR="009518F7" w:rsidRPr="00042C3A" w:rsidRDefault="000A4540" w:rsidP="00ED553C">
      <w:pPr>
        <w:jc w:val="center"/>
        <w:rPr>
          <w:sz w:val="40"/>
        </w:rPr>
      </w:pPr>
      <w:r w:rsidRPr="00042C3A">
        <w:rPr>
          <w:sz w:val="40"/>
        </w:rPr>
        <w:t xml:space="preserve">NBN Co </w:t>
      </w:r>
      <w:r w:rsidRPr="008559DE">
        <w:rPr>
          <w:sz w:val="40"/>
          <w:szCs w:val="40"/>
        </w:rPr>
        <w:t>S</w:t>
      </w:r>
      <w:r w:rsidR="0093176A" w:rsidRPr="008559DE">
        <w:rPr>
          <w:sz w:val="40"/>
          <w:szCs w:val="40"/>
        </w:rPr>
        <w:t xml:space="preserve">pecial </w:t>
      </w:r>
      <w:r w:rsidRPr="008559DE">
        <w:rPr>
          <w:sz w:val="40"/>
          <w:szCs w:val="40"/>
        </w:rPr>
        <w:t>A</w:t>
      </w:r>
      <w:r w:rsidR="0093176A" w:rsidRPr="008559DE">
        <w:rPr>
          <w:sz w:val="40"/>
          <w:szCs w:val="40"/>
        </w:rPr>
        <w:t xml:space="preserve">ccess </w:t>
      </w:r>
      <w:r w:rsidRPr="008559DE">
        <w:rPr>
          <w:sz w:val="40"/>
          <w:szCs w:val="40"/>
        </w:rPr>
        <w:t>U</w:t>
      </w:r>
      <w:r w:rsidR="0093176A" w:rsidRPr="008559DE">
        <w:rPr>
          <w:sz w:val="40"/>
          <w:szCs w:val="40"/>
        </w:rPr>
        <w:t>ndertaking (</w:t>
      </w:r>
      <w:r w:rsidRPr="00042C3A">
        <w:rPr>
          <w:b/>
          <w:sz w:val="40"/>
        </w:rPr>
        <w:t>SAU</w:t>
      </w:r>
      <w:r w:rsidR="0093176A" w:rsidRPr="008559DE">
        <w:rPr>
          <w:sz w:val="40"/>
          <w:szCs w:val="40"/>
        </w:rPr>
        <w:t>)</w:t>
      </w:r>
      <w:r w:rsidRPr="00042C3A">
        <w:rPr>
          <w:sz w:val="40"/>
        </w:rPr>
        <w:t xml:space="preserve"> Variation (November 2022)</w:t>
      </w:r>
    </w:p>
    <w:p w14:paraId="3F862268" w14:textId="4AAF6201" w:rsidR="008B6A77" w:rsidRPr="00EF660E" w:rsidRDefault="008B6A77" w:rsidP="00042C3A">
      <w:pPr>
        <w:pStyle w:val="Heading2"/>
        <w:jc w:val="center"/>
      </w:pPr>
      <w:bookmarkStart w:id="1" w:name="_Toc99975355"/>
      <w:bookmarkStart w:id="2" w:name="_Toc99975401"/>
      <w:bookmarkStart w:id="3" w:name="_Toc99975438"/>
      <w:bookmarkStart w:id="4" w:name="_Toc99975451"/>
      <w:bookmarkStart w:id="5" w:name="_Toc99975568"/>
      <w:r w:rsidRPr="00042C3A">
        <w:t xml:space="preserve">Submission by the Australian Communications Consumer Action Network </w:t>
      </w:r>
      <w:r w:rsidR="0093176A" w:rsidRPr="00D90045">
        <w:t>(</w:t>
      </w:r>
      <w:r w:rsidR="0093176A" w:rsidRPr="00BD6747">
        <w:rPr>
          <w:b/>
          <w:bCs/>
        </w:rPr>
        <w:t>ACCAN</w:t>
      </w:r>
      <w:r w:rsidR="0093176A" w:rsidRPr="00D90045">
        <w:t xml:space="preserve">) </w:t>
      </w:r>
      <w:r w:rsidRPr="00042C3A">
        <w:t xml:space="preserve">to </w:t>
      </w:r>
      <w:bookmarkEnd w:id="1"/>
      <w:bookmarkEnd w:id="2"/>
      <w:bookmarkEnd w:id="3"/>
      <w:bookmarkEnd w:id="4"/>
      <w:bookmarkEnd w:id="5"/>
      <w:r w:rsidR="00EF660E">
        <w:t xml:space="preserve">the </w:t>
      </w:r>
      <w:r w:rsidR="000A4540" w:rsidRPr="00042C3A">
        <w:t>Australian Competition and Consumer Commission</w:t>
      </w:r>
      <w:r w:rsidR="0093176A" w:rsidRPr="00D90045">
        <w:t xml:space="preserve"> (</w:t>
      </w:r>
      <w:r w:rsidR="0093176A" w:rsidRPr="00BD6747">
        <w:rPr>
          <w:b/>
          <w:bCs/>
        </w:rPr>
        <w:t>ACCC</w:t>
      </w:r>
      <w:r w:rsidR="0093176A" w:rsidRPr="00D90045">
        <w:t>)</w:t>
      </w:r>
    </w:p>
    <w:p w14:paraId="17E2BB50" w14:textId="77777777" w:rsidR="00E95EF3" w:rsidRPr="00E95EF3" w:rsidRDefault="00E95EF3" w:rsidP="006B1CBA">
      <w:pPr>
        <w:rPr>
          <w:lang w:val="en-US" w:eastAsia="en-US"/>
        </w:rPr>
      </w:pPr>
    </w:p>
    <w:p w14:paraId="7038A322" w14:textId="77777777" w:rsidR="00A761CF" w:rsidRDefault="00A761CF" w:rsidP="006B1CBA">
      <w:r>
        <w:br w:type="page"/>
      </w:r>
    </w:p>
    <w:p w14:paraId="47D73C99" w14:textId="77777777" w:rsidR="00B41CA8" w:rsidRPr="00506D90" w:rsidRDefault="00B41CA8" w:rsidP="00B41CA8">
      <w:pPr>
        <w:spacing w:before="100" w:beforeAutospacing="1" w:after="100" w:afterAutospacing="1" w:line="240" w:lineRule="auto"/>
        <w:rPr>
          <w:rFonts w:eastAsia="MS Mincho" w:cstheme="minorHAnsi"/>
          <w:b/>
        </w:rPr>
      </w:pPr>
      <w:r w:rsidRPr="00506D90">
        <w:rPr>
          <w:rFonts w:eastAsia="MS Mincho" w:cstheme="minorHAnsi"/>
          <w:b/>
        </w:rPr>
        <w:t xml:space="preserve">About ACCAN </w:t>
      </w:r>
    </w:p>
    <w:p w14:paraId="273C8D21" w14:textId="77777777" w:rsidR="00B41CA8" w:rsidRPr="00B41CA8" w:rsidRDefault="00B41CA8" w:rsidP="005537B6">
      <w:r w:rsidRPr="00B41CA8">
        <w:t xml:space="preserve">The Australian Communications Consumer Action Network (ACCAN) is the peak body that represents all consumers on communications issues including telecommunications, broadband and emerging new services. ACCAN provides a strong </w:t>
      </w:r>
      <w:r w:rsidRPr="007B1E9D">
        <w:t>unified</w:t>
      </w:r>
      <w:r w:rsidRPr="00B41CA8">
        <w:t xml:space="preserve"> voice to industry and government as consumers work towards communications services that are trusted, inclusive and available for all.</w:t>
      </w:r>
    </w:p>
    <w:p w14:paraId="58FEF2C5" w14:textId="3F33D52E" w:rsidR="00B41CA8" w:rsidRPr="00B41CA8" w:rsidRDefault="00B41CA8" w:rsidP="005537B6">
      <w:r w:rsidRPr="00B41CA8">
        <w:t xml:space="preserve">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w:t>
      </w:r>
      <w:proofErr w:type="gramStart"/>
      <w:r w:rsidRPr="00B41CA8">
        <w:t>government</w:t>
      </w:r>
      <w:proofErr w:type="gramEnd"/>
      <w:r w:rsidRPr="00B41CA8">
        <w:t xml:space="preserve"> and industry to get better outcomes for all communications consumers. </w:t>
      </w:r>
    </w:p>
    <w:p w14:paraId="6A822BAD" w14:textId="70E71AC0" w:rsidR="00667345" w:rsidRPr="00506D90" w:rsidRDefault="00B41CA8" w:rsidP="00C333C4">
      <w:pPr>
        <w:spacing w:before="100" w:beforeAutospacing="1" w:after="100" w:afterAutospacing="1" w:line="240" w:lineRule="auto"/>
        <w:rPr>
          <w:rFonts w:eastAsia="MS Mincho" w:cstheme="minorHAnsi"/>
          <w:b/>
        </w:rPr>
      </w:pPr>
      <w:r w:rsidRPr="00506D90">
        <w:rPr>
          <w:rFonts w:eastAsia="MS Mincho" w:cstheme="minorHAnsi"/>
          <w:b/>
        </w:rPr>
        <w:t>Contact</w:t>
      </w:r>
    </w:p>
    <w:p w14:paraId="1ED272E0" w14:textId="77777777" w:rsidR="00B41CA8" w:rsidRPr="00B41CA8" w:rsidRDefault="00B41CA8" w:rsidP="005537B6">
      <w:r w:rsidRPr="00B41CA8">
        <w:t>PO Box A1158</w:t>
      </w:r>
      <w:r w:rsidR="005537B6" w:rsidRPr="00B41CA8">
        <w:br/>
      </w:r>
      <w:r w:rsidRPr="00B41CA8">
        <w:t>Sydney South NSW 1235</w:t>
      </w:r>
      <w:r w:rsidRPr="00B41CA8">
        <w:br/>
        <w:t xml:space="preserve">Email: </w:t>
      </w:r>
      <w:hyperlink r:id="rId21" w:history="1">
        <w:r w:rsidRPr="00B41CA8">
          <w:rPr>
            <w:color w:val="0000FF"/>
            <w:u w:val="single"/>
          </w:rPr>
          <w:t>info@accan.org.au</w:t>
        </w:r>
      </w:hyperlink>
      <w:r w:rsidRPr="00B41CA8">
        <w:rPr>
          <w:color w:val="0000FF"/>
          <w:u w:val="single"/>
        </w:rPr>
        <w:br/>
      </w:r>
      <w:r w:rsidRPr="00B41CA8">
        <w:t>Phone: (02) 9288 4000</w:t>
      </w:r>
      <w:r w:rsidRPr="00B41CA8">
        <w:br/>
        <w:t>Fax: (02) 9288 4019</w:t>
      </w:r>
      <w:r w:rsidRPr="00B41CA8">
        <w:br/>
        <w:t xml:space="preserve">Contact us through the </w:t>
      </w:r>
      <w:hyperlink r:id="rId22" w:history="1">
        <w:r w:rsidRPr="00B41CA8">
          <w:rPr>
            <w:color w:val="0000FF"/>
            <w:u w:val="single"/>
          </w:rPr>
          <w:t>National Relay Service</w:t>
        </w:r>
      </w:hyperlink>
    </w:p>
    <w:p w14:paraId="0A8DCBDA" w14:textId="77777777" w:rsidR="000547D7" w:rsidRDefault="000547D7">
      <w:r>
        <w:br w:type="page"/>
      </w:r>
    </w:p>
    <w:sdt>
      <w:sdtPr>
        <w:rPr>
          <w:rFonts w:eastAsia="MS Mincho" w:cs="Arial"/>
          <w:bCs/>
          <w:sz w:val="23"/>
        </w:rPr>
        <w:id w:val="772438845"/>
        <w:docPartObj>
          <w:docPartGallery w:val="Table of Contents"/>
          <w:docPartUnique/>
        </w:docPartObj>
      </w:sdtPr>
      <w:sdtEndPr>
        <w:rPr>
          <w:b/>
          <w:bCs w:val="0"/>
          <w:noProof/>
          <w:sz w:val="22"/>
        </w:rPr>
      </w:sdtEndPr>
      <w:sdtContent>
        <w:p w14:paraId="58403232" w14:textId="7CAD52FE" w:rsidR="008559DE" w:rsidRDefault="00B41CA8" w:rsidP="009235EF">
          <w:pPr>
            <w:rPr>
              <w:noProof/>
            </w:rPr>
          </w:pPr>
          <w:r w:rsidRPr="00864368">
            <w:rPr>
              <w:rStyle w:val="TitleChar"/>
              <w:sz w:val="32"/>
              <w:szCs w:val="32"/>
            </w:rPr>
            <w:t>Contents</w:t>
          </w:r>
          <w:r w:rsidRPr="00B41CA8">
            <w:rPr>
              <w:rFonts w:ascii="Calibri" w:eastAsia="MS Mincho" w:hAnsi="Calibri" w:cs="Arial"/>
            </w:rPr>
            <w:fldChar w:fldCharType="begin"/>
          </w:r>
          <w:r w:rsidRPr="00B41CA8">
            <w:rPr>
              <w:rFonts w:ascii="Calibri" w:eastAsia="MS Mincho" w:hAnsi="Calibri" w:cs="Arial"/>
            </w:rPr>
            <w:instrText xml:space="preserve"> TOC \o "1-1" \h \z \u </w:instrText>
          </w:r>
          <w:r w:rsidRPr="00B41CA8">
            <w:rPr>
              <w:rFonts w:ascii="Calibri" w:eastAsia="MS Mincho" w:hAnsi="Calibri" w:cs="Arial"/>
            </w:rPr>
            <w:fldChar w:fldCharType="separate"/>
          </w:r>
        </w:p>
        <w:p w14:paraId="31D299FB" w14:textId="77777777" w:rsidR="008559DE" w:rsidRDefault="008559DE">
          <w:pPr>
            <w:pStyle w:val="TOC1"/>
            <w:rPr>
              <w:noProof/>
            </w:rPr>
          </w:pPr>
          <w:hyperlink w:anchor="_Toc127353155" w:history="1">
            <w:r w:rsidRPr="008A0069">
              <w:rPr>
                <w:rStyle w:val="Hyperlink"/>
                <w:noProof/>
              </w:rPr>
              <w:t>Executive Summary</w:t>
            </w:r>
            <w:r>
              <w:rPr>
                <w:noProof/>
                <w:webHidden/>
              </w:rPr>
              <w:tab/>
            </w:r>
            <w:r>
              <w:rPr>
                <w:noProof/>
                <w:webHidden/>
              </w:rPr>
              <w:fldChar w:fldCharType="begin"/>
            </w:r>
            <w:r>
              <w:rPr>
                <w:noProof/>
                <w:webHidden/>
              </w:rPr>
              <w:instrText xml:space="preserve"> PAGEREF _Toc127353155 \h </w:instrText>
            </w:r>
            <w:r>
              <w:rPr>
                <w:noProof/>
                <w:webHidden/>
              </w:rPr>
            </w:r>
            <w:r>
              <w:rPr>
                <w:noProof/>
                <w:webHidden/>
              </w:rPr>
              <w:fldChar w:fldCharType="separate"/>
            </w:r>
            <w:r w:rsidR="001A4162">
              <w:rPr>
                <w:noProof/>
                <w:webHidden/>
              </w:rPr>
              <w:t>4</w:t>
            </w:r>
            <w:r>
              <w:rPr>
                <w:noProof/>
                <w:webHidden/>
              </w:rPr>
              <w:fldChar w:fldCharType="end"/>
            </w:r>
          </w:hyperlink>
        </w:p>
        <w:p w14:paraId="776A08A6" w14:textId="77777777" w:rsidR="008559DE" w:rsidRDefault="008559DE">
          <w:pPr>
            <w:pStyle w:val="TOC1"/>
            <w:rPr>
              <w:noProof/>
            </w:rPr>
          </w:pPr>
          <w:hyperlink w:anchor="_Toc127353156" w:history="1">
            <w:r w:rsidRPr="008A0069">
              <w:rPr>
                <w:rStyle w:val="Hyperlink"/>
                <w:noProof/>
              </w:rPr>
              <w:t>List of Recommendations</w:t>
            </w:r>
            <w:r>
              <w:rPr>
                <w:noProof/>
                <w:webHidden/>
              </w:rPr>
              <w:tab/>
            </w:r>
            <w:r>
              <w:rPr>
                <w:noProof/>
                <w:webHidden/>
              </w:rPr>
              <w:fldChar w:fldCharType="begin"/>
            </w:r>
            <w:r>
              <w:rPr>
                <w:noProof/>
                <w:webHidden/>
              </w:rPr>
              <w:instrText xml:space="preserve"> PAGEREF _Toc127353156 \h </w:instrText>
            </w:r>
            <w:r>
              <w:rPr>
                <w:noProof/>
                <w:webHidden/>
              </w:rPr>
            </w:r>
            <w:r>
              <w:rPr>
                <w:noProof/>
                <w:webHidden/>
              </w:rPr>
              <w:fldChar w:fldCharType="separate"/>
            </w:r>
            <w:r w:rsidR="001A4162">
              <w:rPr>
                <w:noProof/>
                <w:webHidden/>
              </w:rPr>
              <w:t>5</w:t>
            </w:r>
            <w:r>
              <w:rPr>
                <w:noProof/>
                <w:webHidden/>
              </w:rPr>
              <w:fldChar w:fldCharType="end"/>
            </w:r>
          </w:hyperlink>
        </w:p>
        <w:p w14:paraId="39DAB9AC" w14:textId="77777777" w:rsidR="008559DE" w:rsidRDefault="008559DE">
          <w:pPr>
            <w:pStyle w:val="TOC1"/>
            <w:rPr>
              <w:noProof/>
            </w:rPr>
          </w:pPr>
          <w:hyperlink w:anchor="_Toc127353157" w:history="1">
            <w:r w:rsidRPr="008A0069">
              <w:rPr>
                <w:rStyle w:val="Hyperlink"/>
                <w:noProof/>
              </w:rPr>
              <w:t>General Regulatory Framework and Modular Structure</w:t>
            </w:r>
            <w:r>
              <w:rPr>
                <w:noProof/>
                <w:webHidden/>
              </w:rPr>
              <w:tab/>
            </w:r>
            <w:r>
              <w:rPr>
                <w:noProof/>
                <w:webHidden/>
              </w:rPr>
              <w:fldChar w:fldCharType="begin"/>
            </w:r>
            <w:r>
              <w:rPr>
                <w:noProof/>
                <w:webHidden/>
              </w:rPr>
              <w:instrText xml:space="preserve"> PAGEREF _Toc127353157 \h </w:instrText>
            </w:r>
            <w:r>
              <w:rPr>
                <w:noProof/>
                <w:webHidden/>
              </w:rPr>
            </w:r>
            <w:r>
              <w:rPr>
                <w:noProof/>
                <w:webHidden/>
              </w:rPr>
              <w:fldChar w:fldCharType="separate"/>
            </w:r>
            <w:r w:rsidR="001A4162">
              <w:rPr>
                <w:noProof/>
                <w:webHidden/>
              </w:rPr>
              <w:t>8</w:t>
            </w:r>
            <w:r>
              <w:rPr>
                <w:noProof/>
                <w:webHidden/>
              </w:rPr>
              <w:fldChar w:fldCharType="end"/>
            </w:r>
          </w:hyperlink>
        </w:p>
        <w:p w14:paraId="1711CE95" w14:textId="77777777" w:rsidR="008559DE" w:rsidRDefault="008559DE">
          <w:pPr>
            <w:pStyle w:val="TOC1"/>
            <w:rPr>
              <w:noProof/>
            </w:rPr>
          </w:pPr>
          <w:hyperlink w:anchor="_Toc127353158" w:history="1">
            <w:r w:rsidRPr="008A0069">
              <w:rPr>
                <w:rStyle w:val="Hyperlink"/>
                <w:noProof/>
              </w:rPr>
              <w:t>Pricing and Product Constructs</w:t>
            </w:r>
            <w:r>
              <w:rPr>
                <w:noProof/>
                <w:webHidden/>
              </w:rPr>
              <w:tab/>
            </w:r>
            <w:r>
              <w:rPr>
                <w:noProof/>
                <w:webHidden/>
              </w:rPr>
              <w:fldChar w:fldCharType="begin"/>
            </w:r>
            <w:r>
              <w:rPr>
                <w:noProof/>
                <w:webHidden/>
              </w:rPr>
              <w:instrText xml:space="preserve"> PAGEREF _Toc127353158 \h </w:instrText>
            </w:r>
            <w:r>
              <w:rPr>
                <w:noProof/>
                <w:webHidden/>
              </w:rPr>
            </w:r>
            <w:r>
              <w:rPr>
                <w:noProof/>
                <w:webHidden/>
              </w:rPr>
              <w:fldChar w:fldCharType="separate"/>
            </w:r>
            <w:r w:rsidR="001A4162">
              <w:rPr>
                <w:noProof/>
                <w:webHidden/>
              </w:rPr>
              <w:t>12</w:t>
            </w:r>
            <w:r>
              <w:rPr>
                <w:noProof/>
                <w:webHidden/>
              </w:rPr>
              <w:fldChar w:fldCharType="end"/>
            </w:r>
          </w:hyperlink>
        </w:p>
        <w:p w14:paraId="212EEE77" w14:textId="77777777" w:rsidR="008559DE" w:rsidRDefault="008559DE">
          <w:pPr>
            <w:pStyle w:val="TOC1"/>
            <w:rPr>
              <w:noProof/>
            </w:rPr>
          </w:pPr>
          <w:hyperlink w:anchor="_Toc127353159" w:history="1">
            <w:r w:rsidRPr="008A0069">
              <w:rPr>
                <w:rStyle w:val="Hyperlink"/>
                <w:noProof/>
              </w:rPr>
              <w:t>Price Controls and Transparency Measures</w:t>
            </w:r>
            <w:r>
              <w:rPr>
                <w:noProof/>
                <w:webHidden/>
              </w:rPr>
              <w:tab/>
            </w:r>
            <w:r>
              <w:rPr>
                <w:noProof/>
                <w:webHidden/>
              </w:rPr>
              <w:fldChar w:fldCharType="begin"/>
            </w:r>
            <w:r>
              <w:rPr>
                <w:noProof/>
                <w:webHidden/>
              </w:rPr>
              <w:instrText xml:space="preserve"> PAGEREF _Toc127353159 \h </w:instrText>
            </w:r>
            <w:r>
              <w:rPr>
                <w:noProof/>
                <w:webHidden/>
              </w:rPr>
            </w:r>
            <w:r>
              <w:rPr>
                <w:noProof/>
                <w:webHidden/>
              </w:rPr>
              <w:fldChar w:fldCharType="separate"/>
            </w:r>
            <w:r w:rsidR="001A4162">
              <w:rPr>
                <w:noProof/>
                <w:webHidden/>
              </w:rPr>
              <w:t>16</w:t>
            </w:r>
            <w:r>
              <w:rPr>
                <w:noProof/>
                <w:webHidden/>
              </w:rPr>
              <w:fldChar w:fldCharType="end"/>
            </w:r>
          </w:hyperlink>
        </w:p>
        <w:p w14:paraId="207F17E2" w14:textId="77777777" w:rsidR="008559DE" w:rsidRDefault="008559DE">
          <w:pPr>
            <w:pStyle w:val="TOC1"/>
            <w:rPr>
              <w:noProof/>
            </w:rPr>
          </w:pPr>
          <w:hyperlink w:anchor="_Toc127353160" w:history="1">
            <w:r w:rsidRPr="008A0069">
              <w:rPr>
                <w:rStyle w:val="Hyperlink"/>
                <w:noProof/>
              </w:rPr>
              <w:t>NBN’s Approach to the Building Block Model</w:t>
            </w:r>
            <w:r>
              <w:rPr>
                <w:noProof/>
                <w:webHidden/>
              </w:rPr>
              <w:tab/>
            </w:r>
            <w:r>
              <w:rPr>
                <w:noProof/>
                <w:webHidden/>
              </w:rPr>
              <w:fldChar w:fldCharType="begin"/>
            </w:r>
            <w:r>
              <w:rPr>
                <w:noProof/>
                <w:webHidden/>
              </w:rPr>
              <w:instrText xml:space="preserve"> PAGEREF _Toc127353160 \h </w:instrText>
            </w:r>
            <w:r>
              <w:rPr>
                <w:noProof/>
                <w:webHidden/>
              </w:rPr>
            </w:r>
            <w:r>
              <w:rPr>
                <w:noProof/>
                <w:webHidden/>
              </w:rPr>
              <w:fldChar w:fldCharType="separate"/>
            </w:r>
            <w:r w:rsidR="001A4162">
              <w:rPr>
                <w:noProof/>
                <w:webHidden/>
              </w:rPr>
              <w:t>17</w:t>
            </w:r>
            <w:r>
              <w:rPr>
                <w:noProof/>
                <w:webHidden/>
              </w:rPr>
              <w:fldChar w:fldCharType="end"/>
            </w:r>
          </w:hyperlink>
        </w:p>
        <w:p w14:paraId="46C40BF9" w14:textId="77777777" w:rsidR="008559DE" w:rsidRDefault="008559DE">
          <w:pPr>
            <w:pStyle w:val="TOC1"/>
            <w:rPr>
              <w:noProof/>
            </w:rPr>
          </w:pPr>
          <w:hyperlink w:anchor="_Toc127353161" w:history="1">
            <w:r w:rsidRPr="008A0069">
              <w:rPr>
                <w:rStyle w:val="Hyperlink"/>
                <w:noProof/>
                <w:lang w:eastAsia="en-US"/>
              </w:rPr>
              <w:t>Recovery of Accumulated Losses</w:t>
            </w:r>
            <w:r>
              <w:rPr>
                <w:noProof/>
                <w:webHidden/>
              </w:rPr>
              <w:tab/>
            </w:r>
            <w:r>
              <w:rPr>
                <w:noProof/>
                <w:webHidden/>
              </w:rPr>
              <w:fldChar w:fldCharType="begin"/>
            </w:r>
            <w:r>
              <w:rPr>
                <w:noProof/>
                <w:webHidden/>
              </w:rPr>
              <w:instrText xml:space="preserve"> PAGEREF _Toc127353161 \h </w:instrText>
            </w:r>
            <w:r>
              <w:rPr>
                <w:noProof/>
                <w:webHidden/>
              </w:rPr>
            </w:r>
            <w:r>
              <w:rPr>
                <w:noProof/>
                <w:webHidden/>
              </w:rPr>
              <w:fldChar w:fldCharType="separate"/>
            </w:r>
            <w:r w:rsidR="001A4162">
              <w:rPr>
                <w:noProof/>
                <w:webHidden/>
              </w:rPr>
              <w:t>19</w:t>
            </w:r>
            <w:r>
              <w:rPr>
                <w:noProof/>
                <w:webHidden/>
              </w:rPr>
              <w:fldChar w:fldCharType="end"/>
            </w:r>
          </w:hyperlink>
        </w:p>
        <w:p w14:paraId="6A0C253F" w14:textId="77777777" w:rsidR="008559DE" w:rsidRDefault="008559DE">
          <w:pPr>
            <w:pStyle w:val="TOC1"/>
            <w:rPr>
              <w:noProof/>
            </w:rPr>
          </w:pPr>
          <w:hyperlink w:anchor="_Toc127353162" w:history="1">
            <w:r w:rsidRPr="008A0069">
              <w:rPr>
                <w:rStyle w:val="Hyperlink"/>
                <w:noProof/>
              </w:rPr>
              <w:t xml:space="preserve">Expenditure Criteria </w:t>
            </w:r>
            <w:r>
              <w:rPr>
                <w:noProof/>
                <w:webHidden/>
              </w:rPr>
              <w:tab/>
            </w:r>
            <w:r>
              <w:rPr>
                <w:noProof/>
                <w:webHidden/>
              </w:rPr>
              <w:fldChar w:fldCharType="begin"/>
            </w:r>
            <w:r>
              <w:rPr>
                <w:noProof/>
                <w:webHidden/>
              </w:rPr>
              <w:instrText xml:space="preserve"> PAGEREF _Toc127353162 \h </w:instrText>
            </w:r>
            <w:r>
              <w:rPr>
                <w:noProof/>
                <w:webHidden/>
              </w:rPr>
            </w:r>
            <w:r>
              <w:rPr>
                <w:noProof/>
                <w:webHidden/>
              </w:rPr>
              <w:fldChar w:fldCharType="separate"/>
            </w:r>
            <w:r w:rsidR="001A4162">
              <w:rPr>
                <w:noProof/>
                <w:webHidden/>
              </w:rPr>
              <w:t>19</w:t>
            </w:r>
            <w:r>
              <w:rPr>
                <w:noProof/>
                <w:webHidden/>
              </w:rPr>
              <w:fldChar w:fldCharType="end"/>
            </w:r>
          </w:hyperlink>
        </w:p>
        <w:p w14:paraId="6EFDE143" w14:textId="77777777" w:rsidR="008559DE" w:rsidRDefault="008559DE">
          <w:pPr>
            <w:pStyle w:val="TOC1"/>
            <w:rPr>
              <w:noProof/>
            </w:rPr>
          </w:pPr>
          <w:hyperlink w:anchor="_Toc127353163" w:history="1">
            <w:r w:rsidRPr="008A0069">
              <w:rPr>
                <w:rStyle w:val="Hyperlink"/>
                <w:noProof/>
              </w:rPr>
              <w:t>Cost Allocation and Accounting Separation</w:t>
            </w:r>
            <w:r>
              <w:rPr>
                <w:noProof/>
                <w:webHidden/>
              </w:rPr>
              <w:tab/>
            </w:r>
            <w:r>
              <w:rPr>
                <w:noProof/>
                <w:webHidden/>
              </w:rPr>
              <w:fldChar w:fldCharType="begin"/>
            </w:r>
            <w:r>
              <w:rPr>
                <w:noProof/>
                <w:webHidden/>
              </w:rPr>
              <w:instrText xml:space="preserve"> PAGEREF _Toc127353163 \h </w:instrText>
            </w:r>
            <w:r>
              <w:rPr>
                <w:noProof/>
                <w:webHidden/>
              </w:rPr>
            </w:r>
            <w:r>
              <w:rPr>
                <w:noProof/>
                <w:webHidden/>
              </w:rPr>
              <w:fldChar w:fldCharType="separate"/>
            </w:r>
            <w:r w:rsidR="001A4162">
              <w:rPr>
                <w:noProof/>
                <w:webHidden/>
              </w:rPr>
              <w:t>24</w:t>
            </w:r>
            <w:r>
              <w:rPr>
                <w:noProof/>
                <w:webHidden/>
              </w:rPr>
              <w:fldChar w:fldCharType="end"/>
            </w:r>
          </w:hyperlink>
        </w:p>
        <w:p w14:paraId="1CB7BF74" w14:textId="77777777" w:rsidR="008559DE" w:rsidRDefault="008559DE">
          <w:pPr>
            <w:pStyle w:val="TOC1"/>
            <w:rPr>
              <w:noProof/>
            </w:rPr>
          </w:pPr>
          <w:hyperlink w:anchor="_Toc127353164" w:history="1">
            <w:r w:rsidRPr="008A0069">
              <w:rPr>
                <w:rStyle w:val="Hyperlink"/>
                <w:noProof/>
              </w:rPr>
              <w:t>Weighted Average Cost of Capital</w:t>
            </w:r>
            <w:r>
              <w:rPr>
                <w:noProof/>
                <w:webHidden/>
              </w:rPr>
              <w:tab/>
            </w:r>
            <w:r>
              <w:rPr>
                <w:noProof/>
                <w:webHidden/>
              </w:rPr>
              <w:fldChar w:fldCharType="begin"/>
            </w:r>
            <w:r>
              <w:rPr>
                <w:noProof/>
                <w:webHidden/>
              </w:rPr>
              <w:instrText xml:space="preserve"> PAGEREF _Toc127353164 \h </w:instrText>
            </w:r>
            <w:r>
              <w:rPr>
                <w:noProof/>
                <w:webHidden/>
              </w:rPr>
            </w:r>
            <w:r>
              <w:rPr>
                <w:noProof/>
                <w:webHidden/>
              </w:rPr>
              <w:fldChar w:fldCharType="separate"/>
            </w:r>
            <w:r w:rsidR="001A4162">
              <w:rPr>
                <w:noProof/>
                <w:webHidden/>
              </w:rPr>
              <w:t>26</w:t>
            </w:r>
            <w:r>
              <w:rPr>
                <w:noProof/>
                <w:webHidden/>
              </w:rPr>
              <w:fldChar w:fldCharType="end"/>
            </w:r>
          </w:hyperlink>
        </w:p>
        <w:p w14:paraId="50387F36" w14:textId="77777777" w:rsidR="008559DE" w:rsidRDefault="008559DE">
          <w:pPr>
            <w:pStyle w:val="TOC1"/>
            <w:rPr>
              <w:noProof/>
            </w:rPr>
          </w:pPr>
          <w:hyperlink w:anchor="_Toc127353165" w:history="1">
            <w:r w:rsidRPr="008A0069">
              <w:rPr>
                <w:rStyle w:val="Hyperlink"/>
                <w:noProof/>
                <w:lang w:eastAsia="en-US"/>
              </w:rPr>
              <w:t>Incorporating Other Access Technologies</w:t>
            </w:r>
            <w:r>
              <w:rPr>
                <w:noProof/>
                <w:webHidden/>
              </w:rPr>
              <w:tab/>
            </w:r>
            <w:r>
              <w:rPr>
                <w:noProof/>
                <w:webHidden/>
              </w:rPr>
              <w:fldChar w:fldCharType="begin"/>
            </w:r>
            <w:r>
              <w:rPr>
                <w:noProof/>
                <w:webHidden/>
              </w:rPr>
              <w:instrText xml:space="preserve"> PAGEREF _Toc127353165 \h </w:instrText>
            </w:r>
            <w:r>
              <w:rPr>
                <w:noProof/>
                <w:webHidden/>
              </w:rPr>
            </w:r>
            <w:r>
              <w:rPr>
                <w:noProof/>
                <w:webHidden/>
              </w:rPr>
              <w:fldChar w:fldCharType="separate"/>
            </w:r>
            <w:r w:rsidR="001A4162">
              <w:rPr>
                <w:noProof/>
                <w:webHidden/>
              </w:rPr>
              <w:t>27</w:t>
            </w:r>
            <w:r>
              <w:rPr>
                <w:noProof/>
                <w:webHidden/>
              </w:rPr>
              <w:fldChar w:fldCharType="end"/>
            </w:r>
          </w:hyperlink>
        </w:p>
        <w:p w14:paraId="22750BB1" w14:textId="77777777" w:rsidR="008559DE" w:rsidRDefault="008559DE">
          <w:pPr>
            <w:pStyle w:val="TOC1"/>
            <w:rPr>
              <w:noProof/>
            </w:rPr>
          </w:pPr>
          <w:hyperlink w:anchor="_Toc127353166" w:history="1">
            <w:r w:rsidRPr="008A0069">
              <w:rPr>
                <w:rStyle w:val="Hyperlink"/>
                <w:noProof/>
                <w:lang w:eastAsia="en-US"/>
              </w:rPr>
              <w:t>Service Quality</w:t>
            </w:r>
            <w:r>
              <w:rPr>
                <w:noProof/>
                <w:webHidden/>
              </w:rPr>
              <w:tab/>
            </w:r>
            <w:r>
              <w:rPr>
                <w:noProof/>
                <w:webHidden/>
              </w:rPr>
              <w:fldChar w:fldCharType="begin"/>
            </w:r>
            <w:r>
              <w:rPr>
                <w:noProof/>
                <w:webHidden/>
              </w:rPr>
              <w:instrText xml:space="preserve"> PAGEREF _Toc127353166 \h </w:instrText>
            </w:r>
            <w:r>
              <w:rPr>
                <w:noProof/>
                <w:webHidden/>
              </w:rPr>
            </w:r>
            <w:r>
              <w:rPr>
                <w:noProof/>
                <w:webHidden/>
              </w:rPr>
              <w:fldChar w:fldCharType="separate"/>
            </w:r>
            <w:r w:rsidR="001A4162">
              <w:rPr>
                <w:noProof/>
                <w:webHidden/>
              </w:rPr>
              <w:t>27</w:t>
            </w:r>
            <w:r>
              <w:rPr>
                <w:noProof/>
                <w:webHidden/>
              </w:rPr>
              <w:fldChar w:fldCharType="end"/>
            </w:r>
          </w:hyperlink>
        </w:p>
        <w:p w14:paraId="7F4E4D4E" w14:textId="77777777" w:rsidR="008559DE" w:rsidRDefault="008559DE">
          <w:pPr>
            <w:pStyle w:val="TOC1"/>
            <w:rPr>
              <w:noProof/>
            </w:rPr>
          </w:pPr>
          <w:hyperlink w:anchor="_Toc127353167" w:history="1">
            <w:r w:rsidRPr="008A0069">
              <w:rPr>
                <w:rStyle w:val="Hyperlink"/>
                <w:noProof/>
              </w:rPr>
              <w:t>Reporting</w:t>
            </w:r>
            <w:r>
              <w:rPr>
                <w:noProof/>
                <w:webHidden/>
              </w:rPr>
              <w:tab/>
            </w:r>
            <w:r>
              <w:rPr>
                <w:noProof/>
                <w:webHidden/>
              </w:rPr>
              <w:fldChar w:fldCharType="begin"/>
            </w:r>
            <w:r>
              <w:rPr>
                <w:noProof/>
                <w:webHidden/>
              </w:rPr>
              <w:instrText xml:space="preserve"> PAGEREF _Toc127353167 \h </w:instrText>
            </w:r>
            <w:r>
              <w:rPr>
                <w:noProof/>
                <w:webHidden/>
              </w:rPr>
            </w:r>
            <w:r>
              <w:rPr>
                <w:noProof/>
                <w:webHidden/>
              </w:rPr>
              <w:fldChar w:fldCharType="separate"/>
            </w:r>
            <w:r w:rsidR="001A4162">
              <w:rPr>
                <w:noProof/>
                <w:webHidden/>
              </w:rPr>
              <w:t>30</w:t>
            </w:r>
            <w:r>
              <w:rPr>
                <w:noProof/>
                <w:webHidden/>
              </w:rPr>
              <w:fldChar w:fldCharType="end"/>
            </w:r>
          </w:hyperlink>
        </w:p>
        <w:p w14:paraId="79F89887" w14:textId="77777777" w:rsidR="008559DE" w:rsidRDefault="008559DE">
          <w:pPr>
            <w:pStyle w:val="TOC1"/>
            <w:rPr>
              <w:noProof/>
            </w:rPr>
          </w:pPr>
          <w:hyperlink w:anchor="_Toc127353168" w:history="1">
            <w:r w:rsidRPr="008A0069">
              <w:rPr>
                <w:rStyle w:val="Hyperlink"/>
                <w:noProof/>
                <w:lang w:eastAsia="en-US"/>
              </w:rPr>
              <w:t>ACCC Functions and Powers</w:t>
            </w:r>
            <w:r>
              <w:rPr>
                <w:noProof/>
                <w:webHidden/>
              </w:rPr>
              <w:tab/>
            </w:r>
            <w:r>
              <w:rPr>
                <w:noProof/>
                <w:webHidden/>
              </w:rPr>
              <w:fldChar w:fldCharType="begin"/>
            </w:r>
            <w:r>
              <w:rPr>
                <w:noProof/>
                <w:webHidden/>
              </w:rPr>
              <w:instrText xml:space="preserve"> PAGEREF _Toc127353168 \h </w:instrText>
            </w:r>
            <w:r>
              <w:rPr>
                <w:noProof/>
                <w:webHidden/>
              </w:rPr>
            </w:r>
            <w:r>
              <w:rPr>
                <w:noProof/>
                <w:webHidden/>
              </w:rPr>
              <w:fldChar w:fldCharType="separate"/>
            </w:r>
            <w:r w:rsidR="001A4162">
              <w:rPr>
                <w:noProof/>
                <w:webHidden/>
              </w:rPr>
              <w:t>31</w:t>
            </w:r>
            <w:r>
              <w:rPr>
                <w:noProof/>
                <w:webHidden/>
              </w:rPr>
              <w:fldChar w:fldCharType="end"/>
            </w:r>
          </w:hyperlink>
        </w:p>
        <w:p w14:paraId="3474AF7E" w14:textId="77777777" w:rsidR="00B41CA8" w:rsidRPr="00B41CA8" w:rsidRDefault="00B41CA8" w:rsidP="009235EF">
          <w:pPr>
            <w:rPr>
              <w:rFonts w:ascii="Calibri" w:eastAsia="MS Mincho" w:hAnsi="Calibri" w:cs="Arial"/>
            </w:rPr>
          </w:pPr>
          <w:r w:rsidRPr="00B41CA8">
            <w:rPr>
              <w:rFonts w:ascii="Calibri" w:eastAsia="MS Mincho" w:hAnsi="Calibri" w:cs="Arial"/>
            </w:rPr>
            <w:fldChar w:fldCharType="end"/>
          </w:r>
        </w:p>
      </w:sdtContent>
    </w:sdt>
    <w:p w14:paraId="0F2D792E" w14:textId="37B961A2" w:rsidR="00B41CA8" w:rsidRPr="005537B6" w:rsidRDefault="00B41CA8" w:rsidP="00756F51">
      <w:pPr>
        <w:tabs>
          <w:tab w:val="right" w:leader="dot" w:pos="9016"/>
        </w:tabs>
        <w:rPr>
          <w:rFonts w:ascii="Calibri" w:eastAsia="MS Mincho" w:hAnsi="Calibri" w:cs="Arial"/>
        </w:rPr>
      </w:pPr>
    </w:p>
    <w:p w14:paraId="5E8E914E" w14:textId="77777777" w:rsidR="00756F51" w:rsidRDefault="00756F51" w:rsidP="0017456B">
      <w:pPr>
        <w:rPr>
          <w:lang w:val="en-US"/>
        </w:rPr>
      </w:pPr>
    </w:p>
    <w:p w14:paraId="1E695500" w14:textId="77777777" w:rsidR="005537B6" w:rsidRPr="0017456B" w:rsidRDefault="005537B6" w:rsidP="0017456B">
      <w:r>
        <w:rPr>
          <w:lang w:val="en-US"/>
        </w:rPr>
        <w:br w:type="page"/>
      </w:r>
    </w:p>
    <w:p w14:paraId="6D342BB4" w14:textId="6276E4CB" w:rsidR="005515A9" w:rsidRPr="00864368" w:rsidRDefault="006A30FD" w:rsidP="00864368">
      <w:pPr>
        <w:pStyle w:val="Heading1"/>
      </w:pPr>
      <w:bookmarkStart w:id="6" w:name="_Toc127353155"/>
      <w:bookmarkStart w:id="7" w:name="_Toc126914081"/>
      <w:r w:rsidRPr="00864368">
        <w:t xml:space="preserve">Executive </w:t>
      </w:r>
      <w:r w:rsidR="005D40F9">
        <w:t>S</w:t>
      </w:r>
      <w:r w:rsidRPr="00864368">
        <w:t>ummary</w:t>
      </w:r>
      <w:bookmarkStart w:id="8" w:name="_Toc99975453"/>
      <w:bookmarkStart w:id="9" w:name="_Toc99975570"/>
      <w:bookmarkEnd w:id="6"/>
      <w:bookmarkEnd w:id="7"/>
    </w:p>
    <w:p w14:paraId="2571FFBC" w14:textId="074E9FCD" w:rsidR="00E64554" w:rsidRDefault="00057E03" w:rsidP="003A11DE">
      <w:pPr>
        <w:rPr>
          <w:lang w:val="en-US" w:eastAsia="en-US"/>
        </w:rPr>
      </w:pPr>
      <w:r>
        <w:rPr>
          <w:lang w:val="en-US" w:eastAsia="en-US"/>
        </w:rPr>
        <w:t xml:space="preserve">The </w:t>
      </w:r>
      <w:r w:rsidR="00245485">
        <w:rPr>
          <w:lang w:val="en-US" w:eastAsia="en-US"/>
        </w:rPr>
        <w:t>Special Access Undertaking (</w:t>
      </w:r>
      <w:r w:rsidR="00245485">
        <w:rPr>
          <w:b/>
          <w:bCs/>
          <w:lang w:val="en-US" w:eastAsia="en-US"/>
        </w:rPr>
        <w:t>SAU)</w:t>
      </w:r>
      <w:r w:rsidR="00425105">
        <w:rPr>
          <w:b/>
          <w:bCs/>
          <w:lang w:val="en-US" w:eastAsia="en-US"/>
        </w:rPr>
        <w:t xml:space="preserve"> </w:t>
      </w:r>
      <w:r>
        <w:rPr>
          <w:lang w:val="en-US" w:eastAsia="en-US"/>
        </w:rPr>
        <w:t xml:space="preserve">Variation lodged by NBN Co represents a significant step forward in terms of consumer protections and regulatory and pricing certainty. </w:t>
      </w:r>
      <w:r w:rsidR="005D1375">
        <w:rPr>
          <w:lang w:val="en-US" w:eastAsia="en-US"/>
        </w:rPr>
        <w:t xml:space="preserve">However, there are limitations which require addressing prior to the ACCC’s acceptance of the SAU </w:t>
      </w:r>
      <w:r w:rsidR="00245485">
        <w:rPr>
          <w:lang w:val="en-US" w:eastAsia="en-US"/>
        </w:rPr>
        <w:t>Variation.</w:t>
      </w:r>
      <w:r w:rsidR="00BA4C50">
        <w:rPr>
          <w:lang w:val="en-US" w:eastAsia="en-US"/>
        </w:rPr>
        <w:t xml:space="preserve"> The regulatory framework of</w:t>
      </w:r>
      <w:r w:rsidR="00DD286D">
        <w:rPr>
          <w:lang w:val="en-US" w:eastAsia="en-US"/>
        </w:rPr>
        <w:t xml:space="preserve"> NBN Co, as a</w:t>
      </w:r>
      <w:r w:rsidR="001B0297">
        <w:rPr>
          <w:lang w:val="en-US" w:eastAsia="en-US"/>
        </w:rPr>
        <w:t xml:space="preserve"> national</w:t>
      </w:r>
      <w:r w:rsidR="00DD286D">
        <w:rPr>
          <w:lang w:val="en-US" w:eastAsia="en-US"/>
        </w:rPr>
        <w:t xml:space="preserve"> monopoly provider of an essential service</w:t>
      </w:r>
      <w:r w:rsidR="00BA4C50">
        <w:rPr>
          <w:lang w:val="en-US" w:eastAsia="en-US"/>
        </w:rPr>
        <w:t xml:space="preserve">, is critical to ensuring the </w:t>
      </w:r>
      <w:r w:rsidR="00691F80">
        <w:rPr>
          <w:lang w:val="en-US" w:eastAsia="en-US"/>
        </w:rPr>
        <w:t xml:space="preserve">benefits of digital technologies can be </w:t>
      </w:r>
      <w:r w:rsidR="00161238">
        <w:rPr>
          <w:lang w:val="en-US" w:eastAsia="en-US"/>
        </w:rPr>
        <w:t xml:space="preserve">felt across the nation. </w:t>
      </w:r>
    </w:p>
    <w:p w14:paraId="0148BEF4" w14:textId="4CBE4FDA" w:rsidR="00A40B10" w:rsidRPr="00231C00" w:rsidRDefault="00161238" w:rsidP="003A11DE">
      <w:pPr>
        <w:rPr>
          <w:lang w:val="en-US" w:eastAsia="en-US"/>
        </w:rPr>
      </w:pPr>
      <w:r>
        <w:rPr>
          <w:lang w:val="en-US" w:eastAsia="en-US"/>
        </w:rPr>
        <w:t xml:space="preserve">Whilst the </w:t>
      </w:r>
      <w:r w:rsidR="00E64554">
        <w:rPr>
          <w:lang w:val="en-US" w:eastAsia="en-US"/>
        </w:rPr>
        <w:t>NBN Co</w:t>
      </w:r>
      <w:r>
        <w:rPr>
          <w:lang w:val="en-US" w:eastAsia="en-US"/>
        </w:rPr>
        <w:t xml:space="preserve"> may face competitive pressures at the margins, </w:t>
      </w:r>
      <w:r w:rsidR="0070226D">
        <w:rPr>
          <w:lang w:val="en-US" w:eastAsia="en-US"/>
        </w:rPr>
        <w:t>households have limited choice in how they</w:t>
      </w:r>
      <w:r w:rsidR="001A4C59">
        <w:rPr>
          <w:lang w:val="en-US" w:eastAsia="en-US"/>
        </w:rPr>
        <w:t xml:space="preserve"> connect and</w:t>
      </w:r>
      <w:r w:rsidR="0070226D">
        <w:rPr>
          <w:lang w:val="en-US" w:eastAsia="en-US"/>
        </w:rPr>
        <w:t xml:space="preserve"> engaged with the digital economy.</w:t>
      </w:r>
      <w:r w:rsidR="00A868EB">
        <w:rPr>
          <w:lang w:val="en-US" w:eastAsia="en-US"/>
        </w:rPr>
        <w:t xml:space="preserve"> </w:t>
      </w:r>
      <w:r w:rsidR="0070226D">
        <w:rPr>
          <w:lang w:val="en-US" w:eastAsia="en-US"/>
        </w:rPr>
        <w:t>As such, it is imperative that the regulatory settings</w:t>
      </w:r>
      <w:r w:rsidR="005C1682">
        <w:rPr>
          <w:lang w:val="en-US" w:eastAsia="en-US"/>
        </w:rPr>
        <w:t xml:space="preserve"> are</w:t>
      </w:r>
      <w:r w:rsidR="0070226D">
        <w:rPr>
          <w:lang w:val="en-US" w:eastAsia="en-US"/>
        </w:rPr>
        <w:t xml:space="preserve"> </w:t>
      </w:r>
      <w:r w:rsidR="00231C00">
        <w:rPr>
          <w:lang w:val="en-US" w:eastAsia="en-US"/>
        </w:rPr>
        <w:t>appropriate</w:t>
      </w:r>
      <w:r w:rsidR="005C1682">
        <w:rPr>
          <w:lang w:val="en-US" w:eastAsia="en-US"/>
        </w:rPr>
        <w:t xml:space="preserve"> and</w:t>
      </w:r>
      <w:r w:rsidR="00231C00">
        <w:rPr>
          <w:lang w:val="en-US" w:eastAsia="en-US"/>
        </w:rPr>
        <w:t xml:space="preserve"> in the </w:t>
      </w:r>
      <w:r w:rsidR="0051701F">
        <w:rPr>
          <w:lang w:val="en-US" w:eastAsia="en-US"/>
        </w:rPr>
        <w:t>long-term</w:t>
      </w:r>
      <w:r w:rsidR="00231C00">
        <w:rPr>
          <w:lang w:val="en-US" w:eastAsia="en-US"/>
        </w:rPr>
        <w:t xml:space="preserve"> interests of end users (</w:t>
      </w:r>
      <w:r w:rsidR="00231C00">
        <w:rPr>
          <w:b/>
          <w:bCs/>
          <w:lang w:val="en-US" w:eastAsia="en-US"/>
        </w:rPr>
        <w:t>LTIE</w:t>
      </w:r>
      <w:r w:rsidR="00231C00" w:rsidRPr="00EF660E">
        <w:rPr>
          <w:lang w:val="en-US"/>
        </w:rPr>
        <w:t>)</w:t>
      </w:r>
      <w:r w:rsidR="00231C00">
        <w:rPr>
          <w:lang w:val="en-US" w:eastAsia="en-US"/>
        </w:rPr>
        <w:t>.</w:t>
      </w:r>
    </w:p>
    <w:p w14:paraId="4C0D4423" w14:textId="2C6DEDDC" w:rsidR="005079C4" w:rsidRDefault="005079C4" w:rsidP="003A11DE">
      <w:pPr>
        <w:rPr>
          <w:lang w:val="en-US" w:eastAsia="en-US"/>
        </w:rPr>
      </w:pPr>
      <w:r>
        <w:rPr>
          <w:lang w:val="en-US" w:eastAsia="en-US"/>
        </w:rPr>
        <w:t>This submission focuses on the</w:t>
      </w:r>
      <w:r w:rsidR="008A2858">
        <w:rPr>
          <w:lang w:val="en-US" w:eastAsia="en-US"/>
        </w:rPr>
        <w:t xml:space="preserve"> questions posed in the </w:t>
      </w:r>
      <w:r w:rsidR="001C2F52">
        <w:rPr>
          <w:lang w:val="en-US" w:eastAsia="en-US"/>
        </w:rPr>
        <w:t xml:space="preserve">ACCC’s </w:t>
      </w:r>
      <w:r w:rsidR="008A2858">
        <w:rPr>
          <w:lang w:val="en-US" w:eastAsia="en-US"/>
        </w:rPr>
        <w:t>consultation paper and the</w:t>
      </w:r>
      <w:r>
        <w:rPr>
          <w:lang w:val="en-US" w:eastAsia="en-US"/>
        </w:rPr>
        <w:t xml:space="preserve"> key changes ACCAN recommends</w:t>
      </w:r>
      <w:r w:rsidR="00A42ECF">
        <w:rPr>
          <w:lang w:val="en-US" w:eastAsia="en-US"/>
        </w:rPr>
        <w:t xml:space="preserve"> NBN Co make to the Variation prior to its acceptance</w:t>
      </w:r>
      <w:r>
        <w:rPr>
          <w:lang w:val="en-US" w:eastAsia="en-US"/>
        </w:rPr>
        <w:t>, including:</w:t>
      </w:r>
    </w:p>
    <w:p w14:paraId="3F25B953" w14:textId="0698CC7D" w:rsidR="00452CA7" w:rsidRPr="003D1038" w:rsidRDefault="00E93352" w:rsidP="00452CA7">
      <w:pPr>
        <w:pStyle w:val="Bulletlist1"/>
      </w:pPr>
      <w:r w:rsidRPr="00EF660E">
        <w:t>Post</w:t>
      </w:r>
      <w:r w:rsidR="00C84B8B" w:rsidRPr="00BD6747">
        <w:t>-</w:t>
      </w:r>
      <w:r w:rsidRPr="003D1038">
        <w:t>2032, t</w:t>
      </w:r>
      <w:r w:rsidR="00452CA7" w:rsidRPr="003D1038">
        <w:t>he ACCC should not be required to have regard to NBN Co’s ability to achieve and maintain, for the duration of each regulatory cycle, a stand-alone investment grade credit rating</w:t>
      </w:r>
      <w:r w:rsidR="00D34A06" w:rsidRPr="00BD6747">
        <w:t>, when setting NBN Co’s Annual Building Block Revenue Requirement (</w:t>
      </w:r>
      <w:r w:rsidR="00D34A06" w:rsidRPr="00BD6747">
        <w:rPr>
          <w:b/>
          <w:bCs/>
        </w:rPr>
        <w:t>ABBRR</w:t>
      </w:r>
      <w:r w:rsidR="00D34A06" w:rsidRPr="00BD6747">
        <w:t>)</w:t>
      </w:r>
      <w:r w:rsidR="00452CA7" w:rsidRPr="00BD6747">
        <w:t xml:space="preserve">. </w:t>
      </w:r>
    </w:p>
    <w:p w14:paraId="34894ABB" w14:textId="1B55BD6B" w:rsidR="00C7044E" w:rsidRPr="003D1038" w:rsidRDefault="00C7044E" w:rsidP="003B5AE8">
      <w:pPr>
        <w:pStyle w:val="Bulletlist1"/>
      </w:pPr>
      <w:r w:rsidRPr="003D1038">
        <w:t>The</w:t>
      </w:r>
      <w:r w:rsidR="00884411" w:rsidRPr="003D1038">
        <w:t xml:space="preserve"> SAU should provide the</w:t>
      </w:r>
      <w:r w:rsidRPr="003D1038">
        <w:t xml:space="preserve"> </w:t>
      </w:r>
      <w:r w:rsidR="003B5AE8" w:rsidRPr="003D1038">
        <w:t xml:space="preserve">ACCC the ability to introduce incentive schemes into the framework. </w:t>
      </w:r>
    </w:p>
    <w:p w14:paraId="4288066C" w14:textId="17158311" w:rsidR="007B4143" w:rsidRPr="003D1038" w:rsidRDefault="007B4143" w:rsidP="004A201D">
      <w:pPr>
        <w:pStyle w:val="Bulletlist1"/>
      </w:pPr>
      <w:r w:rsidRPr="003D1038">
        <w:t>The framework for consultation and engagement should be strengthened by specifying appropriate</w:t>
      </w:r>
      <w:r w:rsidR="00884411" w:rsidRPr="003D1038">
        <w:t xml:space="preserve"> minimum</w:t>
      </w:r>
      <w:r w:rsidRPr="003D1038">
        <w:t xml:space="preserve"> timeframes for consultation, requiring detailed business cases to be provided and consulted on, and funding necessary for best practice consultation. </w:t>
      </w:r>
    </w:p>
    <w:p w14:paraId="35C57085" w14:textId="39D1ED30" w:rsidR="007B4143" w:rsidRPr="003D1038" w:rsidRDefault="007B4143" w:rsidP="004A201D">
      <w:pPr>
        <w:pStyle w:val="Bulletlist1"/>
      </w:pPr>
      <w:r w:rsidRPr="003D1038">
        <w:t xml:space="preserve">NBN Co should be required to develop a product targeted to </w:t>
      </w:r>
      <w:r w:rsidR="007517A9" w:rsidRPr="003D1038">
        <w:t>low-income</w:t>
      </w:r>
      <w:r w:rsidRPr="003D1038">
        <w:t xml:space="preserve"> consumers that is endorsed by representatives of </w:t>
      </w:r>
      <w:r w:rsidR="005F4913" w:rsidRPr="003D1038">
        <w:t>low-income</w:t>
      </w:r>
      <w:r w:rsidRPr="003D1038">
        <w:t xml:space="preserve"> consumers within the first 12 months of the </w:t>
      </w:r>
      <w:r w:rsidRPr="00BD6747">
        <w:t>SAU</w:t>
      </w:r>
      <w:r w:rsidR="0062564B">
        <w:t>’s acceptance</w:t>
      </w:r>
      <w:r w:rsidRPr="00BD6747">
        <w:t>.</w:t>
      </w:r>
      <w:r w:rsidRPr="003D1038">
        <w:t xml:space="preserve"> </w:t>
      </w:r>
    </w:p>
    <w:p w14:paraId="727A6173" w14:textId="2F681E96" w:rsidR="007B4143" w:rsidRPr="003D1038" w:rsidRDefault="007B4143" w:rsidP="004A201D">
      <w:pPr>
        <w:pStyle w:val="Bulletlist1"/>
      </w:pPr>
      <w:r w:rsidRPr="003D1038">
        <w:t xml:space="preserve">The </w:t>
      </w:r>
      <w:r w:rsidR="007517A9" w:rsidRPr="003D1038">
        <w:t>low-income</w:t>
      </w:r>
      <w:r w:rsidRPr="003D1038">
        <w:t xml:space="preserve"> forum proposal should be amended to ensure that the goal of improving affordability of the network is achieved</w:t>
      </w:r>
      <w:r w:rsidR="00460481" w:rsidRPr="003D1038">
        <w:t xml:space="preserve">. </w:t>
      </w:r>
    </w:p>
    <w:bookmarkEnd w:id="8"/>
    <w:bookmarkEnd w:id="9"/>
    <w:p w14:paraId="4937DD36" w14:textId="192F785E" w:rsidR="000C116D" w:rsidRDefault="000C116D" w:rsidP="000D7399">
      <w:pPr>
        <w:rPr>
          <w:lang w:val="en-US" w:eastAsia="en-US"/>
        </w:rPr>
      </w:pPr>
      <w:r>
        <w:rPr>
          <w:lang w:val="en-US" w:eastAsia="en-US"/>
        </w:rPr>
        <w:t xml:space="preserve">ACCAN welcomes </w:t>
      </w:r>
      <w:proofErr w:type="gramStart"/>
      <w:r>
        <w:rPr>
          <w:lang w:val="en-US" w:eastAsia="en-US"/>
        </w:rPr>
        <w:t>a number of</w:t>
      </w:r>
      <w:proofErr w:type="gramEnd"/>
      <w:r>
        <w:rPr>
          <w:lang w:val="en-US" w:eastAsia="en-US"/>
        </w:rPr>
        <w:t xml:space="preserve"> NBN Co’s proposals including the shift to a flat rate pricing construct, the reduction of the Initial Cost Recover</w:t>
      </w:r>
      <w:r w:rsidR="00616202">
        <w:rPr>
          <w:lang w:val="en-US" w:eastAsia="en-US"/>
        </w:rPr>
        <w:t>y</w:t>
      </w:r>
      <w:r>
        <w:rPr>
          <w:lang w:val="en-US" w:eastAsia="en-US"/>
        </w:rPr>
        <w:t xml:space="preserve"> Account (</w:t>
      </w:r>
      <w:r w:rsidRPr="00AC71AB">
        <w:rPr>
          <w:b/>
          <w:bCs/>
          <w:lang w:val="en-US" w:eastAsia="en-US"/>
        </w:rPr>
        <w:t>ICRA</w:t>
      </w:r>
      <w:r>
        <w:rPr>
          <w:lang w:val="en-US" w:eastAsia="en-US"/>
        </w:rPr>
        <w:t>), the Replacement Module Application (</w:t>
      </w:r>
      <w:r w:rsidRPr="00AC71AB">
        <w:rPr>
          <w:b/>
          <w:bCs/>
          <w:lang w:val="en-US" w:eastAsia="en-US"/>
        </w:rPr>
        <w:t>RMA</w:t>
      </w:r>
      <w:r>
        <w:rPr>
          <w:lang w:val="en-US" w:eastAsia="en-US"/>
        </w:rPr>
        <w:t>) process and the introduction of the Weighted Average Price Cap (</w:t>
      </w:r>
      <w:r w:rsidRPr="00AC71AB">
        <w:rPr>
          <w:b/>
          <w:bCs/>
          <w:lang w:val="en-US" w:eastAsia="en-US"/>
        </w:rPr>
        <w:t>WAPC</w:t>
      </w:r>
      <w:r>
        <w:rPr>
          <w:lang w:val="en-US" w:eastAsia="en-US"/>
        </w:rPr>
        <w:t xml:space="preserve">). </w:t>
      </w:r>
      <w:r w:rsidR="00A32BA8">
        <w:rPr>
          <w:lang w:val="en-US" w:eastAsia="en-US"/>
        </w:rPr>
        <w:t>Despite this,</w:t>
      </w:r>
      <w:r>
        <w:rPr>
          <w:lang w:val="en-US" w:eastAsia="en-US"/>
        </w:rPr>
        <w:t xml:space="preserve"> there remain significant changes that need to be made to the Variation so that we can be confident that it is in </w:t>
      </w:r>
      <w:r w:rsidR="00616202">
        <w:rPr>
          <w:lang w:val="en-US" w:eastAsia="en-US"/>
        </w:rPr>
        <w:t xml:space="preserve">the </w:t>
      </w:r>
      <w:r w:rsidR="0051701F">
        <w:rPr>
          <w:lang w:val="en-US" w:eastAsia="en-US"/>
        </w:rPr>
        <w:t>LTIE.</w:t>
      </w:r>
      <w:r>
        <w:rPr>
          <w:lang w:val="en-US" w:eastAsia="en-US"/>
        </w:rPr>
        <w:t xml:space="preserve"> </w:t>
      </w:r>
    </w:p>
    <w:p w14:paraId="2AF5B479" w14:textId="77777777" w:rsidR="00475642" w:rsidRDefault="00475642">
      <w:pPr>
        <w:rPr>
          <w:rFonts w:cstheme="minorHAnsi"/>
          <w:sz w:val="32"/>
          <w:szCs w:val="32"/>
        </w:rPr>
      </w:pPr>
      <w:r>
        <w:br w:type="page"/>
      </w:r>
    </w:p>
    <w:p w14:paraId="4E776E7E" w14:textId="54CC8A3F" w:rsidR="00756F51" w:rsidRDefault="00953EFC" w:rsidP="00953EFC">
      <w:pPr>
        <w:pStyle w:val="Heading1"/>
      </w:pPr>
      <w:bookmarkStart w:id="10" w:name="_Toc127353156"/>
      <w:bookmarkStart w:id="11" w:name="_Toc126914082"/>
      <w:r>
        <w:t xml:space="preserve">List of </w:t>
      </w:r>
      <w:r w:rsidR="005544FC">
        <w:t>R</w:t>
      </w:r>
      <w:r>
        <w:t>ecommendations</w:t>
      </w:r>
      <w:bookmarkEnd w:id="10"/>
      <w:bookmarkEnd w:id="11"/>
      <w:r>
        <w:t xml:space="preserve"> </w:t>
      </w:r>
    </w:p>
    <w:p w14:paraId="15A01C1F" w14:textId="77777777" w:rsidR="000810C2" w:rsidRPr="00BD6747" w:rsidRDefault="000810C2" w:rsidP="00BD6747">
      <w:pPr>
        <w:rPr>
          <w:u w:val="single"/>
        </w:rPr>
      </w:pPr>
      <w:r w:rsidRPr="00BD6747">
        <w:rPr>
          <w:u w:val="single"/>
        </w:rPr>
        <w:t xml:space="preserve">General </w:t>
      </w:r>
      <w:r w:rsidR="0039672B">
        <w:rPr>
          <w:u w:val="single"/>
        </w:rPr>
        <w:t>R</w:t>
      </w:r>
      <w:r w:rsidRPr="00BD6747">
        <w:rPr>
          <w:u w:val="single"/>
        </w:rPr>
        <w:t xml:space="preserve">egulatory </w:t>
      </w:r>
      <w:r w:rsidR="0039672B">
        <w:rPr>
          <w:u w:val="single"/>
        </w:rPr>
        <w:t>F</w:t>
      </w:r>
      <w:r w:rsidRPr="00BD6747">
        <w:rPr>
          <w:u w:val="single"/>
        </w:rPr>
        <w:t xml:space="preserve">ramework and </w:t>
      </w:r>
      <w:r w:rsidR="0039672B">
        <w:rPr>
          <w:u w:val="single"/>
        </w:rPr>
        <w:t>M</w:t>
      </w:r>
      <w:r w:rsidRPr="00BD6747">
        <w:rPr>
          <w:u w:val="single"/>
        </w:rPr>
        <w:t xml:space="preserve">odular </w:t>
      </w:r>
      <w:r w:rsidR="0039672B">
        <w:rPr>
          <w:u w:val="single"/>
        </w:rPr>
        <w:t>S</w:t>
      </w:r>
      <w:r w:rsidRPr="00BD6747">
        <w:rPr>
          <w:u w:val="single"/>
        </w:rPr>
        <w:t>tructure</w:t>
      </w:r>
    </w:p>
    <w:p w14:paraId="315408B2" w14:textId="77777777" w:rsidR="00211AE0" w:rsidRPr="00211AE0" w:rsidRDefault="00211AE0" w:rsidP="00211AE0">
      <w:pPr>
        <w:numPr>
          <w:ilvl w:val="0"/>
          <w:numId w:val="27"/>
        </w:numPr>
        <w:spacing w:after="0"/>
      </w:pPr>
      <w:r w:rsidRPr="00211AE0">
        <w:t xml:space="preserve">Clause 5.7(a), which requires NBN Co to consult with Access Seekers and Consumer Advocacy Groups prior to providing a Replacement Module Application, should be amended to specify a minimum 90-day consultation period prior to NBN Co providing a Replacement Module Application. </w:t>
      </w:r>
    </w:p>
    <w:p w14:paraId="7FDE6BA7" w14:textId="77777777" w:rsidR="00211AE0" w:rsidRPr="00211AE0" w:rsidRDefault="00211AE0" w:rsidP="00211AE0">
      <w:pPr>
        <w:numPr>
          <w:ilvl w:val="0"/>
          <w:numId w:val="27"/>
        </w:numPr>
        <w:spacing w:after="0"/>
      </w:pPr>
      <w:r w:rsidRPr="00211AE0">
        <w:t>NBN Co should fund resources necessary for best practice consultation and engagement regarding consultation required ahead of submitting a Replacement Module Application.</w:t>
      </w:r>
    </w:p>
    <w:p w14:paraId="12D4E174" w14:textId="77777777" w:rsidR="00211AE0" w:rsidRPr="00211AE0" w:rsidRDefault="00211AE0" w:rsidP="00211AE0">
      <w:pPr>
        <w:numPr>
          <w:ilvl w:val="0"/>
          <w:numId w:val="27"/>
        </w:numPr>
        <w:spacing w:after="0"/>
      </w:pPr>
      <w:r w:rsidRPr="00211AE0">
        <w:t xml:space="preserve">The SAU should contain sufficient stop the clock provisions and appropriate incentives for NBN Co to consult with consumer advocates and prevent delays to the Replacement Module Application processes. </w:t>
      </w:r>
    </w:p>
    <w:p w14:paraId="0BD9D551" w14:textId="4BBC5B62" w:rsidR="00211AE0" w:rsidRPr="00211AE0" w:rsidRDefault="00211AE0" w:rsidP="00211AE0">
      <w:pPr>
        <w:numPr>
          <w:ilvl w:val="0"/>
          <w:numId w:val="27"/>
        </w:numPr>
        <w:spacing w:after="0"/>
      </w:pPr>
      <w:r w:rsidRPr="00211AE0">
        <w:t xml:space="preserve">The SAU should require NBN Co to provide the ACCC with a notice of intent to </w:t>
      </w:r>
      <w:r w:rsidR="0004248D" w:rsidRPr="00211AE0">
        <w:t>s</w:t>
      </w:r>
      <w:r w:rsidR="0004248D">
        <w:t>ell</w:t>
      </w:r>
      <w:r w:rsidRPr="00211AE0">
        <w:t xml:space="preserve"> within 24 months of the sale date.</w:t>
      </w:r>
    </w:p>
    <w:p w14:paraId="3ED9446A" w14:textId="0269D779" w:rsidR="00211AE0" w:rsidRPr="00211AE0" w:rsidRDefault="00211AE0" w:rsidP="00211AE0">
      <w:pPr>
        <w:numPr>
          <w:ilvl w:val="0"/>
          <w:numId w:val="27"/>
        </w:numPr>
        <w:spacing w:after="0"/>
      </w:pPr>
      <w:r w:rsidRPr="00211AE0">
        <w:t>Clause</w:t>
      </w:r>
      <w:r w:rsidR="000C6573">
        <w:t>s</w:t>
      </w:r>
      <w:r w:rsidRPr="00211AE0">
        <w:t xml:space="preserve"> 3A.1.2(b), 3B.3(c)</w:t>
      </w:r>
      <w:r w:rsidR="005A4AB8">
        <w:t xml:space="preserve"> and</w:t>
      </w:r>
      <w:r w:rsidRPr="00211AE0">
        <w:t xml:space="preserve"> 2G.4.2(b)(</w:t>
      </w:r>
      <w:proofErr w:type="spellStart"/>
      <w:r w:rsidRPr="00211AE0">
        <w:t>i</w:t>
      </w:r>
      <w:proofErr w:type="spellEnd"/>
      <w:r w:rsidRPr="00211AE0">
        <w:t>)(A), which require the ACCC, in setting NBN Co’s Annual Regulated Revenue Allowance, to provide NBN Co with the reasonable opportunity to achieve and maintain a stand-alone investment grade credit rating, should be removed from the SAU.</w:t>
      </w:r>
    </w:p>
    <w:p w14:paraId="302274FE" w14:textId="77777777" w:rsidR="00211AE0" w:rsidRPr="00211AE0" w:rsidRDefault="00211AE0" w:rsidP="00211AE0">
      <w:pPr>
        <w:numPr>
          <w:ilvl w:val="0"/>
          <w:numId w:val="27"/>
        </w:numPr>
        <w:spacing w:after="0"/>
      </w:pPr>
      <w:r w:rsidRPr="00211AE0">
        <w:t xml:space="preserve">Clause A3.1.2, which outlines the process for the ACCC to provide NBN Co with a Statement of Approach, should be amended so that the ACCC is required to provide the Statement of Approach within a minimum of 180 days prior to NBN Co lodging their replacement module application. </w:t>
      </w:r>
    </w:p>
    <w:p w14:paraId="3B566BF6" w14:textId="77777777" w:rsidR="0039672B" w:rsidRDefault="0039672B" w:rsidP="00BD6747">
      <w:pPr>
        <w:spacing w:after="0"/>
        <w:ind w:left="850"/>
      </w:pPr>
    </w:p>
    <w:p w14:paraId="7D788618" w14:textId="77777777" w:rsidR="000810C2" w:rsidRPr="00BD6747" w:rsidRDefault="000810C2" w:rsidP="00BD6747">
      <w:pPr>
        <w:rPr>
          <w:u w:val="single"/>
        </w:rPr>
      </w:pPr>
      <w:r w:rsidRPr="00BD6747">
        <w:rPr>
          <w:u w:val="single"/>
        </w:rPr>
        <w:t xml:space="preserve">Pricing and </w:t>
      </w:r>
      <w:r w:rsidR="0039672B">
        <w:rPr>
          <w:u w:val="single"/>
        </w:rPr>
        <w:t>P</w:t>
      </w:r>
      <w:r w:rsidRPr="00BD6747">
        <w:rPr>
          <w:u w:val="single"/>
        </w:rPr>
        <w:t xml:space="preserve">roduct </w:t>
      </w:r>
      <w:r w:rsidR="0039672B">
        <w:rPr>
          <w:u w:val="single"/>
        </w:rPr>
        <w:t>C</w:t>
      </w:r>
      <w:r w:rsidRPr="00BD6747">
        <w:rPr>
          <w:u w:val="single"/>
        </w:rPr>
        <w:t>onstructs</w:t>
      </w:r>
    </w:p>
    <w:p w14:paraId="34EF0FFD" w14:textId="77777777" w:rsidR="00211AE0" w:rsidRPr="00211AE0" w:rsidRDefault="00211AE0" w:rsidP="00211AE0">
      <w:pPr>
        <w:numPr>
          <w:ilvl w:val="0"/>
          <w:numId w:val="27"/>
        </w:numPr>
        <w:spacing w:after="0"/>
      </w:pPr>
      <w:r w:rsidRPr="00211AE0">
        <w:t>The monthly recurring charge for the Bundled TC-4 Offers for 25-50/5-20 Mbps and 50/20 Mbps listed in Attachment E should remain at $45.00 at the beginning of Module 4.</w:t>
      </w:r>
    </w:p>
    <w:p w14:paraId="52451CF9" w14:textId="4B47AB08" w:rsidR="00211AE0" w:rsidRPr="00211AE0" w:rsidRDefault="00211AE0" w:rsidP="00211AE0">
      <w:pPr>
        <w:numPr>
          <w:ilvl w:val="0"/>
          <w:numId w:val="27"/>
        </w:numPr>
        <w:spacing w:after="0"/>
      </w:pPr>
      <w:r w:rsidRPr="00211AE0">
        <w:t>The SAU should require NBN Co to develop a product targeted to low-income consumers that is endorsed by representatives of low-income consumers within the first 12 months of the SAU</w:t>
      </w:r>
      <w:r w:rsidR="009760C3">
        <w:t>’s acceptance</w:t>
      </w:r>
      <w:r w:rsidRPr="00211AE0">
        <w:t>.</w:t>
      </w:r>
    </w:p>
    <w:p w14:paraId="407561E9" w14:textId="77777777" w:rsidR="00211AE0" w:rsidRPr="00211AE0" w:rsidRDefault="00211AE0" w:rsidP="00211AE0">
      <w:pPr>
        <w:numPr>
          <w:ilvl w:val="0"/>
          <w:numId w:val="27"/>
        </w:numPr>
        <w:spacing w:after="0"/>
      </w:pPr>
      <w:r w:rsidRPr="00211AE0">
        <w:t xml:space="preserve">The SAU should require that the low-income forum be chaired independently, focus only on affordability </w:t>
      </w:r>
      <w:proofErr w:type="gramStart"/>
      <w:r w:rsidRPr="00211AE0">
        <w:t>issues</w:t>
      </w:r>
      <w:proofErr w:type="gramEnd"/>
      <w:r w:rsidRPr="00211AE0">
        <w:t xml:space="preserve"> and convened on a bi-annual basis. </w:t>
      </w:r>
    </w:p>
    <w:p w14:paraId="7239FF3C" w14:textId="001F0F80" w:rsidR="00211AE0" w:rsidRPr="00211AE0" w:rsidRDefault="00211AE0" w:rsidP="00211AE0">
      <w:pPr>
        <w:numPr>
          <w:ilvl w:val="0"/>
          <w:numId w:val="27"/>
        </w:numPr>
        <w:spacing w:after="0"/>
      </w:pPr>
      <w:r w:rsidRPr="00211AE0">
        <w:t>Clause 2B</w:t>
      </w:r>
      <w:r w:rsidR="00462B34">
        <w:t>.</w:t>
      </w:r>
      <w:r w:rsidRPr="00211AE0">
        <w:t>7(a), which requires NBN to establish a multilateral working group to identify targeted initiatives to improve access to the NBN for low-income, vulnerable and unconnected end users, should be redrafted to identify targeted initiatives for low income or vulnerable consumers.</w:t>
      </w:r>
    </w:p>
    <w:p w14:paraId="36018799" w14:textId="77777777" w:rsidR="00211AE0" w:rsidRPr="00211AE0" w:rsidRDefault="00211AE0" w:rsidP="00211AE0">
      <w:pPr>
        <w:numPr>
          <w:ilvl w:val="0"/>
          <w:numId w:val="27"/>
        </w:numPr>
        <w:spacing w:after="0"/>
      </w:pPr>
      <w:r w:rsidRPr="00211AE0">
        <w:t xml:space="preserve">In having regard to maintaining affordable access to the network, NBN Co should be required to demonstrate how their pricing proposals are likely to increase take up of services amongst low-income consumers. </w:t>
      </w:r>
    </w:p>
    <w:p w14:paraId="73BBDA83" w14:textId="77777777" w:rsidR="00211AE0" w:rsidRPr="00211AE0" w:rsidRDefault="00211AE0" w:rsidP="00211AE0">
      <w:pPr>
        <w:numPr>
          <w:ilvl w:val="0"/>
          <w:numId w:val="27"/>
        </w:numPr>
        <w:spacing w:after="0"/>
      </w:pPr>
      <w:r w:rsidRPr="00211AE0">
        <w:t>The SAU should require NBN Co to develop a data capped product prior to the end of Module 3.</w:t>
      </w:r>
    </w:p>
    <w:p w14:paraId="037C16EA" w14:textId="77777777" w:rsidR="000810C2" w:rsidRDefault="000810C2" w:rsidP="00BD6747"/>
    <w:p w14:paraId="08BABCF1" w14:textId="77777777" w:rsidR="00211AE0" w:rsidRPr="00211AE0" w:rsidRDefault="00211AE0" w:rsidP="00211AE0">
      <w:pPr>
        <w:numPr>
          <w:ilvl w:val="0"/>
          <w:numId w:val="27"/>
        </w:numPr>
        <w:spacing w:after="0"/>
      </w:pPr>
      <w:r w:rsidRPr="00211AE0">
        <w:t xml:space="preserve">Clause 1I.5.4, which specifies the process regarding product withdrawal required by law or directed by Shareholder Ministers should be amended to remove any reference to Shareholder Ministers. </w:t>
      </w:r>
    </w:p>
    <w:p w14:paraId="4A87CC86" w14:textId="41D80B50" w:rsidR="00D65F07" w:rsidRDefault="00D65F07" w:rsidP="00C13B5C"/>
    <w:p w14:paraId="56BE0F63" w14:textId="77777777" w:rsidR="008055D7" w:rsidRPr="00BD6747" w:rsidRDefault="00D65F07" w:rsidP="00BD6747">
      <w:pPr>
        <w:rPr>
          <w:u w:val="single"/>
        </w:rPr>
      </w:pPr>
      <w:r w:rsidRPr="00BD6747">
        <w:rPr>
          <w:u w:val="single"/>
        </w:rPr>
        <w:t xml:space="preserve">NBN’s </w:t>
      </w:r>
      <w:r w:rsidR="0039672B">
        <w:rPr>
          <w:u w:val="single"/>
        </w:rPr>
        <w:t>A</w:t>
      </w:r>
      <w:r w:rsidRPr="00BD6747">
        <w:rPr>
          <w:u w:val="single"/>
        </w:rPr>
        <w:t>pproach to the Building Block Model</w:t>
      </w:r>
    </w:p>
    <w:p w14:paraId="7EEF2C02" w14:textId="77777777" w:rsidR="00211AE0" w:rsidRPr="00211AE0" w:rsidRDefault="00211AE0" w:rsidP="00211AE0">
      <w:pPr>
        <w:numPr>
          <w:ilvl w:val="0"/>
          <w:numId w:val="27"/>
        </w:numPr>
        <w:spacing w:after="0"/>
      </w:pPr>
      <w:r w:rsidRPr="00211AE0">
        <w:t xml:space="preserve">The SAU should introduce a </w:t>
      </w:r>
      <w:proofErr w:type="spellStart"/>
      <w:r w:rsidRPr="00211AE0">
        <w:t>financeability</w:t>
      </w:r>
      <w:proofErr w:type="spellEnd"/>
      <w:r w:rsidRPr="00211AE0">
        <w:t xml:space="preserve"> test to ensure the internal consistence of NBN Co’s Building Block Model.</w:t>
      </w:r>
    </w:p>
    <w:p w14:paraId="38784D5A" w14:textId="7E109E33" w:rsidR="00211AE0" w:rsidRPr="00211AE0" w:rsidRDefault="00211AE0" w:rsidP="00211AE0">
      <w:pPr>
        <w:numPr>
          <w:ilvl w:val="0"/>
          <w:numId w:val="27"/>
        </w:numPr>
        <w:spacing w:after="0"/>
      </w:pPr>
      <w:r w:rsidRPr="00211AE0">
        <w:t xml:space="preserve">The SAU should require NBN Co to provide detailed information regarding capital, operational and replacement expenditure. </w:t>
      </w:r>
    </w:p>
    <w:p w14:paraId="54613995" w14:textId="77777777" w:rsidR="0039672B" w:rsidRDefault="0039672B" w:rsidP="00BD6747">
      <w:pPr>
        <w:spacing w:after="0"/>
        <w:ind w:left="850"/>
      </w:pPr>
    </w:p>
    <w:p w14:paraId="30EAE332" w14:textId="77777777" w:rsidR="00D65F07" w:rsidRPr="00BD6747" w:rsidRDefault="00D65F07" w:rsidP="00BD6747">
      <w:pPr>
        <w:rPr>
          <w:u w:val="single"/>
        </w:rPr>
      </w:pPr>
      <w:r w:rsidRPr="00BD6747">
        <w:rPr>
          <w:u w:val="single"/>
        </w:rPr>
        <w:t xml:space="preserve">Expenditure </w:t>
      </w:r>
      <w:r w:rsidR="0039672B">
        <w:rPr>
          <w:u w:val="single"/>
        </w:rPr>
        <w:t>C</w:t>
      </w:r>
      <w:r w:rsidRPr="00BD6747">
        <w:rPr>
          <w:u w:val="single"/>
        </w:rPr>
        <w:t>riteria</w:t>
      </w:r>
    </w:p>
    <w:p w14:paraId="7A3C3CA6" w14:textId="77777777" w:rsidR="00211AE0" w:rsidRPr="00211AE0" w:rsidRDefault="00211AE0" w:rsidP="00211AE0">
      <w:pPr>
        <w:numPr>
          <w:ilvl w:val="0"/>
          <w:numId w:val="27"/>
        </w:numPr>
        <w:spacing w:after="0"/>
      </w:pPr>
      <w:r w:rsidRPr="00211AE0">
        <w:t xml:space="preserve">The ACCC should consider how to provide incentives for NBN Co to achieve efficiency gains and reduce capital and operational costs over the duration of the SAU. </w:t>
      </w:r>
    </w:p>
    <w:p w14:paraId="73EFAD07" w14:textId="77777777" w:rsidR="00211AE0" w:rsidRPr="00211AE0" w:rsidRDefault="00211AE0" w:rsidP="00211AE0">
      <w:pPr>
        <w:numPr>
          <w:ilvl w:val="0"/>
          <w:numId w:val="27"/>
        </w:numPr>
        <w:spacing w:after="0"/>
      </w:pPr>
      <w:r w:rsidRPr="00211AE0">
        <w:t>NBN should be required to provide independent assessments and reviews of material business cases.</w:t>
      </w:r>
    </w:p>
    <w:p w14:paraId="4CCDE824" w14:textId="77777777" w:rsidR="00211AE0" w:rsidRPr="00211AE0" w:rsidRDefault="00211AE0" w:rsidP="00211AE0">
      <w:pPr>
        <w:numPr>
          <w:ilvl w:val="0"/>
          <w:numId w:val="27"/>
        </w:numPr>
        <w:spacing w:after="0"/>
      </w:pPr>
      <w:r w:rsidRPr="00211AE0">
        <w:t xml:space="preserve">The SAU variation should include appropriate incentives for NBN Co to adhere to timeframes for information requests regarding cost pass through applications.  </w:t>
      </w:r>
    </w:p>
    <w:p w14:paraId="124F9E00" w14:textId="4A795189" w:rsidR="00211AE0" w:rsidRPr="00211AE0" w:rsidRDefault="00211AE0" w:rsidP="00211AE0">
      <w:pPr>
        <w:numPr>
          <w:ilvl w:val="0"/>
          <w:numId w:val="27"/>
        </w:numPr>
        <w:spacing w:after="0"/>
      </w:pPr>
      <w:r w:rsidRPr="00211AE0">
        <w:t xml:space="preserve">Clause 2D.5.3, which provides the ACCC the power to notify NBN Co of the occurrence of a Negative Change Event if NBN Co has not provided a </w:t>
      </w:r>
      <w:r w:rsidR="005E2E48">
        <w:t>c</w:t>
      </w:r>
      <w:r w:rsidRPr="00211AE0">
        <w:t xml:space="preserve">ost </w:t>
      </w:r>
      <w:r w:rsidR="005E2E48">
        <w:t>p</w:t>
      </w:r>
      <w:r w:rsidRPr="00211AE0">
        <w:t>ass</w:t>
      </w:r>
      <w:r w:rsidR="005E2E48">
        <w:t>-t</w:t>
      </w:r>
      <w:r w:rsidRPr="00211AE0">
        <w:t xml:space="preserve">hrough </w:t>
      </w:r>
      <w:r w:rsidR="005E2E48">
        <w:t>a</w:t>
      </w:r>
      <w:r w:rsidRPr="00211AE0">
        <w:t xml:space="preserve">pplication relating to that Negative </w:t>
      </w:r>
      <w:r w:rsidR="00D71370">
        <w:t>C</w:t>
      </w:r>
      <w:r w:rsidRPr="00211AE0">
        <w:t xml:space="preserve">hange Event, should be amended such that it does not prevent NBN Co from making a </w:t>
      </w:r>
      <w:r w:rsidR="005E2E48">
        <w:t>c</w:t>
      </w:r>
      <w:r w:rsidRPr="00211AE0">
        <w:t xml:space="preserve">ost </w:t>
      </w:r>
      <w:r w:rsidR="005E2E48">
        <w:t>p</w:t>
      </w:r>
      <w:r w:rsidRPr="00211AE0">
        <w:t>ass</w:t>
      </w:r>
      <w:r w:rsidR="005E2E48">
        <w:t>-t</w:t>
      </w:r>
      <w:r w:rsidRPr="00211AE0">
        <w:t xml:space="preserve">hrough </w:t>
      </w:r>
      <w:r w:rsidR="005E2E48">
        <w:t>a</w:t>
      </w:r>
      <w:r w:rsidRPr="00211AE0">
        <w:t xml:space="preserve">pplication in respect of that Negative Change Event. </w:t>
      </w:r>
    </w:p>
    <w:p w14:paraId="136D0F37" w14:textId="77777777" w:rsidR="00211AE0" w:rsidRPr="00211AE0" w:rsidRDefault="00211AE0" w:rsidP="00211AE0">
      <w:pPr>
        <w:numPr>
          <w:ilvl w:val="0"/>
          <w:numId w:val="27"/>
        </w:numPr>
        <w:spacing w:after="0"/>
      </w:pPr>
      <w:r w:rsidRPr="00211AE0">
        <w:t xml:space="preserve">The ACCC should consider the prudency and efficiency of the expenditure allowances made under the Telstra Arrangements and the Optus Arrangements for a given regulatory cycle. </w:t>
      </w:r>
    </w:p>
    <w:p w14:paraId="6E6E5A84" w14:textId="77777777" w:rsidR="005A3248" w:rsidRDefault="005A3248" w:rsidP="00BD6747">
      <w:pPr>
        <w:spacing w:after="0"/>
        <w:ind w:left="850"/>
      </w:pPr>
    </w:p>
    <w:p w14:paraId="1A9373CA" w14:textId="77777777" w:rsidR="00D65F07" w:rsidRPr="00BD6747" w:rsidRDefault="00D65F07" w:rsidP="00BD6747">
      <w:pPr>
        <w:rPr>
          <w:u w:val="single"/>
        </w:rPr>
      </w:pPr>
      <w:r w:rsidRPr="00BD6747">
        <w:rPr>
          <w:u w:val="single"/>
        </w:rPr>
        <w:t xml:space="preserve">Cost </w:t>
      </w:r>
      <w:r w:rsidR="005A3248">
        <w:rPr>
          <w:u w:val="single"/>
        </w:rPr>
        <w:t>A</w:t>
      </w:r>
      <w:r w:rsidRPr="00BD6747">
        <w:rPr>
          <w:u w:val="single"/>
        </w:rPr>
        <w:t xml:space="preserve">llocation and </w:t>
      </w:r>
      <w:r w:rsidR="005A3248">
        <w:rPr>
          <w:u w:val="single"/>
        </w:rPr>
        <w:t>A</w:t>
      </w:r>
      <w:r w:rsidRPr="00BD6747">
        <w:rPr>
          <w:u w:val="single"/>
        </w:rPr>
        <w:t xml:space="preserve">ccounting </w:t>
      </w:r>
      <w:r w:rsidR="005A3248">
        <w:rPr>
          <w:u w:val="single"/>
        </w:rPr>
        <w:t>S</w:t>
      </w:r>
      <w:r w:rsidR="005A3248" w:rsidRPr="005A3248">
        <w:rPr>
          <w:u w:val="single"/>
        </w:rPr>
        <w:t>eparation</w:t>
      </w:r>
    </w:p>
    <w:p w14:paraId="59ED60B5" w14:textId="77777777" w:rsidR="00211AE0" w:rsidRPr="00211AE0" w:rsidRDefault="00211AE0" w:rsidP="00211AE0">
      <w:pPr>
        <w:numPr>
          <w:ilvl w:val="0"/>
          <w:numId w:val="27"/>
        </w:numPr>
        <w:spacing w:after="0"/>
      </w:pPr>
      <w:r w:rsidRPr="00211AE0">
        <w:t>The balance of the ICRA should be allocated between core and non-core services.</w:t>
      </w:r>
    </w:p>
    <w:p w14:paraId="25CDCD59" w14:textId="77777777" w:rsidR="0039672B" w:rsidRDefault="0039672B" w:rsidP="00BD6747">
      <w:pPr>
        <w:spacing w:after="0"/>
        <w:ind w:left="850"/>
      </w:pPr>
    </w:p>
    <w:p w14:paraId="634B9550" w14:textId="77777777" w:rsidR="00D65F07" w:rsidRPr="00BD6747" w:rsidRDefault="00D65F07" w:rsidP="00BD6747">
      <w:pPr>
        <w:rPr>
          <w:u w:val="single"/>
        </w:rPr>
      </w:pPr>
      <w:r w:rsidRPr="00BD6747">
        <w:rPr>
          <w:u w:val="single"/>
        </w:rPr>
        <w:t xml:space="preserve">Service </w:t>
      </w:r>
      <w:r w:rsidR="0039672B">
        <w:rPr>
          <w:u w:val="single"/>
        </w:rPr>
        <w:t>Q</w:t>
      </w:r>
      <w:r w:rsidRPr="00BD6747">
        <w:rPr>
          <w:u w:val="single"/>
        </w:rPr>
        <w:t>uality</w:t>
      </w:r>
    </w:p>
    <w:p w14:paraId="02A3F4A5" w14:textId="384C0AAF" w:rsidR="00211AE0" w:rsidRPr="00211AE0" w:rsidRDefault="00211AE0" w:rsidP="00211AE0">
      <w:pPr>
        <w:numPr>
          <w:ilvl w:val="0"/>
          <w:numId w:val="27"/>
        </w:numPr>
        <w:spacing w:after="0"/>
      </w:pPr>
      <w:r w:rsidRPr="00211AE0">
        <w:t>For the SAU to be amended such that it is clear that the ACCC has the power to initiate a mid-regulatory cycle review of benchmark service standards post</w:t>
      </w:r>
      <w:r w:rsidR="00C84B8B">
        <w:t>-</w:t>
      </w:r>
      <w:r w:rsidRPr="00211AE0">
        <w:t xml:space="preserve">2032. </w:t>
      </w:r>
    </w:p>
    <w:p w14:paraId="66ED1F34" w14:textId="77777777" w:rsidR="00211AE0" w:rsidRPr="00211AE0" w:rsidRDefault="00211AE0" w:rsidP="00211AE0">
      <w:pPr>
        <w:numPr>
          <w:ilvl w:val="0"/>
          <w:numId w:val="27"/>
        </w:numPr>
        <w:spacing w:after="0"/>
      </w:pPr>
      <w:r w:rsidRPr="00211AE0">
        <w:t xml:space="preserve">For the SAU to provide an opportunity for the ACCC to introduce a service standard incentive scheme. </w:t>
      </w:r>
    </w:p>
    <w:p w14:paraId="31D2EFC0" w14:textId="77777777" w:rsidR="00211AE0" w:rsidRPr="00211AE0" w:rsidRDefault="00211AE0" w:rsidP="00211AE0">
      <w:pPr>
        <w:numPr>
          <w:ilvl w:val="0"/>
          <w:numId w:val="27"/>
        </w:numPr>
        <w:spacing w:after="0"/>
      </w:pPr>
      <w:r w:rsidRPr="00211AE0">
        <w:t xml:space="preserve">Benchmarks relating to connection, fault rectification and appointment keeping standards should be amended to a minimum 95%. </w:t>
      </w:r>
    </w:p>
    <w:p w14:paraId="04446BC6" w14:textId="19CE85DB" w:rsidR="00211AE0" w:rsidRPr="00211AE0" w:rsidRDefault="00211AE0" w:rsidP="00211AE0">
      <w:pPr>
        <w:numPr>
          <w:ilvl w:val="0"/>
          <w:numId w:val="27"/>
        </w:numPr>
        <w:spacing w:after="0"/>
      </w:pPr>
      <w:r w:rsidRPr="00211AE0">
        <w:t>NBN Co should amend timeframes for new connections to allow retailers to meet the timeframes set out in the Customer Service Guarantee (</w:t>
      </w:r>
      <w:r w:rsidRPr="00334A4E">
        <w:rPr>
          <w:b/>
        </w:rPr>
        <w:t>CSG</w:t>
      </w:r>
      <w:r w:rsidRPr="00211AE0">
        <w:t>).</w:t>
      </w:r>
      <w:r w:rsidRPr="00211AE0" w:rsidDel="00203E9E">
        <w:t xml:space="preserve"> </w:t>
      </w:r>
      <w:r w:rsidRPr="00211AE0">
        <w:t>Compensation amounts for missed connection timeframes should also be set in line with the current CSG.</w:t>
      </w:r>
    </w:p>
    <w:p w14:paraId="15123F66" w14:textId="77777777" w:rsidR="0039672B" w:rsidRDefault="0039672B" w:rsidP="00BD6747">
      <w:pPr>
        <w:spacing w:after="0"/>
        <w:ind w:left="850"/>
      </w:pPr>
    </w:p>
    <w:p w14:paraId="7816E3B9" w14:textId="77777777" w:rsidR="00CE1BEE" w:rsidRPr="00BD6747" w:rsidRDefault="00D65F07" w:rsidP="00BD6747">
      <w:pPr>
        <w:rPr>
          <w:u w:val="single"/>
        </w:rPr>
      </w:pPr>
      <w:r w:rsidRPr="00BD6747">
        <w:rPr>
          <w:u w:val="single"/>
        </w:rPr>
        <w:t xml:space="preserve">ACCC Functions and </w:t>
      </w:r>
      <w:r w:rsidR="0039672B">
        <w:rPr>
          <w:u w:val="single"/>
        </w:rPr>
        <w:t>P</w:t>
      </w:r>
      <w:r w:rsidRPr="00BD6747">
        <w:rPr>
          <w:u w:val="single"/>
        </w:rPr>
        <w:t>owers</w:t>
      </w:r>
    </w:p>
    <w:p w14:paraId="4FE7484C" w14:textId="57EAD18D" w:rsidR="00211AE0" w:rsidRPr="00211AE0" w:rsidRDefault="00211AE0" w:rsidP="00211AE0">
      <w:pPr>
        <w:numPr>
          <w:ilvl w:val="0"/>
          <w:numId w:val="27"/>
        </w:numPr>
        <w:spacing w:after="0"/>
      </w:pPr>
      <w:r w:rsidRPr="00211AE0">
        <w:t>For Clause 6.4(b), which provides NBN Co the opportunity to protect the confidentiality of any information or document that the ACCC has requested to disclose to a third party, to be revised to clarify that the ACCC has the right to disclose information to a third party of NBN where reasonable notice is provided</w:t>
      </w:r>
      <w:r w:rsidR="00950883">
        <w:t>, and</w:t>
      </w:r>
      <w:r w:rsidRPr="00211AE0">
        <w:t xml:space="preserve"> it is in the public interest to do so.</w:t>
      </w:r>
    </w:p>
    <w:p w14:paraId="468A0D2A" w14:textId="77777777" w:rsidR="00211AE0" w:rsidRPr="00211AE0" w:rsidRDefault="00211AE0" w:rsidP="00211AE0"/>
    <w:p w14:paraId="6C167864" w14:textId="566176E2" w:rsidR="00104A4E" w:rsidRPr="00D954C3" w:rsidRDefault="00185044" w:rsidP="009B03B5">
      <w:pPr>
        <w:pStyle w:val="Heading1"/>
      </w:pPr>
      <w:r>
        <w:rPr>
          <w:lang w:val="en-US"/>
        </w:rPr>
        <w:br w:type="page"/>
      </w:r>
      <w:bookmarkStart w:id="12" w:name="_Toc127353157"/>
      <w:bookmarkStart w:id="13" w:name="_Toc126914083"/>
      <w:r w:rsidR="00104A4E" w:rsidRPr="00D954C3">
        <w:t xml:space="preserve">General </w:t>
      </w:r>
      <w:r w:rsidR="005544FC">
        <w:t>R</w:t>
      </w:r>
      <w:r w:rsidR="00104A4E" w:rsidRPr="00D954C3">
        <w:t xml:space="preserve">egulatory </w:t>
      </w:r>
      <w:bookmarkEnd w:id="12"/>
      <w:bookmarkEnd w:id="13"/>
      <w:r w:rsidR="005544FC">
        <w:t>F</w:t>
      </w:r>
      <w:r w:rsidR="00104A4E" w:rsidRPr="00D954C3">
        <w:t xml:space="preserve">ramework and </w:t>
      </w:r>
      <w:r w:rsidR="005544FC">
        <w:t>M</w:t>
      </w:r>
      <w:r w:rsidR="00104A4E" w:rsidRPr="00D954C3">
        <w:t xml:space="preserve">odular </w:t>
      </w:r>
      <w:r w:rsidR="005544FC">
        <w:t>S</w:t>
      </w:r>
      <w:r w:rsidR="00104A4E" w:rsidRPr="00D954C3">
        <w:t>tructure</w:t>
      </w:r>
      <w:r w:rsidR="00F50823" w:rsidRPr="00D954C3">
        <w:t xml:space="preserve"> </w:t>
      </w:r>
    </w:p>
    <w:p w14:paraId="790E7B45" w14:textId="58A47CBB" w:rsidR="00B55DE1" w:rsidRDefault="005B7D0E" w:rsidP="00506D90">
      <w:r>
        <w:t>T</w:t>
      </w:r>
      <w:r w:rsidR="008961EC">
        <w:t xml:space="preserve">he </w:t>
      </w:r>
      <w:r w:rsidR="000912D5">
        <w:t xml:space="preserve">general regulatory </w:t>
      </w:r>
      <w:r w:rsidR="008961EC">
        <w:t>framework and modular structure proposed by NBN Co is broadly appropriate</w:t>
      </w:r>
      <w:r w:rsidR="002618FD">
        <w:t xml:space="preserve"> but requires further refinement to align with the LTIE</w:t>
      </w:r>
      <w:r w:rsidR="008961EC">
        <w:t xml:space="preserve">. </w:t>
      </w:r>
      <w:r w:rsidR="00352D9B">
        <w:t>In particular, we support m</w:t>
      </w:r>
      <w:r w:rsidR="00B55DE1">
        <w:t>inimum benchmarks for service quality being determined for each regulatory cycle</w:t>
      </w:r>
      <w:r w:rsidR="00082FC4">
        <w:t xml:space="preserve">. This allows for </w:t>
      </w:r>
      <w:r w:rsidR="002C2F6D">
        <w:t>NBN Co</w:t>
      </w:r>
      <w:r w:rsidR="00082FC4">
        <w:t xml:space="preserve">’s expenditure forecasts and pricing proposals to be considered alongside </w:t>
      </w:r>
      <w:r w:rsidR="000912D5">
        <w:t xml:space="preserve">the </w:t>
      </w:r>
      <w:r w:rsidR="00082FC4">
        <w:t>proposed level of service</w:t>
      </w:r>
      <w:r w:rsidR="00D50A14">
        <w:t xml:space="preserve">. It is important that consumers are </w:t>
      </w:r>
      <w:r w:rsidR="002C2F6D">
        <w:t xml:space="preserve">adequately </w:t>
      </w:r>
      <w:r w:rsidR="0087567C">
        <w:t xml:space="preserve">consulted </w:t>
      </w:r>
      <w:r w:rsidR="00D50A14">
        <w:t>regarding price-quality trade-offs</w:t>
      </w:r>
      <w:r w:rsidR="0087567C">
        <w:t xml:space="preserve">. </w:t>
      </w:r>
    </w:p>
    <w:p w14:paraId="7EB6BD35" w14:textId="17C0F9F3" w:rsidR="00B7727A" w:rsidRPr="00FB33F3" w:rsidRDefault="00B76398" w:rsidP="00506D90">
      <w:r>
        <w:t>ACCAN</w:t>
      </w:r>
      <w:r w:rsidR="005B686B">
        <w:t xml:space="preserve"> consider</w:t>
      </w:r>
      <w:r>
        <w:t>s</w:t>
      </w:r>
      <w:r w:rsidR="005B686B">
        <w:t xml:space="preserve"> t</w:t>
      </w:r>
      <w:r w:rsidR="00B7727A">
        <w:t>he replacement module process, where the ACCC has the ability to determine replacement modules</w:t>
      </w:r>
      <w:r w:rsidR="00EE18B4">
        <w:t xml:space="preserve"> via a Replacement Module Determination (</w:t>
      </w:r>
      <w:r w:rsidR="00EE18B4" w:rsidRPr="00BA4A68">
        <w:rPr>
          <w:b/>
          <w:bCs/>
        </w:rPr>
        <w:t>RMD</w:t>
      </w:r>
      <w:r w:rsidR="00EE18B4">
        <w:t>)</w:t>
      </w:r>
      <w:r w:rsidR="00C564E9">
        <w:t>,</w:t>
      </w:r>
      <w:r w:rsidR="005B686B">
        <w:t xml:space="preserve"> an appropriate safeguard</w:t>
      </w:r>
      <w:r w:rsidR="009C156A">
        <w:t>.</w:t>
      </w:r>
      <w:r w:rsidR="00CE477E">
        <w:t xml:space="preserve"> </w:t>
      </w:r>
      <w:r w:rsidR="00280FE6">
        <w:t>We support proposals to give the</w:t>
      </w:r>
      <w:r w:rsidR="00CE477E">
        <w:t xml:space="preserve"> ACCC oversight of the length of the regulatory cycle, the </w:t>
      </w:r>
      <w:r w:rsidR="00A935B2">
        <w:t>B</w:t>
      </w:r>
      <w:r w:rsidR="00CE477E">
        <w:t xml:space="preserve">uilding </w:t>
      </w:r>
      <w:r w:rsidR="00A935B2">
        <w:t>B</w:t>
      </w:r>
      <w:r w:rsidR="00CE477E">
        <w:t xml:space="preserve">lock </w:t>
      </w:r>
      <w:r w:rsidR="00A935B2">
        <w:t>M</w:t>
      </w:r>
      <w:r w:rsidR="00CE477E">
        <w:t>odel</w:t>
      </w:r>
      <w:r w:rsidR="00A935B2">
        <w:t xml:space="preserve"> (</w:t>
      </w:r>
      <w:r w:rsidR="00A935B2" w:rsidRPr="00BA4A68">
        <w:rPr>
          <w:b/>
          <w:bCs/>
        </w:rPr>
        <w:t>BBM</w:t>
      </w:r>
      <w:r w:rsidR="00A935B2">
        <w:t>)</w:t>
      </w:r>
      <w:r w:rsidR="00CE477E">
        <w:t xml:space="preserve"> including proposed expenditure</w:t>
      </w:r>
      <w:r w:rsidR="00E87200">
        <w:t xml:space="preserve">, </w:t>
      </w:r>
      <w:r w:rsidR="00A935B2">
        <w:t>W</w:t>
      </w:r>
      <w:r w:rsidR="00CE477E">
        <w:t xml:space="preserve">eighted </w:t>
      </w:r>
      <w:r w:rsidR="00A935B2">
        <w:t>A</w:t>
      </w:r>
      <w:r w:rsidR="00CE477E">
        <w:t xml:space="preserve">verage </w:t>
      </w:r>
      <w:r w:rsidR="00A935B2">
        <w:t>C</w:t>
      </w:r>
      <w:r w:rsidR="00CE477E">
        <w:t xml:space="preserve">ost of </w:t>
      </w:r>
      <w:r w:rsidR="00A935B2">
        <w:t>C</w:t>
      </w:r>
      <w:r w:rsidR="00CE477E">
        <w:t>apital</w:t>
      </w:r>
      <w:r w:rsidR="00A935B2">
        <w:t xml:space="preserve"> (</w:t>
      </w:r>
      <w:r w:rsidR="00A935B2" w:rsidRPr="00BA4A68">
        <w:rPr>
          <w:b/>
          <w:bCs/>
        </w:rPr>
        <w:t>WACC</w:t>
      </w:r>
      <w:r w:rsidR="00A935B2">
        <w:t>)</w:t>
      </w:r>
      <w:r w:rsidR="00CE477E">
        <w:t>, regulatory depreciation</w:t>
      </w:r>
      <w:r w:rsidR="00E87200">
        <w:t xml:space="preserve"> as well as </w:t>
      </w:r>
      <w:r w:rsidR="00CE477E">
        <w:t xml:space="preserve">the </w:t>
      </w:r>
      <w:r w:rsidR="00A935B2">
        <w:t>E</w:t>
      </w:r>
      <w:r w:rsidR="00CE477E">
        <w:t>ntry</w:t>
      </w:r>
      <w:r w:rsidR="00A935B2">
        <w:t>-</w:t>
      </w:r>
      <w:r w:rsidR="00CE477E">
        <w:t xml:space="preserve">level </w:t>
      </w:r>
      <w:r w:rsidR="00A935B2">
        <w:t>O</w:t>
      </w:r>
      <w:r w:rsidR="00CE477E">
        <w:t>ffer proposal and service standards proposal</w:t>
      </w:r>
      <w:r w:rsidR="000E57E5">
        <w:t>s</w:t>
      </w:r>
      <w:r w:rsidR="00CE477E">
        <w:t xml:space="preserve">. </w:t>
      </w:r>
    </w:p>
    <w:p w14:paraId="0F86CF1A" w14:textId="1E867740" w:rsidR="006D1801" w:rsidRPr="00193244" w:rsidRDefault="000A1C5D" w:rsidP="00843C32">
      <w:pPr>
        <w:pStyle w:val="Heading2"/>
      </w:pPr>
      <w:r w:rsidRPr="00AD2B68">
        <w:t>R</w:t>
      </w:r>
      <w:r w:rsidR="0080015C" w:rsidRPr="00193244">
        <w:t xml:space="preserve">eplacement </w:t>
      </w:r>
      <w:r w:rsidR="00A179D1" w:rsidRPr="00193244">
        <w:t>M</w:t>
      </w:r>
      <w:r w:rsidR="0080015C" w:rsidRPr="00193244">
        <w:t xml:space="preserve">odule </w:t>
      </w:r>
      <w:r w:rsidR="00A359E1" w:rsidRPr="00193244">
        <w:t>Application</w:t>
      </w:r>
      <w:r w:rsidR="00251792" w:rsidRPr="00193244">
        <w:t xml:space="preserve"> </w:t>
      </w:r>
    </w:p>
    <w:p w14:paraId="0021EC30" w14:textId="4744891F" w:rsidR="00251792" w:rsidRDefault="00856124" w:rsidP="00251792">
      <w:pPr>
        <w:rPr>
          <w:lang w:eastAsia="en-US"/>
        </w:rPr>
      </w:pPr>
      <w:r>
        <w:rPr>
          <w:lang w:eastAsia="en-US"/>
        </w:rPr>
        <w:t xml:space="preserve">Before providing </w:t>
      </w:r>
      <w:r w:rsidR="008523BA">
        <w:rPr>
          <w:lang w:eastAsia="en-US"/>
        </w:rPr>
        <w:t>an</w:t>
      </w:r>
      <w:r>
        <w:rPr>
          <w:lang w:eastAsia="en-US"/>
        </w:rPr>
        <w:t xml:space="preserve"> RMA</w:t>
      </w:r>
      <w:r w:rsidR="00F901F0">
        <w:rPr>
          <w:lang w:eastAsia="en-US"/>
        </w:rPr>
        <w:t xml:space="preserve">, NBN </w:t>
      </w:r>
      <w:r w:rsidR="00E379E6">
        <w:rPr>
          <w:lang w:eastAsia="en-US"/>
        </w:rPr>
        <w:t xml:space="preserve">Co </w:t>
      </w:r>
      <w:r w:rsidR="00F901F0">
        <w:rPr>
          <w:lang w:eastAsia="en-US"/>
        </w:rPr>
        <w:t xml:space="preserve">has proposed to consult with Consumer Advocacy Groups on the </w:t>
      </w:r>
      <w:r w:rsidR="00BC07C8">
        <w:rPr>
          <w:lang w:eastAsia="en-US"/>
        </w:rPr>
        <w:t>r</w:t>
      </w:r>
      <w:r w:rsidR="00F901F0">
        <w:rPr>
          <w:lang w:eastAsia="en-US"/>
        </w:rPr>
        <w:t xml:space="preserve">elevant </w:t>
      </w:r>
      <w:r w:rsidR="00BC07C8">
        <w:rPr>
          <w:lang w:eastAsia="en-US"/>
        </w:rPr>
        <w:t>e</w:t>
      </w:r>
      <w:r w:rsidR="00F901F0">
        <w:rPr>
          <w:lang w:eastAsia="en-US"/>
        </w:rPr>
        <w:t>xpenditure which NBN</w:t>
      </w:r>
      <w:r w:rsidR="00BC07C8">
        <w:rPr>
          <w:lang w:eastAsia="en-US"/>
        </w:rPr>
        <w:t xml:space="preserve"> Co</w:t>
      </w:r>
      <w:r w:rsidR="00F901F0">
        <w:rPr>
          <w:lang w:eastAsia="en-US"/>
        </w:rPr>
        <w:t xml:space="preserve"> </w:t>
      </w:r>
      <w:r w:rsidR="00BC07C8">
        <w:rPr>
          <w:lang w:eastAsia="en-US"/>
        </w:rPr>
        <w:t>intends</w:t>
      </w:r>
      <w:r w:rsidR="00F901F0">
        <w:rPr>
          <w:lang w:eastAsia="en-US"/>
        </w:rPr>
        <w:t xml:space="preserve"> to undertake in that </w:t>
      </w:r>
      <w:r w:rsidR="00653943">
        <w:rPr>
          <w:lang w:eastAsia="en-US"/>
        </w:rPr>
        <w:t>r</w:t>
      </w:r>
      <w:r w:rsidR="00F901F0">
        <w:rPr>
          <w:lang w:eastAsia="en-US"/>
        </w:rPr>
        <w:t xml:space="preserve">egulatory </w:t>
      </w:r>
      <w:r w:rsidR="00653943">
        <w:rPr>
          <w:lang w:eastAsia="en-US"/>
        </w:rPr>
        <w:t>c</w:t>
      </w:r>
      <w:r w:rsidR="00F901F0">
        <w:rPr>
          <w:lang w:eastAsia="en-US"/>
        </w:rPr>
        <w:t>ycle.</w:t>
      </w:r>
      <w:r w:rsidR="0047643B">
        <w:rPr>
          <w:lang w:eastAsia="en-US"/>
        </w:rPr>
        <w:t xml:space="preserve"> </w:t>
      </w:r>
      <w:r w:rsidR="00C148BC">
        <w:rPr>
          <w:lang w:eastAsia="en-US"/>
        </w:rPr>
        <w:t xml:space="preserve">In doing so, NBN </w:t>
      </w:r>
      <w:r w:rsidR="001979D1">
        <w:rPr>
          <w:lang w:eastAsia="en-US"/>
        </w:rPr>
        <w:t>Co</w:t>
      </w:r>
      <w:r w:rsidR="00C148BC">
        <w:rPr>
          <w:lang w:eastAsia="en-US"/>
        </w:rPr>
        <w:t xml:space="preserve"> will give ‘reasonable notice’, and a ‘reasonable opportunity’ to partic</w:t>
      </w:r>
      <w:r w:rsidR="00F144E9">
        <w:rPr>
          <w:lang w:eastAsia="en-US"/>
        </w:rPr>
        <w:t>ipate in the consultation.</w:t>
      </w:r>
      <w:r w:rsidR="00C148BC">
        <w:rPr>
          <w:rStyle w:val="FootnoteReference"/>
          <w:lang w:eastAsia="en-US"/>
        </w:rPr>
        <w:footnoteReference w:id="2"/>
      </w:r>
      <w:r w:rsidR="00F144E9">
        <w:rPr>
          <w:lang w:eastAsia="en-US"/>
        </w:rPr>
        <w:t xml:space="preserve"> The drafting of </w:t>
      </w:r>
      <w:r w:rsidR="0076420A">
        <w:rPr>
          <w:lang w:eastAsia="en-US"/>
        </w:rPr>
        <w:t xml:space="preserve">clause </w:t>
      </w:r>
      <w:r w:rsidR="00F144E9">
        <w:rPr>
          <w:lang w:eastAsia="en-US"/>
        </w:rPr>
        <w:t>5.7(a) should be more specific</w:t>
      </w:r>
      <w:r w:rsidR="00E56CED">
        <w:rPr>
          <w:lang w:eastAsia="en-US"/>
        </w:rPr>
        <w:t xml:space="preserve">. </w:t>
      </w:r>
      <w:r w:rsidR="00AB641B">
        <w:rPr>
          <w:lang w:eastAsia="en-US"/>
        </w:rPr>
        <w:t>For</w:t>
      </w:r>
      <w:r w:rsidR="00E56CED">
        <w:rPr>
          <w:lang w:eastAsia="en-US"/>
        </w:rPr>
        <w:t xml:space="preserve"> ACCAN to reasonably engage in </w:t>
      </w:r>
      <w:r w:rsidR="00A449B3">
        <w:rPr>
          <w:lang w:eastAsia="en-US"/>
        </w:rPr>
        <w:t xml:space="preserve">what is likely to be a detailed and complex consultation, we recommend providing at least 90 days </w:t>
      </w:r>
      <w:r w:rsidR="000C3A65">
        <w:rPr>
          <w:lang w:eastAsia="en-US"/>
        </w:rPr>
        <w:t>for Access Seekers and Consumer Advocacy Groups to provide feedback on the RMA.</w:t>
      </w:r>
    </w:p>
    <w:p w14:paraId="3D1C7934" w14:textId="2A8F5850" w:rsidR="00CC549C" w:rsidRPr="00570F53" w:rsidRDefault="005B1418" w:rsidP="00570F53">
      <w:pPr>
        <w:pStyle w:val="Recommendation"/>
        <w:numPr>
          <w:ilvl w:val="0"/>
          <w:numId w:val="54"/>
        </w:numPr>
        <w:rPr>
          <w:rFonts w:asciiTheme="minorHAnsi" w:hAnsiTheme="minorHAnsi" w:cstheme="minorHAnsi"/>
        </w:rPr>
      </w:pPr>
      <w:r w:rsidRPr="00570F53">
        <w:rPr>
          <w:rFonts w:asciiTheme="minorHAnsi" w:hAnsiTheme="minorHAnsi" w:cstheme="minorHAnsi"/>
        </w:rPr>
        <w:t xml:space="preserve">Clause </w:t>
      </w:r>
      <w:r w:rsidR="00CC549C" w:rsidRPr="00570F53">
        <w:rPr>
          <w:rFonts w:asciiTheme="minorHAnsi" w:hAnsiTheme="minorHAnsi" w:cstheme="minorHAnsi"/>
        </w:rPr>
        <w:t>5.7(a)</w:t>
      </w:r>
      <w:r w:rsidR="00AB641B" w:rsidRPr="00570F53">
        <w:rPr>
          <w:rFonts w:asciiTheme="minorHAnsi" w:hAnsiTheme="minorHAnsi" w:cstheme="minorHAnsi"/>
        </w:rPr>
        <w:t>,</w:t>
      </w:r>
      <w:r w:rsidR="00C655BC" w:rsidRPr="00570F53">
        <w:rPr>
          <w:rFonts w:asciiTheme="minorHAnsi" w:hAnsiTheme="minorHAnsi" w:cstheme="minorHAnsi"/>
        </w:rPr>
        <w:t xml:space="preserve"> which requires NBN Co </w:t>
      </w:r>
      <w:r w:rsidR="00BB7F96" w:rsidRPr="00570F53">
        <w:rPr>
          <w:rFonts w:asciiTheme="minorHAnsi" w:hAnsiTheme="minorHAnsi" w:cstheme="minorHAnsi"/>
        </w:rPr>
        <w:t>to consult with Access Seekers and Consumer Advocacy Groups prior to providing a Replacement Module Application</w:t>
      </w:r>
      <w:r w:rsidR="00765CFD" w:rsidRPr="00570F53">
        <w:rPr>
          <w:rFonts w:asciiTheme="minorHAnsi" w:hAnsiTheme="minorHAnsi" w:cstheme="minorHAnsi"/>
        </w:rPr>
        <w:t>,</w:t>
      </w:r>
      <w:r w:rsidR="00CC549C" w:rsidRPr="00570F53">
        <w:rPr>
          <w:rFonts w:asciiTheme="minorHAnsi" w:hAnsiTheme="minorHAnsi" w:cstheme="minorHAnsi"/>
        </w:rPr>
        <w:t xml:space="preserve"> should </w:t>
      </w:r>
      <w:r w:rsidR="00BB7F96" w:rsidRPr="00570F53">
        <w:rPr>
          <w:rFonts w:asciiTheme="minorHAnsi" w:hAnsiTheme="minorHAnsi" w:cstheme="minorHAnsi"/>
        </w:rPr>
        <w:t xml:space="preserve">be amended to </w:t>
      </w:r>
      <w:r w:rsidR="00CD505E" w:rsidRPr="00570F53">
        <w:rPr>
          <w:rFonts w:asciiTheme="minorHAnsi" w:hAnsiTheme="minorHAnsi" w:cstheme="minorHAnsi"/>
        </w:rPr>
        <w:t>specify a</w:t>
      </w:r>
      <w:r w:rsidR="008961EC" w:rsidRPr="00570F53">
        <w:rPr>
          <w:rFonts w:asciiTheme="minorHAnsi" w:hAnsiTheme="minorHAnsi" w:cstheme="minorHAnsi"/>
        </w:rPr>
        <w:t xml:space="preserve"> minimum</w:t>
      </w:r>
      <w:r w:rsidR="00CC549C" w:rsidRPr="00570F53">
        <w:rPr>
          <w:rFonts w:asciiTheme="minorHAnsi" w:hAnsiTheme="minorHAnsi" w:cstheme="minorHAnsi"/>
        </w:rPr>
        <w:t xml:space="preserve"> 90-day consultation period prior to NBN</w:t>
      </w:r>
      <w:r w:rsidR="00DA743E" w:rsidRPr="00570F53">
        <w:rPr>
          <w:rFonts w:asciiTheme="minorHAnsi" w:hAnsiTheme="minorHAnsi" w:cstheme="minorHAnsi"/>
        </w:rPr>
        <w:t xml:space="preserve"> Co</w:t>
      </w:r>
      <w:r w:rsidR="00CC549C" w:rsidRPr="00570F53">
        <w:rPr>
          <w:rFonts w:asciiTheme="minorHAnsi" w:hAnsiTheme="minorHAnsi" w:cstheme="minorHAnsi"/>
        </w:rPr>
        <w:t xml:space="preserve"> providing a Replacement Module Application. </w:t>
      </w:r>
    </w:p>
    <w:p w14:paraId="10C67C0D" w14:textId="579874F8" w:rsidR="00DA743E" w:rsidRDefault="008961EC" w:rsidP="00685467">
      <w:pPr>
        <w:rPr>
          <w:lang w:eastAsia="en-US"/>
        </w:rPr>
      </w:pPr>
      <w:r>
        <w:rPr>
          <w:lang w:eastAsia="en-US"/>
        </w:rPr>
        <w:t>T</w:t>
      </w:r>
      <w:r w:rsidR="00AD4261">
        <w:rPr>
          <w:lang w:eastAsia="en-US"/>
        </w:rPr>
        <w:t xml:space="preserve">he proposed framework does not acknowledge the </w:t>
      </w:r>
      <w:r w:rsidR="002B7725">
        <w:rPr>
          <w:lang w:eastAsia="en-US"/>
        </w:rPr>
        <w:t xml:space="preserve">resource constraints on </w:t>
      </w:r>
      <w:r w:rsidR="001D680B">
        <w:rPr>
          <w:lang w:eastAsia="en-US"/>
        </w:rPr>
        <w:t>C</w:t>
      </w:r>
      <w:r w:rsidR="002B7725">
        <w:rPr>
          <w:lang w:eastAsia="en-US"/>
        </w:rPr>
        <w:t xml:space="preserve">onsumer </w:t>
      </w:r>
      <w:r w:rsidR="001D680B">
        <w:rPr>
          <w:lang w:eastAsia="en-US"/>
        </w:rPr>
        <w:t>A</w:t>
      </w:r>
      <w:r w:rsidR="002B7725">
        <w:rPr>
          <w:lang w:eastAsia="en-US"/>
        </w:rPr>
        <w:t xml:space="preserve">dvocacy </w:t>
      </w:r>
      <w:r w:rsidR="001D680B">
        <w:rPr>
          <w:lang w:eastAsia="en-US"/>
        </w:rPr>
        <w:t>G</w:t>
      </w:r>
      <w:r w:rsidR="002B7725">
        <w:rPr>
          <w:lang w:eastAsia="en-US"/>
        </w:rPr>
        <w:t>roups and the limited participants in the sector</w:t>
      </w:r>
      <w:r w:rsidR="004814B5">
        <w:rPr>
          <w:lang w:eastAsia="en-US"/>
        </w:rPr>
        <w:t>.</w:t>
      </w:r>
      <w:r w:rsidR="000B3477">
        <w:rPr>
          <w:lang w:eastAsia="en-US"/>
        </w:rPr>
        <w:t xml:space="preserve"> </w:t>
      </w:r>
      <w:r w:rsidR="00AC61DA">
        <w:rPr>
          <w:lang w:eastAsia="en-US"/>
        </w:rPr>
        <w:t xml:space="preserve">There needs to be acknowledgement that ACCAN is </w:t>
      </w:r>
      <w:r w:rsidR="00182E30">
        <w:rPr>
          <w:lang w:eastAsia="en-US"/>
        </w:rPr>
        <w:t xml:space="preserve">one of the only organisations working </w:t>
      </w:r>
      <w:r w:rsidR="004E34BE">
        <w:rPr>
          <w:lang w:eastAsia="en-US"/>
        </w:rPr>
        <w:t xml:space="preserve">in consumer advocacy on behalf of </w:t>
      </w:r>
      <w:r w:rsidR="006566EB">
        <w:rPr>
          <w:lang w:eastAsia="en-US"/>
        </w:rPr>
        <w:t>telecommunications consumers</w:t>
      </w:r>
      <w:r>
        <w:rPr>
          <w:lang w:eastAsia="en-US"/>
        </w:rPr>
        <w:t xml:space="preserve">. </w:t>
      </w:r>
      <w:r w:rsidR="00060599">
        <w:rPr>
          <w:lang w:eastAsia="en-US"/>
        </w:rPr>
        <w:t>T</w:t>
      </w:r>
      <w:r>
        <w:rPr>
          <w:lang w:eastAsia="en-US"/>
        </w:rPr>
        <w:t xml:space="preserve">he matters that NBN Co has proposed </w:t>
      </w:r>
      <w:r w:rsidR="008D39E6">
        <w:rPr>
          <w:lang w:eastAsia="en-US"/>
        </w:rPr>
        <w:t>to consult</w:t>
      </w:r>
      <w:r w:rsidR="005742BC">
        <w:rPr>
          <w:lang w:eastAsia="en-US"/>
        </w:rPr>
        <w:t xml:space="preserve"> with</w:t>
      </w:r>
      <w:r w:rsidR="008D39E6">
        <w:rPr>
          <w:lang w:eastAsia="en-US"/>
        </w:rPr>
        <w:t xml:space="preserve"> consumer</w:t>
      </w:r>
      <w:r w:rsidR="00095E7A">
        <w:rPr>
          <w:lang w:eastAsia="en-US"/>
        </w:rPr>
        <w:t xml:space="preserve"> advocates</w:t>
      </w:r>
      <w:r w:rsidR="008D39E6">
        <w:rPr>
          <w:lang w:eastAsia="en-US"/>
        </w:rPr>
        <w:t xml:space="preserve"> on</w:t>
      </w:r>
      <w:r>
        <w:rPr>
          <w:lang w:eastAsia="en-US"/>
        </w:rPr>
        <w:t xml:space="preserve"> are critical, </w:t>
      </w:r>
      <w:r w:rsidR="00060599">
        <w:rPr>
          <w:lang w:eastAsia="en-US"/>
        </w:rPr>
        <w:t xml:space="preserve">yet </w:t>
      </w:r>
      <w:r>
        <w:rPr>
          <w:lang w:eastAsia="en-US"/>
        </w:rPr>
        <w:t xml:space="preserve">these matters are not the only </w:t>
      </w:r>
      <w:r w:rsidR="00A86EE6">
        <w:rPr>
          <w:lang w:eastAsia="en-US"/>
        </w:rPr>
        <w:t xml:space="preserve">issues </w:t>
      </w:r>
      <w:r w:rsidR="00060599">
        <w:rPr>
          <w:lang w:eastAsia="en-US"/>
        </w:rPr>
        <w:t xml:space="preserve">ACCAN is </w:t>
      </w:r>
      <w:r>
        <w:rPr>
          <w:lang w:eastAsia="en-US"/>
        </w:rPr>
        <w:t>called upon to contribute to</w:t>
      </w:r>
      <w:r w:rsidR="00A86EE6">
        <w:rPr>
          <w:lang w:eastAsia="en-US"/>
        </w:rPr>
        <w:t>.</w:t>
      </w:r>
      <w:r w:rsidR="00685467" w:rsidDel="00685467">
        <w:rPr>
          <w:lang w:eastAsia="en-US"/>
        </w:rPr>
        <w:t xml:space="preserve"> </w:t>
      </w:r>
    </w:p>
    <w:p w14:paraId="7B667F07" w14:textId="4AB71FA5" w:rsidR="00403FCA" w:rsidRDefault="003923FE" w:rsidP="00251792">
      <w:pPr>
        <w:rPr>
          <w:lang w:eastAsia="en-US"/>
        </w:rPr>
      </w:pPr>
      <w:r>
        <w:rPr>
          <w:lang w:eastAsia="en-US"/>
        </w:rPr>
        <w:t xml:space="preserve">ACCAN encourages the ACCC to consider how </w:t>
      </w:r>
      <w:r w:rsidR="00F6585E">
        <w:rPr>
          <w:lang w:eastAsia="en-US"/>
        </w:rPr>
        <w:t xml:space="preserve">the </w:t>
      </w:r>
      <w:r w:rsidR="00EC0B4F">
        <w:rPr>
          <w:lang w:eastAsia="en-US"/>
        </w:rPr>
        <w:t>processes outlined in the SAU</w:t>
      </w:r>
      <w:r w:rsidR="00460698">
        <w:rPr>
          <w:lang w:eastAsia="en-US"/>
        </w:rPr>
        <w:t xml:space="preserve"> could be carried out </w:t>
      </w:r>
      <w:r w:rsidR="00EA4CDA">
        <w:rPr>
          <w:lang w:eastAsia="en-US"/>
        </w:rPr>
        <w:t xml:space="preserve">in keeping </w:t>
      </w:r>
      <w:r w:rsidR="00460698">
        <w:rPr>
          <w:lang w:eastAsia="en-US"/>
        </w:rPr>
        <w:t xml:space="preserve">with best practice. For example, in the energy sector </w:t>
      </w:r>
      <w:r w:rsidR="00500324">
        <w:rPr>
          <w:lang w:eastAsia="en-US"/>
        </w:rPr>
        <w:t xml:space="preserve">there is significantly more resources available to </w:t>
      </w:r>
      <w:r w:rsidR="0095646B">
        <w:rPr>
          <w:lang w:eastAsia="en-US"/>
        </w:rPr>
        <w:t xml:space="preserve">ensure there are </w:t>
      </w:r>
      <w:r w:rsidR="00E361F6">
        <w:rPr>
          <w:lang w:eastAsia="en-US"/>
        </w:rPr>
        <w:t>consumer rep</w:t>
      </w:r>
      <w:r w:rsidR="00F15BAD">
        <w:rPr>
          <w:lang w:eastAsia="en-US"/>
        </w:rPr>
        <w:t xml:space="preserve">resentatives with </w:t>
      </w:r>
      <w:r w:rsidR="00CA51EE">
        <w:rPr>
          <w:lang w:eastAsia="en-US"/>
        </w:rPr>
        <w:t>in-depth</w:t>
      </w:r>
      <w:r w:rsidR="00F15BAD">
        <w:rPr>
          <w:lang w:eastAsia="en-US"/>
        </w:rPr>
        <w:t xml:space="preserve"> knowledge of the issues</w:t>
      </w:r>
      <w:r w:rsidR="00ED587C">
        <w:rPr>
          <w:lang w:eastAsia="en-US"/>
        </w:rPr>
        <w:t>,</w:t>
      </w:r>
      <w:r w:rsidR="00742999">
        <w:rPr>
          <w:lang w:eastAsia="en-US"/>
        </w:rPr>
        <w:t xml:space="preserve"> and </w:t>
      </w:r>
      <w:r w:rsidR="00514703">
        <w:rPr>
          <w:lang w:eastAsia="en-US"/>
        </w:rPr>
        <w:t xml:space="preserve">appropriate resources to </w:t>
      </w:r>
      <w:r w:rsidR="00742999">
        <w:rPr>
          <w:lang w:eastAsia="en-US"/>
        </w:rPr>
        <w:t xml:space="preserve">effectively </w:t>
      </w:r>
      <w:r w:rsidR="00AE61F6">
        <w:rPr>
          <w:lang w:eastAsia="en-US"/>
        </w:rPr>
        <w:t xml:space="preserve">assess proposals. </w:t>
      </w:r>
      <w:r w:rsidR="008F5A13">
        <w:rPr>
          <w:lang w:eastAsia="en-US"/>
        </w:rPr>
        <w:t xml:space="preserve">We </w:t>
      </w:r>
      <w:r w:rsidR="00B77E06">
        <w:rPr>
          <w:lang w:eastAsia="en-US"/>
        </w:rPr>
        <w:t>recommend that</w:t>
      </w:r>
      <w:r w:rsidR="003555EE">
        <w:rPr>
          <w:lang w:eastAsia="en-US"/>
        </w:rPr>
        <w:t xml:space="preserve"> </w:t>
      </w:r>
      <w:r w:rsidR="00942128">
        <w:rPr>
          <w:lang w:eastAsia="en-US"/>
        </w:rPr>
        <w:t xml:space="preserve">consultation </w:t>
      </w:r>
      <w:r w:rsidR="00F51176">
        <w:rPr>
          <w:lang w:eastAsia="en-US"/>
        </w:rPr>
        <w:t xml:space="preserve">regarding the </w:t>
      </w:r>
      <w:r w:rsidR="00FA6812">
        <w:rPr>
          <w:lang w:eastAsia="en-US"/>
        </w:rPr>
        <w:t>re</w:t>
      </w:r>
      <w:r w:rsidR="00F51176">
        <w:rPr>
          <w:lang w:eastAsia="en-US"/>
        </w:rPr>
        <w:t>placement module process</w:t>
      </w:r>
      <w:r w:rsidR="00942128">
        <w:rPr>
          <w:lang w:eastAsia="en-US"/>
        </w:rPr>
        <w:t xml:space="preserve"> </w:t>
      </w:r>
      <w:r w:rsidR="00F51176">
        <w:rPr>
          <w:lang w:eastAsia="en-US"/>
        </w:rPr>
        <w:t>follow the approach</w:t>
      </w:r>
      <w:r w:rsidR="00B5202D">
        <w:rPr>
          <w:lang w:eastAsia="en-US"/>
        </w:rPr>
        <w:t xml:space="preserve"> </w:t>
      </w:r>
      <w:r w:rsidR="003555EE">
        <w:rPr>
          <w:lang w:eastAsia="en-US"/>
        </w:rPr>
        <w:t xml:space="preserve">presented in the </w:t>
      </w:r>
      <w:r w:rsidR="003555EE" w:rsidRPr="005815E6">
        <w:rPr>
          <w:i/>
          <w:iCs/>
          <w:lang w:eastAsia="en-US"/>
        </w:rPr>
        <w:t>Better Reset Handbook</w:t>
      </w:r>
      <w:r w:rsidR="00011567">
        <w:rPr>
          <w:lang w:eastAsia="en-US"/>
        </w:rPr>
        <w:t>,</w:t>
      </w:r>
      <w:r w:rsidR="00F163E3">
        <w:rPr>
          <w:rStyle w:val="FootnoteReference"/>
          <w:lang w:eastAsia="en-US"/>
        </w:rPr>
        <w:footnoteReference w:id="3"/>
      </w:r>
      <w:r w:rsidR="00011567">
        <w:rPr>
          <w:lang w:eastAsia="en-US"/>
        </w:rPr>
        <w:t xml:space="preserve"> including:</w:t>
      </w:r>
    </w:p>
    <w:p w14:paraId="202BDE65" w14:textId="73FB0211" w:rsidR="00297691" w:rsidRDefault="00483B58" w:rsidP="00843C32">
      <w:pPr>
        <w:pStyle w:val="Bulletlist1"/>
        <w:rPr>
          <w:lang w:eastAsia="en-US"/>
        </w:rPr>
      </w:pPr>
      <w:r>
        <w:rPr>
          <w:lang w:eastAsia="en-US"/>
        </w:rPr>
        <w:t xml:space="preserve">Seeking </w:t>
      </w:r>
      <w:r w:rsidR="00ED587C">
        <w:rPr>
          <w:lang w:eastAsia="en-US"/>
        </w:rPr>
        <w:t xml:space="preserve">early </w:t>
      </w:r>
      <w:r>
        <w:rPr>
          <w:lang w:eastAsia="en-US"/>
        </w:rPr>
        <w:t>formal feedback on aspects of regulatory proposals</w:t>
      </w:r>
      <w:r w:rsidR="00FA6812">
        <w:rPr>
          <w:lang w:eastAsia="en-US"/>
        </w:rPr>
        <w:t>.</w:t>
      </w:r>
    </w:p>
    <w:p w14:paraId="084D3F4A" w14:textId="2F62A288" w:rsidR="00DF1603" w:rsidRDefault="00DF1603" w:rsidP="00843C32">
      <w:pPr>
        <w:pStyle w:val="Bulletlist1"/>
        <w:rPr>
          <w:lang w:eastAsia="en-US"/>
        </w:rPr>
      </w:pPr>
      <w:r>
        <w:rPr>
          <w:lang w:eastAsia="en-US"/>
        </w:rPr>
        <w:t xml:space="preserve">Sincere engagement through genuine commitment from </w:t>
      </w:r>
      <w:r w:rsidR="00E815CC">
        <w:rPr>
          <w:lang w:eastAsia="en-US"/>
        </w:rPr>
        <w:t xml:space="preserve">Boards and Executives to give effect to consumer </w:t>
      </w:r>
      <w:r w:rsidR="00FA6812">
        <w:rPr>
          <w:lang w:eastAsia="en-US"/>
        </w:rPr>
        <w:t>preferences.</w:t>
      </w:r>
    </w:p>
    <w:p w14:paraId="24A2E2D2" w14:textId="30A571CF" w:rsidR="00E815CC" w:rsidRDefault="00E815CC" w:rsidP="00843C32">
      <w:pPr>
        <w:pStyle w:val="Bulletlist1"/>
        <w:rPr>
          <w:lang w:eastAsia="en-US"/>
        </w:rPr>
      </w:pPr>
      <w:r>
        <w:rPr>
          <w:lang w:eastAsia="en-US"/>
        </w:rPr>
        <w:t xml:space="preserve">Appropriately </w:t>
      </w:r>
      <w:r w:rsidR="00C25BE3">
        <w:rPr>
          <w:lang w:eastAsia="en-US"/>
        </w:rPr>
        <w:t>equipping</w:t>
      </w:r>
      <w:r>
        <w:rPr>
          <w:lang w:eastAsia="en-US"/>
        </w:rPr>
        <w:t xml:space="preserve"> consumers t</w:t>
      </w:r>
      <w:r w:rsidR="00006E73">
        <w:rPr>
          <w:lang w:eastAsia="en-US"/>
        </w:rPr>
        <w:t>hrough</w:t>
      </w:r>
      <w:r w:rsidR="00FA6812">
        <w:rPr>
          <w:lang w:eastAsia="en-US"/>
        </w:rPr>
        <w:t xml:space="preserve">: </w:t>
      </w:r>
      <w:r w:rsidR="00006E73">
        <w:rPr>
          <w:lang w:eastAsia="en-US"/>
        </w:rPr>
        <w:t xml:space="preserve"> </w:t>
      </w:r>
    </w:p>
    <w:p w14:paraId="4BEF02FE" w14:textId="435BDAE7" w:rsidR="002E47AD" w:rsidRDefault="00006E73" w:rsidP="00843C32">
      <w:pPr>
        <w:pStyle w:val="Bulletlist2"/>
        <w:rPr>
          <w:lang w:eastAsia="en-US"/>
        </w:rPr>
      </w:pPr>
      <w:r>
        <w:rPr>
          <w:lang w:eastAsia="en-US"/>
        </w:rPr>
        <w:t>providing accurate and unbiased information</w:t>
      </w:r>
      <w:r w:rsidR="00CE5F8E">
        <w:rPr>
          <w:lang w:eastAsia="en-US"/>
        </w:rPr>
        <w:t>,</w:t>
      </w:r>
    </w:p>
    <w:p w14:paraId="4A937098" w14:textId="4EA86EFD" w:rsidR="001F240F" w:rsidRDefault="00006E73" w:rsidP="00843C32">
      <w:pPr>
        <w:pStyle w:val="Bulletlist2"/>
        <w:rPr>
          <w:lang w:eastAsia="en-US"/>
        </w:rPr>
      </w:pPr>
      <w:r>
        <w:rPr>
          <w:lang w:eastAsia="en-US"/>
        </w:rPr>
        <w:t xml:space="preserve">engaging with </w:t>
      </w:r>
      <w:r w:rsidR="002E47AD">
        <w:rPr>
          <w:lang w:eastAsia="en-US"/>
        </w:rPr>
        <w:t>qualified</w:t>
      </w:r>
      <w:r>
        <w:rPr>
          <w:lang w:eastAsia="en-US"/>
        </w:rPr>
        <w:t xml:space="preserve"> and experienced consumer representatives</w:t>
      </w:r>
      <w:r w:rsidR="00CE5F8E">
        <w:rPr>
          <w:lang w:eastAsia="en-US"/>
        </w:rPr>
        <w:t>,</w:t>
      </w:r>
    </w:p>
    <w:p w14:paraId="744B85E8" w14:textId="01126EE9" w:rsidR="00011567" w:rsidRDefault="001F240F" w:rsidP="00843C32">
      <w:pPr>
        <w:pStyle w:val="Bulletlist2"/>
        <w:rPr>
          <w:lang w:eastAsia="en-US"/>
        </w:rPr>
      </w:pPr>
      <w:r>
        <w:rPr>
          <w:lang w:eastAsia="en-US"/>
        </w:rPr>
        <w:t xml:space="preserve">providing the ability to </w:t>
      </w:r>
      <w:r w:rsidR="002E47AD">
        <w:rPr>
          <w:lang w:eastAsia="en-US"/>
        </w:rPr>
        <w:t xml:space="preserve">source independent expert advice and </w:t>
      </w:r>
      <w:r w:rsidR="00CE5F8E">
        <w:rPr>
          <w:lang w:eastAsia="en-US"/>
        </w:rPr>
        <w:t>research, and</w:t>
      </w:r>
    </w:p>
    <w:p w14:paraId="5C6EA032" w14:textId="29CC32C0" w:rsidR="001F240F" w:rsidRDefault="001F240F" w:rsidP="00843C32">
      <w:pPr>
        <w:pStyle w:val="Bulletlist2"/>
        <w:rPr>
          <w:lang w:eastAsia="en-US"/>
        </w:rPr>
      </w:pPr>
      <w:r>
        <w:rPr>
          <w:lang w:eastAsia="en-US"/>
        </w:rPr>
        <w:t>appropriately remunerating consumers for their contribution to the development of proposals</w:t>
      </w:r>
      <w:r w:rsidR="0013554A">
        <w:rPr>
          <w:lang w:eastAsia="en-US"/>
        </w:rPr>
        <w:t xml:space="preserve">. </w:t>
      </w:r>
    </w:p>
    <w:p w14:paraId="3476D8F3" w14:textId="57056957" w:rsidR="0013554A" w:rsidRDefault="0013554A" w:rsidP="00843C32">
      <w:pPr>
        <w:pStyle w:val="Bulletlist1"/>
        <w:rPr>
          <w:lang w:eastAsia="en-US"/>
        </w:rPr>
      </w:pPr>
      <w:r>
        <w:rPr>
          <w:lang w:eastAsia="en-US"/>
        </w:rPr>
        <w:t xml:space="preserve">Providing engagement plans which outline objectives, engagement issues and the level of participation and influence consumers can expect on the regulatory </w:t>
      </w:r>
      <w:r w:rsidR="00CE5F8E">
        <w:rPr>
          <w:lang w:eastAsia="en-US"/>
        </w:rPr>
        <w:t>proposal.</w:t>
      </w:r>
    </w:p>
    <w:p w14:paraId="676018FA" w14:textId="4B3E9257" w:rsidR="0013554A" w:rsidRDefault="008C485E" w:rsidP="00843C32">
      <w:pPr>
        <w:pStyle w:val="Bulletlist1"/>
        <w:rPr>
          <w:lang w:eastAsia="en-US"/>
        </w:rPr>
      </w:pPr>
      <w:r>
        <w:rPr>
          <w:lang w:eastAsia="en-US"/>
        </w:rPr>
        <w:t>Consult</w:t>
      </w:r>
      <w:r w:rsidR="00E815CC">
        <w:rPr>
          <w:lang w:eastAsia="en-US"/>
        </w:rPr>
        <w:t>ing</w:t>
      </w:r>
      <w:r>
        <w:rPr>
          <w:lang w:eastAsia="en-US"/>
        </w:rPr>
        <w:t xml:space="preserve"> on long term outcomes desired by </w:t>
      </w:r>
      <w:r w:rsidR="00CE5F8E">
        <w:rPr>
          <w:lang w:eastAsia="en-US"/>
        </w:rPr>
        <w:t>consumers.</w:t>
      </w:r>
      <w:r>
        <w:rPr>
          <w:lang w:eastAsia="en-US"/>
        </w:rPr>
        <w:t xml:space="preserve"> </w:t>
      </w:r>
    </w:p>
    <w:p w14:paraId="56F1A474" w14:textId="42A91A71" w:rsidR="003A382E" w:rsidRDefault="00E815CC" w:rsidP="00843C32">
      <w:pPr>
        <w:pStyle w:val="Bulletlist1"/>
        <w:rPr>
          <w:lang w:eastAsia="en-US"/>
        </w:rPr>
      </w:pPr>
      <w:r>
        <w:rPr>
          <w:lang w:eastAsia="en-US"/>
        </w:rPr>
        <w:t>Providing m</w:t>
      </w:r>
      <w:r w:rsidR="00A716FE">
        <w:rPr>
          <w:lang w:eastAsia="en-US"/>
        </w:rPr>
        <w:t>ultiple channels of engagement with consumers and their representatives.</w:t>
      </w:r>
    </w:p>
    <w:p w14:paraId="179523DA" w14:textId="46B48C41" w:rsidR="00AD4261" w:rsidRDefault="00514703" w:rsidP="00251792">
      <w:pPr>
        <w:rPr>
          <w:lang w:eastAsia="en-US"/>
        </w:rPr>
      </w:pPr>
      <w:r>
        <w:rPr>
          <w:lang w:eastAsia="en-US"/>
        </w:rPr>
        <w:t xml:space="preserve">Genuine engagement </w:t>
      </w:r>
      <w:r w:rsidR="008C611C">
        <w:rPr>
          <w:lang w:eastAsia="en-US"/>
        </w:rPr>
        <w:t>requires</w:t>
      </w:r>
      <w:r>
        <w:rPr>
          <w:lang w:eastAsia="en-US"/>
        </w:rPr>
        <w:t xml:space="preserve"> funding for an independent committee</w:t>
      </w:r>
      <w:r w:rsidR="008C611C">
        <w:rPr>
          <w:lang w:eastAsia="en-US"/>
        </w:rPr>
        <w:t xml:space="preserve"> of consumer representatives</w:t>
      </w:r>
      <w:r>
        <w:rPr>
          <w:lang w:eastAsia="en-US"/>
        </w:rPr>
        <w:t xml:space="preserve"> with a budget to fund independent research</w:t>
      </w:r>
      <w:r w:rsidR="008C611C">
        <w:rPr>
          <w:lang w:eastAsia="en-US"/>
        </w:rPr>
        <w:t xml:space="preserve"> and access to expert staff.</w:t>
      </w:r>
      <w:r>
        <w:rPr>
          <w:lang w:eastAsia="en-US"/>
        </w:rPr>
        <w:t xml:space="preserve"> </w:t>
      </w:r>
      <w:r w:rsidR="00485619">
        <w:rPr>
          <w:lang w:eastAsia="en-US"/>
        </w:rPr>
        <w:t>W</w:t>
      </w:r>
      <w:r w:rsidR="00AE61F6">
        <w:rPr>
          <w:lang w:eastAsia="en-US"/>
        </w:rPr>
        <w:t xml:space="preserve">hilst we are supportive of </w:t>
      </w:r>
      <w:r w:rsidR="00455A3E">
        <w:rPr>
          <w:lang w:eastAsia="en-US"/>
        </w:rPr>
        <w:t>broad</w:t>
      </w:r>
      <w:r w:rsidR="00CB3B21">
        <w:rPr>
          <w:lang w:eastAsia="en-US"/>
        </w:rPr>
        <w:t>ening points of consultation, there needs to be resources provided to support this, following best practice</w:t>
      </w:r>
      <w:r w:rsidR="002D1993">
        <w:rPr>
          <w:lang w:eastAsia="en-US"/>
        </w:rPr>
        <w:t>.</w:t>
      </w:r>
      <w:r w:rsidR="000C2E64">
        <w:rPr>
          <w:lang w:eastAsia="en-US"/>
        </w:rPr>
        <w:t xml:space="preserve"> </w:t>
      </w:r>
    </w:p>
    <w:p w14:paraId="5DB07D44" w14:textId="2AB20737" w:rsidR="001C08F8" w:rsidRDefault="001C08F8" w:rsidP="003E1801">
      <w:pPr>
        <w:pStyle w:val="Recommendation"/>
        <w:rPr>
          <w:rFonts w:asciiTheme="minorHAnsi" w:hAnsiTheme="minorHAnsi" w:cstheme="minorHAnsi"/>
        </w:rPr>
      </w:pPr>
      <w:r w:rsidRPr="00DB48AF">
        <w:rPr>
          <w:rFonts w:asciiTheme="minorHAnsi" w:hAnsiTheme="minorHAnsi" w:cstheme="minorHAnsi"/>
        </w:rPr>
        <w:t xml:space="preserve">NBN </w:t>
      </w:r>
      <w:r w:rsidR="005B2C8D" w:rsidRPr="00DB48AF">
        <w:rPr>
          <w:rFonts w:asciiTheme="minorHAnsi" w:hAnsiTheme="minorHAnsi" w:cstheme="minorHAnsi"/>
        </w:rPr>
        <w:t xml:space="preserve">Co </w:t>
      </w:r>
      <w:r w:rsidRPr="00DB48AF">
        <w:rPr>
          <w:rFonts w:asciiTheme="minorHAnsi" w:hAnsiTheme="minorHAnsi" w:cstheme="minorHAnsi"/>
        </w:rPr>
        <w:t xml:space="preserve">should fund </w:t>
      </w:r>
      <w:r w:rsidR="000E1EA7" w:rsidRPr="00DB48AF">
        <w:rPr>
          <w:rFonts w:asciiTheme="minorHAnsi" w:hAnsiTheme="minorHAnsi" w:cstheme="minorHAnsi"/>
        </w:rPr>
        <w:t>resources necessary for best practice</w:t>
      </w:r>
      <w:r w:rsidR="00A20AEF" w:rsidRPr="00DB48AF">
        <w:rPr>
          <w:rFonts w:asciiTheme="minorHAnsi" w:hAnsiTheme="minorHAnsi" w:cstheme="minorHAnsi"/>
        </w:rPr>
        <w:t xml:space="preserve"> consultation and</w:t>
      </w:r>
      <w:r w:rsidR="000E1EA7" w:rsidRPr="00DB48AF">
        <w:rPr>
          <w:rFonts w:asciiTheme="minorHAnsi" w:hAnsiTheme="minorHAnsi" w:cstheme="minorHAnsi"/>
        </w:rPr>
        <w:t xml:space="preserve"> engagement</w:t>
      </w:r>
      <w:r w:rsidR="00A20AEF" w:rsidRPr="00DB48AF">
        <w:rPr>
          <w:rFonts w:asciiTheme="minorHAnsi" w:hAnsiTheme="minorHAnsi" w:cstheme="minorHAnsi"/>
        </w:rPr>
        <w:t xml:space="preserve"> regarding</w:t>
      </w:r>
      <w:r w:rsidR="005B2C8D" w:rsidRPr="00DB48AF">
        <w:rPr>
          <w:rFonts w:asciiTheme="minorHAnsi" w:hAnsiTheme="minorHAnsi" w:cstheme="minorHAnsi"/>
        </w:rPr>
        <w:t xml:space="preserve"> consultation</w:t>
      </w:r>
      <w:r w:rsidR="00B346AA" w:rsidRPr="00DB48AF">
        <w:rPr>
          <w:rFonts w:asciiTheme="minorHAnsi" w:hAnsiTheme="minorHAnsi" w:cstheme="minorHAnsi"/>
        </w:rPr>
        <w:t xml:space="preserve"> required</w:t>
      </w:r>
      <w:r w:rsidR="005B2C8D" w:rsidRPr="00DB48AF">
        <w:rPr>
          <w:rFonts w:asciiTheme="minorHAnsi" w:hAnsiTheme="minorHAnsi" w:cstheme="minorHAnsi"/>
        </w:rPr>
        <w:t xml:space="preserve"> ahead of submitting a Replacement Module Application</w:t>
      </w:r>
      <w:r w:rsidR="000E1EA7" w:rsidRPr="00DB48AF">
        <w:rPr>
          <w:rFonts w:asciiTheme="minorHAnsi" w:hAnsiTheme="minorHAnsi" w:cstheme="minorHAnsi"/>
        </w:rPr>
        <w:t>.</w:t>
      </w:r>
    </w:p>
    <w:p w14:paraId="3C65FCDE" w14:textId="3F1BC0AB" w:rsidR="006B0170" w:rsidRPr="00DB48AF" w:rsidRDefault="00A95405" w:rsidP="00E64554">
      <w:r>
        <w:t>Consultation with consumers</w:t>
      </w:r>
      <w:r w:rsidR="000314F3">
        <w:t xml:space="preserve"> is critical to ensuring the replacement module process works in the best interest of </w:t>
      </w:r>
      <w:r w:rsidR="004E5592">
        <w:t xml:space="preserve">consumers. Failure to undertake consultation </w:t>
      </w:r>
      <w:r w:rsidR="006021CD">
        <w:t xml:space="preserve">with </w:t>
      </w:r>
      <w:r w:rsidR="00AA73B0">
        <w:t>C</w:t>
      </w:r>
      <w:r w:rsidR="006021CD">
        <w:t xml:space="preserve">onsumer </w:t>
      </w:r>
      <w:r w:rsidR="00AA73B0">
        <w:t>A</w:t>
      </w:r>
      <w:r w:rsidR="006021CD">
        <w:t xml:space="preserve">dvocacy </w:t>
      </w:r>
      <w:r w:rsidR="00AA73B0">
        <w:t>G</w:t>
      </w:r>
      <w:r w:rsidR="006021CD">
        <w:t>roups s</w:t>
      </w:r>
      <w:r w:rsidR="00541118">
        <w:t xml:space="preserve">hould result in a financial penalty. A reduction in the value of the ICRA </w:t>
      </w:r>
      <w:r w:rsidR="008D4316">
        <w:t xml:space="preserve">due to non-compliance with RMA consultation requirements </w:t>
      </w:r>
      <w:r w:rsidR="001B5D07">
        <w:t xml:space="preserve">will act as an appropriate incentive for NBN Co to adhere to </w:t>
      </w:r>
      <w:r w:rsidR="002B55CE">
        <w:t xml:space="preserve">the requirements. </w:t>
      </w:r>
    </w:p>
    <w:p w14:paraId="1FFD58BA" w14:textId="7AAAA946" w:rsidR="00251792" w:rsidRPr="00DB48AF" w:rsidRDefault="00B44EFA" w:rsidP="00334A4E">
      <w:pPr>
        <w:pStyle w:val="Heading2"/>
      </w:pPr>
      <w:r w:rsidRPr="00AD2B68">
        <w:t xml:space="preserve">Replacement Module Determination </w:t>
      </w:r>
    </w:p>
    <w:p w14:paraId="6CB79818" w14:textId="25514300" w:rsidR="00317254" w:rsidRDefault="00B44EFA" w:rsidP="00251792">
      <w:pPr>
        <w:rPr>
          <w:lang w:eastAsia="en-US"/>
        </w:rPr>
      </w:pPr>
      <w:r>
        <w:rPr>
          <w:lang w:eastAsia="en-US"/>
        </w:rPr>
        <w:t xml:space="preserve">The ACCC can only </w:t>
      </w:r>
      <w:r w:rsidR="008F39C9">
        <w:rPr>
          <w:lang w:eastAsia="en-US"/>
        </w:rPr>
        <w:t xml:space="preserve">issue a </w:t>
      </w:r>
      <w:r w:rsidR="00E039ED">
        <w:rPr>
          <w:lang w:eastAsia="en-US"/>
        </w:rPr>
        <w:t>RMD</w:t>
      </w:r>
      <w:r w:rsidR="008F39C9">
        <w:rPr>
          <w:lang w:eastAsia="en-US"/>
        </w:rPr>
        <w:t xml:space="preserve"> after the dat</w:t>
      </w:r>
      <w:r w:rsidR="00C96113">
        <w:rPr>
          <w:lang w:eastAsia="en-US"/>
        </w:rPr>
        <w:t>e</w:t>
      </w:r>
      <w:r w:rsidR="008F39C9">
        <w:rPr>
          <w:lang w:eastAsia="en-US"/>
        </w:rPr>
        <w:t xml:space="preserve"> by </w:t>
      </w:r>
      <w:r w:rsidR="000C067B">
        <w:rPr>
          <w:lang w:eastAsia="en-US"/>
        </w:rPr>
        <w:t>which</w:t>
      </w:r>
      <w:r w:rsidR="008F39C9">
        <w:rPr>
          <w:lang w:eastAsia="en-US"/>
        </w:rPr>
        <w:t xml:space="preserve"> NBN </w:t>
      </w:r>
      <w:r w:rsidR="00FE42A7">
        <w:rPr>
          <w:lang w:eastAsia="en-US"/>
        </w:rPr>
        <w:t xml:space="preserve">Co </w:t>
      </w:r>
      <w:r w:rsidR="008F39C9">
        <w:rPr>
          <w:lang w:eastAsia="en-US"/>
        </w:rPr>
        <w:t xml:space="preserve">has given the ACCC </w:t>
      </w:r>
      <w:r w:rsidR="00D10DFD">
        <w:rPr>
          <w:lang w:eastAsia="en-US"/>
        </w:rPr>
        <w:t>an</w:t>
      </w:r>
      <w:r w:rsidR="008F39C9">
        <w:rPr>
          <w:lang w:eastAsia="en-US"/>
        </w:rPr>
        <w:t xml:space="preserve"> RMA and at least 20 days before the last day of the </w:t>
      </w:r>
      <w:r w:rsidR="007646FD">
        <w:rPr>
          <w:lang w:eastAsia="en-US"/>
        </w:rPr>
        <w:t>r</w:t>
      </w:r>
      <w:r w:rsidR="00EF1085">
        <w:rPr>
          <w:lang w:eastAsia="en-US"/>
        </w:rPr>
        <w:t xml:space="preserve">egulatory </w:t>
      </w:r>
      <w:r w:rsidR="007646FD">
        <w:rPr>
          <w:lang w:eastAsia="en-US"/>
        </w:rPr>
        <w:t>c</w:t>
      </w:r>
      <w:r w:rsidR="000C067B">
        <w:rPr>
          <w:lang w:eastAsia="en-US"/>
        </w:rPr>
        <w:t>ycle.</w:t>
      </w:r>
      <w:r w:rsidR="007415E7">
        <w:rPr>
          <w:lang w:eastAsia="en-US"/>
        </w:rPr>
        <w:t xml:space="preserve"> If the ACCC has not issued an RM</w:t>
      </w:r>
      <w:r w:rsidR="008F1B2A">
        <w:rPr>
          <w:lang w:eastAsia="en-US"/>
        </w:rPr>
        <w:t>D</w:t>
      </w:r>
      <w:r w:rsidR="00D73E0A">
        <w:rPr>
          <w:lang w:eastAsia="en-US"/>
        </w:rPr>
        <w:t xml:space="preserve"> </w:t>
      </w:r>
      <w:r w:rsidR="008F1B2A">
        <w:rPr>
          <w:lang w:eastAsia="en-US"/>
        </w:rPr>
        <w:t>within this timeframe, then NBN</w:t>
      </w:r>
      <w:r w:rsidR="0070575E">
        <w:rPr>
          <w:lang w:eastAsia="en-US"/>
        </w:rPr>
        <w:t xml:space="preserve"> Co</w:t>
      </w:r>
      <w:r w:rsidR="008F1B2A">
        <w:rPr>
          <w:lang w:eastAsia="en-US"/>
        </w:rPr>
        <w:t xml:space="preserve">’s RMA </w:t>
      </w:r>
      <w:r w:rsidR="003A7E66">
        <w:rPr>
          <w:lang w:eastAsia="en-US"/>
        </w:rPr>
        <w:t xml:space="preserve">is to take effect. </w:t>
      </w:r>
      <w:r w:rsidR="000C067B">
        <w:rPr>
          <w:lang w:eastAsia="en-US"/>
        </w:rPr>
        <w:t xml:space="preserve">NBN </w:t>
      </w:r>
      <w:r w:rsidR="0070575E">
        <w:rPr>
          <w:lang w:eastAsia="en-US"/>
        </w:rPr>
        <w:t xml:space="preserve">Co </w:t>
      </w:r>
      <w:r w:rsidR="000C067B">
        <w:rPr>
          <w:lang w:eastAsia="en-US"/>
        </w:rPr>
        <w:t>cannot submit a</w:t>
      </w:r>
      <w:r w:rsidR="00FF3CF3">
        <w:rPr>
          <w:lang w:eastAsia="en-US"/>
        </w:rPr>
        <w:t xml:space="preserve">n </w:t>
      </w:r>
      <w:r w:rsidR="000C067B">
        <w:rPr>
          <w:lang w:eastAsia="en-US"/>
        </w:rPr>
        <w:t xml:space="preserve">RMA in no less than 9 months </w:t>
      </w:r>
      <w:r w:rsidR="00302A26">
        <w:rPr>
          <w:lang w:eastAsia="en-US"/>
        </w:rPr>
        <w:t xml:space="preserve">and no more than 18 months </w:t>
      </w:r>
      <w:r w:rsidR="000C067B">
        <w:rPr>
          <w:lang w:eastAsia="en-US"/>
        </w:rPr>
        <w:t xml:space="preserve">prior to the end of the then-current </w:t>
      </w:r>
      <w:r w:rsidR="007646FD">
        <w:rPr>
          <w:lang w:eastAsia="en-US"/>
        </w:rPr>
        <w:t>r</w:t>
      </w:r>
      <w:r w:rsidR="000C067B">
        <w:rPr>
          <w:lang w:eastAsia="en-US"/>
        </w:rPr>
        <w:t xml:space="preserve">egulatory </w:t>
      </w:r>
      <w:r w:rsidR="007646FD">
        <w:rPr>
          <w:lang w:eastAsia="en-US"/>
        </w:rPr>
        <w:t>c</w:t>
      </w:r>
      <w:r w:rsidR="000C067B">
        <w:rPr>
          <w:lang w:eastAsia="en-US"/>
        </w:rPr>
        <w:t xml:space="preserve">ycle. </w:t>
      </w:r>
      <w:r w:rsidR="00302A26">
        <w:rPr>
          <w:lang w:eastAsia="en-US"/>
        </w:rPr>
        <w:t xml:space="preserve">The ACCC can decide the due date for NBN </w:t>
      </w:r>
      <w:r w:rsidR="00D9397D">
        <w:rPr>
          <w:lang w:eastAsia="en-US"/>
        </w:rPr>
        <w:t xml:space="preserve">Co </w:t>
      </w:r>
      <w:r w:rsidR="00302A26">
        <w:rPr>
          <w:lang w:eastAsia="en-US"/>
        </w:rPr>
        <w:t xml:space="preserve">to provide the RMA within this timeframe. </w:t>
      </w:r>
    </w:p>
    <w:p w14:paraId="648A170C" w14:textId="7A030F92" w:rsidR="00A26E41" w:rsidRDefault="00317254" w:rsidP="00251792">
      <w:pPr>
        <w:rPr>
          <w:lang w:eastAsia="en-US"/>
        </w:rPr>
      </w:pPr>
      <w:r>
        <w:rPr>
          <w:lang w:eastAsia="en-US"/>
        </w:rPr>
        <w:t>The forementioned timings</w:t>
      </w:r>
      <w:r w:rsidR="000C067B">
        <w:rPr>
          <w:lang w:eastAsia="en-US"/>
        </w:rPr>
        <w:t xml:space="preserve"> </w:t>
      </w:r>
      <w:r w:rsidR="003C2E78">
        <w:rPr>
          <w:lang w:eastAsia="en-US"/>
        </w:rPr>
        <w:t>provides that there will be a</w:t>
      </w:r>
      <w:r w:rsidR="006B491C">
        <w:rPr>
          <w:lang w:eastAsia="en-US"/>
        </w:rPr>
        <w:t>t least a</w:t>
      </w:r>
      <w:r w:rsidR="003C2E78">
        <w:rPr>
          <w:lang w:eastAsia="en-US"/>
        </w:rPr>
        <w:t xml:space="preserve"> </w:t>
      </w:r>
      <w:r w:rsidR="00FF3CF3">
        <w:rPr>
          <w:lang w:eastAsia="en-US"/>
        </w:rPr>
        <w:t>9-month</w:t>
      </w:r>
      <w:r w:rsidR="003C2E78">
        <w:rPr>
          <w:lang w:eastAsia="en-US"/>
        </w:rPr>
        <w:t xml:space="preserve"> timeframe </w:t>
      </w:r>
      <w:r w:rsidR="00FF3CF3">
        <w:rPr>
          <w:lang w:eastAsia="en-US"/>
        </w:rPr>
        <w:t xml:space="preserve">for the ACCC to </w:t>
      </w:r>
      <w:proofErr w:type="gramStart"/>
      <w:r w:rsidR="00FF3CF3">
        <w:rPr>
          <w:lang w:eastAsia="en-US"/>
        </w:rPr>
        <w:t>make a decision</w:t>
      </w:r>
      <w:proofErr w:type="gramEnd"/>
      <w:r w:rsidR="00FF3CF3">
        <w:rPr>
          <w:lang w:eastAsia="en-US"/>
        </w:rPr>
        <w:t xml:space="preserve"> on NBN</w:t>
      </w:r>
      <w:r w:rsidR="00C10CB0">
        <w:rPr>
          <w:lang w:eastAsia="en-US"/>
        </w:rPr>
        <w:t xml:space="preserve"> Co</w:t>
      </w:r>
      <w:r w:rsidR="00FF3CF3">
        <w:rPr>
          <w:lang w:eastAsia="en-US"/>
        </w:rPr>
        <w:t>’s RM</w:t>
      </w:r>
      <w:r w:rsidR="00F17CED">
        <w:rPr>
          <w:lang w:eastAsia="en-US"/>
        </w:rPr>
        <w:t>A</w:t>
      </w:r>
      <w:r w:rsidR="00FF3CF3">
        <w:rPr>
          <w:lang w:eastAsia="en-US"/>
        </w:rPr>
        <w:t>, and potentially issue an RM</w:t>
      </w:r>
      <w:r w:rsidR="00F17CED">
        <w:rPr>
          <w:lang w:eastAsia="en-US"/>
        </w:rPr>
        <w:t>D</w:t>
      </w:r>
      <w:r w:rsidR="00FF3CF3">
        <w:rPr>
          <w:lang w:eastAsia="en-US"/>
        </w:rPr>
        <w:t>.</w:t>
      </w:r>
      <w:r w:rsidR="00183188">
        <w:rPr>
          <w:lang w:eastAsia="en-US"/>
        </w:rPr>
        <w:t xml:space="preserve"> It is likely that the ACCC would </w:t>
      </w:r>
      <w:r w:rsidR="00AA2A20">
        <w:rPr>
          <w:lang w:eastAsia="en-US"/>
        </w:rPr>
        <w:t xml:space="preserve">require the </w:t>
      </w:r>
      <w:r w:rsidR="00183188">
        <w:rPr>
          <w:lang w:eastAsia="en-US"/>
        </w:rPr>
        <w:t xml:space="preserve">full </w:t>
      </w:r>
      <w:r w:rsidR="00A26E41">
        <w:rPr>
          <w:lang w:eastAsia="en-US"/>
        </w:rPr>
        <w:t>18-month</w:t>
      </w:r>
      <w:r w:rsidR="00183188">
        <w:rPr>
          <w:lang w:eastAsia="en-US"/>
        </w:rPr>
        <w:t xml:space="preserve"> timeframe</w:t>
      </w:r>
      <w:r w:rsidR="005D240F">
        <w:rPr>
          <w:lang w:eastAsia="en-US"/>
        </w:rPr>
        <w:t xml:space="preserve"> </w:t>
      </w:r>
      <w:proofErr w:type="gramStart"/>
      <w:r w:rsidR="00183188">
        <w:rPr>
          <w:lang w:eastAsia="en-US"/>
        </w:rPr>
        <w:t>in order for</w:t>
      </w:r>
      <w:proofErr w:type="gramEnd"/>
      <w:r w:rsidR="00FF3CF3">
        <w:rPr>
          <w:lang w:eastAsia="en-US"/>
        </w:rPr>
        <w:t xml:space="preserve"> </w:t>
      </w:r>
      <w:r w:rsidR="00183188">
        <w:rPr>
          <w:lang w:eastAsia="en-US"/>
        </w:rPr>
        <w:t>the</w:t>
      </w:r>
      <w:r w:rsidR="00A53D63">
        <w:rPr>
          <w:lang w:eastAsia="en-US"/>
        </w:rPr>
        <w:t xml:space="preserve"> ACCC </w:t>
      </w:r>
      <w:r w:rsidR="00183188">
        <w:rPr>
          <w:lang w:eastAsia="en-US"/>
        </w:rPr>
        <w:t>to</w:t>
      </w:r>
      <w:r w:rsidR="00A53D63">
        <w:rPr>
          <w:lang w:eastAsia="en-US"/>
        </w:rPr>
        <w:t xml:space="preserve"> consult on both NBN</w:t>
      </w:r>
      <w:r w:rsidR="00C10CB0">
        <w:rPr>
          <w:lang w:eastAsia="en-US"/>
        </w:rPr>
        <w:t xml:space="preserve"> Co</w:t>
      </w:r>
      <w:r w:rsidR="00A53D63">
        <w:rPr>
          <w:lang w:eastAsia="en-US"/>
        </w:rPr>
        <w:t>’s RM</w:t>
      </w:r>
      <w:r w:rsidR="00F17CED">
        <w:rPr>
          <w:lang w:eastAsia="en-US"/>
        </w:rPr>
        <w:t>A</w:t>
      </w:r>
      <w:r w:rsidR="00A53D63">
        <w:rPr>
          <w:lang w:eastAsia="en-US"/>
        </w:rPr>
        <w:t xml:space="preserve">, and its own </w:t>
      </w:r>
      <w:r w:rsidR="00351C60">
        <w:rPr>
          <w:lang w:eastAsia="en-US"/>
        </w:rPr>
        <w:t xml:space="preserve">draft </w:t>
      </w:r>
      <w:r w:rsidR="00A53D63">
        <w:rPr>
          <w:lang w:eastAsia="en-US"/>
        </w:rPr>
        <w:t>RM</w:t>
      </w:r>
      <w:r w:rsidR="00F17CED">
        <w:rPr>
          <w:lang w:eastAsia="en-US"/>
        </w:rPr>
        <w:t>D</w:t>
      </w:r>
      <w:r w:rsidR="00A53D63">
        <w:rPr>
          <w:lang w:eastAsia="en-US"/>
        </w:rPr>
        <w:t xml:space="preserve"> before formally issuing </w:t>
      </w:r>
      <w:r w:rsidR="00351C60">
        <w:rPr>
          <w:lang w:eastAsia="en-US"/>
        </w:rPr>
        <w:t>an RM</w:t>
      </w:r>
      <w:r w:rsidR="00F17CED">
        <w:rPr>
          <w:lang w:eastAsia="en-US"/>
        </w:rPr>
        <w:t>D</w:t>
      </w:r>
      <w:r w:rsidR="00351C60">
        <w:rPr>
          <w:lang w:eastAsia="en-US"/>
        </w:rPr>
        <w:t xml:space="preserve">. </w:t>
      </w:r>
      <w:r w:rsidR="00861687">
        <w:rPr>
          <w:lang w:eastAsia="en-US"/>
        </w:rPr>
        <w:t>G</w:t>
      </w:r>
      <w:r w:rsidR="0062302D">
        <w:rPr>
          <w:lang w:eastAsia="en-US"/>
        </w:rPr>
        <w:t xml:space="preserve">iven a </w:t>
      </w:r>
      <w:r w:rsidR="00810D06">
        <w:rPr>
          <w:lang w:eastAsia="en-US"/>
        </w:rPr>
        <w:t xml:space="preserve">regulatory </w:t>
      </w:r>
      <w:r w:rsidR="0062302D">
        <w:rPr>
          <w:lang w:eastAsia="en-US"/>
        </w:rPr>
        <w:t>cycle could be as short as 3 years</w:t>
      </w:r>
      <w:r w:rsidR="00861687">
        <w:rPr>
          <w:lang w:eastAsia="en-US"/>
        </w:rPr>
        <w:t>, we co</w:t>
      </w:r>
      <w:r w:rsidR="004530E3">
        <w:rPr>
          <w:lang w:eastAsia="en-US"/>
        </w:rPr>
        <w:t>nsider that the timeframes proposed in the SAU are appropriate</w:t>
      </w:r>
      <w:r w:rsidR="0062302D">
        <w:rPr>
          <w:lang w:eastAsia="en-US"/>
        </w:rPr>
        <w:t xml:space="preserve"> </w:t>
      </w:r>
      <w:r w:rsidR="004530E3">
        <w:rPr>
          <w:lang w:eastAsia="en-US"/>
        </w:rPr>
        <w:t>to allow for</w:t>
      </w:r>
      <w:r w:rsidR="00C76B7E">
        <w:rPr>
          <w:lang w:eastAsia="en-US"/>
        </w:rPr>
        <w:t xml:space="preserve"> NBN</w:t>
      </w:r>
      <w:r w:rsidR="00AE568B">
        <w:rPr>
          <w:lang w:eastAsia="en-US"/>
        </w:rPr>
        <w:t xml:space="preserve"> Co</w:t>
      </w:r>
      <w:r w:rsidR="00C76B7E">
        <w:rPr>
          <w:lang w:eastAsia="en-US"/>
        </w:rPr>
        <w:t xml:space="preserve"> to </w:t>
      </w:r>
      <w:r w:rsidR="006601D7">
        <w:rPr>
          <w:lang w:eastAsia="en-US"/>
        </w:rPr>
        <w:t xml:space="preserve">see the full effects of the </w:t>
      </w:r>
      <w:r w:rsidR="003200BD">
        <w:rPr>
          <w:lang w:eastAsia="en-US"/>
        </w:rPr>
        <w:t>then-</w:t>
      </w:r>
      <w:r w:rsidR="007D2BCD">
        <w:rPr>
          <w:lang w:eastAsia="en-US"/>
        </w:rPr>
        <w:t xml:space="preserve">current </w:t>
      </w:r>
      <w:r w:rsidR="006601D7">
        <w:rPr>
          <w:lang w:eastAsia="en-US"/>
        </w:rPr>
        <w:t>regulatory cycle</w:t>
      </w:r>
      <w:r w:rsidR="00C40496">
        <w:rPr>
          <w:lang w:eastAsia="en-US"/>
        </w:rPr>
        <w:t xml:space="preserve"> </w:t>
      </w:r>
      <w:r w:rsidR="006601D7">
        <w:rPr>
          <w:lang w:eastAsia="en-US"/>
        </w:rPr>
        <w:t xml:space="preserve">before submitting </w:t>
      </w:r>
      <w:r w:rsidR="00C40496">
        <w:rPr>
          <w:lang w:eastAsia="en-US"/>
        </w:rPr>
        <w:t>a</w:t>
      </w:r>
      <w:r w:rsidR="00D13230">
        <w:rPr>
          <w:lang w:eastAsia="en-US"/>
        </w:rPr>
        <w:t xml:space="preserve"> subsequent </w:t>
      </w:r>
      <w:r w:rsidR="008B01DA">
        <w:rPr>
          <w:lang w:eastAsia="en-US"/>
        </w:rPr>
        <w:t xml:space="preserve">RMA. </w:t>
      </w:r>
    </w:p>
    <w:p w14:paraId="706A7C6E" w14:textId="1D4EFD6D" w:rsidR="004E3248" w:rsidRDefault="00C50B55" w:rsidP="00251792">
      <w:pPr>
        <w:rPr>
          <w:lang w:eastAsia="en-US"/>
        </w:rPr>
      </w:pPr>
      <w:r>
        <w:rPr>
          <w:lang w:eastAsia="en-US"/>
        </w:rPr>
        <w:t>There is a risk of delays to the process</w:t>
      </w:r>
      <w:r w:rsidR="00483A26">
        <w:rPr>
          <w:lang w:eastAsia="en-US"/>
        </w:rPr>
        <w:t xml:space="preserve"> which may result in NBN Co’s RMA being accepted by default</w:t>
      </w:r>
      <w:r w:rsidR="00AD0512">
        <w:rPr>
          <w:lang w:eastAsia="en-US"/>
        </w:rPr>
        <w:t xml:space="preserve"> should the ACCC miss the timeframes set out in the SAU Variation</w:t>
      </w:r>
      <w:r w:rsidR="00483A26">
        <w:rPr>
          <w:lang w:eastAsia="en-US"/>
        </w:rPr>
        <w:t xml:space="preserve">. There should be sufficient </w:t>
      </w:r>
      <w:r w:rsidR="00AD0512">
        <w:rPr>
          <w:lang w:eastAsia="en-US"/>
        </w:rPr>
        <w:t>‘</w:t>
      </w:r>
      <w:r w:rsidR="00483A26">
        <w:rPr>
          <w:lang w:eastAsia="en-US"/>
        </w:rPr>
        <w:t>stop the clock</w:t>
      </w:r>
      <w:r w:rsidR="00AD0512">
        <w:rPr>
          <w:lang w:eastAsia="en-US"/>
        </w:rPr>
        <w:t>’</w:t>
      </w:r>
      <w:r w:rsidR="00483A26">
        <w:rPr>
          <w:lang w:eastAsia="en-US"/>
        </w:rPr>
        <w:t xml:space="preserve"> provisions </w:t>
      </w:r>
      <w:r w:rsidR="001665DE">
        <w:rPr>
          <w:lang w:eastAsia="en-US"/>
        </w:rPr>
        <w:t>in instances</w:t>
      </w:r>
      <w:r w:rsidR="00483A26">
        <w:rPr>
          <w:lang w:eastAsia="en-US"/>
        </w:rPr>
        <w:t xml:space="preserve"> </w:t>
      </w:r>
      <w:r w:rsidR="00B95074">
        <w:rPr>
          <w:lang w:eastAsia="en-US"/>
        </w:rPr>
        <w:t>when</w:t>
      </w:r>
      <w:r w:rsidR="00483A26">
        <w:rPr>
          <w:lang w:eastAsia="en-US"/>
        </w:rPr>
        <w:t xml:space="preserve"> the</w:t>
      </w:r>
      <w:r w:rsidR="001665DE">
        <w:rPr>
          <w:lang w:eastAsia="en-US"/>
        </w:rPr>
        <w:t>re has been undue delay</w:t>
      </w:r>
      <w:r w:rsidR="00C66F6A">
        <w:rPr>
          <w:lang w:eastAsia="en-US"/>
        </w:rPr>
        <w:t xml:space="preserve"> responding to the</w:t>
      </w:r>
      <w:r w:rsidR="00483A26">
        <w:rPr>
          <w:lang w:eastAsia="en-US"/>
        </w:rPr>
        <w:t xml:space="preserve"> ACCC</w:t>
      </w:r>
      <w:r w:rsidR="00C66F6A">
        <w:rPr>
          <w:lang w:eastAsia="en-US"/>
        </w:rPr>
        <w:t>’s</w:t>
      </w:r>
      <w:r w:rsidR="00483A26">
        <w:rPr>
          <w:lang w:eastAsia="en-US"/>
        </w:rPr>
        <w:t xml:space="preserve"> information</w:t>
      </w:r>
      <w:r w:rsidR="00B95074">
        <w:rPr>
          <w:lang w:eastAsia="en-US"/>
        </w:rPr>
        <w:t xml:space="preserve"> </w:t>
      </w:r>
      <w:r w:rsidR="00483A26">
        <w:rPr>
          <w:lang w:eastAsia="en-US"/>
        </w:rPr>
        <w:t>request</w:t>
      </w:r>
      <w:r w:rsidR="00B95074">
        <w:rPr>
          <w:lang w:eastAsia="en-US"/>
        </w:rPr>
        <w:t>s</w:t>
      </w:r>
      <w:r w:rsidR="00483A26">
        <w:rPr>
          <w:lang w:eastAsia="en-US"/>
        </w:rPr>
        <w:t xml:space="preserve"> </w:t>
      </w:r>
      <w:r w:rsidR="00B95074">
        <w:rPr>
          <w:lang w:eastAsia="en-US"/>
        </w:rPr>
        <w:t>in relation to NBN Co’s application</w:t>
      </w:r>
      <w:r w:rsidR="00C66F6A">
        <w:rPr>
          <w:lang w:eastAsia="en-US"/>
        </w:rPr>
        <w:t>.</w:t>
      </w:r>
      <w:r w:rsidR="00483A26">
        <w:rPr>
          <w:lang w:eastAsia="en-US"/>
        </w:rPr>
        <w:t xml:space="preserve"> </w:t>
      </w:r>
      <w:r w:rsidR="0016410F">
        <w:rPr>
          <w:lang w:eastAsia="en-US"/>
        </w:rPr>
        <w:t>It is appropriate the</w:t>
      </w:r>
      <w:r w:rsidR="00FA63DD">
        <w:rPr>
          <w:lang w:eastAsia="en-US"/>
        </w:rPr>
        <w:t xml:space="preserve"> ACCC is given </w:t>
      </w:r>
      <w:r w:rsidR="00AB64E1">
        <w:rPr>
          <w:lang w:eastAsia="en-US"/>
        </w:rPr>
        <w:t>time to sufficiently assess the information</w:t>
      </w:r>
      <w:r w:rsidR="00AA42C0">
        <w:rPr>
          <w:lang w:eastAsia="en-US"/>
        </w:rPr>
        <w:t xml:space="preserve"> it requires to </w:t>
      </w:r>
      <w:proofErr w:type="gramStart"/>
      <w:r w:rsidR="00AA42C0">
        <w:rPr>
          <w:lang w:eastAsia="en-US"/>
        </w:rPr>
        <w:t>make a decision</w:t>
      </w:r>
      <w:proofErr w:type="gramEnd"/>
      <w:r w:rsidR="00AB64E1">
        <w:rPr>
          <w:lang w:eastAsia="en-US"/>
        </w:rPr>
        <w:t>. This will ensure appropriate regulatory oversight of the replacement module process.</w:t>
      </w:r>
      <w:r w:rsidR="00483A26">
        <w:rPr>
          <w:lang w:eastAsia="en-US"/>
        </w:rPr>
        <w:t xml:space="preserve"> </w:t>
      </w:r>
      <w:r>
        <w:rPr>
          <w:lang w:eastAsia="en-US"/>
        </w:rPr>
        <w:t xml:space="preserve"> </w:t>
      </w:r>
    </w:p>
    <w:p w14:paraId="29AE1BFA" w14:textId="2C9A195F" w:rsidR="00A26E41" w:rsidRDefault="00AD7CDE" w:rsidP="00251792">
      <w:pPr>
        <w:rPr>
          <w:lang w:eastAsia="en-US"/>
        </w:rPr>
      </w:pPr>
      <w:r>
        <w:rPr>
          <w:lang w:eastAsia="en-US"/>
        </w:rPr>
        <w:t>Additionally</w:t>
      </w:r>
      <w:r w:rsidR="00C57DE4">
        <w:rPr>
          <w:lang w:eastAsia="en-US"/>
        </w:rPr>
        <w:t xml:space="preserve">, there needs to be </w:t>
      </w:r>
      <w:r>
        <w:rPr>
          <w:lang w:eastAsia="en-US"/>
        </w:rPr>
        <w:t>appropriate</w:t>
      </w:r>
      <w:r w:rsidR="00C57DE4">
        <w:rPr>
          <w:lang w:eastAsia="en-US"/>
        </w:rPr>
        <w:t xml:space="preserve"> disincentive</w:t>
      </w:r>
      <w:r>
        <w:rPr>
          <w:lang w:eastAsia="en-US"/>
        </w:rPr>
        <w:t>s</w:t>
      </w:r>
      <w:r w:rsidR="00C57DE4">
        <w:rPr>
          <w:lang w:eastAsia="en-US"/>
        </w:rPr>
        <w:t xml:space="preserve"> for NBN </w:t>
      </w:r>
      <w:r>
        <w:rPr>
          <w:lang w:eastAsia="en-US"/>
        </w:rPr>
        <w:t xml:space="preserve">Co </w:t>
      </w:r>
      <w:r w:rsidR="00C57DE4">
        <w:rPr>
          <w:lang w:eastAsia="en-US"/>
        </w:rPr>
        <w:t xml:space="preserve">to delay the process </w:t>
      </w:r>
      <w:r w:rsidR="008C1FA2">
        <w:rPr>
          <w:lang w:eastAsia="en-US"/>
        </w:rPr>
        <w:t>to avoid a</w:t>
      </w:r>
      <w:r w:rsidR="00D91CE9">
        <w:rPr>
          <w:lang w:eastAsia="en-US"/>
        </w:rPr>
        <w:t xml:space="preserve"> situation where the </w:t>
      </w:r>
      <w:r w:rsidR="00543F9A">
        <w:rPr>
          <w:lang w:eastAsia="en-US"/>
        </w:rPr>
        <w:t>current</w:t>
      </w:r>
      <w:r w:rsidR="00D91CE9">
        <w:rPr>
          <w:lang w:eastAsia="en-US"/>
        </w:rPr>
        <w:t xml:space="preserve"> regulatory cycle </w:t>
      </w:r>
      <w:r w:rsidR="00BD638B">
        <w:rPr>
          <w:lang w:eastAsia="en-US"/>
        </w:rPr>
        <w:t>is extended indefinitely</w:t>
      </w:r>
      <w:r w:rsidR="008C1FA2">
        <w:rPr>
          <w:lang w:eastAsia="en-US"/>
        </w:rPr>
        <w:t xml:space="preserve">. </w:t>
      </w:r>
      <w:proofErr w:type="gramStart"/>
      <w:r w:rsidR="006E7127">
        <w:rPr>
          <w:lang w:eastAsia="en-US"/>
        </w:rPr>
        <w:t>Similarly</w:t>
      </w:r>
      <w:proofErr w:type="gramEnd"/>
      <w:r w:rsidR="006E7127">
        <w:rPr>
          <w:lang w:eastAsia="en-US"/>
        </w:rPr>
        <w:t xml:space="preserve"> to introducing a financial penalty for not undertaking appropriate consultation, </w:t>
      </w:r>
      <w:r w:rsidR="00A60BDE">
        <w:rPr>
          <w:lang w:eastAsia="en-US"/>
        </w:rPr>
        <w:t xml:space="preserve">ACCAN encourages the ACCC to consider </w:t>
      </w:r>
      <w:r w:rsidR="006E7127">
        <w:rPr>
          <w:lang w:eastAsia="en-US"/>
        </w:rPr>
        <w:t>introducing</w:t>
      </w:r>
      <w:r w:rsidR="00A60BDE">
        <w:rPr>
          <w:lang w:eastAsia="en-US"/>
        </w:rPr>
        <w:t xml:space="preserve"> penaltie</w:t>
      </w:r>
      <w:r w:rsidR="00CA2C0A">
        <w:rPr>
          <w:lang w:eastAsia="en-US"/>
        </w:rPr>
        <w:t xml:space="preserve">s for </w:t>
      </w:r>
      <w:r w:rsidR="00F942EF">
        <w:rPr>
          <w:lang w:eastAsia="en-US"/>
        </w:rPr>
        <w:t xml:space="preserve">extensive delays to information sharing </w:t>
      </w:r>
      <w:r w:rsidR="00CA2C0A">
        <w:rPr>
          <w:lang w:eastAsia="en-US"/>
        </w:rPr>
        <w:t>such as a reduction in the recoverable ICRA</w:t>
      </w:r>
      <w:r w:rsidR="00E65313">
        <w:rPr>
          <w:lang w:eastAsia="en-US"/>
        </w:rPr>
        <w:t>.</w:t>
      </w:r>
      <w:r w:rsidR="0027477B">
        <w:rPr>
          <w:rStyle w:val="FootnoteReference"/>
          <w:lang w:eastAsia="en-US"/>
        </w:rPr>
        <w:footnoteReference w:id="4"/>
      </w:r>
      <w:r w:rsidR="00376678">
        <w:rPr>
          <w:lang w:eastAsia="en-US"/>
        </w:rPr>
        <w:t xml:space="preserve"> </w:t>
      </w:r>
    </w:p>
    <w:p w14:paraId="18A69598" w14:textId="43B17F6D" w:rsidR="001D3FF5" w:rsidRPr="00EA1427" w:rsidRDefault="00DD056A" w:rsidP="004214FC">
      <w:pPr>
        <w:pStyle w:val="Recommendation"/>
        <w:rPr>
          <w:rFonts w:asciiTheme="minorHAnsi" w:hAnsiTheme="minorHAnsi" w:cstheme="minorHAnsi"/>
        </w:rPr>
      </w:pPr>
      <w:r w:rsidRPr="00EA1427">
        <w:rPr>
          <w:rFonts w:asciiTheme="minorHAnsi" w:hAnsiTheme="minorHAnsi" w:cstheme="minorHAnsi"/>
        </w:rPr>
        <w:t>The SAU should contain sufficient s</w:t>
      </w:r>
      <w:r w:rsidR="00376678" w:rsidRPr="00EA1427">
        <w:rPr>
          <w:rFonts w:asciiTheme="minorHAnsi" w:hAnsiTheme="minorHAnsi" w:cstheme="minorHAnsi"/>
        </w:rPr>
        <w:t xml:space="preserve">top the clock provisions </w:t>
      </w:r>
      <w:r w:rsidR="002D14B7" w:rsidRPr="00EA1427">
        <w:rPr>
          <w:rFonts w:asciiTheme="minorHAnsi" w:hAnsiTheme="minorHAnsi" w:cstheme="minorHAnsi"/>
        </w:rPr>
        <w:t xml:space="preserve">and </w:t>
      </w:r>
      <w:r w:rsidR="00B72879" w:rsidRPr="00EA1427">
        <w:rPr>
          <w:rFonts w:asciiTheme="minorHAnsi" w:hAnsiTheme="minorHAnsi" w:cstheme="minorHAnsi"/>
        </w:rPr>
        <w:t xml:space="preserve">appropriate </w:t>
      </w:r>
      <w:r w:rsidR="002D14B7" w:rsidRPr="00EA1427">
        <w:rPr>
          <w:rFonts w:asciiTheme="minorHAnsi" w:hAnsiTheme="minorHAnsi" w:cstheme="minorHAnsi"/>
        </w:rPr>
        <w:t>incentives</w:t>
      </w:r>
      <w:r w:rsidR="009E78C4" w:rsidRPr="00EA1427">
        <w:rPr>
          <w:rFonts w:asciiTheme="minorHAnsi" w:hAnsiTheme="minorHAnsi" w:cstheme="minorHAnsi"/>
        </w:rPr>
        <w:t xml:space="preserve"> </w:t>
      </w:r>
      <w:r w:rsidR="00803299">
        <w:rPr>
          <w:rFonts w:asciiTheme="minorHAnsi" w:hAnsiTheme="minorHAnsi" w:cstheme="minorHAnsi"/>
        </w:rPr>
        <w:t xml:space="preserve">for NBN Co to </w:t>
      </w:r>
      <w:r w:rsidR="0010016A">
        <w:rPr>
          <w:rFonts w:asciiTheme="minorHAnsi" w:hAnsiTheme="minorHAnsi" w:cstheme="minorHAnsi"/>
        </w:rPr>
        <w:t xml:space="preserve">consult </w:t>
      </w:r>
      <w:r w:rsidR="00803299">
        <w:rPr>
          <w:rFonts w:asciiTheme="minorHAnsi" w:hAnsiTheme="minorHAnsi" w:cstheme="minorHAnsi"/>
        </w:rPr>
        <w:t>with consumer advocates and</w:t>
      </w:r>
      <w:r w:rsidR="009E78C4" w:rsidRPr="00EA1427">
        <w:rPr>
          <w:rFonts w:asciiTheme="minorHAnsi" w:hAnsiTheme="minorHAnsi" w:cstheme="minorHAnsi"/>
        </w:rPr>
        <w:t xml:space="preserve"> prevent</w:t>
      </w:r>
      <w:r w:rsidR="002D14B7" w:rsidRPr="00EA1427">
        <w:rPr>
          <w:rFonts w:asciiTheme="minorHAnsi" w:hAnsiTheme="minorHAnsi" w:cstheme="minorHAnsi"/>
        </w:rPr>
        <w:t xml:space="preserve"> </w:t>
      </w:r>
      <w:r w:rsidR="00B72879" w:rsidRPr="00EA1427">
        <w:rPr>
          <w:rFonts w:asciiTheme="minorHAnsi" w:hAnsiTheme="minorHAnsi" w:cstheme="minorHAnsi"/>
        </w:rPr>
        <w:t>delays to</w:t>
      </w:r>
      <w:r w:rsidR="009E78C4" w:rsidRPr="00EA1427">
        <w:rPr>
          <w:rFonts w:asciiTheme="minorHAnsi" w:hAnsiTheme="minorHAnsi" w:cstheme="minorHAnsi"/>
        </w:rPr>
        <w:t xml:space="preserve"> the Replacement Module Application processes</w:t>
      </w:r>
      <w:r w:rsidR="004A1554" w:rsidRPr="00EA1427">
        <w:rPr>
          <w:rFonts w:asciiTheme="minorHAnsi" w:hAnsiTheme="minorHAnsi" w:cstheme="minorHAnsi"/>
        </w:rPr>
        <w:t xml:space="preserve">. </w:t>
      </w:r>
    </w:p>
    <w:p w14:paraId="20517EA7" w14:textId="6558645A" w:rsidR="00251792" w:rsidRPr="00AD2B68" w:rsidRDefault="00986A1F" w:rsidP="00334A4E">
      <w:pPr>
        <w:pStyle w:val="Heading2"/>
      </w:pPr>
      <w:r w:rsidRPr="00AD2B68">
        <w:t xml:space="preserve">Change in </w:t>
      </w:r>
      <w:r w:rsidR="005544FC">
        <w:t>C</w:t>
      </w:r>
      <w:r w:rsidRPr="00EA1427">
        <w:t xml:space="preserve">ontrol </w:t>
      </w:r>
      <w:r w:rsidR="005544FC">
        <w:t>P</w:t>
      </w:r>
      <w:r w:rsidR="000216CB" w:rsidRPr="00EA1427">
        <w:t>rovisions</w:t>
      </w:r>
    </w:p>
    <w:p w14:paraId="756362B7" w14:textId="08C7829E" w:rsidR="00883A25" w:rsidRDefault="004D1E29" w:rsidP="00986A1F">
      <w:pPr>
        <w:rPr>
          <w:lang w:eastAsia="en-US"/>
        </w:rPr>
      </w:pPr>
      <w:r>
        <w:rPr>
          <w:lang w:eastAsia="en-US"/>
        </w:rPr>
        <w:t xml:space="preserve">ACCAN supports the proposal to bring forward the SAU end date should there be a change of control </w:t>
      </w:r>
      <w:r w:rsidR="00A179D1">
        <w:rPr>
          <w:lang w:eastAsia="en-US"/>
        </w:rPr>
        <w:t>of the</w:t>
      </w:r>
      <w:r>
        <w:rPr>
          <w:lang w:eastAsia="en-US"/>
        </w:rPr>
        <w:t xml:space="preserve"> NBN</w:t>
      </w:r>
      <w:r w:rsidR="00AD08F5">
        <w:rPr>
          <w:lang w:eastAsia="en-US"/>
        </w:rPr>
        <w:t>.</w:t>
      </w:r>
      <w:r w:rsidR="00563768">
        <w:rPr>
          <w:lang w:eastAsia="en-US"/>
        </w:rPr>
        <w:t xml:space="preserve"> </w:t>
      </w:r>
      <w:r w:rsidR="00BF5951">
        <w:rPr>
          <w:lang w:eastAsia="en-US"/>
        </w:rPr>
        <w:t>However,</w:t>
      </w:r>
      <w:r w:rsidR="00A97FB5">
        <w:rPr>
          <w:lang w:eastAsia="en-US"/>
        </w:rPr>
        <w:t xml:space="preserve"> there </w:t>
      </w:r>
      <w:r w:rsidR="009A6F15">
        <w:rPr>
          <w:lang w:eastAsia="en-US"/>
        </w:rPr>
        <w:t>should</w:t>
      </w:r>
      <w:r w:rsidR="00A97FB5">
        <w:rPr>
          <w:lang w:eastAsia="en-US"/>
        </w:rPr>
        <w:t xml:space="preserve"> be additional provisions regarding the change of control over </w:t>
      </w:r>
      <w:r w:rsidR="0082642F">
        <w:rPr>
          <w:lang w:eastAsia="en-US"/>
        </w:rPr>
        <w:t xml:space="preserve">the </w:t>
      </w:r>
      <w:r w:rsidR="00A97FB5">
        <w:rPr>
          <w:lang w:eastAsia="en-US"/>
        </w:rPr>
        <w:t>NBN</w:t>
      </w:r>
      <w:r w:rsidR="00973779">
        <w:rPr>
          <w:lang w:eastAsia="en-US"/>
        </w:rPr>
        <w:t xml:space="preserve"> and the role of the ACCC</w:t>
      </w:r>
      <w:r w:rsidR="00290656">
        <w:rPr>
          <w:lang w:eastAsia="en-US"/>
        </w:rPr>
        <w:t xml:space="preserve"> in this process</w:t>
      </w:r>
      <w:r w:rsidR="001600A6">
        <w:rPr>
          <w:lang w:eastAsia="en-US"/>
        </w:rPr>
        <w:t xml:space="preserve">. </w:t>
      </w:r>
    </w:p>
    <w:p w14:paraId="69995081" w14:textId="346A2248" w:rsidR="008325CF" w:rsidRDefault="001600A6" w:rsidP="00986A1F">
      <w:pPr>
        <w:rPr>
          <w:lang w:eastAsia="en-US"/>
        </w:rPr>
      </w:pPr>
      <w:r>
        <w:rPr>
          <w:lang w:eastAsia="en-US"/>
        </w:rPr>
        <w:t xml:space="preserve">Whilst there is a legislated process </w:t>
      </w:r>
      <w:r w:rsidR="00BF5951">
        <w:rPr>
          <w:lang w:eastAsia="en-US"/>
        </w:rPr>
        <w:t>for the</w:t>
      </w:r>
      <w:r>
        <w:rPr>
          <w:lang w:eastAsia="en-US"/>
        </w:rPr>
        <w:t xml:space="preserve"> Productivity Commission </w:t>
      </w:r>
      <w:r w:rsidR="00BF5951">
        <w:rPr>
          <w:lang w:eastAsia="en-US"/>
        </w:rPr>
        <w:t xml:space="preserve">to </w:t>
      </w:r>
      <w:r>
        <w:rPr>
          <w:lang w:eastAsia="en-US"/>
        </w:rPr>
        <w:t>conduct</w:t>
      </w:r>
      <w:r w:rsidR="00BF5951">
        <w:rPr>
          <w:lang w:eastAsia="en-US"/>
        </w:rPr>
        <w:t xml:space="preserve"> </w:t>
      </w:r>
      <w:r>
        <w:rPr>
          <w:lang w:eastAsia="en-US"/>
        </w:rPr>
        <w:t>an inquiry into the regulatory, budgetary, consumer and competition matters</w:t>
      </w:r>
      <w:r w:rsidR="00E0193E">
        <w:rPr>
          <w:lang w:eastAsia="en-US"/>
        </w:rPr>
        <w:t>,</w:t>
      </w:r>
      <w:r w:rsidR="00A04074">
        <w:rPr>
          <w:rStyle w:val="FootnoteReference"/>
          <w:lang w:eastAsia="en-US"/>
        </w:rPr>
        <w:footnoteReference w:id="5"/>
      </w:r>
      <w:r w:rsidR="00E0193E">
        <w:rPr>
          <w:lang w:eastAsia="en-US"/>
        </w:rPr>
        <w:t xml:space="preserve"> </w:t>
      </w:r>
      <w:r w:rsidR="00546935">
        <w:rPr>
          <w:lang w:eastAsia="en-US"/>
        </w:rPr>
        <w:t xml:space="preserve">there would be merit in the ACCC having </w:t>
      </w:r>
      <w:r w:rsidR="00492F12">
        <w:rPr>
          <w:lang w:eastAsia="en-US"/>
        </w:rPr>
        <w:t>adequate</w:t>
      </w:r>
      <w:r w:rsidR="00546935">
        <w:rPr>
          <w:lang w:eastAsia="en-US"/>
        </w:rPr>
        <w:t xml:space="preserve"> time to conduct its own</w:t>
      </w:r>
      <w:r w:rsidR="005E69BE">
        <w:rPr>
          <w:lang w:eastAsia="en-US"/>
        </w:rPr>
        <w:t xml:space="preserve"> regulatory review prior to the sale of the network</w:t>
      </w:r>
      <w:r w:rsidR="00F00546">
        <w:rPr>
          <w:lang w:eastAsia="en-US"/>
        </w:rPr>
        <w:t>. The ACCC’s inquiry will have a narrower scope</w:t>
      </w:r>
      <w:r w:rsidR="000A02E4">
        <w:rPr>
          <w:lang w:eastAsia="en-US"/>
        </w:rPr>
        <w:t xml:space="preserve">, being focused </w:t>
      </w:r>
      <w:r w:rsidR="007F6E4E">
        <w:rPr>
          <w:lang w:eastAsia="en-US"/>
        </w:rPr>
        <w:t xml:space="preserve">solely </w:t>
      </w:r>
      <w:r w:rsidR="000A02E4">
        <w:rPr>
          <w:lang w:eastAsia="en-US"/>
        </w:rPr>
        <w:t>on</w:t>
      </w:r>
      <w:r w:rsidR="00476F6A">
        <w:rPr>
          <w:lang w:eastAsia="en-US"/>
        </w:rPr>
        <w:t xml:space="preserve"> </w:t>
      </w:r>
      <w:r w:rsidR="000A02E4">
        <w:rPr>
          <w:lang w:eastAsia="en-US"/>
        </w:rPr>
        <w:t xml:space="preserve">the </w:t>
      </w:r>
      <w:r w:rsidR="007F6E4E" w:rsidRPr="00BD6747">
        <w:rPr>
          <w:lang w:eastAsia="en-US"/>
        </w:rPr>
        <w:t>LTIE</w:t>
      </w:r>
      <w:r w:rsidR="008325CF">
        <w:rPr>
          <w:lang w:eastAsia="en-US"/>
        </w:rPr>
        <w:t xml:space="preserve"> with the purpose of examining the future regulatory framework of the network.</w:t>
      </w:r>
      <w:r w:rsidR="00400B1A">
        <w:rPr>
          <w:lang w:eastAsia="en-US"/>
        </w:rPr>
        <w:t xml:space="preserve"> </w:t>
      </w:r>
      <w:r w:rsidR="00476F6A">
        <w:rPr>
          <w:lang w:eastAsia="en-US"/>
        </w:rPr>
        <w:t>ACCAN supports an</w:t>
      </w:r>
      <w:r w:rsidR="00400B1A">
        <w:rPr>
          <w:lang w:eastAsia="en-US"/>
        </w:rPr>
        <w:t xml:space="preserve"> ACCC inquiry </w:t>
      </w:r>
      <w:r w:rsidR="003E1ECC">
        <w:rPr>
          <w:lang w:eastAsia="en-US"/>
        </w:rPr>
        <w:t>to</w:t>
      </w:r>
      <w:r w:rsidR="00400B1A">
        <w:rPr>
          <w:lang w:eastAsia="en-US"/>
        </w:rPr>
        <w:t xml:space="preserve"> </w:t>
      </w:r>
      <w:r w:rsidR="002F019F">
        <w:rPr>
          <w:lang w:eastAsia="en-US"/>
        </w:rPr>
        <w:t xml:space="preserve">focus on the appropriate regulatory </w:t>
      </w:r>
      <w:r w:rsidR="006A5D73">
        <w:rPr>
          <w:lang w:eastAsia="en-US"/>
        </w:rPr>
        <w:t>arrangements</w:t>
      </w:r>
      <w:r w:rsidR="002F019F">
        <w:rPr>
          <w:lang w:eastAsia="en-US"/>
        </w:rPr>
        <w:t xml:space="preserve"> for the NBN, </w:t>
      </w:r>
      <w:r w:rsidR="003E1ECC">
        <w:rPr>
          <w:lang w:eastAsia="en-US"/>
        </w:rPr>
        <w:t>where the ACCC will be able to</w:t>
      </w:r>
      <w:r w:rsidR="002F019F">
        <w:rPr>
          <w:lang w:eastAsia="en-US"/>
        </w:rPr>
        <w:t xml:space="preserve"> leverage </w:t>
      </w:r>
      <w:r w:rsidR="0052100E">
        <w:rPr>
          <w:lang w:eastAsia="en-US"/>
        </w:rPr>
        <w:t>existing</w:t>
      </w:r>
      <w:r w:rsidR="002F019F">
        <w:rPr>
          <w:lang w:eastAsia="en-US"/>
        </w:rPr>
        <w:t xml:space="preserve"> experience to inform efficient </w:t>
      </w:r>
      <w:r w:rsidR="006A5D73">
        <w:rPr>
          <w:lang w:eastAsia="en-US"/>
        </w:rPr>
        <w:t>settings.</w:t>
      </w:r>
      <w:r w:rsidR="005E69BE">
        <w:rPr>
          <w:lang w:eastAsia="en-US"/>
        </w:rPr>
        <w:t xml:space="preserve"> </w:t>
      </w:r>
      <w:r w:rsidR="008325CF">
        <w:rPr>
          <w:lang w:eastAsia="en-US"/>
        </w:rPr>
        <w:t>It is imperative that this review occur prior</w:t>
      </w:r>
      <w:r w:rsidR="00CA0363">
        <w:rPr>
          <w:lang w:eastAsia="en-US"/>
        </w:rPr>
        <w:t xml:space="preserve"> to the sale of the network. </w:t>
      </w:r>
    </w:p>
    <w:p w14:paraId="67AF2489" w14:textId="0C01E268" w:rsidR="00986A1F" w:rsidRDefault="00816D9B" w:rsidP="00986A1F">
      <w:pPr>
        <w:rPr>
          <w:lang w:eastAsia="en-US"/>
        </w:rPr>
      </w:pPr>
      <w:r>
        <w:rPr>
          <w:lang w:eastAsia="en-US"/>
        </w:rPr>
        <w:t>At a minimum the ACCC should be given</w:t>
      </w:r>
      <w:r w:rsidR="006E332F">
        <w:rPr>
          <w:lang w:eastAsia="en-US"/>
        </w:rPr>
        <w:t xml:space="preserve"> a notice within</w:t>
      </w:r>
      <w:r>
        <w:rPr>
          <w:lang w:eastAsia="en-US"/>
        </w:rPr>
        <w:t xml:space="preserve"> </w:t>
      </w:r>
      <w:r w:rsidR="006E332F">
        <w:rPr>
          <w:lang w:eastAsia="en-US"/>
        </w:rPr>
        <w:t>24</w:t>
      </w:r>
      <w:r>
        <w:rPr>
          <w:lang w:eastAsia="en-US"/>
        </w:rPr>
        <w:t xml:space="preserve"> months</w:t>
      </w:r>
      <w:r w:rsidR="006E332F">
        <w:rPr>
          <w:lang w:eastAsia="en-US"/>
        </w:rPr>
        <w:t xml:space="preserve"> of the NBN sale date to provide </w:t>
      </w:r>
      <w:r w:rsidR="00492F12">
        <w:rPr>
          <w:lang w:eastAsia="en-US"/>
        </w:rPr>
        <w:t xml:space="preserve">sufficient </w:t>
      </w:r>
      <w:r w:rsidR="006E332F">
        <w:rPr>
          <w:lang w:eastAsia="en-US"/>
        </w:rPr>
        <w:t>time for the ACCC</w:t>
      </w:r>
      <w:r>
        <w:rPr>
          <w:lang w:eastAsia="en-US"/>
        </w:rPr>
        <w:t xml:space="preserve"> to conduct </w:t>
      </w:r>
      <w:r w:rsidR="006E332F">
        <w:rPr>
          <w:lang w:eastAsia="en-US"/>
        </w:rPr>
        <w:t>a</w:t>
      </w:r>
      <w:r>
        <w:rPr>
          <w:lang w:eastAsia="en-US"/>
        </w:rPr>
        <w:t xml:space="preserve"> review</w:t>
      </w:r>
      <w:r w:rsidR="00600AF4">
        <w:rPr>
          <w:lang w:eastAsia="en-US"/>
        </w:rPr>
        <w:t xml:space="preserve"> with the intent to inform </w:t>
      </w:r>
      <w:r w:rsidR="002618FD">
        <w:rPr>
          <w:lang w:eastAsia="en-US"/>
        </w:rPr>
        <w:t xml:space="preserve">any revisions to </w:t>
      </w:r>
      <w:r w:rsidR="00600AF4">
        <w:rPr>
          <w:lang w:eastAsia="en-US"/>
        </w:rPr>
        <w:t xml:space="preserve">regulatory framework </w:t>
      </w:r>
      <w:r w:rsidR="002618FD">
        <w:rPr>
          <w:lang w:eastAsia="en-US"/>
        </w:rPr>
        <w:t>governing</w:t>
      </w:r>
      <w:r w:rsidR="00600AF4">
        <w:rPr>
          <w:lang w:eastAsia="en-US"/>
        </w:rPr>
        <w:t xml:space="preserve"> the NBN</w:t>
      </w:r>
      <w:r>
        <w:rPr>
          <w:lang w:eastAsia="en-US"/>
        </w:rPr>
        <w:t xml:space="preserve">. </w:t>
      </w:r>
    </w:p>
    <w:p w14:paraId="4F25EADB" w14:textId="6D5C4D97" w:rsidR="00986A1F" w:rsidRPr="004E3248" w:rsidRDefault="00D2414F" w:rsidP="00E0193E">
      <w:pPr>
        <w:pStyle w:val="Recommendation"/>
        <w:rPr>
          <w:rFonts w:asciiTheme="minorHAnsi" w:hAnsiTheme="minorHAnsi" w:cstheme="minorHAnsi"/>
        </w:rPr>
      </w:pPr>
      <w:r w:rsidRPr="004E3248">
        <w:rPr>
          <w:rFonts w:asciiTheme="minorHAnsi" w:hAnsiTheme="minorHAnsi" w:cstheme="minorHAnsi"/>
        </w:rPr>
        <w:t>The</w:t>
      </w:r>
      <w:r w:rsidR="00B60DC1" w:rsidRPr="004E3248">
        <w:rPr>
          <w:rFonts w:asciiTheme="minorHAnsi" w:hAnsiTheme="minorHAnsi" w:cstheme="minorHAnsi"/>
        </w:rPr>
        <w:t xml:space="preserve"> </w:t>
      </w:r>
      <w:r w:rsidR="00CA0363" w:rsidRPr="004E3248">
        <w:rPr>
          <w:rFonts w:asciiTheme="minorHAnsi" w:hAnsiTheme="minorHAnsi" w:cstheme="minorHAnsi"/>
        </w:rPr>
        <w:t xml:space="preserve">SAU </w:t>
      </w:r>
      <w:r w:rsidRPr="004E3248">
        <w:rPr>
          <w:rFonts w:asciiTheme="minorHAnsi" w:hAnsiTheme="minorHAnsi" w:cstheme="minorHAnsi"/>
        </w:rPr>
        <w:t>should</w:t>
      </w:r>
      <w:r w:rsidR="00CA0363" w:rsidRPr="004E3248">
        <w:rPr>
          <w:rFonts w:asciiTheme="minorHAnsi" w:hAnsiTheme="minorHAnsi" w:cstheme="minorHAnsi"/>
        </w:rPr>
        <w:t xml:space="preserve"> require </w:t>
      </w:r>
      <w:r w:rsidR="00492F12" w:rsidRPr="004E3248">
        <w:rPr>
          <w:rFonts w:asciiTheme="minorHAnsi" w:hAnsiTheme="minorHAnsi" w:cstheme="minorHAnsi"/>
        </w:rPr>
        <w:t>NBN Co</w:t>
      </w:r>
      <w:r w:rsidR="00B60DC1" w:rsidRPr="004E3248">
        <w:rPr>
          <w:rFonts w:asciiTheme="minorHAnsi" w:hAnsiTheme="minorHAnsi" w:cstheme="minorHAnsi"/>
        </w:rPr>
        <w:t xml:space="preserve"> to provide the ACCC with a notice of intent to s</w:t>
      </w:r>
      <w:r w:rsidR="0004248D">
        <w:rPr>
          <w:rFonts w:asciiTheme="minorHAnsi" w:hAnsiTheme="minorHAnsi" w:cstheme="minorHAnsi"/>
        </w:rPr>
        <w:t>ell</w:t>
      </w:r>
      <w:r w:rsidR="00B60DC1" w:rsidRPr="004E3248">
        <w:rPr>
          <w:rFonts w:asciiTheme="minorHAnsi" w:hAnsiTheme="minorHAnsi" w:cstheme="minorHAnsi"/>
        </w:rPr>
        <w:t xml:space="preserve"> within 24 months of the sale date.</w:t>
      </w:r>
    </w:p>
    <w:p w14:paraId="1458208A" w14:textId="1A0BF01C" w:rsidR="00104A4E" w:rsidRPr="00D954C3" w:rsidRDefault="00104A4E" w:rsidP="00334A4E">
      <w:pPr>
        <w:pStyle w:val="Heading2"/>
      </w:pPr>
      <w:bookmarkStart w:id="14" w:name="_Toc126914084"/>
      <w:r w:rsidRPr="00D954C3">
        <w:t xml:space="preserve">Post-2032 </w:t>
      </w:r>
      <w:r w:rsidR="005544FC">
        <w:t>A</w:t>
      </w:r>
      <w:r w:rsidRPr="00D954C3">
        <w:t>rrangements</w:t>
      </w:r>
      <w:bookmarkEnd w:id="14"/>
      <w:r w:rsidR="00F50823" w:rsidRPr="00D954C3">
        <w:t xml:space="preserve"> </w:t>
      </w:r>
    </w:p>
    <w:p w14:paraId="36029CFD" w14:textId="2363151A" w:rsidR="00F75C83" w:rsidRDefault="00F75C83" w:rsidP="00C259BD">
      <w:r>
        <w:t>NBN</w:t>
      </w:r>
      <w:r w:rsidR="00A179D1">
        <w:t xml:space="preserve"> </w:t>
      </w:r>
      <w:r w:rsidR="000408F8">
        <w:t>Co</w:t>
      </w:r>
      <w:r>
        <w:t xml:space="preserve"> has proposed the introduction of a new Module 3, to take effect from 1 July 2032, </w:t>
      </w:r>
      <w:r w:rsidR="00836762">
        <w:t xml:space="preserve">where the replacement module process would continue during this time. This replacement module processes differs from </w:t>
      </w:r>
      <w:r w:rsidR="000408F8">
        <w:t>Module 2</w:t>
      </w:r>
      <w:r w:rsidR="00836762">
        <w:t xml:space="preserve"> in that the ACCC </w:t>
      </w:r>
      <w:proofErr w:type="gramStart"/>
      <w:r w:rsidR="00836762">
        <w:t>is able to</w:t>
      </w:r>
      <w:proofErr w:type="gramEnd"/>
      <w:r w:rsidR="00836762">
        <w:t xml:space="preserve"> </w:t>
      </w:r>
      <w:r w:rsidR="00A25C9F">
        <w:t xml:space="preserve">set maximum prices. There appears to be less detail in </w:t>
      </w:r>
      <w:r w:rsidR="00A214B3">
        <w:t>Module 3 compared to Module 2</w:t>
      </w:r>
      <w:r w:rsidR="00A25C9F">
        <w:t xml:space="preserve">, </w:t>
      </w:r>
      <w:r w:rsidR="00F31EAD">
        <w:t xml:space="preserve">presenting a </w:t>
      </w:r>
      <w:r w:rsidR="003979E0">
        <w:t>trade-off</w:t>
      </w:r>
      <w:r w:rsidR="00F31EAD">
        <w:t xml:space="preserve"> </w:t>
      </w:r>
      <w:r w:rsidR="003979E0">
        <w:t>between</w:t>
      </w:r>
      <w:r w:rsidR="00F31EAD">
        <w:t xml:space="preserve"> future flexibility and </w:t>
      </w:r>
      <w:r w:rsidR="003979E0">
        <w:t>certainty</w:t>
      </w:r>
      <w:r w:rsidR="00F31EAD">
        <w:t xml:space="preserve"> in the regulatory framework. </w:t>
      </w:r>
    </w:p>
    <w:p w14:paraId="45D2E69C" w14:textId="76E1E658" w:rsidR="00E90F47" w:rsidRDefault="0040627B" w:rsidP="00C259BD">
      <w:r>
        <w:t>ACCAN is concerned that t</w:t>
      </w:r>
      <w:r w:rsidR="00C43B0D">
        <w:t>he proposed arrangements</w:t>
      </w:r>
      <w:r>
        <w:t xml:space="preserve"> for Module 3</w:t>
      </w:r>
      <w:r w:rsidR="00C43B0D">
        <w:t xml:space="preserve"> </w:t>
      </w:r>
      <w:r>
        <w:t>do not currently provide an</w:t>
      </w:r>
      <w:r w:rsidR="00C43B0D">
        <w:t xml:space="preserve"> appropriate balance between providing regulatory certainty </w:t>
      </w:r>
      <w:r w:rsidR="00A360B1">
        <w:t xml:space="preserve">and flexibility to determine arrangements that better respond to conditions at the time. </w:t>
      </w:r>
      <w:r w:rsidR="00937515">
        <w:t xml:space="preserve">ACCAN shares the ACCC’s concerns regarding the requirement for a Module 3 </w:t>
      </w:r>
      <w:r w:rsidR="00711584">
        <w:t>RMD</w:t>
      </w:r>
      <w:r w:rsidR="00937515">
        <w:t xml:space="preserve"> </w:t>
      </w:r>
      <w:r w:rsidR="004A5D6C">
        <w:t>to provide the NBN</w:t>
      </w:r>
      <w:r w:rsidR="00F00652">
        <w:t xml:space="preserve"> Co</w:t>
      </w:r>
      <w:r w:rsidR="004A5D6C">
        <w:t xml:space="preserve"> with</w:t>
      </w:r>
      <w:r w:rsidR="00E90F47">
        <w:t>:</w:t>
      </w:r>
    </w:p>
    <w:p w14:paraId="14F4D9A4" w14:textId="21C28395" w:rsidR="0060758D" w:rsidRDefault="004A5D6C" w:rsidP="00EC33B6">
      <w:pPr>
        <w:pStyle w:val="Bulletlist1"/>
      </w:pPr>
      <w:r>
        <w:t>a reasonable opportunity to earn, in a regulatory cycle, the su</w:t>
      </w:r>
      <w:r w:rsidR="00BF048E">
        <w:t>m</w:t>
      </w:r>
      <w:r>
        <w:t xml:space="preserve"> of the revenue allowance for each financial year of the cycle, which is based on the AB</w:t>
      </w:r>
      <w:r w:rsidR="00E90F47">
        <w:t>B</w:t>
      </w:r>
      <w:r>
        <w:t>RR</w:t>
      </w:r>
      <w:r w:rsidR="00600EBF">
        <w:t xml:space="preserve"> and on drawing down the ICRA, </w:t>
      </w:r>
      <w:proofErr w:type="gramStart"/>
      <w:r w:rsidR="0060758D">
        <w:t>and;</w:t>
      </w:r>
      <w:proofErr w:type="gramEnd"/>
      <w:r w:rsidR="00600EBF">
        <w:t xml:space="preserve"> </w:t>
      </w:r>
    </w:p>
    <w:p w14:paraId="3EED50E3" w14:textId="7F630647" w:rsidR="00C259BD" w:rsidRDefault="00600EBF" w:rsidP="00EC33B6">
      <w:pPr>
        <w:pStyle w:val="Bulletlist1"/>
      </w:pPr>
      <w:r>
        <w:t xml:space="preserve">a reasonable opportunity to achieve and maintain, for the duration of the regulatory cycle, a stand-alone investment grade credit rating with a stable outlook. </w:t>
      </w:r>
    </w:p>
    <w:p w14:paraId="09561D00" w14:textId="7D8A5D16" w:rsidR="0040627B" w:rsidRDefault="00B4646B" w:rsidP="00B4646B">
      <w:r>
        <w:t xml:space="preserve">Whilst we consider </w:t>
      </w:r>
      <w:r w:rsidR="00BA395B">
        <w:t xml:space="preserve">the objective of NBN </w:t>
      </w:r>
      <w:r w:rsidR="00F05DA0">
        <w:t xml:space="preserve">Co </w:t>
      </w:r>
      <w:r w:rsidR="00943A10">
        <w:t xml:space="preserve">achieving a </w:t>
      </w:r>
      <w:r w:rsidR="00C50B2D">
        <w:t>stand-alone</w:t>
      </w:r>
      <w:r w:rsidR="00BB1DBA">
        <w:t xml:space="preserve"> investment grade</w:t>
      </w:r>
      <w:r w:rsidR="00943A10">
        <w:t xml:space="preserve"> credit rating </w:t>
      </w:r>
      <w:r w:rsidR="00BF36EA">
        <w:t xml:space="preserve">is a merit worthy policy objective, </w:t>
      </w:r>
      <w:r w:rsidR="0040627B">
        <w:t>we note:</w:t>
      </w:r>
    </w:p>
    <w:p w14:paraId="21737519" w14:textId="2D410AC2" w:rsidR="00B4646B" w:rsidRPr="00955DD1" w:rsidRDefault="00C84B01" w:rsidP="008654F6">
      <w:pPr>
        <w:ind w:left="567"/>
        <w:rPr>
          <w:i/>
        </w:rPr>
      </w:pPr>
      <w:r>
        <w:rPr>
          <w:i/>
        </w:rPr>
        <w:t>“</w:t>
      </w:r>
      <w:proofErr w:type="gramStart"/>
      <w:r w:rsidR="00284F6A" w:rsidRPr="0040627B">
        <w:rPr>
          <w:i/>
        </w:rPr>
        <w:t>the</w:t>
      </w:r>
      <w:proofErr w:type="gramEnd"/>
      <w:r w:rsidR="00284F6A">
        <w:t xml:space="preserve"> </w:t>
      </w:r>
      <w:r w:rsidR="005E7D79" w:rsidRPr="00955DD1">
        <w:rPr>
          <w:i/>
        </w:rPr>
        <w:t xml:space="preserve">Competition and Consumer Act requires the ACCC to consider the extent to which the </w:t>
      </w:r>
      <w:r w:rsidR="0093025E" w:rsidRPr="00955DD1">
        <w:rPr>
          <w:i/>
        </w:rPr>
        <w:t>SAU is likely to result in the achievement of the following objectives:</w:t>
      </w:r>
    </w:p>
    <w:p w14:paraId="64ED89F0" w14:textId="6094F056" w:rsidR="0093025E" w:rsidRPr="00955DD1" w:rsidRDefault="0093025E" w:rsidP="008654F6">
      <w:pPr>
        <w:pStyle w:val="Bulletlist1"/>
        <w:rPr>
          <w:i/>
        </w:rPr>
      </w:pPr>
      <w:r w:rsidRPr="00955DD1">
        <w:rPr>
          <w:i/>
        </w:rPr>
        <w:t>promoting competition in markets for listed services</w:t>
      </w:r>
    </w:p>
    <w:p w14:paraId="215E3BDF" w14:textId="01021674" w:rsidR="0093025E" w:rsidRPr="00955DD1" w:rsidRDefault="0093025E" w:rsidP="008654F6">
      <w:pPr>
        <w:pStyle w:val="Bulletlist1"/>
        <w:rPr>
          <w:i/>
        </w:rPr>
      </w:pPr>
      <w:r w:rsidRPr="00955DD1">
        <w:rPr>
          <w:i/>
        </w:rPr>
        <w:t xml:space="preserve">achieving any-to-any connectivity in relation to carriage services that involve communications between </w:t>
      </w:r>
      <w:proofErr w:type="gramStart"/>
      <w:r w:rsidRPr="00955DD1">
        <w:rPr>
          <w:i/>
        </w:rPr>
        <w:t>end-users</w:t>
      </w:r>
      <w:proofErr w:type="gramEnd"/>
    </w:p>
    <w:p w14:paraId="299E96C2" w14:textId="26B88A82" w:rsidR="0093025E" w:rsidRPr="00955DD1" w:rsidRDefault="0093025E" w:rsidP="008654F6">
      <w:pPr>
        <w:pStyle w:val="Bulletlist1"/>
        <w:rPr>
          <w:i/>
        </w:rPr>
      </w:pPr>
      <w:r w:rsidRPr="00955DD1">
        <w:rPr>
          <w:i/>
        </w:rPr>
        <w:t>encoura</w:t>
      </w:r>
      <w:r w:rsidR="008D3E97" w:rsidRPr="00955DD1">
        <w:rPr>
          <w:i/>
        </w:rPr>
        <w:t xml:space="preserve">ging the economically efficient use, and economically efficient investment in the infrastructure by which services are supplied, and any other infrastructure by which these services are, or are likely to become capable of being supplied. </w:t>
      </w:r>
    </w:p>
    <w:p w14:paraId="7F27DF46" w14:textId="236208B7" w:rsidR="00C84B01" w:rsidRPr="00C84B01" w:rsidRDefault="008D3E97" w:rsidP="008654F6">
      <w:pPr>
        <w:ind w:firstLine="567"/>
        <w:rPr>
          <w:i/>
        </w:rPr>
      </w:pPr>
      <w:r w:rsidRPr="00C84B01">
        <w:rPr>
          <w:i/>
        </w:rPr>
        <w:t>The ACCC cannot consider any other objectives in assessing the LTIE.</w:t>
      </w:r>
      <w:r w:rsidR="00C84B01">
        <w:rPr>
          <w:i/>
        </w:rPr>
        <w:t>”</w:t>
      </w:r>
      <w:r w:rsidR="00C84B01" w:rsidRPr="00C84B01">
        <w:rPr>
          <w:rStyle w:val="FootnoteReference"/>
          <w:i/>
        </w:rPr>
        <w:t xml:space="preserve"> </w:t>
      </w:r>
      <w:r w:rsidR="00C84B01" w:rsidRPr="00C84B01">
        <w:rPr>
          <w:rStyle w:val="FootnoteReference"/>
          <w:i/>
        </w:rPr>
        <w:footnoteReference w:id="6"/>
      </w:r>
      <w:r w:rsidRPr="00C84B01">
        <w:rPr>
          <w:i/>
        </w:rPr>
        <w:t xml:space="preserve"> </w:t>
      </w:r>
    </w:p>
    <w:p w14:paraId="70A7A809" w14:textId="4B951708" w:rsidR="00BB505D" w:rsidRDefault="00447EAD" w:rsidP="00CA47BF">
      <w:r>
        <w:t>Thus,</w:t>
      </w:r>
      <w:r w:rsidR="008D3E97">
        <w:t xml:space="preserve"> the objective of NBN</w:t>
      </w:r>
      <w:r w:rsidR="00A6413D">
        <w:t xml:space="preserve"> Co</w:t>
      </w:r>
      <w:r w:rsidR="008D3E97">
        <w:t xml:space="preserve"> achieving a </w:t>
      </w:r>
      <w:r>
        <w:t>stand</w:t>
      </w:r>
      <w:r w:rsidR="00F05DA0">
        <w:t>-</w:t>
      </w:r>
      <w:r>
        <w:t>alone</w:t>
      </w:r>
      <w:r w:rsidR="00BB1DBA">
        <w:t xml:space="preserve"> investment grade</w:t>
      </w:r>
      <w:r w:rsidR="008D3E97">
        <w:t xml:space="preserve"> credit rating is not relevant to the SAU and reference to it should be removed.</w:t>
      </w:r>
      <w:r>
        <w:t xml:space="preserve"> </w:t>
      </w:r>
    </w:p>
    <w:p w14:paraId="6DAFA451" w14:textId="08CF5133" w:rsidR="00AA7087" w:rsidRDefault="00FE77B4" w:rsidP="00CA47BF">
      <w:r>
        <w:t xml:space="preserve">Whilst it could be argued that </w:t>
      </w:r>
      <w:r w:rsidR="00A6413D">
        <w:t>NBN Co</w:t>
      </w:r>
      <w:r>
        <w:t>’s credit rating does indeed i</w:t>
      </w:r>
      <w:r w:rsidR="00AA7087">
        <w:t xml:space="preserve">mpact </w:t>
      </w:r>
      <w:r w:rsidR="00A6413D">
        <w:t>NBN Co</w:t>
      </w:r>
      <w:r w:rsidR="00AA7087">
        <w:t xml:space="preserve">’s ability to efficiently invest in infrastructure, we consider that this is only relevant to the extent that the </w:t>
      </w:r>
      <w:r w:rsidR="00381A76">
        <w:t>NBN Co</w:t>
      </w:r>
      <w:r w:rsidR="00AA7087">
        <w:t xml:space="preserve"> is not under government ownership. Up until that point, </w:t>
      </w:r>
      <w:r w:rsidR="00381A76">
        <w:t>NBN Co</w:t>
      </w:r>
      <w:r w:rsidR="00AA7087">
        <w:t xml:space="preserve"> </w:t>
      </w:r>
      <w:r w:rsidR="00381A76">
        <w:t xml:space="preserve">does not require a stand-alone </w:t>
      </w:r>
      <w:r w:rsidR="00BB1DBA">
        <w:t xml:space="preserve">investment grade </w:t>
      </w:r>
      <w:r w:rsidR="00381A76">
        <w:t xml:space="preserve">credit rating to </w:t>
      </w:r>
      <w:r w:rsidR="00AA7087">
        <w:t xml:space="preserve">continue to efficiently invest in the infrastructure </w:t>
      </w:r>
      <w:r w:rsidR="006768B9">
        <w:t>given</w:t>
      </w:r>
      <w:r w:rsidR="00AA7087">
        <w:t xml:space="preserve"> the </w:t>
      </w:r>
      <w:r w:rsidR="006768B9">
        <w:t>G</w:t>
      </w:r>
      <w:r w:rsidR="00AA7087">
        <w:t>overnment</w:t>
      </w:r>
      <w:r w:rsidR="00F5094E">
        <w:t>’</w:t>
      </w:r>
      <w:r w:rsidR="00AA7087">
        <w:t xml:space="preserve">s implicit guarantee. </w:t>
      </w:r>
    </w:p>
    <w:p w14:paraId="4440B7AF" w14:textId="051B32BE" w:rsidR="00337824" w:rsidRDefault="00832F20" w:rsidP="00CA47BF">
      <w:r>
        <w:t>Indeed</w:t>
      </w:r>
      <w:r w:rsidR="00356029">
        <w:t xml:space="preserve">, the requirement for the ACCC to have regard to </w:t>
      </w:r>
      <w:r w:rsidR="007E16B2">
        <w:t>NBN Co</w:t>
      </w:r>
      <w:r w:rsidR="00356029">
        <w:t xml:space="preserve">’s ability to achieve and maintain an investment grade credit rating is </w:t>
      </w:r>
      <w:r w:rsidR="00255C0B">
        <w:t>not in the</w:t>
      </w:r>
      <w:r w:rsidR="008B6AF0">
        <w:t xml:space="preserve"> LTIE</w:t>
      </w:r>
      <w:r w:rsidR="0060519C">
        <w:t xml:space="preserve"> given</w:t>
      </w:r>
      <w:r w:rsidR="008B6AF0">
        <w:t xml:space="preserve"> </w:t>
      </w:r>
      <w:r w:rsidR="0060519C">
        <w:t>t</w:t>
      </w:r>
      <w:r w:rsidR="00B67350">
        <w:t xml:space="preserve">he provision </w:t>
      </w:r>
      <w:r w:rsidR="00EE3173">
        <w:t xml:space="preserve">risks </w:t>
      </w:r>
      <w:r w:rsidR="006158C8">
        <w:t>NBN</w:t>
      </w:r>
      <w:r w:rsidR="007E16B2">
        <w:t xml:space="preserve"> Co</w:t>
      </w:r>
      <w:r w:rsidR="006158C8">
        <w:t xml:space="preserve"> </w:t>
      </w:r>
      <w:r w:rsidR="00DD392D">
        <w:t xml:space="preserve">being </w:t>
      </w:r>
      <w:r w:rsidR="006158C8">
        <w:t>able to increase revenues to pay down its debt over a brief timeframe at the beginning of Module 3</w:t>
      </w:r>
      <w:r w:rsidR="00402E52">
        <w:t>. This could</w:t>
      </w:r>
      <w:r w:rsidR="006158C8">
        <w:t xml:space="preserve"> potentially result in price shock</w:t>
      </w:r>
      <w:r w:rsidR="00402E52">
        <w:t xml:space="preserve"> and</w:t>
      </w:r>
      <w:r w:rsidR="00767786">
        <w:t xml:space="preserve"> </w:t>
      </w:r>
      <w:r w:rsidR="00B808BA">
        <w:t xml:space="preserve">unaffordable prices </w:t>
      </w:r>
      <w:r w:rsidR="006158C8">
        <w:t>for consumers</w:t>
      </w:r>
      <w:r w:rsidR="00767786">
        <w:t xml:space="preserve"> </w:t>
      </w:r>
      <w:r w:rsidR="00BD05EB">
        <w:t xml:space="preserve">as well as </w:t>
      </w:r>
      <w:r w:rsidR="00767786">
        <w:t>inefficient bypass of the network</w:t>
      </w:r>
      <w:r w:rsidR="006158C8">
        <w:t xml:space="preserve">. </w:t>
      </w:r>
      <w:r w:rsidR="00C1435D">
        <w:t>It is ACCAN’s view that the</w:t>
      </w:r>
      <w:r w:rsidR="00AF3109">
        <w:t xml:space="preserve"> provision</w:t>
      </w:r>
      <w:r w:rsidR="00BB1F44">
        <w:t xml:space="preserve"> works against providing regulatory certainty following 2032.</w:t>
      </w:r>
      <w:r w:rsidR="00717BA3">
        <w:t xml:space="preserve"> </w:t>
      </w:r>
    </w:p>
    <w:p w14:paraId="0735AF58" w14:textId="6CFC26B6" w:rsidR="00610FFD" w:rsidRPr="00C27A82" w:rsidRDefault="00610FFD" w:rsidP="00CA47BF">
      <w:pPr>
        <w:pStyle w:val="Recommendation"/>
        <w:rPr>
          <w:rFonts w:asciiTheme="minorHAnsi" w:hAnsiTheme="minorHAnsi" w:cstheme="minorHAnsi"/>
        </w:rPr>
      </w:pPr>
      <w:r w:rsidRPr="00C27A82">
        <w:rPr>
          <w:rFonts w:asciiTheme="minorHAnsi" w:hAnsiTheme="minorHAnsi" w:cstheme="minorHAnsi"/>
        </w:rPr>
        <w:t>Clause</w:t>
      </w:r>
      <w:r w:rsidR="000C6573">
        <w:rPr>
          <w:rFonts w:asciiTheme="minorHAnsi" w:hAnsiTheme="minorHAnsi" w:cstheme="minorHAnsi"/>
        </w:rPr>
        <w:t>s</w:t>
      </w:r>
      <w:r w:rsidRPr="00C27A82">
        <w:rPr>
          <w:rFonts w:asciiTheme="minorHAnsi" w:hAnsiTheme="minorHAnsi" w:cstheme="minorHAnsi"/>
        </w:rPr>
        <w:t xml:space="preserve"> 3A.1.2(b), 3B.3(c)</w:t>
      </w:r>
      <w:r w:rsidR="000C6573">
        <w:rPr>
          <w:rFonts w:asciiTheme="minorHAnsi" w:hAnsiTheme="minorHAnsi" w:cstheme="minorHAnsi"/>
        </w:rPr>
        <w:t xml:space="preserve"> and</w:t>
      </w:r>
      <w:r w:rsidRPr="00C27A82">
        <w:rPr>
          <w:rFonts w:asciiTheme="minorHAnsi" w:hAnsiTheme="minorHAnsi" w:cstheme="minorHAnsi"/>
        </w:rPr>
        <w:t xml:space="preserve"> 2G.4.2(b)(</w:t>
      </w:r>
      <w:proofErr w:type="spellStart"/>
      <w:r w:rsidRPr="00C27A82">
        <w:rPr>
          <w:rFonts w:asciiTheme="minorHAnsi" w:hAnsiTheme="minorHAnsi" w:cstheme="minorHAnsi"/>
        </w:rPr>
        <w:t>i</w:t>
      </w:r>
      <w:proofErr w:type="spellEnd"/>
      <w:r w:rsidRPr="00C27A82">
        <w:rPr>
          <w:rFonts w:asciiTheme="minorHAnsi" w:hAnsiTheme="minorHAnsi" w:cstheme="minorHAnsi"/>
        </w:rPr>
        <w:t>)(A), which require the ACCC, in setting NBN Co’s Annual Regulated Revenue Allowance, to provide NBN Co with the reasonable opportunity to achieve and maintain a stand-alone investment grade credit rating, should be removed from the SAU.</w:t>
      </w:r>
    </w:p>
    <w:p w14:paraId="6BF4DF20" w14:textId="43ABAE43" w:rsidR="00744504" w:rsidRPr="00C27A82" w:rsidRDefault="00372ABB" w:rsidP="00DD7379">
      <w:pPr>
        <w:pStyle w:val="Heading2"/>
      </w:pPr>
      <w:r w:rsidRPr="00AD2B68">
        <w:t>ACCC Statement of Approach</w:t>
      </w:r>
    </w:p>
    <w:p w14:paraId="10A68255" w14:textId="0B750E85" w:rsidR="00290330" w:rsidRDefault="00744504" w:rsidP="00631564">
      <w:pPr>
        <w:rPr>
          <w:lang w:eastAsia="en-US"/>
        </w:rPr>
      </w:pPr>
      <w:r>
        <w:rPr>
          <w:lang w:eastAsia="en-US"/>
        </w:rPr>
        <w:t>T</w:t>
      </w:r>
      <w:r w:rsidR="0094581D">
        <w:rPr>
          <w:lang w:eastAsia="en-US"/>
        </w:rPr>
        <w:t xml:space="preserve">he </w:t>
      </w:r>
      <w:r>
        <w:rPr>
          <w:lang w:eastAsia="en-US"/>
        </w:rPr>
        <w:t xml:space="preserve">SAU variation </w:t>
      </w:r>
      <w:r w:rsidR="001A33F4">
        <w:rPr>
          <w:lang w:eastAsia="en-US"/>
        </w:rPr>
        <w:t>states</w:t>
      </w:r>
      <w:r>
        <w:rPr>
          <w:lang w:eastAsia="en-US"/>
        </w:rPr>
        <w:t xml:space="preserve"> that</w:t>
      </w:r>
      <w:r w:rsidR="0094581D">
        <w:rPr>
          <w:lang w:eastAsia="en-US"/>
        </w:rPr>
        <w:t xml:space="preserve"> the ACCC </w:t>
      </w:r>
      <w:r w:rsidR="007D0688">
        <w:rPr>
          <w:lang w:eastAsia="en-US"/>
        </w:rPr>
        <w:t xml:space="preserve">must provide </w:t>
      </w:r>
      <w:r w:rsidR="00614754">
        <w:rPr>
          <w:lang w:eastAsia="en-US"/>
        </w:rPr>
        <w:t xml:space="preserve">a </w:t>
      </w:r>
      <w:r w:rsidR="007D0688">
        <w:rPr>
          <w:lang w:eastAsia="en-US"/>
        </w:rPr>
        <w:t xml:space="preserve">Statement of Approach before the date for which NBN </w:t>
      </w:r>
      <w:r w:rsidR="00F87489">
        <w:rPr>
          <w:lang w:eastAsia="en-US"/>
        </w:rPr>
        <w:t xml:space="preserve">Co </w:t>
      </w:r>
      <w:r w:rsidR="001A33F4">
        <w:rPr>
          <w:lang w:eastAsia="en-US"/>
        </w:rPr>
        <w:t>submits its</w:t>
      </w:r>
      <w:r w:rsidR="007D0688">
        <w:rPr>
          <w:lang w:eastAsia="en-US"/>
        </w:rPr>
        <w:t xml:space="preserve"> RMA</w:t>
      </w:r>
      <w:r w:rsidR="001A33F4">
        <w:rPr>
          <w:lang w:eastAsia="en-US"/>
        </w:rPr>
        <w:t xml:space="preserve"> to the ACCC</w:t>
      </w:r>
      <w:r w:rsidR="007D0688">
        <w:rPr>
          <w:lang w:eastAsia="en-US"/>
        </w:rPr>
        <w:t xml:space="preserve">. </w:t>
      </w:r>
      <w:r w:rsidR="00614754">
        <w:rPr>
          <w:lang w:eastAsia="en-US"/>
        </w:rPr>
        <w:t>However, the benefits of the Statement are unclear due to the timeframes in which the ACCC can provide the Statement of Approach.</w:t>
      </w:r>
    </w:p>
    <w:p w14:paraId="629D4EDD" w14:textId="023DACCF" w:rsidR="00FA1EE2" w:rsidRDefault="006B23BB" w:rsidP="00631564">
      <w:pPr>
        <w:rPr>
          <w:lang w:eastAsia="en-US"/>
        </w:rPr>
      </w:pPr>
      <w:r>
        <w:rPr>
          <w:lang w:eastAsia="en-US"/>
        </w:rPr>
        <w:t>T</w:t>
      </w:r>
      <w:r w:rsidR="00D05EA6">
        <w:rPr>
          <w:lang w:eastAsia="en-US"/>
        </w:rPr>
        <w:t xml:space="preserve">he </w:t>
      </w:r>
      <w:r w:rsidR="00AF7FCC">
        <w:rPr>
          <w:lang w:eastAsia="en-US"/>
        </w:rPr>
        <w:t>S</w:t>
      </w:r>
      <w:r w:rsidR="00D05EA6">
        <w:rPr>
          <w:lang w:eastAsia="en-US"/>
        </w:rPr>
        <w:t xml:space="preserve">tatement of </w:t>
      </w:r>
      <w:r w:rsidR="00AF7FCC">
        <w:rPr>
          <w:lang w:eastAsia="en-US"/>
        </w:rPr>
        <w:t>A</w:t>
      </w:r>
      <w:r w:rsidR="00D05EA6">
        <w:rPr>
          <w:lang w:eastAsia="en-US"/>
        </w:rPr>
        <w:t xml:space="preserve">pproach will have limited use </w:t>
      </w:r>
      <w:r w:rsidR="00247AC4">
        <w:rPr>
          <w:lang w:eastAsia="en-US"/>
        </w:rPr>
        <w:t>if</w:t>
      </w:r>
      <w:r w:rsidR="007D0688">
        <w:rPr>
          <w:lang w:eastAsia="en-US"/>
        </w:rPr>
        <w:t xml:space="preserve"> the ACCC provides </w:t>
      </w:r>
      <w:r w:rsidR="008764F4">
        <w:rPr>
          <w:lang w:eastAsia="en-US"/>
        </w:rPr>
        <w:t xml:space="preserve">NBN Co </w:t>
      </w:r>
      <w:r w:rsidR="00D05EA6">
        <w:rPr>
          <w:lang w:eastAsia="en-US"/>
        </w:rPr>
        <w:t xml:space="preserve">with </w:t>
      </w:r>
      <w:r w:rsidR="007D0688">
        <w:rPr>
          <w:lang w:eastAsia="en-US"/>
        </w:rPr>
        <w:t xml:space="preserve">the </w:t>
      </w:r>
      <w:r w:rsidR="00247AC4">
        <w:rPr>
          <w:lang w:eastAsia="en-US"/>
        </w:rPr>
        <w:t>S</w:t>
      </w:r>
      <w:r w:rsidR="007D0688">
        <w:rPr>
          <w:lang w:eastAsia="en-US"/>
        </w:rPr>
        <w:t xml:space="preserve">tatement within </w:t>
      </w:r>
      <w:r w:rsidR="00744504">
        <w:rPr>
          <w:lang w:eastAsia="en-US"/>
        </w:rPr>
        <w:t>too</w:t>
      </w:r>
      <w:r w:rsidR="007D0688">
        <w:rPr>
          <w:lang w:eastAsia="en-US"/>
        </w:rPr>
        <w:t xml:space="preserve"> short </w:t>
      </w:r>
      <w:r w:rsidR="00744504">
        <w:rPr>
          <w:lang w:eastAsia="en-US"/>
        </w:rPr>
        <w:t xml:space="preserve">a </w:t>
      </w:r>
      <w:r w:rsidR="007D0688">
        <w:rPr>
          <w:lang w:eastAsia="en-US"/>
        </w:rPr>
        <w:t xml:space="preserve">timeframe </w:t>
      </w:r>
      <w:r w:rsidR="00D05EA6">
        <w:rPr>
          <w:lang w:eastAsia="en-US"/>
        </w:rPr>
        <w:t xml:space="preserve">for </w:t>
      </w:r>
      <w:r w:rsidR="0060433F">
        <w:rPr>
          <w:lang w:eastAsia="en-US"/>
        </w:rPr>
        <w:t>NBN Co</w:t>
      </w:r>
      <w:r w:rsidR="00D05EA6">
        <w:rPr>
          <w:lang w:eastAsia="en-US"/>
        </w:rPr>
        <w:t xml:space="preserve"> to effectively consider and </w:t>
      </w:r>
      <w:r w:rsidR="00194562">
        <w:rPr>
          <w:lang w:eastAsia="en-US"/>
        </w:rPr>
        <w:t xml:space="preserve">respond to the </w:t>
      </w:r>
      <w:r w:rsidR="0060433F">
        <w:rPr>
          <w:lang w:eastAsia="en-US"/>
        </w:rPr>
        <w:t>S</w:t>
      </w:r>
      <w:r w:rsidR="00194562">
        <w:rPr>
          <w:lang w:eastAsia="en-US"/>
        </w:rPr>
        <w:t>tatement</w:t>
      </w:r>
      <w:r w:rsidR="005F41E3">
        <w:rPr>
          <w:lang w:eastAsia="en-US"/>
        </w:rPr>
        <w:t>.</w:t>
      </w:r>
      <w:r w:rsidR="00744504">
        <w:rPr>
          <w:lang w:eastAsia="en-US"/>
        </w:rPr>
        <w:t xml:space="preserve"> </w:t>
      </w:r>
      <w:r w:rsidR="004D4CDA">
        <w:rPr>
          <w:lang w:eastAsia="en-US"/>
        </w:rPr>
        <w:t xml:space="preserve">The SAU should require the ACCC to provide NBN Co with a Statement of Approach </w:t>
      </w:r>
      <w:r w:rsidR="00896C3B">
        <w:rPr>
          <w:lang w:eastAsia="en-US"/>
        </w:rPr>
        <w:t>at least 180 days prior to</w:t>
      </w:r>
      <w:r w:rsidR="004D4CDA">
        <w:rPr>
          <w:lang w:eastAsia="en-US"/>
        </w:rPr>
        <w:t xml:space="preserve"> NBN Co lodging its RMA, </w:t>
      </w:r>
      <w:r w:rsidR="00744504">
        <w:rPr>
          <w:lang w:eastAsia="en-US"/>
        </w:rPr>
        <w:t xml:space="preserve">to allow NBN </w:t>
      </w:r>
      <w:r w:rsidR="00492328">
        <w:rPr>
          <w:lang w:eastAsia="en-US"/>
        </w:rPr>
        <w:t xml:space="preserve">Co </w:t>
      </w:r>
      <w:r w:rsidR="00940155">
        <w:rPr>
          <w:lang w:eastAsia="en-US"/>
        </w:rPr>
        <w:t xml:space="preserve">sufficient time </w:t>
      </w:r>
      <w:r w:rsidR="00744504">
        <w:rPr>
          <w:lang w:eastAsia="en-US"/>
        </w:rPr>
        <w:t xml:space="preserve">to incorporate the feedback into their </w:t>
      </w:r>
      <w:r w:rsidR="00EA6E32">
        <w:rPr>
          <w:lang w:eastAsia="en-US"/>
        </w:rPr>
        <w:t>application</w:t>
      </w:r>
      <w:r w:rsidR="00744504">
        <w:rPr>
          <w:lang w:eastAsia="en-US"/>
        </w:rPr>
        <w:t xml:space="preserve">. </w:t>
      </w:r>
    </w:p>
    <w:p w14:paraId="106F6386" w14:textId="659795DE" w:rsidR="00F15D25" w:rsidRPr="00290330" w:rsidRDefault="005634DE" w:rsidP="001C50DE">
      <w:pPr>
        <w:pStyle w:val="Recommendation"/>
        <w:rPr>
          <w:rFonts w:asciiTheme="minorHAnsi" w:hAnsiTheme="minorHAnsi" w:cstheme="minorHAnsi"/>
        </w:rPr>
      </w:pPr>
      <w:r>
        <w:rPr>
          <w:rFonts w:asciiTheme="minorHAnsi" w:hAnsiTheme="minorHAnsi" w:cstheme="minorHAnsi"/>
        </w:rPr>
        <w:t>Clause A3.1.2</w:t>
      </w:r>
      <w:r w:rsidR="00E6107B">
        <w:rPr>
          <w:rFonts w:asciiTheme="minorHAnsi" w:hAnsiTheme="minorHAnsi" w:cstheme="minorHAnsi"/>
        </w:rPr>
        <w:t>,</w:t>
      </w:r>
      <w:r>
        <w:rPr>
          <w:rFonts w:asciiTheme="minorHAnsi" w:hAnsiTheme="minorHAnsi" w:cstheme="minorHAnsi"/>
        </w:rPr>
        <w:t xml:space="preserve"> which </w:t>
      </w:r>
      <w:r w:rsidR="00E6107B">
        <w:rPr>
          <w:rFonts w:asciiTheme="minorHAnsi" w:hAnsiTheme="minorHAnsi" w:cstheme="minorHAnsi"/>
        </w:rPr>
        <w:t>outlines</w:t>
      </w:r>
      <w:r w:rsidR="000D04F7">
        <w:rPr>
          <w:rFonts w:asciiTheme="minorHAnsi" w:hAnsiTheme="minorHAnsi" w:cstheme="minorHAnsi"/>
        </w:rPr>
        <w:t xml:space="preserve"> the process for the ACCC to provide NBN Co with a Statement of Approach</w:t>
      </w:r>
      <w:r w:rsidR="00E6107B">
        <w:rPr>
          <w:rFonts w:asciiTheme="minorHAnsi" w:hAnsiTheme="minorHAnsi" w:cstheme="minorHAnsi"/>
        </w:rPr>
        <w:t>,</w:t>
      </w:r>
      <w:r w:rsidR="000D04F7">
        <w:rPr>
          <w:rFonts w:asciiTheme="minorHAnsi" w:hAnsiTheme="minorHAnsi" w:cstheme="minorHAnsi"/>
        </w:rPr>
        <w:t xml:space="preserve"> should be amended </w:t>
      </w:r>
      <w:r w:rsidR="00E6107B">
        <w:rPr>
          <w:rFonts w:asciiTheme="minorHAnsi" w:hAnsiTheme="minorHAnsi" w:cstheme="minorHAnsi"/>
        </w:rPr>
        <w:t>so</w:t>
      </w:r>
      <w:r w:rsidR="000D04F7">
        <w:rPr>
          <w:rFonts w:asciiTheme="minorHAnsi" w:hAnsiTheme="minorHAnsi" w:cstheme="minorHAnsi"/>
        </w:rPr>
        <w:t xml:space="preserve"> that the ACCC is required to provide the Statement of Approach</w:t>
      </w:r>
      <w:r w:rsidR="004D4CDA">
        <w:rPr>
          <w:rFonts w:asciiTheme="minorHAnsi" w:hAnsiTheme="minorHAnsi" w:cstheme="minorHAnsi"/>
        </w:rPr>
        <w:t xml:space="preserve"> within a minimum of 180 days prior to NBN Co lodging their replacement module application. </w:t>
      </w:r>
    </w:p>
    <w:p w14:paraId="658DE3FB" w14:textId="7EEA56D8" w:rsidR="00104A4E" w:rsidRPr="00D954C3" w:rsidRDefault="00104A4E" w:rsidP="00492328">
      <w:pPr>
        <w:pStyle w:val="Heading1"/>
      </w:pPr>
      <w:bookmarkStart w:id="15" w:name="_Toc127353158"/>
      <w:bookmarkStart w:id="16" w:name="_Toc126914085"/>
      <w:r w:rsidRPr="00D954C3">
        <w:t xml:space="preserve">Pricing and </w:t>
      </w:r>
      <w:r w:rsidR="005544FC">
        <w:t>P</w:t>
      </w:r>
      <w:r w:rsidRPr="00B96EF6">
        <w:t xml:space="preserve">roduct </w:t>
      </w:r>
      <w:bookmarkEnd w:id="15"/>
      <w:bookmarkEnd w:id="16"/>
      <w:r w:rsidR="005544FC">
        <w:t>C</w:t>
      </w:r>
      <w:r w:rsidRPr="00B96EF6">
        <w:t>onstructs</w:t>
      </w:r>
      <w:r w:rsidR="00F50823" w:rsidRPr="00D954C3">
        <w:t xml:space="preserve"> </w:t>
      </w:r>
    </w:p>
    <w:p w14:paraId="679F3B65" w14:textId="0AA86EBE" w:rsidR="00A24BDC" w:rsidRPr="00AD2B68" w:rsidRDefault="00A24BDC" w:rsidP="008033BC">
      <w:pPr>
        <w:pStyle w:val="Heading2"/>
      </w:pPr>
      <w:r w:rsidRPr="00AD2B68">
        <w:rPr>
          <w:rStyle w:val="Hyperlink"/>
          <w:color w:val="auto"/>
          <w:u w:val="none"/>
        </w:rPr>
        <w:t xml:space="preserve">Pricing </w:t>
      </w:r>
      <w:r w:rsidR="00794385">
        <w:rPr>
          <w:rStyle w:val="Hyperlink"/>
          <w:color w:val="auto"/>
          <w:u w:val="none"/>
        </w:rPr>
        <w:t>C</w:t>
      </w:r>
      <w:r w:rsidRPr="00794385">
        <w:rPr>
          <w:rStyle w:val="Hyperlink"/>
          <w:color w:val="auto"/>
          <w:u w:val="none"/>
        </w:rPr>
        <w:t>onstruct</w:t>
      </w:r>
    </w:p>
    <w:p w14:paraId="136F08FB" w14:textId="5028F360" w:rsidR="000A7D60" w:rsidRDefault="00F04634" w:rsidP="00E3240B">
      <w:pPr>
        <w:rPr>
          <w:lang w:eastAsia="en-US"/>
        </w:rPr>
      </w:pPr>
      <w:r w:rsidRPr="00F04634">
        <w:rPr>
          <w:lang w:eastAsia="en-US"/>
        </w:rPr>
        <w:t>ACCA</w:t>
      </w:r>
      <w:r w:rsidRPr="00C82B4C">
        <w:rPr>
          <w:lang w:eastAsia="en-US"/>
        </w:rPr>
        <w:t xml:space="preserve">N </w:t>
      </w:r>
      <w:r w:rsidR="00C82B4C">
        <w:rPr>
          <w:lang w:eastAsia="en-US"/>
        </w:rPr>
        <w:t>supports NBN</w:t>
      </w:r>
      <w:r w:rsidR="00AF2106">
        <w:rPr>
          <w:lang w:eastAsia="en-US"/>
        </w:rPr>
        <w:t xml:space="preserve"> Co</w:t>
      </w:r>
      <w:r w:rsidR="00C82B4C">
        <w:rPr>
          <w:lang w:eastAsia="en-US"/>
        </w:rPr>
        <w:t xml:space="preserve">’s proposal </w:t>
      </w:r>
      <w:r w:rsidR="002865E4">
        <w:rPr>
          <w:lang w:eastAsia="en-US"/>
        </w:rPr>
        <w:t>to provide a flat monthly charge for residential grade 100 Mbps and higher offers, as well as the transition of the remaining lower bandwidth residential grade bundled offers of less than 100 Mbps to flat rate offers by 2026</w:t>
      </w:r>
      <w:r w:rsidR="00B30A3F">
        <w:rPr>
          <w:lang w:eastAsia="en-US"/>
        </w:rPr>
        <w:t xml:space="preserve">. </w:t>
      </w:r>
      <w:r w:rsidR="002A03F8">
        <w:rPr>
          <w:lang w:eastAsia="en-US"/>
        </w:rPr>
        <w:t xml:space="preserve">We support </w:t>
      </w:r>
      <w:r w:rsidR="00D75E68">
        <w:rPr>
          <w:lang w:eastAsia="en-US"/>
        </w:rPr>
        <w:t>charging</w:t>
      </w:r>
      <w:r w:rsidR="00C25638" w:rsidRPr="00C25638">
        <w:t xml:space="preserve"> </w:t>
      </w:r>
      <w:r w:rsidR="00C25638" w:rsidRPr="00C25638">
        <w:rPr>
          <w:lang w:eastAsia="en-US"/>
        </w:rPr>
        <w:t xml:space="preserve">Connectivity </w:t>
      </w:r>
      <w:r w:rsidR="00253A46">
        <w:rPr>
          <w:lang w:eastAsia="en-US"/>
        </w:rPr>
        <w:t>V</w:t>
      </w:r>
      <w:r w:rsidR="00C25638" w:rsidRPr="00C25638">
        <w:rPr>
          <w:lang w:eastAsia="en-US"/>
        </w:rPr>
        <w:t xml:space="preserve">irtual </w:t>
      </w:r>
      <w:r w:rsidR="00253A46">
        <w:rPr>
          <w:lang w:eastAsia="en-US"/>
        </w:rPr>
        <w:t>C</w:t>
      </w:r>
      <w:r w:rsidR="00C25638" w:rsidRPr="00C25638">
        <w:rPr>
          <w:lang w:eastAsia="en-US"/>
        </w:rPr>
        <w:t>ircuit</w:t>
      </w:r>
      <w:r w:rsidR="00D75E68">
        <w:rPr>
          <w:lang w:eastAsia="en-US"/>
        </w:rPr>
        <w:t xml:space="preserve"> </w:t>
      </w:r>
      <w:r w:rsidR="00C25638">
        <w:rPr>
          <w:lang w:eastAsia="en-US"/>
        </w:rPr>
        <w:t>(</w:t>
      </w:r>
      <w:r w:rsidR="00D75E68" w:rsidRPr="00E64554">
        <w:rPr>
          <w:b/>
          <w:bCs/>
          <w:lang w:eastAsia="en-US"/>
        </w:rPr>
        <w:t>CVC</w:t>
      </w:r>
      <w:r w:rsidR="00C25638">
        <w:rPr>
          <w:lang w:eastAsia="en-US"/>
        </w:rPr>
        <w:t>)</w:t>
      </w:r>
      <w:r w:rsidR="00D75E68">
        <w:rPr>
          <w:lang w:eastAsia="en-US"/>
        </w:rPr>
        <w:t xml:space="preserve"> overage for bundled offers </w:t>
      </w:r>
      <w:proofErr w:type="gramStart"/>
      <w:r w:rsidR="00D75E68">
        <w:rPr>
          <w:lang w:eastAsia="en-US"/>
        </w:rPr>
        <w:t>on the basis of</w:t>
      </w:r>
      <w:proofErr w:type="gramEnd"/>
      <w:r w:rsidR="00D75E68">
        <w:rPr>
          <w:lang w:eastAsia="en-US"/>
        </w:rPr>
        <w:t xml:space="preserve"> CVC capacity </w:t>
      </w:r>
      <w:r w:rsidR="000C06F5">
        <w:rPr>
          <w:lang w:eastAsia="en-US"/>
        </w:rPr>
        <w:t xml:space="preserve">utilised rather than provisioned. </w:t>
      </w:r>
      <w:r w:rsidR="00456326">
        <w:rPr>
          <w:lang w:eastAsia="en-US"/>
        </w:rPr>
        <w:t xml:space="preserve">These measures will work towards </w:t>
      </w:r>
      <w:r w:rsidR="00785658">
        <w:rPr>
          <w:lang w:eastAsia="en-US"/>
        </w:rPr>
        <w:t>improving</w:t>
      </w:r>
      <w:r w:rsidR="00456326">
        <w:rPr>
          <w:lang w:eastAsia="en-US"/>
        </w:rPr>
        <w:t xml:space="preserve"> price certainty</w:t>
      </w:r>
      <w:r w:rsidR="00AF0AA0">
        <w:rPr>
          <w:lang w:eastAsia="en-US"/>
        </w:rPr>
        <w:t>.</w:t>
      </w:r>
    </w:p>
    <w:p w14:paraId="5730A0B0" w14:textId="5C51348B" w:rsidR="00A24BDC" w:rsidRPr="00AD2B68" w:rsidRDefault="00A24BDC" w:rsidP="008033BC">
      <w:pPr>
        <w:pStyle w:val="Heading2"/>
      </w:pPr>
      <w:r w:rsidRPr="00AD2B68">
        <w:t xml:space="preserve">Pricing </w:t>
      </w:r>
      <w:r w:rsidR="00794385">
        <w:t>P</w:t>
      </w:r>
      <w:r w:rsidRPr="00C27A82">
        <w:t>roposals</w:t>
      </w:r>
    </w:p>
    <w:p w14:paraId="0100EBB8" w14:textId="27B152D3" w:rsidR="003E1F03" w:rsidRDefault="00BA23DF" w:rsidP="00E3240B">
      <w:pPr>
        <w:rPr>
          <w:lang w:eastAsia="en-US"/>
        </w:rPr>
      </w:pPr>
      <w:r>
        <w:rPr>
          <w:lang w:eastAsia="en-US"/>
        </w:rPr>
        <w:t>We support the pric</w:t>
      </w:r>
      <w:r w:rsidR="003263BD">
        <w:rPr>
          <w:lang w:eastAsia="en-US"/>
        </w:rPr>
        <w:t xml:space="preserve">ing proposals for the 100 Mbps, 25 Mbps and </w:t>
      </w:r>
      <w:r w:rsidR="00611870">
        <w:rPr>
          <w:lang w:eastAsia="en-US"/>
        </w:rPr>
        <w:t>what is essentially the voice-only offer, which sees price reductions. W</w:t>
      </w:r>
      <w:r w:rsidR="003E1F03">
        <w:rPr>
          <w:lang w:eastAsia="en-US"/>
        </w:rPr>
        <w:t xml:space="preserve">e do not support the proposed price increase of the </w:t>
      </w:r>
      <w:r w:rsidR="00E05141">
        <w:rPr>
          <w:lang w:eastAsia="en-US"/>
        </w:rPr>
        <w:t>b</w:t>
      </w:r>
      <w:r w:rsidR="003916F4">
        <w:rPr>
          <w:lang w:eastAsia="en-US"/>
        </w:rPr>
        <w:t xml:space="preserve">undled TC-4 Offer for the </w:t>
      </w:r>
      <w:r w:rsidR="003E1F03">
        <w:rPr>
          <w:lang w:eastAsia="en-US"/>
        </w:rPr>
        <w:t>50 Mbps service from $45 to $50</w:t>
      </w:r>
      <w:r w:rsidR="004136D4">
        <w:rPr>
          <w:lang w:eastAsia="en-US"/>
        </w:rPr>
        <w:t xml:space="preserve">. </w:t>
      </w:r>
      <w:r w:rsidR="00A24BDC">
        <w:rPr>
          <w:lang w:eastAsia="en-US"/>
        </w:rPr>
        <w:t xml:space="preserve">Consumers will be frustrated by price increases </w:t>
      </w:r>
      <w:r w:rsidR="00094F28">
        <w:rPr>
          <w:lang w:eastAsia="en-US"/>
        </w:rPr>
        <w:t xml:space="preserve">not </w:t>
      </w:r>
      <w:r w:rsidR="00A24BDC">
        <w:rPr>
          <w:lang w:eastAsia="en-US"/>
        </w:rPr>
        <w:t xml:space="preserve">accompanied by any </w:t>
      </w:r>
      <w:r w:rsidR="00D73A71">
        <w:rPr>
          <w:lang w:eastAsia="en-US"/>
        </w:rPr>
        <w:t>material</w:t>
      </w:r>
      <w:r w:rsidR="00A24BDC">
        <w:rPr>
          <w:lang w:eastAsia="en-US"/>
        </w:rPr>
        <w:t xml:space="preserve"> improvements to service quality. </w:t>
      </w:r>
    </w:p>
    <w:p w14:paraId="40AEF9CD" w14:textId="74DE07FC" w:rsidR="00290330" w:rsidRPr="00290330" w:rsidRDefault="00290330" w:rsidP="00E3240B">
      <w:pPr>
        <w:rPr>
          <w:rFonts w:cstheme="minorHAnsi"/>
          <w:lang w:eastAsia="en-US"/>
        </w:rPr>
      </w:pPr>
      <w:r w:rsidRPr="00C27A82">
        <w:rPr>
          <w:rFonts w:cstheme="minorHAnsi"/>
        </w:rPr>
        <w:t>The proposed increase in price of the 50 Mbps service will have the effect of raising the cost of services for over 4 million households</w:t>
      </w:r>
      <w:r w:rsidR="00FC78DC">
        <w:rPr>
          <w:rFonts w:cstheme="minorHAnsi"/>
        </w:rPr>
        <w:t>. ACCAN estimates that the increased cost</w:t>
      </w:r>
      <w:r w:rsidR="00F55D39">
        <w:rPr>
          <w:rFonts w:cstheme="minorHAnsi"/>
        </w:rPr>
        <w:t xml:space="preserve"> will equate to</w:t>
      </w:r>
      <w:r w:rsidRPr="00C27A82">
        <w:rPr>
          <w:rFonts w:cstheme="minorHAnsi"/>
        </w:rPr>
        <w:t xml:space="preserve"> an additional $200 million per annum to households purchasing this service speed. Whilst NBN Co has proposed price decreases on some less popular services, we note that </w:t>
      </w:r>
      <w:proofErr w:type="gramStart"/>
      <w:r w:rsidRPr="00C27A82">
        <w:rPr>
          <w:rFonts w:cstheme="minorHAnsi"/>
        </w:rPr>
        <w:t>overall</w:t>
      </w:r>
      <w:proofErr w:type="gramEnd"/>
      <w:r w:rsidRPr="00C27A82">
        <w:rPr>
          <w:rFonts w:cstheme="minorHAnsi"/>
        </w:rPr>
        <w:t xml:space="preserve"> these changes are expected to increase </w:t>
      </w:r>
      <w:r w:rsidR="00A7356C">
        <w:rPr>
          <w:rFonts w:cstheme="minorHAnsi"/>
        </w:rPr>
        <w:t xml:space="preserve">the </w:t>
      </w:r>
      <w:r w:rsidRPr="00C27A82">
        <w:rPr>
          <w:rFonts w:cstheme="minorHAnsi"/>
        </w:rPr>
        <w:t>average revenues per user that NBN Co earns, with minimal uplift to service quality.</w:t>
      </w:r>
    </w:p>
    <w:p w14:paraId="330E4EE7" w14:textId="18EF9C54" w:rsidR="00290F03" w:rsidRPr="00D954C3" w:rsidRDefault="00290F03" w:rsidP="00290F03">
      <w:pPr>
        <w:rPr>
          <w:rStyle w:val="cf01"/>
          <w:rFonts w:asciiTheme="minorHAnsi" w:hAnsiTheme="minorHAnsi" w:cstheme="minorHAnsi"/>
          <w:sz w:val="22"/>
          <w:szCs w:val="22"/>
        </w:rPr>
      </w:pPr>
      <w:r w:rsidRPr="00D954C3">
        <w:rPr>
          <w:rStyle w:val="cf01"/>
          <w:rFonts w:asciiTheme="minorHAnsi" w:hAnsiTheme="minorHAnsi" w:cstheme="minorHAnsi"/>
          <w:sz w:val="22"/>
          <w:szCs w:val="22"/>
        </w:rPr>
        <w:t xml:space="preserve">NBN </w:t>
      </w:r>
      <w:r w:rsidR="00A7356C">
        <w:rPr>
          <w:rStyle w:val="cf01"/>
          <w:rFonts w:asciiTheme="minorHAnsi" w:hAnsiTheme="minorHAnsi" w:cstheme="minorHAnsi"/>
          <w:sz w:val="22"/>
          <w:szCs w:val="22"/>
        </w:rPr>
        <w:t xml:space="preserve">Co should be </w:t>
      </w:r>
      <w:r w:rsidRPr="00D954C3">
        <w:rPr>
          <w:rStyle w:val="cf01"/>
          <w:rFonts w:asciiTheme="minorHAnsi" w:hAnsiTheme="minorHAnsi" w:cstheme="minorHAnsi"/>
          <w:sz w:val="22"/>
          <w:szCs w:val="22"/>
        </w:rPr>
        <w:t>encouraging consumers to take up higher speed tiers through lowering the price of the</w:t>
      </w:r>
      <w:r w:rsidR="00482E06" w:rsidRPr="00D954C3">
        <w:rPr>
          <w:rStyle w:val="cf01"/>
          <w:rFonts w:asciiTheme="minorHAnsi" w:hAnsiTheme="minorHAnsi" w:cstheme="minorHAnsi"/>
          <w:sz w:val="22"/>
          <w:szCs w:val="22"/>
        </w:rPr>
        <w:t xml:space="preserve"> </w:t>
      </w:r>
      <w:r w:rsidR="00A7356C">
        <w:rPr>
          <w:rStyle w:val="cf01"/>
          <w:rFonts w:asciiTheme="minorHAnsi" w:hAnsiTheme="minorHAnsi" w:cstheme="minorHAnsi"/>
          <w:sz w:val="22"/>
          <w:szCs w:val="22"/>
        </w:rPr>
        <w:t>services</w:t>
      </w:r>
      <w:r w:rsidRPr="00D954C3">
        <w:rPr>
          <w:rStyle w:val="cf01"/>
          <w:rFonts w:asciiTheme="minorHAnsi" w:hAnsiTheme="minorHAnsi" w:cstheme="minorHAnsi"/>
          <w:sz w:val="22"/>
          <w:szCs w:val="22"/>
        </w:rPr>
        <w:t xml:space="preserve">, </w:t>
      </w:r>
      <w:r w:rsidR="00482E06" w:rsidRPr="00D954C3">
        <w:rPr>
          <w:rStyle w:val="cf01"/>
          <w:rFonts w:asciiTheme="minorHAnsi" w:hAnsiTheme="minorHAnsi" w:cstheme="minorHAnsi"/>
          <w:sz w:val="22"/>
          <w:szCs w:val="22"/>
        </w:rPr>
        <w:t>rather than</w:t>
      </w:r>
      <w:r w:rsidRPr="00D954C3">
        <w:rPr>
          <w:rStyle w:val="cf01"/>
          <w:rFonts w:asciiTheme="minorHAnsi" w:hAnsiTheme="minorHAnsi" w:cstheme="minorHAnsi"/>
          <w:sz w:val="22"/>
          <w:szCs w:val="22"/>
        </w:rPr>
        <w:t xml:space="preserve"> increasing the price of lower speed tier</w:t>
      </w:r>
      <w:r w:rsidR="006A05C8" w:rsidRPr="00D954C3">
        <w:rPr>
          <w:rStyle w:val="cf01"/>
          <w:rFonts w:asciiTheme="minorHAnsi" w:hAnsiTheme="minorHAnsi" w:cstheme="minorHAnsi"/>
          <w:sz w:val="22"/>
          <w:szCs w:val="22"/>
        </w:rPr>
        <w:t>s</w:t>
      </w:r>
      <w:r w:rsidRPr="00D954C3">
        <w:rPr>
          <w:rStyle w:val="cf01"/>
          <w:rFonts w:asciiTheme="minorHAnsi" w:hAnsiTheme="minorHAnsi" w:cstheme="minorHAnsi"/>
          <w:sz w:val="22"/>
          <w:szCs w:val="22"/>
        </w:rPr>
        <w:t>. There needs to be appropriate price differentials between speed tiers to offer consumers genuine choice of speed.</w:t>
      </w:r>
      <w:r w:rsidR="00FA245C" w:rsidRPr="00D954C3">
        <w:rPr>
          <w:rStyle w:val="cf01"/>
          <w:rFonts w:asciiTheme="minorHAnsi" w:hAnsiTheme="minorHAnsi" w:cstheme="minorHAnsi"/>
          <w:sz w:val="22"/>
          <w:szCs w:val="22"/>
        </w:rPr>
        <w:t xml:space="preserve"> </w:t>
      </w:r>
      <w:r w:rsidR="00482E06" w:rsidRPr="00D954C3">
        <w:rPr>
          <w:rStyle w:val="cf01"/>
          <w:rFonts w:asciiTheme="minorHAnsi" w:hAnsiTheme="minorHAnsi" w:cstheme="minorHAnsi"/>
          <w:sz w:val="22"/>
          <w:szCs w:val="22"/>
        </w:rPr>
        <w:t>Furthermore, c</w:t>
      </w:r>
      <w:r w:rsidR="00793627" w:rsidRPr="00D954C3">
        <w:rPr>
          <w:rStyle w:val="cf01"/>
          <w:rFonts w:asciiTheme="minorHAnsi" w:hAnsiTheme="minorHAnsi" w:cstheme="minorHAnsi"/>
          <w:sz w:val="22"/>
          <w:szCs w:val="22"/>
        </w:rPr>
        <w:t xml:space="preserve">onverging the price of the 50 Mbps service and the 100 Mbps service is </w:t>
      </w:r>
      <w:r w:rsidR="00E92236">
        <w:rPr>
          <w:rStyle w:val="cf01"/>
          <w:rFonts w:asciiTheme="minorHAnsi" w:hAnsiTheme="minorHAnsi" w:cstheme="minorHAnsi"/>
          <w:sz w:val="22"/>
          <w:szCs w:val="22"/>
        </w:rPr>
        <w:t>i</w:t>
      </w:r>
      <w:r w:rsidR="00793627" w:rsidRPr="00D954C3">
        <w:rPr>
          <w:rStyle w:val="cf01"/>
          <w:rFonts w:asciiTheme="minorHAnsi" w:hAnsiTheme="minorHAnsi" w:cstheme="minorHAnsi"/>
          <w:sz w:val="22"/>
          <w:szCs w:val="22"/>
        </w:rPr>
        <w:t xml:space="preserve">nequitable </w:t>
      </w:r>
      <w:r w:rsidR="00FC3A09">
        <w:rPr>
          <w:rStyle w:val="cf01"/>
          <w:rFonts w:asciiTheme="minorHAnsi" w:hAnsiTheme="minorHAnsi" w:cstheme="minorHAnsi"/>
          <w:sz w:val="22"/>
          <w:szCs w:val="22"/>
        </w:rPr>
        <w:t>for</w:t>
      </w:r>
      <w:r w:rsidR="00793627" w:rsidRPr="00D954C3">
        <w:rPr>
          <w:rStyle w:val="cf01"/>
          <w:rFonts w:asciiTheme="minorHAnsi" w:hAnsiTheme="minorHAnsi" w:cstheme="minorHAnsi"/>
          <w:sz w:val="22"/>
          <w:szCs w:val="22"/>
        </w:rPr>
        <w:t xml:space="preserve"> consumers who are </w:t>
      </w:r>
      <w:r w:rsidR="00C3095B" w:rsidRPr="00D954C3">
        <w:rPr>
          <w:rStyle w:val="cf01"/>
          <w:rFonts w:asciiTheme="minorHAnsi" w:hAnsiTheme="minorHAnsi" w:cstheme="minorHAnsi"/>
          <w:sz w:val="22"/>
          <w:szCs w:val="22"/>
        </w:rPr>
        <w:t xml:space="preserve">currently </w:t>
      </w:r>
      <w:r w:rsidR="00793627" w:rsidRPr="00D954C3">
        <w:rPr>
          <w:rStyle w:val="cf01"/>
          <w:rFonts w:asciiTheme="minorHAnsi" w:hAnsiTheme="minorHAnsi" w:cstheme="minorHAnsi"/>
          <w:sz w:val="22"/>
          <w:szCs w:val="22"/>
        </w:rPr>
        <w:t xml:space="preserve">unable to receive 100 Mbps service because of issues with their access technology. </w:t>
      </w:r>
      <w:r w:rsidR="00D97D1D" w:rsidRPr="00D954C3">
        <w:rPr>
          <w:rStyle w:val="cf01"/>
          <w:rFonts w:asciiTheme="minorHAnsi" w:hAnsiTheme="minorHAnsi" w:cstheme="minorHAnsi"/>
          <w:sz w:val="22"/>
          <w:szCs w:val="22"/>
        </w:rPr>
        <w:t xml:space="preserve"> </w:t>
      </w:r>
    </w:p>
    <w:p w14:paraId="26387088" w14:textId="05BB8B3B" w:rsidR="000D3E33" w:rsidRPr="00D954C3" w:rsidRDefault="000D3E33" w:rsidP="000D3E33">
      <w:pPr>
        <w:pStyle w:val="Recommendation"/>
        <w:rPr>
          <w:rStyle w:val="cf01"/>
          <w:rFonts w:asciiTheme="minorHAnsi" w:hAnsiTheme="minorHAnsi" w:cstheme="minorHAnsi"/>
          <w:sz w:val="22"/>
          <w:szCs w:val="22"/>
        </w:rPr>
      </w:pPr>
      <w:r w:rsidRPr="00D954C3">
        <w:rPr>
          <w:rStyle w:val="cf01"/>
          <w:rFonts w:asciiTheme="minorHAnsi" w:hAnsiTheme="minorHAnsi" w:cstheme="minorHAnsi"/>
          <w:sz w:val="22"/>
          <w:szCs w:val="22"/>
        </w:rPr>
        <w:t xml:space="preserve">The </w:t>
      </w:r>
      <w:r w:rsidR="007F41D9" w:rsidRPr="00D954C3">
        <w:rPr>
          <w:rStyle w:val="cf01"/>
          <w:rFonts w:asciiTheme="minorHAnsi" w:hAnsiTheme="minorHAnsi" w:cstheme="minorHAnsi"/>
          <w:sz w:val="22"/>
          <w:szCs w:val="22"/>
        </w:rPr>
        <w:t>monthly recurring charge for</w:t>
      </w:r>
      <w:r w:rsidRPr="00D954C3">
        <w:rPr>
          <w:rStyle w:val="cf01"/>
          <w:rFonts w:asciiTheme="minorHAnsi" w:hAnsiTheme="minorHAnsi" w:cstheme="minorHAnsi"/>
          <w:sz w:val="22"/>
          <w:szCs w:val="22"/>
        </w:rPr>
        <w:t xml:space="preserve"> the </w:t>
      </w:r>
      <w:r w:rsidR="00A160CD" w:rsidRPr="00D954C3">
        <w:rPr>
          <w:rStyle w:val="cf01"/>
          <w:rFonts w:asciiTheme="minorHAnsi" w:hAnsiTheme="minorHAnsi" w:cstheme="minorHAnsi"/>
          <w:sz w:val="22"/>
          <w:szCs w:val="22"/>
        </w:rPr>
        <w:t>Bundled TC-4 Offer</w:t>
      </w:r>
      <w:r w:rsidR="007F41D9" w:rsidRPr="00D954C3">
        <w:rPr>
          <w:rStyle w:val="cf01"/>
          <w:rFonts w:asciiTheme="minorHAnsi" w:hAnsiTheme="minorHAnsi" w:cstheme="minorHAnsi"/>
          <w:sz w:val="22"/>
          <w:szCs w:val="22"/>
        </w:rPr>
        <w:t>s for 25-50/5-20 Mbps and 50/20</w:t>
      </w:r>
      <w:r w:rsidRPr="00D954C3">
        <w:rPr>
          <w:rStyle w:val="cf01"/>
          <w:rFonts w:asciiTheme="minorHAnsi" w:hAnsiTheme="minorHAnsi" w:cstheme="minorHAnsi"/>
          <w:sz w:val="22"/>
          <w:szCs w:val="22"/>
        </w:rPr>
        <w:t xml:space="preserve"> Mbps</w:t>
      </w:r>
      <w:r w:rsidR="008203C7" w:rsidRPr="00D954C3">
        <w:rPr>
          <w:rStyle w:val="cf01"/>
          <w:rFonts w:asciiTheme="minorHAnsi" w:hAnsiTheme="minorHAnsi" w:cstheme="minorHAnsi"/>
          <w:sz w:val="22"/>
          <w:szCs w:val="22"/>
        </w:rPr>
        <w:t xml:space="preserve"> listed in Attachment E</w:t>
      </w:r>
      <w:r w:rsidRPr="00D954C3">
        <w:rPr>
          <w:rStyle w:val="cf01"/>
          <w:rFonts w:asciiTheme="minorHAnsi" w:hAnsiTheme="minorHAnsi" w:cstheme="minorHAnsi"/>
          <w:sz w:val="22"/>
          <w:szCs w:val="22"/>
        </w:rPr>
        <w:t xml:space="preserve"> </w:t>
      </w:r>
      <w:r w:rsidR="007F41D9" w:rsidRPr="00D954C3">
        <w:rPr>
          <w:rStyle w:val="cf01"/>
          <w:rFonts w:asciiTheme="minorHAnsi" w:hAnsiTheme="minorHAnsi" w:cstheme="minorHAnsi"/>
          <w:sz w:val="22"/>
          <w:szCs w:val="22"/>
        </w:rPr>
        <w:t xml:space="preserve">should </w:t>
      </w:r>
      <w:r w:rsidRPr="00D954C3">
        <w:rPr>
          <w:rStyle w:val="cf01"/>
          <w:rFonts w:asciiTheme="minorHAnsi" w:hAnsiTheme="minorHAnsi" w:cstheme="minorHAnsi"/>
          <w:sz w:val="22"/>
          <w:szCs w:val="22"/>
        </w:rPr>
        <w:t>remain</w:t>
      </w:r>
      <w:r w:rsidR="00C44816" w:rsidRPr="00D954C3">
        <w:rPr>
          <w:rStyle w:val="cf01"/>
          <w:rFonts w:asciiTheme="minorHAnsi" w:hAnsiTheme="minorHAnsi" w:cstheme="minorHAnsi"/>
          <w:sz w:val="22"/>
          <w:szCs w:val="22"/>
        </w:rPr>
        <w:t xml:space="preserve"> </w:t>
      </w:r>
      <w:r w:rsidR="00BA2657" w:rsidRPr="00D954C3">
        <w:rPr>
          <w:rStyle w:val="cf01"/>
          <w:rFonts w:asciiTheme="minorHAnsi" w:hAnsiTheme="minorHAnsi" w:cstheme="minorHAnsi"/>
          <w:sz w:val="22"/>
          <w:szCs w:val="22"/>
        </w:rPr>
        <w:t>at $45</w:t>
      </w:r>
      <w:r w:rsidR="008203C7" w:rsidRPr="00D954C3">
        <w:rPr>
          <w:rStyle w:val="cf01"/>
          <w:rFonts w:asciiTheme="minorHAnsi" w:hAnsiTheme="minorHAnsi" w:cstheme="minorHAnsi"/>
          <w:sz w:val="22"/>
          <w:szCs w:val="22"/>
        </w:rPr>
        <w:t>.00</w:t>
      </w:r>
      <w:r w:rsidR="00DA3D62" w:rsidRPr="00D954C3">
        <w:rPr>
          <w:rStyle w:val="cf01"/>
          <w:rFonts w:asciiTheme="minorHAnsi" w:hAnsiTheme="minorHAnsi" w:cstheme="minorHAnsi"/>
          <w:sz w:val="22"/>
          <w:szCs w:val="22"/>
        </w:rPr>
        <w:t xml:space="preserve"> at the beginning of Module 4.</w:t>
      </w:r>
    </w:p>
    <w:p w14:paraId="1E177A85" w14:textId="6268C63F" w:rsidR="002D42AD" w:rsidRPr="00865972" w:rsidRDefault="002D42AD" w:rsidP="0099239F">
      <w:pPr>
        <w:pStyle w:val="Heading3"/>
        <w:rPr>
          <w:rStyle w:val="cf01"/>
          <w:rFonts w:ascii="Calibri" w:hAnsi="Calibri"/>
          <w:sz w:val="24"/>
        </w:rPr>
      </w:pPr>
      <w:r w:rsidRPr="00865972">
        <w:rPr>
          <w:rStyle w:val="cf01"/>
          <w:rFonts w:ascii="Calibri" w:hAnsi="Calibri"/>
          <w:sz w:val="24"/>
        </w:rPr>
        <w:t>Managing individual AVCs</w:t>
      </w:r>
    </w:p>
    <w:p w14:paraId="02FC20C0" w14:textId="1374B6E0" w:rsidR="007962F4" w:rsidRPr="002D42AD" w:rsidRDefault="002D42AD" w:rsidP="002D42AD">
      <w:pPr>
        <w:rPr>
          <w:lang w:eastAsia="en-US"/>
        </w:rPr>
      </w:pPr>
      <w:r>
        <w:rPr>
          <w:lang w:eastAsia="en-US"/>
        </w:rPr>
        <w:t xml:space="preserve">The ACCC’s consultation paper questions whether it is feasible for </w:t>
      </w:r>
      <w:r w:rsidR="00C3237B">
        <w:rPr>
          <w:lang w:eastAsia="en-US"/>
        </w:rPr>
        <w:t>retail service providers (</w:t>
      </w:r>
      <w:r w:rsidRPr="00865972">
        <w:rPr>
          <w:b/>
        </w:rPr>
        <w:t>RSPs</w:t>
      </w:r>
      <w:r w:rsidR="00C3237B">
        <w:rPr>
          <w:lang w:eastAsia="en-US"/>
        </w:rPr>
        <w:t>)</w:t>
      </w:r>
      <w:r>
        <w:rPr>
          <w:lang w:eastAsia="en-US"/>
        </w:rPr>
        <w:t xml:space="preserve"> to individually manage </w:t>
      </w:r>
      <w:r w:rsidR="002016D0" w:rsidRPr="002016D0">
        <w:rPr>
          <w:lang w:eastAsia="en-US"/>
        </w:rPr>
        <w:t xml:space="preserve">Access </w:t>
      </w:r>
      <w:r w:rsidR="00CF3C5D">
        <w:rPr>
          <w:lang w:eastAsia="en-US"/>
        </w:rPr>
        <w:t>V</w:t>
      </w:r>
      <w:r w:rsidR="002016D0" w:rsidRPr="002016D0">
        <w:rPr>
          <w:lang w:eastAsia="en-US"/>
        </w:rPr>
        <w:t xml:space="preserve">irtual </w:t>
      </w:r>
      <w:r w:rsidR="00CF3C5D">
        <w:rPr>
          <w:lang w:eastAsia="en-US"/>
        </w:rPr>
        <w:t>C</w:t>
      </w:r>
      <w:r w:rsidR="002016D0" w:rsidRPr="002016D0">
        <w:rPr>
          <w:lang w:eastAsia="en-US"/>
        </w:rPr>
        <w:t>ircuit</w:t>
      </w:r>
      <w:r w:rsidR="002016D0">
        <w:rPr>
          <w:lang w:eastAsia="en-US"/>
        </w:rPr>
        <w:t>s (</w:t>
      </w:r>
      <w:r w:rsidRPr="00E64554">
        <w:rPr>
          <w:b/>
          <w:bCs/>
          <w:lang w:eastAsia="en-US"/>
        </w:rPr>
        <w:t>AVC</w:t>
      </w:r>
      <w:r w:rsidR="002016D0">
        <w:rPr>
          <w:lang w:eastAsia="en-US"/>
        </w:rPr>
        <w:t>)</w:t>
      </w:r>
      <w:r>
        <w:rPr>
          <w:lang w:eastAsia="en-US"/>
        </w:rPr>
        <w:t xml:space="preserve"> </w:t>
      </w:r>
      <w:r w:rsidR="00971B38">
        <w:rPr>
          <w:lang w:eastAsia="en-US"/>
        </w:rPr>
        <w:t>to</w:t>
      </w:r>
      <w:r>
        <w:rPr>
          <w:lang w:eastAsia="en-US"/>
        </w:rPr>
        <w:t xml:space="preserve"> encourage consumers to move to higher speed tiers </w:t>
      </w:r>
      <w:proofErr w:type="gramStart"/>
      <w:r>
        <w:rPr>
          <w:lang w:eastAsia="en-US"/>
        </w:rPr>
        <w:t>in order to</w:t>
      </w:r>
      <w:proofErr w:type="gramEnd"/>
      <w:r>
        <w:rPr>
          <w:lang w:eastAsia="en-US"/>
        </w:rPr>
        <w:t xml:space="preserve"> achieve cost savings.</w:t>
      </w:r>
      <w:r w:rsidR="00BB4739">
        <w:rPr>
          <w:lang w:eastAsia="en-US"/>
        </w:rPr>
        <w:t xml:space="preserve"> Whilst we are not </w:t>
      </w:r>
      <w:proofErr w:type="gramStart"/>
      <w:r w:rsidR="00BB4739">
        <w:rPr>
          <w:lang w:eastAsia="en-US"/>
        </w:rPr>
        <w:t>in a position</w:t>
      </w:r>
      <w:proofErr w:type="gramEnd"/>
      <w:r w:rsidR="00BB4739">
        <w:rPr>
          <w:lang w:eastAsia="en-US"/>
        </w:rPr>
        <w:t xml:space="preserve"> to comment on the technical ability of retailers in managing </w:t>
      </w:r>
      <w:r w:rsidR="00E6277A">
        <w:rPr>
          <w:lang w:eastAsia="en-US"/>
        </w:rPr>
        <w:t>consumers onto higher speed tiers,</w:t>
      </w:r>
      <w:r>
        <w:rPr>
          <w:lang w:eastAsia="en-US"/>
        </w:rPr>
        <w:t xml:space="preserve"> ACCAN encourages the ACCC to consider the competitive implications this could have. For example, smaller RSPs may not be able to</w:t>
      </w:r>
      <w:r w:rsidR="00B9382B">
        <w:rPr>
          <w:lang w:eastAsia="en-US"/>
        </w:rPr>
        <w:t xml:space="preserve"> manage </w:t>
      </w:r>
      <w:r w:rsidR="003617BA">
        <w:rPr>
          <w:lang w:eastAsia="en-US"/>
        </w:rPr>
        <w:t xml:space="preserve">this function </w:t>
      </w:r>
      <w:r w:rsidR="00EB59CC">
        <w:rPr>
          <w:lang w:eastAsia="en-US"/>
        </w:rPr>
        <w:t>as well as larger RSPs, giving them a</w:t>
      </w:r>
      <w:r w:rsidR="00151665">
        <w:rPr>
          <w:lang w:eastAsia="en-US"/>
        </w:rPr>
        <w:t xml:space="preserve"> competitive</w:t>
      </w:r>
      <w:r w:rsidR="00971B38">
        <w:rPr>
          <w:lang w:eastAsia="en-US"/>
        </w:rPr>
        <w:t xml:space="preserve"> dis</w:t>
      </w:r>
      <w:r w:rsidR="00EB59CC">
        <w:rPr>
          <w:lang w:eastAsia="en-US"/>
        </w:rPr>
        <w:t xml:space="preserve">advantage. Additionally, consideration should be had to the responsiveness of which RSPs could </w:t>
      </w:r>
      <w:r w:rsidR="00D13852">
        <w:rPr>
          <w:lang w:eastAsia="en-US"/>
        </w:rPr>
        <w:t>manage individual AVCs which would have a direct impact on consumers.</w:t>
      </w:r>
    </w:p>
    <w:p w14:paraId="036634AE" w14:textId="4DD405A8" w:rsidR="00A24BDC" w:rsidRPr="002A08F7" w:rsidRDefault="007C7B5D" w:rsidP="00FF65D7">
      <w:pPr>
        <w:pStyle w:val="Heading3"/>
      </w:pPr>
      <w:r w:rsidRPr="002A08F7">
        <w:t>Low-income</w:t>
      </w:r>
      <w:r w:rsidR="00A24BDC" w:rsidRPr="002A08F7">
        <w:t xml:space="preserve"> forum</w:t>
      </w:r>
    </w:p>
    <w:p w14:paraId="3A6133CF" w14:textId="3B4D0162" w:rsidR="001D3295" w:rsidRPr="001D3295" w:rsidRDefault="001D3295" w:rsidP="001D3295">
      <w:pPr>
        <w:rPr>
          <w:lang w:eastAsia="en-US"/>
        </w:rPr>
      </w:pPr>
      <w:r>
        <w:rPr>
          <w:lang w:eastAsia="en-US"/>
        </w:rPr>
        <w:t xml:space="preserve">ACCAN supports the NBN’s proposal to maintain the </w:t>
      </w:r>
      <w:r w:rsidR="007C7B5D">
        <w:rPr>
          <w:lang w:eastAsia="en-US"/>
        </w:rPr>
        <w:t>low-income</w:t>
      </w:r>
      <w:r>
        <w:rPr>
          <w:lang w:eastAsia="en-US"/>
        </w:rPr>
        <w:t xml:space="preserve"> forum </w:t>
      </w:r>
      <w:r w:rsidR="004651D2">
        <w:rPr>
          <w:lang w:eastAsia="en-US"/>
        </w:rPr>
        <w:t xml:space="preserve">until 2032 </w:t>
      </w:r>
      <w:r w:rsidR="002E2A8E">
        <w:rPr>
          <w:lang w:eastAsia="en-US"/>
        </w:rPr>
        <w:t xml:space="preserve">rather than the previously proposed </w:t>
      </w:r>
      <w:r w:rsidR="000C0C76">
        <w:rPr>
          <w:lang w:eastAsia="en-US"/>
        </w:rPr>
        <w:t>timeframe of 2 years.</w:t>
      </w:r>
      <w:r w:rsidR="0050496A" w:rsidRPr="0050496A">
        <w:rPr>
          <w:lang w:eastAsia="en-US"/>
        </w:rPr>
        <w:t xml:space="preserve"> </w:t>
      </w:r>
      <w:r w:rsidR="0050496A">
        <w:rPr>
          <w:lang w:eastAsia="en-US"/>
        </w:rPr>
        <w:t xml:space="preserve">A suitably empowered low-income forum has the potential to drive positive outcomes in the public interest and </w:t>
      </w:r>
      <w:r w:rsidR="00663A9D">
        <w:rPr>
          <w:lang w:eastAsia="en-US"/>
        </w:rPr>
        <w:t xml:space="preserve">is </w:t>
      </w:r>
      <w:r w:rsidR="0050496A">
        <w:rPr>
          <w:lang w:eastAsia="en-US"/>
        </w:rPr>
        <w:t xml:space="preserve">consistent with the </w:t>
      </w:r>
      <w:r w:rsidR="003665D3">
        <w:rPr>
          <w:lang w:eastAsia="en-US"/>
        </w:rPr>
        <w:t>LTIE</w:t>
      </w:r>
      <w:r w:rsidR="0050496A">
        <w:rPr>
          <w:lang w:eastAsia="en-US"/>
        </w:rPr>
        <w:t xml:space="preserve">. Appropriately pricing NBN services </w:t>
      </w:r>
      <w:r w:rsidR="006B0BC5">
        <w:rPr>
          <w:lang w:eastAsia="en-US"/>
        </w:rPr>
        <w:t>will</w:t>
      </w:r>
      <w:r w:rsidR="0050496A">
        <w:rPr>
          <w:lang w:eastAsia="en-US"/>
        </w:rPr>
        <w:t xml:space="preserve"> drive uptake of NBN services and utilisation of the network.</w:t>
      </w:r>
    </w:p>
    <w:p w14:paraId="77A663E3" w14:textId="77777777" w:rsidR="00E05141" w:rsidRDefault="006A5197" w:rsidP="00102B1E">
      <w:pPr>
        <w:rPr>
          <w:lang w:eastAsia="en-US"/>
        </w:rPr>
      </w:pPr>
      <w:r>
        <w:rPr>
          <w:lang w:eastAsia="en-US"/>
        </w:rPr>
        <w:t xml:space="preserve">ACCAN agrees with the ACCC that the effectiveness of the </w:t>
      </w:r>
      <w:r w:rsidR="00043831">
        <w:rPr>
          <w:lang w:eastAsia="en-US"/>
        </w:rPr>
        <w:t>low-income</w:t>
      </w:r>
      <w:r>
        <w:rPr>
          <w:lang w:eastAsia="en-US"/>
        </w:rPr>
        <w:t xml:space="preserve"> forums could depend on</w:t>
      </w:r>
      <w:r w:rsidR="00761E5C">
        <w:rPr>
          <w:lang w:eastAsia="en-US"/>
        </w:rPr>
        <w:t xml:space="preserve"> a high level of engagement </w:t>
      </w:r>
      <w:r w:rsidR="00721465">
        <w:rPr>
          <w:lang w:eastAsia="en-US"/>
        </w:rPr>
        <w:t xml:space="preserve">from low-income </w:t>
      </w:r>
      <w:r w:rsidR="00FE7ED6">
        <w:rPr>
          <w:lang w:eastAsia="en-US"/>
        </w:rPr>
        <w:t xml:space="preserve">representatives </w:t>
      </w:r>
      <w:r w:rsidR="008C1C8A">
        <w:rPr>
          <w:lang w:eastAsia="en-US"/>
        </w:rPr>
        <w:t xml:space="preserve">and NBN </w:t>
      </w:r>
      <w:r w:rsidR="00191398">
        <w:rPr>
          <w:lang w:eastAsia="en-US"/>
        </w:rPr>
        <w:t xml:space="preserve">Co </w:t>
      </w:r>
      <w:r w:rsidR="008C1C8A">
        <w:rPr>
          <w:lang w:eastAsia="en-US"/>
        </w:rPr>
        <w:t xml:space="preserve">having a strong incentive to respond to their recommendations. </w:t>
      </w:r>
      <w:r w:rsidR="00102B1E">
        <w:rPr>
          <w:lang w:eastAsia="en-US"/>
        </w:rPr>
        <w:t>ACCAN</w:t>
      </w:r>
      <w:r w:rsidR="0050496A">
        <w:rPr>
          <w:lang w:eastAsia="en-US"/>
        </w:rPr>
        <w:t>’s</w:t>
      </w:r>
      <w:r w:rsidR="00102B1E">
        <w:rPr>
          <w:lang w:eastAsia="en-US"/>
        </w:rPr>
        <w:t xml:space="preserve"> consultation with low-income representatives to date indicates that representatives are willing to engage on affordability issues. </w:t>
      </w:r>
    </w:p>
    <w:p w14:paraId="7E52F2A9" w14:textId="18A2704B" w:rsidR="00F00E7A" w:rsidRDefault="00E05141" w:rsidP="00102B1E">
      <w:pPr>
        <w:rPr>
          <w:lang w:eastAsia="en-US"/>
        </w:rPr>
      </w:pPr>
      <w:r>
        <w:rPr>
          <w:lang w:eastAsia="en-US"/>
        </w:rPr>
        <w:t>However,</w:t>
      </w:r>
      <w:r w:rsidR="00102B1E">
        <w:rPr>
          <w:lang w:eastAsia="en-US"/>
        </w:rPr>
        <w:t xml:space="preserve"> i</w:t>
      </w:r>
      <w:r w:rsidR="00E64B47">
        <w:rPr>
          <w:lang w:eastAsia="en-US"/>
        </w:rPr>
        <w:t>t should</w:t>
      </w:r>
      <w:r w:rsidR="008C1C8A">
        <w:rPr>
          <w:lang w:eastAsia="en-US"/>
        </w:rPr>
        <w:t xml:space="preserve"> be noted that many in the sector suffer 'consultation fatigue</w:t>
      </w:r>
      <w:r w:rsidR="00B53FB3">
        <w:rPr>
          <w:lang w:eastAsia="en-US"/>
        </w:rPr>
        <w:t>’ and</w:t>
      </w:r>
      <w:r w:rsidR="008C1C8A">
        <w:rPr>
          <w:lang w:eastAsia="en-US"/>
        </w:rPr>
        <w:t xml:space="preserve"> feel that their feedback is </w:t>
      </w:r>
      <w:r w:rsidR="00CE273A">
        <w:rPr>
          <w:lang w:eastAsia="en-US"/>
        </w:rPr>
        <w:t xml:space="preserve">often </w:t>
      </w:r>
      <w:r w:rsidR="008C1C8A">
        <w:rPr>
          <w:lang w:eastAsia="en-US"/>
        </w:rPr>
        <w:t>ignored</w:t>
      </w:r>
      <w:r w:rsidR="00A26947">
        <w:rPr>
          <w:lang w:eastAsia="en-US"/>
        </w:rPr>
        <w:t xml:space="preserve"> by policy and decision makers</w:t>
      </w:r>
      <w:r w:rsidR="008C1C8A">
        <w:rPr>
          <w:lang w:eastAsia="en-US"/>
        </w:rPr>
        <w:t xml:space="preserve">. </w:t>
      </w:r>
      <w:r w:rsidR="00413D1B">
        <w:rPr>
          <w:lang w:eastAsia="en-US"/>
        </w:rPr>
        <w:t>Likewise, many low</w:t>
      </w:r>
      <w:r w:rsidR="00E21852">
        <w:rPr>
          <w:lang w:eastAsia="en-US"/>
        </w:rPr>
        <w:t>-</w:t>
      </w:r>
      <w:r w:rsidR="00413D1B">
        <w:rPr>
          <w:lang w:eastAsia="en-US"/>
        </w:rPr>
        <w:t xml:space="preserve">income representatives are time and budget constrained, so representatives will need to feel that engaging with the process is ‘worth their time’. </w:t>
      </w:r>
    </w:p>
    <w:p w14:paraId="4C7A3BB5" w14:textId="6B653425" w:rsidR="003A6DA5" w:rsidRDefault="00102B1E" w:rsidP="008C1C8A">
      <w:pPr>
        <w:rPr>
          <w:lang w:eastAsia="en-US"/>
        </w:rPr>
      </w:pPr>
      <w:r w:rsidRPr="00E64554">
        <w:rPr>
          <w:lang w:eastAsia="en-US"/>
        </w:rPr>
        <w:t xml:space="preserve">Engagement must be predicated on commitment to take tangible action to address affordability issues. </w:t>
      </w:r>
      <w:r w:rsidR="009D392B" w:rsidRPr="00E64554">
        <w:rPr>
          <w:lang w:eastAsia="en-US"/>
        </w:rPr>
        <w:t xml:space="preserve">Noting that the </w:t>
      </w:r>
      <w:r w:rsidR="00AB1EBB" w:rsidRPr="00E64554">
        <w:rPr>
          <w:lang w:eastAsia="en-US"/>
        </w:rPr>
        <w:t xml:space="preserve">community has already engaged in extensive </w:t>
      </w:r>
      <w:r w:rsidR="008A2204" w:rsidRPr="00E64554">
        <w:rPr>
          <w:lang w:eastAsia="en-US"/>
        </w:rPr>
        <w:t>consultation</w:t>
      </w:r>
      <w:r w:rsidR="00AB1EBB" w:rsidRPr="00E64554">
        <w:rPr>
          <w:lang w:eastAsia="en-US"/>
        </w:rPr>
        <w:t xml:space="preserve"> with NBN Co</w:t>
      </w:r>
      <w:r w:rsidR="008A2204" w:rsidRPr="00E64554">
        <w:rPr>
          <w:lang w:eastAsia="en-US"/>
        </w:rPr>
        <w:t xml:space="preserve"> regarding this issue over the last 5 years and there has been </w:t>
      </w:r>
      <w:r w:rsidR="00344605">
        <w:rPr>
          <w:lang w:eastAsia="en-US"/>
        </w:rPr>
        <w:t xml:space="preserve">minimal </w:t>
      </w:r>
      <w:r w:rsidR="00E94C61" w:rsidRPr="00E64554">
        <w:rPr>
          <w:lang w:eastAsia="en-US"/>
        </w:rPr>
        <w:t>progress</w:t>
      </w:r>
      <w:r w:rsidR="00BF0619">
        <w:rPr>
          <w:lang w:eastAsia="en-US"/>
        </w:rPr>
        <w:t>.</w:t>
      </w:r>
      <w:r w:rsidR="00BB2E7D" w:rsidRPr="00E64554">
        <w:rPr>
          <w:lang w:eastAsia="en-US"/>
        </w:rPr>
        <w:t xml:space="preserve"> </w:t>
      </w:r>
      <w:r w:rsidR="00BF0619">
        <w:rPr>
          <w:lang w:eastAsia="en-US"/>
        </w:rPr>
        <w:t>L</w:t>
      </w:r>
      <w:r w:rsidR="00BB2E7D" w:rsidRPr="00E64554">
        <w:rPr>
          <w:lang w:eastAsia="en-US"/>
        </w:rPr>
        <w:t>ow-income advocates have expressed concerns to ACCAN regarding the likelihood of action being facilitated by the proposed forum.</w:t>
      </w:r>
    </w:p>
    <w:p w14:paraId="21315AAF" w14:textId="004C0982" w:rsidR="00D54640" w:rsidRDefault="008C4AD7" w:rsidP="008C1C8A">
      <w:r w:rsidRPr="00E64554">
        <w:rPr>
          <w:lang w:eastAsia="en-US"/>
        </w:rPr>
        <w:t xml:space="preserve">Currently the SAU </w:t>
      </w:r>
      <w:r w:rsidR="00A27F55" w:rsidRPr="00E64554">
        <w:rPr>
          <w:lang w:eastAsia="en-US"/>
        </w:rPr>
        <w:t>V</w:t>
      </w:r>
      <w:r w:rsidRPr="00E64554">
        <w:rPr>
          <w:lang w:eastAsia="en-US"/>
        </w:rPr>
        <w:t xml:space="preserve">ariation requires NBN </w:t>
      </w:r>
      <w:r w:rsidR="00191398" w:rsidRPr="00E64554">
        <w:rPr>
          <w:lang w:eastAsia="en-US"/>
        </w:rPr>
        <w:t xml:space="preserve">Co </w:t>
      </w:r>
      <w:r w:rsidRPr="00E64554">
        <w:rPr>
          <w:lang w:eastAsia="en-US"/>
        </w:rPr>
        <w:t xml:space="preserve">to have regard </w:t>
      </w:r>
      <w:r w:rsidR="0069518D" w:rsidRPr="00E64554">
        <w:rPr>
          <w:lang w:eastAsia="en-US"/>
        </w:rPr>
        <w:t>to the forum’s outcomes in changing or setting prices</w:t>
      </w:r>
      <w:r w:rsidR="009401FE" w:rsidRPr="00E64554">
        <w:rPr>
          <w:lang w:eastAsia="en-US"/>
        </w:rPr>
        <w:t>.</w:t>
      </w:r>
      <w:r w:rsidR="0069518D" w:rsidRPr="00E64554">
        <w:rPr>
          <w:lang w:eastAsia="en-US"/>
        </w:rPr>
        <w:t xml:space="preserve"> </w:t>
      </w:r>
      <w:r w:rsidR="009401FE" w:rsidRPr="00E64554">
        <w:rPr>
          <w:lang w:eastAsia="en-US"/>
        </w:rPr>
        <w:t>H</w:t>
      </w:r>
      <w:r w:rsidR="0069518D" w:rsidRPr="00E64554">
        <w:rPr>
          <w:lang w:eastAsia="en-US"/>
        </w:rPr>
        <w:t xml:space="preserve">owever </w:t>
      </w:r>
      <w:r w:rsidR="009401FE" w:rsidRPr="00E64554">
        <w:rPr>
          <w:lang w:eastAsia="en-US"/>
        </w:rPr>
        <w:t>s</w:t>
      </w:r>
      <w:r w:rsidR="007942D7" w:rsidRPr="00E64554">
        <w:rPr>
          <w:lang w:eastAsia="en-US"/>
        </w:rPr>
        <w:t xml:space="preserve">tronger commitment from NBN </w:t>
      </w:r>
      <w:r w:rsidR="00A27F55" w:rsidRPr="00E64554">
        <w:rPr>
          <w:lang w:eastAsia="en-US"/>
        </w:rPr>
        <w:t xml:space="preserve">Co </w:t>
      </w:r>
      <w:r w:rsidR="007942D7" w:rsidRPr="00E64554">
        <w:rPr>
          <w:lang w:eastAsia="en-US"/>
        </w:rPr>
        <w:t xml:space="preserve">to respond to </w:t>
      </w:r>
      <w:r w:rsidR="00F72CC4" w:rsidRPr="00E64554">
        <w:rPr>
          <w:lang w:eastAsia="en-US"/>
        </w:rPr>
        <w:t xml:space="preserve">the </w:t>
      </w:r>
      <w:r w:rsidR="00F2726C" w:rsidRPr="00E64554">
        <w:rPr>
          <w:lang w:eastAsia="en-US"/>
        </w:rPr>
        <w:t>forum’s</w:t>
      </w:r>
      <w:r w:rsidR="00F72CC4" w:rsidRPr="00E64554">
        <w:rPr>
          <w:lang w:eastAsia="en-US"/>
        </w:rPr>
        <w:t xml:space="preserve"> recommendations will likely encourage greater engagement from </w:t>
      </w:r>
      <w:r w:rsidR="001C3A4F" w:rsidRPr="00E64554">
        <w:rPr>
          <w:lang w:eastAsia="en-US"/>
        </w:rPr>
        <w:t>participants</w:t>
      </w:r>
      <w:r w:rsidR="00F72CC4" w:rsidRPr="00E64554">
        <w:rPr>
          <w:lang w:eastAsia="en-US"/>
        </w:rPr>
        <w:t xml:space="preserve">. </w:t>
      </w:r>
      <w:r w:rsidR="00D54640" w:rsidRPr="00BB2E7D">
        <w:t>The SAU should require that NBN develop a product</w:t>
      </w:r>
      <w:r w:rsidR="00EE49AD" w:rsidRPr="00BB2E7D">
        <w:t xml:space="preserve"> targeted to improving affordability of </w:t>
      </w:r>
      <w:r w:rsidR="00DA0617" w:rsidRPr="00BB2E7D">
        <w:t>the NBN</w:t>
      </w:r>
      <w:r w:rsidR="00D54640" w:rsidRPr="00BB2E7D">
        <w:t xml:space="preserve"> which can be endorsed by representatives of </w:t>
      </w:r>
      <w:r w:rsidR="00CD5083" w:rsidRPr="00BB2E7D">
        <w:t>low-income</w:t>
      </w:r>
      <w:r w:rsidR="00D54640" w:rsidRPr="00BB2E7D">
        <w:t xml:space="preserve"> consumers.</w:t>
      </w:r>
      <w:r w:rsidR="00D54640">
        <w:t xml:space="preserve"> </w:t>
      </w:r>
    </w:p>
    <w:p w14:paraId="4DEB3F42" w14:textId="3125CBEC" w:rsidR="00F2726C" w:rsidRPr="005F631C" w:rsidRDefault="00CD5083" w:rsidP="008C1C8A">
      <w:pPr>
        <w:pStyle w:val="Recommendation"/>
        <w:rPr>
          <w:rFonts w:asciiTheme="minorHAnsi" w:hAnsiTheme="minorHAnsi" w:cstheme="minorHAnsi"/>
        </w:rPr>
      </w:pPr>
      <w:r w:rsidRPr="005F631C">
        <w:rPr>
          <w:rFonts w:asciiTheme="minorHAnsi" w:hAnsiTheme="minorHAnsi" w:cstheme="minorHAnsi"/>
        </w:rPr>
        <w:t xml:space="preserve">The SAU should require </w:t>
      </w:r>
      <w:r w:rsidR="00F2726C" w:rsidRPr="005F631C">
        <w:rPr>
          <w:rFonts w:asciiTheme="minorHAnsi" w:hAnsiTheme="minorHAnsi" w:cstheme="minorHAnsi"/>
        </w:rPr>
        <w:t>NBN</w:t>
      </w:r>
      <w:r w:rsidRPr="005F631C">
        <w:rPr>
          <w:rFonts w:asciiTheme="minorHAnsi" w:hAnsiTheme="minorHAnsi" w:cstheme="minorHAnsi"/>
        </w:rPr>
        <w:t xml:space="preserve"> Co</w:t>
      </w:r>
      <w:r w:rsidR="00F2726C" w:rsidRPr="005F631C">
        <w:rPr>
          <w:rFonts w:asciiTheme="minorHAnsi" w:hAnsiTheme="minorHAnsi" w:cstheme="minorHAnsi"/>
        </w:rPr>
        <w:t xml:space="preserve"> </w:t>
      </w:r>
      <w:r w:rsidRPr="005F631C">
        <w:rPr>
          <w:rFonts w:asciiTheme="minorHAnsi" w:hAnsiTheme="minorHAnsi" w:cstheme="minorHAnsi"/>
        </w:rPr>
        <w:t>to</w:t>
      </w:r>
      <w:r w:rsidR="00F2726C" w:rsidRPr="005F631C">
        <w:rPr>
          <w:rFonts w:asciiTheme="minorHAnsi" w:hAnsiTheme="minorHAnsi" w:cstheme="minorHAnsi"/>
        </w:rPr>
        <w:t xml:space="preserve"> develop a product targeted to </w:t>
      </w:r>
      <w:r w:rsidRPr="005F631C">
        <w:rPr>
          <w:rFonts w:asciiTheme="minorHAnsi" w:hAnsiTheme="minorHAnsi" w:cstheme="minorHAnsi"/>
        </w:rPr>
        <w:t>low-income</w:t>
      </w:r>
      <w:r w:rsidR="00F2726C" w:rsidRPr="005F631C">
        <w:rPr>
          <w:rFonts w:asciiTheme="minorHAnsi" w:hAnsiTheme="minorHAnsi" w:cstheme="minorHAnsi"/>
        </w:rPr>
        <w:t xml:space="preserve"> consumers </w:t>
      </w:r>
      <w:r w:rsidRPr="005F631C">
        <w:rPr>
          <w:rFonts w:asciiTheme="minorHAnsi" w:hAnsiTheme="minorHAnsi" w:cstheme="minorHAnsi"/>
        </w:rPr>
        <w:t>that is</w:t>
      </w:r>
      <w:r w:rsidR="00F2726C" w:rsidRPr="005F631C">
        <w:rPr>
          <w:rFonts w:asciiTheme="minorHAnsi" w:hAnsiTheme="minorHAnsi" w:cstheme="minorHAnsi"/>
        </w:rPr>
        <w:t xml:space="preserve"> endorsed </w:t>
      </w:r>
      <w:r w:rsidRPr="005F631C">
        <w:rPr>
          <w:rFonts w:asciiTheme="minorHAnsi" w:hAnsiTheme="minorHAnsi" w:cstheme="minorHAnsi"/>
        </w:rPr>
        <w:t>b</w:t>
      </w:r>
      <w:r w:rsidR="00F2726C" w:rsidRPr="005F631C">
        <w:rPr>
          <w:rFonts w:asciiTheme="minorHAnsi" w:hAnsiTheme="minorHAnsi" w:cstheme="minorHAnsi"/>
        </w:rPr>
        <w:t>y</w:t>
      </w:r>
      <w:r w:rsidRPr="005F631C">
        <w:rPr>
          <w:rFonts w:asciiTheme="minorHAnsi" w:hAnsiTheme="minorHAnsi" w:cstheme="minorHAnsi"/>
        </w:rPr>
        <w:t xml:space="preserve"> representatives of</w:t>
      </w:r>
      <w:r w:rsidR="00F2726C" w:rsidRPr="005F631C">
        <w:rPr>
          <w:rFonts w:asciiTheme="minorHAnsi" w:hAnsiTheme="minorHAnsi" w:cstheme="minorHAnsi"/>
        </w:rPr>
        <w:t xml:space="preserve"> </w:t>
      </w:r>
      <w:r w:rsidRPr="005F631C">
        <w:rPr>
          <w:rFonts w:asciiTheme="minorHAnsi" w:hAnsiTheme="minorHAnsi" w:cstheme="minorHAnsi"/>
        </w:rPr>
        <w:t>low-income</w:t>
      </w:r>
      <w:r w:rsidR="00F2726C" w:rsidRPr="005F631C">
        <w:rPr>
          <w:rFonts w:asciiTheme="minorHAnsi" w:hAnsiTheme="minorHAnsi" w:cstheme="minorHAnsi"/>
        </w:rPr>
        <w:t xml:space="preserve"> </w:t>
      </w:r>
      <w:r w:rsidRPr="005F631C">
        <w:rPr>
          <w:rFonts w:asciiTheme="minorHAnsi" w:hAnsiTheme="minorHAnsi" w:cstheme="minorHAnsi"/>
        </w:rPr>
        <w:t>consumers</w:t>
      </w:r>
      <w:r w:rsidR="00E94C61" w:rsidRPr="005F631C">
        <w:rPr>
          <w:rFonts w:asciiTheme="minorHAnsi" w:hAnsiTheme="minorHAnsi" w:cstheme="minorHAnsi"/>
        </w:rPr>
        <w:t xml:space="preserve"> within the first 12 months of the SAU</w:t>
      </w:r>
      <w:r w:rsidR="00C30915">
        <w:rPr>
          <w:rFonts w:asciiTheme="minorHAnsi" w:hAnsiTheme="minorHAnsi" w:cstheme="minorHAnsi"/>
        </w:rPr>
        <w:t>’s acceptance</w:t>
      </w:r>
      <w:r w:rsidRPr="005F631C">
        <w:rPr>
          <w:rFonts w:asciiTheme="minorHAnsi" w:hAnsiTheme="minorHAnsi" w:cstheme="minorHAnsi"/>
        </w:rPr>
        <w:t>.</w:t>
      </w:r>
    </w:p>
    <w:p w14:paraId="420D6945" w14:textId="25824B07" w:rsidR="00AA12C7" w:rsidRDefault="009C0AB7" w:rsidP="008C1C8A">
      <w:pPr>
        <w:rPr>
          <w:lang w:eastAsia="en-US"/>
        </w:rPr>
      </w:pPr>
      <w:r>
        <w:t xml:space="preserve">For the </w:t>
      </w:r>
      <w:r w:rsidR="00F455C4">
        <w:t>l</w:t>
      </w:r>
      <w:r>
        <w:t>ow-</w:t>
      </w:r>
      <w:r w:rsidR="00F455C4">
        <w:t>i</w:t>
      </w:r>
      <w:r>
        <w:t xml:space="preserve">ncome </w:t>
      </w:r>
      <w:r w:rsidR="00F455C4">
        <w:t>f</w:t>
      </w:r>
      <w:r>
        <w:t xml:space="preserve">orum to be successful, ACCAN considers that </w:t>
      </w:r>
      <w:r w:rsidR="00413D1B">
        <w:rPr>
          <w:lang w:eastAsia="en-US"/>
        </w:rPr>
        <w:t xml:space="preserve">the </w:t>
      </w:r>
      <w:r w:rsidR="00F455C4">
        <w:rPr>
          <w:lang w:eastAsia="en-US"/>
        </w:rPr>
        <w:t>t</w:t>
      </w:r>
      <w:r w:rsidR="00413D1B">
        <w:rPr>
          <w:lang w:eastAsia="en-US"/>
        </w:rPr>
        <w:t xml:space="preserve">erms of </w:t>
      </w:r>
      <w:r w:rsidR="00F455C4">
        <w:rPr>
          <w:lang w:eastAsia="en-US"/>
        </w:rPr>
        <w:t>r</w:t>
      </w:r>
      <w:r w:rsidR="00413D1B">
        <w:rPr>
          <w:lang w:eastAsia="en-US"/>
        </w:rPr>
        <w:t>eference should be restricted to discussing affordability issues, rather than digital inclusion more broadly.</w:t>
      </w:r>
      <w:r>
        <w:rPr>
          <w:lang w:eastAsia="en-US"/>
        </w:rPr>
        <w:t xml:space="preserve"> </w:t>
      </w:r>
      <w:r w:rsidR="0051146F">
        <w:rPr>
          <w:lang w:eastAsia="en-US"/>
        </w:rPr>
        <w:t xml:space="preserve">The forum will have limited time </w:t>
      </w:r>
      <w:r>
        <w:rPr>
          <w:lang w:eastAsia="en-US"/>
        </w:rPr>
        <w:t xml:space="preserve">and resources </w:t>
      </w:r>
      <w:r w:rsidR="0051146F">
        <w:rPr>
          <w:lang w:eastAsia="en-US"/>
        </w:rPr>
        <w:t>to discuss all features of digital inclusion</w:t>
      </w:r>
      <w:r w:rsidR="00D97FB5">
        <w:rPr>
          <w:lang w:eastAsia="en-US"/>
        </w:rPr>
        <w:t xml:space="preserve">. </w:t>
      </w:r>
      <w:r w:rsidR="00E05141">
        <w:rPr>
          <w:lang w:eastAsia="en-US"/>
        </w:rPr>
        <w:t xml:space="preserve">Further we consider that as an infrastructure company NBN Co’s focus should remain on those aspects of digital inclusion that NBN Co can effectively advance, namely affordability and access. While NBN Co may be </w:t>
      </w:r>
      <w:r w:rsidR="00742D1C">
        <w:rPr>
          <w:lang w:eastAsia="en-US"/>
        </w:rPr>
        <w:t>able</w:t>
      </w:r>
      <w:r w:rsidR="00E05141">
        <w:rPr>
          <w:lang w:eastAsia="en-US"/>
        </w:rPr>
        <w:t xml:space="preserve"> to contribute to a broader dialogue concerning matters of digital capability we consider that this could be best progressed through pre-existing forums, rather than expanding the remit of the low-income forum. </w:t>
      </w:r>
    </w:p>
    <w:p w14:paraId="4B1A9E84" w14:textId="6D8D7ADC" w:rsidR="0023354F" w:rsidRDefault="00E05141" w:rsidP="008C1C8A">
      <w:pPr>
        <w:rPr>
          <w:lang w:eastAsia="en-US"/>
        </w:rPr>
      </w:pPr>
      <w:r>
        <w:rPr>
          <w:lang w:eastAsia="en-US"/>
        </w:rPr>
        <w:t xml:space="preserve">Noting that access issues are being actively advanced by NBN </w:t>
      </w:r>
      <w:r w:rsidR="008D1C13">
        <w:rPr>
          <w:lang w:eastAsia="en-US"/>
        </w:rPr>
        <w:t>Co,</w:t>
      </w:r>
      <w:r>
        <w:rPr>
          <w:lang w:eastAsia="en-US"/>
        </w:rPr>
        <w:t xml:space="preserve"> and that affordability remains the key matter of concern </w:t>
      </w:r>
      <w:r w:rsidR="006E7C54">
        <w:rPr>
          <w:lang w:eastAsia="en-US"/>
        </w:rPr>
        <w:t>of</w:t>
      </w:r>
      <w:r>
        <w:rPr>
          <w:lang w:eastAsia="en-US"/>
        </w:rPr>
        <w:t xml:space="preserve"> </w:t>
      </w:r>
      <w:r w:rsidR="006E7C54">
        <w:rPr>
          <w:lang w:eastAsia="en-US"/>
        </w:rPr>
        <w:t>C</w:t>
      </w:r>
      <w:r>
        <w:rPr>
          <w:lang w:eastAsia="en-US"/>
        </w:rPr>
        <w:t xml:space="preserve">onsumer </w:t>
      </w:r>
      <w:r w:rsidR="006E7C54">
        <w:rPr>
          <w:lang w:eastAsia="en-US"/>
        </w:rPr>
        <w:t>A</w:t>
      </w:r>
      <w:r>
        <w:rPr>
          <w:lang w:eastAsia="en-US"/>
        </w:rPr>
        <w:t xml:space="preserve">dvocacy </w:t>
      </w:r>
      <w:r w:rsidR="006E7C54">
        <w:rPr>
          <w:lang w:eastAsia="en-US"/>
        </w:rPr>
        <w:t>G</w:t>
      </w:r>
      <w:r>
        <w:rPr>
          <w:lang w:eastAsia="en-US"/>
        </w:rPr>
        <w:t xml:space="preserve">roups and </w:t>
      </w:r>
      <w:r w:rsidR="008D1C13">
        <w:rPr>
          <w:lang w:eastAsia="en-US"/>
        </w:rPr>
        <w:t>low-income</w:t>
      </w:r>
      <w:r>
        <w:rPr>
          <w:lang w:eastAsia="en-US"/>
        </w:rPr>
        <w:t xml:space="preserve"> representatives</w:t>
      </w:r>
      <w:r w:rsidR="008D1C13">
        <w:rPr>
          <w:lang w:eastAsia="en-US"/>
        </w:rPr>
        <w:t>,</w:t>
      </w:r>
      <w:r>
        <w:rPr>
          <w:lang w:eastAsia="en-US"/>
        </w:rPr>
        <w:t xml:space="preserve"> we consider the forum should have a narrower focus on affordability. Accordingly</w:t>
      </w:r>
      <w:r w:rsidR="00E35F24">
        <w:rPr>
          <w:lang w:eastAsia="en-US"/>
        </w:rPr>
        <w:t>,</w:t>
      </w:r>
      <w:r w:rsidR="0051146F">
        <w:rPr>
          <w:lang w:eastAsia="en-US"/>
        </w:rPr>
        <w:t xml:space="preserve"> we consider restricting the </w:t>
      </w:r>
      <w:r w:rsidR="007E1556">
        <w:rPr>
          <w:lang w:eastAsia="en-US"/>
        </w:rPr>
        <w:t xml:space="preserve">terms of reference to </w:t>
      </w:r>
      <w:r w:rsidR="00DE52C9">
        <w:rPr>
          <w:lang w:eastAsia="en-US"/>
        </w:rPr>
        <w:t xml:space="preserve">exclusively </w:t>
      </w:r>
      <w:r w:rsidR="007E1556">
        <w:rPr>
          <w:lang w:eastAsia="en-US"/>
        </w:rPr>
        <w:t xml:space="preserve">affordability concerns will ensure </w:t>
      </w:r>
      <w:r w:rsidR="00E525E7">
        <w:rPr>
          <w:lang w:eastAsia="en-US"/>
        </w:rPr>
        <w:t>the forum is</w:t>
      </w:r>
      <w:r w:rsidR="007E1556">
        <w:rPr>
          <w:lang w:eastAsia="en-US"/>
        </w:rPr>
        <w:t xml:space="preserve"> effective</w:t>
      </w:r>
      <w:r w:rsidR="001C46FD">
        <w:rPr>
          <w:lang w:eastAsia="en-US"/>
        </w:rPr>
        <w:t xml:space="preserve"> </w:t>
      </w:r>
      <w:r w:rsidR="00E525E7">
        <w:rPr>
          <w:lang w:eastAsia="en-US"/>
        </w:rPr>
        <w:t>in achieving the</w:t>
      </w:r>
      <w:r w:rsidR="001C46FD">
        <w:rPr>
          <w:lang w:eastAsia="en-US"/>
        </w:rPr>
        <w:t xml:space="preserve"> goal of improving affordability of the network</w:t>
      </w:r>
      <w:r w:rsidR="007E1556">
        <w:rPr>
          <w:lang w:eastAsia="en-US"/>
        </w:rPr>
        <w:t>.</w:t>
      </w:r>
      <w:r w:rsidR="00413D1B">
        <w:rPr>
          <w:lang w:eastAsia="en-US"/>
        </w:rPr>
        <w:t xml:space="preserve"> </w:t>
      </w:r>
    </w:p>
    <w:p w14:paraId="2F016568" w14:textId="40C454FC" w:rsidR="00A24BDC" w:rsidRDefault="00413D1B" w:rsidP="008C1C8A">
      <w:pPr>
        <w:rPr>
          <w:lang w:eastAsia="en-US"/>
        </w:rPr>
      </w:pPr>
      <w:r>
        <w:rPr>
          <w:lang w:eastAsia="en-US"/>
        </w:rPr>
        <w:t xml:space="preserve">Furthermore, </w:t>
      </w:r>
      <w:r w:rsidR="0023354F">
        <w:rPr>
          <w:lang w:eastAsia="en-US"/>
        </w:rPr>
        <w:t xml:space="preserve">we see merit in the </w:t>
      </w:r>
      <w:r>
        <w:rPr>
          <w:lang w:eastAsia="en-US"/>
        </w:rPr>
        <w:t>forum</w:t>
      </w:r>
      <w:r w:rsidR="008C1C8A">
        <w:rPr>
          <w:lang w:eastAsia="en-US"/>
        </w:rPr>
        <w:t xml:space="preserve"> </w:t>
      </w:r>
      <w:r w:rsidR="0023354F">
        <w:rPr>
          <w:lang w:eastAsia="en-US"/>
        </w:rPr>
        <w:t>being chaired</w:t>
      </w:r>
      <w:r w:rsidR="0023354F" w:rsidRPr="008C1C8A">
        <w:rPr>
          <w:lang w:eastAsia="en-US"/>
        </w:rPr>
        <w:t xml:space="preserve"> independent</w:t>
      </w:r>
      <w:r w:rsidR="0023354F">
        <w:rPr>
          <w:lang w:eastAsia="en-US"/>
        </w:rPr>
        <w:t>ly and</w:t>
      </w:r>
      <w:r w:rsidR="0023354F" w:rsidRPr="008C1C8A">
        <w:rPr>
          <w:lang w:eastAsia="en-US"/>
        </w:rPr>
        <w:t xml:space="preserve"> </w:t>
      </w:r>
      <w:r w:rsidR="008C1C8A" w:rsidRPr="008C1C8A">
        <w:rPr>
          <w:lang w:eastAsia="en-US"/>
        </w:rPr>
        <w:t>be</w:t>
      </w:r>
      <w:r w:rsidR="0023354F">
        <w:rPr>
          <w:lang w:eastAsia="en-US"/>
        </w:rPr>
        <w:t>ing</w:t>
      </w:r>
      <w:r w:rsidR="008C1C8A" w:rsidRPr="008C1C8A">
        <w:rPr>
          <w:lang w:eastAsia="en-US"/>
        </w:rPr>
        <w:t xml:space="preserve"> </w:t>
      </w:r>
      <w:r w:rsidR="007E1556">
        <w:rPr>
          <w:lang w:eastAsia="en-US"/>
        </w:rPr>
        <w:t xml:space="preserve">convened on a </w:t>
      </w:r>
      <w:r w:rsidR="008C1C8A" w:rsidRPr="008C1C8A">
        <w:rPr>
          <w:lang w:eastAsia="en-US"/>
        </w:rPr>
        <w:t>bi-annual</w:t>
      </w:r>
      <w:r w:rsidR="007E1556">
        <w:rPr>
          <w:lang w:eastAsia="en-US"/>
        </w:rPr>
        <w:t xml:space="preserve"> basis</w:t>
      </w:r>
      <w:r>
        <w:rPr>
          <w:lang w:eastAsia="en-US"/>
        </w:rPr>
        <w:t xml:space="preserve">. </w:t>
      </w:r>
      <w:r w:rsidR="00DE7B64">
        <w:rPr>
          <w:lang w:eastAsia="en-US"/>
        </w:rPr>
        <w:t>An independent chair will ensure that the agenda of the forum is set based on feedback of all parties involved, rather than by reference to NBN Co’s corporate objectives.</w:t>
      </w:r>
      <w:r>
        <w:rPr>
          <w:lang w:eastAsia="en-US"/>
        </w:rPr>
        <w:t xml:space="preserve"> </w:t>
      </w:r>
    </w:p>
    <w:p w14:paraId="01C78D3C" w14:textId="375A5C4E" w:rsidR="00F2726C" w:rsidRPr="005F631C" w:rsidRDefault="00DE52C9" w:rsidP="00F2726C">
      <w:pPr>
        <w:pStyle w:val="Recommendation"/>
        <w:rPr>
          <w:rFonts w:asciiTheme="minorHAnsi" w:hAnsiTheme="minorHAnsi" w:cstheme="minorHAnsi"/>
        </w:rPr>
      </w:pPr>
      <w:r w:rsidRPr="005F631C">
        <w:rPr>
          <w:rFonts w:asciiTheme="minorHAnsi" w:hAnsiTheme="minorHAnsi" w:cstheme="minorHAnsi"/>
        </w:rPr>
        <w:t>The SAU should require that t</w:t>
      </w:r>
      <w:r w:rsidR="00043831" w:rsidRPr="005F631C">
        <w:rPr>
          <w:rFonts w:asciiTheme="minorHAnsi" w:hAnsiTheme="minorHAnsi" w:cstheme="minorHAnsi"/>
        </w:rPr>
        <w:t>he</w:t>
      </w:r>
      <w:r w:rsidRPr="005F631C">
        <w:rPr>
          <w:rFonts w:asciiTheme="minorHAnsi" w:hAnsiTheme="minorHAnsi" w:cstheme="minorHAnsi"/>
        </w:rPr>
        <w:t xml:space="preserve"> l</w:t>
      </w:r>
      <w:r w:rsidR="00F2726C" w:rsidRPr="005F631C">
        <w:rPr>
          <w:rFonts w:asciiTheme="minorHAnsi" w:hAnsiTheme="minorHAnsi" w:cstheme="minorHAnsi"/>
        </w:rPr>
        <w:t>ow</w:t>
      </w:r>
      <w:r w:rsidR="00043831" w:rsidRPr="005F631C">
        <w:rPr>
          <w:rFonts w:asciiTheme="minorHAnsi" w:hAnsiTheme="minorHAnsi" w:cstheme="minorHAnsi"/>
        </w:rPr>
        <w:t>-</w:t>
      </w:r>
      <w:r w:rsidR="00F2726C" w:rsidRPr="005F631C">
        <w:rPr>
          <w:rFonts w:asciiTheme="minorHAnsi" w:hAnsiTheme="minorHAnsi" w:cstheme="minorHAnsi"/>
        </w:rPr>
        <w:t xml:space="preserve">income </w:t>
      </w:r>
      <w:r w:rsidRPr="005F631C">
        <w:rPr>
          <w:rFonts w:asciiTheme="minorHAnsi" w:hAnsiTheme="minorHAnsi" w:cstheme="minorHAnsi"/>
        </w:rPr>
        <w:t>f</w:t>
      </w:r>
      <w:r w:rsidR="00F2726C" w:rsidRPr="005F631C">
        <w:rPr>
          <w:rFonts w:asciiTheme="minorHAnsi" w:hAnsiTheme="minorHAnsi" w:cstheme="minorHAnsi"/>
        </w:rPr>
        <w:t>orum be chaired independently</w:t>
      </w:r>
      <w:r w:rsidR="001C46FD" w:rsidRPr="005F631C">
        <w:rPr>
          <w:rFonts w:asciiTheme="minorHAnsi" w:hAnsiTheme="minorHAnsi" w:cstheme="minorHAnsi"/>
        </w:rPr>
        <w:t xml:space="preserve">, </w:t>
      </w:r>
      <w:r w:rsidR="00043831" w:rsidRPr="005F631C">
        <w:rPr>
          <w:rFonts w:asciiTheme="minorHAnsi" w:hAnsiTheme="minorHAnsi" w:cstheme="minorHAnsi"/>
        </w:rPr>
        <w:t>focus only on affordability issues</w:t>
      </w:r>
      <w:r w:rsidR="00B32691" w:rsidRPr="005F631C">
        <w:rPr>
          <w:rFonts w:asciiTheme="minorHAnsi" w:hAnsiTheme="minorHAnsi" w:cstheme="minorHAnsi"/>
        </w:rPr>
        <w:t xml:space="preserve"> and convened on a bi-annual basis. </w:t>
      </w:r>
    </w:p>
    <w:p w14:paraId="1423CED8" w14:textId="77777777" w:rsidR="005F3ADA" w:rsidRPr="00E64554" w:rsidRDefault="00A46D51" w:rsidP="00A46D51">
      <w:r w:rsidRPr="00E25604">
        <w:t>It should also be noted that the SAU Variation proposes that the identified target initiatives are for ‘</w:t>
      </w:r>
      <w:r w:rsidRPr="00E25604">
        <w:rPr>
          <w:i/>
        </w:rPr>
        <w:t>low income, vulnerable and unconnected’</w:t>
      </w:r>
      <w:r w:rsidR="00672057" w:rsidRPr="00E25604">
        <w:rPr>
          <w:i/>
        </w:rPr>
        <w:t xml:space="preserve"> </w:t>
      </w:r>
      <w:r w:rsidR="00672057" w:rsidRPr="00E25604">
        <w:t>end users</w:t>
      </w:r>
      <w:r w:rsidRPr="00E25604">
        <w:t>.</w:t>
      </w:r>
      <w:r w:rsidR="00672057" w:rsidRPr="00E25604">
        <w:rPr>
          <w:rStyle w:val="FootnoteReference"/>
        </w:rPr>
        <w:footnoteReference w:id="7"/>
      </w:r>
      <w:r w:rsidRPr="00E25604">
        <w:t xml:space="preserve"> This drafting suggests that initiatives will not seek to remedy the financial stress experienced by households already connected to the NBN. </w:t>
      </w:r>
    </w:p>
    <w:p w14:paraId="373A16B1" w14:textId="15A27C9B" w:rsidR="00893287" w:rsidRDefault="00A46D51" w:rsidP="00893287">
      <w:r w:rsidRPr="00E25604">
        <w:t xml:space="preserve">ACCAN receives </w:t>
      </w:r>
      <w:r w:rsidR="00E05141" w:rsidRPr="00E64554">
        <w:t xml:space="preserve">regular </w:t>
      </w:r>
      <w:r w:rsidRPr="00E25604">
        <w:t>feedback from the community and our members that there are many</w:t>
      </w:r>
      <w:r w:rsidR="007E1556" w:rsidRPr="00E25604">
        <w:t xml:space="preserve"> low</w:t>
      </w:r>
      <w:r w:rsidR="00B13077" w:rsidRPr="00E25604">
        <w:t>-</w:t>
      </w:r>
      <w:r w:rsidR="007E1556" w:rsidRPr="00E25604">
        <w:t>income</w:t>
      </w:r>
      <w:r w:rsidRPr="00E25604">
        <w:t xml:space="preserve"> households who are already connect to the NBN, and the continued cost of the service puts them in financial hardship. </w:t>
      </w:r>
      <w:r w:rsidR="00E179D8" w:rsidRPr="00E25604">
        <w:t>ACCAN recommends that the purpose of the low</w:t>
      </w:r>
      <w:r w:rsidR="00053E22" w:rsidRPr="00E25604">
        <w:t>-</w:t>
      </w:r>
      <w:r w:rsidR="00E179D8" w:rsidRPr="00E25604">
        <w:t xml:space="preserve">income forum should be to identify targeted initiatives to improve affordability of the NBN </w:t>
      </w:r>
      <w:r w:rsidR="000C2936" w:rsidRPr="00E25604">
        <w:t>for</w:t>
      </w:r>
      <w:r w:rsidR="00E179D8" w:rsidRPr="00E25604">
        <w:t xml:space="preserve"> all end users.</w:t>
      </w:r>
      <w:r w:rsidR="00E179D8">
        <w:t xml:space="preserve"> </w:t>
      </w:r>
    </w:p>
    <w:p w14:paraId="1B829CAF" w14:textId="0E8DF70D" w:rsidR="007E1556" w:rsidRPr="00893287" w:rsidRDefault="00053E22" w:rsidP="00893287">
      <w:pPr>
        <w:pStyle w:val="Recommendation"/>
      </w:pPr>
      <w:r w:rsidRPr="00893287">
        <w:t>C</w:t>
      </w:r>
      <w:r w:rsidR="007E1556" w:rsidRPr="00893287">
        <w:t xml:space="preserve">lause </w:t>
      </w:r>
      <w:r w:rsidR="00201B65" w:rsidRPr="00893287">
        <w:t>2B</w:t>
      </w:r>
      <w:r w:rsidR="00462B34">
        <w:t>.</w:t>
      </w:r>
      <w:r w:rsidR="00201B65" w:rsidRPr="00893287">
        <w:t>7</w:t>
      </w:r>
      <w:r w:rsidR="005B2616" w:rsidRPr="00893287">
        <w:t>(a)</w:t>
      </w:r>
      <w:r w:rsidR="004D39FA" w:rsidRPr="00893287">
        <w:t>,</w:t>
      </w:r>
      <w:r w:rsidRPr="00893287">
        <w:t xml:space="preserve"> which requires NBN to establish a </w:t>
      </w:r>
      <w:r w:rsidR="00430686" w:rsidRPr="00893287">
        <w:t>multilateral working group to identify targeted initiatives to improve access to the NBN for low-income, vulnerable and unconnected end users</w:t>
      </w:r>
      <w:r w:rsidR="004D39FA" w:rsidRPr="00893287">
        <w:t>,</w:t>
      </w:r>
      <w:r w:rsidR="00CC6762" w:rsidRPr="00893287">
        <w:t xml:space="preserve"> </w:t>
      </w:r>
      <w:r w:rsidRPr="00893287">
        <w:t>should</w:t>
      </w:r>
      <w:r w:rsidR="00CC6762" w:rsidRPr="00893287">
        <w:t xml:space="preserve"> be redrafted to identify targeted initiatives for low income or vulnerable consumers.</w:t>
      </w:r>
    </w:p>
    <w:p w14:paraId="7B54549E" w14:textId="7DB39B09" w:rsidR="003C2FE0" w:rsidRPr="002A08F7" w:rsidRDefault="003C2FE0" w:rsidP="00861477">
      <w:pPr>
        <w:pStyle w:val="Heading3"/>
      </w:pPr>
      <w:r w:rsidRPr="002A08F7">
        <w:t xml:space="preserve">Pricing principles </w:t>
      </w:r>
    </w:p>
    <w:p w14:paraId="023B2D7B" w14:textId="729BBE32" w:rsidR="003C2FE0" w:rsidRDefault="003C2FE0" w:rsidP="003C2FE0">
      <w:pPr>
        <w:rPr>
          <w:lang w:eastAsia="en-US"/>
        </w:rPr>
      </w:pPr>
      <w:r>
        <w:rPr>
          <w:lang w:eastAsia="en-US"/>
        </w:rPr>
        <w:t xml:space="preserve">NBN </w:t>
      </w:r>
      <w:r w:rsidR="00052B90">
        <w:rPr>
          <w:lang w:eastAsia="en-US"/>
        </w:rPr>
        <w:t xml:space="preserve">Co </w:t>
      </w:r>
      <w:r w:rsidR="00F25A16">
        <w:rPr>
          <w:lang w:eastAsia="en-US"/>
        </w:rPr>
        <w:t xml:space="preserve">has proposed that </w:t>
      </w:r>
      <w:r w:rsidR="003A74F8">
        <w:rPr>
          <w:lang w:eastAsia="en-US"/>
        </w:rPr>
        <w:t xml:space="preserve">in </w:t>
      </w:r>
      <w:r w:rsidR="00052B90">
        <w:rPr>
          <w:lang w:eastAsia="en-US"/>
        </w:rPr>
        <w:t xml:space="preserve">changing or </w:t>
      </w:r>
      <w:r w:rsidR="003A74F8">
        <w:rPr>
          <w:lang w:eastAsia="en-US"/>
        </w:rPr>
        <w:t>setting</w:t>
      </w:r>
      <w:r w:rsidR="00052B90">
        <w:rPr>
          <w:lang w:eastAsia="en-US"/>
        </w:rPr>
        <w:t xml:space="preserve"> new</w:t>
      </w:r>
      <w:r w:rsidR="003A74F8">
        <w:rPr>
          <w:lang w:eastAsia="en-US"/>
        </w:rPr>
        <w:t xml:space="preserve"> prices, they </w:t>
      </w:r>
      <w:r>
        <w:rPr>
          <w:lang w:eastAsia="en-US"/>
        </w:rPr>
        <w:t xml:space="preserve">must have regard to </w:t>
      </w:r>
      <w:r w:rsidR="00C87EAD">
        <w:rPr>
          <w:lang w:eastAsia="en-US"/>
        </w:rPr>
        <w:t>its Pricing Principles</w:t>
      </w:r>
      <w:r w:rsidR="003A74F8">
        <w:rPr>
          <w:lang w:eastAsia="en-US"/>
        </w:rPr>
        <w:t>.</w:t>
      </w:r>
      <w:r w:rsidR="00C87EAD">
        <w:rPr>
          <w:lang w:eastAsia="en-US"/>
        </w:rPr>
        <w:t xml:space="preserve"> </w:t>
      </w:r>
      <w:r w:rsidR="00052B90">
        <w:rPr>
          <w:lang w:eastAsia="en-US"/>
        </w:rPr>
        <w:t>C</w:t>
      </w:r>
      <w:r w:rsidR="00415095">
        <w:rPr>
          <w:lang w:eastAsia="en-US"/>
        </w:rPr>
        <w:t>lause</w:t>
      </w:r>
      <w:r w:rsidR="00C87EAD">
        <w:rPr>
          <w:lang w:eastAsia="en-US"/>
        </w:rPr>
        <w:t xml:space="preserve"> 2B.2.1(c) </w:t>
      </w:r>
      <w:r w:rsidR="00052B90">
        <w:rPr>
          <w:lang w:eastAsia="en-US"/>
        </w:rPr>
        <w:t xml:space="preserve">of the Pricing Principles </w:t>
      </w:r>
      <w:r w:rsidR="00C87EAD">
        <w:rPr>
          <w:lang w:eastAsia="en-US"/>
        </w:rPr>
        <w:t xml:space="preserve">requires NBN </w:t>
      </w:r>
      <w:r w:rsidR="00052B90">
        <w:rPr>
          <w:lang w:eastAsia="en-US"/>
        </w:rPr>
        <w:t xml:space="preserve">Co </w:t>
      </w:r>
      <w:r w:rsidR="00C87EAD">
        <w:rPr>
          <w:lang w:eastAsia="en-US"/>
        </w:rPr>
        <w:t xml:space="preserve">to have regard to the objective of maintaining affordable access to the network. ACCAN considers that greater detail regarding what NBN considers ‘affordable’ would strengthen this clause. </w:t>
      </w:r>
      <w:r w:rsidR="00A94E44">
        <w:rPr>
          <w:lang w:eastAsia="en-US"/>
        </w:rPr>
        <w:t xml:space="preserve">We consider that NBN Co should be required to prove that they have had regard to affordability by </w:t>
      </w:r>
      <w:r w:rsidR="00604D4F">
        <w:rPr>
          <w:lang w:eastAsia="en-US"/>
        </w:rPr>
        <w:t>demonstrating</w:t>
      </w:r>
      <w:r w:rsidR="00C142C6">
        <w:rPr>
          <w:lang w:eastAsia="en-US"/>
        </w:rPr>
        <w:t xml:space="preserve"> how their pricing</w:t>
      </w:r>
      <w:r w:rsidR="00A47C3C">
        <w:rPr>
          <w:lang w:eastAsia="en-US"/>
        </w:rPr>
        <w:t xml:space="preserve"> proposals </w:t>
      </w:r>
      <w:r w:rsidR="00604D4F">
        <w:rPr>
          <w:lang w:eastAsia="en-US"/>
        </w:rPr>
        <w:t xml:space="preserve">are likely to </w:t>
      </w:r>
      <w:r w:rsidR="00E30C9C">
        <w:rPr>
          <w:lang w:eastAsia="en-US"/>
        </w:rPr>
        <w:t xml:space="preserve">increase take up of services amongst </w:t>
      </w:r>
      <w:r w:rsidR="00604D4F">
        <w:rPr>
          <w:lang w:eastAsia="en-US"/>
        </w:rPr>
        <w:t>low-income</w:t>
      </w:r>
      <w:r w:rsidR="00E30C9C">
        <w:rPr>
          <w:lang w:eastAsia="en-US"/>
        </w:rPr>
        <w:t xml:space="preserve"> consumers. </w:t>
      </w:r>
    </w:p>
    <w:p w14:paraId="63D094F4" w14:textId="3CD36F2E" w:rsidR="00E10754" w:rsidRDefault="004605D9" w:rsidP="003C2FE0">
      <w:pPr>
        <w:rPr>
          <w:lang w:eastAsia="en-US"/>
        </w:rPr>
      </w:pPr>
      <w:r>
        <w:rPr>
          <w:lang w:eastAsia="en-US"/>
        </w:rPr>
        <w:t>People on low incomes experience greater difficulty affording their telecommunications services</w:t>
      </w:r>
      <w:r w:rsidR="00C97F68">
        <w:rPr>
          <w:lang w:eastAsia="en-US"/>
        </w:rPr>
        <w:t>.</w:t>
      </w:r>
      <w:r w:rsidR="007807CB">
        <w:rPr>
          <w:rStyle w:val="FootnoteReference"/>
          <w:lang w:eastAsia="en-US"/>
        </w:rPr>
        <w:footnoteReference w:id="8"/>
      </w:r>
      <w:r w:rsidR="00C97F68">
        <w:rPr>
          <w:lang w:eastAsia="en-US"/>
        </w:rPr>
        <w:t xml:space="preserve"> </w:t>
      </w:r>
      <w:r w:rsidR="00E10754">
        <w:rPr>
          <w:lang w:eastAsia="en-US"/>
        </w:rPr>
        <w:t xml:space="preserve">Efforts </w:t>
      </w:r>
      <w:r w:rsidR="00B67762">
        <w:rPr>
          <w:lang w:eastAsia="en-US"/>
        </w:rPr>
        <w:t>should be made</w:t>
      </w:r>
      <w:r w:rsidR="00E10754">
        <w:rPr>
          <w:lang w:eastAsia="en-US"/>
        </w:rPr>
        <w:t xml:space="preserve"> by NBN Co to increase uptake of the network amongst </w:t>
      </w:r>
      <w:r w:rsidR="00F75198">
        <w:rPr>
          <w:lang w:eastAsia="en-US"/>
        </w:rPr>
        <w:t>low-income</w:t>
      </w:r>
      <w:r w:rsidR="00E10754">
        <w:rPr>
          <w:lang w:eastAsia="en-US"/>
        </w:rPr>
        <w:t xml:space="preserve"> households</w:t>
      </w:r>
      <w:r w:rsidR="00B67762">
        <w:rPr>
          <w:lang w:eastAsia="en-US"/>
        </w:rPr>
        <w:t xml:space="preserve">, this </w:t>
      </w:r>
      <w:r w:rsidR="00E10754">
        <w:rPr>
          <w:lang w:eastAsia="en-US"/>
        </w:rPr>
        <w:t xml:space="preserve">will work to increase </w:t>
      </w:r>
      <w:r w:rsidR="00B67762">
        <w:rPr>
          <w:lang w:eastAsia="en-US"/>
        </w:rPr>
        <w:t xml:space="preserve">the </w:t>
      </w:r>
      <w:r w:rsidR="00E10754">
        <w:rPr>
          <w:lang w:eastAsia="en-US"/>
        </w:rPr>
        <w:t xml:space="preserve">efficient use of the infrastructure. </w:t>
      </w:r>
    </w:p>
    <w:p w14:paraId="73C2D2FB" w14:textId="57650CA6" w:rsidR="00982052" w:rsidRPr="0073645F" w:rsidRDefault="001A012D" w:rsidP="00982052">
      <w:pPr>
        <w:pStyle w:val="Recommendation"/>
        <w:rPr>
          <w:rFonts w:asciiTheme="minorHAnsi" w:hAnsiTheme="minorHAnsi" w:cstheme="minorHAnsi"/>
        </w:rPr>
      </w:pPr>
      <w:r w:rsidRPr="0073645F">
        <w:rPr>
          <w:rFonts w:asciiTheme="minorHAnsi" w:hAnsiTheme="minorHAnsi" w:cstheme="minorHAnsi"/>
        </w:rPr>
        <w:t xml:space="preserve">In having regard to maintaining affordable access to the network, NBN Co should be required to demonstrate how their pricing proposals are likely to increase take up of services amongst </w:t>
      </w:r>
      <w:r w:rsidR="00C3555A" w:rsidRPr="00C3555A">
        <w:rPr>
          <w:rFonts w:asciiTheme="minorHAnsi" w:hAnsiTheme="minorHAnsi" w:cstheme="minorHAnsi"/>
        </w:rPr>
        <w:t>low-income</w:t>
      </w:r>
      <w:r w:rsidRPr="0073645F">
        <w:rPr>
          <w:rFonts w:asciiTheme="minorHAnsi" w:hAnsiTheme="minorHAnsi" w:cstheme="minorHAnsi"/>
        </w:rPr>
        <w:t xml:space="preserve"> consumers. </w:t>
      </w:r>
    </w:p>
    <w:p w14:paraId="5A8821C4" w14:textId="16E13ADD" w:rsidR="001D7ECB" w:rsidRPr="002A08F7" w:rsidRDefault="001D7ECB" w:rsidP="007B0489">
      <w:pPr>
        <w:pStyle w:val="Heading3"/>
      </w:pPr>
      <w:r w:rsidRPr="002A08F7">
        <w:t>Low use consumers</w:t>
      </w:r>
    </w:p>
    <w:p w14:paraId="50C7901C" w14:textId="77D3155E" w:rsidR="001D7ECB" w:rsidRDefault="001D7ECB" w:rsidP="001D7ECB">
      <w:pPr>
        <w:rPr>
          <w:lang w:eastAsia="en-US"/>
        </w:rPr>
      </w:pPr>
      <w:r>
        <w:rPr>
          <w:lang w:eastAsia="en-US"/>
        </w:rPr>
        <w:t xml:space="preserve">There is a risk that when </w:t>
      </w:r>
      <w:r w:rsidR="007878B8">
        <w:rPr>
          <w:lang w:eastAsia="en-US"/>
        </w:rPr>
        <w:t xml:space="preserve">NBN </w:t>
      </w:r>
      <w:r w:rsidR="008010A7">
        <w:rPr>
          <w:lang w:eastAsia="en-US"/>
        </w:rPr>
        <w:t xml:space="preserve">Co </w:t>
      </w:r>
      <w:r w:rsidR="007878B8">
        <w:rPr>
          <w:lang w:eastAsia="en-US"/>
        </w:rPr>
        <w:t>moves to a flat rate monthly charge for all residential speed tiers</w:t>
      </w:r>
      <w:r w:rsidR="007B0489">
        <w:rPr>
          <w:lang w:eastAsia="en-US"/>
        </w:rPr>
        <w:t xml:space="preserve"> in </w:t>
      </w:r>
      <w:r w:rsidR="00D8786D">
        <w:rPr>
          <w:lang w:eastAsia="en-US"/>
        </w:rPr>
        <w:t>July 2026</w:t>
      </w:r>
      <w:r w:rsidR="007878B8">
        <w:rPr>
          <w:lang w:eastAsia="en-US"/>
        </w:rPr>
        <w:t xml:space="preserve">, low use consumers </w:t>
      </w:r>
      <w:r w:rsidR="00B734A1">
        <w:rPr>
          <w:lang w:eastAsia="en-US"/>
        </w:rPr>
        <w:t>could</w:t>
      </w:r>
      <w:r w:rsidR="007878B8">
        <w:rPr>
          <w:lang w:eastAsia="en-US"/>
        </w:rPr>
        <w:t xml:space="preserve"> be priced out of the market</w:t>
      </w:r>
      <w:r w:rsidR="00D8786D">
        <w:rPr>
          <w:lang w:eastAsia="en-US"/>
        </w:rPr>
        <w:t xml:space="preserve"> if NBN increases </w:t>
      </w:r>
      <w:r w:rsidR="008010A7">
        <w:rPr>
          <w:lang w:eastAsia="en-US"/>
        </w:rPr>
        <w:t xml:space="preserve">access charges to make up the lost revenue </w:t>
      </w:r>
      <w:r w:rsidR="00F8360C">
        <w:rPr>
          <w:lang w:eastAsia="en-US"/>
        </w:rPr>
        <w:t xml:space="preserve">previously </w:t>
      </w:r>
      <w:r w:rsidR="008010A7">
        <w:rPr>
          <w:lang w:eastAsia="en-US"/>
        </w:rPr>
        <w:t>made from variable charges</w:t>
      </w:r>
      <w:r w:rsidR="007878B8">
        <w:rPr>
          <w:lang w:eastAsia="en-US"/>
        </w:rPr>
        <w:t xml:space="preserve">. </w:t>
      </w:r>
      <w:r w:rsidR="00B734A1">
        <w:rPr>
          <w:lang w:eastAsia="en-US"/>
        </w:rPr>
        <w:t>To mitigate this risk, t</w:t>
      </w:r>
      <w:r w:rsidR="00C27928">
        <w:rPr>
          <w:lang w:eastAsia="en-US"/>
        </w:rPr>
        <w:t xml:space="preserve">he SAU should require NBN </w:t>
      </w:r>
      <w:r w:rsidR="008010A7">
        <w:rPr>
          <w:lang w:eastAsia="en-US"/>
        </w:rPr>
        <w:t xml:space="preserve">Co </w:t>
      </w:r>
      <w:r w:rsidR="00C27928">
        <w:rPr>
          <w:lang w:eastAsia="en-US"/>
        </w:rPr>
        <w:t xml:space="preserve">to develop a data-capped product which it can provide to </w:t>
      </w:r>
      <w:r w:rsidR="00DB1030">
        <w:rPr>
          <w:lang w:eastAsia="en-US"/>
        </w:rPr>
        <w:t>A</w:t>
      </w:r>
      <w:r w:rsidR="00C27928">
        <w:rPr>
          <w:lang w:eastAsia="en-US"/>
        </w:rPr>
        <w:t xml:space="preserve">ccess </w:t>
      </w:r>
      <w:r w:rsidR="00DB1030">
        <w:rPr>
          <w:lang w:eastAsia="en-US"/>
        </w:rPr>
        <w:t>S</w:t>
      </w:r>
      <w:r w:rsidR="00C27928">
        <w:rPr>
          <w:lang w:eastAsia="en-US"/>
        </w:rPr>
        <w:t xml:space="preserve">eekers by the end of Module </w:t>
      </w:r>
      <w:r w:rsidR="002631A4">
        <w:rPr>
          <w:lang w:eastAsia="en-US"/>
        </w:rPr>
        <w:t>4.</w:t>
      </w:r>
      <w:r w:rsidR="00957208">
        <w:rPr>
          <w:lang w:eastAsia="en-US"/>
        </w:rPr>
        <w:t xml:space="preserve"> </w:t>
      </w:r>
      <w:r w:rsidR="00236639">
        <w:rPr>
          <w:lang w:eastAsia="en-US"/>
        </w:rPr>
        <w:t>T</w:t>
      </w:r>
      <w:r w:rsidR="005B3E45">
        <w:rPr>
          <w:lang w:eastAsia="en-US"/>
        </w:rPr>
        <w:t xml:space="preserve">he development of such a product will assist </w:t>
      </w:r>
      <w:r w:rsidR="00F55D81">
        <w:rPr>
          <w:lang w:eastAsia="en-US"/>
        </w:rPr>
        <w:t>low-income</w:t>
      </w:r>
      <w:r w:rsidR="005B3E45">
        <w:rPr>
          <w:lang w:eastAsia="en-US"/>
        </w:rPr>
        <w:t xml:space="preserve"> households who do not require higher </w:t>
      </w:r>
      <w:r w:rsidR="00651EBE">
        <w:rPr>
          <w:lang w:eastAsia="en-US"/>
        </w:rPr>
        <w:t>speeds,</w:t>
      </w:r>
      <w:r w:rsidR="005B3E45">
        <w:rPr>
          <w:lang w:eastAsia="en-US"/>
        </w:rPr>
        <w:t xml:space="preserve"> or </w:t>
      </w:r>
      <w:r w:rsidR="003665D3">
        <w:rPr>
          <w:lang w:eastAsia="en-US"/>
        </w:rPr>
        <w:t xml:space="preserve">unlimited </w:t>
      </w:r>
      <w:r w:rsidR="005B3E45">
        <w:rPr>
          <w:lang w:eastAsia="en-US"/>
        </w:rPr>
        <w:t>data</w:t>
      </w:r>
      <w:r w:rsidR="00651EBE">
        <w:rPr>
          <w:lang w:eastAsia="en-US"/>
        </w:rPr>
        <w:t>, to</w:t>
      </w:r>
      <w:r w:rsidR="00F55D81">
        <w:rPr>
          <w:lang w:eastAsia="en-US"/>
        </w:rPr>
        <w:t xml:space="preserve"> connect to</w:t>
      </w:r>
      <w:r w:rsidR="00651EBE">
        <w:rPr>
          <w:lang w:eastAsia="en-US"/>
        </w:rPr>
        <w:t xml:space="preserve"> </w:t>
      </w:r>
      <w:r w:rsidR="00F55D81">
        <w:rPr>
          <w:lang w:eastAsia="en-US"/>
        </w:rPr>
        <w:t>and utilise the network</w:t>
      </w:r>
      <w:r w:rsidR="005B3E45">
        <w:rPr>
          <w:lang w:eastAsia="en-US"/>
        </w:rPr>
        <w:t xml:space="preserve">. </w:t>
      </w:r>
    </w:p>
    <w:p w14:paraId="3AF8EE42" w14:textId="64E78489" w:rsidR="00DC76F0" w:rsidRPr="00F37464" w:rsidRDefault="002631A4" w:rsidP="00DC76F0">
      <w:pPr>
        <w:pStyle w:val="Recommendation"/>
        <w:rPr>
          <w:rFonts w:asciiTheme="minorHAnsi" w:hAnsiTheme="minorHAnsi" w:cstheme="minorHAnsi"/>
        </w:rPr>
      </w:pPr>
      <w:r w:rsidRPr="00F37464">
        <w:rPr>
          <w:rFonts w:asciiTheme="minorHAnsi" w:hAnsiTheme="minorHAnsi" w:cstheme="minorHAnsi"/>
        </w:rPr>
        <w:t xml:space="preserve">The SAU should require NBN Co </w:t>
      </w:r>
      <w:r w:rsidR="00FC04F1" w:rsidRPr="00F37464">
        <w:rPr>
          <w:rFonts w:asciiTheme="minorHAnsi" w:hAnsiTheme="minorHAnsi" w:cstheme="minorHAnsi"/>
        </w:rPr>
        <w:t>to develop a data capped product prior to the end of Module 3.</w:t>
      </w:r>
    </w:p>
    <w:p w14:paraId="2D221568" w14:textId="5D2EA9F8" w:rsidR="00AC1A53" w:rsidRPr="002A08F7" w:rsidRDefault="00AC1A53" w:rsidP="00B17342">
      <w:pPr>
        <w:pStyle w:val="Heading3"/>
      </w:pPr>
      <w:r w:rsidRPr="002A08F7">
        <w:t xml:space="preserve">Product withdrawals </w:t>
      </w:r>
    </w:p>
    <w:p w14:paraId="415CFCB4" w14:textId="4F4D6808" w:rsidR="00DC76F0" w:rsidRDefault="001A43FF" w:rsidP="00AC1A53">
      <w:pPr>
        <w:rPr>
          <w:lang w:eastAsia="en-US"/>
        </w:rPr>
      </w:pPr>
      <w:r>
        <w:rPr>
          <w:lang w:eastAsia="en-US"/>
        </w:rPr>
        <w:t>Overall, ACCAN supports the proposed pro</w:t>
      </w:r>
      <w:r w:rsidR="00C03CE9">
        <w:rPr>
          <w:lang w:eastAsia="en-US"/>
        </w:rPr>
        <w:t>ce</w:t>
      </w:r>
      <w:r>
        <w:rPr>
          <w:lang w:eastAsia="en-US"/>
        </w:rPr>
        <w:t>ss regarding product withdrawals. However, we</w:t>
      </w:r>
      <w:r w:rsidR="009104EB">
        <w:rPr>
          <w:lang w:eastAsia="en-US"/>
        </w:rPr>
        <w:t xml:space="preserve"> consider that </w:t>
      </w:r>
      <w:r>
        <w:rPr>
          <w:lang w:eastAsia="en-US"/>
        </w:rPr>
        <w:t xml:space="preserve">clause </w:t>
      </w:r>
      <w:r w:rsidR="00151009">
        <w:t>1</w:t>
      </w:r>
      <w:r w:rsidR="00EA4C52">
        <w:t>I</w:t>
      </w:r>
      <w:r w:rsidR="00151009">
        <w:t>.5.4</w:t>
      </w:r>
      <w:r>
        <w:rPr>
          <w:lang w:eastAsia="en-US"/>
        </w:rPr>
        <w:t xml:space="preserve"> </w:t>
      </w:r>
      <w:r w:rsidR="009104EB">
        <w:rPr>
          <w:lang w:eastAsia="en-US"/>
        </w:rPr>
        <w:t xml:space="preserve">which </w:t>
      </w:r>
      <w:r w:rsidR="00924BB0">
        <w:rPr>
          <w:lang w:eastAsia="en-US"/>
        </w:rPr>
        <w:t>prevents</w:t>
      </w:r>
      <w:r w:rsidR="009104EB">
        <w:rPr>
          <w:lang w:eastAsia="en-US"/>
        </w:rPr>
        <w:t xml:space="preserve"> the process of regulatory scrutiny regarding product withdrawals to </w:t>
      </w:r>
      <w:r w:rsidR="005C3BB7">
        <w:rPr>
          <w:lang w:eastAsia="en-US"/>
        </w:rPr>
        <w:t xml:space="preserve">occur where the </w:t>
      </w:r>
      <w:r w:rsidR="00941F3E">
        <w:rPr>
          <w:lang w:eastAsia="en-US"/>
        </w:rPr>
        <w:t xml:space="preserve">shareholder </w:t>
      </w:r>
      <w:r w:rsidR="00FA4F6B">
        <w:rPr>
          <w:lang w:eastAsia="en-US"/>
        </w:rPr>
        <w:t xml:space="preserve">has requested the product be withdrawn, should be removed. </w:t>
      </w:r>
      <w:r w:rsidR="006E7994">
        <w:rPr>
          <w:lang w:eastAsia="en-US"/>
        </w:rPr>
        <w:t xml:space="preserve">We see no reason that </w:t>
      </w:r>
      <w:r w:rsidR="00DC76F0">
        <w:rPr>
          <w:lang w:eastAsia="en-US"/>
        </w:rPr>
        <w:t>the bypass of regulatory consideration of product withdrawals should occur where the shareholder of NBN</w:t>
      </w:r>
      <w:r w:rsidR="00526DBC">
        <w:rPr>
          <w:lang w:eastAsia="en-US"/>
        </w:rPr>
        <w:t xml:space="preserve"> Co</w:t>
      </w:r>
      <w:r w:rsidR="00DC76F0">
        <w:rPr>
          <w:lang w:eastAsia="en-US"/>
        </w:rPr>
        <w:t xml:space="preserve"> has requested it. </w:t>
      </w:r>
    </w:p>
    <w:p w14:paraId="1E6E90E4" w14:textId="0CC0CAC4" w:rsidR="00AC1A53" w:rsidRPr="00F37464" w:rsidRDefault="005B1418" w:rsidP="00DC76F0">
      <w:pPr>
        <w:pStyle w:val="Recommendation"/>
        <w:rPr>
          <w:rFonts w:asciiTheme="minorHAnsi" w:hAnsiTheme="minorHAnsi" w:cstheme="minorHAnsi"/>
        </w:rPr>
      </w:pPr>
      <w:r w:rsidRPr="00F37464">
        <w:rPr>
          <w:rFonts w:asciiTheme="minorHAnsi" w:hAnsiTheme="minorHAnsi" w:cstheme="minorHAnsi"/>
        </w:rPr>
        <w:t xml:space="preserve">Clause </w:t>
      </w:r>
      <w:r w:rsidR="00C571DD" w:rsidRPr="00F37464">
        <w:rPr>
          <w:rFonts w:asciiTheme="minorHAnsi" w:hAnsiTheme="minorHAnsi" w:cstheme="minorHAnsi"/>
        </w:rPr>
        <w:t>1</w:t>
      </w:r>
      <w:r w:rsidR="00EA4C52" w:rsidRPr="00F37464">
        <w:rPr>
          <w:rFonts w:asciiTheme="minorHAnsi" w:hAnsiTheme="minorHAnsi" w:cstheme="minorHAnsi"/>
        </w:rPr>
        <w:t>I</w:t>
      </w:r>
      <w:r w:rsidR="00C571DD" w:rsidRPr="00F37464">
        <w:rPr>
          <w:rFonts w:asciiTheme="minorHAnsi" w:hAnsiTheme="minorHAnsi" w:cstheme="minorHAnsi"/>
        </w:rPr>
        <w:t xml:space="preserve">.5.4, which </w:t>
      </w:r>
      <w:r w:rsidR="001C439A" w:rsidRPr="00F37464">
        <w:rPr>
          <w:rFonts w:asciiTheme="minorHAnsi" w:hAnsiTheme="minorHAnsi" w:cstheme="minorHAnsi"/>
        </w:rPr>
        <w:t xml:space="preserve">specifies </w:t>
      </w:r>
      <w:r w:rsidR="00C87E24" w:rsidRPr="00F37464">
        <w:rPr>
          <w:rFonts w:asciiTheme="minorHAnsi" w:hAnsiTheme="minorHAnsi" w:cstheme="minorHAnsi"/>
        </w:rPr>
        <w:t xml:space="preserve">the process regarding </w:t>
      </w:r>
      <w:r w:rsidR="001C439A" w:rsidRPr="00F37464">
        <w:rPr>
          <w:rFonts w:asciiTheme="minorHAnsi" w:hAnsiTheme="minorHAnsi" w:cstheme="minorHAnsi"/>
        </w:rPr>
        <w:t>product withdrawal required by law or directed by Shareholder</w:t>
      </w:r>
      <w:r w:rsidR="00C95149" w:rsidRPr="00F37464">
        <w:rPr>
          <w:rFonts w:asciiTheme="minorHAnsi" w:hAnsiTheme="minorHAnsi" w:cstheme="minorHAnsi"/>
        </w:rPr>
        <w:t xml:space="preserve"> Ministers</w:t>
      </w:r>
      <w:r w:rsidR="009D35F4">
        <w:rPr>
          <w:rFonts w:asciiTheme="minorHAnsi" w:hAnsiTheme="minorHAnsi" w:cstheme="minorHAnsi"/>
        </w:rPr>
        <w:t>,</w:t>
      </w:r>
      <w:r w:rsidR="001C439A" w:rsidRPr="00F37464">
        <w:rPr>
          <w:rFonts w:asciiTheme="minorHAnsi" w:hAnsiTheme="minorHAnsi" w:cstheme="minorHAnsi"/>
        </w:rPr>
        <w:t xml:space="preserve"> </w:t>
      </w:r>
      <w:r w:rsidR="00B833B9" w:rsidRPr="00F37464">
        <w:rPr>
          <w:rFonts w:asciiTheme="minorHAnsi" w:hAnsiTheme="minorHAnsi" w:cstheme="minorHAnsi"/>
        </w:rPr>
        <w:t xml:space="preserve">should be amended to remove any reference </w:t>
      </w:r>
      <w:r w:rsidR="00C87E24" w:rsidRPr="00F37464">
        <w:rPr>
          <w:rFonts w:asciiTheme="minorHAnsi" w:hAnsiTheme="minorHAnsi" w:cstheme="minorHAnsi"/>
        </w:rPr>
        <w:t>to</w:t>
      </w:r>
      <w:r w:rsidR="00B833B9" w:rsidRPr="00F37464">
        <w:rPr>
          <w:rFonts w:asciiTheme="minorHAnsi" w:hAnsiTheme="minorHAnsi" w:cstheme="minorHAnsi"/>
        </w:rPr>
        <w:t xml:space="preserve"> </w:t>
      </w:r>
      <w:r w:rsidR="00C95149" w:rsidRPr="00F37464">
        <w:rPr>
          <w:rFonts w:asciiTheme="minorHAnsi" w:hAnsiTheme="minorHAnsi" w:cstheme="minorHAnsi"/>
        </w:rPr>
        <w:t>S</w:t>
      </w:r>
      <w:r w:rsidR="00B833B9" w:rsidRPr="00F37464">
        <w:rPr>
          <w:rFonts w:asciiTheme="minorHAnsi" w:hAnsiTheme="minorHAnsi" w:cstheme="minorHAnsi"/>
        </w:rPr>
        <w:t xml:space="preserve">hareholder </w:t>
      </w:r>
      <w:r w:rsidR="00C95149" w:rsidRPr="00F37464">
        <w:rPr>
          <w:rFonts w:asciiTheme="minorHAnsi" w:hAnsiTheme="minorHAnsi" w:cstheme="minorHAnsi"/>
        </w:rPr>
        <w:t>M</w:t>
      </w:r>
      <w:r w:rsidR="00B833B9" w:rsidRPr="00F37464">
        <w:rPr>
          <w:rFonts w:asciiTheme="minorHAnsi" w:hAnsiTheme="minorHAnsi" w:cstheme="minorHAnsi"/>
        </w:rPr>
        <w:t>inister</w:t>
      </w:r>
      <w:r w:rsidR="00C95149" w:rsidRPr="00F37464">
        <w:rPr>
          <w:rFonts w:asciiTheme="minorHAnsi" w:hAnsiTheme="minorHAnsi" w:cstheme="minorHAnsi"/>
        </w:rPr>
        <w:t>s</w:t>
      </w:r>
      <w:r w:rsidR="00B833B9" w:rsidRPr="00F37464">
        <w:rPr>
          <w:rFonts w:asciiTheme="minorHAnsi" w:hAnsiTheme="minorHAnsi" w:cstheme="minorHAnsi"/>
        </w:rPr>
        <w:t xml:space="preserve">. </w:t>
      </w:r>
    </w:p>
    <w:p w14:paraId="0E769037" w14:textId="4023F420" w:rsidR="004C35A4" w:rsidRPr="00D954C3" w:rsidRDefault="00136DEC" w:rsidP="000C68CF">
      <w:pPr>
        <w:pStyle w:val="Heading1"/>
      </w:pPr>
      <w:bookmarkStart w:id="17" w:name="_Toc127353159"/>
      <w:bookmarkStart w:id="18" w:name="_Toc126914086"/>
      <w:r w:rsidRPr="00D954C3">
        <w:t>Pric</w:t>
      </w:r>
      <w:r w:rsidR="00104A4E" w:rsidRPr="00D954C3">
        <w:t xml:space="preserve">e </w:t>
      </w:r>
      <w:r w:rsidR="00794385">
        <w:t>C</w:t>
      </w:r>
      <w:r w:rsidR="00104A4E" w:rsidRPr="00050607">
        <w:t>ontrols</w:t>
      </w:r>
      <w:r w:rsidR="00104A4E" w:rsidRPr="00D954C3">
        <w:t xml:space="preserve"> and </w:t>
      </w:r>
      <w:r w:rsidR="00794385">
        <w:t>T</w:t>
      </w:r>
      <w:r w:rsidR="00104A4E" w:rsidRPr="00050607">
        <w:t xml:space="preserve">ransparency </w:t>
      </w:r>
      <w:r w:rsidR="00794385">
        <w:t>M</w:t>
      </w:r>
      <w:r w:rsidR="00104A4E" w:rsidRPr="00050607">
        <w:t>easures</w:t>
      </w:r>
      <w:bookmarkEnd w:id="17"/>
      <w:bookmarkEnd w:id="18"/>
      <w:r w:rsidR="00F50823" w:rsidRPr="00D954C3">
        <w:t xml:space="preserve"> </w:t>
      </w:r>
    </w:p>
    <w:p w14:paraId="0FE4313D" w14:textId="48D95CEC" w:rsidR="00F37464" w:rsidRDefault="00251DEC" w:rsidP="00CB7F76">
      <w:pPr>
        <w:rPr>
          <w:lang w:eastAsia="en-US"/>
        </w:rPr>
      </w:pPr>
      <w:r w:rsidRPr="00F870C6">
        <w:rPr>
          <w:rStyle w:val="Hyperlink"/>
          <w:color w:val="auto"/>
          <w:u w:val="none"/>
          <w:lang w:eastAsia="en-US"/>
        </w:rPr>
        <w:t>ACCAN supports NBN</w:t>
      </w:r>
      <w:r w:rsidR="000C68CF">
        <w:rPr>
          <w:rStyle w:val="Hyperlink"/>
          <w:color w:val="auto"/>
          <w:u w:val="none"/>
          <w:lang w:eastAsia="en-US"/>
        </w:rPr>
        <w:t xml:space="preserve"> Co</w:t>
      </w:r>
      <w:r w:rsidRPr="00F870C6">
        <w:rPr>
          <w:rStyle w:val="Hyperlink"/>
          <w:color w:val="auto"/>
          <w:u w:val="none"/>
          <w:lang w:eastAsia="en-US"/>
        </w:rPr>
        <w:t>’s proposal</w:t>
      </w:r>
      <w:r w:rsidR="005F39F2" w:rsidRPr="00F870C6">
        <w:rPr>
          <w:rStyle w:val="Hyperlink"/>
          <w:color w:val="auto"/>
          <w:u w:val="none"/>
          <w:lang w:eastAsia="en-US"/>
        </w:rPr>
        <w:t xml:space="preserve"> for price controls to </w:t>
      </w:r>
      <w:r w:rsidR="00F870C6" w:rsidRPr="00F870C6">
        <w:rPr>
          <w:rStyle w:val="Hyperlink"/>
          <w:color w:val="auto"/>
          <w:u w:val="none"/>
          <w:lang w:eastAsia="en-US"/>
        </w:rPr>
        <w:t>feature</w:t>
      </w:r>
      <w:r w:rsidR="005F39F2" w:rsidRPr="00F870C6">
        <w:rPr>
          <w:rStyle w:val="Hyperlink"/>
          <w:color w:val="auto"/>
          <w:u w:val="none"/>
          <w:lang w:eastAsia="en-US"/>
        </w:rPr>
        <w:t xml:space="preserve"> a </w:t>
      </w:r>
      <w:r w:rsidR="00F870C6" w:rsidRPr="002A08F7">
        <w:rPr>
          <w:rStyle w:val="Hyperlink"/>
          <w:color w:val="auto"/>
          <w:u w:val="none"/>
        </w:rPr>
        <w:t>WAPC</w:t>
      </w:r>
      <w:r w:rsidR="005F39F2" w:rsidRPr="00F870C6">
        <w:rPr>
          <w:rStyle w:val="Hyperlink"/>
          <w:color w:val="auto"/>
          <w:u w:val="none"/>
          <w:lang w:eastAsia="en-US"/>
        </w:rPr>
        <w:t xml:space="preserve"> and individual price caps of</w:t>
      </w:r>
      <w:r w:rsidR="00F870C6">
        <w:rPr>
          <w:rStyle w:val="Hyperlink"/>
          <w:color w:val="auto"/>
          <w:u w:val="none"/>
          <w:lang w:eastAsia="en-US"/>
        </w:rPr>
        <w:t xml:space="preserve"> </w:t>
      </w:r>
      <w:r w:rsidR="005F39F2" w:rsidRPr="00F870C6">
        <w:rPr>
          <w:lang w:eastAsia="en-US"/>
        </w:rPr>
        <w:t xml:space="preserve">annual CPI increases on the </w:t>
      </w:r>
      <w:r w:rsidR="000C68CF">
        <w:rPr>
          <w:lang w:eastAsia="en-US"/>
        </w:rPr>
        <w:t>E</w:t>
      </w:r>
      <w:r w:rsidR="005F39F2" w:rsidRPr="00F870C6">
        <w:rPr>
          <w:lang w:eastAsia="en-US"/>
        </w:rPr>
        <w:t xml:space="preserve">ntry </w:t>
      </w:r>
      <w:r w:rsidR="000C68CF">
        <w:rPr>
          <w:lang w:eastAsia="en-US"/>
        </w:rPr>
        <w:t>L</w:t>
      </w:r>
      <w:r w:rsidR="005F39F2" w:rsidRPr="00F870C6">
        <w:rPr>
          <w:lang w:eastAsia="en-US"/>
        </w:rPr>
        <w:t xml:space="preserve">evel offer </w:t>
      </w:r>
      <w:r w:rsidR="00F870C6">
        <w:rPr>
          <w:lang w:eastAsia="en-US"/>
        </w:rPr>
        <w:t xml:space="preserve">and </w:t>
      </w:r>
      <w:r w:rsidR="005F39F2" w:rsidRPr="00F870C6">
        <w:rPr>
          <w:lang w:eastAsia="en-US"/>
        </w:rPr>
        <w:t>annual pricing increases that are the higher of CPI or 5</w:t>
      </w:r>
      <w:r w:rsidR="00CC1C51">
        <w:rPr>
          <w:lang w:eastAsia="en-US"/>
        </w:rPr>
        <w:t>%</w:t>
      </w:r>
      <w:r w:rsidR="005F39F2" w:rsidRPr="00F870C6">
        <w:rPr>
          <w:lang w:eastAsia="en-US"/>
        </w:rPr>
        <w:t xml:space="preserve"> for othe</w:t>
      </w:r>
      <w:r w:rsidR="00D32721" w:rsidRPr="00F870C6">
        <w:rPr>
          <w:lang w:eastAsia="en-US"/>
        </w:rPr>
        <w:t>r residential grade products</w:t>
      </w:r>
      <w:r w:rsidR="00F870C6">
        <w:rPr>
          <w:lang w:eastAsia="en-US"/>
        </w:rPr>
        <w:t>.</w:t>
      </w:r>
      <w:r w:rsidR="00961A7F">
        <w:rPr>
          <w:lang w:eastAsia="en-US"/>
        </w:rPr>
        <w:t xml:space="preserve"> </w:t>
      </w:r>
      <w:r w:rsidR="00B30841">
        <w:rPr>
          <w:lang w:eastAsia="en-US"/>
        </w:rPr>
        <w:t>Until NBN</w:t>
      </w:r>
      <w:r w:rsidR="000C68CF">
        <w:rPr>
          <w:lang w:eastAsia="en-US"/>
        </w:rPr>
        <w:t xml:space="preserve"> Co</w:t>
      </w:r>
      <w:r w:rsidR="00B30841">
        <w:rPr>
          <w:lang w:eastAsia="en-US"/>
        </w:rPr>
        <w:t>’s annual revenue recover</w:t>
      </w:r>
      <w:r w:rsidR="00DD09DD">
        <w:rPr>
          <w:lang w:eastAsia="en-US"/>
        </w:rPr>
        <w:t>y</w:t>
      </w:r>
      <w:r w:rsidR="00B30841">
        <w:rPr>
          <w:lang w:eastAsia="en-US"/>
        </w:rPr>
        <w:t xml:space="preserve"> exceeds its </w:t>
      </w:r>
      <w:r w:rsidR="000F0363" w:rsidRPr="00591BC6">
        <w:t>ABBRR</w:t>
      </w:r>
      <w:r w:rsidR="00B30841" w:rsidRPr="00166E6C">
        <w:rPr>
          <w:lang w:eastAsia="en-US"/>
        </w:rPr>
        <w:t>,</w:t>
      </w:r>
      <w:r w:rsidR="00B30841">
        <w:rPr>
          <w:lang w:eastAsia="en-US"/>
        </w:rPr>
        <w:t xml:space="preserve"> the annual increase in the WAPC will be limited to </w:t>
      </w:r>
      <w:r w:rsidR="00673EF7">
        <w:rPr>
          <w:lang w:eastAsia="en-US"/>
        </w:rPr>
        <w:t xml:space="preserve">CPI. </w:t>
      </w:r>
    </w:p>
    <w:p w14:paraId="6E1EBEFB" w14:textId="76F0D339" w:rsidR="00CB7F76" w:rsidRDefault="00673EF7" w:rsidP="00CB7F76">
      <w:pPr>
        <w:rPr>
          <w:lang w:eastAsia="en-US"/>
        </w:rPr>
      </w:pPr>
      <w:r>
        <w:rPr>
          <w:lang w:eastAsia="en-US"/>
        </w:rPr>
        <w:t xml:space="preserve">Following this, </w:t>
      </w:r>
      <w:r w:rsidR="009E313D">
        <w:rPr>
          <w:lang w:eastAsia="en-US"/>
        </w:rPr>
        <w:t xml:space="preserve">overall price increases will be capped at a percentage which allows </w:t>
      </w:r>
      <w:r w:rsidR="000F0363">
        <w:rPr>
          <w:lang w:eastAsia="en-US"/>
        </w:rPr>
        <w:t>NBN Co’s</w:t>
      </w:r>
      <w:r w:rsidR="009E313D">
        <w:rPr>
          <w:lang w:eastAsia="en-US"/>
        </w:rPr>
        <w:t xml:space="preserve"> forecast annual revenue </w:t>
      </w:r>
      <w:r w:rsidR="00350584">
        <w:rPr>
          <w:lang w:eastAsia="en-US"/>
        </w:rPr>
        <w:t xml:space="preserve">to equal the revenue requirement, where the revenue requirement will be based on </w:t>
      </w:r>
      <w:r w:rsidR="000F0363">
        <w:rPr>
          <w:lang w:eastAsia="en-US"/>
        </w:rPr>
        <w:t>NBN Co</w:t>
      </w:r>
      <w:r w:rsidR="00350584">
        <w:rPr>
          <w:lang w:eastAsia="en-US"/>
        </w:rPr>
        <w:t xml:space="preserve">’s Core Services ABBRR plus a portion of the ICRA. </w:t>
      </w:r>
      <w:r w:rsidR="00766B47">
        <w:rPr>
          <w:lang w:eastAsia="en-US"/>
        </w:rPr>
        <w:t xml:space="preserve">Through the WAPC, </w:t>
      </w:r>
      <w:r w:rsidR="000F0363">
        <w:rPr>
          <w:lang w:eastAsia="en-US"/>
        </w:rPr>
        <w:t>NBN</w:t>
      </w:r>
      <w:r w:rsidR="00766B47">
        <w:rPr>
          <w:lang w:eastAsia="en-US"/>
        </w:rPr>
        <w:t xml:space="preserve"> </w:t>
      </w:r>
      <w:r w:rsidR="00692657">
        <w:rPr>
          <w:lang w:eastAsia="en-US"/>
        </w:rPr>
        <w:t xml:space="preserve">Co </w:t>
      </w:r>
      <w:r w:rsidR="00766B47">
        <w:rPr>
          <w:lang w:eastAsia="en-US"/>
        </w:rPr>
        <w:t xml:space="preserve">will be incentivised to </w:t>
      </w:r>
      <w:r w:rsidR="00812ECA">
        <w:rPr>
          <w:lang w:eastAsia="en-US"/>
        </w:rPr>
        <w:t>grow revenue through volume and introducing new products.</w:t>
      </w:r>
      <w:r w:rsidR="005F5182">
        <w:rPr>
          <w:lang w:eastAsia="en-US"/>
        </w:rPr>
        <w:t xml:space="preserve"> </w:t>
      </w:r>
    </w:p>
    <w:p w14:paraId="21353757" w14:textId="0E4D72EE" w:rsidR="00E24516" w:rsidRDefault="00E24516" w:rsidP="00CB7F76">
      <w:pPr>
        <w:rPr>
          <w:lang w:eastAsia="en-US"/>
        </w:rPr>
      </w:pPr>
      <w:r>
        <w:rPr>
          <w:lang w:eastAsia="en-US"/>
        </w:rPr>
        <w:t xml:space="preserve">Until 2032, NBN </w:t>
      </w:r>
      <w:r w:rsidR="00692657">
        <w:rPr>
          <w:lang w:eastAsia="en-US"/>
        </w:rPr>
        <w:t xml:space="preserve">Co </w:t>
      </w:r>
      <w:r>
        <w:rPr>
          <w:lang w:eastAsia="en-US"/>
        </w:rPr>
        <w:t>has proposed</w:t>
      </w:r>
      <w:r w:rsidR="00AC2B54">
        <w:rPr>
          <w:lang w:eastAsia="en-US"/>
        </w:rPr>
        <w:t>:</w:t>
      </w:r>
    </w:p>
    <w:p w14:paraId="5D949135" w14:textId="7081E05D" w:rsidR="00E24516" w:rsidRDefault="002A5400" w:rsidP="00591BC6">
      <w:pPr>
        <w:pStyle w:val="Bulletlist1"/>
        <w:rPr>
          <w:lang w:eastAsia="en-US"/>
        </w:rPr>
      </w:pPr>
      <w:r>
        <w:rPr>
          <w:lang w:eastAsia="en-US"/>
        </w:rPr>
        <w:t>P</w:t>
      </w:r>
      <w:r w:rsidR="00E24516">
        <w:rPr>
          <w:lang w:eastAsia="en-US"/>
        </w:rPr>
        <w:t xml:space="preserve">ricing </w:t>
      </w:r>
      <w:r>
        <w:rPr>
          <w:lang w:eastAsia="en-US"/>
        </w:rPr>
        <w:t>P</w:t>
      </w:r>
      <w:r w:rsidR="00E24516">
        <w:rPr>
          <w:lang w:eastAsia="en-US"/>
        </w:rPr>
        <w:t xml:space="preserve">rinciples that NBN </w:t>
      </w:r>
      <w:r w:rsidR="00692657">
        <w:rPr>
          <w:lang w:eastAsia="en-US"/>
        </w:rPr>
        <w:t xml:space="preserve">Co </w:t>
      </w:r>
      <w:r w:rsidR="00E24516">
        <w:rPr>
          <w:lang w:eastAsia="en-US"/>
        </w:rPr>
        <w:t xml:space="preserve">would be required to have regard to in setting new or changing </w:t>
      </w:r>
      <w:r w:rsidR="00961A7F">
        <w:rPr>
          <w:lang w:eastAsia="en-US"/>
        </w:rPr>
        <w:t>prices.</w:t>
      </w:r>
    </w:p>
    <w:p w14:paraId="08E52169" w14:textId="70411FE9" w:rsidR="00E24516" w:rsidRDefault="002A5400" w:rsidP="00591BC6">
      <w:pPr>
        <w:pStyle w:val="Bulletlist1"/>
        <w:rPr>
          <w:lang w:eastAsia="en-US"/>
        </w:rPr>
      </w:pPr>
      <w:r>
        <w:rPr>
          <w:lang w:eastAsia="en-US"/>
        </w:rPr>
        <w:t>P</w:t>
      </w:r>
      <w:r w:rsidR="007D4C18">
        <w:rPr>
          <w:lang w:eastAsia="en-US"/>
        </w:rPr>
        <w:t xml:space="preserve">ublishing a </w:t>
      </w:r>
      <w:r>
        <w:rPr>
          <w:lang w:eastAsia="en-US"/>
        </w:rPr>
        <w:t>S</w:t>
      </w:r>
      <w:r w:rsidR="007D4C18">
        <w:rPr>
          <w:lang w:eastAsia="en-US"/>
        </w:rPr>
        <w:t xml:space="preserve">tatement of </w:t>
      </w:r>
      <w:r>
        <w:rPr>
          <w:lang w:eastAsia="en-US"/>
        </w:rPr>
        <w:t>P</w:t>
      </w:r>
      <w:r w:rsidR="007D4C18">
        <w:rPr>
          <w:lang w:eastAsia="en-US"/>
        </w:rPr>
        <w:t xml:space="preserve">ricing </w:t>
      </w:r>
      <w:r>
        <w:rPr>
          <w:lang w:eastAsia="en-US"/>
        </w:rPr>
        <w:t>I</w:t>
      </w:r>
      <w:r w:rsidR="007D4C18">
        <w:rPr>
          <w:lang w:eastAsia="en-US"/>
        </w:rPr>
        <w:t>ntent for each regulatory cycle</w:t>
      </w:r>
      <w:r w:rsidR="00961A7F">
        <w:rPr>
          <w:lang w:eastAsia="en-US"/>
        </w:rPr>
        <w:t>.</w:t>
      </w:r>
      <w:r w:rsidR="007D4C18">
        <w:rPr>
          <w:lang w:eastAsia="en-US"/>
        </w:rPr>
        <w:t xml:space="preserve"> </w:t>
      </w:r>
    </w:p>
    <w:p w14:paraId="5E9BF58E" w14:textId="3B04BC0C" w:rsidR="007D4C18" w:rsidRDefault="002A5400" w:rsidP="00591BC6">
      <w:pPr>
        <w:pStyle w:val="Bulletlist1"/>
        <w:rPr>
          <w:lang w:eastAsia="en-US"/>
        </w:rPr>
      </w:pPr>
      <w:r>
        <w:rPr>
          <w:lang w:eastAsia="en-US"/>
        </w:rPr>
        <w:t>P</w:t>
      </w:r>
      <w:r w:rsidR="007D4C18">
        <w:rPr>
          <w:lang w:eastAsia="en-US"/>
        </w:rPr>
        <w:t>ublish</w:t>
      </w:r>
      <w:r w:rsidR="00781420">
        <w:rPr>
          <w:lang w:eastAsia="en-US"/>
        </w:rPr>
        <w:t>ing</w:t>
      </w:r>
      <w:r w:rsidR="007D4C18">
        <w:rPr>
          <w:lang w:eastAsia="en-US"/>
        </w:rPr>
        <w:t xml:space="preserve"> annually a binding tariff list </w:t>
      </w:r>
      <w:r w:rsidR="00961529">
        <w:rPr>
          <w:lang w:eastAsia="en-US"/>
        </w:rPr>
        <w:t xml:space="preserve">for the forthcoming year </w:t>
      </w:r>
      <w:r w:rsidR="007D4C18">
        <w:rPr>
          <w:lang w:eastAsia="en-US"/>
        </w:rPr>
        <w:t xml:space="preserve">and </w:t>
      </w:r>
      <w:r>
        <w:rPr>
          <w:lang w:eastAsia="en-US"/>
        </w:rPr>
        <w:t>P</w:t>
      </w:r>
      <w:r w:rsidR="007D4C18">
        <w:rPr>
          <w:lang w:eastAsia="en-US"/>
        </w:rPr>
        <w:t xml:space="preserve">ricing </w:t>
      </w:r>
      <w:r>
        <w:rPr>
          <w:lang w:eastAsia="en-US"/>
        </w:rPr>
        <w:t>R</w:t>
      </w:r>
      <w:r w:rsidR="007D4C18">
        <w:rPr>
          <w:lang w:eastAsia="en-US"/>
        </w:rPr>
        <w:t>oadmap</w:t>
      </w:r>
      <w:r w:rsidR="00961529">
        <w:rPr>
          <w:lang w:eastAsia="en-US"/>
        </w:rPr>
        <w:t xml:space="preserve"> for </w:t>
      </w:r>
      <w:r>
        <w:rPr>
          <w:lang w:eastAsia="en-US"/>
        </w:rPr>
        <w:t xml:space="preserve">the two </w:t>
      </w:r>
      <w:r w:rsidR="00961529">
        <w:rPr>
          <w:lang w:eastAsia="en-US"/>
        </w:rPr>
        <w:t>subsequent years</w:t>
      </w:r>
      <w:r w:rsidR="00117D27">
        <w:rPr>
          <w:lang w:eastAsia="en-US"/>
        </w:rPr>
        <w:t xml:space="preserve">. </w:t>
      </w:r>
    </w:p>
    <w:p w14:paraId="50736527" w14:textId="4B1BBF32" w:rsidR="00D00772" w:rsidRDefault="00117D27" w:rsidP="00117D27">
      <w:pPr>
        <w:rPr>
          <w:lang w:eastAsia="en-US"/>
        </w:rPr>
      </w:pPr>
      <w:r>
        <w:rPr>
          <w:lang w:eastAsia="en-US"/>
        </w:rPr>
        <w:t>Whilst NBN</w:t>
      </w:r>
      <w:r w:rsidR="002A5400">
        <w:rPr>
          <w:lang w:eastAsia="en-US"/>
        </w:rPr>
        <w:t xml:space="preserve"> Co</w:t>
      </w:r>
      <w:r>
        <w:rPr>
          <w:lang w:eastAsia="en-US"/>
        </w:rPr>
        <w:t xml:space="preserve"> is able to change prices for </w:t>
      </w:r>
      <w:r w:rsidR="00E528B7">
        <w:rPr>
          <w:lang w:eastAsia="en-US"/>
        </w:rPr>
        <w:t>individual</w:t>
      </w:r>
      <w:r>
        <w:rPr>
          <w:lang w:eastAsia="en-US"/>
        </w:rPr>
        <w:t xml:space="preserve"> products from the published roadmap, this is limited based on a </w:t>
      </w:r>
      <w:r w:rsidR="008F0772">
        <w:rPr>
          <w:lang w:eastAsia="en-US"/>
        </w:rPr>
        <w:t xml:space="preserve">relativity </w:t>
      </w:r>
      <w:r>
        <w:rPr>
          <w:lang w:eastAsia="en-US"/>
        </w:rPr>
        <w:t xml:space="preserve">commitment that would keep </w:t>
      </w:r>
      <w:r w:rsidR="00E528B7">
        <w:rPr>
          <w:lang w:eastAsia="en-US"/>
        </w:rPr>
        <w:t xml:space="preserve">relativities in monthly tariff prices to within $1 of those in the previous roadmap. ACCAN welcomes all the forementioned </w:t>
      </w:r>
      <w:r w:rsidR="00AC2B54">
        <w:rPr>
          <w:lang w:eastAsia="en-US"/>
        </w:rPr>
        <w:t xml:space="preserve">proposals as they work to increase pricing certainty for the industry and consumers. </w:t>
      </w:r>
    </w:p>
    <w:p w14:paraId="0E7624CE" w14:textId="158CD7D1" w:rsidR="00117D27" w:rsidRDefault="00B4353F" w:rsidP="00117D27">
      <w:pPr>
        <w:rPr>
          <w:lang w:eastAsia="en-US"/>
        </w:rPr>
      </w:pPr>
      <w:r>
        <w:rPr>
          <w:lang w:eastAsia="en-US"/>
        </w:rPr>
        <w:t xml:space="preserve">ACCAN also welcomes the requirement that NBN </w:t>
      </w:r>
      <w:r w:rsidR="000A283C">
        <w:rPr>
          <w:lang w:eastAsia="en-US"/>
        </w:rPr>
        <w:t>Co</w:t>
      </w:r>
      <w:r>
        <w:rPr>
          <w:lang w:eastAsia="en-US"/>
        </w:rPr>
        <w:t xml:space="preserve"> would have to propose, and the ACCC determine a service as an entry level service for each regulatory cycle. This would ensure that as consumer preferences evolve, the tighter price control relating to the entry level service </w:t>
      </w:r>
      <w:r w:rsidR="009912D3">
        <w:rPr>
          <w:lang w:eastAsia="en-US"/>
        </w:rPr>
        <w:t>remains</w:t>
      </w:r>
      <w:r>
        <w:rPr>
          <w:lang w:eastAsia="en-US"/>
        </w:rPr>
        <w:t xml:space="preserve"> fit for purpose. </w:t>
      </w:r>
    </w:p>
    <w:p w14:paraId="2F2FDD62" w14:textId="105DC15F" w:rsidR="00941069" w:rsidRDefault="0019487F" w:rsidP="00117D27">
      <w:pPr>
        <w:rPr>
          <w:lang w:eastAsia="en-US"/>
        </w:rPr>
      </w:pPr>
      <w:r>
        <w:rPr>
          <w:lang w:eastAsia="en-US"/>
        </w:rPr>
        <w:t>It is ACCAN’s view that i</w:t>
      </w:r>
      <w:r w:rsidR="009F0E7F">
        <w:rPr>
          <w:lang w:eastAsia="en-US"/>
        </w:rPr>
        <w:t>n the post-2032 period, g</w:t>
      </w:r>
      <w:r w:rsidR="000E7C20" w:rsidRPr="000E7C20">
        <w:rPr>
          <w:lang w:eastAsia="en-US"/>
        </w:rPr>
        <w:t>reater cost certainty could be achieved by having a limitation on the</w:t>
      </w:r>
      <w:r w:rsidR="00DF72AE">
        <w:rPr>
          <w:lang w:eastAsia="en-US"/>
        </w:rPr>
        <w:t xml:space="preserve"> amount the WAPC can grow each year</w:t>
      </w:r>
      <w:r w:rsidR="000E7C20" w:rsidRPr="000E7C20">
        <w:rPr>
          <w:lang w:eastAsia="en-US"/>
        </w:rPr>
        <w:t xml:space="preserve">. </w:t>
      </w:r>
      <w:r w:rsidR="00EF14B5">
        <w:rPr>
          <w:lang w:eastAsia="en-US"/>
        </w:rPr>
        <w:t>This will be particularly beneficial if</w:t>
      </w:r>
      <w:r w:rsidR="00EF14B5" w:rsidRPr="000E7C20">
        <w:rPr>
          <w:lang w:eastAsia="en-US"/>
        </w:rPr>
        <w:t xml:space="preserve"> </w:t>
      </w:r>
      <w:r w:rsidR="000E7C20" w:rsidRPr="000E7C20">
        <w:rPr>
          <w:lang w:eastAsia="en-US"/>
        </w:rPr>
        <w:t xml:space="preserve">the ACCC </w:t>
      </w:r>
      <w:r w:rsidR="00EF14B5">
        <w:rPr>
          <w:lang w:eastAsia="en-US"/>
        </w:rPr>
        <w:t>is</w:t>
      </w:r>
      <w:r w:rsidR="00927322">
        <w:rPr>
          <w:lang w:eastAsia="en-US"/>
        </w:rPr>
        <w:t xml:space="preserve"> required to </w:t>
      </w:r>
      <w:r>
        <w:rPr>
          <w:lang w:eastAsia="en-US"/>
        </w:rPr>
        <w:t>ensure</w:t>
      </w:r>
      <w:r w:rsidR="000E7C20" w:rsidRPr="000E7C20">
        <w:rPr>
          <w:lang w:eastAsia="en-US"/>
        </w:rPr>
        <w:t xml:space="preserve"> NBN</w:t>
      </w:r>
      <w:r>
        <w:rPr>
          <w:lang w:eastAsia="en-US"/>
        </w:rPr>
        <w:t xml:space="preserve"> Co is able to achieve and maintain a</w:t>
      </w:r>
      <w:r w:rsidR="000E7C20" w:rsidRPr="000E7C20">
        <w:rPr>
          <w:lang w:eastAsia="en-US"/>
        </w:rPr>
        <w:t xml:space="preserve"> </w:t>
      </w:r>
      <w:r w:rsidR="00473130" w:rsidRPr="000E7C20">
        <w:rPr>
          <w:lang w:eastAsia="en-US"/>
        </w:rPr>
        <w:t>stand</w:t>
      </w:r>
      <w:r w:rsidR="007757B1">
        <w:rPr>
          <w:lang w:eastAsia="en-US"/>
        </w:rPr>
        <w:t>-</w:t>
      </w:r>
      <w:r w:rsidR="00473130" w:rsidRPr="000E7C20">
        <w:rPr>
          <w:lang w:eastAsia="en-US"/>
        </w:rPr>
        <w:t>alone</w:t>
      </w:r>
      <w:r w:rsidR="000E7C20" w:rsidRPr="000E7C20">
        <w:rPr>
          <w:lang w:eastAsia="en-US"/>
        </w:rPr>
        <w:t xml:space="preserve"> </w:t>
      </w:r>
      <w:r w:rsidR="007757B1">
        <w:rPr>
          <w:lang w:eastAsia="en-US"/>
        </w:rPr>
        <w:t xml:space="preserve">investment grade </w:t>
      </w:r>
      <w:r w:rsidR="000E7C20" w:rsidRPr="000E7C20">
        <w:rPr>
          <w:lang w:eastAsia="en-US"/>
        </w:rPr>
        <w:t>credit rating when setting the ABBRR</w:t>
      </w:r>
      <w:r w:rsidR="00EF14B5">
        <w:rPr>
          <w:lang w:eastAsia="en-US"/>
        </w:rPr>
        <w:t>.</w:t>
      </w:r>
      <w:r w:rsidR="002671B4">
        <w:rPr>
          <w:lang w:eastAsia="en-US"/>
        </w:rPr>
        <w:t xml:space="preserve"> As</w:t>
      </w:r>
      <w:r w:rsidR="00815559">
        <w:rPr>
          <w:lang w:eastAsia="en-US"/>
        </w:rPr>
        <w:t xml:space="preserve"> previously</w:t>
      </w:r>
      <w:r w:rsidR="002671B4">
        <w:rPr>
          <w:lang w:eastAsia="en-US"/>
        </w:rPr>
        <w:t xml:space="preserve"> mentioned, this </w:t>
      </w:r>
      <w:r w:rsidR="0091719A">
        <w:rPr>
          <w:lang w:eastAsia="en-US"/>
        </w:rPr>
        <w:t xml:space="preserve">poses a risk of price shock as NBN Co will have the ability to increase prices significantly </w:t>
      </w:r>
      <w:r w:rsidR="00FA698C">
        <w:rPr>
          <w:lang w:eastAsia="en-US"/>
        </w:rPr>
        <w:t>to</w:t>
      </w:r>
      <w:r w:rsidR="0091719A">
        <w:rPr>
          <w:lang w:eastAsia="en-US"/>
        </w:rPr>
        <w:t xml:space="preserve"> achieve </w:t>
      </w:r>
      <w:r w:rsidR="00941069">
        <w:rPr>
          <w:lang w:eastAsia="en-US"/>
        </w:rPr>
        <w:t>a certain credit rating.</w:t>
      </w:r>
      <w:r w:rsidR="002309ED">
        <w:rPr>
          <w:lang w:eastAsia="en-US"/>
        </w:rPr>
        <w:t xml:space="preserve"> </w:t>
      </w:r>
    </w:p>
    <w:p w14:paraId="71F261EF" w14:textId="574019F5" w:rsidR="0072346A" w:rsidRPr="0072346A" w:rsidRDefault="00EF14B5" w:rsidP="0072346A">
      <w:pPr>
        <w:rPr>
          <w:lang w:eastAsia="en-US"/>
        </w:rPr>
      </w:pPr>
      <w:r>
        <w:rPr>
          <w:lang w:eastAsia="en-US"/>
        </w:rPr>
        <w:t>A</w:t>
      </w:r>
      <w:r w:rsidR="00473130">
        <w:rPr>
          <w:lang w:eastAsia="en-US"/>
        </w:rPr>
        <w:t xml:space="preserve"> limitation on the </w:t>
      </w:r>
      <w:r w:rsidR="00360102">
        <w:rPr>
          <w:lang w:eastAsia="en-US"/>
        </w:rPr>
        <w:t>amount the WAPC can increase each year</w:t>
      </w:r>
      <w:r w:rsidR="00473130">
        <w:rPr>
          <w:lang w:eastAsia="en-US"/>
        </w:rPr>
        <w:t xml:space="preserve"> would </w:t>
      </w:r>
      <w:r w:rsidR="000E7C20" w:rsidRPr="000E7C20">
        <w:rPr>
          <w:lang w:eastAsia="en-US"/>
        </w:rPr>
        <w:t>protect consumers from price shocks going into, and throughout the post-2032 period.</w:t>
      </w:r>
      <w:r w:rsidR="00DE0B5A">
        <w:rPr>
          <w:lang w:eastAsia="en-US"/>
        </w:rPr>
        <w:t xml:space="preserve"> </w:t>
      </w:r>
      <w:r w:rsidR="004D5198">
        <w:rPr>
          <w:lang w:eastAsia="en-US"/>
        </w:rPr>
        <w:t>Therefore,</w:t>
      </w:r>
      <w:r w:rsidR="00AC06FE">
        <w:rPr>
          <w:lang w:eastAsia="en-US"/>
        </w:rPr>
        <w:t xml:space="preserve"> NBN </w:t>
      </w:r>
      <w:r w:rsidR="008B0F4B">
        <w:rPr>
          <w:lang w:eastAsia="en-US"/>
        </w:rPr>
        <w:t>Co</w:t>
      </w:r>
      <w:r w:rsidR="00AC06FE">
        <w:rPr>
          <w:lang w:eastAsia="en-US"/>
        </w:rPr>
        <w:t xml:space="preserve"> could be given the opportunity to achieve and maintain a stand-alone investment grade credit rating subject to the </w:t>
      </w:r>
      <w:r w:rsidR="00072954">
        <w:rPr>
          <w:lang w:eastAsia="en-US"/>
        </w:rPr>
        <w:t xml:space="preserve">WAPC not increasing by a certain limit </w:t>
      </w:r>
      <w:r w:rsidR="004D5198">
        <w:rPr>
          <w:lang w:eastAsia="en-US"/>
        </w:rPr>
        <w:t xml:space="preserve">deemed reasonable by the ACCC </w:t>
      </w:r>
      <w:r w:rsidR="00072954">
        <w:rPr>
          <w:lang w:eastAsia="en-US"/>
        </w:rPr>
        <w:t xml:space="preserve">each year. </w:t>
      </w:r>
    </w:p>
    <w:p w14:paraId="1F28C8E8" w14:textId="742B835B" w:rsidR="00136DEC" w:rsidRPr="00D954C3" w:rsidRDefault="00136DEC" w:rsidP="00136DEC">
      <w:pPr>
        <w:pStyle w:val="Heading1"/>
        <w:rPr>
          <w:lang w:eastAsia="en-US"/>
        </w:rPr>
      </w:pPr>
      <w:bookmarkStart w:id="19" w:name="_Toc127353160"/>
      <w:bookmarkStart w:id="20" w:name="_Toc126914087"/>
      <w:r w:rsidRPr="00D954C3">
        <w:rPr>
          <w:lang w:eastAsia="en-US"/>
        </w:rPr>
        <w:t xml:space="preserve">NBN’s </w:t>
      </w:r>
      <w:r w:rsidR="00794385">
        <w:t>A</w:t>
      </w:r>
      <w:r w:rsidR="00C777A7" w:rsidRPr="00BD6747">
        <w:t>pproach</w:t>
      </w:r>
      <w:r w:rsidR="00C777A7" w:rsidRPr="00D954C3">
        <w:rPr>
          <w:lang w:eastAsia="en-US"/>
        </w:rPr>
        <w:t xml:space="preserve"> to the B</w:t>
      </w:r>
      <w:r w:rsidR="00853D04" w:rsidRPr="00D954C3">
        <w:rPr>
          <w:lang w:eastAsia="en-US"/>
        </w:rPr>
        <w:t xml:space="preserve">uilding </w:t>
      </w:r>
      <w:r w:rsidR="00C777A7" w:rsidRPr="00D954C3">
        <w:rPr>
          <w:lang w:eastAsia="en-US"/>
        </w:rPr>
        <w:t>B</w:t>
      </w:r>
      <w:r w:rsidR="00853D04" w:rsidRPr="00D954C3">
        <w:rPr>
          <w:lang w:eastAsia="en-US"/>
        </w:rPr>
        <w:t xml:space="preserve">lock </w:t>
      </w:r>
      <w:r w:rsidR="00C777A7" w:rsidRPr="00D954C3">
        <w:rPr>
          <w:lang w:eastAsia="en-US"/>
        </w:rPr>
        <w:t>M</w:t>
      </w:r>
      <w:r w:rsidR="00853D04" w:rsidRPr="00D954C3">
        <w:rPr>
          <w:lang w:eastAsia="en-US"/>
        </w:rPr>
        <w:t>odel</w:t>
      </w:r>
      <w:bookmarkEnd w:id="19"/>
      <w:r w:rsidR="001B0E5A" w:rsidRPr="00D954C3">
        <w:rPr>
          <w:lang w:eastAsia="en-US"/>
        </w:rPr>
        <w:t xml:space="preserve"> </w:t>
      </w:r>
      <w:bookmarkEnd w:id="20"/>
    </w:p>
    <w:p w14:paraId="2BE983D9" w14:textId="3D75DE6F" w:rsidR="00364DDF" w:rsidRDefault="001D23AA" w:rsidP="00B9199E">
      <w:pPr>
        <w:rPr>
          <w:lang w:eastAsia="en-US"/>
        </w:rPr>
      </w:pPr>
      <w:r>
        <w:rPr>
          <w:lang w:eastAsia="en-US"/>
        </w:rPr>
        <w:t xml:space="preserve">The </w:t>
      </w:r>
      <w:r w:rsidRPr="00394E20">
        <w:t>BBM</w:t>
      </w:r>
      <w:r>
        <w:rPr>
          <w:lang w:eastAsia="en-US"/>
        </w:rPr>
        <w:t xml:space="preserve"> forms the basis for the revenues </w:t>
      </w:r>
      <w:r w:rsidR="00843769">
        <w:rPr>
          <w:lang w:eastAsia="en-US"/>
        </w:rPr>
        <w:t>NBN Co</w:t>
      </w:r>
      <w:r>
        <w:rPr>
          <w:lang w:eastAsia="en-US"/>
        </w:rPr>
        <w:t xml:space="preserve"> will be </w:t>
      </w:r>
      <w:r w:rsidR="00D02752">
        <w:rPr>
          <w:lang w:eastAsia="en-US"/>
        </w:rPr>
        <w:t>allowed to recover.</w:t>
      </w:r>
      <w:r w:rsidR="002D3D7B">
        <w:rPr>
          <w:lang w:eastAsia="en-US"/>
        </w:rPr>
        <w:t xml:space="preserve"> </w:t>
      </w:r>
      <w:r w:rsidR="00EF20C4">
        <w:rPr>
          <w:lang w:eastAsia="en-US"/>
        </w:rPr>
        <w:t xml:space="preserve">Moving away from maximum regulated </w:t>
      </w:r>
      <w:r w:rsidR="00E36720">
        <w:rPr>
          <w:lang w:eastAsia="en-US"/>
        </w:rPr>
        <w:t>prices and</w:t>
      </w:r>
      <w:r w:rsidR="00EF20C4">
        <w:rPr>
          <w:lang w:eastAsia="en-US"/>
        </w:rPr>
        <w:t xml:space="preserve"> having a WAPC set based on the ABBRR means it is imperative that </w:t>
      </w:r>
      <w:r w:rsidR="00E36720">
        <w:rPr>
          <w:lang w:eastAsia="en-US"/>
        </w:rPr>
        <w:t>NBN Co’s</w:t>
      </w:r>
      <w:r w:rsidR="00EE578E">
        <w:rPr>
          <w:lang w:eastAsia="en-US"/>
        </w:rPr>
        <w:t xml:space="preserve"> expenditure is prudent and efficient. </w:t>
      </w:r>
      <w:r w:rsidR="00927539">
        <w:rPr>
          <w:lang w:eastAsia="en-US"/>
        </w:rPr>
        <w:t xml:space="preserve">As any increases to </w:t>
      </w:r>
      <w:r w:rsidR="00E36720">
        <w:rPr>
          <w:lang w:eastAsia="en-US"/>
        </w:rPr>
        <w:t>NBN Co’s</w:t>
      </w:r>
      <w:r w:rsidR="00927539">
        <w:rPr>
          <w:lang w:eastAsia="en-US"/>
        </w:rPr>
        <w:t xml:space="preserve"> </w:t>
      </w:r>
      <w:r w:rsidR="00E36720">
        <w:rPr>
          <w:lang w:eastAsia="en-US"/>
        </w:rPr>
        <w:t>R</w:t>
      </w:r>
      <w:r w:rsidR="008D06B3">
        <w:rPr>
          <w:lang w:eastAsia="en-US"/>
        </w:rPr>
        <w:t xml:space="preserve">egulated </w:t>
      </w:r>
      <w:r w:rsidR="00E36720">
        <w:rPr>
          <w:lang w:eastAsia="en-US"/>
        </w:rPr>
        <w:t>A</w:t>
      </w:r>
      <w:r w:rsidR="008D06B3">
        <w:rPr>
          <w:lang w:eastAsia="en-US"/>
        </w:rPr>
        <w:t xml:space="preserve">sset </w:t>
      </w:r>
      <w:r w:rsidR="00E36720">
        <w:rPr>
          <w:lang w:eastAsia="en-US"/>
        </w:rPr>
        <w:t>B</w:t>
      </w:r>
      <w:r w:rsidR="008D06B3">
        <w:rPr>
          <w:lang w:eastAsia="en-US"/>
        </w:rPr>
        <w:t>ase (</w:t>
      </w:r>
      <w:r w:rsidR="008D06B3" w:rsidRPr="00992370">
        <w:rPr>
          <w:b/>
          <w:bCs/>
          <w:lang w:eastAsia="en-US"/>
        </w:rPr>
        <w:t>RAB</w:t>
      </w:r>
      <w:r w:rsidR="008D06B3">
        <w:rPr>
          <w:lang w:eastAsia="en-US"/>
        </w:rPr>
        <w:t>) and subsequent ABBRR can be passed along to consumers</w:t>
      </w:r>
      <w:r w:rsidR="00E36720">
        <w:rPr>
          <w:lang w:eastAsia="en-US"/>
        </w:rPr>
        <w:t xml:space="preserve"> through higher prices</w:t>
      </w:r>
      <w:r w:rsidR="008D06B3">
        <w:rPr>
          <w:lang w:eastAsia="en-US"/>
        </w:rPr>
        <w:t xml:space="preserve">. </w:t>
      </w:r>
      <w:r w:rsidR="00364DDF">
        <w:rPr>
          <w:lang w:eastAsia="en-US"/>
        </w:rPr>
        <w:t xml:space="preserve">Key changes </w:t>
      </w:r>
      <w:r w:rsidR="00BD37A4">
        <w:rPr>
          <w:lang w:eastAsia="en-US"/>
        </w:rPr>
        <w:t xml:space="preserve">to </w:t>
      </w:r>
      <w:r w:rsidR="00DC076C">
        <w:rPr>
          <w:lang w:eastAsia="en-US"/>
        </w:rPr>
        <w:t>NBN Co</w:t>
      </w:r>
      <w:r w:rsidR="00BD37A4">
        <w:rPr>
          <w:lang w:eastAsia="en-US"/>
        </w:rPr>
        <w:t xml:space="preserve">’s BBM </w:t>
      </w:r>
      <w:r w:rsidR="00364DDF">
        <w:rPr>
          <w:lang w:eastAsia="en-US"/>
        </w:rPr>
        <w:t>include changes to asset lives for certain asset classes, grouping detailed asset classes into a smaller number of aggregated asset classes</w:t>
      </w:r>
      <w:r w:rsidR="000C0C90">
        <w:rPr>
          <w:lang w:eastAsia="en-US"/>
        </w:rPr>
        <w:t xml:space="preserve"> and the</w:t>
      </w:r>
      <w:r w:rsidR="00364DDF">
        <w:rPr>
          <w:lang w:eastAsia="en-US"/>
        </w:rPr>
        <w:t xml:space="preserve"> removal of the </w:t>
      </w:r>
      <w:proofErr w:type="spellStart"/>
      <w:r w:rsidR="00364DDF">
        <w:rPr>
          <w:lang w:eastAsia="en-US"/>
        </w:rPr>
        <w:t>financeability</w:t>
      </w:r>
      <w:proofErr w:type="spellEnd"/>
      <w:r w:rsidR="00364DDF">
        <w:rPr>
          <w:lang w:eastAsia="en-US"/>
        </w:rPr>
        <w:t xml:space="preserve"> test. </w:t>
      </w:r>
    </w:p>
    <w:p w14:paraId="3E94C516" w14:textId="28CBCE96" w:rsidR="00596F8B" w:rsidRPr="00992370" w:rsidRDefault="00342178" w:rsidP="00394E20">
      <w:pPr>
        <w:pStyle w:val="Heading2"/>
      </w:pPr>
      <w:proofErr w:type="spellStart"/>
      <w:r w:rsidRPr="00AD2B68">
        <w:t>Financeability</w:t>
      </w:r>
      <w:proofErr w:type="spellEnd"/>
      <w:r w:rsidRPr="00AD2B68">
        <w:t xml:space="preserve"> tes</w:t>
      </w:r>
      <w:r w:rsidR="000C0C90" w:rsidRPr="00992370">
        <w:t>t</w:t>
      </w:r>
    </w:p>
    <w:p w14:paraId="09C8E7CE" w14:textId="534B7626" w:rsidR="004B6455" w:rsidRDefault="00342178" w:rsidP="00342178">
      <w:pPr>
        <w:rPr>
          <w:lang w:eastAsia="en-US"/>
        </w:rPr>
      </w:pPr>
      <w:r>
        <w:rPr>
          <w:lang w:eastAsia="en-US"/>
        </w:rPr>
        <w:t xml:space="preserve">ACCAN expressed concern with regards to </w:t>
      </w:r>
      <w:r w:rsidR="00DC076C">
        <w:rPr>
          <w:lang w:eastAsia="en-US"/>
        </w:rPr>
        <w:t>NBN Co</w:t>
      </w:r>
      <w:r>
        <w:rPr>
          <w:lang w:eastAsia="en-US"/>
        </w:rPr>
        <w:t xml:space="preserve">’s previous proposal for a </w:t>
      </w:r>
      <w:proofErr w:type="spellStart"/>
      <w:r>
        <w:rPr>
          <w:lang w:eastAsia="en-US"/>
        </w:rPr>
        <w:t>financeability</w:t>
      </w:r>
      <w:proofErr w:type="spellEnd"/>
      <w:r>
        <w:rPr>
          <w:lang w:eastAsia="en-US"/>
        </w:rPr>
        <w:t xml:space="preserve"> test</w:t>
      </w:r>
      <w:r w:rsidR="00DC299A">
        <w:rPr>
          <w:lang w:eastAsia="en-US"/>
        </w:rPr>
        <w:t xml:space="preserve">, in particular the automatic </w:t>
      </w:r>
      <w:r w:rsidR="00F359DB">
        <w:rPr>
          <w:lang w:eastAsia="en-US"/>
        </w:rPr>
        <w:t xml:space="preserve">upward </w:t>
      </w:r>
      <w:r w:rsidR="00DC299A">
        <w:rPr>
          <w:lang w:eastAsia="en-US"/>
        </w:rPr>
        <w:t xml:space="preserve">adjustment of the ABBRR to ensure </w:t>
      </w:r>
      <w:r w:rsidR="00096F21">
        <w:rPr>
          <w:lang w:eastAsia="en-US"/>
        </w:rPr>
        <w:t>a</w:t>
      </w:r>
      <w:r w:rsidR="00DC299A">
        <w:rPr>
          <w:lang w:eastAsia="en-US"/>
        </w:rPr>
        <w:t xml:space="preserve"> benchmark credit rating is met. NBN </w:t>
      </w:r>
      <w:r w:rsidR="001B5E00">
        <w:rPr>
          <w:lang w:eastAsia="en-US"/>
        </w:rPr>
        <w:t>Co</w:t>
      </w:r>
      <w:r w:rsidR="00DC299A">
        <w:rPr>
          <w:lang w:eastAsia="en-US"/>
        </w:rPr>
        <w:t xml:space="preserve"> has now proposed to remove the test</w:t>
      </w:r>
      <w:r w:rsidR="002A333B">
        <w:rPr>
          <w:lang w:eastAsia="en-US"/>
        </w:rPr>
        <w:t xml:space="preserve"> from the SAU. </w:t>
      </w:r>
    </w:p>
    <w:p w14:paraId="72695B3B" w14:textId="56C8A34E" w:rsidR="00D66E05" w:rsidRDefault="002A333B" w:rsidP="00342178">
      <w:pPr>
        <w:rPr>
          <w:lang w:eastAsia="en-US"/>
        </w:rPr>
      </w:pPr>
      <w:r>
        <w:rPr>
          <w:lang w:eastAsia="en-US"/>
        </w:rPr>
        <w:t xml:space="preserve">ACCAN is not opposed to a </w:t>
      </w:r>
      <w:proofErr w:type="spellStart"/>
      <w:r>
        <w:rPr>
          <w:lang w:eastAsia="en-US"/>
        </w:rPr>
        <w:t>financeability</w:t>
      </w:r>
      <w:proofErr w:type="spellEnd"/>
      <w:r>
        <w:rPr>
          <w:lang w:eastAsia="en-US"/>
        </w:rPr>
        <w:t xml:space="preserve"> test being introduced into the SAU </w:t>
      </w:r>
      <w:r w:rsidR="00F359DB">
        <w:rPr>
          <w:lang w:eastAsia="en-US"/>
        </w:rPr>
        <w:t>to determine</w:t>
      </w:r>
      <w:r w:rsidR="00992370">
        <w:rPr>
          <w:lang w:eastAsia="en-US"/>
        </w:rPr>
        <w:t xml:space="preserve"> the</w:t>
      </w:r>
      <w:r w:rsidR="00F359DB">
        <w:rPr>
          <w:lang w:eastAsia="en-US"/>
        </w:rPr>
        <w:t xml:space="preserve"> internal consistency of the</w:t>
      </w:r>
      <w:r w:rsidR="00992370">
        <w:rPr>
          <w:lang w:eastAsia="en-US"/>
        </w:rPr>
        <w:t xml:space="preserve"> BBM</w:t>
      </w:r>
      <w:r w:rsidR="00F359DB">
        <w:rPr>
          <w:lang w:eastAsia="en-US"/>
        </w:rPr>
        <w:t xml:space="preserve">. </w:t>
      </w:r>
      <w:r w:rsidR="00D8003A">
        <w:rPr>
          <w:lang w:eastAsia="en-US"/>
        </w:rPr>
        <w:t xml:space="preserve">Indeed, ACCAN considers that the </w:t>
      </w:r>
      <w:proofErr w:type="spellStart"/>
      <w:r w:rsidR="00D8003A">
        <w:rPr>
          <w:lang w:eastAsia="en-US"/>
        </w:rPr>
        <w:t>financeability</w:t>
      </w:r>
      <w:proofErr w:type="spellEnd"/>
      <w:r w:rsidR="00D8003A">
        <w:rPr>
          <w:lang w:eastAsia="en-US"/>
        </w:rPr>
        <w:t xml:space="preserve"> test is useful and should operate similarly to the N</w:t>
      </w:r>
      <w:r w:rsidR="004D36D3">
        <w:rPr>
          <w:lang w:eastAsia="en-US"/>
        </w:rPr>
        <w:t xml:space="preserve">ew </w:t>
      </w:r>
      <w:r w:rsidR="00D8003A">
        <w:rPr>
          <w:lang w:eastAsia="en-US"/>
        </w:rPr>
        <w:t>S</w:t>
      </w:r>
      <w:r w:rsidR="004D36D3">
        <w:rPr>
          <w:lang w:eastAsia="en-US"/>
        </w:rPr>
        <w:t xml:space="preserve">outh </w:t>
      </w:r>
      <w:r w:rsidR="00D8003A">
        <w:rPr>
          <w:lang w:eastAsia="en-US"/>
        </w:rPr>
        <w:t>W</w:t>
      </w:r>
      <w:r w:rsidR="004D36D3">
        <w:rPr>
          <w:lang w:eastAsia="en-US"/>
        </w:rPr>
        <w:t>ales</w:t>
      </w:r>
      <w:r w:rsidR="00D8003A">
        <w:rPr>
          <w:lang w:eastAsia="en-US"/>
        </w:rPr>
        <w:t xml:space="preserve"> I</w:t>
      </w:r>
      <w:r w:rsidR="00CE1A3F">
        <w:rPr>
          <w:lang w:eastAsia="en-US"/>
        </w:rPr>
        <w:t xml:space="preserve">ndependent </w:t>
      </w:r>
      <w:r w:rsidR="00D8003A">
        <w:rPr>
          <w:lang w:eastAsia="en-US"/>
        </w:rPr>
        <w:t>P</w:t>
      </w:r>
      <w:r w:rsidR="00CE1A3F">
        <w:rPr>
          <w:lang w:eastAsia="en-US"/>
        </w:rPr>
        <w:t xml:space="preserve">ricing and </w:t>
      </w:r>
      <w:r w:rsidR="00D8003A">
        <w:rPr>
          <w:lang w:eastAsia="en-US"/>
        </w:rPr>
        <w:t>R</w:t>
      </w:r>
      <w:r w:rsidR="00CE1A3F">
        <w:rPr>
          <w:lang w:eastAsia="en-US"/>
        </w:rPr>
        <w:t xml:space="preserve">egulatory </w:t>
      </w:r>
      <w:r w:rsidR="00D8003A">
        <w:rPr>
          <w:lang w:eastAsia="en-US"/>
        </w:rPr>
        <w:t>T</w:t>
      </w:r>
      <w:r w:rsidR="00CE1A3F">
        <w:rPr>
          <w:lang w:eastAsia="en-US"/>
        </w:rPr>
        <w:t>ribunal</w:t>
      </w:r>
      <w:r w:rsidR="000200CB">
        <w:rPr>
          <w:lang w:eastAsia="en-US"/>
        </w:rPr>
        <w:t xml:space="preserve"> (</w:t>
      </w:r>
      <w:r w:rsidR="000200CB">
        <w:rPr>
          <w:b/>
          <w:bCs/>
          <w:lang w:eastAsia="en-US"/>
        </w:rPr>
        <w:t>IPART</w:t>
      </w:r>
      <w:r w:rsidR="000200CB" w:rsidRPr="006A765E">
        <w:rPr>
          <w:lang w:eastAsia="en-US"/>
        </w:rPr>
        <w:t>)’s</w:t>
      </w:r>
      <w:r w:rsidR="00D8003A">
        <w:rPr>
          <w:lang w:eastAsia="en-US"/>
        </w:rPr>
        <w:t xml:space="preserve"> </w:t>
      </w:r>
      <w:proofErr w:type="spellStart"/>
      <w:r w:rsidR="00D8003A">
        <w:rPr>
          <w:lang w:eastAsia="en-US"/>
        </w:rPr>
        <w:t>financeability</w:t>
      </w:r>
      <w:proofErr w:type="spellEnd"/>
      <w:r w:rsidR="00D8003A">
        <w:rPr>
          <w:lang w:eastAsia="en-US"/>
        </w:rPr>
        <w:t xml:space="preserve"> test.</w:t>
      </w:r>
      <w:r w:rsidR="00477647">
        <w:rPr>
          <w:rStyle w:val="FootnoteReference"/>
          <w:lang w:eastAsia="en-US"/>
        </w:rPr>
        <w:footnoteReference w:id="9"/>
      </w:r>
      <w:r w:rsidR="00D8003A">
        <w:rPr>
          <w:lang w:eastAsia="en-US"/>
        </w:rPr>
        <w:t xml:space="preserve"> This involves the regulator liaising with the regulated entity to confirm the validity of the data, and then identifying the source of a </w:t>
      </w:r>
      <w:proofErr w:type="spellStart"/>
      <w:r w:rsidR="00D8003A">
        <w:rPr>
          <w:lang w:eastAsia="en-US"/>
        </w:rPr>
        <w:t>financeability</w:t>
      </w:r>
      <w:proofErr w:type="spellEnd"/>
      <w:r w:rsidR="00D8003A">
        <w:rPr>
          <w:lang w:eastAsia="en-US"/>
        </w:rPr>
        <w:t xml:space="preserve"> concern</w:t>
      </w:r>
      <w:r w:rsidR="00BF6441">
        <w:rPr>
          <w:lang w:eastAsia="en-US"/>
        </w:rPr>
        <w:t xml:space="preserve"> if one exists, </w:t>
      </w:r>
      <w:r w:rsidR="00D8003A">
        <w:rPr>
          <w:lang w:eastAsia="en-US"/>
        </w:rPr>
        <w:t xml:space="preserve">such as setting the revenue allowance too low, the business taking imprudent or inefficient decisions, or the timing of cash flows. </w:t>
      </w:r>
      <w:r w:rsidR="00BB5FD1">
        <w:rPr>
          <w:lang w:eastAsia="en-US"/>
        </w:rPr>
        <w:t>IPART</w:t>
      </w:r>
      <w:r w:rsidR="00F65FC1">
        <w:rPr>
          <w:lang w:eastAsia="en-US"/>
        </w:rPr>
        <w:t xml:space="preserve"> then</w:t>
      </w:r>
      <w:r w:rsidR="00BB5FD1">
        <w:rPr>
          <w:lang w:eastAsia="en-US"/>
        </w:rPr>
        <w:t xml:space="preserve"> determines the appropriate remedy based on the source</w:t>
      </w:r>
      <w:r w:rsidR="00B25625">
        <w:rPr>
          <w:lang w:eastAsia="en-US"/>
        </w:rPr>
        <w:t xml:space="preserve"> of concern</w:t>
      </w:r>
      <w:r w:rsidR="00BB5FD1">
        <w:rPr>
          <w:lang w:eastAsia="en-US"/>
        </w:rPr>
        <w:t xml:space="preserve"> identified</w:t>
      </w:r>
      <w:r w:rsidR="00F06980">
        <w:rPr>
          <w:lang w:eastAsia="en-US"/>
        </w:rPr>
        <w:t xml:space="preserve">. </w:t>
      </w:r>
    </w:p>
    <w:p w14:paraId="1BF3C152" w14:textId="62484685" w:rsidR="00342178" w:rsidRDefault="00D66E05" w:rsidP="00342178">
      <w:pPr>
        <w:rPr>
          <w:lang w:eastAsia="en-US"/>
        </w:rPr>
      </w:pPr>
      <w:r>
        <w:rPr>
          <w:lang w:eastAsia="en-US"/>
        </w:rPr>
        <w:t>It is our view that</w:t>
      </w:r>
      <w:r w:rsidR="00F06980">
        <w:rPr>
          <w:lang w:eastAsia="en-US"/>
        </w:rPr>
        <w:t xml:space="preserve"> </w:t>
      </w:r>
      <w:r>
        <w:rPr>
          <w:lang w:eastAsia="en-US"/>
        </w:rPr>
        <w:t xml:space="preserve">a </w:t>
      </w:r>
      <w:proofErr w:type="spellStart"/>
      <w:r>
        <w:rPr>
          <w:lang w:eastAsia="en-US"/>
        </w:rPr>
        <w:t>financeability</w:t>
      </w:r>
      <w:proofErr w:type="spellEnd"/>
      <w:r w:rsidR="00F06980">
        <w:rPr>
          <w:lang w:eastAsia="en-US"/>
        </w:rPr>
        <w:t xml:space="preserve"> test </w:t>
      </w:r>
      <w:r>
        <w:rPr>
          <w:lang w:eastAsia="en-US"/>
        </w:rPr>
        <w:t>remains</w:t>
      </w:r>
      <w:r w:rsidR="00F06980">
        <w:rPr>
          <w:lang w:eastAsia="en-US"/>
        </w:rPr>
        <w:t xml:space="preserve"> useful in triggering a review of </w:t>
      </w:r>
      <w:r w:rsidR="00F65FC1">
        <w:rPr>
          <w:lang w:eastAsia="en-US"/>
        </w:rPr>
        <w:t>a</w:t>
      </w:r>
      <w:r w:rsidR="00F06980">
        <w:rPr>
          <w:lang w:eastAsia="en-US"/>
        </w:rPr>
        <w:t xml:space="preserve"> </w:t>
      </w:r>
      <w:r w:rsidR="00F65FC1">
        <w:rPr>
          <w:lang w:eastAsia="en-US"/>
        </w:rPr>
        <w:t>RMD</w:t>
      </w:r>
      <w:r w:rsidR="00F06980">
        <w:rPr>
          <w:lang w:eastAsia="en-US"/>
        </w:rPr>
        <w:t xml:space="preserve"> before it is made, to ensure that there are no errors and check that debt funding and rate of return on equity are at appropriate levels. </w:t>
      </w:r>
      <w:r w:rsidR="0006739D">
        <w:rPr>
          <w:lang w:eastAsia="en-US"/>
        </w:rPr>
        <w:t xml:space="preserve"> </w:t>
      </w:r>
    </w:p>
    <w:p w14:paraId="7CA51ADD" w14:textId="2094498F" w:rsidR="00C937D2" w:rsidRPr="00584299" w:rsidRDefault="00C937D2" w:rsidP="00C937D2">
      <w:pPr>
        <w:pStyle w:val="Recommendation"/>
        <w:rPr>
          <w:rFonts w:asciiTheme="minorHAnsi" w:hAnsiTheme="minorHAnsi" w:cstheme="minorHAnsi"/>
        </w:rPr>
      </w:pPr>
      <w:r w:rsidRPr="00584299">
        <w:rPr>
          <w:rFonts w:asciiTheme="minorHAnsi" w:hAnsiTheme="minorHAnsi" w:cstheme="minorHAnsi"/>
        </w:rPr>
        <w:t xml:space="preserve">The SAU should introduce a </w:t>
      </w:r>
      <w:proofErr w:type="spellStart"/>
      <w:r w:rsidRPr="00584299">
        <w:rPr>
          <w:rFonts w:asciiTheme="minorHAnsi" w:hAnsiTheme="minorHAnsi" w:cstheme="minorHAnsi"/>
        </w:rPr>
        <w:t>financeability</w:t>
      </w:r>
      <w:proofErr w:type="spellEnd"/>
      <w:r w:rsidRPr="00584299">
        <w:rPr>
          <w:rFonts w:asciiTheme="minorHAnsi" w:hAnsiTheme="minorHAnsi" w:cstheme="minorHAnsi"/>
        </w:rPr>
        <w:t xml:space="preserve"> test to ensure the internal consistence of</w:t>
      </w:r>
      <w:r w:rsidR="00FB40BE" w:rsidRPr="00584299">
        <w:rPr>
          <w:rFonts w:asciiTheme="minorHAnsi" w:hAnsiTheme="minorHAnsi" w:cstheme="minorHAnsi"/>
        </w:rPr>
        <w:t xml:space="preserve"> NBN Co’s Building Block Model.</w:t>
      </w:r>
    </w:p>
    <w:p w14:paraId="2A043D0B" w14:textId="77777777" w:rsidR="00FA4A79" w:rsidRDefault="00FA4A79" w:rsidP="00394E20">
      <w:pPr>
        <w:pStyle w:val="Heading2"/>
      </w:pPr>
    </w:p>
    <w:p w14:paraId="19AAF8EE" w14:textId="4898D3DA" w:rsidR="006E546F" w:rsidRPr="00AD2B68" w:rsidRDefault="006E546F" w:rsidP="00394E20">
      <w:pPr>
        <w:pStyle w:val="Heading2"/>
      </w:pPr>
      <w:r w:rsidRPr="00AD2B68">
        <w:t xml:space="preserve">Asset </w:t>
      </w:r>
      <w:r w:rsidR="00794385">
        <w:t>L</w:t>
      </w:r>
      <w:r w:rsidRPr="00584299">
        <w:t>ives</w:t>
      </w:r>
      <w:r w:rsidRPr="00AD2B68">
        <w:t xml:space="preserve"> and </w:t>
      </w:r>
      <w:r w:rsidR="00794385">
        <w:t>G</w:t>
      </w:r>
      <w:r w:rsidRPr="00584299">
        <w:t>ranularity</w:t>
      </w:r>
      <w:r w:rsidRPr="00AD2B68">
        <w:t xml:space="preserve"> of </w:t>
      </w:r>
      <w:r w:rsidR="00794385">
        <w:t>A</w:t>
      </w:r>
      <w:r w:rsidRPr="00584299">
        <w:t xml:space="preserve">sset </w:t>
      </w:r>
      <w:r w:rsidR="00794385">
        <w:t>C</w:t>
      </w:r>
      <w:r w:rsidRPr="00584299">
        <w:t>lasses</w:t>
      </w:r>
    </w:p>
    <w:p w14:paraId="7F5015C2" w14:textId="0DA90D27" w:rsidR="006E546F" w:rsidRDefault="004877EB" w:rsidP="006E546F">
      <w:pPr>
        <w:rPr>
          <w:lang w:eastAsia="en-US"/>
        </w:rPr>
      </w:pPr>
      <w:r>
        <w:rPr>
          <w:lang w:eastAsia="en-US"/>
        </w:rPr>
        <w:t xml:space="preserve">In the 2024-2040 BBM, NBN </w:t>
      </w:r>
      <w:r w:rsidR="00FE58FF">
        <w:rPr>
          <w:lang w:eastAsia="en-US"/>
        </w:rPr>
        <w:t xml:space="preserve">Co </w:t>
      </w:r>
      <w:r>
        <w:rPr>
          <w:lang w:eastAsia="en-US"/>
        </w:rPr>
        <w:t>have grouped asset classes into a small number of aggregated asset classes which have been assigned an asset life</w:t>
      </w:r>
      <w:r w:rsidR="00553290">
        <w:rPr>
          <w:lang w:eastAsia="en-US"/>
        </w:rPr>
        <w:t>, which might be different to the lives of the detailed asset classes it captures. 2023-2024 calculations of depreciation are only shown at the aggregated asset class level</w:t>
      </w:r>
      <w:r w:rsidR="00F31E1F">
        <w:rPr>
          <w:lang w:eastAsia="en-US"/>
        </w:rPr>
        <w:t xml:space="preserve">. </w:t>
      </w:r>
      <w:r w:rsidR="0084417A">
        <w:rPr>
          <w:lang w:eastAsia="en-US"/>
        </w:rPr>
        <w:t>It is important that depreciation reflects the technical</w:t>
      </w:r>
      <w:r w:rsidR="004E77B9">
        <w:rPr>
          <w:lang w:eastAsia="en-US"/>
        </w:rPr>
        <w:t xml:space="preserve"> or economic</w:t>
      </w:r>
      <w:r w:rsidR="0084417A">
        <w:rPr>
          <w:lang w:eastAsia="en-US"/>
        </w:rPr>
        <w:t xml:space="preserve"> life of the asset</w:t>
      </w:r>
      <w:r w:rsidR="00D93ECF">
        <w:rPr>
          <w:lang w:eastAsia="en-US"/>
        </w:rPr>
        <w:t xml:space="preserve">, </w:t>
      </w:r>
      <w:r w:rsidR="00FE58FF">
        <w:rPr>
          <w:lang w:eastAsia="en-US"/>
        </w:rPr>
        <w:t xml:space="preserve">however </w:t>
      </w:r>
      <w:r w:rsidR="00D93ECF">
        <w:rPr>
          <w:lang w:eastAsia="en-US"/>
        </w:rPr>
        <w:t>it is not clear to ACCAN whether the proposed aggregated asset classes reasonably reflect the technical lives of the assets within the classes</w:t>
      </w:r>
      <w:r w:rsidR="0084417A">
        <w:rPr>
          <w:lang w:eastAsia="en-US"/>
        </w:rPr>
        <w:t>.</w:t>
      </w:r>
      <w:r w:rsidR="001A7D8A">
        <w:rPr>
          <w:rStyle w:val="FootnoteReference"/>
          <w:lang w:eastAsia="en-US"/>
        </w:rPr>
        <w:footnoteReference w:id="10"/>
      </w:r>
      <w:r w:rsidR="00D93ECF">
        <w:rPr>
          <w:lang w:eastAsia="en-US"/>
        </w:rPr>
        <w:t xml:space="preserve"> </w:t>
      </w:r>
      <w:r w:rsidR="00FA5FCC">
        <w:rPr>
          <w:lang w:eastAsia="en-US"/>
        </w:rPr>
        <w:t>The s</w:t>
      </w:r>
      <w:r w:rsidR="0040490F">
        <w:rPr>
          <w:lang w:eastAsia="en-US"/>
        </w:rPr>
        <w:t>cope of each category of each asset class needs to be clearly defined</w:t>
      </w:r>
      <w:r w:rsidR="00FA5FCC">
        <w:rPr>
          <w:lang w:eastAsia="en-US"/>
        </w:rPr>
        <w:t xml:space="preserve"> includ</w:t>
      </w:r>
      <w:r w:rsidR="00020912">
        <w:rPr>
          <w:lang w:eastAsia="en-US"/>
        </w:rPr>
        <w:t>ing</w:t>
      </w:r>
      <w:r w:rsidR="00FA5FCC">
        <w:rPr>
          <w:lang w:eastAsia="en-US"/>
        </w:rPr>
        <w:t xml:space="preserve"> detail of each</w:t>
      </w:r>
      <w:r w:rsidR="0040490F">
        <w:rPr>
          <w:lang w:eastAsia="en-US"/>
        </w:rPr>
        <w:t xml:space="preserve"> asset and their technical and economic lives. </w:t>
      </w:r>
    </w:p>
    <w:p w14:paraId="43D282BE" w14:textId="7DB9AEBF" w:rsidR="004E77B9" w:rsidRDefault="004E77B9" w:rsidP="006E546F">
      <w:pPr>
        <w:rPr>
          <w:lang w:eastAsia="en-US"/>
        </w:rPr>
      </w:pPr>
      <w:r>
        <w:rPr>
          <w:lang w:eastAsia="en-US"/>
        </w:rPr>
        <w:t>Access to granular detail on asset classes and asset lives is critical to the scrutiny of proposed depreciation allowances and proposed replacement capex (</w:t>
      </w:r>
      <w:proofErr w:type="spellStart"/>
      <w:r w:rsidRPr="0091779C">
        <w:rPr>
          <w:b/>
          <w:bCs/>
          <w:lang w:eastAsia="en-US"/>
        </w:rPr>
        <w:t>repex</w:t>
      </w:r>
      <w:proofErr w:type="spellEnd"/>
      <w:r>
        <w:rPr>
          <w:lang w:eastAsia="en-US"/>
        </w:rPr>
        <w:t xml:space="preserve">). ACCAN considers that considerably greater detail is required to support NBN Co’s proposed </w:t>
      </w:r>
      <w:proofErr w:type="spellStart"/>
      <w:r>
        <w:rPr>
          <w:lang w:eastAsia="en-US"/>
        </w:rPr>
        <w:t>repex</w:t>
      </w:r>
      <w:proofErr w:type="spellEnd"/>
      <w:r>
        <w:rPr>
          <w:lang w:eastAsia="en-US"/>
        </w:rPr>
        <w:t xml:space="preserve"> </w:t>
      </w:r>
      <w:r w:rsidR="00F20410">
        <w:rPr>
          <w:lang w:eastAsia="en-US"/>
        </w:rPr>
        <w:t>for each regulatory period</w:t>
      </w:r>
      <w:r>
        <w:rPr>
          <w:lang w:eastAsia="en-US"/>
        </w:rPr>
        <w:t xml:space="preserve">, and to determine whether it is consistent with prudent and efficient </w:t>
      </w:r>
      <w:proofErr w:type="spellStart"/>
      <w:r>
        <w:rPr>
          <w:lang w:eastAsia="en-US"/>
        </w:rPr>
        <w:t>repex</w:t>
      </w:r>
      <w:proofErr w:type="spellEnd"/>
      <w:r>
        <w:rPr>
          <w:lang w:eastAsia="en-US"/>
        </w:rPr>
        <w:t>.</w:t>
      </w:r>
    </w:p>
    <w:p w14:paraId="26C40150" w14:textId="6607D05F" w:rsidR="00BF1865" w:rsidRPr="00584299" w:rsidRDefault="00BF1865" w:rsidP="00394E20">
      <w:pPr>
        <w:pStyle w:val="Heading2"/>
      </w:pPr>
      <w:r w:rsidRPr="00AD2B68">
        <w:t xml:space="preserve">Transparency in the </w:t>
      </w:r>
      <w:r w:rsidR="00544C37">
        <w:t>Building Block Model</w:t>
      </w:r>
      <w:r w:rsidRPr="00AD2B68">
        <w:t xml:space="preserve"> </w:t>
      </w:r>
    </w:p>
    <w:p w14:paraId="179D154E" w14:textId="3EAF82AF" w:rsidR="00D57DE0" w:rsidRDefault="00607716" w:rsidP="00300061">
      <w:pPr>
        <w:rPr>
          <w:lang w:eastAsia="en-US"/>
        </w:rPr>
      </w:pPr>
      <w:r>
        <w:rPr>
          <w:lang w:eastAsia="en-US"/>
        </w:rPr>
        <w:t xml:space="preserve">ACCAN welcomes the </w:t>
      </w:r>
      <w:r w:rsidR="00126F00">
        <w:rPr>
          <w:lang w:eastAsia="en-US"/>
        </w:rPr>
        <w:t xml:space="preserve">provision of </w:t>
      </w:r>
      <w:r>
        <w:rPr>
          <w:lang w:eastAsia="en-US"/>
        </w:rPr>
        <w:t xml:space="preserve">more </w:t>
      </w:r>
      <w:r w:rsidR="00C55404">
        <w:rPr>
          <w:lang w:eastAsia="en-US"/>
        </w:rPr>
        <w:t>granular</w:t>
      </w:r>
      <w:r>
        <w:rPr>
          <w:lang w:eastAsia="en-US"/>
        </w:rPr>
        <w:t xml:space="preserve"> information on </w:t>
      </w:r>
      <w:r w:rsidR="00F53080">
        <w:rPr>
          <w:lang w:eastAsia="en-US"/>
        </w:rPr>
        <w:t xml:space="preserve">capital expenditure </w:t>
      </w:r>
      <w:r>
        <w:rPr>
          <w:lang w:eastAsia="en-US"/>
        </w:rPr>
        <w:t xml:space="preserve">by asset classes compared to the March 2022 SAU </w:t>
      </w:r>
      <w:r w:rsidR="00126F00">
        <w:rPr>
          <w:lang w:eastAsia="en-US"/>
        </w:rPr>
        <w:t>V</w:t>
      </w:r>
      <w:r>
        <w:rPr>
          <w:lang w:eastAsia="en-US"/>
        </w:rPr>
        <w:t xml:space="preserve">ariation. </w:t>
      </w:r>
      <w:r w:rsidR="008F1F45">
        <w:rPr>
          <w:lang w:eastAsia="en-US"/>
        </w:rPr>
        <w:t xml:space="preserve">However, compared to regulated entities in other </w:t>
      </w:r>
      <w:r w:rsidR="008B77E9">
        <w:rPr>
          <w:lang w:eastAsia="en-US"/>
        </w:rPr>
        <w:t xml:space="preserve">essential services, there is a noticeable lack of </w:t>
      </w:r>
      <w:r w:rsidR="00966431">
        <w:rPr>
          <w:lang w:eastAsia="en-US"/>
        </w:rPr>
        <w:t xml:space="preserve">information regarding </w:t>
      </w:r>
      <w:r w:rsidR="00126F00">
        <w:rPr>
          <w:lang w:eastAsia="en-US"/>
        </w:rPr>
        <w:t>NBN Co</w:t>
      </w:r>
      <w:r w:rsidR="00966431">
        <w:rPr>
          <w:lang w:eastAsia="en-US"/>
        </w:rPr>
        <w:t xml:space="preserve">’s </w:t>
      </w:r>
      <w:r w:rsidR="00C90427">
        <w:rPr>
          <w:lang w:eastAsia="en-US"/>
        </w:rPr>
        <w:t>capital</w:t>
      </w:r>
      <w:r w:rsidR="00966431">
        <w:rPr>
          <w:lang w:eastAsia="en-US"/>
        </w:rPr>
        <w:t xml:space="preserve"> and </w:t>
      </w:r>
      <w:r w:rsidR="00C90427">
        <w:rPr>
          <w:lang w:eastAsia="en-US"/>
        </w:rPr>
        <w:t>operational</w:t>
      </w:r>
      <w:r w:rsidR="00966431">
        <w:rPr>
          <w:lang w:eastAsia="en-US"/>
        </w:rPr>
        <w:t xml:space="preserve"> </w:t>
      </w:r>
      <w:r w:rsidR="00C90427">
        <w:rPr>
          <w:lang w:eastAsia="en-US"/>
        </w:rPr>
        <w:t>expenditure</w:t>
      </w:r>
      <w:r w:rsidR="00966431">
        <w:rPr>
          <w:lang w:eastAsia="en-US"/>
        </w:rPr>
        <w:t xml:space="preserve">. There needs to be greater scrutiny regarding </w:t>
      </w:r>
      <w:r w:rsidR="00126F00">
        <w:rPr>
          <w:lang w:eastAsia="en-US"/>
        </w:rPr>
        <w:t>NBN Co</w:t>
      </w:r>
      <w:r w:rsidR="00966431">
        <w:rPr>
          <w:lang w:eastAsia="en-US"/>
        </w:rPr>
        <w:t xml:space="preserve">’s expenditure, including explanations of why they are proposing to spend </w:t>
      </w:r>
      <w:r w:rsidR="00E93A90">
        <w:rPr>
          <w:lang w:eastAsia="en-US"/>
        </w:rPr>
        <w:t>certain amounts</w:t>
      </w:r>
      <w:r w:rsidR="00966431">
        <w:rPr>
          <w:lang w:eastAsia="en-US"/>
        </w:rPr>
        <w:t xml:space="preserve"> and </w:t>
      </w:r>
      <w:r w:rsidR="00D3493B">
        <w:rPr>
          <w:lang w:eastAsia="en-US"/>
        </w:rPr>
        <w:t>the expected consumer benefit</w:t>
      </w:r>
      <w:r w:rsidR="00966431">
        <w:rPr>
          <w:lang w:eastAsia="en-US"/>
        </w:rPr>
        <w:t xml:space="preserve">. </w:t>
      </w:r>
      <w:r w:rsidR="00C220AD">
        <w:rPr>
          <w:lang w:eastAsia="en-US"/>
        </w:rPr>
        <w:t>The framework nee</w:t>
      </w:r>
      <w:r w:rsidR="00700B85">
        <w:rPr>
          <w:lang w:eastAsia="en-US"/>
        </w:rPr>
        <w:t>ds to be as detailed as possible</w:t>
      </w:r>
      <w:r w:rsidR="00BA50B7">
        <w:rPr>
          <w:lang w:eastAsia="en-US"/>
        </w:rPr>
        <w:t>.</w:t>
      </w:r>
      <w:r w:rsidR="00700B85">
        <w:rPr>
          <w:lang w:eastAsia="en-US"/>
        </w:rPr>
        <w:t xml:space="preserve"> </w:t>
      </w:r>
    </w:p>
    <w:p w14:paraId="5E88B6F7" w14:textId="04EFEACF" w:rsidR="00591D4A" w:rsidRDefault="00700B85" w:rsidP="00300061">
      <w:pPr>
        <w:rPr>
          <w:lang w:eastAsia="en-US"/>
        </w:rPr>
      </w:pPr>
      <w:r>
        <w:rPr>
          <w:lang w:eastAsia="en-US"/>
        </w:rPr>
        <w:t>Examples of best practice can be taken from the</w:t>
      </w:r>
      <w:r w:rsidR="00996FA4">
        <w:rPr>
          <w:lang w:eastAsia="en-US"/>
        </w:rPr>
        <w:t xml:space="preserve"> </w:t>
      </w:r>
      <w:r w:rsidR="00996FA4" w:rsidRPr="00394E20">
        <w:rPr>
          <w:i/>
        </w:rPr>
        <w:t>Better Reset Handbook</w:t>
      </w:r>
      <w:r w:rsidR="00E13878">
        <w:rPr>
          <w:lang w:eastAsia="en-US"/>
        </w:rPr>
        <w:t>,</w:t>
      </w:r>
      <w:r w:rsidR="00BA50B7">
        <w:rPr>
          <w:rStyle w:val="FootnoteReference"/>
          <w:lang w:eastAsia="en-US"/>
        </w:rPr>
        <w:footnoteReference w:id="11"/>
      </w:r>
      <w:r w:rsidR="00E13878">
        <w:rPr>
          <w:lang w:eastAsia="en-US"/>
        </w:rPr>
        <w:t xml:space="preserve"> where </w:t>
      </w:r>
      <w:r w:rsidR="00591D4A">
        <w:rPr>
          <w:lang w:eastAsia="en-US"/>
        </w:rPr>
        <w:t xml:space="preserve">evidence of prudent and efficient decision making </w:t>
      </w:r>
      <w:r w:rsidR="008D7B8D">
        <w:rPr>
          <w:lang w:eastAsia="en-US"/>
        </w:rPr>
        <w:t>consists of</w:t>
      </w:r>
      <w:r w:rsidR="00782819">
        <w:rPr>
          <w:lang w:eastAsia="en-US"/>
        </w:rPr>
        <w:t xml:space="preserve"> providing</w:t>
      </w:r>
      <w:r w:rsidR="00591D4A">
        <w:rPr>
          <w:lang w:eastAsia="en-US"/>
        </w:rPr>
        <w:t>:</w:t>
      </w:r>
    </w:p>
    <w:p w14:paraId="36B8F439" w14:textId="0E6EC941" w:rsidR="00DC6CA8" w:rsidRDefault="000E5A23" w:rsidP="00394E20">
      <w:pPr>
        <w:pStyle w:val="Bulletlist1"/>
        <w:rPr>
          <w:lang w:eastAsia="en-US"/>
        </w:rPr>
      </w:pPr>
      <w:r>
        <w:rPr>
          <w:lang w:eastAsia="en-US"/>
        </w:rPr>
        <w:t>I</w:t>
      </w:r>
      <w:r w:rsidR="00DC6CA8">
        <w:rPr>
          <w:lang w:eastAsia="en-US"/>
        </w:rPr>
        <w:t xml:space="preserve">dentification and evidence of the network’s need </w:t>
      </w:r>
      <w:r w:rsidR="008E1B4D">
        <w:rPr>
          <w:lang w:eastAsia="en-US"/>
        </w:rPr>
        <w:t xml:space="preserve">for </w:t>
      </w:r>
      <w:r w:rsidR="00381CEC">
        <w:rPr>
          <w:lang w:eastAsia="en-US"/>
        </w:rPr>
        <w:t xml:space="preserve">the proposal to achieve capital expenditure objectives, with the expectation that the network will explain to the </w:t>
      </w:r>
      <w:r w:rsidR="00954D94">
        <w:rPr>
          <w:lang w:eastAsia="en-US"/>
        </w:rPr>
        <w:t>regulator</w:t>
      </w:r>
      <w:r w:rsidR="00381CEC">
        <w:rPr>
          <w:lang w:eastAsia="en-US"/>
        </w:rPr>
        <w:t xml:space="preserve"> and </w:t>
      </w:r>
      <w:r w:rsidR="00954D94">
        <w:rPr>
          <w:lang w:eastAsia="en-US"/>
        </w:rPr>
        <w:t>consumer</w:t>
      </w:r>
      <w:r w:rsidR="00381CEC">
        <w:rPr>
          <w:lang w:eastAsia="en-US"/>
        </w:rPr>
        <w:t xml:space="preserve"> groups the effects of the proposed expenditure on the service level outcomes.</w:t>
      </w:r>
    </w:p>
    <w:p w14:paraId="539D5E61" w14:textId="357E295F" w:rsidR="00381CEC" w:rsidRDefault="00782819" w:rsidP="00394E20">
      <w:pPr>
        <w:pStyle w:val="Bulletlist1"/>
        <w:rPr>
          <w:lang w:eastAsia="en-US"/>
        </w:rPr>
      </w:pPr>
      <w:r>
        <w:rPr>
          <w:lang w:eastAsia="en-US"/>
        </w:rPr>
        <w:t>Quantitative cost</w:t>
      </w:r>
      <w:r w:rsidR="004D0AAF">
        <w:rPr>
          <w:lang w:eastAsia="en-US"/>
        </w:rPr>
        <w:t>-</w:t>
      </w:r>
      <w:r>
        <w:rPr>
          <w:lang w:eastAsia="en-US"/>
        </w:rPr>
        <w:t>benefit analysis assessing all feasible options to show that the preferred option maximis</w:t>
      </w:r>
      <w:r w:rsidR="00E621FF">
        <w:rPr>
          <w:lang w:eastAsia="en-US"/>
        </w:rPr>
        <w:t>es</w:t>
      </w:r>
      <w:r>
        <w:rPr>
          <w:lang w:eastAsia="en-US"/>
        </w:rPr>
        <w:t xml:space="preserve"> net benefit</w:t>
      </w:r>
      <w:r w:rsidR="008D7B8D">
        <w:rPr>
          <w:lang w:eastAsia="en-US"/>
        </w:rPr>
        <w:t xml:space="preserve">s. </w:t>
      </w:r>
    </w:p>
    <w:p w14:paraId="4E6EC0B1" w14:textId="08ED48B9" w:rsidR="008D7B8D" w:rsidRDefault="00B32682" w:rsidP="00394E20">
      <w:pPr>
        <w:pStyle w:val="Bulletlist1"/>
        <w:rPr>
          <w:lang w:eastAsia="en-US"/>
        </w:rPr>
      </w:pPr>
      <w:r>
        <w:rPr>
          <w:lang w:eastAsia="en-US"/>
        </w:rPr>
        <w:t>Where relevant, evidence of fully accounted for trade-offs between capital expenditure and operating expenditure to show that the preferred option is prudent and efficient.</w:t>
      </w:r>
    </w:p>
    <w:p w14:paraId="41F56B5F" w14:textId="4914AB54" w:rsidR="00BF18E0" w:rsidRDefault="001D1F31" w:rsidP="00394E20">
      <w:pPr>
        <w:pStyle w:val="Bulletlist1"/>
        <w:rPr>
          <w:lang w:eastAsia="en-US"/>
        </w:rPr>
      </w:pPr>
      <w:r>
        <w:rPr>
          <w:lang w:eastAsia="en-US"/>
        </w:rPr>
        <w:t>Evidence of genuine consumer engagement on operating expenditure forecasts</w:t>
      </w:r>
      <w:r w:rsidR="00AB7966">
        <w:rPr>
          <w:lang w:eastAsia="en-US"/>
        </w:rPr>
        <w:t xml:space="preserve"> including</w:t>
      </w:r>
      <w:r w:rsidR="00A371CA">
        <w:rPr>
          <w:lang w:eastAsia="en-US"/>
        </w:rPr>
        <w:t xml:space="preserve"> </w:t>
      </w:r>
      <w:r w:rsidR="007B7BB7">
        <w:rPr>
          <w:lang w:eastAsia="en-US"/>
        </w:rPr>
        <w:t>consulting on the impact that the business’s proposed total operating expenditure forecast will have on service level outcomes</w:t>
      </w:r>
      <w:r w:rsidR="003525A4">
        <w:rPr>
          <w:lang w:eastAsia="en-US"/>
        </w:rPr>
        <w:t xml:space="preserve"> and how operating expenditure takes into consideration consumer preferences. </w:t>
      </w:r>
      <w:r w:rsidR="00AB7966">
        <w:rPr>
          <w:lang w:eastAsia="en-US"/>
        </w:rPr>
        <w:t xml:space="preserve"> </w:t>
      </w:r>
    </w:p>
    <w:p w14:paraId="1EA24C53" w14:textId="575CD6F2" w:rsidR="00E81140" w:rsidRDefault="00E81140" w:rsidP="00300061">
      <w:pPr>
        <w:rPr>
          <w:lang w:eastAsia="en-US"/>
        </w:rPr>
      </w:pPr>
      <w:r>
        <w:rPr>
          <w:lang w:eastAsia="en-US"/>
        </w:rPr>
        <w:t xml:space="preserve">We note that whilst NBN Co has provided expenditure forecasts in Appendix A of </w:t>
      </w:r>
      <w:r w:rsidR="009424C0">
        <w:rPr>
          <w:lang w:eastAsia="en-US"/>
        </w:rPr>
        <w:t xml:space="preserve">Part F of their supporting submission, there is no continuous commitment to provide similar information throughout the </w:t>
      </w:r>
      <w:r w:rsidR="00102CDA">
        <w:rPr>
          <w:lang w:eastAsia="en-US"/>
        </w:rPr>
        <w:t xml:space="preserve">duration </w:t>
      </w:r>
      <w:r w:rsidR="009424C0">
        <w:rPr>
          <w:lang w:eastAsia="en-US"/>
        </w:rPr>
        <w:t xml:space="preserve">of the SAU. </w:t>
      </w:r>
      <w:r w:rsidR="00F73FC0">
        <w:rPr>
          <w:lang w:eastAsia="en-US"/>
        </w:rPr>
        <w:t>We also note that a significant amount of information in Appendix A of Part F of NBN Co’s supporting submission is commercial in confidence, limiting the exten</w:t>
      </w:r>
      <w:r w:rsidR="00D814AB">
        <w:rPr>
          <w:lang w:eastAsia="en-US"/>
        </w:rPr>
        <w:t>t of scrutiny</w:t>
      </w:r>
      <w:r w:rsidR="00723837">
        <w:rPr>
          <w:lang w:eastAsia="en-US"/>
        </w:rPr>
        <w:t xml:space="preserve"> for significant items of expenditure e.g. labour costs</w:t>
      </w:r>
      <w:r w:rsidR="00D814AB">
        <w:rPr>
          <w:lang w:eastAsia="en-US"/>
        </w:rPr>
        <w:t xml:space="preserve">. </w:t>
      </w:r>
    </w:p>
    <w:p w14:paraId="153C906C" w14:textId="122C0963" w:rsidR="009424C0" w:rsidRPr="0091779C" w:rsidRDefault="00FD6CF3" w:rsidP="00FD6CF3">
      <w:pPr>
        <w:pStyle w:val="Recommendation"/>
        <w:rPr>
          <w:rFonts w:asciiTheme="minorHAnsi" w:hAnsiTheme="minorHAnsi" w:cstheme="minorHAnsi"/>
        </w:rPr>
      </w:pPr>
      <w:r w:rsidRPr="0091779C">
        <w:rPr>
          <w:rFonts w:asciiTheme="minorHAnsi" w:hAnsiTheme="minorHAnsi" w:cstheme="minorHAnsi"/>
        </w:rPr>
        <w:t>The SAU should require NBN Co to provide detailed information regarding</w:t>
      </w:r>
      <w:r w:rsidR="002A7763">
        <w:rPr>
          <w:rFonts w:asciiTheme="minorHAnsi" w:hAnsiTheme="minorHAnsi" w:cstheme="minorHAnsi"/>
        </w:rPr>
        <w:t xml:space="preserve"> capital</w:t>
      </w:r>
      <w:r w:rsidR="0055419D">
        <w:rPr>
          <w:rFonts w:asciiTheme="minorHAnsi" w:hAnsiTheme="minorHAnsi" w:cstheme="minorHAnsi"/>
        </w:rPr>
        <w:t xml:space="preserve">, </w:t>
      </w:r>
      <w:r w:rsidR="002A7763">
        <w:rPr>
          <w:rFonts w:asciiTheme="minorHAnsi" w:hAnsiTheme="minorHAnsi" w:cstheme="minorHAnsi"/>
        </w:rPr>
        <w:t xml:space="preserve">operational </w:t>
      </w:r>
      <w:r w:rsidR="0055419D">
        <w:rPr>
          <w:rFonts w:asciiTheme="minorHAnsi" w:hAnsiTheme="minorHAnsi" w:cstheme="minorHAnsi"/>
        </w:rPr>
        <w:t xml:space="preserve">and replacement </w:t>
      </w:r>
      <w:r w:rsidR="002A7763">
        <w:rPr>
          <w:rFonts w:asciiTheme="minorHAnsi" w:hAnsiTheme="minorHAnsi" w:cstheme="minorHAnsi"/>
        </w:rPr>
        <w:t>expenditure.</w:t>
      </w:r>
      <w:r w:rsidRPr="0091779C">
        <w:rPr>
          <w:rFonts w:asciiTheme="minorHAnsi" w:hAnsiTheme="minorHAnsi" w:cstheme="minorHAnsi"/>
        </w:rPr>
        <w:t xml:space="preserve"> </w:t>
      </w:r>
    </w:p>
    <w:p w14:paraId="764FDA96" w14:textId="77777777" w:rsidR="00CB601F" w:rsidRDefault="00C777A7" w:rsidP="00BD6747">
      <w:pPr>
        <w:pStyle w:val="Heading1"/>
        <w:rPr>
          <w:lang w:eastAsia="en-US"/>
        </w:rPr>
      </w:pPr>
      <w:bookmarkStart w:id="21" w:name="_Toc127353161"/>
      <w:bookmarkStart w:id="22" w:name="_Toc126914088"/>
      <w:r w:rsidRPr="00D954C3">
        <w:rPr>
          <w:lang w:eastAsia="en-US"/>
        </w:rPr>
        <w:t xml:space="preserve">Recovery of </w:t>
      </w:r>
      <w:r w:rsidR="00CB601F">
        <w:rPr>
          <w:lang w:eastAsia="en-US"/>
        </w:rPr>
        <w:t>A</w:t>
      </w:r>
      <w:r w:rsidRPr="00D954C3">
        <w:rPr>
          <w:lang w:eastAsia="en-US"/>
        </w:rPr>
        <w:t xml:space="preserve">ccumulated </w:t>
      </w:r>
      <w:r w:rsidR="00CB601F">
        <w:rPr>
          <w:lang w:eastAsia="en-US"/>
        </w:rPr>
        <w:t>L</w:t>
      </w:r>
      <w:r w:rsidRPr="00D954C3">
        <w:rPr>
          <w:lang w:eastAsia="en-US"/>
        </w:rPr>
        <w:t>osses</w:t>
      </w:r>
      <w:bookmarkEnd w:id="21"/>
      <w:r w:rsidR="001B0E5A" w:rsidRPr="00D954C3">
        <w:rPr>
          <w:lang w:eastAsia="en-US"/>
        </w:rPr>
        <w:t xml:space="preserve"> </w:t>
      </w:r>
    </w:p>
    <w:bookmarkEnd w:id="22"/>
    <w:p w14:paraId="155AF517" w14:textId="18D1E224" w:rsidR="00212DBC" w:rsidRDefault="00D2079F" w:rsidP="00212DBC">
      <w:r>
        <w:t>NBN</w:t>
      </w:r>
      <w:r w:rsidR="001D70F3">
        <w:t xml:space="preserve"> Co</w:t>
      </w:r>
      <w:r>
        <w:t xml:space="preserve"> has proposed significant changes to the treatment of its accumulated losses, the </w:t>
      </w:r>
      <w:r w:rsidRPr="00394E20">
        <w:t>ICRA</w:t>
      </w:r>
      <w:r>
        <w:t xml:space="preserve">. </w:t>
      </w:r>
      <w:r w:rsidR="00212DBC">
        <w:t xml:space="preserve">ACCAN welcomes significantly reducing the ICRA balance. This provides a genuine constraint to prices and reduces the uncertainty created through NBN Co having the opportunity to draw down large amounts through the ICRA. </w:t>
      </w:r>
    </w:p>
    <w:p w14:paraId="1C3C0405" w14:textId="354E1C02" w:rsidR="00C574F4" w:rsidRDefault="004142D0" w:rsidP="00C574F4">
      <w:pPr>
        <w:rPr>
          <w:rStyle w:val="Hyperlink"/>
          <w:color w:val="auto"/>
          <w:u w:val="none"/>
          <w:lang w:eastAsia="en-US"/>
        </w:rPr>
      </w:pPr>
      <w:r>
        <w:t>ACCAN welcomes NBN</w:t>
      </w:r>
      <w:r w:rsidR="00AE5B0C">
        <w:t xml:space="preserve"> Co</w:t>
      </w:r>
      <w:r>
        <w:t>’s proposal to set a core services ICRA balance of $12.5 billion as of 1 July 2023</w:t>
      </w:r>
      <w:r w:rsidR="00567402">
        <w:t xml:space="preserve">. </w:t>
      </w:r>
      <w:r w:rsidR="00142804">
        <w:rPr>
          <w:lang w:eastAsia="en-US"/>
        </w:rPr>
        <w:t>The methodologies NBN Co has used in developing its proposed opening ICRA balance of $12.5 billion appears to be an appropriate approach to achieving and maintaining a standalone investment grade credit rating.</w:t>
      </w:r>
      <w:r w:rsidR="00C574F4" w:rsidRPr="00C574F4">
        <w:rPr>
          <w:rStyle w:val="Hyperlink"/>
          <w:color w:val="auto"/>
          <w:u w:val="none"/>
          <w:lang w:eastAsia="en-US"/>
        </w:rPr>
        <w:t xml:space="preserve"> </w:t>
      </w:r>
    </w:p>
    <w:p w14:paraId="7496F87C" w14:textId="486A2173" w:rsidR="00142804" w:rsidRDefault="00654318" w:rsidP="00B9199E">
      <w:r>
        <w:rPr>
          <w:rStyle w:val="Hyperlink"/>
          <w:color w:val="auto"/>
          <w:u w:val="none"/>
          <w:lang w:eastAsia="en-US"/>
        </w:rPr>
        <w:t xml:space="preserve">We consider that the proposed arrangements are likely to promote efficient use of and investment in infrastructure in the long run. </w:t>
      </w:r>
      <w:r w:rsidR="00C574F4">
        <w:rPr>
          <w:rStyle w:val="Hyperlink"/>
          <w:color w:val="auto"/>
          <w:u w:val="none"/>
          <w:lang w:eastAsia="en-US"/>
        </w:rPr>
        <w:t xml:space="preserve">Lowering the ICRA amount will promote the efficient use of the NBN as it creates a genuine revenue constraint and therefore price cap for NBN Co. Prices which are too </w:t>
      </w:r>
      <w:r w:rsidR="00F744CD">
        <w:rPr>
          <w:rStyle w:val="Hyperlink"/>
          <w:color w:val="auto"/>
          <w:u w:val="none"/>
          <w:lang w:eastAsia="en-US"/>
        </w:rPr>
        <w:t>high creates</w:t>
      </w:r>
      <w:r w:rsidR="00BD16A7">
        <w:rPr>
          <w:rStyle w:val="Hyperlink"/>
          <w:color w:val="auto"/>
          <w:u w:val="none"/>
          <w:lang w:eastAsia="en-US"/>
        </w:rPr>
        <w:t xml:space="preserve"> </w:t>
      </w:r>
      <w:r w:rsidR="00F744CD">
        <w:rPr>
          <w:rStyle w:val="Hyperlink"/>
          <w:color w:val="auto"/>
          <w:u w:val="none"/>
          <w:lang w:eastAsia="en-US"/>
        </w:rPr>
        <w:t>risk</w:t>
      </w:r>
      <w:r w:rsidR="00BD16A7">
        <w:rPr>
          <w:rStyle w:val="Hyperlink"/>
          <w:color w:val="auto"/>
          <w:u w:val="none"/>
          <w:lang w:eastAsia="en-US"/>
        </w:rPr>
        <w:t xml:space="preserve"> of</w:t>
      </w:r>
      <w:r w:rsidR="00C574F4">
        <w:rPr>
          <w:rStyle w:val="Hyperlink"/>
          <w:color w:val="auto"/>
          <w:u w:val="none"/>
          <w:lang w:eastAsia="en-US"/>
        </w:rPr>
        <w:t xml:space="preserve"> inefficient bypass of the network. </w:t>
      </w:r>
      <w:r w:rsidR="00DF4B0E">
        <w:rPr>
          <w:rStyle w:val="Hyperlink"/>
          <w:color w:val="auto"/>
          <w:u w:val="none"/>
          <w:lang w:eastAsia="en-US"/>
        </w:rPr>
        <w:t>E</w:t>
      </w:r>
      <w:r w:rsidR="00C85C07">
        <w:rPr>
          <w:rStyle w:val="Hyperlink"/>
          <w:color w:val="auto"/>
          <w:u w:val="none"/>
          <w:lang w:eastAsia="en-US"/>
        </w:rPr>
        <w:t xml:space="preserve">xcessive pricing that results in bypass of the network </w:t>
      </w:r>
      <w:r w:rsidR="003822B0">
        <w:rPr>
          <w:rStyle w:val="Hyperlink"/>
          <w:color w:val="auto"/>
          <w:u w:val="none"/>
          <w:lang w:eastAsia="en-US"/>
        </w:rPr>
        <w:t>can result in</w:t>
      </w:r>
      <w:r w:rsidR="00DF4B0E">
        <w:rPr>
          <w:rStyle w:val="Hyperlink"/>
          <w:color w:val="auto"/>
          <w:u w:val="none"/>
          <w:lang w:eastAsia="en-US"/>
        </w:rPr>
        <w:t xml:space="preserve"> inefficient infrastructure duplication</w:t>
      </w:r>
      <w:r w:rsidR="00C85C07">
        <w:rPr>
          <w:rStyle w:val="Hyperlink"/>
          <w:color w:val="auto"/>
          <w:u w:val="none"/>
          <w:lang w:eastAsia="en-US"/>
        </w:rPr>
        <w:t xml:space="preserve">. </w:t>
      </w:r>
      <w:r w:rsidR="00BD16A7">
        <w:rPr>
          <w:rStyle w:val="Hyperlink"/>
          <w:color w:val="auto"/>
          <w:u w:val="none"/>
          <w:lang w:eastAsia="en-US"/>
        </w:rPr>
        <w:t>Thus,</w:t>
      </w:r>
      <w:r w:rsidR="00C574F4">
        <w:rPr>
          <w:rStyle w:val="Hyperlink"/>
          <w:color w:val="auto"/>
          <w:u w:val="none"/>
          <w:lang w:eastAsia="en-US"/>
        </w:rPr>
        <w:t xml:space="preserve"> the proposal to remove a significant proportion of the ICRA</w:t>
      </w:r>
      <w:r w:rsidR="00F2408C">
        <w:rPr>
          <w:rStyle w:val="Hyperlink"/>
          <w:color w:val="auto"/>
          <w:u w:val="none"/>
          <w:lang w:eastAsia="en-US"/>
        </w:rPr>
        <w:t xml:space="preserve"> works to</w:t>
      </w:r>
      <w:r w:rsidR="00C574F4">
        <w:rPr>
          <w:rStyle w:val="Hyperlink"/>
          <w:color w:val="auto"/>
          <w:u w:val="none"/>
          <w:lang w:eastAsia="en-US"/>
        </w:rPr>
        <w:t xml:space="preserve"> remediate these concerns. </w:t>
      </w:r>
    </w:p>
    <w:p w14:paraId="32361949" w14:textId="4FD8B895" w:rsidR="00AB4452" w:rsidRDefault="00567402" w:rsidP="00B9199E">
      <w:r>
        <w:t>NBN</w:t>
      </w:r>
      <w:r w:rsidR="00AE5B0C">
        <w:t xml:space="preserve"> Co</w:t>
      </w:r>
      <w:r>
        <w:t xml:space="preserve"> will be given the opportunity to recover $1 </w:t>
      </w:r>
      <w:r w:rsidR="006246DD">
        <w:t>b</w:t>
      </w:r>
      <w:r>
        <w:t xml:space="preserve">illion of the ICRA </w:t>
      </w:r>
      <w:r w:rsidR="00AB4452">
        <w:t xml:space="preserve">until 2032, the size of the ICRA drawdowns will be determined through the replacement module process. ACCAN supports this proposal as we consider that the ACCC has sufficient oversight of the replacement module process to </w:t>
      </w:r>
      <w:r w:rsidR="00706DB2">
        <w:t xml:space="preserve">reduce the risk of price shocks. Any portion of the $1 billion that is not recovered by 2032 will be extinguished. </w:t>
      </w:r>
    </w:p>
    <w:p w14:paraId="4B5D31F0" w14:textId="1526E3A8" w:rsidR="00706DB2" w:rsidRDefault="00706DB2" w:rsidP="00B9199E">
      <w:r>
        <w:t xml:space="preserve">NBN </w:t>
      </w:r>
      <w:r w:rsidR="00AE5B0C">
        <w:t xml:space="preserve">Co </w:t>
      </w:r>
      <w:r>
        <w:t>will then have the opportunity to recover up to $11.5 billion of the ICRA in the post</w:t>
      </w:r>
      <w:r w:rsidR="00B82938">
        <w:t>-</w:t>
      </w:r>
      <w:r>
        <w:t>2032 regulatory period.</w:t>
      </w:r>
      <w:r w:rsidR="001215FE">
        <w:t xml:space="preserve"> The size of the ICRA drawdown amounts will again be determined by the replacement module process</w:t>
      </w:r>
      <w:r w:rsidR="003B4A42">
        <w:t>,</w:t>
      </w:r>
      <w:r w:rsidR="001215FE">
        <w:t xml:space="preserve"> </w:t>
      </w:r>
      <w:r w:rsidR="008F0DEC">
        <w:t xml:space="preserve">however the ACCC will be limited </w:t>
      </w:r>
      <w:r w:rsidR="00E93038">
        <w:t>due to the requirement</w:t>
      </w:r>
      <w:r w:rsidR="00531790">
        <w:t xml:space="preserve"> to have regard to NBN</w:t>
      </w:r>
      <w:r w:rsidR="001D70F3">
        <w:t xml:space="preserve"> Co</w:t>
      </w:r>
      <w:r w:rsidR="00E93038">
        <w:t xml:space="preserve"> achieving and maintaining a </w:t>
      </w:r>
      <w:r w:rsidR="00531790">
        <w:t>stand</w:t>
      </w:r>
      <w:r w:rsidR="00E93038">
        <w:t>-</w:t>
      </w:r>
      <w:r w:rsidR="00531790">
        <w:t xml:space="preserve">alone </w:t>
      </w:r>
      <w:r w:rsidR="007757B1">
        <w:t xml:space="preserve">investment grade </w:t>
      </w:r>
      <w:r w:rsidR="00531790">
        <w:t xml:space="preserve">credit rating. </w:t>
      </w:r>
    </w:p>
    <w:p w14:paraId="0D99DBF4" w14:textId="6C393CFD" w:rsidR="005B6BBE" w:rsidRDefault="00531790" w:rsidP="00B9199E">
      <w:pPr>
        <w:rPr>
          <w:rStyle w:val="Hyperlink"/>
          <w:color w:val="auto"/>
          <w:u w:val="none"/>
          <w:lang w:eastAsia="en-US"/>
        </w:rPr>
      </w:pPr>
      <w:r>
        <w:t xml:space="preserve">ACCAN welcomes </w:t>
      </w:r>
      <w:r w:rsidR="00551D96">
        <w:t>NBN Co</w:t>
      </w:r>
      <w:r>
        <w:t xml:space="preserve">’s decision to remove the </w:t>
      </w:r>
      <w:proofErr w:type="spellStart"/>
      <w:r>
        <w:t>u</w:t>
      </w:r>
      <w:r w:rsidR="00DE432A">
        <w:t>nders</w:t>
      </w:r>
      <w:proofErr w:type="spellEnd"/>
      <w:r w:rsidR="00DE432A">
        <w:t xml:space="preserve"> and overs mechanism</w:t>
      </w:r>
      <w:r w:rsidR="00825946">
        <w:t xml:space="preserve"> from the SAU Variation</w:t>
      </w:r>
      <w:r w:rsidR="00DE432A">
        <w:t xml:space="preserve">, and that no new losses or under-recovered amounts will be included in the ICRA. We </w:t>
      </w:r>
      <w:r w:rsidR="00DE432A">
        <w:rPr>
          <w:rStyle w:val="Hyperlink"/>
          <w:color w:val="auto"/>
          <w:u w:val="none"/>
          <w:lang w:eastAsia="en-US"/>
        </w:rPr>
        <w:t>are also pleased</w:t>
      </w:r>
      <w:r w:rsidR="005B6BBE" w:rsidRPr="00076331">
        <w:rPr>
          <w:rStyle w:val="Hyperlink"/>
          <w:color w:val="auto"/>
          <w:u w:val="none"/>
          <w:lang w:eastAsia="en-US"/>
        </w:rPr>
        <w:t xml:space="preserve"> to see that there are arrangements for the ICRA on </w:t>
      </w:r>
      <w:r w:rsidR="00E5585C" w:rsidRPr="00076331">
        <w:rPr>
          <w:rStyle w:val="Hyperlink"/>
          <w:color w:val="auto"/>
          <w:u w:val="none"/>
          <w:lang w:eastAsia="en-US"/>
        </w:rPr>
        <w:t xml:space="preserve">finishing the SAU, </w:t>
      </w:r>
      <w:r w:rsidR="00A544DF">
        <w:rPr>
          <w:rStyle w:val="Hyperlink"/>
          <w:color w:val="auto"/>
          <w:u w:val="none"/>
          <w:lang w:eastAsia="en-US"/>
        </w:rPr>
        <w:t>where</w:t>
      </w:r>
      <w:r w:rsidR="00E5585C" w:rsidRPr="00076331">
        <w:rPr>
          <w:rStyle w:val="Hyperlink"/>
          <w:color w:val="auto"/>
          <w:u w:val="none"/>
          <w:lang w:eastAsia="en-US"/>
        </w:rPr>
        <w:t xml:space="preserve"> the ICRA will be set to $0 in 2040</w:t>
      </w:r>
      <w:r w:rsidR="00E51611">
        <w:rPr>
          <w:rStyle w:val="Hyperlink"/>
          <w:color w:val="auto"/>
          <w:u w:val="none"/>
          <w:lang w:eastAsia="en-US"/>
        </w:rPr>
        <w:t xml:space="preserve">, removing the uncertainty of what </w:t>
      </w:r>
      <w:r w:rsidR="00A544DF">
        <w:rPr>
          <w:rStyle w:val="Hyperlink"/>
          <w:color w:val="auto"/>
          <w:u w:val="none"/>
          <w:lang w:eastAsia="en-US"/>
        </w:rPr>
        <w:t>is to</w:t>
      </w:r>
      <w:r w:rsidR="00E51611">
        <w:rPr>
          <w:rStyle w:val="Hyperlink"/>
          <w:color w:val="auto"/>
          <w:u w:val="none"/>
          <w:lang w:eastAsia="en-US"/>
        </w:rPr>
        <w:t xml:space="preserve"> happen to the ICRA </w:t>
      </w:r>
      <w:r w:rsidR="00A544DF">
        <w:rPr>
          <w:rStyle w:val="Hyperlink"/>
          <w:color w:val="auto"/>
          <w:u w:val="none"/>
          <w:lang w:eastAsia="en-US"/>
        </w:rPr>
        <w:t>at the end of the SAU period</w:t>
      </w:r>
      <w:r w:rsidR="00E51611">
        <w:rPr>
          <w:rStyle w:val="Hyperlink"/>
          <w:color w:val="auto"/>
          <w:u w:val="none"/>
          <w:lang w:eastAsia="en-US"/>
        </w:rPr>
        <w:t xml:space="preserve">. </w:t>
      </w:r>
    </w:p>
    <w:p w14:paraId="73873C22" w14:textId="2A495578" w:rsidR="00CE020A" w:rsidRPr="00D954C3" w:rsidRDefault="00136DEC" w:rsidP="00136DEC">
      <w:pPr>
        <w:pStyle w:val="Heading1"/>
        <w:rPr>
          <w:lang w:eastAsia="en-US"/>
        </w:rPr>
      </w:pPr>
      <w:bookmarkStart w:id="23" w:name="_Toc126914089"/>
      <w:bookmarkStart w:id="24" w:name="_Toc127353162"/>
      <w:r w:rsidRPr="00D954C3">
        <w:rPr>
          <w:lang w:eastAsia="en-US"/>
        </w:rPr>
        <w:t xml:space="preserve">Expenditure </w:t>
      </w:r>
      <w:r w:rsidR="00794385">
        <w:t>C</w:t>
      </w:r>
      <w:r w:rsidR="00C777A7" w:rsidRPr="00BD6747">
        <w:t>riteria</w:t>
      </w:r>
      <w:bookmarkEnd w:id="23"/>
      <w:r w:rsidR="001B0E5A" w:rsidRPr="00D954C3">
        <w:rPr>
          <w:lang w:eastAsia="en-US"/>
        </w:rPr>
        <w:t xml:space="preserve"> </w:t>
      </w:r>
      <w:bookmarkEnd w:id="24"/>
    </w:p>
    <w:p w14:paraId="45C9EBE5" w14:textId="03387369" w:rsidR="00EA219B" w:rsidRDefault="00EA219B">
      <w:pPr>
        <w:rPr>
          <w:rStyle w:val="cf01"/>
          <w:rFonts w:asciiTheme="minorHAnsi" w:hAnsiTheme="minorHAnsi" w:cstheme="minorHAnsi"/>
          <w:sz w:val="22"/>
          <w:szCs w:val="22"/>
        </w:rPr>
      </w:pPr>
      <w:r w:rsidRPr="00D954C3">
        <w:rPr>
          <w:rStyle w:val="cf01"/>
          <w:rFonts w:asciiTheme="minorHAnsi" w:hAnsiTheme="minorHAnsi" w:cstheme="minorHAnsi"/>
          <w:sz w:val="22"/>
          <w:szCs w:val="22"/>
        </w:rPr>
        <w:t xml:space="preserve">ACCAN considers that NBN Co should face greater incentives to increase productivity over the duration of the SAU. We note that in the Module 2 the X factor is set to 0, and in Module 3 the </w:t>
      </w:r>
      <w:r w:rsidR="00C3458C">
        <w:rPr>
          <w:rStyle w:val="cf01"/>
          <w:rFonts w:asciiTheme="minorHAnsi" w:hAnsiTheme="minorHAnsi" w:cstheme="minorHAnsi"/>
          <w:sz w:val="22"/>
          <w:szCs w:val="22"/>
        </w:rPr>
        <w:t>X</w:t>
      </w:r>
      <w:r w:rsidR="00C3458C" w:rsidRPr="00D954C3">
        <w:rPr>
          <w:rStyle w:val="cf01"/>
          <w:rFonts w:asciiTheme="minorHAnsi" w:hAnsiTheme="minorHAnsi" w:cstheme="minorHAnsi"/>
          <w:sz w:val="22"/>
          <w:szCs w:val="22"/>
        </w:rPr>
        <w:t xml:space="preserve"> </w:t>
      </w:r>
      <w:r w:rsidRPr="00D954C3">
        <w:rPr>
          <w:rStyle w:val="cf01"/>
          <w:rFonts w:asciiTheme="minorHAnsi" w:hAnsiTheme="minorHAnsi" w:cstheme="minorHAnsi"/>
          <w:sz w:val="22"/>
          <w:szCs w:val="22"/>
        </w:rPr>
        <w:t xml:space="preserve">factor will be determined by NBN Co's BBM, where it could be positive or negative. We recommend that the ACCC consider how NBN </w:t>
      </w:r>
      <w:r w:rsidR="002464E3">
        <w:rPr>
          <w:rStyle w:val="cf01"/>
          <w:rFonts w:asciiTheme="minorHAnsi" w:hAnsiTheme="minorHAnsi" w:cstheme="minorHAnsi"/>
          <w:sz w:val="22"/>
          <w:szCs w:val="22"/>
        </w:rPr>
        <w:t>Co</w:t>
      </w:r>
      <w:r w:rsidRPr="00D954C3">
        <w:rPr>
          <w:rStyle w:val="cf01"/>
          <w:rFonts w:asciiTheme="minorHAnsi" w:hAnsiTheme="minorHAnsi" w:cstheme="minorHAnsi"/>
          <w:sz w:val="22"/>
          <w:szCs w:val="22"/>
        </w:rPr>
        <w:t xml:space="preserve"> can be incentivised to improve efficiency and reduce costs going into the BBM. </w:t>
      </w:r>
    </w:p>
    <w:p w14:paraId="1224951E" w14:textId="2BA1DCB8" w:rsidR="00A260CC" w:rsidRPr="00D954C3" w:rsidRDefault="00A260CC" w:rsidP="0054189F">
      <w:pPr>
        <w:rPr>
          <w:rStyle w:val="cf01"/>
          <w:rFonts w:asciiTheme="minorHAnsi" w:hAnsiTheme="minorHAnsi" w:cstheme="minorHAnsi"/>
          <w:sz w:val="22"/>
          <w:szCs w:val="22"/>
        </w:rPr>
      </w:pPr>
      <w:r>
        <w:rPr>
          <w:rStyle w:val="cf01"/>
          <w:rFonts w:asciiTheme="minorHAnsi" w:hAnsiTheme="minorHAnsi" w:cstheme="minorHAnsi"/>
          <w:sz w:val="22"/>
          <w:szCs w:val="22"/>
        </w:rPr>
        <w:t>ACCAN notes that in other infrastructure industries that productivity factors are currently set to a minimum of 0.5% per annum.</w:t>
      </w:r>
      <w:r w:rsidR="00F66C2C">
        <w:rPr>
          <w:rStyle w:val="FootnoteReference"/>
          <w:rFonts w:cstheme="minorHAnsi"/>
        </w:rPr>
        <w:footnoteReference w:id="12"/>
      </w:r>
      <w:r>
        <w:rPr>
          <w:rStyle w:val="cf01"/>
          <w:rFonts w:asciiTheme="minorHAnsi" w:hAnsiTheme="minorHAnsi" w:cstheme="minorHAnsi"/>
          <w:sz w:val="22"/>
          <w:szCs w:val="22"/>
        </w:rPr>
        <w:t xml:space="preserve"> While we note that the applicable productivity factor for the telecommunications sector will differ, we consider that it is appropriate for a productivity factor to be applied to NBN Co to set incentives for efficient operation.</w:t>
      </w:r>
    </w:p>
    <w:p w14:paraId="7811172C" w14:textId="33079185" w:rsidR="00A8259C" w:rsidRPr="0054189F" w:rsidRDefault="00A8259C" w:rsidP="0054189F">
      <w:pPr>
        <w:pStyle w:val="Recommendation"/>
        <w:rPr>
          <w:rFonts w:asciiTheme="minorHAnsi" w:hAnsiTheme="minorHAnsi" w:cstheme="minorHAnsi"/>
        </w:rPr>
      </w:pPr>
      <w:r w:rsidRPr="0054189F">
        <w:rPr>
          <w:rFonts w:asciiTheme="minorHAnsi" w:hAnsiTheme="minorHAnsi" w:cstheme="minorHAnsi"/>
        </w:rPr>
        <w:t xml:space="preserve">The ACCC should consider how to </w:t>
      </w:r>
      <w:r w:rsidR="002612C5">
        <w:rPr>
          <w:rFonts w:asciiTheme="minorHAnsi" w:hAnsiTheme="minorHAnsi" w:cstheme="minorHAnsi"/>
        </w:rPr>
        <w:t xml:space="preserve">provide </w:t>
      </w:r>
      <w:r w:rsidRPr="009B7DD2">
        <w:rPr>
          <w:rFonts w:asciiTheme="minorHAnsi" w:hAnsiTheme="minorHAnsi" w:cstheme="minorHAnsi"/>
        </w:rPr>
        <w:t>incentive</w:t>
      </w:r>
      <w:r w:rsidR="002612C5">
        <w:rPr>
          <w:rFonts w:asciiTheme="minorHAnsi" w:hAnsiTheme="minorHAnsi" w:cstheme="minorHAnsi"/>
        </w:rPr>
        <w:t>s for</w:t>
      </w:r>
      <w:r w:rsidRPr="0054189F">
        <w:rPr>
          <w:rFonts w:asciiTheme="minorHAnsi" w:hAnsiTheme="minorHAnsi" w:cstheme="minorHAnsi"/>
        </w:rPr>
        <w:t xml:space="preserve"> NBN Co to achieve efficiency gains and reduce capital and operational costs over the </w:t>
      </w:r>
      <w:r w:rsidR="00066E97">
        <w:rPr>
          <w:rFonts w:asciiTheme="minorHAnsi" w:hAnsiTheme="minorHAnsi" w:cstheme="minorHAnsi"/>
        </w:rPr>
        <w:t>duration</w:t>
      </w:r>
      <w:r w:rsidR="00066E97" w:rsidRPr="0054189F">
        <w:rPr>
          <w:rFonts w:asciiTheme="minorHAnsi" w:hAnsiTheme="minorHAnsi" w:cstheme="minorHAnsi"/>
        </w:rPr>
        <w:t xml:space="preserve"> </w:t>
      </w:r>
      <w:r w:rsidRPr="0054189F">
        <w:rPr>
          <w:rFonts w:asciiTheme="minorHAnsi" w:hAnsiTheme="minorHAnsi" w:cstheme="minorHAnsi"/>
        </w:rPr>
        <w:t xml:space="preserve">of the SAU. </w:t>
      </w:r>
    </w:p>
    <w:p w14:paraId="44C03160" w14:textId="475051A8" w:rsidR="002D3D7B" w:rsidRDefault="00D34C4A" w:rsidP="00CE020A">
      <w:pPr>
        <w:rPr>
          <w:lang w:eastAsia="en-US"/>
        </w:rPr>
      </w:pPr>
      <w:r>
        <w:rPr>
          <w:lang w:eastAsia="en-US"/>
        </w:rPr>
        <w:t xml:space="preserve">ACCAN </w:t>
      </w:r>
      <w:r w:rsidR="00CF7FF4">
        <w:rPr>
          <w:lang w:eastAsia="en-US"/>
        </w:rPr>
        <w:t>welcomes</w:t>
      </w:r>
      <w:r>
        <w:rPr>
          <w:lang w:eastAsia="en-US"/>
        </w:rPr>
        <w:t xml:space="preserve"> the </w:t>
      </w:r>
      <w:r w:rsidR="00654F7A">
        <w:rPr>
          <w:lang w:eastAsia="en-US"/>
        </w:rPr>
        <w:t xml:space="preserve">proposed </w:t>
      </w:r>
      <w:r>
        <w:rPr>
          <w:lang w:eastAsia="en-US"/>
        </w:rPr>
        <w:t xml:space="preserve">change of </w:t>
      </w:r>
      <w:r w:rsidR="00654F7A">
        <w:rPr>
          <w:lang w:eastAsia="en-US"/>
        </w:rPr>
        <w:t xml:space="preserve">approach </w:t>
      </w:r>
      <w:r>
        <w:rPr>
          <w:lang w:eastAsia="en-US"/>
        </w:rPr>
        <w:t xml:space="preserve">regarding definitions of </w:t>
      </w:r>
      <w:r w:rsidR="00654F7A">
        <w:rPr>
          <w:lang w:eastAsia="en-US"/>
        </w:rPr>
        <w:t>prudency and efficiency</w:t>
      </w:r>
      <w:r w:rsidR="00157C3B">
        <w:rPr>
          <w:lang w:eastAsia="en-US"/>
        </w:rPr>
        <w:t>.</w:t>
      </w:r>
      <w:r w:rsidR="00CF7FF4">
        <w:rPr>
          <w:lang w:eastAsia="en-US"/>
        </w:rPr>
        <w:t xml:space="preserve"> We support</w:t>
      </w:r>
      <w:r w:rsidR="00157C3B">
        <w:rPr>
          <w:lang w:eastAsia="en-US"/>
        </w:rPr>
        <w:t xml:space="preserve"> NBN Co</w:t>
      </w:r>
      <w:r w:rsidR="00CF7FF4">
        <w:rPr>
          <w:lang w:eastAsia="en-US"/>
        </w:rPr>
        <w:t>’s</w:t>
      </w:r>
      <w:r w:rsidR="0054189F">
        <w:rPr>
          <w:lang w:eastAsia="en-US"/>
        </w:rPr>
        <w:t xml:space="preserve"> </w:t>
      </w:r>
      <w:r w:rsidR="00157C3B">
        <w:rPr>
          <w:lang w:eastAsia="en-US"/>
        </w:rPr>
        <w:t>propos</w:t>
      </w:r>
      <w:r w:rsidR="00CF7FF4">
        <w:rPr>
          <w:lang w:eastAsia="en-US"/>
        </w:rPr>
        <w:t>al</w:t>
      </w:r>
      <w:r w:rsidR="0054189F">
        <w:rPr>
          <w:lang w:eastAsia="en-US"/>
        </w:rPr>
        <w:t xml:space="preserve"> </w:t>
      </w:r>
      <w:r w:rsidR="00654F7A">
        <w:rPr>
          <w:lang w:eastAsia="en-US"/>
        </w:rPr>
        <w:t xml:space="preserve">to leave these terms undefined </w:t>
      </w:r>
      <w:r w:rsidR="00AF341D">
        <w:rPr>
          <w:lang w:eastAsia="en-US"/>
        </w:rPr>
        <w:t>and allow the interpretations</w:t>
      </w:r>
      <w:r w:rsidR="00157C3B">
        <w:rPr>
          <w:lang w:eastAsia="en-US"/>
        </w:rPr>
        <w:t xml:space="preserve"> </w:t>
      </w:r>
      <w:r w:rsidR="00731F11">
        <w:rPr>
          <w:lang w:eastAsia="en-US"/>
        </w:rPr>
        <w:t>and application of the terms to evolve over time with best practice.</w:t>
      </w:r>
      <w:r w:rsidR="00AF341D">
        <w:rPr>
          <w:lang w:eastAsia="en-US"/>
        </w:rPr>
        <w:t xml:space="preserve"> </w:t>
      </w:r>
      <w:r w:rsidR="00D10FEC">
        <w:rPr>
          <w:lang w:eastAsia="en-US"/>
        </w:rPr>
        <w:t xml:space="preserve">Additionally, </w:t>
      </w:r>
      <w:r w:rsidR="00887F30">
        <w:rPr>
          <w:lang w:eastAsia="en-US"/>
        </w:rPr>
        <w:t xml:space="preserve">NBN Co has proposed </w:t>
      </w:r>
      <w:r w:rsidR="00991C90">
        <w:rPr>
          <w:lang w:eastAsia="en-US"/>
        </w:rPr>
        <w:t xml:space="preserve">numerous </w:t>
      </w:r>
      <w:r w:rsidR="00887F30">
        <w:rPr>
          <w:lang w:eastAsia="en-US"/>
        </w:rPr>
        <w:t xml:space="preserve">changes </w:t>
      </w:r>
      <w:r w:rsidR="00991C90">
        <w:rPr>
          <w:lang w:eastAsia="en-US"/>
        </w:rPr>
        <w:t>regarding how expenditures are treated, including</w:t>
      </w:r>
      <w:r w:rsidR="00B7534F">
        <w:rPr>
          <w:lang w:eastAsia="en-US"/>
        </w:rPr>
        <w:t xml:space="preserve"> how</w:t>
      </w:r>
      <w:r w:rsidR="00991C90">
        <w:rPr>
          <w:lang w:eastAsia="en-US"/>
        </w:rPr>
        <w:t xml:space="preserve"> </w:t>
      </w:r>
      <w:r w:rsidR="00B7534F">
        <w:rPr>
          <w:lang w:eastAsia="en-US"/>
        </w:rPr>
        <w:t>expenditure is</w:t>
      </w:r>
      <w:r w:rsidR="00203B66">
        <w:rPr>
          <w:lang w:eastAsia="en-US"/>
        </w:rPr>
        <w:t xml:space="preserve"> treated in the </w:t>
      </w:r>
      <w:r w:rsidR="00887F30">
        <w:rPr>
          <w:lang w:eastAsia="en-US"/>
        </w:rPr>
        <w:t>RMAs</w:t>
      </w:r>
      <w:r w:rsidR="00203B66">
        <w:rPr>
          <w:lang w:eastAsia="en-US"/>
        </w:rPr>
        <w:t>, expenditure</w:t>
      </w:r>
      <w:r w:rsidR="00991C90">
        <w:rPr>
          <w:lang w:eastAsia="en-US"/>
        </w:rPr>
        <w:t xml:space="preserve">s </w:t>
      </w:r>
      <w:r w:rsidR="00203B66">
        <w:rPr>
          <w:lang w:eastAsia="en-US"/>
        </w:rPr>
        <w:t xml:space="preserve">on government-directed projects, forecasting operating and capital expenditures, as well as </w:t>
      </w:r>
      <w:r w:rsidR="00CF4A85">
        <w:rPr>
          <w:lang w:eastAsia="en-US"/>
        </w:rPr>
        <w:t>adjustments to revenue mid-regulatory cycle.</w:t>
      </w:r>
      <w:r w:rsidR="00F62145">
        <w:rPr>
          <w:lang w:eastAsia="en-US"/>
        </w:rPr>
        <w:t xml:space="preserve"> Our comments on these changes are provided below.</w:t>
      </w:r>
      <w:r w:rsidR="00CF4A85">
        <w:rPr>
          <w:lang w:eastAsia="en-US"/>
        </w:rPr>
        <w:t xml:space="preserve"> </w:t>
      </w:r>
    </w:p>
    <w:p w14:paraId="64117A63" w14:textId="4D06A3C5" w:rsidR="009817CE" w:rsidRPr="0054189F" w:rsidRDefault="009817CE" w:rsidP="00394E20">
      <w:pPr>
        <w:pStyle w:val="Heading2"/>
      </w:pPr>
      <w:r w:rsidRPr="00AD2B68">
        <w:t xml:space="preserve">New </w:t>
      </w:r>
      <w:r w:rsidR="00794385">
        <w:t>C</w:t>
      </w:r>
      <w:r w:rsidRPr="009B7DD2">
        <w:t xml:space="preserve">onsultation </w:t>
      </w:r>
      <w:r w:rsidR="00794385">
        <w:t>O</w:t>
      </w:r>
      <w:r w:rsidRPr="009B7DD2">
        <w:t>bligations</w:t>
      </w:r>
      <w:r w:rsidRPr="00AD2B68">
        <w:t xml:space="preserve"> </w:t>
      </w:r>
    </w:p>
    <w:p w14:paraId="5C7511AF" w14:textId="309EE73E" w:rsidR="00481F33" w:rsidRDefault="009817CE" w:rsidP="003163FB">
      <w:pPr>
        <w:rPr>
          <w:lang w:eastAsia="en-US"/>
        </w:rPr>
      </w:pPr>
      <w:r>
        <w:rPr>
          <w:lang w:eastAsia="en-US"/>
        </w:rPr>
        <w:t>ACCAN welcomes NBN</w:t>
      </w:r>
      <w:r w:rsidR="00F62145">
        <w:rPr>
          <w:lang w:eastAsia="en-US"/>
        </w:rPr>
        <w:t xml:space="preserve"> Co</w:t>
      </w:r>
      <w:r>
        <w:rPr>
          <w:lang w:eastAsia="en-US"/>
        </w:rPr>
        <w:t xml:space="preserve">’s proposal to hold consultation regarding </w:t>
      </w:r>
      <w:r w:rsidR="00757C83">
        <w:rPr>
          <w:lang w:eastAsia="en-US"/>
        </w:rPr>
        <w:t>RMA</w:t>
      </w:r>
      <w:r w:rsidR="00813019">
        <w:rPr>
          <w:lang w:eastAsia="en-US"/>
        </w:rPr>
        <w:t>, including on the relevant expenditure which NBN</w:t>
      </w:r>
      <w:r w:rsidR="00757C83">
        <w:rPr>
          <w:lang w:eastAsia="en-US"/>
        </w:rPr>
        <w:t xml:space="preserve"> Co</w:t>
      </w:r>
      <w:r w:rsidR="00813019">
        <w:rPr>
          <w:lang w:eastAsia="en-US"/>
        </w:rPr>
        <w:t xml:space="preserve"> proposes to undertake in that regulatory cycle. </w:t>
      </w:r>
      <w:r w:rsidR="00041749">
        <w:rPr>
          <w:lang w:eastAsia="en-US"/>
        </w:rPr>
        <w:t>W</w:t>
      </w:r>
      <w:r w:rsidR="00813019">
        <w:rPr>
          <w:lang w:eastAsia="en-US"/>
        </w:rPr>
        <w:t xml:space="preserve">e consider that </w:t>
      </w:r>
      <w:r w:rsidR="009B7DD2">
        <w:rPr>
          <w:lang w:eastAsia="en-US"/>
        </w:rPr>
        <w:t xml:space="preserve">longer </w:t>
      </w:r>
      <w:r w:rsidR="00813019">
        <w:rPr>
          <w:lang w:eastAsia="en-US"/>
        </w:rPr>
        <w:t xml:space="preserve">timeframes and resourcing </w:t>
      </w:r>
      <w:r w:rsidR="00481F33">
        <w:rPr>
          <w:lang w:eastAsia="en-US"/>
        </w:rPr>
        <w:t xml:space="preserve">is required </w:t>
      </w:r>
      <w:r w:rsidR="009F0F5B">
        <w:rPr>
          <w:lang w:eastAsia="en-US"/>
        </w:rPr>
        <w:t xml:space="preserve">to </w:t>
      </w:r>
      <w:r w:rsidR="00813019">
        <w:rPr>
          <w:lang w:eastAsia="en-US"/>
        </w:rPr>
        <w:t xml:space="preserve">ensure that this consultation results in genuine engagement.  </w:t>
      </w:r>
    </w:p>
    <w:p w14:paraId="5521A721" w14:textId="7FF956B1" w:rsidR="004035CE" w:rsidRDefault="003163FB" w:rsidP="003163FB">
      <w:pPr>
        <w:rPr>
          <w:lang w:eastAsia="en-US"/>
        </w:rPr>
      </w:pPr>
      <w:r>
        <w:rPr>
          <w:lang w:eastAsia="en-US"/>
        </w:rPr>
        <w:t>T</w:t>
      </w:r>
      <w:r w:rsidR="00813019">
        <w:rPr>
          <w:lang w:eastAsia="en-US"/>
        </w:rPr>
        <w:t xml:space="preserve">here needs to be greater detail provided by NBN </w:t>
      </w:r>
      <w:r w:rsidR="00C93F2C">
        <w:rPr>
          <w:lang w:eastAsia="en-US"/>
        </w:rPr>
        <w:t xml:space="preserve">Co </w:t>
      </w:r>
      <w:r w:rsidR="00813019">
        <w:rPr>
          <w:lang w:eastAsia="en-US"/>
        </w:rPr>
        <w:t xml:space="preserve">regarding its expenditure. There is no commitment that NBN </w:t>
      </w:r>
      <w:r w:rsidR="00757C83">
        <w:rPr>
          <w:lang w:eastAsia="en-US"/>
        </w:rPr>
        <w:t xml:space="preserve">Co </w:t>
      </w:r>
      <w:r w:rsidR="00813019">
        <w:rPr>
          <w:lang w:eastAsia="en-US"/>
        </w:rPr>
        <w:t>will provide explanation as to why it</w:t>
      </w:r>
      <w:r w:rsidR="00F238C7">
        <w:rPr>
          <w:lang w:eastAsia="en-US"/>
        </w:rPr>
        <w:t>’</w:t>
      </w:r>
      <w:r w:rsidR="00813019">
        <w:rPr>
          <w:lang w:eastAsia="en-US"/>
        </w:rPr>
        <w:t xml:space="preserve">s spending certain amounts </w:t>
      </w:r>
      <w:r w:rsidR="00E101E4">
        <w:rPr>
          <w:lang w:eastAsia="en-US"/>
        </w:rPr>
        <w:t>regarding its capital and operational expenditure</w:t>
      </w:r>
      <w:r w:rsidR="005C456F">
        <w:rPr>
          <w:lang w:eastAsia="en-US"/>
        </w:rPr>
        <w:t xml:space="preserve">.  </w:t>
      </w:r>
      <w:r w:rsidR="00546C40">
        <w:rPr>
          <w:lang w:eastAsia="en-US"/>
        </w:rPr>
        <w:t>This</w:t>
      </w:r>
      <w:r w:rsidR="00E101E4">
        <w:rPr>
          <w:lang w:eastAsia="en-US"/>
        </w:rPr>
        <w:t xml:space="preserve"> limits </w:t>
      </w:r>
      <w:r w:rsidR="00A16776">
        <w:rPr>
          <w:lang w:eastAsia="en-US"/>
        </w:rPr>
        <w:t xml:space="preserve">the ability of </w:t>
      </w:r>
      <w:r w:rsidR="000818F2">
        <w:rPr>
          <w:lang w:eastAsia="en-US"/>
        </w:rPr>
        <w:t>C</w:t>
      </w:r>
      <w:r w:rsidR="00A16776">
        <w:rPr>
          <w:lang w:eastAsia="en-US"/>
        </w:rPr>
        <w:t xml:space="preserve">onsumer </w:t>
      </w:r>
      <w:r w:rsidR="000818F2">
        <w:rPr>
          <w:lang w:eastAsia="en-US"/>
        </w:rPr>
        <w:t>A</w:t>
      </w:r>
      <w:r w:rsidR="00A16776">
        <w:rPr>
          <w:lang w:eastAsia="en-US"/>
        </w:rPr>
        <w:t xml:space="preserve">dvocacy </w:t>
      </w:r>
      <w:r w:rsidR="000818F2">
        <w:rPr>
          <w:lang w:eastAsia="en-US"/>
        </w:rPr>
        <w:t>G</w:t>
      </w:r>
      <w:r w:rsidR="00A16776">
        <w:rPr>
          <w:lang w:eastAsia="en-US"/>
        </w:rPr>
        <w:t>roups</w:t>
      </w:r>
      <w:r w:rsidR="00E101E4">
        <w:rPr>
          <w:lang w:eastAsia="en-US"/>
        </w:rPr>
        <w:t xml:space="preserve"> to</w:t>
      </w:r>
      <w:r w:rsidR="00A16776">
        <w:rPr>
          <w:lang w:eastAsia="en-US"/>
        </w:rPr>
        <w:t xml:space="preserve"> critically</w:t>
      </w:r>
      <w:r w:rsidR="00E101E4">
        <w:rPr>
          <w:lang w:eastAsia="en-US"/>
        </w:rPr>
        <w:t xml:space="preserve"> examine expenditure proposals. </w:t>
      </w:r>
      <w:r w:rsidR="00B622B8">
        <w:rPr>
          <w:lang w:eastAsia="en-US"/>
        </w:rPr>
        <w:t>Whi</w:t>
      </w:r>
      <w:r w:rsidR="007162FE">
        <w:rPr>
          <w:lang w:eastAsia="en-US"/>
        </w:rPr>
        <w:t xml:space="preserve">lst NBN Co provides some of this detail in the Appendix </w:t>
      </w:r>
      <w:r w:rsidR="009D538A">
        <w:rPr>
          <w:lang w:eastAsia="en-US"/>
        </w:rPr>
        <w:t>of Part F of their supporting submission</w:t>
      </w:r>
      <w:r w:rsidR="00BA5C71">
        <w:rPr>
          <w:lang w:eastAsia="en-US"/>
        </w:rPr>
        <w:t xml:space="preserve"> for the first regulatory cycle</w:t>
      </w:r>
      <w:r w:rsidR="009D538A">
        <w:rPr>
          <w:lang w:eastAsia="en-US"/>
        </w:rPr>
        <w:t xml:space="preserve">, the level of detail is not </w:t>
      </w:r>
      <w:r w:rsidR="00D35BEE">
        <w:rPr>
          <w:lang w:eastAsia="en-US"/>
        </w:rPr>
        <w:t xml:space="preserve">sufficient compared to other essential service sectors. </w:t>
      </w:r>
    </w:p>
    <w:p w14:paraId="1FA03341" w14:textId="7EE41A5B" w:rsidR="003367FD" w:rsidRPr="009B7DD2" w:rsidRDefault="00A16776" w:rsidP="009817CE">
      <w:pPr>
        <w:rPr>
          <w:lang w:eastAsia="en-US"/>
        </w:rPr>
      </w:pPr>
      <w:r w:rsidRPr="009B7DD2">
        <w:rPr>
          <w:lang w:eastAsia="en-US"/>
        </w:rPr>
        <w:t xml:space="preserve">We note that it is standard industry practice in the energy distribution sector to share detailed information on proposed expenditure with consumer representatives. This </w:t>
      </w:r>
      <w:r w:rsidR="00B75214" w:rsidRPr="009B7DD2">
        <w:rPr>
          <w:lang w:eastAsia="en-US"/>
        </w:rPr>
        <w:t>includes but</w:t>
      </w:r>
      <w:r w:rsidRPr="009B7DD2">
        <w:rPr>
          <w:lang w:eastAsia="en-US"/>
        </w:rPr>
        <w:t xml:space="preserve"> is not limited to historic and trend expenditures for capex and </w:t>
      </w:r>
      <w:proofErr w:type="spellStart"/>
      <w:r w:rsidRPr="009B7DD2">
        <w:rPr>
          <w:lang w:eastAsia="en-US"/>
        </w:rPr>
        <w:t>opex</w:t>
      </w:r>
      <w:proofErr w:type="spellEnd"/>
      <w:r w:rsidRPr="009B7DD2">
        <w:rPr>
          <w:lang w:eastAsia="en-US"/>
        </w:rPr>
        <w:t xml:space="preserve"> by category and detailed briefings on proposed expenditures. Further, information is frequently provided on material business cases, the inputs to these business cases and underpinning economic analysis. We note that NBN Co has not put forward equivalent information </w:t>
      </w:r>
      <w:r w:rsidR="003367FD" w:rsidRPr="009B7DD2">
        <w:rPr>
          <w:lang w:eastAsia="en-US"/>
        </w:rPr>
        <w:t xml:space="preserve">as part of </w:t>
      </w:r>
      <w:r w:rsidR="00B4046A" w:rsidRPr="009B7DD2">
        <w:rPr>
          <w:lang w:eastAsia="en-US"/>
        </w:rPr>
        <w:t>its</w:t>
      </w:r>
      <w:r w:rsidRPr="009B7DD2">
        <w:rPr>
          <w:lang w:eastAsia="en-US"/>
        </w:rPr>
        <w:t xml:space="preserve"> engagement to date, which raises concerns as to the prudency and efficiency of expenditures.</w:t>
      </w:r>
    </w:p>
    <w:p w14:paraId="6391DC4A" w14:textId="221921B5" w:rsidR="003367FD" w:rsidRDefault="003367FD" w:rsidP="009817CE">
      <w:pPr>
        <w:rPr>
          <w:lang w:eastAsia="en-US"/>
        </w:rPr>
      </w:pPr>
      <w:r w:rsidRPr="00CD20BD">
        <w:rPr>
          <w:lang w:eastAsia="en-US"/>
        </w:rPr>
        <w:t>The absence of detailed information on these expenditures and redaction of key information</w:t>
      </w:r>
      <w:r w:rsidR="00B06082" w:rsidRPr="00CD20BD">
        <w:rPr>
          <w:lang w:eastAsia="en-US"/>
        </w:rPr>
        <w:t xml:space="preserve"> </w:t>
      </w:r>
      <w:r w:rsidR="009E1C86" w:rsidRPr="009E1C86">
        <w:rPr>
          <w:lang w:eastAsia="en-US"/>
        </w:rPr>
        <w:t>raises</w:t>
      </w:r>
      <w:r w:rsidR="00B06082" w:rsidRPr="00CD20BD">
        <w:rPr>
          <w:lang w:eastAsia="en-US"/>
        </w:rPr>
        <w:t xml:space="preserve"> concerns as to the legitimacy of proposed expenditure. For example, we note that key labour cost information has been excluded from publication and not provided to </w:t>
      </w:r>
      <w:r w:rsidR="00F04F30">
        <w:rPr>
          <w:lang w:eastAsia="en-US"/>
        </w:rPr>
        <w:t>C</w:t>
      </w:r>
      <w:r w:rsidR="00B06082" w:rsidRPr="00CD20BD">
        <w:rPr>
          <w:lang w:eastAsia="en-US"/>
        </w:rPr>
        <w:t xml:space="preserve">onsumer </w:t>
      </w:r>
      <w:r w:rsidR="00F04F30">
        <w:rPr>
          <w:lang w:eastAsia="en-US"/>
        </w:rPr>
        <w:t>A</w:t>
      </w:r>
      <w:r w:rsidR="00B06082" w:rsidRPr="00CD20BD">
        <w:rPr>
          <w:lang w:eastAsia="en-US"/>
        </w:rPr>
        <w:t xml:space="preserve">dvocacy </w:t>
      </w:r>
      <w:r w:rsidR="00F04F30">
        <w:rPr>
          <w:lang w:eastAsia="en-US"/>
        </w:rPr>
        <w:t>G</w:t>
      </w:r>
      <w:r w:rsidR="00B06082" w:rsidRPr="00CD20BD">
        <w:rPr>
          <w:lang w:eastAsia="en-US"/>
        </w:rPr>
        <w:t>roups or stakeholders.</w:t>
      </w:r>
      <w:r w:rsidRPr="00CD20BD">
        <w:rPr>
          <w:lang w:eastAsia="en-US"/>
        </w:rPr>
        <w:t xml:space="preserve">  </w:t>
      </w:r>
    </w:p>
    <w:p w14:paraId="6482EB30" w14:textId="5BF34261" w:rsidR="001B2ED7" w:rsidRDefault="003367FD" w:rsidP="003C163E">
      <w:pPr>
        <w:rPr>
          <w:lang w:eastAsia="en-US"/>
        </w:rPr>
      </w:pPr>
      <w:r>
        <w:rPr>
          <w:lang w:eastAsia="en-US"/>
        </w:rPr>
        <w:t>In</w:t>
      </w:r>
      <w:r w:rsidR="00B747B2">
        <w:rPr>
          <w:lang w:eastAsia="en-US"/>
        </w:rPr>
        <w:t xml:space="preserve"> </w:t>
      </w:r>
      <w:r w:rsidR="00645832">
        <w:rPr>
          <w:lang w:eastAsia="en-US"/>
        </w:rPr>
        <w:t>Part F of</w:t>
      </w:r>
      <w:r w:rsidR="00B747B2">
        <w:rPr>
          <w:lang w:eastAsia="en-US"/>
        </w:rPr>
        <w:t xml:space="preserve"> NBN </w:t>
      </w:r>
      <w:r w:rsidR="00645832">
        <w:rPr>
          <w:lang w:eastAsia="en-US"/>
        </w:rPr>
        <w:t xml:space="preserve">Co’s supporting submission, NBN Co </w:t>
      </w:r>
      <w:r w:rsidR="00B747B2">
        <w:rPr>
          <w:lang w:eastAsia="en-US"/>
        </w:rPr>
        <w:t>states that it will be incentivised to put forward business cases or cost</w:t>
      </w:r>
      <w:r w:rsidR="00EB75E7">
        <w:rPr>
          <w:lang w:eastAsia="en-US"/>
        </w:rPr>
        <w:t xml:space="preserve"> </w:t>
      </w:r>
      <w:r w:rsidR="00B747B2">
        <w:rPr>
          <w:lang w:eastAsia="en-US"/>
        </w:rPr>
        <w:t>benefit analysis to justify its proposed expenditure</w:t>
      </w:r>
      <w:r w:rsidR="00123B9D">
        <w:rPr>
          <w:lang w:eastAsia="en-US"/>
        </w:rPr>
        <w:t xml:space="preserve"> and the framework allows for the ACCC to assess those business cases and cost</w:t>
      </w:r>
      <w:r w:rsidR="00EB75E7">
        <w:rPr>
          <w:lang w:eastAsia="en-US"/>
        </w:rPr>
        <w:t xml:space="preserve"> </w:t>
      </w:r>
      <w:r w:rsidR="00123B9D">
        <w:rPr>
          <w:lang w:eastAsia="en-US"/>
        </w:rPr>
        <w:t xml:space="preserve">benefit analysis. </w:t>
      </w:r>
      <w:r w:rsidR="002C7DC0">
        <w:rPr>
          <w:lang w:eastAsia="en-US"/>
        </w:rPr>
        <w:t>However,</w:t>
      </w:r>
      <w:r w:rsidR="00123B9D">
        <w:rPr>
          <w:lang w:eastAsia="en-US"/>
        </w:rPr>
        <w:t xml:space="preserve"> ACCAN considers that without </w:t>
      </w:r>
      <w:r w:rsidR="006219F2">
        <w:rPr>
          <w:lang w:eastAsia="en-US"/>
        </w:rPr>
        <w:t xml:space="preserve">a </w:t>
      </w:r>
      <w:r w:rsidR="00123B9D">
        <w:rPr>
          <w:lang w:eastAsia="en-US"/>
        </w:rPr>
        <w:t xml:space="preserve">requirement in the SAU, then NBN </w:t>
      </w:r>
      <w:r w:rsidR="006219F2">
        <w:rPr>
          <w:lang w:eastAsia="en-US"/>
        </w:rPr>
        <w:t xml:space="preserve">Co </w:t>
      </w:r>
      <w:r w:rsidR="00123B9D">
        <w:rPr>
          <w:lang w:eastAsia="en-US"/>
        </w:rPr>
        <w:t xml:space="preserve">will not be compelled to provide a business case unless the ACCC requests it to. This could </w:t>
      </w:r>
      <w:r w:rsidR="001D5893">
        <w:rPr>
          <w:lang w:eastAsia="en-US"/>
        </w:rPr>
        <w:t xml:space="preserve">unnecessarily </w:t>
      </w:r>
      <w:r w:rsidR="00123B9D">
        <w:rPr>
          <w:lang w:eastAsia="en-US"/>
        </w:rPr>
        <w:t xml:space="preserve">delay the </w:t>
      </w:r>
      <w:r w:rsidR="002C7DC0">
        <w:rPr>
          <w:lang w:eastAsia="en-US"/>
        </w:rPr>
        <w:t>replacement module process.</w:t>
      </w:r>
      <w:r w:rsidR="001B2ED7">
        <w:rPr>
          <w:lang w:eastAsia="en-US"/>
        </w:rPr>
        <w:t xml:space="preserve"> </w:t>
      </w:r>
      <w:r w:rsidR="00F9224B">
        <w:rPr>
          <w:lang w:eastAsia="en-US"/>
        </w:rPr>
        <w:t xml:space="preserve">Requesting this level of information once NBN Co has submitted its RMA will </w:t>
      </w:r>
      <w:r w:rsidR="00436F44">
        <w:rPr>
          <w:lang w:eastAsia="en-US"/>
        </w:rPr>
        <w:t xml:space="preserve">not be possible given the current timeframes set out in the SAU. </w:t>
      </w:r>
      <w:r w:rsidR="001D5893">
        <w:rPr>
          <w:lang w:eastAsia="en-US"/>
        </w:rPr>
        <w:t>Therefore,</w:t>
      </w:r>
      <w:r w:rsidR="001B2ED7">
        <w:rPr>
          <w:lang w:eastAsia="en-US"/>
        </w:rPr>
        <w:t xml:space="preserve"> </w:t>
      </w:r>
      <w:r w:rsidR="00FE4334">
        <w:rPr>
          <w:lang w:eastAsia="en-US"/>
        </w:rPr>
        <w:t>ACCAN recommends that</w:t>
      </w:r>
      <w:r w:rsidR="001B2ED7">
        <w:rPr>
          <w:lang w:eastAsia="en-US"/>
        </w:rPr>
        <w:t xml:space="preserve"> the SAU require</w:t>
      </w:r>
      <w:r w:rsidR="00FE4334">
        <w:rPr>
          <w:lang w:eastAsia="en-US"/>
        </w:rPr>
        <w:t xml:space="preserve"> NBN</w:t>
      </w:r>
      <w:r w:rsidR="003032F5">
        <w:rPr>
          <w:lang w:eastAsia="en-US"/>
        </w:rPr>
        <w:t xml:space="preserve"> Co</w:t>
      </w:r>
      <w:r w:rsidR="00FE4334">
        <w:rPr>
          <w:lang w:eastAsia="en-US"/>
        </w:rPr>
        <w:t xml:space="preserve"> put forward business cases for consultation </w:t>
      </w:r>
      <w:r w:rsidR="00E72E84">
        <w:rPr>
          <w:lang w:eastAsia="en-US"/>
        </w:rPr>
        <w:t>to enable the assessment of the prudency and efficiency of major planned capital expenditures.</w:t>
      </w:r>
      <w:r w:rsidR="004035CE">
        <w:rPr>
          <w:lang w:eastAsia="en-US"/>
        </w:rPr>
        <w:t xml:space="preserve"> </w:t>
      </w:r>
    </w:p>
    <w:p w14:paraId="2F413019" w14:textId="761B00A0" w:rsidR="00E72E84" w:rsidRDefault="00E72E84" w:rsidP="003C163E">
      <w:pPr>
        <w:rPr>
          <w:lang w:eastAsia="en-US"/>
        </w:rPr>
      </w:pPr>
      <w:r>
        <w:rPr>
          <w:lang w:eastAsia="en-US"/>
        </w:rPr>
        <w:t xml:space="preserve">Requirements for the business case </w:t>
      </w:r>
      <w:r w:rsidR="00C877BE">
        <w:rPr>
          <w:lang w:eastAsia="en-US"/>
        </w:rPr>
        <w:t xml:space="preserve">should </w:t>
      </w:r>
      <w:r w:rsidR="002F5BDE">
        <w:rPr>
          <w:lang w:eastAsia="en-US"/>
        </w:rPr>
        <w:t>include that they are published</w:t>
      </w:r>
      <w:r w:rsidR="00D748AB">
        <w:rPr>
          <w:lang w:eastAsia="en-US"/>
        </w:rPr>
        <w:t>.</w:t>
      </w:r>
      <w:r w:rsidR="002F5BDE">
        <w:rPr>
          <w:lang w:eastAsia="en-US"/>
        </w:rPr>
        <w:t xml:space="preserve"> </w:t>
      </w:r>
      <w:r w:rsidR="00D748AB">
        <w:rPr>
          <w:lang w:eastAsia="en-US"/>
        </w:rPr>
        <w:t>W</w:t>
      </w:r>
      <w:r w:rsidR="002F5BDE">
        <w:rPr>
          <w:lang w:eastAsia="en-US"/>
        </w:rPr>
        <w:t xml:space="preserve">here there are commercial in confidence aspects of the business cases, they should be shared in confidence with consumer representatives to allow for consultation. </w:t>
      </w:r>
      <w:r w:rsidR="005C4DF4">
        <w:rPr>
          <w:lang w:eastAsia="en-US"/>
        </w:rPr>
        <w:t xml:space="preserve">NBN </w:t>
      </w:r>
      <w:r w:rsidR="009A3BE8">
        <w:rPr>
          <w:lang w:eastAsia="en-US"/>
        </w:rPr>
        <w:t xml:space="preserve">Co </w:t>
      </w:r>
      <w:r w:rsidR="005C4DF4">
        <w:rPr>
          <w:lang w:eastAsia="en-US"/>
        </w:rPr>
        <w:t xml:space="preserve">should be required to provide independent assessments and reviews of material business cases, as well as provide alternative </w:t>
      </w:r>
      <w:r w:rsidR="004B7349">
        <w:rPr>
          <w:lang w:eastAsia="en-US"/>
        </w:rPr>
        <w:t>business cases</w:t>
      </w:r>
      <w:r w:rsidR="005C4DF4">
        <w:rPr>
          <w:lang w:eastAsia="en-US"/>
        </w:rPr>
        <w:t>. This will allow the regulator to assess the costs and benefits of multiple approaches or projects</w:t>
      </w:r>
      <w:r w:rsidR="007125BA">
        <w:rPr>
          <w:lang w:eastAsia="en-US"/>
        </w:rPr>
        <w:t xml:space="preserve"> and allow the regulator to direct NBN</w:t>
      </w:r>
      <w:r w:rsidR="004B7349">
        <w:rPr>
          <w:lang w:eastAsia="en-US"/>
        </w:rPr>
        <w:t xml:space="preserve"> Co</w:t>
      </w:r>
      <w:r w:rsidR="007125BA">
        <w:rPr>
          <w:lang w:eastAsia="en-US"/>
        </w:rPr>
        <w:t xml:space="preserve"> to do an alternative option</w:t>
      </w:r>
      <w:r w:rsidR="004B7349">
        <w:rPr>
          <w:lang w:eastAsia="en-US"/>
        </w:rPr>
        <w:t xml:space="preserve"> if it deems it to be in the LTIE</w:t>
      </w:r>
      <w:r w:rsidR="007125BA">
        <w:rPr>
          <w:lang w:eastAsia="en-US"/>
        </w:rPr>
        <w:t xml:space="preserve">. </w:t>
      </w:r>
      <w:r w:rsidR="004B25B2">
        <w:rPr>
          <w:lang w:eastAsia="en-US"/>
        </w:rPr>
        <w:t>Business cases should be provided for capital expenditure over a certain</w:t>
      </w:r>
      <w:r w:rsidR="00805928">
        <w:rPr>
          <w:lang w:eastAsia="en-US"/>
        </w:rPr>
        <w:t xml:space="preserve"> amount, </w:t>
      </w:r>
      <w:r w:rsidR="00404030">
        <w:rPr>
          <w:lang w:eastAsia="en-US"/>
        </w:rPr>
        <w:t>however,</w:t>
      </w:r>
      <w:r w:rsidR="00805928">
        <w:rPr>
          <w:lang w:eastAsia="en-US"/>
        </w:rPr>
        <w:t xml:space="preserve"> there needs to be protections against NBN </w:t>
      </w:r>
      <w:r w:rsidR="00B45727">
        <w:rPr>
          <w:lang w:eastAsia="en-US"/>
        </w:rPr>
        <w:t xml:space="preserve">Co </w:t>
      </w:r>
      <w:r w:rsidR="00805928">
        <w:rPr>
          <w:lang w:eastAsia="en-US"/>
        </w:rPr>
        <w:t>disaggregat</w:t>
      </w:r>
      <w:r w:rsidR="000111A3">
        <w:rPr>
          <w:lang w:eastAsia="en-US"/>
        </w:rPr>
        <w:t>ing</w:t>
      </w:r>
      <w:r w:rsidR="00805928">
        <w:rPr>
          <w:lang w:eastAsia="en-US"/>
        </w:rPr>
        <w:t xml:space="preserve"> capital expenditure into smaller categories in order to avoid providing business cases. </w:t>
      </w:r>
    </w:p>
    <w:p w14:paraId="2084D2E1" w14:textId="6CE468E9" w:rsidR="00E72E84" w:rsidRPr="00CD20BD" w:rsidRDefault="00772271" w:rsidP="009817CE">
      <w:pPr>
        <w:pStyle w:val="Recommendation"/>
        <w:rPr>
          <w:rFonts w:asciiTheme="minorHAnsi" w:hAnsiTheme="minorHAnsi" w:cstheme="minorHAnsi"/>
        </w:rPr>
      </w:pPr>
      <w:r w:rsidRPr="00CD20BD">
        <w:rPr>
          <w:rFonts w:asciiTheme="minorHAnsi" w:hAnsiTheme="minorHAnsi" w:cstheme="minorHAnsi"/>
        </w:rPr>
        <w:t>NBN should be required to provide independent assessments and reviews of material business cases</w:t>
      </w:r>
      <w:r w:rsidR="00A64E92" w:rsidRPr="00CD20BD">
        <w:rPr>
          <w:rFonts w:asciiTheme="minorHAnsi" w:hAnsiTheme="minorHAnsi" w:cstheme="minorHAnsi"/>
        </w:rPr>
        <w:t>.</w:t>
      </w:r>
    </w:p>
    <w:p w14:paraId="032DB78F" w14:textId="27C1930D" w:rsidR="0095658C" w:rsidRPr="00AD2B68" w:rsidRDefault="0095658C" w:rsidP="00394E20">
      <w:pPr>
        <w:pStyle w:val="Heading2"/>
      </w:pPr>
      <w:r w:rsidRPr="00AD2B68">
        <w:t xml:space="preserve">Government-directed </w:t>
      </w:r>
      <w:r w:rsidR="00794385">
        <w:t>E</w:t>
      </w:r>
      <w:r w:rsidRPr="00CD20BD">
        <w:t>xpenditures</w:t>
      </w:r>
    </w:p>
    <w:p w14:paraId="282675F1" w14:textId="2E16DA8F" w:rsidR="0095658C" w:rsidRDefault="00944A2C" w:rsidP="0095658C">
      <w:pPr>
        <w:rPr>
          <w:lang w:eastAsia="en-US"/>
        </w:rPr>
      </w:pPr>
      <w:r>
        <w:rPr>
          <w:lang w:eastAsia="en-US"/>
        </w:rPr>
        <w:t>Th</w:t>
      </w:r>
      <w:r w:rsidRPr="00944A2C">
        <w:rPr>
          <w:lang w:eastAsia="en-US"/>
        </w:rPr>
        <w:t xml:space="preserve">e SAU variation would have the effect of deeming actual </w:t>
      </w:r>
      <w:r w:rsidR="00CA3426">
        <w:rPr>
          <w:lang w:eastAsia="en-US"/>
        </w:rPr>
        <w:t>capital expenditure</w:t>
      </w:r>
      <w:r w:rsidR="00CA3426" w:rsidRPr="00944A2C">
        <w:rPr>
          <w:lang w:eastAsia="en-US"/>
        </w:rPr>
        <w:t xml:space="preserve"> </w:t>
      </w:r>
      <w:r w:rsidRPr="00944A2C">
        <w:rPr>
          <w:lang w:eastAsia="en-US"/>
        </w:rPr>
        <w:t xml:space="preserve">incurred and </w:t>
      </w:r>
      <w:r w:rsidR="00CA3426">
        <w:rPr>
          <w:lang w:eastAsia="en-US"/>
        </w:rPr>
        <w:t>operational expenditure</w:t>
      </w:r>
      <w:r w:rsidR="00CA3426" w:rsidRPr="00944A2C">
        <w:rPr>
          <w:lang w:eastAsia="en-US"/>
        </w:rPr>
        <w:t xml:space="preserve"> </w:t>
      </w:r>
      <w:r w:rsidRPr="00944A2C">
        <w:rPr>
          <w:lang w:eastAsia="en-US"/>
        </w:rPr>
        <w:t>forecast to be incurred pursuant to a government policy project notice as ‘prudent’ to the extent those expenditures are incurred in a manner that implements the details of the project or program as specified in a notice.</w:t>
      </w:r>
      <w:r w:rsidR="00F7778B">
        <w:rPr>
          <w:lang w:eastAsia="en-US"/>
        </w:rPr>
        <w:t xml:space="preserve"> </w:t>
      </w:r>
      <w:r w:rsidR="00CC20C2">
        <w:rPr>
          <w:lang w:eastAsia="en-US"/>
        </w:rPr>
        <w:t xml:space="preserve">Whilst the expenditure incurred under a government policy project notice will still be assessed for efficiency. </w:t>
      </w:r>
      <w:r w:rsidR="00F05791">
        <w:rPr>
          <w:lang w:eastAsia="en-US"/>
        </w:rPr>
        <w:t>ACCAN supports this change of approach regarding government-directed expenditures compared to the previous SAU Variation</w:t>
      </w:r>
      <w:r w:rsidR="00473BAB">
        <w:rPr>
          <w:lang w:eastAsia="en-US"/>
        </w:rPr>
        <w:t>.</w:t>
      </w:r>
      <w:r w:rsidR="00954A76">
        <w:rPr>
          <w:lang w:eastAsia="en-US"/>
        </w:rPr>
        <w:t xml:space="preserve"> ACCAN welcomes the increased transparency of this process which requires the </w:t>
      </w:r>
      <w:r w:rsidR="00FB4834">
        <w:rPr>
          <w:lang w:eastAsia="en-US"/>
        </w:rPr>
        <w:t xml:space="preserve">government policy project notice made by the Communications Minister to be published. </w:t>
      </w:r>
    </w:p>
    <w:p w14:paraId="2DBF54CD" w14:textId="32471A09" w:rsidR="00A16203" w:rsidRPr="00AD2B68" w:rsidRDefault="001B3957" w:rsidP="00394E20">
      <w:pPr>
        <w:pStyle w:val="Heading2"/>
      </w:pPr>
      <w:r w:rsidRPr="00AD2B68">
        <w:t xml:space="preserve">Meaning of </w:t>
      </w:r>
      <w:r w:rsidR="00794385">
        <w:t>R</w:t>
      </w:r>
      <w:r w:rsidRPr="00A44BD6">
        <w:t xml:space="preserve">egulatory </w:t>
      </w:r>
      <w:r w:rsidR="00794385">
        <w:t>R</w:t>
      </w:r>
      <w:r w:rsidRPr="00A44BD6">
        <w:t>equirement</w:t>
      </w:r>
    </w:p>
    <w:p w14:paraId="404783F1" w14:textId="2BB6629E" w:rsidR="00BC193B" w:rsidRDefault="005E14C6" w:rsidP="001B3957">
      <w:pPr>
        <w:rPr>
          <w:lang w:eastAsia="en-US"/>
        </w:rPr>
      </w:pPr>
      <w:r>
        <w:rPr>
          <w:lang w:eastAsia="en-US"/>
        </w:rPr>
        <w:t xml:space="preserve">Forecasts of </w:t>
      </w:r>
      <w:r w:rsidR="00CA3426">
        <w:rPr>
          <w:lang w:eastAsia="en-US"/>
        </w:rPr>
        <w:t xml:space="preserve">operational expenditure </w:t>
      </w:r>
      <w:r>
        <w:rPr>
          <w:lang w:eastAsia="en-US"/>
        </w:rPr>
        <w:t xml:space="preserve">and </w:t>
      </w:r>
      <w:r w:rsidR="00CA3426">
        <w:rPr>
          <w:lang w:eastAsia="en-US"/>
        </w:rPr>
        <w:t xml:space="preserve">capital expenditure </w:t>
      </w:r>
      <w:r w:rsidR="0093041B">
        <w:rPr>
          <w:lang w:eastAsia="en-US"/>
        </w:rPr>
        <w:t>input into</w:t>
      </w:r>
      <w:r w:rsidR="00D056D3">
        <w:rPr>
          <w:lang w:eastAsia="en-US"/>
        </w:rPr>
        <w:t xml:space="preserve"> NBN Co’s ABBRR</w:t>
      </w:r>
      <w:r w:rsidR="003A0E65">
        <w:rPr>
          <w:lang w:eastAsia="en-US"/>
        </w:rPr>
        <w:t xml:space="preserve"> must reasonabl</w:t>
      </w:r>
      <w:r w:rsidR="00D056D3">
        <w:rPr>
          <w:lang w:eastAsia="en-US"/>
        </w:rPr>
        <w:t>y</w:t>
      </w:r>
      <w:r w:rsidR="003A0E65">
        <w:rPr>
          <w:lang w:eastAsia="en-US"/>
        </w:rPr>
        <w:t xml:space="preserve"> reflect the prudent and efficient expenditure that an operator in NBN Co’s position would incur in achievin</w:t>
      </w:r>
      <w:r w:rsidR="00AC7CB1">
        <w:rPr>
          <w:lang w:eastAsia="en-US"/>
        </w:rPr>
        <w:t xml:space="preserve">g certain objectives. </w:t>
      </w:r>
      <w:r w:rsidR="004F497E">
        <w:rPr>
          <w:lang w:eastAsia="en-US"/>
        </w:rPr>
        <w:t>The objectives include meeting expected demand for products and services, complying with all regulatory requirements, implementing projects and programs the subject of a government policy project notice and maintaining and improving the quality, reliability, safety, security and integrity of supply of products and services. Within the SAU</w:t>
      </w:r>
      <w:r w:rsidR="00114446">
        <w:rPr>
          <w:lang w:eastAsia="en-US"/>
        </w:rPr>
        <w:t xml:space="preserve"> Variation</w:t>
      </w:r>
      <w:r w:rsidR="004F497E">
        <w:rPr>
          <w:lang w:eastAsia="en-US"/>
        </w:rPr>
        <w:t xml:space="preserve">, </w:t>
      </w:r>
      <w:r w:rsidR="00AC7CB1">
        <w:rPr>
          <w:lang w:eastAsia="en-US"/>
        </w:rPr>
        <w:t xml:space="preserve">Regulatory Requirement means any legal or regulatory obligation or requirement to the extent </w:t>
      </w:r>
      <w:r w:rsidR="00A4038C">
        <w:rPr>
          <w:lang w:eastAsia="en-US"/>
        </w:rPr>
        <w:t xml:space="preserve">that it materially affects, or is reasonably anticipated to materially affect, the supply of products or services by NBN Co. </w:t>
      </w:r>
    </w:p>
    <w:p w14:paraId="4148EBA3" w14:textId="4C434AE6" w:rsidR="00BC193B" w:rsidRPr="00B06082" w:rsidRDefault="00BC193B" w:rsidP="001B3957">
      <w:pPr>
        <w:rPr>
          <w:lang w:eastAsia="en-US"/>
        </w:rPr>
      </w:pPr>
      <w:r w:rsidRPr="00B06082">
        <w:rPr>
          <w:lang w:eastAsia="en-US"/>
        </w:rPr>
        <w:t xml:space="preserve">ACCAN notes that the pass-through mechanism could allow for NBN Co to put forward significant amounts of expenditure to meet regulatory requirements. While we are supportive of NBN Co being able to recover </w:t>
      </w:r>
      <w:r w:rsidR="00B839AF" w:rsidRPr="00B06082">
        <w:rPr>
          <w:lang w:eastAsia="en-US"/>
        </w:rPr>
        <w:t>its</w:t>
      </w:r>
      <w:r w:rsidRPr="00B06082">
        <w:rPr>
          <w:lang w:eastAsia="en-US"/>
        </w:rPr>
        <w:t xml:space="preserve"> efficient costs, it is key that material additional expenditures where reasonably foreseeable are subject to </w:t>
      </w:r>
      <w:r w:rsidR="00B06082">
        <w:rPr>
          <w:lang w:eastAsia="en-US"/>
        </w:rPr>
        <w:t xml:space="preserve">full business case development requirements and </w:t>
      </w:r>
      <w:r w:rsidRPr="00B06082">
        <w:rPr>
          <w:lang w:eastAsia="en-US"/>
        </w:rPr>
        <w:t xml:space="preserve">appropriate consultation as part of the lodgement of </w:t>
      </w:r>
      <w:r w:rsidR="00376FCF" w:rsidRPr="00B06082">
        <w:rPr>
          <w:lang w:eastAsia="en-US"/>
        </w:rPr>
        <w:t>an</w:t>
      </w:r>
      <w:r w:rsidRPr="00B06082">
        <w:rPr>
          <w:lang w:eastAsia="en-US"/>
        </w:rPr>
        <w:t xml:space="preserve"> RMA. </w:t>
      </w:r>
    </w:p>
    <w:p w14:paraId="0AB81A30" w14:textId="20BEE9F7" w:rsidR="00BC193B" w:rsidRPr="0061342C" w:rsidRDefault="00BC193B" w:rsidP="001B3957">
      <w:pPr>
        <w:rPr>
          <w:lang w:eastAsia="en-US"/>
        </w:rPr>
      </w:pPr>
      <w:r w:rsidRPr="00A44BD6">
        <w:rPr>
          <w:lang w:eastAsia="en-US"/>
        </w:rPr>
        <w:t xml:space="preserve">For example, the imposition of additional cyber-security requirements is reasonably foreseeable over the </w:t>
      </w:r>
      <w:r w:rsidR="00EA1513" w:rsidRPr="00A44BD6">
        <w:rPr>
          <w:lang w:eastAsia="en-US"/>
        </w:rPr>
        <w:t>near term</w:t>
      </w:r>
      <w:r w:rsidR="00376FCF" w:rsidRPr="00A44BD6">
        <w:rPr>
          <w:lang w:eastAsia="en-US"/>
        </w:rPr>
        <w:t xml:space="preserve"> </w:t>
      </w:r>
      <w:r w:rsidRPr="00A44BD6">
        <w:rPr>
          <w:lang w:eastAsia="en-US"/>
        </w:rPr>
        <w:t xml:space="preserve">and could be put forward as a contingent project. Accordingly, </w:t>
      </w:r>
      <w:r w:rsidR="0052345D" w:rsidRPr="00A44BD6">
        <w:rPr>
          <w:lang w:eastAsia="en-US"/>
        </w:rPr>
        <w:t xml:space="preserve">it is reasonable to expect NBN Co to </w:t>
      </w:r>
      <w:r w:rsidRPr="00A44BD6">
        <w:rPr>
          <w:lang w:eastAsia="en-US"/>
        </w:rPr>
        <w:t xml:space="preserve">consider the potential or likely imposition expenditure impacts of reform. </w:t>
      </w:r>
      <w:r w:rsidR="00E31E88">
        <w:rPr>
          <w:lang w:eastAsia="en-US"/>
        </w:rPr>
        <w:t>T</w:t>
      </w:r>
      <w:r w:rsidRPr="00A44BD6">
        <w:rPr>
          <w:lang w:eastAsia="en-US"/>
        </w:rPr>
        <w:t xml:space="preserve">his approach is consistent with best practice </w:t>
      </w:r>
      <w:r w:rsidRPr="0061342C">
        <w:rPr>
          <w:lang w:eastAsia="en-US"/>
        </w:rPr>
        <w:t>in other regulated sectors.</w:t>
      </w:r>
    </w:p>
    <w:p w14:paraId="646B4EB0" w14:textId="074A2F44" w:rsidR="00BC193B" w:rsidRDefault="00A96791" w:rsidP="001B3957">
      <w:pPr>
        <w:rPr>
          <w:lang w:eastAsia="en-US"/>
        </w:rPr>
      </w:pPr>
      <w:r>
        <w:rPr>
          <w:lang w:eastAsia="en-US"/>
        </w:rPr>
        <w:t>P</w:t>
      </w:r>
      <w:r w:rsidR="00BC193B" w:rsidRPr="0061342C">
        <w:rPr>
          <w:lang w:eastAsia="en-US"/>
        </w:rPr>
        <w:t>utting forward reasonably foreseeable regulatory change event pass-throughs</w:t>
      </w:r>
      <w:r w:rsidR="0061342C" w:rsidRPr="00CD20BD">
        <w:rPr>
          <w:lang w:eastAsia="en-US"/>
        </w:rPr>
        <w:t xml:space="preserve"> as contingent projects</w:t>
      </w:r>
      <w:r w:rsidR="009D70C9">
        <w:rPr>
          <w:lang w:eastAsia="en-US"/>
        </w:rPr>
        <w:t>, rather than cost-pass through applications,</w:t>
      </w:r>
      <w:r w:rsidR="00BC193B" w:rsidRPr="0061342C">
        <w:rPr>
          <w:lang w:eastAsia="en-US"/>
        </w:rPr>
        <w:t xml:space="preserve"> would allow for the full consideration of prudent and efficient options for meeting the requirements of the pass-through event. Further, this approach would facilitate the efficient planning of project delivery by NBN Co.</w:t>
      </w:r>
    </w:p>
    <w:p w14:paraId="01EA1546" w14:textId="39AB827C" w:rsidR="00FD7D01" w:rsidRPr="00AD2B68" w:rsidRDefault="004D077A" w:rsidP="00394E20">
      <w:pPr>
        <w:pStyle w:val="Heading2"/>
      </w:pPr>
      <w:r w:rsidRPr="00AD2B68">
        <w:t xml:space="preserve">Expenditure </w:t>
      </w:r>
      <w:r w:rsidR="00794385">
        <w:t>O</w:t>
      </w:r>
      <w:r w:rsidRPr="00C3458C">
        <w:t>bjectives</w:t>
      </w:r>
      <w:r w:rsidR="00373E12" w:rsidRPr="00AD2B68">
        <w:t xml:space="preserve"> and </w:t>
      </w:r>
      <w:r w:rsidR="00794385">
        <w:t>E</w:t>
      </w:r>
      <w:r w:rsidR="00373E12" w:rsidRPr="00C3458C">
        <w:t xml:space="preserve">xpenditure </w:t>
      </w:r>
      <w:r w:rsidR="00794385">
        <w:t>F</w:t>
      </w:r>
      <w:r w:rsidR="00373E12" w:rsidRPr="00C3458C">
        <w:t>actors</w:t>
      </w:r>
    </w:p>
    <w:p w14:paraId="254B8A43" w14:textId="7ADD0DB6" w:rsidR="00FD7D01" w:rsidRDefault="00373E12" w:rsidP="00FD7D01">
      <w:pPr>
        <w:rPr>
          <w:lang w:eastAsia="en-US"/>
        </w:rPr>
      </w:pPr>
      <w:r>
        <w:rPr>
          <w:lang w:eastAsia="en-US"/>
        </w:rPr>
        <w:t xml:space="preserve">In meeting </w:t>
      </w:r>
      <w:r w:rsidR="004F497E">
        <w:rPr>
          <w:lang w:eastAsia="en-US"/>
        </w:rPr>
        <w:t>the expenditure</w:t>
      </w:r>
      <w:r>
        <w:rPr>
          <w:lang w:eastAsia="en-US"/>
        </w:rPr>
        <w:t xml:space="preserve"> objectives, regard must be </w:t>
      </w:r>
      <w:r w:rsidR="00B71516">
        <w:rPr>
          <w:lang w:eastAsia="en-US"/>
        </w:rPr>
        <w:t xml:space="preserve">given </w:t>
      </w:r>
      <w:r>
        <w:rPr>
          <w:lang w:eastAsia="en-US"/>
        </w:rPr>
        <w:t>to a range of expenditure factors</w:t>
      </w:r>
      <w:r w:rsidR="001F36F0">
        <w:rPr>
          <w:lang w:eastAsia="en-US"/>
        </w:rPr>
        <w:t xml:space="preserve">, including </w:t>
      </w:r>
      <w:r w:rsidR="00A94513">
        <w:rPr>
          <w:lang w:eastAsia="en-US"/>
        </w:rPr>
        <w:t>actual and expected expenditure, historical trends in expenditure, expected end user willingness to pay for services, the extent to</w:t>
      </w:r>
      <w:r w:rsidR="00A474A6">
        <w:rPr>
          <w:lang w:eastAsia="en-US"/>
        </w:rPr>
        <w:t xml:space="preserve"> which relevant expenditure includes expenditure to address the concerns of </w:t>
      </w:r>
      <w:r w:rsidR="00DB1030">
        <w:rPr>
          <w:lang w:eastAsia="en-US"/>
        </w:rPr>
        <w:t>A</w:t>
      </w:r>
      <w:r w:rsidR="00A474A6">
        <w:rPr>
          <w:lang w:eastAsia="en-US"/>
        </w:rPr>
        <w:t xml:space="preserve">ccess </w:t>
      </w:r>
      <w:r w:rsidR="00DB1030">
        <w:rPr>
          <w:lang w:eastAsia="en-US"/>
        </w:rPr>
        <w:t>S</w:t>
      </w:r>
      <w:r w:rsidR="00A474A6">
        <w:rPr>
          <w:lang w:eastAsia="en-US"/>
        </w:rPr>
        <w:t xml:space="preserve">eekers and </w:t>
      </w:r>
      <w:r w:rsidR="008B78D9">
        <w:rPr>
          <w:lang w:eastAsia="en-US"/>
        </w:rPr>
        <w:t>C</w:t>
      </w:r>
      <w:r w:rsidR="00A474A6">
        <w:rPr>
          <w:lang w:eastAsia="en-US"/>
        </w:rPr>
        <w:t xml:space="preserve">onsumer </w:t>
      </w:r>
      <w:r w:rsidR="008B78D9">
        <w:rPr>
          <w:lang w:eastAsia="en-US"/>
        </w:rPr>
        <w:t>A</w:t>
      </w:r>
      <w:r w:rsidR="00A474A6">
        <w:rPr>
          <w:lang w:eastAsia="en-US"/>
        </w:rPr>
        <w:t xml:space="preserve">dvocacy </w:t>
      </w:r>
      <w:r w:rsidR="008B78D9">
        <w:rPr>
          <w:lang w:eastAsia="en-US"/>
        </w:rPr>
        <w:t>G</w:t>
      </w:r>
      <w:r w:rsidR="00A474A6">
        <w:rPr>
          <w:lang w:eastAsia="en-US"/>
        </w:rPr>
        <w:t xml:space="preserve">roups identified </w:t>
      </w:r>
      <w:r w:rsidR="00352FCF">
        <w:rPr>
          <w:lang w:eastAsia="en-US"/>
        </w:rPr>
        <w:t>during</w:t>
      </w:r>
      <w:r w:rsidR="00A474A6">
        <w:rPr>
          <w:lang w:eastAsia="en-US"/>
        </w:rPr>
        <w:t xml:space="preserve"> NBN Co’s engagement</w:t>
      </w:r>
      <w:r w:rsidR="004847C1">
        <w:rPr>
          <w:lang w:eastAsia="en-US"/>
        </w:rPr>
        <w:t xml:space="preserve"> with them. </w:t>
      </w:r>
    </w:p>
    <w:p w14:paraId="76732AEE" w14:textId="5BFD31BF" w:rsidR="0030738D" w:rsidRDefault="00373E12" w:rsidP="00FD7D01">
      <w:pPr>
        <w:rPr>
          <w:lang w:eastAsia="en-US"/>
        </w:rPr>
      </w:pPr>
      <w:r>
        <w:rPr>
          <w:lang w:eastAsia="en-US"/>
        </w:rPr>
        <w:t xml:space="preserve">NBN </w:t>
      </w:r>
      <w:r w:rsidR="00D34114">
        <w:rPr>
          <w:lang w:eastAsia="en-US"/>
        </w:rPr>
        <w:t xml:space="preserve">Co </w:t>
      </w:r>
      <w:r>
        <w:rPr>
          <w:lang w:eastAsia="en-US"/>
        </w:rPr>
        <w:t xml:space="preserve">has reduced both the expenditure objectives and factors compared to the March SAU Variation. </w:t>
      </w:r>
      <w:r w:rsidR="005E4DB0">
        <w:rPr>
          <w:lang w:eastAsia="en-US"/>
        </w:rPr>
        <w:t>However,</w:t>
      </w:r>
      <w:r w:rsidR="00D34114">
        <w:rPr>
          <w:lang w:eastAsia="en-US"/>
        </w:rPr>
        <w:t xml:space="preserve"> we remain concerned regarding the scope of the expenditure objectives. For example, clause </w:t>
      </w:r>
      <w:r w:rsidR="0091380D" w:rsidRPr="0091380D">
        <w:rPr>
          <w:lang w:eastAsia="en-US"/>
        </w:rPr>
        <w:t>2G.2.5(d)</w:t>
      </w:r>
      <w:r w:rsidR="009268BF">
        <w:rPr>
          <w:lang w:eastAsia="en-US"/>
        </w:rPr>
        <w:t>(iii)</w:t>
      </w:r>
      <w:r w:rsidR="00D34114">
        <w:rPr>
          <w:lang w:eastAsia="en-US"/>
        </w:rPr>
        <w:t xml:space="preserve"> requires NBN Co to consider </w:t>
      </w:r>
      <w:r w:rsidR="00D34114" w:rsidRPr="00D34114">
        <w:rPr>
          <w:lang w:eastAsia="en-US"/>
        </w:rPr>
        <w:t xml:space="preserve">the extent to which </w:t>
      </w:r>
      <w:r w:rsidR="00D34114">
        <w:rPr>
          <w:lang w:eastAsia="en-US"/>
        </w:rPr>
        <w:t>relevant</w:t>
      </w:r>
      <w:r w:rsidR="00D34114" w:rsidRPr="00D34114">
        <w:rPr>
          <w:lang w:eastAsia="en-US"/>
        </w:rPr>
        <w:t xml:space="preserve"> </w:t>
      </w:r>
      <w:r w:rsidR="00D34114">
        <w:rPr>
          <w:lang w:eastAsia="en-US"/>
        </w:rPr>
        <w:t>e</w:t>
      </w:r>
      <w:r w:rsidR="00D34114" w:rsidRPr="00D34114">
        <w:rPr>
          <w:lang w:eastAsia="en-US"/>
        </w:rPr>
        <w:t>xpenditure includes expenditure to address the concerns of Access Seekers and Consumer Advocacy Groups as identified by NBN Co in the course of its engagement with such persons</w:t>
      </w:r>
      <w:r w:rsidR="00D34114">
        <w:rPr>
          <w:lang w:eastAsia="en-US"/>
        </w:rPr>
        <w:t xml:space="preserve">. </w:t>
      </w:r>
    </w:p>
    <w:p w14:paraId="73C15C83" w14:textId="7690C44B" w:rsidR="003764C1" w:rsidRDefault="00D34114" w:rsidP="00FD7D01">
      <w:pPr>
        <w:rPr>
          <w:lang w:eastAsia="en-US"/>
        </w:rPr>
      </w:pPr>
      <w:r>
        <w:rPr>
          <w:lang w:eastAsia="en-US"/>
        </w:rPr>
        <w:t xml:space="preserve">Whilst it is important to take Access Seekers and Consumer Advocacy Groups </w:t>
      </w:r>
      <w:r w:rsidR="00D96976">
        <w:rPr>
          <w:lang w:eastAsia="en-US"/>
        </w:rPr>
        <w:t xml:space="preserve">views </w:t>
      </w:r>
      <w:r>
        <w:rPr>
          <w:lang w:eastAsia="en-US"/>
        </w:rPr>
        <w:t xml:space="preserve">into consideration whilst </w:t>
      </w:r>
      <w:r w:rsidR="00AF1A53">
        <w:rPr>
          <w:lang w:eastAsia="en-US"/>
        </w:rPr>
        <w:t xml:space="preserve">proposing expenditure, </w:t>
      </w:r>
      <w:r w:rsidR="0030738D">
        <w:rPr>
          <w:lang w:eastAsia="en-US"/>
        </w:rPr>
        <w:t>ACCAN considers</w:t>
      </w:r>
      <w:r w:rsidR="003764C1">
        <w:rPr>
          <w:lang w:eastAsia="en-US"/>
        </w:rPr>
        <w:t xml:space="preserve"> that it should be made clear that this clause is subordinate to the requirement that expenditure be prudent and efficient. Clarifying the clause would preclude the possibility that inefficient or imprudent expenditures are proposed by NBN Co on the basis that it was requested by Access Seekers o</w:t>
      </w:r>
      <w:r w:rsidR="00D96976">
        <w:rPr>
          <w:lang w:eastAsia="en-US"/>
        </w:rPr>
        <w:t>r</w:t>
      </w:r>
      <w:r w:rsidR="003764C1">
        <w:rPr>
          <w:lang w:eastAsia="en-US"/>
        </w:rPr>
        <w:t xml:space="preserve"> Consumer Advocacy groups.</w:t>
      </w:r>
    </w:p>
    <w:p w14:paraId="6805B7D9" w14:textId="6EEB2A59" w:rsidR="00EB0E3F" w:rsidRPr="00CD20BD" w:rsidRDefault="003764C1" w:rsidP="00EB0E3F">
      <w:pPr>
        <w:rPr>
          <w:lang w:val="en-US" w:eastAsia="en-US"/>
        </w:rPr>
      </w:pPr>
      <w:r w:rsidRPr="00CD20BD">
        <w:t xml:space="preserve">ACCAN considers that clarification of this clause is appropriate to safeguard against the potential that Consumer Advocacy </w:t>
      </w:r>
      <w:r w:rsidR="007E0AC9">
        <w:t>G</w:t>
      </w:r>
      <w:r w:rsidRPr="00CD20BD">
        <w:t>roups or Access Seekers endorse or support excessive expenditures based on limited information</w:t>
      </w:r>
      <w:r w:rsidR="00D96976" w:rsidRPr="00CD20BD">
        <w:t xml:space="preserve"> or commercial interest. For example, this clause might allow for inefficiently high expenditure being proposed to improve service standards, which may align with the commercial strategies of Access Seekers</w:t>
      </w:r>
      <w:r w:rsidR="00584299" w:rsidRPr="00CD20BD">
        <w:t xml:space="preserve"> to target high-speed and high-reliability customers</w:t>
      </w:r>
      <w:r w:rsidR="00D96976" w:rsidRPr="00CD20BD">
        <w:t>, but impose excessively high costs to</w:t>
      </w:r>
      <w:r w:rsidR="00584299" w:rsidRPr="00CD20BD">
        <w:t xml:space="preserve"> general</w:t>
      </w:r>
      <w:r w:rsidR="00D96976" w:rsidRPr="00CD20BD">
        <w:t xml:space="preserve"> consumers. </w:t>
      </w:r>
      <w:r w:rsidRPr="00CD20BD">
        <w:t>While we consider that the risk of this occurring to be limited, we nonetheless see merit in clarifying th</w:t>
      </w:r>
      <w:r w:rsidR="00D96976" w:rsidRPr="00CD20BD">
        <w:t>e intended operation of this</w:t>
      </w:r>
      <w:r w:rsidRPr="00CD20BD">
        <w:t xml:space="preserve"> clause.</w:t>
      </w:r>
    </w:p>
    <w:p w14:paraId="7C37C164" w14:textId="766FFE5F" w:rsidR="004F2AEF" w:rsidRPr="00AD2B68" w:rsidRDefault="004F2AEF" w:rsidP="00EE251C">
      <w:pPr>
        <w:pStyle w:val="Heading2"/>
      </w:pPr>
      <w:r w:rsidRPr="00AD2B68">
        <w:t>Ex</w:t>
      </w:r>
      <w:r w:rsidR="00794385">
        <w:t>-</w:t>
      </w:r>
      <w:r w:rsidRPr="00AD2B68">
        <w:t xml:space="preserve">post </w:t>
      </w:r>
      <w:r w:rsidR="00794385">
        <w:t>R</w:t>
      </w:r>
      <w:r w:rsidRPr="00D96976">
        <w:t>eview</w:t>
      </w:r>
      <w:r w:rsidRPr="00AD2B68">
        <w:t xml:space="preserve"> of </w:t>
      </w:r>
      <w:r w:rsidR="00794385">
        <w:t>C</w:t>
      </w:r>
      <w:r w:rsidRPr="00D96976">
        <w:t>apex</w:t>
      </w:r>
    </w:p>
    <w:p w14:paraId="3BB44CB6" w14:textId="7155B05A" w:rsidR="004F2AEF" w:rsidRDefault="004A031D" w:rsidP="004F2AEF">
      <w:pPr>
        <w:rPr>
          <w:lang w:eastAsia="en-US"/>
        </w:rPr>
      </w:pPr>
      <w:r>
        <w:rPr>
          <w:lang w:eastAsia="en-US"/>
        </w:rPr>
        <w:t xml:space="preserve">As part of the placement module process, the ACCC must review </w:t>
      </w:r>
      <w:r w:rsidR="006222D4">
        <w:rPr>
          <w:lang w:eastAsia="en-US"/>
        </w:rPr>
        <w:t>NBN Co</w:t>
      </w:r>
      <w:r>
        <w:rPr>
          <w:lang w:eastAsia="en-US"/>
        </w:rPr>
        <w:t>’s actual capex for prudency and efficiency prior to the end of a regulatory cycle</w:t>
      </w:r>
      <w:r w:rsidR="00DA0EEC">
        <w:rPr>
          <w:lang w:eastAsia="en-US"/>
        </w:rPr>
        <w:t>.</w:t>
      </w:r>
      <w:r w:rsidR="00AA6CCE">
        <w:rPr>
          <w:lang w:eastAsia="en-US"/>
        </w:rPr>
        <w:t xml:space="preserve"> </w:t>
      </w:r>
      <w:r w:rsidR="00DA0EEC">
        <w:rPr>
          <w:lang w:eastAsia="en-US"/>
        </w:rPr>
        <w:t>O</w:t>
      </w:r>
      <w:r w:rsidR="00AA6CCE">
        <w:rPr>
          <w:lang w:eastAsia="en-US"/>
        </w:rPr>
        <w:t xml:space="preserve">nly prudently and efficiently </w:t>
      </w:r>
      <w:r w:rsidR="00DA0EEC">
        <w:rPr>
          <w:lang w:eastAsia="en-US"/>
        </w:rPr>
        <w:t xml:space="preserve">expenditure </w:t>
      </w:r>
      <w:r w:rsidR="00E72500">
        <w:rPr>
          <w:lang w:eastAsia="en-US"/>
        </w:rPr>
        <w:t>incurred</w:t>
      </w:r>
      <w:r w:rsidR="006E245E">
        <w:rPr>
          <w:lang w:eastAsia="en-US"/>
        </w:rPr>
        <w:t xml:space="preserve"> </w:t>
      </w:r>
      <w:r w:rsidR="00DA0EEC">
        <w:rPr>
          <w:lang w:eastAsia="en-US"/>
        </w:rPr>
        <w:t xml:space="preserve">in achieving the expenditure objectives and </w:t>
      </w:r>
      <w:r w:rsidR="0059630E">
        <w:rPr>
          <w:lang w:eastAsia="en-US"/>
        </w:rPr>
        <w:t xml:space="preserve">with having regard to the expenditure factors will be added to </w:t>
      </w:r>
      <w:r w:rsidR="0064611D">
        <w:rPr>
          <w:lang w:eastAsia="en-US"/>
        </w:rPr>
        <w:t>NBN Co</w:t>
      </w:r>
      <w:r w:rsidR="0059630E">
        <w:rPr>
          <w:lang w:eastAsia="en-US"/>
        </w:rPr>
        <w:t xml:space="preserve">’s </w:t>
      </w:r>
      <w:r w:rsidR="0064611D">
        <w:rPr>
          <w:lang w:eastAsia="en-US"/>
        </w:rPr>
        <w:t>RAB</w:t>
      </w:r>
      <w:r w:rsidR="0059630E">
        <w:rPr>
          <w:lang w:eastAsia="en-US"/>
        </w:rPr>
        <w:t xml:space="preserve">. </w:t>
      </w:r>
      <w:r w:rsidR="00AA6CCE">
        <w:rPr>
          <w:lang w:eastAsia="en-US"/>
        </w:rPr>
        <w:t xml:space="preserve"> </w:t>
      </w:r>
      <w:r w:rsidR="00D34114">
        <w:rPr>
          <w:lang w:eastAsia="en-US"/>
        </w:rPr>
        <w:t xml:space="preserve"> </w:t>
      </w:r>
    </w:p>
    <w:p w14:paraId="7F5B4E06" w14:textId="698EB75E" w:rsidR="00BC36D7" w:rsidRDefault="00BC36D7" w:rsidP="004F2AEF">
      <w:pPr>
        <w:rPr>
          <w:lang w:eastAsia="en-US"/>
        </w:rPr>
      </w:pPr>
      <w:r>
        <w:rPr>
          <w:lang w:eastAsia="en-US"/>
        </w:rPr>
        <w:t>ACCAN considers that imprudent or inefficient capex should be publicly identified by the ACCC. Further, any trends or drivers for inefficient forecasting or project delivery outcomes should be made clear in order to drive improvements to NBN’s forecast process going forward.</w:t>
      </w:r>
      <w:r w:rsidR="00A11196">
        <w:rPr>
          <w:lang w:eastAsia="en-US"/>
        </w:rPr>
        <w:t xml:space="preserve"> </w:t>
      </w:r>
      <w:r w:rsidR="007E610E">
        <w:rPr>
          <w:lang w:eastAsia="en-US"/>
        </w:rPr>
        <w:t xml:space="preserve">This should work to minimise instances of </w:t>
      </w:r>
      <w:r w:rsidR="002F224B">
        <w:rPr>
          <w:lang w:eastAsia="en-US"/>
        </w:rPr>
        <w:t>material</w:t>
      </w:r>
      <w:r w:rsidR="009435B4">
        <w:rPr>
          <w:lang w:eastAsia="en-US"/>
        </w:rPr>
        <w:t xml:space="preserve"> </w:t>
      </w:r>
      <w:r w:rsidR="005705CE">
        <w:rPr>
          <w:lang w:eastAsia="en-US"/>
        </w:rPr>
        <w:t>overestimates</w:t>
      </w:r>
      <w:r w:rsidR="009435B4">
        <w:rPr>
          <w:lang w:eastAsia="en-US"/>
        </w:rPr>
        <w:t xml:space="preserve"> which may or may not be offset by subsequent pricing reductions in the following period. </w:t>
      </w:r>
      <w:r w:rsidR="00A11196">
        <w:rPr>
          <w:lang w:eastAsia="en-US"/>
        </w:rPr>
        <w:t xml:space="preserve"> </w:t>
      </w:r>
      <w:r>
        <w:rPr>
          <w:lang w:eastAsia="en-US"/>
        </w:rPr>
        <w:t xml:space="preserve"> </w:t>
      </w:r>
    </w:p>
    <w:p w14:paraId="31A72D5C" w14:textId="34883A17" w:rsidR="004F2AEF" w:rsidRPr="00D96976" w:rsidRDefault="004F2AEF" w:rsidP="00EE251C">
      <w:pPr>
        <w:pStyle w:val="Heading2"/>
      </w:pPr>
      <w:r w:rsidRPr="00AD2B68">
        <w:t xml:space="preserve">Cost </w:t>
      </w:r>
      <w:r w:rsidR="00794385">
        <w:t>P</w:t>
      </w:r>
      <w:r w:rsidRPr="00D96976">
        <w:t>ass</w:t>
      </w:r>
      <w:r w:rsidRPr="00AD2B68">
        <w:t>-through</w:t>
      </w:r>
    </w:p>
    <w:p w14:paraId="65ACDE86" w14:textId="6F2A7C30" w:rsidR="006D2217" w:rsidRDefault="008B7882" w:rsidP="00D12050">
      <w:pPr>
        <w:rPr>
          <w:lang w:eastAsia="en-US"/>
        </w:rPr>
      </w:pPr>
      <w:r>
        <w:rPr>
          <w:lang w:eastAsia="en-US"/>
        </w:rPr>
        <w:t xml:space="preserve">The SAU variation provides that NBN </w:t>
      </w:r>
      <w:r w:rsidR="00AE5EC4">
        <w:rPr>
          <w:lang w:eastAsia="en-US"/>
        </w:rPr>
        <w:t xml:space="preserve">Co </w:t>
      </w:r>
      <w:r>
        <w:rPr>
          <w:lang w:eastAsia="en-US"/>
        </w:rPr>
        <w:t>can seek to pass-through</w:t>
      </w:r>
      <w:r w:rsidR="006C6CCB">
        <w:rPr>
          <w:lang w:eastAsia="en-US"/>
        </w:rPr>
        <w:t xml:space="preserve"> costs to its regulated revenue and subsequent prices during a regulatory cycle. This will occur where NBN</w:t>
      </w:r>
      <w:r w:rsidR="00AE5EC4">
        <w:rPr>
          <w:lang w:eastAsia="en-US"/>
        </w:rPr>
        <w:t xml:space="preserve"> Co</w:t>
      </w:r>
      <w:r w:rsidR="006C6CCB">
        <w:rPr>
          <w:lang w:eastAsia="en-US"/>
        </w:rPr>
        <w:t xml:space="preserve"> has incurred or is expected to incur materially higher or lower costs as a result of a variety of specified changes or events.</w:t>
      </w:r>
      <w:r w:rsidR="00A45C11">
        <w:rPr>
          <w:lang w:eastAsia="en-US"/>
        </w:rPr>
        <w:t xml:space="preserve"> Cost</w:t>
      </w:r>
      <w:r w:rsidR="00892AD2">
        <w:rPr>
          <w:lang w:eastAsia="en-US"/>
        </w:rPr>
        <w:t xml:space="preserve"> </w:t>
      </w:r>
      <w:r w:rsidR="00A45C11">
        <w:rPr>
          <w:lang w:eastAsia="en-US"/>
        </w:rPr>
        <w:t>pass</w:t>
      </w:r>
      <w:r w:rsidR="00892AD2">
        <w:rPr>
          <w:lang w:eastAsia="en-US"/>
        </w:rPr>
        <w:t>-</w:t>
      </w:r>
      <w:r w:rsidR="00394BFB">
        <w:rPr>
          <w:lang w:eastAsia="en-US"/>
        </w:rPr>
        <w:t>throughs</w:t>
      </w:r>
      <w:r w:rsidR="00A45C11">
        <w:rPr>
          <w:lang w:eastAsia="en-US"/>
        </w:rPr>
        <w:t xml:space="preserve"> can be incurred due to tax changes, changes in regulatory requirements, changes relating to a government policy project notice, a defined natural disaster or terrorism event</w:t>
      </w:r>
      <w:r w:rsidR="00824A65">
        <w:rPr>
          <w:lang w:eastAsia="en-US"/>
        </w:rPr>
        <w:t xml:space="preserve"> and </w:t>
      </w:r>
      <w:r w:rsidR="00A45C11">
        <w:rPr>
          <w:lang w:eastAsia="en-US"/>
        </w:rPr>
        <w:t>changes in benchmark service standar</w:t>
      </w:r>
      <w:r w:rsidR="00824A65">
        <w:rPr>
          <w:lang w:eastAsia="en-US"/>
        </w:rPr>
        <w:t xml:space="preserve">ds. </w:t>
      </w:r>
      <w:r w:rsidR="006D2217" w:rsidRPr="006D2217">
        <w:rPr>
          <w:lang w:eastAsia="en-US"/>
        </w:rPr>
        <w:t xml:space="preserve"> </w:t>
      </w:r>
      <w:r w:rsidR="006D2217">
        <w:rPr>
          <w:lang w:eastAsia="en-US"/>
        </w:rPr>
        <w:t xml:space="preserve">ACCAN supports the inclusion of a cost pass-through mechanism as </w:t>
      </w:r>
      <w:r w:rsidR="00320CD5">
        <w:rPr>
          <w:lang w:eastAsia="en-US"/>
        </w:rPr>
        <w:t>NBN Co</w:t>
      </w:r>
      <w:r w:rsidR="006D2217">
        <w:rPr>
          <w:lang w:eastAsia="en-US"/>
        </w:rPr>
        <w:t xml:space="preserve"> need</w:t>
      </w:r>
      <w:r w:rsidR="00C0284D">
        <w:rPr>
          <w:lang w:eastAsia="en-US"/>
        </w:rPr>
        <w:t>s</w:t>
      </w:r>
      <w:r w:rsidR="006D2217">
        <w:rPr>
          <w:lang w:eastAsia="en-US"/>
        </w:rPr>
        <w:t xml:space="preserve"> sufficient certainty of its ability to respond to exogenous events.</w:t>
      </w:r>
    </w:p>
    <w:p w14:paraId="715246F1" w14:textId="3195B6F4" w:rsidR="00D12050" w:rsidRDefault="007F2543" w:rsidP="00D12050">
      <w:pPr>
        <w:rPr>
          <w:lang w:eastAsia="en-US"/>
        </w:rPr>
      </w:pPr>
      <w:r>
        <w:rPr>
          <w:lang w:eastAsia="en-US"/>
        </w:rPr>
        <w:t xml:space="preserve">ACCAN supports the proposal </w:t>
      </w:r>
      <w:r w:rsidR="007A7981">
        <w:rPr>
          <w:lang w:eastAsia="en-US"/>
        </w:rPr>
        <w:t>in regard to cost past-throughs triggered by a Government Policy Project Notice Event</w:t>
      </w:r>
      <w:r w:rsidR="00DD07E5">
        <w:rPr>
          <w:lang w:eastAsia="en-US"/>
        </w:rPr>
        <w:t>. In this instance,</w:t>
      </w:r>
      <w:r w:rsidR="007A7981">
        <w:rPr>
          <w:lang w:eastAsia="en-US"/>
        </w:rPr>
        <w:t xml:space="preserve"> a notice must state that the </w:t>
      </w:r>
      <w:r w:rsidR="00897203">
        <w:rPr>
          <w:lang w:eastAsia="en-US"/>
        </w:rPr>
        <w:t>C</w:t>
      </w:r>
      <w:r w:rsidR="007A7981">
        <w:rPr>
          <w:lang w:eastAsia="en-US"/>
        </w:rPr>
        <w:t xml:space="preserve">ommunications </w:t>
      </w:r>
      <w:r w:rsidR="00897203">
        <w:rPr>
          <w:lang w:eastAsia="en-US"/>
        </w:rPr>
        <w:t>M</w:t>
      </w:r>
      <w:r w:rsidR="007A7981">
        <w:rPr>
          <w:lang w:eastAsia="en-US"/>
        </w:rPr>
        <w:t xml:space="preserve">inister has determined that </w:t>
      </w:r>
      <w:r w:rsidR="00897203">
        <w:rPr>
          <w:lang w:eastAsia="en-US"/>
        </w:rPr>
        <w:t>NBN Co</w:t>
      </w:r>
      <w:r w:rsidR="007A7981">
        <w:rPr>
          <w:lang w:eastAsia="en-US"/>
        </w:rPr>
        <w:t xml:space="preserve"> undertaking a particular project or program is reasonably required to achieve commonwealth government policy, taking into account the public interest served by the project or program. This </w:t>
      </w:r>
      <w:r w:rsidR="00DD07E5">
        <w:rPr>
          <w:lang w:eastAsia="en-US"/>
        </w:rPr>
        <w:t xml:space="preserve">process </w:t>
      </w:r>
      <w:r w:rsidR="007A7981">
        <w:rPr>
          <w:lang w:eastAsia="en-US"/>
        </w:rPr>
        <w:t>increases the level of transparency of how government directed projects interact with co</w:t>
      </w:r>
      <w:r w:rsidR="007B186C">
        <w:rPr>
          <w:lang w:eastAsia="en-US"/>
        </w:rPr>
        <w:t>nsumer costs</w:t>
      </w:r>
      <w:r w:rsidR="00897203">
        <w:rPr>
          <w:lang w:eastAsia="en-US"/>
        </w:rPr>
        <w:t xml:space="preserve"> mid-cycle</w:t>
      </w:r>
      <w:r w:rsidR="007B186C">
        <w:rPr>
          <w:lang w:eastAsia="en-US"/>
        </w:rPr>
        <w:t>.</w:t>
      </w:r>
    </w:p>
    <w:p w14:paraId="4E17F326" w14:textId="4D1FD4C6" w:rsidR="007C3694" w:rsidRDefault="00295902" w:rsidP="00D12050">
      <w:pPr>
        <w:rPr>
          <w:lang w:eastAsia="en-US"/>
        </w:rPr>
      </w:pPr>
      <w:r>
        <w:rPr>
          <w:lang w:eastAsia="en-US"/>
        </w:rPr>
        <w:t xml:space="preserve">NBN </w:t>
      </w:r>
      <w:r w:rsidR="006D2217">
        <w:rPr>
          <w:lang w:eastAsia="en-US"/>
        </w:rPr>
        <w:t xml:space="preserve">Co </w:t>
      </w:r>
      <w:r>
        <w:rPr>
          <w:lang w:eastAsia="en-US"/>
        </w:rPr>
        <w:t>will have 90 business days to submit a cost pass</w:t>
      </w:r>
      <w:r w:rsidR="005E2E48">
        <w:rPr>
          <w:lang w:eastAsia="en-US"/>
        </w:rPr>
        <w:t>-</w:t>
      </w:r>
      <w:r>
        <w:rPr>
          <w:lang w:eastAsia="en-US"/>
        </w:rPr>
        <w:t xml:space="preserve">through application, and the ACCC would have 40 business days to make a </w:t>
      </w:r>
      <w:r w:rsidR="006D2217">
        <w:rPr>
          <w:lang w:eastAsia="en-US"/>
        </w:rPr>
        <w:t xml:space="preserve">subsequent </w:t>
      </w:r>
      <w:r>
        <w:rPr>
          <w:lang w:eastAsia="en-US"/>
        </w:rPr>
        <w:t xml:space="preserve">determination, with the ability to extend up to two months. </w:t>
      </w:r>
      <w:r w:rsidR="001770BB">
        <w:rPr>
          <w:lang w:eastAsia="en-US"/>
        </w:rPr>
        <w:t>ACCAN supports the proposal for the ACCC to have the ability to extend their assessment of the cost pass</w:t>
      </w:r>
      <w:r w:rsidR="005E2E48">
        <w:rPr>
          <w:lang w:eastAsia="en-US"/>
        </w:rPr>
        <w:t>-</w:t>
      </w:r>
      <w:r w:rsidR="001770BB">
        <w:rPr>
          <w:lang w:eastAsia="en-US"/>
        </w:rPr>
        <w:t xml:space="preserve">through application by 2 months however we consider </w:t>
      </w:r>
      <w:r w:rsidR="00B82D5E">
        <w:rPr>
          <w:lang w:eastAsia="en-US"/>
        </w:rPr>
        <w:t>NBN</w:t>
      </w:r>
      <w:r w:rsidR="00C96A1B">
        <w:rPr>
          <w:lang w:eastAsia="en-US"/>
        </w:rPr>
        <w:t xml:space="preserve"> Co should be incentivised to</w:t>
      </w:r>
      <w:r w:rsidR="00B82D5E">
        <w:rPr>
          <w:lang w:eastAsia="en-US"/>
        </w:rPr>
        <w:t xml:space="preserve"> </w:t>
      </w:r>
      <w:r w:rsidR="00C70EDF">
        <w:rPr>
          <w:lang w:eastAsia="en-US"/>
        </w:rPr>
        <w:t>respond to</w:t>
      </w:r>
      <w:r w:rsidR="00B82D5E">
        <w:rPr>
          <w:lang w:eastAsia="en-US"/>
        </w:rPr>
        <w:t xml:space="preserve"> information requests in a timely manner and</w:t>
      </w:r>
      <w:r w:rsidR="00C70EDF">
        <w:rPr>
          <w:lang w:eastAsia="en-US"/>
        </w:rPr>
        <w:t xml:space="preserve"> for the</w:t>
      </w:r>
      <w:r w:rsidR="00B82D5E">
        <w:rPr>
          <w:lang w:eastAsia="en-US"/>
        </w:rPr>
        <w:t xml:space="preserve"> risk of regulatory gaps </w:t>
      </w:r>
      <w:r w:rsidR="00C70EDF">
        <w:rPr>
          <w:lang w:eastAsia="en-US"/>
        </w:rPr>
        <w:t xml:space="preserve">to be </w:t>
      </w:r>
      <w:r w:rsidR="00B82D5E">
        <w:rPr>
          <w:lang w:eastAsia="en-US"/>
        </w:rPr>
        <w:t xml:space="preserve">minimised. </w:t>
      </w:r>
      <w:r w:rsidR="000D3FE1">
        <w:rPr>
          <w:lang w:eastAsia="en-US"/>
        </w:rPr>
        <w:t xml:space="preserve">For example, if the ACCC deems that NBN Co has not provided sufficient information to prove that a cost-pass through application is required, then the ACCC can reject the application. Alternatively, if NBN Co </w:t>
      </w:r>
      <w:r w:rsidR="009D2DB2">
        <w:rPr>
          <w:lang w:eastAsia="en-US"/>
        </w:rPr>
        <w:t>miss timeframes set for providing information, this could result in a reduction of the ICRA.</w:t>
      </w:r>
    </w:p>
    <w:p w14:paraId="5949311A" w14:textId="4A678D86" w:rsidR="002E2D22" w:rsidRPr="00244DB0" w:rsidRDefault="002E2D22">
      <w:pPr>
        <w:pStyle w:val="Recommendation"/>
        <w:rPr>
          <w:rFonts w:cstheme="minorHAnsi"/>
        </w:rPr>
      </w:pPr>
      <w:r w:rsidRPr="00244DB0">
        <w:rPr>
          <w:rFonts w:asciiTheme="minorHAnsi" w:hAnsiTheme="minorHAnsi" w:cstheme="minorHAnsi"/>
        </w:rPr>
        <w:t xml:space="preserve">The SAU variation should include appropriate incentives </w:t>
      </w:r>
      <w:r w:rsidR="000A3314" w:rsidRPr="00244DB0">
        <w:rPr>
          <w:rFonts w:asciiTheme="minorHAnsi" w:hAnsiTheme="minorHAnsi" w:cstheme="minorHAnsi"/>
        </w:rPr>
        <w:t>for NBN Co to</w:t>
      </w:r>
      <w:r w:rsidRPr="00244DB0">
        <w:rPr>
          <w:rFonts w:asciiTheme="minorHAnsi" w:hAnsiTheme="minorHAnsi" w:cstheme="minorHAnsi"/>
        </w:rPr>
        <w:t xml:space="preserve"> adhere to timeframes for information requests</w:t>
      </w:r>
      <w:r w:rsidR="000A3314" w:rsidRPr="00244DB0">
        <w:rPr>
          <w:rFonts w:asciiTheme="minorHAnsi" w:hAnsiTheme="minorHAnsi" w:cstheme="minorHAnsi"/>
        </w:rPr>
        <w:t xml:space="preserve"> regarding cost pass</w:t>
      </w:r>
      <w:r w:rsidR="005E2E48">
        <w:rPr>
          <w:rFonts w:asciiTheme="minorHAnsi" w:hAnsiTheme="minorHAnsi" w:cstheme="minorHAnsi"/>
        </w:rPr>
        <w:t>-</w:t>
      </w:r>
      <w:r w:rsidR="000A3314" w:rsidRPr="00244DB0">
        <w:rPr>
          <w:rFonts w:asciiTheme="minorHAnsi" w:hAnsiTheme="minorHAnsi" w:cstheme="minorHAnsi"/>
        </w:rPr>
        <w:t>through applications</w:t>
      </w:r>
      <w:r w:rsidRPr="00244DB0">
        <w:rPr>
          <w:rFonts w:asciiTheme="minorHAnsi" w:hAnsiTheme="minorHAnsi" w:cstheme="minorHAnsi"/>
        </w:rPr>
        <w:t xml:space="preserve">.  </w:t>
      </w:r>
    </w:p>
    <w:p w14:paraId="42D276E3" w14:textId="07F2AECE" w:rsidR="008928D0" w:rsidRDefault="008928D0" w:rsidP="008928D0">
      <w:r>
        <w:t>We are also concerned regarding the proposed process of cost pass</w:t>
      </w:r>
      <w:r w:rsidR="005E2E48">
        <w:t>-</w:t>
      </w:r>
      <w:r>
        <w:t>throughs relevant to a Negative Change Event.</w:t>
      </w:r>
      <w:r w:rsidR="00A52080">
        <w:rPr>
          <w:rStyle w:val="FootnoteReference"/>
        </w:rPr>
        <w:footnoteReference w:id="13"/>
      </w:r>
      <w:r>
        <w:t xml:space="preserve"> The proposal requires NBN to submit a cost pass</w:t>
      </w:r>
      <w:r w:rsidR="005E2E48">
        <w:t>-</w:t>
      </w:r>
      <w:r>
        <w:t xml:space="preserve">through application within 90 days of becoming aware of a Negative Change Event occurring. Clause 2D.5.3 specifies that the ACCC may notify NBN Co of the Negative Change </w:t>
      </w:r>
      <w:r w:rsidR="004A12D8">
        <w:t>E</w:t>
      </w:r>
      <w:r>
        <w:t>vent occurring if NBN has not provided a cost pass</w:t>
      </w:r>
      <w:r w:rsidR="005E2E48">
        <w:t>-</w:t>
      </w:r>
      <w:r>
        <w:t>through application. If the ACCC provides NBN a notification of a Negative Change Event occurring, NBN Co is not required to make a cost pass</w:t>
      </w:r>
      <w:r w:rsidR="005E2E48">
        <w:t>-</w:t>
      </w:r>
      <w:r>
        <w:t xml:space="preserve">through application. The ACCC then has 40 days to issue a determination regarding the Negative Change </w:t>
      </w:r>
      <w:r w:rsidR="004A12D8">
        <w:t>E</w:t>
      </w:r>
      <w:r>
        <w:t>vent.</w:t>
      </w:r>
    </w:p>
    <w:p w14:paraId="7181B583" w14:textId="12413F28" w:rsidR="00481BA2" w:rsidRDefault="008928D0" w:rsidP="008928D0">
      <w:r>
        <w:t>NBN Co should be required to provide a cost pass</w:t>
      </w:r>
      <w:r w:rsidR="005E2E48">
        <w:t>-</w:t>
      </w:r>
      <w:r>
        <w:t>through application on becoming aware of a Negative Change Event regardless of whether the ACCC informed NBN Co that the event has occurred. On receiving a notification from the ACCC that a Negative Change Event has occurred, NBN Co should be required to provide a cost pass</w:t>
      </w:r>
      <w:r w:rsidR="005E2E48">
        <w:t>-</w:t>
      </w:r>
      <w:r>
        <w:t>through application within 90 business days of being given the notification.</w:t>
      </w:r>
    </w:p>
    <w:p w14:paraId="0CD1C91A" w14:textId="15F33F12" w:rsidR="00C95AD3" w:rsidRPr="00057E03" w:rsidRDefault="00C95AD3" w:rsidP="00244DB0">
      <w:pPr>
        <w:pStyle w:val="Recommendation"/>
      </w:pPr>
      <w:r>
        <w:t xml:space="preserve">Clause 2D.5.3, which provides the ACCC the power to notify NBN Co of the occurrence of a Negative Change Event if NBN Co has not provided a </w:t>
      </w:r>
      <w:r w:rsidR="005E2E48">
        <w:t>c</w:t>
      </w:r>
      <w:r>
        <w:t xml:space="preserve">ost </w:t>
      </w:r>
      <w:r w:rsidR="005E2E48">
        <w:t>p</w:t>
      </w:r>
      <w:r>
        <w:t>ass</w:t>
      </w:r>
      <w:r w:rsidR="005E2E48">
        <w:t>-t</w:t>
      </w:r>
      <w:r>
        <w:t xml:space="preserve">hrough </w:t>
      </w:r>
      <w:r w:rsidR="005E2E48">
        <w:t>a</w:t>
      </w:r>
      <w:r>
        <w:t xml:space="preserve">pplication relating to that Negative </w:t>
      </w:r>
      <w:r w:rsidR="004A12D8">
        <w:t>C</w:t>
      </w:r>
      <w:r>
        <w:t>hange Event</w:t>
      </w:r>
      <w:r w:rsidR="00444B6E">
        <w:t>,</w:t>
      </w:r>
      <w:r>
        <w:t xml:space="preserve"> should be amended such that it does not prevent NBN Co from </w:t>
      </w:r>
      <w:r w:rsidR="00D566DC">
        <w:t xml:space="preserve">making a </w:t>
      </w:r>
      <w:r w:rsidR="005E2E48">
        <w:t>c</w:t>
      </w:r>
      <w:r w:rsidR="00D566DC">
        <w:t xml:space="preserve">ost </w:t>
      </w:r>
      <w:r w:rsidR="005E2E48">
        <w:t>p</w:t>
      </w:r>
      <w:r w:rsidR="00D566DC">
        <w:t>ass</w:t>
      </w:r>
      <w:r w:rsidR="005E2E48">
        <w:t>-t</w:t>
      </w:r>
      <w:r w:rsidR="00D566DC">
        <w:t xml:space="preserve">hrough </w:t>
      </w:r>
      <w:r w:rsidR="005E2E48">
        <w:t>a</w:t>
      </w:r>
      <w:r w:rsidR="00D566DC">
        <w:t xml:space="preserve">pplication in respect of that Negative Change Event. </w:t>
      </w:r>
    </w:p>
    <w:p w14:paraId="2C70CB87" w14:textId="55A161FF" w:rsidR="00295902" w:rsidRPr="00244DB0" w:rsidRDefault="00670519" w:rsidP="002F3CC7">
      <w:pPr>
        <w:pStyle w:val="Heading2"/>
      </w:pPr>
      <w:r w:rsidRPr="00AD2B68">
        <w:t>Telstra Arrangements and Optus Arrangements</w:t>
      </w:r>
    </w:p>
    <w:p w14:paraId="221F25AC" w14:textId="4A85EE5D" w:rsidR="00AB45FB" w:rsidRDefault="00856166" w:rsidP="00AB45FB">
      <w:pPr>
        <w:rPr>
          <w:lang w:eastAsia="en-US"/>
        </w:rPr>
      </w:pPr>
      <w:r>
        <w:rPr>
          <w:lang w:eastAsia="en-US"/>
        </w:rPr>
        <w:t xml:space="preserve">NBN Co has proposed that payments forecast to be made under the Telstra Arrangements and the Optus Arrangements for a given regulatory cycle could be included in the relevant forecast expenditure allowances without any prudency and efficiency assessment. We consider that all </w:t>
      </w:r>
      <w:r w:rsidR="001563CB">
        <w:rPr>
          <w:lang w:eastAsia="en-US"/>
        </w:rPr>
        <w:t xml:space="preserve">forecast expenditure should be required to </w:t>
      </w:r>
      <w:r w:rsidR="00CA63DA">
        <w:rPr>
          <w:lang w:eastAsia="en-US"/>
        </w:rPr>
        <w:t xml:space="preserve">be assessed for prudency and efficiency with the exception of </w:t>
      </w:r>
      <w:r w:rsidR="0067680B">
        <w:rPr>
          <w:lang w:eastAsia="en-US"/>
        </w:rPr>
        <w:t xml:space="preserve">the expenditure directed by a government </w:t>
      </w:r>
      <w:r w:rsidR="00D97567">
        <w:rPr>
          <w:lang w:eastAsia="en-US"/>
        </w:rPr>
        <w:t xml:space="preserve">policy project notice. </w:t>
      </w:r>
    </w:p>
    <w:p w14:paraId="1085D113" w14:textId="12FB239B" w:rsidR="0035431E" w:rsidRPr="00057E03" w:rsidRDefault="0035431E" w:rsidP="00244DB0">
      <w:pPr>
        <w:pStyle w:val="Recommendation"/>
        <w:rPr>
          <w:rFonts w:cstheme="minorHAnsi"/>
        </w:rPr>
      </w:pPr>
      <w:r w:rsidRPr="00244DB0">
        <w:rPr>
          <w:rFonts w:asciiTheme="minorHAnsi" w:hAnsiTheme="minorHAnsi" w:cstheme="minorHAnsi"/>
        </w:rPr>
        <w:t xml:space="preserve">The ACCC should consider the prudency and efficiency of the </w:t>
      </w:r>
      <w:r w:rsidR="004C1780" w:rsidRPr="00244DB0">
        <w:rPr>
          <w:rFonts w:asciiTheme="minorHAnsi" w:hAnsiTheme="minorHAnsi" w:cstheme="minorHAnsi"/>
        </w:rPr>
        <w:t>ex</w:t>
      </w:r>
      <w:r w:rsidR="00B05237" w:rsidRPr="00244DB0">
        <w:rPr>
          <w:rFonts w:asciiTheme="minorHAnsi" w:hAnsiTheme="minorHAnsi" w:cstheme="minorHAnsi"/>
        </w:rPr>
        <w:t xml:space="preserve">penditure allowances made under the Telstra Arrangements and the Optus Arrangements for a given regulatory cycle. </w:t>
      </w:r>
    </w:p>
    <w:p w14:paraId="0B57CF00" w14:textId="003AC0AC" w:rsidR="00136DEC" w:rsidRPr="00D954C3" w:rsidRDefault="00CE020A" w:rsidP="00C0368D">
      <w:pPr>
        <w:pStyle w:val="Heading1"/>
      </w:pPr>
      <w:bookmarkStart w:id="25" w:name="_Toc127353163"/>
      <w:bookmarkStart w:id="26" w:name="_Toc126914090"/>
      <w:r w:rsidRPr="00D954C3">
        <w:t xml:space="preserve">Cost </w:t>
      </w:r>
      <w:r w:rsidR="00794385">
        <w:t>A</w:t>
      </w:r>
      <w:r w:rsidRPr="00D13490">
        <w:t>llocation</w:t>
      </w:r>
      <w:r w:rsidRPr="00D954C3">
        <w:t xml:space="preserve"> and </w:t>
      </w:r>
      <w:r w:rsidR="00794385">
        <w:t>A</w:t>
      </w:r>
      <w:r w:rsidRPr="00D13490">
        <w:t xml:space="preserve">ccounting </w:t>
      </w:r>
      <w:r w:rsidR="00794385">
        <w:t>S</w:t>
      </w:r>
      <w:r w:rsidRPr="00D13490">
        <w:t>eparation</w:t>
      </w:r>
      <w:bookmarkEnd w:id="25"/>
      <w:bookmarkEnd w:id="26"/>
      <w:r w:rsidR="009A6F59" w:rsidRPr="00D954C3">
        <w:t xml:space="preserve"> </w:t>
      </w:r>
    </w:p>
    <w:p w14:paraId="0B438D4B" w14:textId="0E341830" w:rsidR="00980828" w:rsidRDefault="00B50711" w:rsidP="00136DEC">
      <w:pPr>
        <w:rPr>
          <w:rStyle w:val="Hyperlink"/>
          <w:color w:val="auto"/>
          <w:u w:val="none"/>
          <w:lang w:eastAsia="en-US"/>
        </w:rPr>
      </w:pPr>
      <w:r w:rsidRPr="00995FC1">
        <w:rPr>
          <w:rStyle w:val="Hyperlink"/>
          <w:color w:val="auto"/>
          <w:u w:val="none"/>
          <w:lang w:eastAsia="en-US"/>
        </w:rPr>
        <w:t xml:space="preserve">NBN </w:t>
      </w:r>
      <w:r w:rsidR="00C0368D">
        <w:rPr>
          <w:rStyle w:val="Hyperlink"/>
          <w:color w:val="auto"/>
          <w:u w:val="none"/>
          <w:lang w:eastAsia="en-US"/>
        </w:rPr>
        <w:t xml:space="preserve">Co </w:t>
      </w:r>
      <w:r w:rsidRPr="00995FC1">
        <w:rPr>
          <w:rStyle w:val="Hyperlink"/>
          <w:color w:val="auto"/>
          <w:u w:val="none"/>
          <w:lang w:eastAsia="en-US"/>
        </w:rPr>
        <w:t>has proposed to separate cost bases for ‘core’ and ‘non-core services’ to acc</w:t>
      </w:r>
      <w:r w:rsidR="008A4CDE" w:rsidRPr="00995FC1">
        <w:rPr>
          <w:rStyle w:val="Hyperlink"/>
          <w:color w:val="auto"/>
          <w:u w:val="none"/>
          <w:lang w:eastAsia="en-US"/>
        </w:rPr>
        <w:t xml:space="preserve">ount for </w:t>
      </w:r>
      <w:r w:rsidR="00C0368D">
        <w:rPr>
          <w:rStyle w:val="Hyperlink"/>
          <w:color w:val="auto"/>
          <w:u w:val="none"/>
          <w:lang w:eastAsia="en-US"/>
        </w:rPr>
        <w:t>NBN Co</w:t>
      </w:r>
      <w:r w:rsidR="008A4CDE" w:rsidRPr="00995FC1">
        <w:rPr>
          <w:rStyle w:val="Hyperlink"/>
          <w:color w:val="auto"/>
          <w:u w:val="none"/>
          <w:lang w:eastAsia="en-US"/>
        </w:rPr>
        <w:t xml:space="preserve">’s operation in both competitive and non-competitive markets. Services and their associated costs which </w:t>
      </w:r>
      <w:r w:rsidR="00C0368D">
        <w:rPr>
          <w:rStyle w:val="Hyperlink"/>
          <w:color w:val="auto"/>
          <w:u w:val="none"/>
          <w:lang w:eastAsia="en-US"/>
        </w:rPr>
        <w:t>NBN Co</w:t>
      </w:r>
      <w:r w:rsidR="008A4CDE" w:rsidRPr="00995FC1">
        <w:rPr>
          <w:rStyle w:val="Hyperlink"/>
          <w:color w:val="auto"/>
          <w:u w:val="none"/>
          <w:lang w:eastAsia="en-US"/>
        </w:rPr>
        <w:t xml:space="preserve"> supplies in competitive markets would be categorised as non-core, while all other services and costs are categorised as core. </w:t>
      </w:r>
    </w:p>
    <w:p w14:paraId="4B26EFEF" w14:textId="06DA45E2" w:rsidR="00896D9F" w:rsidRDefault="002D637F" w:rsidP="00370FC6">
      <w:pPr>
        <w:rPr>
          <w:lang w:eastAsia="en-US"/>
        </w:rPr>
      </w:pPr>
      <w:r w:rsidRPr="00995FC1">
        <w:rPr>
          <w:rStyle w:val="Hyperlink"/>
          <w:color w:val="auto"/>
          <w:u w:val="none"/>
          <w:lang w:eastAsia="en-US"/>
        </w:rPr>
        <w:t xml:space="preserve">ACCAN supports the proposal which will see </w:t>
      </w:r>
      <w:r w:rsidR="004D3393" w:rsidRPr="00995FC1">
        <w:rPr>
          <w:rStyle w:val="Hyperlink"/>
          <w:color w:val="auto"/>
          <w:u w:val="none"/>
          <w:lang w:eastAsia="en-US"/>
        </w:rPr>
        <w:t xml:space="preserve">only </w:t>
      </w:r>
      <w:r w:rsidRPr="00995FC1">
        <w:rPr>
          <w:rStyle w:val="Hyperlink"/>
          <w:color w:val="auto"/>
          <w:u w:val="none"/>
          <w:lang w:eastAsia="en-US"/>
        </w:rPr>
        <w:t>core services subject to SAU requirements</w:t>
      </w:r>
      <w:r w:rsidR="00FA66A0">
        <w:rPr>
          <w:rStyle w:val="Hyperlink"/>
          <w:color w:val="auto"/>
          <w:u w:val="none"/>
          <w:lang w:eastAsia="en-US"/>
        </w:rPr>
        <w:t xml:space="preserve"> to provide assurance that th</w:t>
      </w:r>
      <w:r w:rsidR="004968C0">
        <w:rPr>
          <w:rStyle w:val="Hyperlink"/>
          <w:color w:val="auto"/>
          <w:u w:val="none"/>
          <w:lang w:eastAsia="en-US"/>
        </w:rPr>
        <w:t>ere is no cross subsidy between competitive and non-competitive services</w:t>
      </w:r>
      <w:r w:rsidR="004D3393" w:rsidRPr="00995FC1">
        <w:rPr>
          <w:rStyle w:val="Hyperlink"/>
          <w:color w:val="auto"/>
          <w:u w:val="none"/>
          <w:lang w:eastAsia="en-US"/>
        </w:rPr>
        <w:t xml:space="preserve">. </w:t>
      </w:r>
      <w:r w:rsidR="00370FC6" w:rsidRPr="00995FC1">
        <w:rPr>
          <w:rStyle w:val="Hyperlink"/>
          <w:color w:val="auto"/>
          <w:u w:val="none"/>
          <w:lang w:eastAsia="en-US"/>
        </w:rPr>
        <w:t>NBN may re-categorise a service as core or non-core as part of the replacement module process. ACCAN supports the ACCC having the power to also re-categorise a product or service as a core or non-core service</w:t>
      </w:r>
      <w:r w:rsidR="00370FC6">
        <w:rPr>
          <w:rStyle w:val="Hyperlink"/>
          <w:color w:val="auto"/>
          <w:u w:val="none"/>
          <w:lang w:eastAsia="en-US"/>
        </w:rPr>
        <w:t xml:space="preserve"> through a replacement module determination. </w:t>
      </w:r>
      <w:r w:rsidR="00980828" w:rsidRPr="00995FC1">
        <w:rPr>
          <w:rStyle w:val="Hyperlink"/>
          <w:color w:val="auto"/>
          <w:u w:val="none"/>
          <w:lang w:eastAsia="en-US"/>
        </w:rPr>
        <w:t xml:space="preserve">The SAU variation sets out cost allocation principles for </w:t>
      </w:r>
      <w:r w:rsidR="00980828">
        <w:rPr>
          <w:rStyle w:val="Hyperlink"/>
          <w:color w:val="auto"/>
          <w:u w:val="none"/>
          <w:lang w:eastAsia="en-US"/>
        </w:rPr>
        <w:t>NBN Co</w:t>
      </w:r>
      <w:r w:rsidR="00980828" w:rsidRPr="00995FC1">
        <w:rPr>
          <w:rStyle w:val="Hyperlink"/>
          <w:color w:val="auto"/>
          <w:u w:val="none"/>
          <w:lang w:eastAsia="en-US"/>
        </w:rPr>
        <w:t xml:space="preserve"> to separate costs associated to core and non-core services. </w:t>
      </w:r>
      <w:r w:rsidR="00980828">
        <w:rPr>
          <w:rStyle w:val="Hyperlink"/>
          <w:color w:val="auto"/>
          <w:u w:val="none"/>
          <w:lang w:eastAsia="en-US"/>
        </w:rPr>
        <w:t xml:space="preserve">ACCAN considers the cost allocation principles to be appropriate. </w:t>
      </w:r>
    </w:p>
    <w:p w14:paraId="207A4DED" w14:textId="18DE84DD" w:rsidR="002D4A22" w:rsidRPr="00057E03" w:rsidRDefault="00896D9F" w:rsidP="002F3CC7">
      <w:pPr>
        <w:pStyle w:val="Heading2"/>
        <w:rPr>
          <w:rStyle w:val="Hyperlink"/>
          <w:rFonts w:cstheme="minorBidi"/>
          <w:color w:val="auto"/>
          <w:sz w:val="22"/>
          <w:u w:val="none"/>
        </w:rPr>
      </w:pPr>
      <w:r w:rsidRPr="00AD2B68">
        <w:t>Initial Cost Recovery Account</w:t>
      </w:r>
    </w:p>
    <w:p w14:paraId="6906DAD7" w14:textId="171976B8" w:rsidR="00232C90" w:rsidRDefault="00E81EF9" w:rsidP="00136DEC">
      <w:pPr>
        <w:rPr>
          <w:rStyle w:val="Hyperlink"/>
          <w:color w:val="auto"/>
          <w:u w:val="none"/>
          <w:lang w:eastAsia="en-US"/>
        </w:rPr>
      </w:pPr>
      <w:r>
        <w:rPr>
          <w:rStyle w:val="Hyperlink"/>
          <w:color w:val="auto"/>
          <w:u w:val="none"/>
          <w:lang w:eastAsia="en-US"/>
        </w:rPr>
        <w:t>We</w:t>
      </w:r>
      <w:r w:rsidR="00232C90">
        <w:rPr>
          <w:rStyle w:val="Hyperlink"/>
          <w:color w:val="auto"/>
          <w:u w:val="none"/>
          <w:lang w:eastAsia="en-US"/>
        </w:rPr>
        <w:t xml:space="preserve"> note that </w:t>
      </w:r>
      <w:r>
        <w:rPr>
          <w:rStyle w:val="Hyperlink"/>
          <w:color w:val="auto"/>
          <w:u w:val="none"/>
          <w:lang w:eastAsia="en-US"/>
        </w:rPr>
        <w:t xml:space="preserve">NBN Co has proposed for </w:t>
      </w:r>
      <w:r w:rsidR="00232C90">
        <w:rPr>
          <w:rStyle w:val="Hyperlink"/>
          <w:color w:val="auto"/>
          <w:u w:val="none"/>
          <w:lang w:eastAsia="en-US"/>
        </w:rPr>
        <w:t xml:space="preserve">the full ICRA balance </w:t>
      </w:r>
      <w:r>
        <w:rPr>
          <w:rStyle w:val="Hyperlink"/>
          <w:color w:val="auto"/>
          <w:u w:val="none"/>
          <w:lang w:eastAsia="en-US"/>
        </w:rPr>
        <w:t>to</w:t>
      </w:r>
      <w:r w:rsidR="00232C90">
        <w:rPr>
          <w:rStyle w:val="Hyperlink"/>
          <w:color w:val="auto"/>
          <w:u w:val="none"/>
          <w:lang w:eastAsia="en-US"/>
        </w:rPr>
        <w:t xml:space="preserve"> be allocated to core services. </w:t>
      </w:r>
      <w:r w:rsidR="00E637D7">
        <w:rPr>
          <w:rStyle w:val="Hyperlink"/>
          <w:color w:val="auto"/>
          <w:u w:val="none"/>
          <w:lang w:eastAsia="en-US"/>
        </w:rPr>
        <w:t xml:space="preserve">Given the ICRA represents unrecovered costs, ACCAN considers that it is appropriate for the ACCC to closely consider what proportion of the unrecovered costs have been </w:t>
      </w:r>
      <w:r w:rsidR="003B2380">
        <w:rPr>
          <w:rStyle w:val="Hyperlink"/>
          <w:color w:val="auto"/>
          <w:u w:val="none"/>
          <w:lang w:eastAsia="en-US"/>
        </w:rPr>
        <w:t xml:space="preserve">incurred due to </w:t>
      </w:r>
      <w:r w:rsidR="00751998">
        <w:rPr>
          <w:rStyle w:val="Hyperlink"/>
          <w:color w:val="auto"/>
          <w:u w:val="none"/>
          <w:lang w:eastAsia="en-US"/>
        </w:rPr>
        <w:t xml:space="preserve">the services NBN </w:t>
      </w:r>
      <w:r w:rsidR="00AD1A64">
        <w:rPr>
          <w:rStyle w:val="Hyperlink"/>
          <w:color w:val="auto"/>
          <w:u w:val="none"/>
          <w:lang w:eastAsia="en-US"/>
        </w:rPr>
        <w:t xml:space="preserve">Co </w:t>
      </w:r>
      <w:r w:rsidR="00751998">
        <w:rPr>
          <w:rStyle w:val="Hyperlink"/>
          <w:color w:val="auto"/>
          <w:u w:val="none"/>
          <w:lang w:eastAsia="en-US"/>
        </w:rPr>
        <w:t xml:space="preserve">sells in competitive markets. </w:t>
      </w:r>
      <w:r w:rsidR="00977177">
        <w:rPr>
          <w:rStyle w:val="Hyperlink"/>
          <w:color w:val="auto"/>
          <w:u w:val="none"/>
          <w:lang w:eastAsia="en-US"/>
        </w:rPr>
        <w:t xml:space="preserve">Without allocating the ICRA between core and non-core services, we cannot be certain that a cross subsidy between the competitive and </w:t>
      </w:r>
      <w:r w:rsidR="00A44BC8">
        <w:rPr>
          <w:rStyle w:val="Hyperlink"/>
          <w:color w:val="auto"/>
          <w:u w:val="none"/>
          <w:lang w:eastAsia="en-US"/>
        </w:rPr>
        <w:t>non-competitive</w:t>
      </w:r>
      <w:r w:rsidR="00977177">
        <w:rPr>
          <w:rStyle w:val="Hyperlink"/>
          <w:color w:val="auto"/>
          <w:u w:val="none"/>
          <w:lang w:eastAsia="en-US"/>
        </w:rPr>
        <w:t xml:space="preserve"> services has not occurred. </w:t>
      </w:r>
      <w:r w:rsidR="00A44BC8">
        <w:rPr>
          <w:rStyle w:val="Hyperlink"/>
          <w:color w:val="auto"/>
          <w:u w:val="none"/>
          <w:lang w:eastAsia="en-US"/>
        </w:rPr>
        <w:t>Indeed,</w:t>
      </w:r>
      <w:r w:rsidR="00977177">
        <w:rPr>
          <w:rStyle w:val="Hyperlink"/>
          <w:color w:val="auto"/>
          <w:u w:val="none"/>
          <w:lang w:eastAsia="en-US"/>
        </w:rPr>
        <w:t xml:space="preserve"> if there exist unrecovered costs incurred due to competitive services, </w:t>
      </w:r>
      <w:r w:rsidR="00792943">
        <w:rPr>
          <w:rStyle w:val="Hyperlink"/>
          <w:color w:val="auto"/>
          <w:u w:val="none"/>
          <w:lang w:eastAsia="en-US"/>
        </w:rPr>
        <w:t>allowing NBN</w:t>
      </w:r>
      <w:r w:rsidR="00AD1A64">
        <w:rPr>
          <w:rStyle w:val="Hyperlink"/>
          <w:color w:val="auto"/>
          <w:u w:val="none"/>
          <w:lang w:eastAsia="en-US"/>
        </w:rPr>
        <w:t xml:space="preserve"> Co</w:t>
      </w:r>
      <w:r w:rsidR="00792943">
        <w:rPr>
          <w:rStyle w:val="Hyperlink"/>
          <w:color w:val="auto"/>
          <w:u w:val="none"/>
          <w:lang w:eastAsia="en-US"/>
        </w:rPr>
        <w:t xml:space="preserve"> to recover </w:t>
      </w:r>
      <w:r w:rsidR="004F01C2">
        <w:rPr>
          <w:rStyle w:val="Hyperlink"/>
          <w:color w:val="auto"/>
          <w:u w:val="none"/>
          <w:lang w:eastAsia="en-US"/>
        </w:rPr>
        <w:t xml:space="preserve">these costs </w:t>
      </w:r>
      <w:r w:rsidR="00792943">
        <w:rPr>
          <w:rStyle w:val="Hyperlink"/>
          <w:color w:val="auto"/>
          <w:u w:val="none"/>
          <w:lang w:eastAsia="en-US"/>
        </w:rPr>
        <w:t xml:space="preserve">through residential services will </w:t>
      </w:r>
      <w:r w:rsidR="00CD20BD">
        <w:rPr>
          <w:rStyle w:val="Hyperlink"/>
          <w:color w:val="auto"/>
          <w:u w:val="none"/>
          <w:lang w:eastAsia="en-US"/>
        </w:rPr>
        <w:t>e</w:t>
      </w:r>
      <w:r w:rsidR="00792943">
        <w:rPr>
          <w:rStyle w:val="Hyperlink"/>
          <w:color w:val="auto"/>
          <w:u w:val="none"/>
          <w:lang w:eastAsia="en-US"/>
        </w:rPr>
        <w:t xml:space="preserve">mbed </w:t>
      </w:r>
      <w:r w:rsidR="0042675F">
        <w:rPr>
          <w:rStyle w:val="Hyperlink"/>
          <w:color w:val="auto"/>
          <w:u w:val="none"/>
          <w:lang w:eastAsia="en-US"/>
        </w:rPr>
        <w:t xml:space="preserve">the </w:t>
      </w:r>
      <w:r w:rsidR="00792943">
        <w:rPr>
          <w:rStyle w:val="Hyperlink"/>
          <w:color w:val="auto"/>
          <w:u w:val="none"/>
          <w:lang w:eastAsia="en-US"/>
        </w:rPr>
        <w:t xml:space="preserve">cross subsidy. </w:t>
      </w:r>
    </w:p>
    <w:p w14:paraId="3A676E61" w14:textId="7843327D" w:rsidR="00977177" w:rsidRPr="00057E03" w:rsidRDefault="00CD2AD9" w:rsidP="00244DB0">
      <w:pPr>
        <w:pStyle w:val="Recommendation"/>
        <w:rPr>
          <w:rStyle w:val="Hyperlink"/>
          <w:rFonts w:cstheme="minorHAnsi"/>
          <w:color w:val="auto"/>
          <w:u w:val="none"/>
        </w:rPr>
      </w:pPr>
      <w:r w:rsidRPr="00244DB0">
        <w:rPr>
          <w:rStyle w:val="Hyperlink"/>
          <w:rFonts w:asciiTheme="minorHAnsi" w:hAnsiTheme="minorHAnsi" w:cstheme="minorHAnsi"/>
          <w:color w:val="auto"/>
          <w:u w:val="none"/>
        </w:rPr>
        <w:t>T</w:t>
      </w:r>
      <w:r w:rsidR="00977177" w:rsidRPr="00244DB0">
        <w:rPr>
          <w:rStyle w:val="Hyperlink"/>
          <w:rFonts w:asciiTheme="minorHAnsi" w:hAnsiTheme="minorHAnsi" w:cstheme="minorHAnsi"/>
          <w:color w:val="auto"/>
          <w:u w:val="none"/>
        </w:rPr>
        <w:t>he balance of the ICRA should be allocated between core and non-core services.</w:t>
      </w:r>
    </w:p>
    <w:p w14:paraId="7A23D776" w14:textId="7CA25983" w:rsidR="008A05C0" w:rsidRPr="00AD2B68" w:rsidRDefault="00F60CC4" w:rsidP="002F3CC7">
      <w:pPr>
        <w:pStyle w:val="Heading2"/>
      </w:pPr>
      <w:r w:rsidRPr="00AD2B68">
        <w:t>C</w:t>
      </w:r>
      <w:r w:rsidR="00830FF0" w:rsidRPr="00AD2B68">
        <w:t xml:space="preserve">ost </w:t>
      </w:r>
      <w:r w:rsidR="00794385">
        <w:t>A</w:t>
      </w:r>
      <w:r w:rsidR="00830FF0" w:rsidRPr="00244DB0">
        <w:t xml:space="preserve">llocation </w:t>
      </w:r>
      <w:r w:rsidR="00794385">
        <w:t>M</w:t>
      </w:r>
      <w:r w:rsidR="00830FF0" w:rsidRPr="00244DB0">
        <w:t>anual</w:t>
      </w:r>
      <w:r w:rsidR="00A77D5B" w:rsidRPr="00244DB0">
        <w:t xml:space="preserve"> </w:t>
      </w:r>
    </w:p>
    <w:p w14:paraId="57ED0549" w14:textId="33FAB4A0" w:rsidR="00CA3FA0" w:rsidRDefault="00A77D5B" w:rsidP="00E14A6E">
      <w:pPr>
        <w:rPr>
          <w:rStyle w:val="Hyperlink"/>
          <w:color w:val="auto"/>
          <w:u w:val="none"/>
          <w:lang w:eastAsia="en-US"/>
        </w:rPr>
      </w:pPr>
      <w:r>
        <w:rPr>
          <w:rStyle w:val="Hyperlink"/>
          <w:color w:val="auto"/>
          <w:u w:val="none"/>
          <w:lang w:eastAsia="en-US"/>
        </w:rPr>
        <w:t xml:space="preserve">The SAU requires that </w:t>
      </w:r>
      <w:r w:rsidR="001E0FEB">
        <w:rPr>
          <w:rStyle w:val="Hyperlink"/>
          <w:color w:val="auto"/>
          <w:u w:val="none"/>
          <w:lang w:eastAsia="en-US"/>
        </w:rPr>
        <w:t xml:space="preserve">NBN </w:t>
      </w:r>
      <w:r>
        <w:rPr>
          <w:rStyle w:val="Hyperlink"/>
          <w:color w:val="auto"/>
          <w:u w:val="none"/>
          <w:lang w:eastAsia="en-US"/>
        </w:rPr>
        <w:t xml:space="preserve">Co </w:t>
      </w:r>
      <w:r w:rsidR="001E0FEB">
        <w:rPr>
          <w:rStyle w:val="Hyperlink"/>
          <w:color w:val="auto"/>
          <w:u w:val="none"/>
          <w:lang w:eastAsia="en-US"/>
        </w:rPr>
        <w:t xml:space="preserve">must submit to the ACCC a proposed </w:t>
      </w:r>
      <w:r w:rsidR="001F7078">
        <w:rPr>
          <w:rStyle w:val="Hyperlink"/>
          <w:color w:val="auto"/>
          <w:u w:val="none"/>
          <w:lang w:eastAsia="en-US"/>
        </w:rPr>
        <w:t>cost allocation manual (</w:t>
      </w:r>
      <w:r w:rsidR="001E0FEB" w:rsidRPr="00BD6747">
        <w:rPr>
          <w:rStyle w:val="Hyperlink"/>
          <w:b/>
          <w:bCs/>
          <w:color w:val="auto"/>
          <w:u w:val="none"/>
          <w:lang w:eastAsia="en-US"/>
        </w:rPr>
        <w:t>CAM</w:t>
      </w:r>
      <w:r w:rsidR="001F7078">
        <w:rPr>
          <w:rStyle w:val="Hyperlink"/>
          <w:color w:val="auto"/>
          <w:u w:val="none"/>
          <w:lang w:eastAsia="en-US"/>
        </w:rPr>
        <w:t>)</w:t>
      </w:r>
      <w:r w:rsidR="001E0FEB">
        <w:rPr>
          <w:rStyle w:val="Hyperlink"/>
          <w:color w:val="auto"/>
          <w:u w:val="none"/>
          <w:lang w:eastAsia="en-US"/>
        </w:rPr>
        <w:t xml:space="preserve"> which describes the methodology for </w:t>
      </w:r>
      <w:r>
        <w:rPr>
          <w:rStyle w:val="Hyperlink"/>
          <w:color w:val="auto"/>
          <w:u w:val="none"/>
          <w:lang w:eastAsia="en-US"/>
        </w:rPr>
        <w:t>NBN Co</w:t>
      </w:r>
      <w:r w:rsidR="001E0FEB">
        <w:rPr>
          <w:rStyle w:val="Hyperlink"/>
          <w:color w:val="auto"/>
          <w:u w:val="none"/>
          <w:lang w:eastAsia="en-US"/>
        </w:rPr>
        <w:t xml:space="preserve"> to allocate costs according to the </w:t>
      </w:r>
      <w:r w:rsidR="004B6B88">
        <w:rPr>
          <w:rStyle w:val="Hyperlink"/>
          <w:color w:val="auto"/>
          <w:u w:val="none"/>
          <w:lang w:eastAsia="en-US"/>
        </w:rPr>
        <w:t>c</w:t>
      </w:r>
      <w:r w:rsidR="001E0FEB">
        <w:rPr>
          <w:rStyle w:val="Hyperlink"/>
          <w:color w:val="auto"/>
          <w:u w:val="none"/>
          <w:lang w:eastAsia="en-US"/>
        </w:rPr>
        <w:t xml:space="preserve">ost </w:t>
      </w:r>
      <w:r w:rsidR="004B6B88">
        <w:rPr>
          <w:rStyle w:val="Hyperlink"/>
          <w:color w:val="auto"/>
          <w:u w:val="none"/>
          <w:lang w:eastAsia="en-US"/>
        </w:rPr>
        <w:t>a</w:t>
      </w:r>
      <w:r w:rsidR="001E0FEB">
        <w:rPr>
          <w:rStyle w:val="Hyperlink"/>
          <w:color w:val="auto"/>
          <w:u w:val="none"/>
          <w:lang w:eastAsia="en-US"/>
        </w:rPr>
        <w:t xml:space="preserve">llocation </w:t>
      </w:r>
      <w:r w:rsidR="004B6B88">
        <w:rPr>
          <w:rStyle w:val="Hyperlink"/>
          <w:color w:val="auto"/>
          <w:u w:val="none"/>
          <w:lang w:eastAsia="en-US"/>
        </w:rPr>
        <w:t>p</w:t>
      </w:r>
      <w:r w:rsidR="001E0FEB">
        <w:rPr>
          <w:rStyle w:val="Hyperlink"/>
          <w:color w:val="auto"/>
          <w:u w:val="none"/>
          <w:lang w:eastAsia="en-US"/>
        </w:rPr>
        <w:t xml:space="preserve">rinciples. The ACCC </w:t>
      </w:r>
      <w:r w:rsidR="00E73F9E">
        <w:rPr>
          <w:rStyle w:val="Hyperlink"/>
          <w:color w:val="auto"/>
          <w:u w:val="none"/>
          <w:lang w:eastAsia="en-US"/>
        </w:rPr>
        <w:t xml:space="preserve">should then </w:t>
      </w:r>
      <w:r w:rsidR="001E0FEB">
        <w:rPr>
          <w:rStyle w:val="Hyperlink"/>
          <w:color w:val="auto"/>
          <w:u w:val="none"/>
          <w:lang w:eastAsia="en-US"/>
        </w:rPr>
        <w:t xml:space="preserve">approve the CAM submitted by NBN </w:t>
      </w:r>
      <w:r w:rsidR="00E73F9E">
        <w:rPr>
          <w:rStyle w:val="Hyperlink"/>
          <w:color w:val="auto"/>
          <w:u w:val="none"/>
          <w:lang w:eastAsia="en-US"/>
        </w:rPr>
        <w:t xml:space="preserve">Co </w:t>
      </w:r>
      <w:r w:rsidR="001E0FEB">
        <w:rPr>
          <w:rStyle w:val="Hyperlink"/>
          <w:color w:val="auto"/>
          <w:u w:val="none"/>
          <w:lang w:eastAsia="en-US"/>
        </w:rPr>
        <w:t xml:space="preserve">or a form which incorporates reasonable changes made by the ACCC to the proposed CAM. </w:t>
      </w:r>
      <w:r w:rsidR="009962E2">
        <w:rPr>
          <w:rStyle w:val="Hyperlink"/>
          <w:color w:val="auto"/>
          <w:u w:val="none"/>
          <w:lang w:eastAsia="en-US"/>
        </w:rPr>
        <w:t xml:space="preserve">ACCAN recommends that the </w:t>
      </w:r>
      <w:r w:rsidR="000C40D9">
        <w:rPr>
          <w:rStyle w:val="Hyperlink"/>
          <w:color w:val="auto"/>
          <w:u w:val="none"/>
          <w:lang w:eastAsia="en-US"/>
        </w:rPr>
        <w:t>SAU Variation require</w:t>
      </w:r>
      <w:r w:rsidR="009962E2">
        <w:rPr>
          <w:rStyle w:val="Hyperlink"/>
          <w:color w:val="auto"/>
          <w:u w:val="none"/>
          <w:lang w:eastAsia="en-US"/>
        </w:rPr>
        <w:t xml:space="preserve"> that the CAM be used to allocate the ICRA </w:t>
      </w:r>
      <w:r w:rsidR="000C40D9">
        <w:rPr>
          <w:rStyle w:val="Hyperlink"/>
          <w:color w:val="auto"/>
          <w:u w:val="none"/>
          <w:lang w:eastAsia="en-US"/>
        </w:rPr>
        <w:t xml:space="preserve">between core and non-core services. </w:t>
      </w:r>
    </w:p>
    <w:p w14:paraId="1E1552F0" w14:textId="7A2C0AFD" w:rsidR="001E0FEB" w:rsidRDefault="0071285D" w:rsidP="00E14A6E">
      <w:pPr>
        <w:rPr>
          <w:rStyle w:val="Hyperlink"/>
          <w:color w:val="auto"/>
          <w:u w:val="none"/>
          <w:lang w:eastAsia="en-US"/>
        </w:rPr>
      </w:pPr>
      <w:r>
        <w:rPr>
          <w:rStyle w:val="Hyperlink"/>
          <w:color w:val="auto"/>
          <w:u w:val="none"/>
          <w:lang w:eastAsia="en-US"/>
        </w:rPr>
        <w:t>The ACCC will have 3 months to make a decision regarding the proposed CAM</w:t>
      </w:r>
      <w:r w:rsidR="00DC4121">
        <w:rPr>
          <w:rStyle w:val="Hyperlink"/>
          <w:color w:val="auto"/>
          <w:u w:val="none"/>
          <w:lang w:eastAsia="en-US"/>
        </w:rPr>
        <w:t>, after which time NBN</w:t>
      </w:r>
      <w:r w:rsidR="000F7BC2">
        <w:rPr>
          <w:rStyle w:val="Hyperlink"/>
          <w:color w:val="auto"/>
          <w:u w:val="none"/>
          <w:lang w:eastAsia="en-US"/>
        </w:rPr>
        <w:t xml:space="preserve"> Co</w:t>
      </w:r>
      <w:r w:rsidR="00DC4121">
        <w:rPr>
          <w:rStyle w:val="Hyperlink"/>
          <w:color w:val="auto"/>
          <w:u w:val="none"/>
          <w:lang w:eastAsia="en-US"/>
        </w:rPr>
        <w:t>’s proposed CAM will be the applicable CAM. We consider this to be sufficient time for the ACCC to review NBN</w:t>
      </w:r>
      <w:r w:rsidR="000F7BC2">
        <w:rPr>
          <w:rStyle w:val="Hyperlink"/>
          <w:color w:val="auto"/>
          <w:u w:val="none"/>
          <w:lang w:eastAsia="en-US"/>
        </w:rPr>
        <w:t xml:space="preserve"> Co</w:t>
      </w:r>
      <w:r w:rsidR="00DC4121">
        <w:rPr>
          <w:rStyle w:val="Hyperlink"/>
          <w:color w:val="auto"/>
          <w:u w:val="none"/>
          <w:lang w:eastAsia="en-US"/>
        </w:rPr>
        <w:t>’s proposed CAM.</w:t>
      </w:r>
      <w:r w:rsidR="00397FD7">
        <w:rPr>
          <w:rStyle w:val="Hyperlink"/>
          <w:color w:val="auto"/>
          <w:u w:val="none"/>
          <w:lang w:eastAsia="en-US"/>
        </w:rPr>
        <w:t xml:space="preserve"> Furthermore, the ACCC has the opportunity to extend the period </w:t>
      </w:r>
      <w:r w:rsidR="00BD643B">
        <w:rPr>
          <w:rStyle w:val="Hyperlink"/>
          <w:color w:val="auto"/>
          <w:u w:val="none"/>
          <w:lang w:eastAsia="en-US"/>
        </w:rPr>
        <w:t xml:space="preserve">to review the proposed CAM. </w:t>
      </w:r>
      <w:r w:rsidR="000F7BC2">
        <w:rPr>
          <w:rStyle w:val="Hyperlink"/>
          <w:color w:val="auto"/>
          <w:u w:val="none"/>
          <w:lang w:eastAsia="en-US"/>
        </w:rPr>
        <w:t>Additionally, we support t</w:t>
      </w:r>
      <w:r w:rsidR="00BD643B">
        <w:rPr>
          <w:rStyle w:val="Hyperlink"/>
          <w:color w:val="auto"/>
          <w:u w:val="none"/>
          <w:lang w:eastAsia="en-US"/>
        </w:rPr>
        <w:t xml:space="preserve">he ACCC </w:t>
      </w:r>
      <w:r w:rsidR="000F7BC2">
        <w:rPr>
          <w:rStyle w:val="Hyperlink"/>
          <w:color w:val="auto"/>
          <w:u w:val="none"/>
          <w:lang w:eastAsia="en-US"/>
        </w:rPr>
        <w:t>having</w:t>
      </w:r>
      <w:r w:rsidR="00BD643B">
        <w:rPr>
          <w:rStyle w:val="Hyperlink"/>
          <w:color w:val="auto"/>
          <w:u w:val="none"/>
          <w:lang w:eastAsia="en-US"/>
        </w:rPr>
        <w:t xml:space="preserve"> the power to issue a notice to </w:t>
      </w:r>
      <w:r w:rsidR="0022767A">
        <w:rPr>
          <w:rStyle w:val="Hyperlink"/>
          <w:color w:val="auto"/>
          <w:u w:val="none"/>
          <w:lang w:eastAsia="en-US"/>
        </w:rPr>
        <w:t xml:space="preserve">direct NBN </w:t>
      </w:r>
      <w:r w:rsidR="000F7BC2">
        <w:rPr>
          <w:rStyle w:val="Hyperlink"/>
          <w:color w:val="auto"/>
          <w:u w:val="none"/>
          <w:lang w:eastAsia="en-US"/>
        </w:rPr>
        <w:t xml:space="preserve">Co </w:t>
      </w:r>
      <w:r w:rsidR="0022767A">
        <w:rPr>
          <w:rStyle w:val="Hyperlink"/>
          <w:color w:val="auto"/>
          <w:u w:val="none"/>
          <w:lang w:eastAsia="en-US"/>
        </w:rPr>
        <w:t xml:space="preserve">to submit a proposed CAM. </w:t>
      </w:r>
    </w:p>
    <w:p w14:paraId="4D1B950F" w14:textId="0452D342" w:rsidR="002D4A22" w:rsidRPr="002F3CC7" w:rsidRDefault="000B21AF" w:rsidP="0060360A">
      <w:pPr>
        <w:pStyle w:val="Heading3"/>
        <w:rPr>
          <w:rStyle w:val="Hyperlink"/>
          <w:color w:val="auto"/>
          <w:u w:val="none"/>
        </w:rPr>
      </w:pPr>
      <w:r w:rsidRPr="002F3CC7">
        <w:rPr>
          <w:rStyle w:val="Hyperlink"/>
          <w:color w:val="auto"/>
          <w:u w:val="none"/>
        </w:rPr>
        <w:t xml:space="preserve">Initial </w:t>
      </w:r>
      <w:r w:rsidR="00F06B0B" w:rsidRPr="002F3CC7">
        <w:rPr>
          <w:rStyle w:val="Hyperlink"/>
          <w:color w:val="auto"/>
          <w:u w:val="none"/>
        </w:rPr>
        <w:t>C</w:t>
      </w:r>
      <w:r w:rsidRPr="002F3CC7">
        <w:rPr>
          <w:rStyle w:val="Hyperlink"/>
          <w:color w:val="auto"/>
          <w:u w:val="none"/>
        </w:rPr>
        <w:t xml:space="preserve">ost </w:t>
      </w:r>
      <w:r w:rsidR="00F06B0B" w:rsidRPr="002F3CC7">
        <w:rPr>
          <w:rStyle w:val="Hyperlink"/>
          <w:color w:val="auto"/>
          <w:u w:val="none"/>
        </w:rPr>
        <w:t>A</w:t>
      </w:r>
      <w:r w:rsidRPr="002F3CC7">
        <w:rPr>
          <w:rStyle w:val="Hyperlink"/>
          <w:color w:val="auto"/>
          <w:u w:val="none"/>
        </w:rPr>
        <w:t xml:space="preserve">llocation </w:t>
      </w:r>
      <w:r w:rsidR="00F06B0B" w:rsidRPr="002F3CC7">
        <w:rPr>
          <w:rStyle w:val="Hyperlink"/>
          <w:color w:val="auto"/>
          <w:u w:val="none"/>
        </w:rPr>
        <w:t>M</w:t>
      </w:r>
      <w:r w:rsidRPr="002F3CC7">
        <w:rPr>
          <w:rStyle w:val="Hyperlink"/>
          <w:color w:val="auto"/>
          <w:u w:val="none"/>
        </w:rPr>
        <w:t>anual</w:t>
      </w:r>
    </w:p>
    <w:p w14:paraId="463E5AF6" w14:textId="6CA12B8F" w:rsidR="00337D7D" w:rsidRDefault="00337D7D" w:rsidP="00337D7D">
      <w:pPr>
        <w:rPr>
          <w:rStyle w:val="Hyperlink"/>
          <w:color w:val="auto"/>
          <w:u w:val="none"/>
          <w:lang w:eastAsia="en-US"/>
        </w:rPr>
      </w:pPr>
      <w:r w:rsidRPr="00995FC1">
        <w:rPr>
          <w:rStyle w:val="Hyperlink"/>
          <w:color w:val="auto"/>
          <w:u w:val="none"/>
          <w:lang w:eastAsia="en-US"/>
        </w:rPr>
        <w:t>NBN has submitted an initial Cost Allocation Manual (</w:t>
      </w:r>
      <w:r w:rsidRPr="00244DB0">
        <w:rPr>
          <w:rStyle w:val="Hyperlink"/>
          <w:b/>
          <w:bCs/>
          <w:color w:val="auto"/>
          <w:u w:val="none"/>
          <w:lang w:eastAsia="en-US"/>
        </w:rPr>
        <w:t>CAM</w:t>
      </w:r>
      <w:r w:rsidRPr="00995FC1">
        <w:rPr>
          <w:rStyle w:val="Hyperlink"/>
          <w:color w:val="auto"/>
          <w:u w:val="none"/>
          <w:lang w:eastAsia="en-US"/>
        </w:rPr>
        <w:t xml:space="preserve">) to describe the methodology to determine costs between core and </w:t>
      </w:r>
      <w:r w:rsidR="0060360A" w:rsidRPr="00995FC1">
        <w:rPr>
          <w:rStyle w:val="Hyperlink"/>
          <w:color w:val="auto"/>
          <w:u w:val="none"/>
          <w:lang w:eastAsia="en-US"/>
        </w:rPr>
        <w:t>non-core</w:t>
      </w:r>
      <w:r w:rsidRPr="00995FC1">
        <w:rPr>
          <w:rStyle w:val="Hyperlink"/>
          <w:color w:val="auto"/>
          <w:u w:val="none"/>
          <w:lang w:eastAsia="en-US"/>
        </w:rPr>
        <w:t xml:space="preserve"> services. </w:t>
      </w:r>
      <w:r>
        <w:rPr>
          <w:rStyle w:val="Hyperlink"/>
          <w:color w:val="auto"/>
          <w:u w:val="none"/>
          <w:lang w:eastAsia="en-US"/>
        </w:rPr>
        <w:t xml:space="preserve">The competitive </w:t>
      </w:r>
      <w:r w:rsidR="0060360A">
        <w:rPr>
          <w:rStyle w:val="Hyperlink"/>
          <w:color w:val="auto"/>
          <w:u w:val="none"/>
          <w:lang w:eastAsia="en-US"/>
        </w:rPr>
        <w:t xml:space="preserve">(non-core) </w:t>
      </w:r>
      <w:r>
        <w:rPr>
          <w:rStyle w:val="Hyperlink"/>
          <w:color w:val="auto"/>
          <w:u w:val="none"/>
          <w:lang w:eastAsia="en-US"/>
        </w:rPr>
        <w:t xml:space="preserve">services comprise of NBN Co Enterprise Ethernet, NBN Co Business Satellite Service and NBN Co Satellite Mobility for Large Commercial Passenger Aircrafts.  </w:t>
      </w:r>
    </w:p>
    <w:p w14:paraId="625FFE27" w14:textId="23830625" w:rsidR="000B21AF" w:rsidRDefault="00DC25AD" w:rsidP="000B21AF">
      <w:pPr>
        <w:rPr>
          <w:lang w:eastAsia="en-US"/>
        </w:rPr>
      </w:pPr>
      <w:r>
        <w:rPr>
          <w:lang w:eastAsia="en-US"/>
        </w:rPr>
        <w:t xml:space="preserve">Shared costs that are not specific to one cost category or cannot be directly assigned to a specific cost category </w:t>
      </w:r>
      <w:r w:rsidR="00F90983">
        <w:rPr>
          <w:lang w:eastAsia="en-US"/>
        </w:rPr>
        <w:t xml:space="preserve">are allocated to services through the application of an allocator. Shared capital costs are allocated proportionally as either </w:t>
      </w:r>
      <w:r w:rsidR="00E136B5">
        <w:rPr>
          <w:lang w:eastAsia="en-US"/>
        </w:rPr>
        <w:t>s</w:t>
      </w:r>
      <w:r w:rsidR="00A53603">
        <w:rPr>
          <w:lang w:eastAsia="en-US"/>
        </w:rPr>
        <w:t xml:space="preserve">hared, </w:t>
      </w:r>
      <w:r w:rsidR="00E136B5">
        <w:rPr>
          <w:lang w:eastAsia="en-US"/>
        </w:rPr>
        <w:t>s</w:t>
      </w:r>
      <w:r w:rsidR="00A53603">
        <w:rPr>
          <w:lang w:eastAsia="en-US"/>
        </w:rPr>
        <w:t xml:space="preserve">hared among fixed line networks or overhead based on either the number of </w:t>
      </w:r>
      <w:r w:rsidR="0027438E">
        <w:rPr>
          <w:lang w:eastAsia="en-US"/>
        </w:rPr>
        <w:t xml:space="preserve">premises </w:t>
      </w:r>
      <w:r w:rsidR="00A53603">
        <w:rPr>
          <w:lang w:eastAsia="en-US"/>
        </w:rPr>
        <w:t xml:space="preserve">passed, the number of premises connected or the amount of provisioned bandwidth depending on the allocation percentages for that year in the model. </w:t>
      </w:r>
    </w:p>
    <w:p w14:paraId="559AA90D" w14:textId="77777777" w:rsidR="0027438E" w:rsidRDefault="00C95178" w:rsidP="000B21AF">
      <w:pPr>
        <w:rPr>
          <w:lang w:eastAsia="en-US"/>
        </w:rPr>
      </w:pPr>
      <w:r>
        <w:rPr>
          <w:lang w:eastAsia="en-US"/>
        </w:rPr>
        <w:t xml:space="preserve">The calculation of premises passed refers to the actual or forecast total number of premises that are able to connect to nbn </w:t>
      </w:r>
      <w:r w:rsidR="00F626BC">
        <w:rPr>
          <w:lang w:eastAsia="en-US"/>
        </w:rPr>
        <w:t>Core Regulated Service or Competitive Service</w:t>
      </w:r>
      <w:r w:rsidR="002A3D6A">
        <w:rPr>
          <w:lang w:eastAsia="en-US"/>
        </w:rPr>
        <w:t>, to represent the share of available footprint</w:t>
      </w:r>
      <w:r w:rsidR="00F626BC">
        <w:rPr>
          <w:lang w:eastAsia="en-US"/>
        </w:rPr>
        <w:t xml:space="preserve">. For competitive services </w:t>
      </w:r>
      <w:r w:rsidR="002A3D6A">
        <w:rPr>
          <w:lang w:eastAsia="en-US"/>
        </w:rPr>
        <w:t>NBN</w:t>
      </w:r>
      <w:r w:rsidR="00120579">
        <w:rPr>
          <w:lang w:eastAsia="en-US"/>
        </w:rPr>
        <w:t xml:space="preserve"> Co</w:t>
      </w:r>
      <w:r w:rsidR="002A3D6A">
        <w:rPr>
          <w:lang w:eastAsia="en-US"/>
        </w:rPr>
        <w:t xml:space="preserve"> is treating </w:t>
      </w:r>
      <w:r w:rsidR="00F626BC">
        <w:rPr>
          <w:lang w:eastAsia="en-US"/>
        </w:rPr>
        <w:t xml:space="preserve">the number of premises connected </w:t>
      </w:r>
      <w:r w:rsidR="008730C8">
        <w:rPr>
          <w:lang w:eastAsia="en-US"/>
        </w:rPr>
        <w:t>as equal to</w:t>
      </w:r>
      <w:r w:rsidR="00F626BC">
        <w:rPr>
          <w:lang w:eastAsia="en-US"/>
        </w:rPr>
        <w:t xml:space="preserve"> the number of premises passed. </w:t>
      </w:r>
    </w:p>
    <w:p w14:paraId="35594A7B" w14:textId="1FA24448" w:rsidR="00F6758D" w:rsidRDefault="00F626BC" w:rsidP="000B21AF">
      <w:pPr>
        <w:rPr>
          <w:lang w:eastAsia="en-US"/>
        </w:rPr>
      </w:pPr>
      <w:r>
        <w:rPr>
          <w:lang w:eastAsia="en-US"/>
        </w:rPr>
        <w:t xml:space="preserve">It is not clear to ACCAN whether </w:t>
      </w:r>
      <w:r w:rsidR="008F5DE0">
        <w:rPr>
          <w:lang w:eastAsia="en-US"/>
        </w:rPr>
        <w:t xml:space="preserve">it is </w:t>
      </w:r>
      <w:r w:rsidR="0027438E">
        <w:rPr>
          <w:lang w:eastAsia="en-US"/>
        </w:rPr>
        <w:t xml:space="preserve">appropriate </w:t>
      </w:r>
      <w:r w:rsidR="008F5DE0">
        <w:rPr>
          <w:lang w:eastAsia="en-US"/>
        </w:rPr>
        <w:t xml:space="preserve">to assume that for competitive services, the number of premises connected is equal to the number of premises passed. ACCAN would like to understand how </w:t>
      </w:r>
      <w:r w:rsidR="00C549E6">
        <w:rPr>
          <w:lang w:eastAsia="en-US"/>
        </w:rPr>
        <w:t xml:space="preserve">costs associated with </w:t>
      </w:r>
      <w:r w:rsidR="008F5DE0">
        <w:rPr>
          <w:lang w:eastAsia="en-US"/>
        </w:rPr>
        <w:t xml:space="preserve">premises which were once connected to NBN </w:t>
      </w:r>
      <w:r w:rsidR="00120579">
        <w:rPr>
          <w:lang w:eastAsia="en-US"/>
        </w:rPr>
        <w:t xml:space="preserve">Co </w:t>
      </w:r>
      <w:r w:rsidR="008F5DE0">
        <w:rPr>
          <w:lang w:eastAsia="en-US"/>
        </w:rPr>
        <w:t>E</w:t>
      </w:r>
      <w:r w:rsidR="00C549E6">
        <w:rPr>
          <w:lang w:eastAsia="en-US"/>
        </w:rPr>
        <w:t>nterprise Ethernet but have since been disconnected will be allocated</w:t>
      </w:r>
      <w:r w:rsidR="007E0AC9">
        <w:rPr>
          <w:lang w:eastAsia="en-US"/>
        </w:rPr>
        <w:t>.</w:t>
      </w:r>
      <w:r w:rsidR="00CD4AB1">
        <w:rPr>
          <w:lang w:eastAsia="en-US"/>
        </w:rPr>
        <w:t xml:space="preserve"> </w:t>
      </w:r>
      <w:r w:rsidR="00265E58">
        <w:rPr>
          <w:lang w:eastAsia="en-US"/>
        </w:rPr>
        <w:t>T</w:t>
      </w:r>
      <w:r w:rsidR="007820E4">
        <w:rPr>
          <w:lang w:eastAsia="en-US"/>
        </w:rPr>
        <w:t>here is no justification</w:t>
      </w:r>
      <w:r w:rsidR="008B3F8F">
        <w:rPr>
          <w:lang w:eastAsia="en-US"/>
        </w:rPr>
        <w:t xml:space="preserve"> given</w:t>
      </w:r>
      <w:r w:rsidR="007820E4">
        <w:rPr>
          <w:lang w:eastAsia="en-US"/>
        </w:rPr>
        <w:t xml:space="preserve"> for </w:t>
      </w:r>
      <w:r w:rsidR="00CD4AB1">
        <w:rPr>
          <w:lang w:eastAsia="en-US"/>
        </w:rPr>
        <w:t>why the number of premises passed cannot be treated the same for core or non-core services</w:t>
      </w:r>
      <w:r w:rsidR="00C549E6">
        <w:rPr>
          <w:lang w:eastAsia="en-US"/>
        </w:rPr>
        <w:t xml:space="preserve">. </w:t>
      </w:r>
      <w:r>
        <w:rPr>
          <w:lang w:eastAsia="en-US"/>
        </w:rPr>
        <w:t xml:space="preserve"> </w:t>
      </w:r>
    </w:p>
    <w:p w14:paraId="403DE69F" w14:textId="4C67C21E" w:rsidR="00BF18A6" w:rsidRDefault="00F0651A" w:rsidP="000B21AF">
      <w:pPr>
        <w:rPr>
          <w:lang w:eastAsia="en-US"/>
        </w:rPr>
      </w:pPr>
      <w:r>
        <w:rPr>
          <w:lang w:eastAsia="en-US"/>
        </w:rPr>
        <w:t xml:space="preserve">Operational expenditure </w:t>
      </w:r>
      <w:r w:rsidR="00541923">
        <w:rPr>
          <w:lang w:eastAsia="en-US"/>
        </w:rPr>
        <w:t xml:space="preserve">is allocated based on Revenue proportions. </w:t>
      </w:r>
      <w:r w:rsidR="00D743D5">
        <w:rPr>
          <w:lang w:eastAsia="en-US"/>
        </w:rPr>
        <w:t xml:space="preserve">It remains unclear to ACCAN whether this is the most appropriate </w:t>
      </w:r>
      <w:r w:rsidR="00C32B77">
        <w:rPr>
          <w:lang w:eastAsia="en-US"/>
        </w:rPr>
        <w:t xml:space="preserve">allocator. NBN </w:t>
      </w:r>
      <w:r w:rsidR="00120579">
        <w:rPr>
          <w:lang w:eastAsia="en-US"/>
        </w:rPr>
        <w:t xml:space="preserve">Co </w:t>
      </w:r>
      <w:r w:rsidR="00C32B77">
        <w:rPr>
          <w:lang w:eastAsia="en-US"/>
        </w:rPr>
        <w:t xml:space="preserve">states that revenue is considered the most accurate allocator available for this allocation because it best reflects the higher average value of competitive service (as premium business services). However, by definition we would expect the non-core services to </w:t>
      </w:r>
      <w:r w:rsidR="00FF51CE">
        <w:rPr>
          <w:lang w:eastAsia="en-US"/>
        </w:rPr>
        <w:t xml:space="preserve">gain lower revenues due to facing competition compared to the services where </w:t>
      </w:r>
      <w:r w:rsidR="00D402C8">
        <w:rPr>
          <w:lang w:eastAsia="en-US"/>
        </w:rPr>
        <w:t xml:space="preserve">NBN </w:t>
      </w:r>
      <w:proofErr w:type="spellStart"/>
      <w:r w:rsidR="00D402C8">
        <w:rPr>
          <w:lang w:eastAsia="en-US"/>
        </w:rPr>
        <w:t>Co</w:t>
      </w:r>
      <w:r w:rsidR="00FF51CE">
        <w:rPr>
          <w:lang w:eastAsia="en-US"/>
        </w:rPr>
        <w:t xml:space="preserve"> operates</w:t>
      </w:r>
      <w:proofErr w:type="spellEnd"/>
      <w:r w:rsidR="00FF51CE">
        <w:rPr>
          <w:lang w:eastAsia="en-US"/>
        </w:rPr>
        <w:t xml:space="preserve"> as a monopoly. </w:t>
      </w:r>
      <w:r w:rsidR="00230ABF">
        <w:rPr>
          <w:lang w:eastAsia="en-US"/>
        </w:rPr>
        <w:t xml:space="preserve">This will become more prominent where </w:t>
      </w:r>
      <w:r w:rsidR="00D402C8">
        <w:rPr>
          <w:lang w:eastAsia="en-US"/>
        </w:rPr>
        <w:t>NBN Co</w:t>
      </w:r>
      <w:r w:rsidR="00230ABF">
        <w:rPr>
          <w:lang w:eastAsia="en-US"/>
        </w:rPr>
        <w:t xml:space="preserve"> no longer faces a revenue cap in its core-services. </w:t>
      </w:r>
    </w:p>
    <w:p w14:paraId="07082FFA" w14:textId="6AD7B8A5" w:rsidR="00922BAB" w:rsidRPr="000B21AF" w:rsidRDefault="00922BAB" w:rsidP="000B21AF">
      <w:pPr>
        <w:rPr>
          <w:lang w:eastAsia="en-US"/>
        </w:rPr>
      </w:pPr>
      <w:r>
        <w:rPr>
          <w:lang w:eastAsia="en-US"/>
        </w:rPr>
        <w:t>ACCAN urges the ACCC to carefully consider NBN’s proposed C</w:t>
      </w:r>
      <w:r w:rsidR="002B62D8">
        <w:rPr>
          <w:lang w:eastAsia="en-US"/>
        </w:rPr>
        <w:t xml:space="preserve">AM to ensure that attempts to cross-subsidise commercial operations by allocating costs to residential consumers is </w:t>
      </w:r>
      <w:r w:rsidR="000B7C10">
        <w:rPr>
          <w:lang w:eastAsia="en-US"/>
        </w:rPr>
        <w:t>prevented.</w:t>
      </w:r>
      <w:r w:rsidR="00907D4C">
        <w:rPr>
          <w:lang w:eastAsia="en-US"/>
        </w:rPr>
        <w:t xml:space="preserve"> There is likely merit </w:t>
      </w:r>
      <w:r w:rsidR="00485373">
        <w:rPr>
          <w:lang w:eastAsia="en-US"/>
        </w:rPr>
        <w:t>to</w:t>
      </w:r>
      <w:r w:rsidR="00907D4C">
        <w:rPr>
          <w:lang w:eastAsia="en-US"/>
        </w:rPr>
        <w:t xml:space="preserve"> further consultation and inquiry regarding how NBN Co allocates costs between core and non-core services.  </w:t>
      </w:r>
    </w:p>
    <w:p w14:paraId="49671BD6" w14:textId="38B6391D" w:rsidR="00CE020A" w:rsidRPr="00D954C3" w:rsidRDefault="00CE020A" w:rsidP="00E74C3E">
      <w:pPr>
        <w:pStyle w:val="Heading1"/>
      </w:pPr>
      <w:bookmarkStart w:id="27" w:name="_Toc127353164"/>
      <w:bookmarkStart w:id="28" w:name="_Toc126914091"/>
      <w:r w:rsidRPr="00D954C3">
        <w:t xml:space="preserve">Weighted </w:t>
      </w:r>
      <w:r w:rsidR="00794385">
        <w:t>A</w:t>
      </w:r>
      <w:r w:rsidRPr="00D954C3">
        <w:t xml:space="preserve">verage </w:t>
      </w:r>
      <w:r w:rsidR="00794385">
        <w:t>C</w:t>
      </w:r>
      <w:r w:rsidRPr="00D954C3">
        <w:t xml:space="preserve">ost of </w:t>
      </w:r>
      <w:bookmarkEnd w:id="27"/>
      <w:bookmarkEnd w:id="28"/>
      <w:r w:rsidR="00794385">
        <w:t>C</w:t>
      </w:r>
      <w:r w:rsidRPr="00D954C3">
        <w:t>apital</w:t>
      </w:r>
      <w:r w:rsidR="009A6F59" w:rsidRPr="00D954C3">
        <w:t xml:space="preserve"> </w:t>
      </w:r>
    </w:p>
    <w:p w14:paraId="0760E751" w14:textId="56A19A44" w:rsidR="00E44A5D" w:rsidRDefault="0024333D" w:rsidP="00985889">
      <w:r>
        <w:t xml:space="preserve">A key component of the building block model is the return on capital, which is estimated by applying a </w:t>
      </w:r>
      <w:r w:rsidRPr="00BD6747">
        <w:t>WACC</w:t>
      </w:r>
      <w:r>
        <w:t xml:space="preserve"> to the RAB. </w:t>
      </w:r>
      <w:r w:rsidR="00D07DC8">
        <w:t xml:space="preserve">The </w:t>
      </w:r>
      <w:r w:rsidR="00E74C3E">
        <w:t xml:space="preserve">WACC </w:t>
      </w:r>
      <w:r w:rsidR="00D07DC8">
        <w:t>should appropriately reflect the opportunity cost of debt and the opportunity cost of equity.</w:t>
      </w:r>
      <w:r w:rsidR="00E74C3E">
        <w:t xml:space="preserve"> </w:t>
      </w:r>
    </w:p>
    <w:p w14:paraId="09E59A54" w14:textId="76F94B47" w:rsidR="00302C4C" w:rsidRDefault="008D092A" w:rsidP="00985889">
      <w:r>
        <w:t xml:space="preserve">NBN </w:t>
      </w:r>
      <w:r w:rsidR="00B97237">
        <w:t>Co</w:t>
      </w:r>
      <w:r>
        <w:t xml:space="preserve"> has proposed that the rate of return will be </w:t>
      </w:r>
      <w:r w:rsidR="007775EF">
        <w:t>determined by estimating a nominal vanilla WACC for that financial year</w:t>
      </w:r>
      <w:r w:rsidR="001B513E">
        <w:t xml:space="preserve"> which is commensurate with the efficient financing costs of a benchmark efficient entity with a similar degree of risk that applies to NBN. </w:t>
      </w:r>
      <w:r w:rsidR="004571AA">
        <w:t>NBN Co has proposed that this</w:t>
      </w:r>
      <w:r w:rsidR="00302C4C">
        <w:t xml:space="preserve"> </w:t>
      </w:r>
      <w:r w:rsidR="001A2746">
        <w:t>will</w:t>
      </w:r>
      <w:r w:rsidR="00302C4C">
        <w:t xml:space="preserve"> be done with having regard to:</w:t>
      </w:r>
    </w:p>
    <w:p w14:paraId="6FB61B4C" w14:textId="2DE9628C" w:rsidR="00302C4C" w:rsidRDefault="00302C4C" w:rsidP="009E014C">
      <w:pPr>
        <w:pStyle w:val="Bulletlist1"/>
      </w:pPr>
      <w:r>
        <w:t>the objective of producing reliable estimates of the market cost of capital in a wide range of plausible market conditions; and</w:t>
      </w:r>
    </w:p>
    <w:p w14:paraId="71AA2FE8" w14:textId="55DFCD23" w:rsidR="00302C4C" w:rsidRDefault="00302C4C" w:rsidP="009E014C">
      <w:pPr>
        <w:pStyle w:val="Bulletlist1"/>
      </w:pPr>
      <w:r>
        <w:t xml:space="preserve">the objective of promoting stability in the rate of return over time. </w:t>
      </w:r>
    </w:p>
    <w:p w14:paraId="49C88136" w14:textId="48FE8AE5" w:rsidR="00302C4C" w:rsidRDefault="0007343A" w:rsidP="00302C4C">
      <w:r>
        <w:t xml:space="preserve">The first objectives, to produce reliable estimates of the market cost of capital in a wide range of plausible market conditions works towards ensuring that the WACC appropriately reflects the opportunity cost of debt and the opportunity cost of equity. </w:t>
      </w:r>
      <w:r w:rsidR="00501736">
        <w:t>The</w:t>
      </w:r>
      <w:r>
        <w:t xml:space="preserve"> second objective, promoting stability in the rate of return over time,</w:t>
      </w:r>
      <w:r w:rsidR="00356EBC">
        <w:t xml:space="preserve"> does not necessarily work towards</w:t>
      </w:r>
      <w:r w:rsidR="0081579E">
        <w:t xml:space="preserve"> achieving a</w:t>
      </w:r>
      <w:r w:rsidR="00244DB0">
        <w:t>n</w:t>
      </w:r>
      <w:r w:rsidR="00E44A5D">
        <w:t xml:space="preserve"> efficient </w:t>
      </w:r>
      <w:r w:rsidR="0081579E">
        <w:t>WACC</w:t>
      </w:r>
      <w:r w:rsidR="00501736">
        <w:t xml:space="preserve">, yet </w:t>
      </w:r>
      <w:r w:rsidR="00356EBC">
        <w:t xml:space="preserve">we see merit in reducing </w:t>
      </w:r>
      <w:r w:rsidR="00FE671B">
        <w:t>volatility</w:t>
      </w:r>
      <w:r w:rsidR="00356EBC">
        <w:t xml:space="preserve"> within the BBM to prevent </w:t>
      </w:r>
      <w:r w:rsidR="00B87667">
        <w:t xml:space="preserve">price shocks for consumers. </w:t>
      </w:r>
      <w:r w:rsidR="009B7D9E">
        <w:t>Therefore, ACCAN supports NBN Co’s proposed WACC objectives.</w:t>
      </w:r>
      <w:r w:rsidR="00E1115E">
        <w:t xml:space="preserve"> </w:t>
      </w:r>
    </w:p>
    <w:p w14:paraId="71ECCB55" w14:textId="0A1657BD" w:rsidR="008212DB" w:rsidRPr="008212DB" w:rsidRDefault="00794FBF" w:rsidP="00A35390">
      <w:r>
        <w:t>ACCAN welcomes the proposal for</w:t>
      </w:r>
      <w:r w:rsidR="00837776">
        <w:t xml:space="preserve"> the ACCC </w:t>
      </w:r>
      <w:r w:rsidR="0020280F">
        <w:t>to have</w:t>
      </w:r>
      <w:r w:rsidR="00837776">
        <w:t xml:space="preserve"> the power to determine the WACC methodology </w:t>
      </w:r>
      <w:r w:rsidR="001D10F0">
        <w:t>as part of</w:t>
      </w:r>
      <w:r w:rsidR="00244DB0">
        <w:t xml:space="preserve"> </w:t>
      </w:r>
      <w:r w:rsidR="001A26F9">
        <w:t>an</w:t>
      </w:r>
      <w:r w:rsidR="00837776">
        <w:t xml:space="preserve"> </w:t>
      </w:r>
      <w:r w:rsidR="00191F0E">
        <w:t>RMD</w:t>
      </w:r>
      <w:r w:rsidR="00837776">
        <w:t xml:space="preserve">.  </w:t>
      </w:r>
    </w:p>
    <w:p w14:paraId="77C63CC7" w14:textId="37856BB8" w:rsidR="00CE020A" w:rsidRPr="00D954C3" w:rsidRDefault="00CE020A" w:rsidP="00CE020A">
      <w:pPr>
        <w:pStyle w:val="Heading1"/>
        <w:rPr>
          <w:lang w:eastAsia="en-US"/>
        </w:rPr>
      </w:pPr>
      <w:bookmarkStart w:id="29" w:name="_Toc127353165"/>
      <w:bookmarkStart w:id="30" w:name="_Toc126914092"/>
      <w:r w:rsidRPr="00D954C3">
        <w:rPr>
          <w:lang w:eastAsia="en-US"/>
        </w:rPr>
        <w:t xml:space="preserve">Incorporating </w:t>
      </w:r>
      <w:r w:rsidR="00794385">
        <w:rPr>
          <w:lang w:eastAsia="en-US"/>
        </w:rPr>
        <w:t>O</w:t>
      </w:r>
      <w:r w:rsidRPr="00D954C3">
        <w:rPr>
          <w:lang w:eastAsia="en-US"/>
        </w:rPr>
        <w:t xml:space="preserve">ther </w:t>
      </w:r>
      <w:r w:rsidR="00794385">
        <w:rPr>
          <w:lang w:eastAsia="en-US"/>
        </w:rPr>
        <w:t>A</w:t>
      </w:r>
      <w:r w:rsidRPr="00D954C3">
        <w:rPr>
          <w:lang w:eastAsia="en-US"/>
        </w:rPr>
        <w:t xml:space="preserve">ccess </w:t>
      </w:r>
      <w:bookmarkEnd w:id="29"/>
      <w:bookmarkEnd w:id="30"/>
      <w:r w:rsidR="00794385">
        <w:rPr>
          <w:lang w:eastAsia="en-US"/>
        </w:rPr>
        <w:t>T</w:t>
      </w:r>
      <w:r w:rsidRPr="00D954C3">
        <w:rPr>
          <w:lang w:eastAsia="en-US"/>
        </w:rPr>
        <w:t xml:space="preserve">echnologies </w:t>
      </w:r>
    </w:p>
    <w:p w14:paraId="10E735C7" w14:textId="77777777" w:rsidR="001D10F0" w:rsidRDefault="002266D0" w:rsidP="00CE020A">
      <w:pPr>
        <w:rPr>
          <w:lang w:eastAsia="en-US"/>
        </w:rPr>
      </w:pPr>
      <w:r>
        <w:rPr>
          <w:lang w:eastAsia="en-US"/>
        </w:rPr>
        <w:t xml:space="preserve">ACCAN supports the inclusion of </w:t>
      </w:r>
      <w:r w:rsidR="00DD016B">
        <w:rPr>
          <w:lang w:eastAsia="en-US"/>
        </w:rPr>
        <w:t>the additional multi-technology mix (</w:t>
      </w:r>
      <w:r w:rsidR="00DD016B" w:rsidRPr="00244DB0">
        <w:rPr>
          <w:b/>
          <w:bCs/>
          <w:lang w:eastAsia="en-US"/>
        </w:rPr>
        <w:t>MTM</w:t>
      </w:r>
      <w:r w:rsidR="00DD016B">
        <w:rPr>
          <w:lang w:eastAsia="en-US"/>
        </w:rPr>
        <w:t>) access technologies into the SAU which ensures these services will be subject to NBN</w:t>
      </w:r>
      <w:r w:rsidR="00607BDC">
        <w:rPr>
          <w:lang w:eastAsia="en-US"/>
        </w:rPr>
        <w:t xml:space="preserve"> Co</w:t>
      </w:r>
      <w:r w:rsidR="00DD016B">
        <w:rPr>
          <w:lang w:eastAsia="en-US"/>
        </w:rPr>
        <w:t>’s regulatory commitments</w:t>
      </w:r>
      <w:r w:rsidR="00F013D1">
        <w:rPr>
          <w:lang w:eastAsia="en-US"/>
        </w:rPr>
        <w:t xml:space="preserve">. </w:t>
      </w:r>
    </w:p>
    <w:p w14:paraId="5E4E07D8" w14:textId="68234AC8" w:rsidR="00F92189" w:rsidRDefault="001D10F0" w:rsidP="00CE020A">
      <w:pPr>
        <w:rPr>
          <w:lang w:eastAsia="en-US"/>
        </w:rPr>
      </w:pPr>
      <w:r>
        <w:rPr>
          <w:lang w:eastAsia="en-US"/>
        </w:rPr>
        <w:t>However, i</w:t>
      </w:r>
      <w:r w:rsidR="002C70FD">
        <w:rPr>
          <w:lang w:eastAsia="en-US"/>
        </w:rPr>
        <w:t>t remains unc</w:t>
      </w:r>
      <w:r w:rsidR="00A43035">
        <w:rPr>
          <w:lang w:eastAsia="en-US"/>
        </w:rPr>
        <w:t xml:space="preserve">lear to ACCAN whether the proposed network boundaries for each of the new MTM networks are appropriate. </w:t>
      </w:r>
      <w:r w:rsidR="00B91718">
        <w:rPr>
          <w:lang w:eastAsia="en-US"/>
        </w:rPr>
        <w:t>It appears that for</w:t>
      </w:r>
      <w:r w:rsidR="00185232">
        <w:rPr>
          <w:lang w:eastAsia="en-US"/>
        </w:rPr>
        <w:t xml:space="preserve"> ‘Non-Multi Dwelling units’</w:t>
      </w:r>
      <w:r w:rsidR="00B91718">
        <w:rPr>
          <w:lang w:eastAsia="en-US"/>
        </w:rPr>
        <w:t xml:space="preserve"> the FTTC boundary point puts the network connection device outside of NBN’s network boundary</w:t>
      </w:r>
      <w:r w:rsidR="009068D9">
        <w:rPr>
          <w:lang w:eastAsia="en-US"/>
        </w:rPr>
        <w:t xml:space="preserve"> as there could be cabling between a power socket and the network connection device within the end-user’s premise. </w:t>
      </w:r>
    </w:p>
    <w:p w14:paraId="522D0332" w14:textId="58F88E04" w:rsidR="002C70FD" w:rsidRDefault="00E77DD2" w:rsidP="00CE020A">
      <w:pPr>
        <w:rPr>
          <w:lang w:eastAsia="en-US"/>
        </w:rPr>
      </w:pPr>
      <w:r>
        <w:rPr>
          <w:lang w:eastAsia="en-US"/>
        </w:rPr>
        <w:t>ACCAN considers that all aspects of NBN’s network should be included in the network boundary</w:t>
      </w:r>
      <w:r w:rsidR="00026931">
        <w:rPr>
          <w:lang w:eastAsia="en-US"/>
        </w:rPr>
        <w:t>, and</w:t>
      </w:r>
      <w:r>
        <w:rPr>
          <w:lang w:eastAsia="en-US"/>
        </w:rPr>
        <w:t xml:space="preserve"> as such</w:t>
      </w:r>
      <w:r w:rsidR="00550F4E">
        <w:rPr>
          <w:lang w:eastAsia="en-US"/>
        </w:rPr>
        <w:t>,</w:t>
      </w:r>
      <w:r>
        <w:rPr>
          <w:lang w:eastAsia="en-US"/>
        </w:rPr>
        <w:t xml:space="preserve"> NBN Co needs to develop a clearer framework which appropriately excludes customer cabling</w:t>
      </w:r>
      <w:r w:rsidR="00A15E9C">
        <w:rPr>
          <w:lang w:eastAsia="en-US"/>
        </w:rPr>
        <w:t xml:space="preserve"> but accounts for </w:t>
      </w:r>
      <w:r w:rsidR="00CF3C11">
        <w:rPr>
          <w:lang w:eastAsia="en-US"/>
        </w:rPr>
        <w:t>all</w:t>
      </w:r>
      <w:r w:rsidR="00A15E9C">
        <w:rPr>
          <w:lang w:eastAsia="en-US"/>
        </w:rPr>
        <w:t xml:space="preserve"> NBN equipment.</w:t>
      </w:r>
      <w:r w:rsidR="007A086E">
        <w:rPr>
          <w:lang w:eastAsia="en-US"/>
        </w:rPr>
        <w:t xml:space="preserve"> That said,</w:t>
      </w:r>
      <w:r w:rsidR="00A15E9C">
        <w:rPr>
          <w:lang w:eastAsia="en-US"/>
        </w:rPr>
        <w:t xml:space="preserve"> NBN Co should </w:t>
      </w:r>
      <w:r w:rsidR="003F46B8">
        <w:rPr>
          <w:lang w:eastAsia="en-US"/>
        </w:rPr>
        <w:t xml:space="preserve">still be empowered or have the ability to restore connectivity </w:t>
      </w:r>
      <w:r w:rsidR="007A086E">
        <w:rPr>
          <w:lang w:eastAsia="en-US"/>
        </w:rPr>
        <w:t xml:space="preserve">if </w:t>
      </w:r>
      <w:r w:rsidR="00F92189">
        <w:rPr>
          <w:lang w:eastAsia="en-US"/>
        </w:rPr>
        <w:t>an</w:t>
      </w:r>
      <w:r w:rsidR="007A086E">
        <w:rPr>
          <w:lang w:eastAsia="en-US"/>
        </w:rPr>
        <w:t xml:space="preserve"> issue lies with the customer’s cabling</w:t>
      </w:r>
      <w:r w:rsidR="00F92189">
        <w:rPr>
          <w:lang w:eastAsia="en-US"/>
        </w:rPr>
        <w:t xml:space="preserve"> and restoring connectivity promotes public safety</w:t>
      </w:r>
      <w:r w:rsidR="007A086E">
        <w:rPr>
          <w:lang w:eastAsia="en-US"/>
        </w:rPr>
        <w:t>.</w:t>
      </w:r>
    </w:p>
    <w:p w14:paraId="51E77B4F" w14:textId="0DCD5482" w:rsidR="00CE020A" w:rsidRPr="00D954C3" w:rsidRDefault="00CE020A" w:rsidP="00CE020A">
      <w:pPr>
        <w:pStyle w:val="Heading1"/>
        <w:rPr>
          <w:lang w:eastAsia="en-US"/>
        </w:rPr>
      </w:pPr>
      <w:bookmarkStart w:id="31" w:name="_Toc127353166"/>
      <w:bookmarkStart w:id="32" w:name="_Toc126914093"/>
      <w:r w:rsidRPr="00D954C3">
        <w:rPr>
          <w:lang w:eastAsia="en-US"/>
        </w:rPr>
        <w:t xml:space="preserve">Service </w:t>
      </w:r>
      <w:bookmarkEnd w:id="31"/>
      <w:bookmarkEnd w:id="32"/>
      <w:r w:rsidR="00794385">
        <w:rPr>
          <w:lang w:eastAsia="en-US"/>
        </w:rPr>
        <w:t>Q</w:t>
      </w:r>
      <w:r w:rsidRPr="00D954C3">
        <w:rPr>
          <w:lang w:eastAsia="en-US"/>
        </w:rPr>
        <w:t>uality</w:t>
      </w:r>
      <w:r w:rsidR="009A6F59" w:rsidRPr="00D954C3">
        <w:rPr>
          <w:lang w:eastAsia="en-US"/>
        </w:rPr>
        <w:t xml:space="preserve"> </w:t>
      </w:r>
    </w:p>
    <w:p w14:paraId="2F682E90" w14:textId="1A8E8291" w:rsidR="00913215" w:rsidRPr="00057E03" w:rsidRDefault="00C4474C" w:rsidP="009E014C">
      <w:pPr>
        <w:pStyle w:val="Heading2"/>
      </w:pPr>
      <w:r w:rsidRPr="00AD2B68">
        <w:t xml:space="preserve">Service </w:t>
      </w:r>
      <w:r w:rsidR="00794385">
        <w:t>S</w:t>
      </w:r>
      <w:r w:rsidRPr="00244DB0">
        <w:t xml:space="preserve">tandards </w:t>
      </w:r>
      <w:r w:rsidR="00794385">
        <w:t>F</w:t>
      </w:r>
      <w:r w:rsidRPr="00244DB0">
        <w:t>ramework</w:t>
      </w:r>
    </w:p>
    <w:p w14:paraId="5D3F1DE4" w14:textId="3E7BB022" w:rsidR="00CE020A" w:rsidRDefault="00AA17AA" w:rsidP="00CE020A">
      <w:r>
        <w:t xml:space="preserve">ACCAN welcomes </w:t>
      </w:r>
      <w:r w:rsidR="00607BDC">
        <w:t>NBN Co</w:t>
      </w:r>
      <w:r>
        <w:t xml:space="preserve">’s proposal to incorporate a framework for setting benchmark service standards for each regulatory cycle. </w:t>
      </w:r>
      <w:r w:rsidR="00B85DCF">
        <w:t xml:space="preserve">This will allow for assessment of </w:t>
      </w:r>
      <w:r w:rsidR="00B3070A">
        <w:t>NBN Co</w:t>
      </w:r>
      <w:r w:rsidR="00B85DCF">
        <w:t>’s proposed price changes and how this will material</w:t>
      </w:r>
      <w:r w:rsidR="007050F0">
        <w:t>ly</w:t>
      </w:r>
      <w:r w:rsidR="00B85DCF">
        <w:t xml:space="preserve"> impact consumers regarding the quality of service they receive.</w:t>
      </w:r>
      <w:r w:rsidR="00B3070A">
        <w:t xml:space="preserve"> </w:t>
      </w:r>
      <w:r w:rsidR="005E3E74">
        <w:t xml:space="preserve">Furthermore, we consider the ACCC’s ability to provide a </w:t>
      </w:r>
      <w:r w:rsidR="00B3070A">
        <w:t xml:space="preserve">RMD </w:t>
      </w:r>
      <w:r w:rsidR="005E3E74">
        <w:t xml:space="preserve">to determine benchmark service standards </w:t>
      </w:r>
      <w:r w:rsidR="00EC681A">
        <w:t>appropriate</w:t>
      </w:r>
      <w:r w:rsidR="009676CF">
        <w:t xml:space="preserve"> and in the LTIE</w:t>
      </w:r>
      <w:r w:rsidR="00EC681A">
        <w:t xml:space="preserve">. </w:t>
      </w:r>
      <w:r w:rsidR="00C76E36">
        <w:t xml:space="preserve">The proposed regulatory oversight will promote the adoption of benchmark service standards that reflect more closely end-user service requirements and </w:t>
      </w:r>
      <w:r w:rsidR="00C76E36" w:rsidRPr="001E70DA">
        <w:t xml:space="preserve">willingness to pay. </w:t>
      </w:r>
    </w:p>
    <w:p w14:paraId="7E3635D3" w14:textId="7EA61D83" w:rsidR="00F16D4E" w:rsidRDefault="000007F9" w:rsidP="00CE020A">
      <w:r>
        <w:t>During module 2, the ACCC and NBN</w:t>
      </w:r>
      <w:r w:rsidR="0024276C">
        <w:t xml:space="preserve"> Co</w:t>
      </w:r>
      <w:r>
        <w:t xml:space="preserve"> have the power to initiate a mid-regulatory cycle review of benchmark service standards</w:t>
      </w:r>
      <w:r w:rsidR="009C7C32">
        <w:t xml:space="preserve">. The ACCC may initiate a review if a systemic service standard event occurs or if a retail service standard regulation is made or varied. </w:t>
      </w:r>
      <w:r w:rsidR="009A0282">
        <w:t xml:space="preserve">A systemic service standard event means an event or circumstance arising during a regulatory cycle that results in a recurring material adverse impact on </w:t>
      </w:r>
      <w:r w:rsidR="00DB1030">
        <w:t>A</w:t>
      </w:r>
      <w:r w:rsidR="009A0282">
        <w:t xml:space="preserve">ccess </w:t>
      </w:r>
      <w:r w:rsidR="00DB1030">
        <w:t>S</w:t>
      </w:r>
      <w:r w:rsidR="009A0282">
        <w:t xml:space="preserve">eekers’ access to a service standards product due to a matter for which </w:t>
      </w:r>
      <w:r w:rsidR="00781A83">
        <w:t>NBN Co</w:t>
      </w:r>
      <w:r w:rsidR="009A0282">
        <w:t xml:space="preserve"> is responsible</w:t>
      </w:r>
      <w:r w:rsidR="00D065E2">
        <w:t>.</w:t>
      </w:r>
      <w:r w:rsidR="009A0282">
        <w:t xml:space="preserve"> </w:t>
      </w:r>
      <w:r w:rsidR="00D065E2">
        <w:t>In this instance,</w:t>
      </w:r>
      <w:r w:rsidR="009A0282">
        <w:t xml:space="preserve"> the ACCC </w:t>
      </w:r>
      <w:r w:rsidR="00044C01">
        <w:t xml:space="preserve">would </w:t>
      </w:r>
      <w:r w:rsidR="009A0282">
        <w:t xml:space="preserve">consider, acting reasonably, that the </w:t>
      </w:r>
      <w:r w:rsidR="00781A83">
        <w:t>NBN Co</w:t>
      </w:r>
      <w:r w:rsidR="009A0282">
        <w:t xml:space="preserve"> </w:t>
      </w:r>
      <w:r w:rsidR="00436370">
        <w:t>did</w:t>
      </w:r>
      <w:r w:rsidR="009A0282">
        <w:t xml:space="preserve"> not take reasonable steps to address the recurring material adverse impact on </w:t>
      </w:r>
      <w:r w:rsidR="00DB1030">
        <w:t>A</w:t>
      </w:r>
      <w:r w:rsidR="009A0282">
        <w:t xml:space="preserve">ccess </w:t>
      </w:r>
      <w:r w:rsidR="00DB1030">
        <w:t>S</w:t>
      </w:r>
      <w:r w:rsidR="009A0282">
        <w:t>eekers.</w:t>
      </w:r>
      <w:r w:rsidR="00393A7B">
        <w:t xml:space="preserve"> It appears that </w:t>
      </w:r>
      <w:r w:rsidR="00363187">
        <w:t xml:space="preserve">by this definition the ACCC may only initiate a review when there are significant issues regarding access to the network, rather than issues which may </w:t>
      </w:r>
      <w:r w:rsidR="00067963">
        <w:t xml:space="preserve">impact the quality of the service. </w:t>
      </w:r>
      <w:r w:rsidR="009A0282">
        <w:t xml:space="preserve"> </w:t>
      </w:r>
    </w:p>
    <w:p w14:paraId="5B88E1FD" w14:textId="0935E438" w:rsidR="00DD025D" w:rsidRDefault="00E17F75" w:rsidP="00CE020A">
      <w:r>
        <w:t xml:space="preserve">During the regulatory cycle, </w:t>
      </w:r>
      <w:r w:rsidR="00653D85">
        <w:t xml:space="preserve">NBN </w:t>
      </w:r>
      <w:r>
        <w:t xml:space="preserve">Co </w:t>
      </w:r>
      <w:r w:rsidR="00653D85">
        <w:t xml:space="preserve">may propose changes to benchmark service standards at its discretion, </w:t>
      </w:r>
      <w:r w:rsidR="00286C2D">
        <w:t xml:space="preserve">where it is required to consult with </w:t>
      </w:r>
      <w:r w:rsidR="00DB1030">
        <w:t>A</w:t>
      </w:r>
      <w:r w:rsidR="00286C2D">
        <w:t xml:space="preserve">ccess </w:t>
      </w:r>
      <w:r w:rsidR="00DB1030">
        <w:t>S</w:t>
      </w:r>
      <w:r w:rsidR="00286C2D">
        <w:t xml:space="preserve">eekers prior to submitting the proposal and associated cost pass through application to the ACCC. The ACCC has the power to accept or reject the proposal. </w:t>
      </w:r>
      <w:r w:rsidR="000B240D">
        <w:t>ACCAN considers that</w:t>
      </w:r>
      <w:r w:rsidR="009605AA">
        <w:t xml:space="preserve"> the process regarding mid-regulatory cycle review ensures that there</w:t>
      </w:r>
      <w:r w:rsidR="000B240D">
        <w:t xml:space="preserve"> is sufficient flexibility during a regulatory cycle to respond to unforeseen events. </w:t>
      </w:r>
    </w:p>
    <w:p w14:paraId="27128980" w14:textId="580837F5" w:rsidR="00D868B6" w:rsidRDefault="009605AA" w:rsidP="001E70DA">
      <w:r>
        <w:t>However, d</w:t>
      </w:r>
      <w:r w:rsidR="00D868B6">
        <w:t xml:space="preserve">uring Module 3, it is unclear whether the ACCC will have similar powers in regard to initiating a mid-regulatory cycle review of benchmark service standards. The SAU should be clear on the roles and powers assigned to the </w:t>
      </w:r>
      <w:r w:rsidR="0023695D">
        <w:t>ACCC</w:t>
      </w:r>
      <w:r w:rsidR="00D868B6">
        <w:t xml:space="preserve">. ACCAN considers the SAU should be amended to ensure that this power is clearly provided to the ACCC. </w:t>
      </w:r>
    </w:p>
    <w:p w14:paraId="59341A7F" w14:textId="4DBBFFC0" w:rsidR="00D868B6" w:rsidRPr="00244DB0" w:rsidRDefault="00D868B6" w:rsidP="00D868B6">
      <w:pPr>
        <w:pStyle w:val="Recommendation"/>
        <w:rPr>
          <w:rFonts w:asciiTheme="minorHAnsi" w:hAnsiTheme="minorHAnsi" w:cstheme="minorHAnsi"/>
        </w:rPr>
      </w:pPr>
      <w:r w:rsidRPr="00244DB0">
        <w:rPr>
          <w:rFonts w:asciiTheme="minorHAnsi" w:hAnsiTheme="minorHAnsi" w:cstheme="minorHAnsi"/>
        </w:rPr>
        <w:t>For the SAU to be amended such that it is clear that the ACCC has the power to initiate a mid-regulatory cycle review of benchmark service standards post</w:t>
      </w:r>
      <w:r w:rsidR="00C84B8B">
        <w:rPr>
          <w:rFonts w:asciiTheme="minorHAnsi" w:hAnsiTheme="minorHAnsi" w:cstheme="minorHAnsi"/>
        </w:rPr>
        <w:t>-</w:t>
      </w:r>
      <w:r w:rsidRPr="00244DB0">
        <w:rPr>
          <w:rFonts w:asciiTheme="minorHAnsi" w:hAnsiTheme="minorHAnsi" w:cstheme="minorHAnsi"/>
        </w:rPr>
        <w:t xml:space="preserve">2032. </w:t>
      </w:r>
    </w:p>
    <w:p w14:paraId="40C2448B" w14:textId="77777777" w:rsidR="004F484B" w:rsidRPr="006C0424" w:rsidRDefault="004F484B" w:rsidP="004F484B">
      <w:pPr>
        <w:pStyle w:val="Heading3"/>
      </w:pPr>
      <w:r w:rsidRPr="006C0424">
        <w:t xml:space="preserve">Incentive schemes </w:t>
      </w:r>
    </w:p>
    <w:p w14:paraId="77CC6435" w14:textId="1235B78D" w:rsidR="004F484B" w:rsidRDefault="004F484B" w:rsidP="004F484B">
      <w:pPr>
        <w:rPr>
          <w:lang w:eastAsia="en-US"/>
        </w:rPr>
      </w:pPr>
      <w:r>
        <w:rPr>
          <w:lang w:eastAsia="en-US"/>
        </w:rPr>
        <w:t xml:space="preserve">The </w:t>
      </w:r>
      <w:r w:rsidR="00EF19DC">
        <w:rPr>
          <w:lang w:eastAsia="en-US"/>
        </w:rPr>
        <w:t xml:space="preserve">proposed </w:t>
      </w:r>
      <w:r>
        <w:rPr>
          <w:lang w:eastAsia="en-US"/>
        </w:rPr>
        <w:t>SAU variation current</w:t>
      </w:r>
      <w:r w:rsidR="00EF19DC">
        <w:rPr>
          <w:lang w:eastAsia="en-US"/>
        </w:rPr>
        <w:t>ly</w:t>
      </w:r>
      <w:r>
        <w:rPr>
          <w:lang w:eastAsia="en-US"/>
        </w:rPr>
        <w:t xml:space="preserve"> states that the consequence of NBN Co failing to achieve any service standard is limited to the payment of any applicable rebate or taking of any applicable corrective action.</w:t>
      </w:r>
      <w:r>
        <w:rPr>
          <w:rStyle w:val="FootnoteReference"/>
          <w:lang w:eastAsia="en-US"/>
        </w:rPr>
        <w:footnoteReference w:id="14"/>
      </w:r>
      <w:r>
        <w:rPr>
          <w:lang w:eastAsia="en-US"/>
        </w:rPr>
        <w:t xml:space="preserve"> Whilst paying rebates to end users who have been affected by missed service standards and taking corrective action is an important part of the regulatory regime, consumers would benefit from greater incentives within the SAU for NBN Co to </w:t>
      </w:r>
      <w:r w:rsidR="003B1B67">
        <w:rPr>
          <w:lang w:eastAsia="en-US"/>
        </w:rPr>
        <w:t xml:space="preserve">meet </w:t>
      </w:r>
      <w:r w:rsidR="00EF19DC">
        <w:rPr>
          <w:lang w:eastAsia="en-US"/>
        </w:rPr>
        <w:t>service</w:t>
      </w:r>
      <w:r>
        <w:rPr>
          <w:lang w:eastAsia="en-US"/>
        </w:rPr>
        <w:t xml:space="preserve"> standards and benchmarks. </w:t>
      </w:r>
    </w:p>
    <w:p w14:paraId="772D2BAE" w14:textId="31AF92FA" w:rsidR="004F484B" w:rsidRDefault="004F484B" w:rsidP="004F484B">
      <w:pPr>
        <w:rPr>
          <w:lang w:eastAsia="en-US"/>
        </w:rPr>
      </w:pPr>
      <w:r>
        <w:rPr>
          <w:lang w:eastAsia="en-US"/>
        </w:rPr>
        <w:t xml:space="preserve">ACCAN recommends that the SAU provide an opportunity to develop an incentive scheme framework in the future. The purpose would be to disincentivise NBN Co from falling short of its service standard benchmarks by imposing additional costs where benchmarks are not met, for example through sacrificing cost recovery through the ICRA.  </w:t>
      </w:r>
    </w:p>
    <w:p w14:paraId="7D2F8702" w14:textId="34BE0856" w:rsidR="004F484B" w:rsidRPr="00C27A82" w:rsidRDefault="004F484B" w:rsidP="00B35F0E">
      <w:pPr>
        <w:pStyle w:val="Recommendation"/>
        <w:numPr>
          <w:ilvl w:val="0"/>
          <w:numId w:val="44"/>
        </w:numPr>
        <w:rPr>
          <w:rFonts w:asciiTheme="minorHAnsi" w:hAnsiTheme="minorHAnsi" w:cstheme="minorHAnsi"/>
        </w:rPr>
      </w:pPr>
      <w:r w:rsidRPr="00C27A82">
        <w:rPr>
          <w:rFonts w:asciiTheme="minorHAnsi" w:hAnsiTheme="minorHAnsi" w:cstheme="minorHAnsi"/>
        </w:rPr>
        <w:t>For the SAU to provide an opportunity for the ACCC to</w:t>
      </w:r>
      <w:r w:rsidR="00B35F0E" w:rsidRPr="00C27A82">
        <w:rPr>
          <w:rFonts w:asciiTheme="minorHAnsi" w:hAnsiTheme="minorHAnsi" w:cstheme="minorHAnsi"/>
        </w:rPr>
        <w:t xml:space="preserve"> introduce a service standard incentive scheme. </w:t>
      </w:r>
    </w:p>
    <w:p w14:paraId="1E14F958" w14:textId="1066EA64" w:rsidR="00F466F7" w:rsidRPr="00AD2B68" w:rsidRDefault="00F466F7" w:rsidP="006C0424">
      <w:pPr>
        <w:pStyle w:val="Heading2"/>
      </w:pPr>
      <w:r w:rsidRPr="00AD2B68">
        <w:t xml:space="preserve">Benchmark </w:t>
      </w:r>
      <w:r w:rsidR="00794385">
        <w:t>S</w:t>
      </w:r>
      <w:r w:rsidRPr="00C27A82">
        <w:t xml:space="preserve">ervice </w:t>
      </w:r>
      <w:r w:rsidR="00794385">
        <w:t>S</w:t>
      </w:r>
      <w:r w:rsidRPr="00C27A82">
        <w:t>tandards</w:t>
      </w:r>
      <w:r w:rsidRPr="00AD2B68">
        <w:t xml:space="preserve"> for the </w:t>
      </w:r>
      <w:r w:rsidR="00794385">
        <w:t>F</w:t>
      </w:r>
      <w:r w:rsidRPr="00C27A82">
        <w:t xml:space="preserve">irst </w:t>
      </w:r>
      <w:r w:rsidR="00794385">
        <w:t>R</w:t>
      </w:r>
      <w:r w:rsidRPr="00C27A82">
        <w:t xml:space="preserve">egulatory </w:t>
      </w:r>
      <w:r w:rsidR="00794385">
        <w:t>C</w:t>
      </w:r>
      <w:r w:rsidRPr="00C27A82">
        <w:t>ycle</w:t>
      </w:r>
    </w:p>
    <w:p w14:paraId="56161298" w14:textId="64550F49" w:rsidR="00F466F7" w:rsidRDefault="00936050" w:rsidP="00F466F7">
      <w:pPr>
        <w:rPr>
          <w:lang w:eastAsia="en-US"/>
        </w:rPr>
      </w:pPr>
      <w:r>
        <w:rPr>
          <w:lang w:eastAsia="en-US"/>
        </w:rPr>
        <w:t>NBN</w:t>
      </w:r>
      <w:r w:rsidR="009D3A4E">
        <w:rPr>
          <w:lang w:eastAsia="en-US"/>
        </w:rPr>
        <w:t xml:space="preserve"> Co</w:t>
      </w:r>
      <w:r>
        <w:rPr>
          <w:lang w:eastAsia="en-US"/>
        </w:rPr>
        <w:t xml:space="preserve"> has largely proposed to retain the W</w:t>
      </w:r>
      <w:r w:rsidR="00A34F6A">
        <w:rPr>
          <w:lang w:eastAsia="en-US"/>
        </w:rPr>
        <w:t xml:space="preserve">holesale </w:t>
      </w:r>
      <w:r>
        <w:rPr>
          <w:lang w:eastAsia="en-US"/>
        </w:rPr>
        <w:t>B</w:t>
      </w:r>
      <w:r w:rsidR="00A34F6A">
        <w:rPr>
          <w:lang w:eastAsia="en-US"/>
        </w:rPr>
        <w:t xml:space="preserve">roadband </w:t>
      </w:r>
      <w:r>
        <w:rPr>
          <w:lang w:eastAsia="en-US"/>
        </w:rPr>
        <w:t>A</w:t>
      </w:r>
      <w:r w:rsidR="00A34F6A">
        <w:rPr>
          <w:lang w:eastAsia="en-US"/>
        </w:rPr>
        <w:t>greement (</w:t>
      </w:r>
      <w:r w:rsidR="00A34F6A" w:rsidRPr="00CD20BD">
        <w:rPr>
          <w:b/>
          <w:bCs/>
          <w:lang w:eastAsia="en-US"/>
        </w:rPr>
        <w:t>WBA</w:t>
      </w:r>
      <w:r w:rsidR="00A34F6A">
        <w:rPr>
          <w:lang w:eastAsia="en-US"/>
        </w:rPr>
        <w:t xml:space="preserve">) </w:t>
      </w:r>
      <w:r>
        <w:rPr>
          <w:lang w:eastAsia="en-US"/>
        </w:rPr>
        <w:t xml:space="preserve">4 service levels and associated performance objectives and rebates as the benchmark service standards for the first regulatory cycle. </w:t>
      </w:r>
      <w:r w:rsidR="009C10BB">
        <w:rPr>
          <w:lang w:eastAsia="en-US"/>
        </w:rPr>
        <w:t>With the exception being:</w:t>
      </w:r>
    </w:p>
    <w:p w14:paraId="0E2B0998" w14:textId="577C0515" w:rsidR="009C10BB" w:rsidRDefault="00754675" w:rsidP="006C0424">
      <w:pPr>
        <w:pStyle w:val="Bulletlist1"/>
        <w:rPr>
          <w:lang w:eastAsia="en-US"/>
        </w:rPr>
      </w:pPr>
      <w:r>
        <w:rPr>
          <w:lang w:eastAsia="en-US"/>
        </w:rPr>
        <w:t>H</w:t>
      </w:r>
      <w:r w:rsidR="009C10BB">
        <w:rPr>
          <w:lang w:eastAsia="en-US"/>
        </w:rPr>
        <w:t>igher performance object</w:t>
      </w:r>
      <w:r w:rsidR="008E0360">
        <w:rPr>
          <w:lang w:eastAsia="en-US"/>
        </w:rPr>
        <w:t xml:space="preserve">ives for completion advice for connections delivered within 30 minutes and service transfers completed in either 15 minutes or 1 hour. </w:t>
      </w:r>
    </w:p>
    <w:p w14:paraId="3D841FA5" w14:textId="6F604C9D" w:rsidR="008E0360" w:rsidRDefault="008E0360" w:rsidP="006C0424">
      <w:pPr>
        <w:pStyle w:val="Bulletlist1"/>
        <w:rPr>
          <w:lang w:eastAsia="en-US"/>
        </w:rPr>
      </w:pPr>
      <w:r>
        <w:rPr>
          <w:lang w:eastAsia="en-US"/>
        </w:rPr>
        <w:t>Reduced activity timeframes f</w:t>
      </w:r>
      <w:r w:rsidR="00BD3D80">
        <w:rPr>
          <w:lang w:eastAsia="en-US"/>
        </w:rPr>
        <w:t>or delivery of completion advice for connections and service transfers, access component modifications that do not require the attendance at the premise and CVC modifications</w:t>
      </w:r>
      <w:r w:rsidR="002B771A">
        <w:rPr>
          <w:lang w:eastAsia="en-US"/>
        </w:rPr>
        <w:t>.</w:t>
      </w:r>
    </w:p>
    <w:p w14:paraId="2A4DC526" w14:textId="489450C3" w:rsidR="00BD3D80" w:rsidRDefault="00BD3D80" w:rsidP="006C0424">
      <w:pPr>
        <w:pStyle w:val="Bulletlist1"/>
        <w:rPr>
          <w:lang w:eastAsia="en-US"/>
        </w:rPr>
      </w:pPr>
      <w:r>
        <w:rPr>
          <w:lang w:eastAsia="en-US"/>
        </w:rPr>
        <w:t>Lower service fault dropout thresholds for services on the FTTN and HFC Networks from greater than nine to greater than seven in 24 hours</w:t>
      </w:r>
      <w:r w:rsidR="003575DB">
        <w:rPr>
          <w:lang w:eastAsia="en-US"/>
        </w:rPr>
        <w:t>.</w:t>
      </w:r>
      <w:r>
        <w:rPr>
          <w:lang w:eastAsia="en-US"/>
        </w:rPr>
        <w:t xml:space="preserve"> </w:t>
      </w:r>
    </w:p>
    <w:p w14:paraId="21F85A16" w14:textId="3FD950E9" w:rsidR="00A34F6A" w:rsidRDefault="00DA0C2E" w:rsidP="00F25BE1">
      <w:pPr>
        <w:rPr>
          <w:lang w:eastAsia="en-US"/>
        </w:rPr>
      </w:pPr>
      <w:r>
        <w:rPr>
          <w:lang w:eastAsia="en-US"/>
        </w:rPr>
        <w:t xml:space="preserve">ACCAN’s view </w:t>
      </w:r>
      <w:r w:rsidR="002B771A">
        <w:rPr>
          <w:lang w:eastAsia="en-US"/>
        </w:rPr>
        <w:t>is that</w:t>
      </w:r>
      <w:r w:rsidR="002605E9">
        <w:rPr>
          <w:lang w:eastAsia="en-US"/>
        </w:rPr>
        <w:t xml:space="preserve"> the proposed benchmark </w:t>
      </w:r>
      <w:r w:rsidR="00A44325">
        <w:rPr>
          <w:lang w:eastAsia="en-US"/>
        </w:rPr>
        <w:t xml:space="preserve">service standards for the first regulatory period do not address current issues with poor service quality on the network. </w:t>
      </w:r>
      <w:r w:rsidR="0069604F">
        <w:rPr>
          <w:lang w:eastAsia="en-US"/>
        </w:rPr>
        <w:t>Noting</w:t>
      </w:r>
      <w:r>
        <w:rPr>
          <w:lang w:eastAsia="en-US"/>
        </w:rPr>
        <w:t xml:space="preserve"> that NBN Co</w:t>
      </w:r>
      <w:r w:rsidR="0081176F">
        <w:rPr>
          <w:lang w:eastAsia="en-US"/>
        </w:rPr>
        <w:t xml:space="preserve"> </w:t>
      </w:r>
      <w:r w:rsidR="004D2B6E">
        <w:rPr>
          <w:lang w:eastAsia="en-US"/>
        </w:rPr>
        <w:t>is</w:t>
      </w:r>
      <w:r w:rsidR="0081176F">
        <w:rPr>
          <w:lang w:eastAsia="en-US"/>
        </w:rPr>
        <w:t xml:space="preserve"> </w:t>
      </w:r>
      <w:r w:rsidR="009E1154">
        <w:rPr>
          <w:lang w:eastAsia="en-US"/>
        </w:rPr>
        <w:t xml:space="preserve">investing </w:t>
      </w:r>
      <w:r w:rsidR="0081176F">
        <w:rPr>
          <w:lang w:eastAsia="en-US"/>
        </w:rPr>
        <w:t xml:space="preserve">significantly to </w:t>
      </w:r>
      <w:r w:rsidR="004D2B6E">
        <w:rPr>
          <w:lang w:eastAsia="en-US"/>
        </w:rPr>
        <w:t>improve the network</w:t>
      </w:r>
      <w:r w:rsidR="0069604F">
        <w:rPr>
          <w:lang w:eastAsia="en-US"/>
        </w:rPr>
        <w:t xml:space="preserve">, </w:t>
      </w:r>
      <w:r w:rsidR="004D2B6E">
        <w:rPr>
          <w:lang w:eastAsia="en-US"/>
        </w:rPr>
        <w:t xml:space="preserve">we </w:t>
      </w:r>
      <w:r w:rsidR="007A78B0">
        <w:rPr>
          <w:lang w:eastAsia="en-US"/>
        </w:rPr>
        <w:t>would anticipate</w:t>
      </w:r>
      <w:r w:rsidR="004D2B6E">
        <w:rPr>
          <w:lang w:eastAsia="en-US"/>
        </w:rPr>
        <w:t xml:space="preserve"> </w:t>
      </w:r>
      <w:r w:rsidR="009F7BD4">
        <w:rPr>
          <w:lang w:eastAsia="en-US"/>
        </w:rPr>
        <w:t>the</w:t>
      </w:r>
      <w:r w:rsidR="004D2B6E">
        <w:rPr>
          <w:lang w:eastAsia="en-US"/>
        </w:rPr>
        <w:t xml:space="preserve"> benefits of these investments </w:t>
      </w:r>
      <w:r w:rsidR="009F7BD4">
        <w:rPr>
          <w:lang w:eastAsia="en-US"/>
        </w:rPr>
        <w:t>to</w:t>
      </w:r>
      <w:r w:rsidR="004D2B6E">
        <w:rPr>
          <w:lang w:eastAsia="en-US"/>
        </w:rPr>
        <w:t xml:space="preserve"> be seen </w:t>
      </w:r>
      <w:r w:rsidR="009F7BD4">
        <w:rPr>
          <w:lang w:eastAsia="en-US"/>
        </w:rPr>
        <w:t>within the</w:t>
      </w:r>
      <w:r w:rsidR="004D2B6E">
        <w:rPr>
          <w:lang w:eastAsia="en-US"/>
        </w:rPr>
        <w:t xml:space="preserve"> first regulatory cycle. </w:t>
      </w:r>
      <w:r w:rsidR="00BC4C4C" w:rsidRPr="00C27A82">
        <w:rPr>
          <w:lang w:eastAsia="en-US"/>
        </w:rPr>
        <w:t>The service standards and associated rebates for the first regulatory cycle should be more ambitious than those currently set out in the WBA 4.</w:t>
      </w:r>
      <w:r w:rsidR="00B97747" w:rsidRPr="00C27A82">
        <w:rPr>
          <w:lang w:eastAsia="en-US"/>
        </w:rPr>
        <w:t xml:space="preserve"> </w:t>
      </w:r>
    </w:p>
    <w:p w14:paraId="69E59C1D" w14:textId="252763A5" w:rsidR="00C94481" w:rsidRDefault="00146E34" w:rsidP="00F25BE1">
      <w:r w:rsidRPr="00C27A82">
        <w:rPr>
          <w:lang w:eastAsia="en-US"/>
        </w:rPr>
        <w:t>Service quality</w:t>
      </w:r>
      <w:r w:rsidR="00AD5BF9">
        <w:rPr>
          <w:lang w:eastAsia="en-US"/>
        </w:rPr>
        <w:t xml:space="preserve"> benchmarks</w:t>
      </w:r>
      <w:r w:rsidRPr="00C27A82">
        <w:rPr>
          <w:lang w:eastAsia="en-US"/>
        </w:rPr>
        <w:t xml:space="preserve"> determined via the W</w:t>
      </w:r>
      <w:r w:rsidR="00C94481">
        <w:rPr>
          <w:lang w:eastAsia="en-US"/>
        </w:rPr>
        <w:t>B</w:t>
      </w:r>
      <w:r w:rsidRPr="00C27A82">
        <w:rPr>
          <w:lang w:eastAsia="en-US"/>
        </w:rPr>
        <w:t>A have to date fallen short of consumer expec</w:t>
      </w:r>
      <w:r w:rsidR="0082601A" w:rsidRPr="00C27A82">
        <w:rPr>
          <w:lang w:eastAsia="en-US"/>
        </w:rPr>
        <w:t xml:space="preserve">tations. </w:t>
      </w:r>
      <w:r w:rsidR="00EC2880">
        <w:rPr>
          <w:lang w:eastAsia="en-US"/>
        </w:rPr>
        <w:t>The SAU Variation should be amended such that</w:t>
      </w:r>
      <w:r w:rsidR="00EC2880">
        <w:t xml:space="preserve"> benchmarks that apply to connection, fault rectification and appointment keeping standards should be set to 95% at a minimum. </w:t>
      </w:r>
    </w:p>
    <w:p w14:paraId="3E55A5D8" w14:textId="243DA7E8" w:rsidR="0091356F" w:rsidRDefault="0091356F" w:rsidP="00CD20BD">
      <w:pPr>
        <w:pStyle w:val="Recommendation"/>
        <w:numPr>
          <w:ilvl w:val="0"/>
          <w:numId w:val="52"/>
        </w:numPr>
      </w:pPr>
      <w:r w:rsidRPr="00CD20BD">
        <w:rPr>
          <w:rFonts w:asciiTheme="minorHAnsi" w:hAnsiTheme="minorHAnsi" w:cstheme="minorHAnsi"/>
        </w:rPr>
        <w:t xml:space="preserve">Benchmarks relating to connection, fault rectification and appointment keeping standards should be amended to a minimum 95%. </w:t>
      </w:r>
    </w:p>
    <w:p w14:paraId="25EF6B01" w14:textId="390CA2C0" w:rsidR="00DA0C2E" w:rsidRDefault="00DA0C2E" w:rsidP="00F25BE1">
      <w:r>
        <w:t>In setting robust standards, ACCAN believes that it is appropriate for NBN Co to have efficient incentives to drive compliance. Accordingly, we consider that where NBN fails to meet service standards that the SAU Variation should impose penalties in the form of a write-down of recoverable ICRA for the regulatory period.</w:t>
      </w:r>
    </w:p>
    <w:p w14:paraId="3109AFB9" w14:textId="351A20E4" w:rsidR="00F30D9D" w:rsidRPr="00057E03" w:rsidRDefault="00F30D9D" w:rsidP="006C0424">
      <w:pPr>
        <w:pStyle w:val="Heading3"/>
        <w:rPr>
          <w:rFonts w:cstheme="minorHAnsi"/>
        </w:rPr>
      </w:pPr>
      <w:r w:rsidRPr="006C0424">
        <w:t>New connections timeframes and rebates</w:t>
      </w:r>
    </w:p>
    <w:p w14:paraId="34A8075C" w14:textId="556514FD" w:rsidR="00F25BE1" w:rsidRDefault="00B97747" w:rsidP="00F25BE1">
      <w:pPr>
        <w:rPr>
          <w:lang w:eastAsia="en-US"/>
        </w:rPr>
      </w:pPr>
      <w:r w:rsidRPr="00EC0746">
        <w:rPr>
          <w:lang w:eastAsia="en-US"/>
        </w:rPr>
        <w:t>The timeframes established under the Customer Service Guarantee (</w:t>
      </w:r>
      <w:r w:rsidRPr="00C27A82">
        <w:rPr>
          <w:b/>
          <w:bCs/>
          <w:lang w:eastAsia="en-US"/>
        </w:rPr>
        <w:t>CSG</w:t>
      </w:r>
      <w:r w:rsidRPr="00C27A82">
        <w:rPr>
          <w:lang w:eastAsia="en-US"/>
        </w:rPr>
        <w:t xml:space="preserve">) </w:t>
      </w:r>
      <w:r w:rsidR="00734FCB" w:rsidRPr="00C27A82">
        <w:rPr>
          <w:lang w:eastAsia="en-US"/>
        </w:rPr>
        <w:t>for</w:t>
      </w:r>
      <w:r w:rsidR="007C7124" w:rsidRPr="00C27A82">
        <w:rPr>
          <w:lang w:eastAsia="en-US"/>
        </w:rPr>
        <w:t xml:space="preserve"> new connections and fault repairs</w:t>
      </w:r>
      <w:r w:rsidR="00734FCB" w:rsidRPr="00C27A82">
        <w:rPr>
          <w:lang w:eastAsia="en-US"/>
        </w:rPr>
        <w:t xml:space="preserve"> </w:t>
      </w:r>
      <w:r w:rsidRPr="00C27A82">
        <w:rPr>
          <w:lang w:eastAsia="en-US"/>
        </w:rPr>
        <w:t xml:space="preserve">provide a good basis for consumer expectations when it comes to telecommunications reliability, yet currently only covers telephone services. ACCAN recommends NBN Co establish timeframes for </w:t>
      </w:r>
      <w:r w:rsidR="009E6635">
        <w:rPr>
          <w:lang w:eastAsia="en-US"/>
        </w:rPr>
        <w:t>end user connections</w:t>
      </w:r>
      <w:r w:rsidRPr="00C27A82">
        <w:rPr>
          <w:lang w:eastAsia="en-US"/>
        </w:rPr>
        <w:t xml:space="preserve"> which will allow retailers to meet </w:t>
      </w:r>
      <w:r w:rsidR="00211C24">
        <w:rPr>
          <w:lang w:eastAsia="en-US"/>
        </w:rPr>
        <w:t>the CSG Standard</w:t>
      </w:r>
      <w:r w:rsidRPr="00C27A82">
        <w:rPr>
          <w:lang w:eastAsia="en-US"/>
        </w:rPr>
        <w:t xml:space="preserve">. </w:t>
      </w:r>
      <w:r w:rsidR="00F25BE1" w:rsidRPr="00C27A82">
        <w:rPr>
          <w:lang w:eastAsia="en-US"/>
        </w:rPr>
        <w:t>Additionally, compensation amounts</w:t>
      </w:r>
      <w:r w:rsidR="00BA5A7A">
        <w:rPr>
          <w:lang w:eastAsia="en-US"/>
        </w:rPr>
        <w:t xml:space="preserve"> for missed connection timeframes</w:t>
      </w:r>
      <w:r w:rsidR="00F25BE1" w:rsidRPr="00C27A82">
        <w:rPr>
          <w:lang w:eastAsia="en-US"/>
        </w:rPr>
        <w:t xml:space="preserve"> should also be set in line with the current CSG.</w:t>
      </w:r>
      <w:r w:rsidR="00C143D4">
        <w:rPr>
          <w:rStyle w:val="FootnoteReference"/>
          <w:lang w:eastAsia="en-US"/>
        </w:rPr>
        <w:footnoteReference w:id="15"/>
      </w:r>
      <w:r w:rsidR="00C73BD8" w:rsidRPr="00C27A82">
        <w:rPr>
          <w:lang w:eastAsia="en-US"/>
        </w:rPr>
        <w:t xml:space="preserve"> </w:t>
      </w:r>
    </w:p>
    <w:p w14:paraId="3EAB7CCC" w14:textId="62291A19" w:rsidR="00180255" w:rsidRDefault="00180255" w:rsidP="00CD20BD">
      <w:pPr>
        <w:pStyle w:val="Recommendation"/>
        <w:numPr>
          <w:ilvl w:val="0"/>
          <w:numId w:val="53"/>
        </w:numPr>
      </w:pPr>
      <w:r w:rsidRPr="00CD20BD">
        <w:rPr>
          <w:rFonts w:asciiTheme="minorHAnsi" w:hAnsiTheme="minorHAnsi" w:cstheme="minorHAnsi"/>
        </w:rPr>
        <w:t>NBN Co should amend timeframes for new connections to allow retailers to meet the timeframes set out in the Customer Service Guarantee (CSG). Compensation amounts for missed connection timeframes should also be set in line with the current CSG.</w:t>
      </w:r>
    </w:p>
    <w:p w14:paraId="7F1CEAB5" w14:textId="3A81F93D" w:rsidR="00AC020E" w:rsidRPr="006C0424" w:rsidRDefault="00AC020E" w:rsidP="006C0424">
      <w:pPr>
        <w:pStyle w:val="Heading3"/>
      </w:pPr>
      <w:r w:rsidRPr="006C0424">
        <w:t xml:space="preserve">Performance incident threshold </w:t>
      </w:r>
    </w:p>
    <w:p w14:paraId="70D62DB0" w14:textId="78E5F170" w:rsidR="00AC020E" w:rsidRDefault="009A7581" w:rsidP="00AC020E">
      <w:pPr>
        <w:rPr>
          <w:lang w:val="en-US" w:eastAsia="en-US"/>
        </w:rPr>
      </w:pPr>
      <w:r>
        <w:rPr>
          <w:lang w:val="en-US" w:eastAsia="en-US"/>
        </w:rPr>
        <w:t>T</w:t>
      </w:r>
      <w:r w:rsidR="00AC020E">
        <w:rPr>
          <w:lang w:val="en-US" w:eastAsia="en-US"/>
        </w:rPr>
        <w:t xml:space="preserve">he point at which </w:t>
      </w:r>
      <w:r w:rsidR="00177D14">
        <w:rPr>
          <w:lang w:val="en-US" w:eastAsia="en-US"/>
        </w:rPr>
        <w:t xml:space="preserve">remedial action </w:t>
      </w:r>
      <w:r w:rsidR="00AE76F0">
        <w:rPr>
          <w:lang w:val="en-US" w:eastAsia="en-US"/>
        </w:rPr>
        <w:t>is taken to address performance issue</w:t>
      </w:r>
      <w:r w:rsidR="00075E41">
        <w:rPr>
          <w:lang w:val="en-US" w:eastAsia="en-US"/>
        </w:rPr>
        <w:t>s</w:t>
      </w:r>
      <w:r w:rsidR="00AE76F0">
        <w:rPr>
          <w:lang w:val="en-US" w:eastAsia="en-US"/>
        </w:rPr>
        <w:t xml:space="preserve"> </w:t>
      </w:r>
      <w:r w:rsidR="00177D14">
        <w:rPr>
          <w:lang w:val="en-US" w:eastAsia="en-US"/>
        </w:rPr>
        <w:t xml:space="preserve">should be more ambitious. </w:t>
      </w:r>
      <w:r w:rsidR="003F11DF">
        <w:rPr>
          <w:lang w:val="en-US" w:eastAsia="en-US"/>
        </w:rPr>
        <w:t xml:space="preserve">ACCAN recommends that the </w:t>
      </w:r>
      <w:r w:rsidR="00BF09C9">
        <w:rPr>
          <w:lang w:val="en-US" w:eastAsia="en-US"/>
        </w:rPr>
        <w:t xml:space="preserve">Performance Incident threshold </w:t>
      </w:r>
      <w:r w:rsidR="000F5959">
        <w:rPr>
          <w:lang w:val="en-US" w:eastAsia="en-US"/>
        </w:rPr>
        <w:t xml:space="preserve">should be amended such that if 1 or 2 </w:t>
      </w:r>
      <w:r w:rsidR="00075E41">
        <w:rPr>
          <w:lang w:val="en-US" w:eastAsia="en-US"/>
        </w:rPr>
        <w:t>dropouts</w:t>
      </w:r>
      <w:r w:rsidR="000F5959">
        <w:rPr>
          <w:lang w:val="en-US" w:eastAsia="en-US"/>
        </w:rPr>
        <w:t xml:space="preserve"> occur in a 24 hour period and the RSP raises a trouble ticket with NBN Co, </w:t>
      </w:r>
      <w:r w:rsidR="00553B4F">
        <w:rPr>
          <w:lang w:val="en-US" w:eastAsia="en-US"/>
        </w:rPr>
        <w:t>that</w:t>
      </w:r>
      <w:r w:rsidR="000F5959">
        <w:rPr>
          <w:lang w:val="en-US" w:eastAsia="en-US"/>
        </w:rPr>
        <w:t xml:space="preserve"> NBN will investigate and seek to </w:t>
      </w:r>
      <w:r w:rsidR="00F30D9D">
        <w:rPr>
          <w:lang w:val="en-US" w:eastAsia="en-US"/>
        </w:rPr>
        <w:t>improve</w:t>
      </w:r>
      <w:r w:rsidR="000F5959">
        <w:rPr>
          <w:lang w:val="en-US" w:eastAsia="en-US"/>
        </w:rPr>
        <w:t xml:space="preserve"> the performance of the service. Where a consumer experiences 3 or more dropouts within a 24 hour period, then this should constitute a fault and NBN </w:t>
      </w:r>
      <w:r w:rsidR="00553B4F">
        <w:rPr>
          <w:lang w:val="en-US" w:eastAsia="en-US"/>
        </w:rPr>
        <w:t>should</w:t>
      </w:r>
      <w:r w:rsidR="000F5959">
        <w:rPr>
          <w:lang w:val="en-US" w:eastAsia="en-US"/>
        </w:rPr>
        <w:t xml:space="preserve"> undertake assurance activities. </w:t>
      </w:r>
    </w:p>
    <w:p w14:paraId="671A3582" w14:textId="04E8C1D8" w:rsidR="00553B4F" w:rsidRPr="00212CAA" w:rsidRDefault="00553B4F" w:rsidP="00AC020E">
      <w:pPr>
        <w:rPr>
          <w:lang w:val="en-US" w:eastAsia="en-US"/>
        </w:rPr>
      </w:pPr>
      <w:r>
        <w:rPr>
          <w:lang w:val="en-US" w:eastAsia="en-US"/>
        </w:rPr>
        <w:t>ACCAN</w:t>
      </w:r>
      <w:r w:rsidR="005C03DA">
        <w:rPr>
          <w:lang w:val="en-US" w:eastAsia="en-US"/>
        </w:rPr>
        <w:t>’s</w:t>
      </w:r>
      <w:r>
        <w:rPr>
          <w:lang w:val="en-US" w:eastAsia="en-US"/>
        </w:rPr>
        <w:t xml:space="preserve"> engagement to date indicates that poor service outcomes are a driver of lower expenditure on NBN services, with consumers reluctant to spend on higher-speed tiers due to underperformance. </w:t>
      </w:r>
      <w:r w:rsidR="005C03DA">
        <w:rPr>
          <w:lang w:val="en-US" w:eastAsia="en-US"/>
        </w:rPr>
        <w:t>P</w:t>
      </w:r>
      <w:r>
        <w:rPr>
          <w:lang w:val="en-US" w:eastAsia="en-US"/>
        </w:rPr>
        <w:t>oor service outcomes may be contributing to lower rates of take-up of high-speed services and under</w:t>
      </w:r>
      <w:r w:rsidR="00D27DB2">
        <w:rPr>
          <w:lang w:val="en-US" w:eastAsia="en-US"/>
        </w:rPr>
        <w:t xml:space="preserve"> </w:t>
      </w:r>
      <w:proofErr w:type="spellStart"/>
      <w:r>
        <w:rPr>
          <w:lang w:val="en-US" w:eastAsia="en-US"/>
        </w:rPr>
        <w:t>utili</w:t>
      </w:r>
      <w:r w:rsidR="005C03DA">
        <w:rPr>
          <w:lang w:val="en-US" w:eastAsia="en-US"/>
        </w:rPr>
        <w:t>s</w:t>
      </w:r>
      <w:r>
        <w:rPr>
          <w:lang w:val="en-US" w:eastAsia="en-US"/>
        </w:rPr>
        <w:t>ation</w:t>
      </w:r>
      <w:proofErr w:type="spellEnd"/>
      <w:r>
        <w:rPr>
          <w:lang w:val="en-US" w:eastAsia="en-US"/>
        </w:rPr>
        <w:t xml:space="preserve"> of available network capacity.</w:t>
      </w:r>
      <w:r w:rsidR="00553E34">
        <w:rPr>
          <w:lang w:val="en-US" w:eastAsia="en-US"/>
        </w:rPr>
        <w:t xml:space="preserve"> Service standards which are not meeting consumer expectations </w:t>
      </w:r>
      <w:r w:rsidR="00816223">
        <w:rPr>
          <w:lang w:val="en-US" w:eastAsia="en-US"/>
        </w:rPr>
        <w:t>contribute to</w:t>
      </w:r>
      <w:r w:rsidR="00553E34">
        <w:rPr>
          <w:lang w:val="en-US" w:eastAsia="en-US"/>
        </w:rPr>
        <w:t xml:space="preserve"> </w:t>
      </w:r>
      <w:r w:rsidR="0054418B">
        <w:rPr>
          <w:lang w:val="en-US" w:eastAsia="en-US"/>
        </w:rPr>
        <w:t xml:space="preserve">inefficient use of the infrastructure and should be addressed. </w:t>
      </w:r>
    </w:p>
    <w:p w14:paraId="4BDAB8EF" w14:textId="6091D06D" w:rsidR="00EC2880" w:rsidRPr="00057E03" w:rsidRDefault="00602B4D" w:rsidP="006C0424">
      <w:pPr>
        <w:pStyle w:val="Heading3"/>
        <w:rPr>
          <w:rFonts w:cstheme="minorHAnsi"/>
        </w:rPr>
      </w:pPr>
      <w:r w:rsidRPr="006C0424">
        <w:t xml:space="preserve">Wireless </w:t>
      </w:r>
      <w:r w:rsidR="00794385">
        <w:t>n</w:t>
      </w:r>
      <w:r w:rsidRPr="00212CAA">
        <w:t xml:space="preserve">etwork </w:t>
      </w:r>
      <w:r w:rsidR="00794385">
        <w:t>c</w:t>
      </w:r>
      <w:r w:rsidRPr="00212CAA">
        <w:t>ell</w:t>
      </w:r>
      <w:r w:rsidRPr="006C0424">
        <w:t xml:space="preserve"> congestion </w:t>
      </w:r>
    </w:p>
    <w:p w14:paraId="38921410" w14:textId="1F39E21C" w:rsidR="0084006A" w:rsidRDefault="0084006A" w:rsidP="00DD736A">
      <w:r>
        <w:t xml:space="preserve">The SAU Variation defines a </w:t>
      </w:r>
      <w:r w:rsidR="00794385">
        <w:t>w</w:t>
      </w:r>
      <w:r>
        <w:t xml:space="preserve">ireless </w:t>
      </w:r>
      <w:r w:rsidR="00794385">
        <w:t>n</w:t>
      </w:r>
      <w:r>
        <w:t xml:space="preserve">etwork cell as being </w:t>
      </w:r>
      <w:r w:rsidR="000E312B">
        <w:t>persistently</w:t>
      </w:r>
      <w:r>
        <w:t xml:space="preserve"> congested if the average downlink</w:t>
      </w:r>
      <w:r w:rsidDel="00526A68">
        <w:t xml:space="preserve"> </w:t>
      </w:r>
      <w:r w:rsidR="00526A68">
        <w:t xml:space="preserve">throughput </w:t>
      </w:r>
      <w:r>
        <w:t xml:space="preserve">of the wireless network cell is reported by </w:t>
      </w:r>
      <w:r w:rsidR="00A067F5">
        <w:t xml:space="preserve">NBN Co </w:t>
      </w:r>
      <w:r>
        <w:t xml:space="preserve">as being less than 6 Mbps for the last downlink throughput reporting period ending in that month. 6 Mbps is far </w:t>
      </w:r>
      <w:r w:rsidR="00517200">
        <w:t xml:space="preserve">too low before </w:t>
      </w:r>
      <w:r w:rsidR="006F383A">
        <w:t xml:space="preserve">end users on the congested cell are entitled to a wireless speed performance rebate. </w:t>
      </w:r>
      <w:r w:rsidR="00E82B9F">
        <w:t xml:space="preserve">The </w:t>
      </w:r>
      <w:r w:rsidR="00EF6C81">
        <w:t xml:space="preserve">definition for a wireless network cell being persistently congested should be </w:t>
      </w:r>
      <w:r w:rsidR="00EE3AA8">
        <w:t>set in close consultation with consumers. NBN Co should be</w:t>
      </w:r>
      <w:r w:rsidR="00517B49">
        <w:t xml:space="preserve"> required </w:t>
      </w:r>
      <w:r w:rsidR="00EE3AA8">
        <w:t>to explain</w:t>
      </w:r>
      <w:r w:rsidR="00517B49">
        <w:t xml:space="preserve"> the</w:t>
      </w:r>
      <w:r w:rsidR="00E82B9F">
        <w:t xml:space="preserve"> trade-off between improving this measure and the</w:t>
      </w:r>
      <w:r w:rsidR="00EE3AA8">
        <w:t xml:space="preserve"> direct</w:t>
      </w:r>
      <w:r w:rsidR="00E82B9F">
        <w:t xml:space="preserve"> cost implications</w:t>
      </w:r>
      <w:r w:rsidR="00EE3AA8">
        <w:t xml:space="preserve"> so that consumer preference is appropriately accounted for</w:t>
      </w:r>
      <w:r w:rsidR="00E82B9F">
        <w:t xml:space="preserve">. </w:t>
      </w:r>
    </w:p>
    <w:p w14:paraId="341D53B9" w14:textId="7F6E3681" w:rsidR="00602B4D" w:rsidRPr="006C0424" w:rsidRDefault="00602B4D" w:rsidP="006C0424">
      <w:pPr>
        <w:pStyle w:val="Heading3"/>
      </w:pPr>
      <w:proofErr w:type="spellStart"/>
      <w:r w:rsidRPr="006C0424">
        <w:t>Utilisation</w:t>
      </w:r>
      <w:proofErr w:type="spellEnd"/>
      <w:r w:rsidRPr="006C0424">
        <w:t xml:space="preserve"> threshold</w:t>
      </w:r>
    </w:p>
    <w:p w14:paraId="56787C1D" w14:textId="16A7BC6E" w:rsidR="00602B4D" w:rsidRPr="00D954C3" w:rsidRDefault="00602B4D" w:rsidP="00212CAA">
      <w:pPr>
        <w:rPr>
          <w:rFonts w:cstheme="minorHAnsi"/>
        </w:rPr>
      </w:pPr>
      <w:r w:rsidRPr="00212CAA">
        <w:rPr>
          <w:rFonts w:cstheme="minorHAnsi"/>
          <w:lang w:eastAsia="en-US"/>
        </w:rPr>
        <w:t>NBN Co has also proposed a utilisation measurement threshold of 90</w:t>
      </w:r>
      <w:r w:rsidR="00666FAC">
        <w:rPr>
          <w:rFonts w:cstheme="minorHAnsi"/>
          <w:lang w:eastAsia="en-US"/>
        </w:rPr>
        <w:t>%</w:t>
      </w:r>
      <w:r w:rsidR="00F17240">
        <w:rPr>
          <w:rFonts w:cstheme="minorHAnsi"/>
          <w:lang w:eastAsia="en-US"/>
        </w:rPr>
        <w:t>,</w:t>
      </w:r>
      <w:r w:rsidRPr="00212CAA">
        <w:rPr>
          <w:rFonts w:cstheme="minorHAnsi"/>
          <w:lang w:eastAsia="en-US"/>
        </w:rPr>
        <w:t xml:space="preserve"> at a measurement timeframe of 30 continuous minutes on three separate days within a rolling 30-day period. </w:t>
      </w:r>
      <w:r w:rsidR="0042548B">
        <w:rPr>
          <w:rFonts w:cstheme="minorHAnsi"/>
          <w:lang w:eastAsia="en-US"/>
        </w:rPr>
        <w:t>Th</w:t>
      </w:r>
      <w:r w:rsidR="00E95EBC">
        <w:rPr>
          <w:rFonts w:cstheme="minorHAnsi"/>
          <w:lang w:eastAsia="en-US"/>
        </w:rPr>
        <w:t>e</w:t>
      </w:r>
      <w:r w:rsidR="00EC0683">
        <w:rPr>
          <w:rFonts w:cstheme="minorHAnsi"/>
          <w:lang w:eastAsia="en-US"/>
        </w:rPr>
        <w:t>re needs to be further consultation with consumers regarding the</w:t>
      </w:r>
      <w:r w:rsidR="00E95EBC">
        <w:rPr>
          <w:rFonts w:cstheme="minorHAnsi"/>
          <w:lang w:eastAsia="en-US"/>
        </w:rPr>
        <w:t xml:space="preserve"> </w:t>
      </w:r>
      <w:r w:rsidR="00EC0683">
        <w:rPr>
          <w:rFonts w:cstheme="minorHAnsi"/>
          <w:lang w:eastAsia="en-US"/>
        </w:rPr>
        <w:t>trade-off</w:t>
      </w:r>
      <w:r w:rsidR="00E95EBC">
        <w:rPr>
          <w:rFonts w:cstheme="minorHAnsi"/>
          <w:lang w:eastAsia="en-US"/>
        </w:rPr>
        <w:t xml:space="preserve"> between provisioning enough capacity to ensure </w:t>
      </w:r>
      <w:r w:rsidR="000A453D">
        <w:rPr>
          <w:rFonts w:cstheme="minorHAnsi"/>
          <w:lang w:eastAsia="en-US"/>
        </w:rPr>
        <w:t>high quality service yet not over-investing in the network</w:t>
      </w:r>
      <w:r w:rsidR="00F87B6D">
        <w:rPr>
          <w:rFonts w:cstheme="minorHAnsi"/>
          <w:lang w:eastAsia="en-US"/>
        </w:rPr>
        <w:t xml:space="preserve">, </w:t>
      </w:r>
      <w:r w:rsidR="00EC0683">
        <w:rPr>
          <w:rFonts w:cstheme="minorHAnsi"/>
          <w:lang w:eastAsia="en-US"/>
        </w:rPr>
        <w:t>result</w:t>
      </w:r>
      <w:r w:rsidR="00F87B6D">
        <w:rPr>
          <w:rFonts w:cstheme="minorHAnsi"/>
          <w:lang w:eastAsia="en-US"/>
        </w:rPr>
        <w:t>ing</w:t>
      </w:r>
      <w:r w:rsidR="00EC0683">
        <w:rPr>
          <w:rFonts w:cstheme="minorHAnsi"/>
          <w:lang w:eastAsia="en-US"/>
        </w:rPr>
        <w:t xml:space="preserve"> in higher prices. </w:t>
      </w:r>
      <w:r w:rsidR="009932C1">
        <w:rPr>
          <w:rFonts w:cstheme="minorHAnsi"/>
          <w:lang w:eastAsia="en-US"/>
        </w:rPr>
        <w:t>The appropriate utilisation management threshold should be set in close consultation with consumers</w:t>
      </w:r>
      <w:r w:rsidR="00362932">
        <w:rPr>
          <w:rFonts w:cstheme="minorHAnsi"/>
          <w:lang w:eastAsia="en-US"/>
        </w:rPr>
        <w:t>, including examination of the cost implications of alternative measures</w:t>
      </w:r>
      <w:r w:rsidR="006B2B8F">
        <w:rPr>
          <w:rFonts w:cstheme="minorHAnsi"/>
          <w:lang w:eastAsia="en-US"/>
        </w:rPr>
        <w:t>.</w:t>
      </w:r>
      <w:r w:rsidR="00E10675">
        <w:rPr>
          <w:rFonts w:cstheme="minorHAnsi"/>
          <w:lang w:eastAsia="en-US"/>
        </w:rPr>
        <w:t xml:space="preserve"> </w:t>
      </w:r>
      <w:r w:rsidR="00362932">
        <w:rPr>
          <w:rFonts w:cstheme="minorHAnsi"/>
          <w:lang w:eastAsia="en-US"/>
        </w:rPr>
        <w:t xml:space="preserve">Following this, </w:t>
      </w:r>
      <w:r w:rsidR="00F87B6D">
        <w:rPr>
          <w:rFonts w:cstheme="minorHAnsi"/>
          <w:lang w:eastAsia="en-US"/>
        </w:rPr>
        <w:t xml:space="preserve">NBN Co </w:t>
      </w:r>
      <w:r w:rsidR="006B2B8F">
        <w:rPr>
          <w:rFonts w:cstheme="minorHAnsi"/>
          <w:lang w:eastAsia="en-US"/>
        </w:rPr>
        <w:t>should provide</w:t>
      </w:r>
      <w:r w:rsidR="00F87B6D">
        <w:rPr>
          <w:rFonts w:cstheme="minorHAnsi"/>
          <w:lang w:eastAsia="en-US"/>
        </w:rPr>
        <w:t xml:space="preserve"> detail</w:t>
      </w:r>
      <w:r w:rsidR="006B2B8F">
        <w:rPr>
          <w:rFonts w:cstheme="minorHAnsi"/>
          <w:lang w:eastAsia="en-US"/>
        </w:rPr>
        <w:t>ed</w:t>
      </w:r>
      <w:r w:rsidR="00F87B6D">
        <w:rPr>
          <w:rFonts w:cstheme="minorHAnsi"/>
          <w:lang w:eastAsia="en-US"/>
        </w:rPr>
        <w:t xml:space="preserve"> expl</w:t>
      </w:r>
      <w:r w:rsidR="0033242E">
        <w:rPr>
          <w:rFonts w:cstheme="minorHAnsi"/>
          <w:lang w:eastAsia="en-US"/>
        </w:rPr>
        <w:t xml:space="preserve">anation </w:t>
      </w:r>
      <w:r w:rsidR="00E10675">
        <w:rPr>
          <w:rFonts w:cstheme="minorHAnsi"/>
          <w:lang w:eastAsia="en-US"/>
        </w:rPr>
        <w:t xml:space="preserve">of </w:t>
      </w:r>
      <w:r w:rsidR="006B2B8F">
        <w:rPr>
          <w:rFonts w:cstheme="minorHAnsi"/>
          <w:lang w:eastAsia="en-US"/>
        </w:rPr>
        <w:t>how</w:t>
      </w:r>
      <w:r w:rsidR="00E10675">
        <w:rPr>
          <w:rFonts w:cstheme="minorHAnsi"/>
          <w:lang w:eastAsia="en-US"/>
        </w:rPr>
        <w:t xml:space="preserve"> </w:t>
      </w:r>
      <w:r w:rsidR="00A50FC3">
        <w:rPr>
          <w:rFonts w:cstheme="minorHAnsi"/>
          <w:lang w:eastAsia="en-US"/>
        </w:rPr>
        <w:t>the utilisation measurement threshold meets consumer expectations</w:t>
      </w:r>
      <w:r w:rsidR="00362932">
        <w:rPr>
          <w:rFonts w:cstheme="minorHAnsi"/>
          <w:lang w:eastAsia="en-US"/>
        </w:rPr>
        <w:t>.</w:t>
      </w:r>
    </w:p>
    <w:p w14:paraId="586F9DF6" w14:textId="33267B15" w:rsidR="00CE3EF0" w:rsidRPr="006C0424" w:rsidRDefault="00CE3EF0" w:rsidP="006C0424">
      <w:pPr>
        <w:pStyle w:val="Heading3"/>
      </w:pPr>
      <w:r w:rsidRPr="006C0424">
        <w:t>Additional comments</w:t>
      </w:r>
    </w:p>
    <w:p w14:paraId="25277647" w14:textId="28EBB8D7" w:rsidR="00CE3EF0" w:rsidRPr="00CE3EF0" w:rsidRDefault="00CE3EF0" w:rsidP="00CE3EF0">
      <w:pPr>
        <w:rPr>
          <w:lang w:eastAsia="en-US"/>
        </w:rPr>
      </w:pPr>
      <w:r>
        <w:rPr>
          <w:lang w:eastAsia="en-US"/>
        </w:rPr>
        <w:t xml:space="preserve">The ACCC </w:t>
      </w:r>
      <w:r w:rsidR="009744A3">
        <w:rPr>
          <w:lang w:eastAsia="en-US"/>
        </w:rPr>
        <w:t xml:space="preserve">notes that some of the definitions of capitalised terms have the meaning given to them in the standard form of access agreement as </w:t>
      </w:r>
      <w:r w:rsidR="00952871">
        <w:rPr>
          <w:lang w:eastAsia="en-US"/>
        </w:rPr>
        <w:t>of</w:t>
      </w:r>
      <w:r w:rsidR="009744A3">
        <w:rPr>
          <w:lang w:eastAsia="en-US"/>
        </w:rPr>
        <w:t xml:space="preserve"> 22 November 2022</w:t>
      </w:r>
      <w:r w:rsidR="00117218">
        <w:rPr>
          <w:lang w:eastAsia="en-US"/>
        </w:rPr>
        <w:t xml:space="preserve">. The SAU should work as a </w:t>
      </w:r>
      <w:r w:rsidR="00A50FC3">
        <w:rPr>
          <w:lang w:eastAsia="en-US"/>
        </w:rPr>
        <w:t>stand-alone</w:t>
      </w:r>
      <w:r w:rsidR="00117218">
        <w:rPr>
          <w:lang w:eastAsia="en-US"/>
        </w:rPr>
        <w:t xml:space="preserve"> document, and therefore there would be benefit in having </w:t>
      </w:r>
      <w:r w:rsidR="004A4DAC">
        <w:rPr>
          <w:lang w:eastAsia="en-US"/>
        </w:rPr>
        <w:t xml:space="preserve">the benchmark service standards determined in a standalone document. </w:t>
      </w:r>
    </w:p>
    <w:p w14:paraId="692B3AE2" w14:textId="45EE0651" w:rsidR="00CE020A" w:rsidRPr="00D954C3" w:rsidRDefault="00CE020A" w:rsidP="00CE020A">
      <w:pPr>
        <w:pStyle w:val="Heading1"/>
        <w:rPr>
          <w:lang w:eastAsia="en-US"/>
        </w:rPr>
      </w:pPr>
      <w:bookmarkStart w:id="33" w:name="_Toc126914094"/>
      <w:bookmarkStart w:id="34" w:name="_Toc127353167"/>
      <w:r w:rsidRPr="00D954C3">
        <w:rPr>
          <w:lang w:eastAsia="en-US"/>
        </w:rPr>
        <w:t>Reporting</w:t>
      </w:r>
      <w:bookmarkEnd w:id="33"/>
      <w:bookmarkEnd w:id="34"/>
      <w:r w:rsidRPr="00D954C3">
        <w:rPr>
          <w:lang w:eastAsia="en-US"/>
        </w:rPr>
        <w:t xml:space="preserve"> </w:t>
      </w:r>
    </w:p>
    <w:p w14:paraId="7F50A2B1" w14:textId="3089E0FC" w:rsidR="0022051D" w:rsidRDefault="00024218" w:rsidP="001851E4">
      <w:pPr>
        <w:rPr>
          <w:lang w:eastAsia="en-US"/>
        </w:rPr>
      </w:pPr>
      <w:r>
        <w:rPr>
          <w:lang w:eastAsia="en-US"/>
        </w:rPr>
        <w:t>NBN</w:t>
      </w:r>
      <w:r w:rsidR="00317523">
        <w:rPr>
          <w:lang w:eastAsia="en-US"/>
        </w:rPr>
        <w:t xml:space="preserve"> Co</w:t>
      </w:r>
      <w:r>
        <w:rPr>
          <w:lang w:eastAsia="en-US"/>
        </w:rPr>
        <w:t xml:space="preserve"> has proposed to introduce </w:t>
      </w:r>
      <w:r w:rsidR="00180276">
        <w:rPr>
          <w:lang w:eastAsia="en-US"/>
        </w:rPr>
        <w:t>p</w:t>
      </w:r>
      <w:r>
        <w:rPr>
          <w:lang w:eastAsia="en-US"/>
        </w:rPr>
        <w:t xml:space="preserve">erformance </w:t>
      </w:r>
      <w:r w:rsidR="00180276">
        <w:rPr>
          <w:lang w:eastAsia="en-US"/>
        </w:rPr>
        <w:t>r</w:t>
      </w:r>
      <w:r>
        <w:rPr>
          <w:lang w:eastAsia="en-US"/>
        </w:rPr>
        <w:t>eports</w:t>
      </w:r>
      <w:r w:rsidR="00385E23">
        <w:rPr>
          <w:lang w:eastAsia="en-US"/>
        </w:rPr>
        <w:t xml:space="preserve"> (to include </w:t>
      </w:r>
      <w:r w:rsidR="00B552A2">
        <w:rPr>
          <w:lang w:eastAsia="en-US"/>
        </w:rPr>
        <w:t xml:space="preserve">NBN Co’s </w:t>
      </w:r>
      <w:r w:rsidR="00385E23">
        <w:rPr>
          <w:lang w:eastAsia="en-US"/>
        </w:rPr>
        <w:t>activity and network availability)</w:t>
      </w:r>
      <w:r w:rsidR="0063474D">
        <w:rPr>
          <w:lang w:eastAsia="en-US"/>
        </w:rPr>
        <w:t xml:space="preserve">, </w:t>
      </w:r>
      <w:r w:rsidR="00180276">
        <w:rPr>
          <w:lang w:eastAsia="en-US"/>
        </w:rPr>
        <w:t>u</w:t>
      </w:r>
      <w:r>
        <w:rPr>
          <w:lang w:eastAsia="en-US"/>
        </w:rPr>
        <w:t xml:space="preserve">tilisation </w:t>
      </w:r>
      <w:r w:rsidR="00180276">
        <w:rPr>
          <w:lang w:eastAsia="en-US"/>
        </w:rPr>
        <w:t>t</w:t>
      </w:r>
      <w:r>
        <w:rPr>
          <w:lang w:eastAsia="en-US"/>
        </w:rPr>
        <w:t>hreshold</w:t>
      </w:r>
      <w:r w:rsidDel="000C7B21">
        <w:rPr>
          <w:lang w:eastAsia="en-US"/>
        </w:rPr>
        <w:t xml:space="preserve"> </w:t>
      </w:r>
      <w:r w:rsidR="000C7B21">
        <w:rPr>
          <w:lang w:eastAsia="en-US"/>
        </w:rPr>
        <w:t xml:space="preserve">reports </w:t>
      </w:r>
      <w:r w:rsidR="00D614D3">
        <w:rPr>
          <w:lang w:eastAsia="en-US"/>
        </w:rPr>
        <w:t xml:space="preserve">and operational reporting, including supplementary service level reporting, wireless network performance reporting and line rate and information rate reporting for ordered products for FTTB/N/C networks. </w:t>
      </w:r>
      <w:r w:rsidR="00AD5D58">
        <w:rPr>
          <w:lang w:eastAsia="en-US"/>
        </w:rPr>
        <w:t>W</w:t>
      </w:r>
      <w:r w:rsidR="004B35CE">
        <w:rPr>
          <w:lang w:eastAsia="en-US"/>
        </w:rPr>
        <w:t xml:space="preserve">e note that </w:t>
      </w:r>
      <w:r w:rsidR="00E561DA">
        <w:rPr>
          <w:lang w:eastAsia="en-US"/>
        </w:rPr>
        <w:t>performance reports</w:t>
      </w:r>
      <w:r w:rsidR="0022051D">
        <w:rPr>
          <w:lang w:eastAsia="en-US"/>
        </w:rPr>
        <w:t xml:space="preserve"> and any </w:t>
      </w:r>
      <w:r w:rsidR="00E561DA">
        <w:rPr>
          <w:lang w:eastAsia="en-US"/>
        </w:rPr>
        <w:t xml:space="preserve">measurement and monitoring information produced by </w:t>
      </w:r>
      <w:r w:rsidR="0022051D">
        <w:rPr>
          <w:lang w:eastAsia="en-US"/>
        </w:rPr>
        <w:t>NBN Co</w:t>
      </w:r>
      <w:r w:rsidR="00E561DA">
        <w:rPr>
          <w:lang w:eastAsia="en-US"/>
        </w:rPr>
        <w:t xml:space="preserve"> are confidential information of </w:t>
      </w:r>
      <w:r w:rsidR="00616B1E">
        <w:rPr>
          <w:lang w:eastAsia="en-US"/>
        </w:rPr>
        <w:t xml:space="preserve">NBN Co </w:t>
      </w:r>
      <w:r w:rsidR="00AD5D58">
        <w:rPr>
          <w:lang w:eastAsia="en-US"/>
        </w:rPr>
        <w:t>and will only be provided to RSPs</w:t>
      </w:r>
      <w:r w:rsidR="00E561DA">
        <w:rPr>
          <w:lang w:eastAsia="en-US"/>
        </w:rPr>
        <w:t>.</w:t>
      </w:r>
      <w:r w:rsidR="00E561DA">
        <w:rPr>
          <w:rStyle w:val="FootnoteReference"/>
          <w:lang w:eastAsia="en-US"/>
        </w:rPr>
        <w:footnoteReference w:id="16"/>
      </w:r>
      <w:r w:rsidR="007C2CA0">
        <w:rPr>
          <w:lang w:eastAsia="en-US"/>
        </w:rPr>
        <w:t xml:space="preserve"> </w:t>
      </w:r>
      <w:r w:rsidR="004445B6">
        <w:rPr>
          <w:lang w:eastAsia="en-US"/>
        </w:rPr>
        <w:t>ACCAN recommend</w:t>
      </w:r>
      <w:r w:rsidR="00AD5D58">
        <w:rPr>
          <w:lang w:eastAsia="en-US"/>
        </w:rPr>
        <w:t>s</w:t>
      </w:r>
      <w:r w:rsidR="004445B6">
        <w:rPr>
          <w:lang w:eastAsia="en-US"/>
        </w:rPr>
        <w:t xml:space="preserve"> that NBN Co publish this information.</w:t>
      </w:r>
    </w:p>
    <w:p w14:paraId="00C85122" w14:textId="353F6089" w:rsidR="00DA0C2E" w:rsidRDefault="00F11D55" w:rsidP="001851E4">
      <w:pPr>
        <w:rPr>
          <w:lang w:eastAsia="en-US"/>
        </w:rPr>
      </w:pPr>
      <w:r>
        <w:rPr>
          <w:lang w:eastAsia="en-US"/>
        </w:rPr>
        <w:t>ACCAN’s preference</w:t>
      </w:r>
      <w:r w:rsidR="00DA0C2E">
        <w:rPr>
          <w:lang w:eastAsia="en-US"/>
        </w:rPr>
        <w:t xml:space="preserve"> is</w:t>
      </w:r>
      <w:r>
        <w:rPr>
          <w:lang w:eastAsia="en-US"/>
        </w:rPr>
        <w:t xml:space="preserve"> that</w:t>
      </w:r>
      <w:r w:rsidR="00C90265">
        <w:rPr>
          <w:lang w:eastAsia="en-US"/>
        </w:rPr>
        <w:t xml:space="preserve"> reporting relating to service performance is</w:t>
      </w:r>
      <w:r w:rsidR="008F71C9">
        <w:rPr>
          <w:lang w:eastAsia="en-US"/>
        </w:rPr>
        <w:t xml:space="preserve"> done through a record keeping rule rather than be included in the SAU. </w:t>
      </w:r>
      <w:r w:rsidR="00815AB2">
        <w:rPr>
          <w:lang w:eastAsia="en-US"/>
        </w:rPr>
        <w:t xml:space="preserve">This will allow for greater flexibility so that the reporting can adapt as benchmark service standards develop over the lifetime of the SAU. </w:t>
      </w:r>
      <w:r w:rsidR="007C2CA0">
        <w:rPr>
          <w:lang w:eastAsia="en-US"/>
        </w:rPr>
        <w:t xml:space="preserve">We encourage the ACCC to publish all information collected through the record keeping rule to allow for greater accountability and public scrutiny. </w:t>
      </w:r>
    </w:p>
    <w:p w14:paraId="1DC71DA5" w14:textId="7AA6EC04" w:rsidR="008818C9" w:rsidRDefault="008818C9" w:rsidP="001851E4">
      <w:pPr>
        <w:rPr>
          <w:lang w:eastAsia="en-US"/>
        </w:rPr>
      </w:pPr>
      <w:r>
        <w:rPr>
          <w:lang w:eastAsia="en-US"/>
        </w:rPr>
        <w:t>For more information regarding ACCAN’s position on NBN’s service performance reporting, see our submission to ACCC</w:t>
      </w:r>
      <w:r w:rsidR="00521487">
        <w:rPr>
          <w:lang w:eastAsia="en-US"/>
        </w:rPr>
        <w:t>’s</w:t>
      </w:r>
      <w:r>
        <w:rPr>
          <w:lang w:eastAsia="en-US"/>
        </w:rPr>
        <w:t xml:space="preserve"> </w:t>
      </w:r>
      <w:r w:rsidR="00521487">
        <w:rPr>
          <w:lang w:eastAsia="en-US"/>
        </w:rPr>
        <w:t xml:space="preserve">record keeping rule - </w:t>
      </w:r>
      <w:r>
        <w:rPr>
          <w:lang w:eastAsia="en-US"/>
        </w:rPr>
        <w:t>NBN Service Performance</w:t>
      </w:r>
      <w:r w:rsidR="00521487">
        <w:rPr>
          <w:lang w:eastAsia="en-US"/>
        </w:rPr>
        <w:t xml:space="preserve"> consultation</w:t>
      </w:r>
      <w:r>
        <w:rPr>
          <w:lang w:eastAsia="en-US"/>
        </w:rPr>
        <w:t>.</w:t>
      </w:r>
      <w:r w:rsidR="00616B1E">
        <w:rPr>
          <w:rStyle w:val="FootnoteReference"/>
          <w:lang w:eastAsia="en-US"/>
        </w:rPr>
        <w:footnoteReference w:id="17"/>
      </w:r>
      <w:r>
        <w:rPr>
          <w:lang w:eastAsia="en-US"/>
        </w:rPr>
        <w:t xml:space="preserve"> </w:t>
      </w:r>
    </w:p>
    <w:p w14:paraId="1E10E16A" w14:textId="57653EF7" w:rsidR="00217CD5" w:rsidRDefault="00CE020A" w:rsidP="00A44BD6">
      <w:pPr>
        <w:pStyle w:val="Heading1"/>
      </w:pPr>
      <w:bookmarkStart w:id="35" w:name="_Toc127353168"/>
      <w:bookmarkStart w:id="36" w:name="_Toc126914095"/>
      <w:r w:rsidRPr="00D954C3">
        <w:rPr>
          <w:lang w:eastAsia="en-US"/>
        </w:rPr>
        <w:t xml:space="preserve">ACCC </w:t>
      </w:r>
      <w:r w:rsidR="00794385">
        <w:rPr>
          <w:lang w:eastAsia="en-US"/>
        </w:rPr>
        <w:t>F</w:t>
      </w:r>
      <w:r w:rsidRPr="00D954C3">
        <w:rPr>
          <w:lang w:eastAsia="en-US"/>
        </w:rPr>
        <w:t xml:space="preserve">unctions and </w:t>
      </w:r>
      <w:r w:rsidR="00794385">
        <w:rPr>
          <w:lang w:eastAsia="en-US"/>
        </w:rPr>
        <w:t>P</w:t>
      </w:r>
      <w:r w:rsidRPr="00D954C3">
        <w:rPr>
          <w:lang w:eastAsia="en-US"/>
        </w:rPr>
        <w:t>owers</w:t>
      </w:r>
      <w:bookmarkEnd w:id="35"/>
      <w:r w:rsidR="008B3C0C" w:rsidRPr="00D954C3">
        <w:rPr>
          <w:lang w:eastAsia="en-US"/>
        </w:rPr>
        <w:t xml:space="preserve"> </w:t>
      </w:r>
      <w:bookmarkEnd w:id="36"/>
    </w:p>
    <w:p w14:paraId="29D7A5DC" w14:textId="3969996E" w:rsidR="00217CD5" w:rsidRDefault="00921040" w:rsidP="00EE367F">
      <w:r>
        <w:t xml:space="preserve">ACCAN supports the </w:t>
      </w:r>
      <w:r w:rsidR="00217CD5">
        <w:t xml:space="preserve">proposed </w:t>
      </w:r>
      <w:r>
        <w:t>increase</w:t>
      </w:r>
      <w:r w:rsidR="00217CD5">
        <w:t xml:space="preserve"> in the </w:t>
      </w:r>
      <w:r>
        <w:t>array of functions and powers which the SAU variation provides the ACCC</w:t>
      </w:r>
      <w:r w:rsidR="00976EAF">
        <w:t xml:space="preserve">. </w:t>
      </w:r>
      <w:r w:rsidR="002A0A3F">
        <w:t>W</w:t>
      </w:r>
      <w:r w:rsidR="00976EAF">
        <w:t>e welcome</w:t>
      </w:r>
      <w:r w:rsidR="00217CD5">
        <w:t xml:space="preserve"> the ACCC’s power to:</w:t>
      </w:r>
      <w:r w:rsidR="00976EAF">
        <w:t xml:space="preserve"> </w:t>
      </w:r>
    </w:p>
    <w:p w14:paraId="1FE10CF0" w14:textId="43398858" w:rsidR="00217CD5" w:rsidRDefault="00217CD5" w:rsidP="006C0424">
      <w:pPr>
        <w:pStyle w:val="Bulletlist1"/>
      </w:pPr>
      <w:r>
        <w:t>assess</w:t>
      </w:r>
      <w:r w:rsidR="00976EAF">
        <w:t xml:space="preserve"> </w:t>
      </w:r>
      <w:r w:rsidR="00F00DAC">
        <w:t>RMAs</w:t>
      </w:r>
      <w:r w:rsidR="00976EAF">
        <w:t xml:space="preserve"> and </w:t>
      </w:r>
      <w:r w:rsidR="006C2FE0">
        <w:t xml:space="preserve">ability to determine </w:t>
      </w:r>
      <w:proofErr w:type="gramStart"/>
      <w:r w:rsidR="00F00DAC">
        <w:t>RMDs</w:t>
      </w:r>
      <w:proofErr w:type="gramEnd"/>
    </w:p>
    <w:p w14:paraId="117EC20A" w14:textId="446ACF9F" w:rsidR="00217CD5" w:rsidRDefault="006C2FE0" w:rsidP="006C0424">
      <w:pPr>
        <w:pStyle w:val="Bulletlist1"/>
      </w:pPr>
      <w:r>
        <w:t>review cost pass</w:t>
      </w:r>
      <w:r w:rsidR="006943A9">
        <w:t>-</w:t>
      </w:r>
      <w:r>
        <w:t xml:space="preserve">through </w:t>
      </w:r>
      <w:proofErr w:type="gramStart"/>
      <w:r>
        <w:t>applications</w:t>
      </w:r>
      <w:proofErr w:type="gramEnd"/>
    </w:p>
    <w:p w14:paraId="348E52B7" w14:textId="614AF84A" w:rsidR="00217CD5" w:rsidRDefault="00F00DAC" w:rsidP="006C0424">
      <w:pPr>
        <w:pStyle w:val="Bulletlist1"/>
      </w:pPr>
      <w:r>
        <w:t>categoris</w:t>
      </w:r>
      <w:r w:rsidR="00217CD5">
        <w:t>e</w:t>
      </w:r>
      <w:r w:rsidR="006C2FE0">
        <w:t xml:space="preserve"> core and non-core </w:t>
      </w:r>
      <w:proofErr w:type="gramStart"/>
      <w:r w:rsidR="00217CD5">
        <w:t>services</w:t>
      </w:r>
      <w:proofErr w:type="gramEnd"/>
      <w:r w:rsidR="00217CD5">
        <w:t xml:space="preserve"> </w:t>
      </w:r>
    </w:p>
    <w:p w14:paraId="3AF32ABB" w14:textId="3CAC8609" w:rsidR="00217CD5" w:rsidRDefault="00217CD5" w:rsidP="006C0424">
      <w:pPr>
        <w:pStyle w:val="Bulletlist1"/>
      </w:pPr>
      <w:r>
        <w:t xml:space="preserve">determine the CAM and </w:t>
      </w:r>
      <w:r w:rsidR="006C2FE0">
        <w:t xml:space="preserve">associated accounting </w:t>
      </w:r>
      <w:proofErr w:type="gramStart"/>
      <w:r w:rsidR="006C2FE0">
        <w:t>measures</w:t>
      </w:r>
      <w:proofErr w:type="gramEnd"/>
    </w:p>
    <w:p w14:paraId="0708AF29" w14:textId="7E537412" w:rsidR="00EE367F" w:rsidRDefault="006C2FE0" w:rsidP="006C0424">
      <w:pPr>
        <w:pStyle w:val="Bulletlist1"/>
      </w:pPr>
      <w:r>
        <w:t>set minimum benchmark service standards</w:t>
      </w:r>
      <w:r w:rsidR="00B6122A">
        <w:t>.</w:t>
      </w:r>
    </w:p>
    <w:p w14:paraId="4E3BFE83" w14:textId="24A7874B" w:rsidR="007C3547" w:rsidRDefault="00D9110E" w:rsidP="00EE367F">
      <w:r>
        <w:t xml:space="preserve">ACCAN considers that the ACCC’s proposed approach to assessing the sufficiency and effectiveness of the proposed </w:t>
      </w:r>
      <w:r w:rsidR="007D3B47">
        <w:t>functions and powers is appropriate.</w:t>
      </w:r>
      <w:r w:rsidR="00217CD5">
        <w:t xml:space="preserve"> We agree that the matters specified by the ACCC </w:t>
      </w:r>
      <w:r w:rsidR="00B77ABB">
        <w:t>are</w:t>
      </w:r>
      <w:r w:rsidR="00217CD5">
        <w:t xml:space="preserve"> relevant considerations, including </w:t>
      </w:r>
      <w:r w:rsidR="008041CB">
        <w:t>the ability for functions and powers to deal with unanticipated situations,</w:t>
      </w:r>
      <w:r w:rsidR="00D06874">
        <w:t xml:space="preserve"> </w:t>
      </w:r>
      <w:r w:rsidR="0089025D">
        <w:t xml:space="preserve">the need </w:t>
      </w:r>
      <w:r w:rsidR="0011356F">
        <w:t>for powers to review effectiveness of controls</w:t>
      </w:r>
      <w:r w:rsidR="00897C24">
        <w:t xml:space="preserve">, </w:t>
      </w:r>
      <w:r w:rsidR="004633A8">
        <w:t>the</w:t>
      </w:r>
      <w:r w:rsidR="00897C24">
        <w:t xml:space="preserve"> need for </w:t>
      </w:r>
      <w:r w:rsidR="004633A8">
        <w:t xml:space="preserve">any additional </w:t>
      </w:r>
      <w:r w:rsidR="00897C24">
        <w:t>functions and powers to promote LTIE</w:t>
      </w:r>
      <w:r w:rsidR="004633A8">
        <w:t xml:space="preserve"> as well as the</w:t>
      </w:r>
      <w:r w:rsidR="00525967">
        <w:t xml:space="preserve"> reasonableness </w:t>
      </w:r>
      <w:r w:rsidR="004633A8">
        <w:t xml:space="preserve">and </w:t>
      </w:r>
      <w:r w:rsidR="00525967">
        <w:t>clarity of the powers and functions</w:t>
      </w:r>
      <w:r w:rsidR="00B77ABB">
        <w:t>.</w:t>
      </w:r>
      <w:r w:rsidR="0058798F">
        <w:rPr>
          <w:rStyle w:val="FootnoteReference"/>
        </w:rPr>
        <w:footnoteReference w:id="18"/>
      </w:r>
    </w:p>
    <w:p w14:paraId="25226667" w14:textId="3E0625C8" w:rsidR="00F3481E" w:rsidRDefault="007C3547" w:rsidP="00EE367F">
      <w:r>
        <w:t xml:space="preserve">ACCAN </w:t>
      </w:r>
      <w:r w:rsidR="0058798F">
        <w:t xml:space="preserve">recommends the SAU </w:t>
      </w:r>
      <w:r w:rsidR="00BF5312">
        <w:t xml:space="preserve">be </w:t>
      </w:r>
      <w:r>
        <w:t xml:space="preserve">redrafted to clarify and strengthen the powers of the ACCC. </w:t>
      </w:r>
      <w:proofErr w:type="gramStart"/>
      <w:r w:rsidR="00217CD5">
        <w:t>In particular we</w:t>
      </w:r>
      <w:proofErr w:type="gramEnd"/>
      <w:r w:rsidR="00217CD5">
        <w:t xml:space="preserve"> support the revision </w:t>
      </w:r>
      <w:r w:rsidR="00524506">
        <w:t xml:space="preserve">of the </w:t>
      </w:r>
      <w:r w:rsidR="00472DA7">
        <w:t>aspects</w:t>
      </w:r>
      <w:r w:rsidR="00217CD5">
        <w:t xml:space="preserve"> </w:t>
      </w:r>
      <w:r w:rsidR="00524506">
        <w:t xml:space="preserve">of the SAU </w:t>
      </w:r>
      <w:r w:rsidR="00217CD5">
        <w:t>that limit the powers of the ACC</w:t>
      </w:r>
      <w:r w:rsidR="001374C7">
        <w:t>C, including</w:t>
      </w:r>
      <w:r w:rsidR="00F3481E">
        <w:t>:</w:t>
      </w:r>
    </w:p>
    <w:p w14:paraId="1B79CE4C" w14:textId="343A1255" w:rsidR="001216C7" w:rsidRDefault="00D54EB3" w:rsidP="006C0424">
      <w:pPr>
        <w:pStyle w:val="Bulletlist1"/>
      </w:pPr>
      <w:r>
        <w:t>Clause</w:t>
      </w:r>
      <w:r w:rsidR="00472DA7">
        <w:t>s</w:t>
      </w:r>
      <w:r>
        <w:t xml:space="preserve"> 3A.1.2(b), 3B.3(c)</w:t>
      </w:r>
      <w:r w:rsidR="00472DA7">
        <w:t xml:space="preserve"> and</w:t>
      </w:r>
      <w:r>
        <w:t xml:space="preserve"> 2G.4.2(b)(</w:t>
      </w:r>
      <w:proofErr w:type="spellStart"/>
      <w:r>
        <w:t>i</w:t>
      </w:r>
      <w:proofErr w:type="spellEnd"/>
      <w:r>
        <w:t xml:space="preserve">)(A), which requires the ACCC, in setting NBN Co’s </w:t>
      </w:r>
      <w:r w:rsidR="00472DA7">
        <w:t>ABBRR</w:t>
      </w:r>
      <w:r>
        <w:t>, to provide NBN Co with the reasonable opportunity to achieve and maintain a stand-alone investment grade credit rating, should be removed from the SAU.</w:t>
      </w:r>
    </w:p>
    <w:p w14:paraId="7AFCA1A5" w14:textId="77777777" w:rsidR="001F17F7" w:rsidRDefault="001F17F7" w:rsidP="006C0424">
      <w:pPr>
        <w:pStyle w:val="Bulletlist1"/>
      </w:pPr>
      <w:r w:rsidRPr="001F17F7">
        <w:t xml:space="preserve">Clause A3.1.2, which outlines the process for the ACCC to provide NBN Co with a Statement of Approach, should be amended so that the ACCC is required to provide the Statement of Approach within a minimum of 180 days prior to NBN Co lodging their replacement module application. </w:t>
      </w:r>
    </w:p>
    <w:p w14:paraId="4941807E" w14:textId="77777777" w:rsidR="00851BBB" w:rsidRPr="00851BBB" w:rsidRDefault="00851BBB" w:rsidP="006C0424">
      <w:pPr>
        <w:pStyle w:val="Bulletlist1"/>
      </w:pPr>
      <w:r w:rsidRPr="00851BBB">
        <w:t xml:space="preserve">Clause 1I.5.4, which specifies the process regarding product withdrawal required by law or directed by Shareholder Ministers should be amended to remove any reference to Shareholder Ministers. </w:t>
      </w:r>
    </w:p>
    <w:p w14:paraId="0D001F7A" w14:textId="7F6F7B6D" w:rsidR="00F707A9" w:rsidRPr="001F17F7" w:rsidRDefault="0029283A" w:rsidP="006C0424">
      <w:pPr>
        <w:pStyle w:val="Bulletlist1"/>
      </w:pPr>
      <w:r w:rsidRPr="0029283A">
        <w:t xml:space="preserve">The ACCC should consider the prudency and efficiency of the expenditure allowances made under the Telstra Arrangements and the Optus Arrangements for a given regulatory cycle. </w:t>
      </w:r>
    </w:p>
    <w:p w14:paraId="1F8B8558" w14:textId="38A4C4CC" w:rsidR="008235BE" w:rsidRPr="008235BE" w:rsidRDefault="008235BE" w:rsidP="006C0424">
      <w:pPr>
        <w:pStyle w:val="Bulletlist1"/>
      </w:pPr>
      <w:r w:rsidRPr="008235BE">
        <w:t xml:space="preserve">For the SAU to be amended such that </w:t>
      </w:r>
      <w:proofErr w:type="gramStart"/>
      <w:r w:rsidRPr="008235BE">
        <w:t>it is clear that the</w:t>
      </w:r>
      <w:proofErr w:type="gramEnd"/>
      <w:r w:rsidRPr="008235BE">
        <w:t xml:space="preserve"> ACCC has the power to initiate a mid-regulatory cycle review of benchmark service standards post</w:t>
      </w:r>
      <w:r w:rsidR="00C84B8B">
        <w:t>-</w:t>
      </w:r>
      <w:r w:rsidRPr="008235BE">
        <w:t xml:space="preserve">2032. </w:t>
      </w:r>
    </w:p>
    <w:p w14:paraId="0FB4AAC9" w14:textId="77777777" w:rsidR="00C7117C" w:rsidRPr="00C7117C" w:rsidRDefault="00C7117C" w:rsidP="006C0424">
      <w:pPr>
        <w:pStyle w:val="Bulletlist1"/>
      </w:pPr>
      <w:r w:rsidRPr="00C7117C">
        <w:t xml:space="preserve">For the SAU to provide an opportunity for the ACCC to develop an incentive scheme framework in the future. </w:t>
      </w:r>
    </w:p>
    <w:p w14:paraId="101E1959" w14:textId="312F181E" w:rsidR="00217CD5" w:rsidRDefault="00217CD5" w:rsidP="00EE367F">
      <w:r>
        <w:t xml:space="preserve">ACCAN considers that clause 6.4(b) should be revised to clarify that the ACCC has the right to disclose to a third party any information or document of NBN Co where reasonable notice is provided. While NBN Co has legitimate matters over which it is appropriate for it to claim confidentiality, we consider that public interest considerations in many instances will favour disclosure. Further, we note that claims of confidentiality may provide a mechanism through which NBN Co may otherwise </w:t>
      </w:r>
      <w:proofErr w:type="gramStart"/>
      <w:r>
        <w:t>have the ability to</w:t>
      </w:r>
      <w:proofErr w:type="gramEnd"/>
      <w:r>
        <w:t xml:space="preserve"> constrain legitimate scrutiny of its operations. </w:t>
      </w:r>
    </w:p>
    <w:p w14:paraId="780A788C" w14:textId="7AAC90E3" w:rsidR="00903442" w:rsidRDefault="00603F2C" w:rsidP="00212CAA">
      <w:pPr>
        <w:pStyle w:val="Recommendation"/>
      </w:pPr>
      <w:r>
        <w:t>For Clause 6.4(b)</w:t>
      </w:r>
      <w:r w:rsidR="00E779CA">
        <w:t>,</w:t>
      </w:r>
      <w:r>
        <w:t xml:space="preserve"> which </w:t>
      </w:r>
      <w:r w:rsidR="00E779CA">
        <w:t xml:space="preserve">provides NBN Co the opportunity to protect the confidentiality of any information or document that the ACCC has requested to disclose to a third party, </w:t>
      </w:r>
      <w:r>
        <w:t xml:space="preserve">to be revised to clarify that the ACCC has the right to disclose information to a third party </w:t>
      </w:r>
      <w:r w:rsidR="000346DF">
        <w:t>of NBN where reasonable notice is provided</w:t>
      </w:r>
      <w:r w:rsidR="00A05AE1">
        <w:t>,</w:t>
      </w:r>
      <w:r w:rsidR="000346DF">
        <w:t xml:space="preserve"> </w:t>
      </w:r>
      <w:r w:rsidR="00A05AE1">
        <w:t>and</w:t>
      </w:r>
      <w:r w:rsidR="000346DF">
        <w:t xml:space="preserve"> it is in the public interest to do so.</w:t>
      </w:r>
    </w:p>
    <w:p w14:paraId="20AD8B61" w14:textId="388014AD" w:rsidR="00A57A0D" w:rsidRPr="00F00E8D" w:rsidRDefault="00A57A0D" w:rsidP="00C07344">
      <w:pPr>
        <w:rPr>
          <w:lang w:eastAsia="en-US"/>
        </w:rPr>
      </w:pPr>
    </w:p>
    <w:sectPr w:rsidR="00A57A0D" w:rsidRPr="00F00E8D"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8EBF3" w14:textId="77777777" w:rsidR="006D386D" w:rsidRDefault="006D386D">
      <w:pPr>
        <w:spacing w:after="0" w:line="240" w:lineRule="auto"/>
      </w:pPr>
      <w:r>
        <w:separator/>
      </w:r>
    </w:p>
    <w:p w14:paraId="2AF0AA9C" w14:textId="77777777" w:rsidR="006D386D" w:rsidRDefault="006D386D"/>
  </w:endnote>
  <w:endnote w:type="continuationSeparator" w:id="0">
    <w:p w14:paraId="1215227F" w14:textId="77777777" w:rsidR="006D386D" w:rsidRDefault="006D386D">
      <w:pPr>
        <w:spacing w:after="0" w:line="240" w:lineRule="auto"/>
      </w:pPr>
      <w:r>
        <w:continuationSeparator/>
      </w:r>
    </w:p>
    <w:p w14:paraId="4FD92F89" w14:textId="77777777" w:rsidR="006D386D" w:rsidRDefault="006D386D"/>
  </w:endnote>
  <w:endnote w:type="continuationNotice" w:id="1">
    <w:p w14:paraId="08898C51" w14:textId="77777777" w:rsidR="006D386D" w:rsidRDefault="006D386D">
      <w:pPr>
        <w:spacing w:after="0" w:line="240" w:lineRule="auto"/>
      </w:pPr>
    </w:p>
    <w:p w14:paraId="1FD8B5D3" w14:textId="77777777" w:rsidR="006D386D" w:rsidRDefault="006D38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7686D571-9D83-4EED-97DA-F214F9110D8F}"/>
    <w:embedBold r:id="rId2" w:fontKey="{86AD4EEA-903F-4B5A-A925-41470FE2CB9B}"/>
    <w:embedItalic r:id="rId3" w:fontKey="{4387483B-93C8-4A23-9225-8C177DDD2E88}"/>
    <w:embedBoldItalic r:id="rId4" w:fontKey="{B2746B9F-AB38-46AC-8363-59E6317FEF4C}"/>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5E92177-3A44-49C3-AE55-9C33D6D99676}"/>
    <w:embedItalic r:id="rId6" w:fontKey="{902C7D12-2CD8-4417-852D-C53DC32125B2}"/>
  </w:font>
  <w:font w:name="Tahoma">
    <w:panose1 w:val="020B0604030504040204"/>
    <w:charset w:val="00"/>
    <w:family w:val="swiss"/>
    <w:pitch w:val="variable"/>
    <w:sig w:usb0="E1002EFF" w:usb1="C000605B" w:usb2="00000029" w:usb3="00000000" w:csb0="000101FF" w:csb1="00000000"/>
    <w:embedRegular r:id="rId7" w:fontKey="{7D0F5875-E7AB-4092-B1C0-766FD9979AC9}"/>
  </w:font>
  <w:font w:name="Gotham">
    <w:charset w:val="00"/>
    <w:family w:val="auto"/>
    <w:pitch w:val="variable"/>
    <w:sig w:usb0="800000A7" w:usb1="00000000" w:usb2="00000000" w:usb3="00000000" w:csb0="00000009" w:csb1="00000000"/>
    <w:embedBold r:id="rId8" w:fontKey="{037F34AF-406B-4844-B8C3-BA0F8F0FAC27}"/>
    <w:embedBoldItalic r:id="rId9" w:fontKey="{AF638D38-D7F8-4914-ADDD-45873215C48A}"/>
  </w:font>
  <w:font w:name="Trebuchet MS">
    <w:panose1 w:val="020B0603020202020204"/>
    <w:charset w:val="00"/>
    <w:family w:val="swiss"/>
    <w:pitch w:val="variable"/>
    <w:sig w:usb0="00000687" w:usb1="00000000" w:usb2="00000000" w:usb3="00000000" w:csb0="0000009F" w:csb1="00000000"/>
    <w:embedRegular r:id="rId10" w:fontKey="{FC822BCD-7512-4FDD-8138-BFC4A599D7B5}"/>
  </w:font>
  <w:font w:name="Gotham Black">
    <w:altName w:val="Calibri"/>
    <w:charset w:val="00"/>
    <w:family w:val="auto"/>
    <w:pitch w:val="variable"/>
    <w:sig w:usb0="A00000AF" w:usb1="40000048" w:usb2="00000000" w:usb3="00000000" w:csb0="00000111" w:csb1="00000000"/>
    <w:embedRegular r:id="rId11" w:fontKey="{E41D0F5E-EDF0-431E-85C0-C5BFC9486CB4}"/>
  </w:font>
  <w:font w:name="Segoe UI">
    <w:panose1 w:val="020B0502040204020203"/>
    <w:charset w:val="00"/>
    <w:family w:val="swiss"/>
    <w:pitch w:val="variable"/>
    <w:sig w:usb0="E4002EFF" w:usb1="C000E47F" w:usb2="00000009" w:usb3="00000000" w:csb0="000001FF" w:csb1="00000000"/>
    <w:embedRegular r:id="rId12" w:fontKey="{337EA516-918D-45D8-A4F0-90E82600EB4B}"/>
    <w:embedBoldItalic r:id="rId13" w:fontKey="{3B50ACEB-5039-4033-BD2A-5D7E05AB4F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2A74360" w14:textId="77777777" w:rsidR="00200982" w:rsidRPr="00962372" w:rsidRDefault="0088720C" w:rsidP="0088720C">
        <w:pPr>
          <w:jc w:val="right"/>
          <w:rPr>
            <w:rStyle w:val="Letterhead1Char"/>
          </w:rPr>
        </w:pPr>
        <w:r w:rsidRPr="00962372">
          <w:rPr>
            <w:rStyle w:val="Letterhead1Char"/>
          </w:rPr>
          <w:fldChar w:fldCharType="begin"/>
        </w:r>
        <w:r w:rsidRPr="00962372">
          <w:rPr>
            <w:rStyle w:val="Letterhead1Char"/>
          </w:rPr>
          <w:instrText xml:space="preserve"> PAGE   \* MERGEFORMAT </w:instrText>
        </w:r>
        <w:r w:rsidRPr="00962372">
          <w:rPr>
            <w:rStyle w:val="Letterhead1Char"/>
          </w:rPr>
          <w:fldChar w:fldCharType="separate"/>
        </w:r>
        <w:r w:rsidRPr="00962372">
          <w:rPr>
            <w:rStyle w:val="Letterhead1Char"/>
          </w:rPr>
          <w:t>1</w:t>
        </w:r>
        <w:r w:rsidRPr="00962372">
          <w:rPr>
            <w:rStyle w:val="Letterhead1Char"/>
          </w:rPr>
          <w:fldChar w:fldCharType="end"/>
        </w:r>
      </w:p>
    </w:sdtContent>
  </w:sdt>
  <w:p w14:paraId="65D07C8F" w14:textId="77777777" w:rsidR="00A75493" w:rsidRDefault="00A754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rPr>
        <w:noProof/>
      </w:rPr>
    </w:sdtEndPr>
    <w:sdtContent>
      <w:p w14:paraId="7131E958"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sdtContent>
  </w:sdt>
  <w:p w14:paraId="22D1BFD2"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652CE" w14:textId="77777777" w:rsidR="006D386D" w:rsidRDefault="006D386D">
      <w:pPr>
        <w:spacing w:after="0" w:line="240" w:lineRule="auto"/>
      </w:pPr>
      <w:r>
        <w:separator/>
      </w:r>
    </w:p>
    <w:p w14:paraId="6DD3ABA9" w14:textId="77777777" w:rsidR="006D386D" w:rsidRDefault="006D386D"/>
  </w:footnote>
  <w:footnote w:type="continuationSeparator" w:id="0">
    <w:p w14:paraId="38ECE1B7" w14:textId="77777777" w:rsidR="006D386D" w:rsidRDefault="006D386D">
      <w:pPr>
        <w:spacing w:after="0" w:line="240" w:lineRule="auto"/>
      </w:pPr>
      <w:r>
        <w:continuationSeparator/>
      </w:r>
    </w:p>
    <w:p w14:paraId="729C039E" w14:textId="77777777" w:rsidR="006D386D" w:rsidRDefault="006D386D"/>
  </w:footnote>
  <w:footnote w:type="continuationNotice" w:id="1">
    <w:p w14:paraId="4E0E59F8" w14:textId="77777777" w:rsidR="006D386D" w:rsidRDefault="006D386D">
      <w:pPr>
        <w:spacing w:after="0" w:line="240" w:lineRule="auto"/>
      </w:pPr>
    </w:p>
    <w:p w14:paraId="179E5CC2" w14:textId="77777777" w:rsidR="006D386D" w:rsidRDefault="006D386D"/>
  </w:footnote>
  <w:footnote w:id="2">
    <w:p w14:paraId="7BA155E7" w14:textId="7D0B1569" w:rsidR="00C148BC" w:rsidRPr="00C148BC" w:rsidRDefault="00C148BC">
      <w:pPr>
        <w:pStyle w:val="FootnoteText"/>
        <w:rPr>
          <w:lang w:val="en-US"/>
        </w:rPr>
      </w:pPr>
      <w:r>
        <w:rPr>
          <w:rStyle w:val="FootnoteReference"/>
        </w:rPr>
        <w:footnoteRef/>
      </w:r>
      <w:r>
        <w:t xml:space="preserve"> </w:t>
      </w:r>
      <w:r w:rsidR="00784FF7">
        <w:t xml:space="preserve">NBN Co, 2022, </w:t>
      </w:r>
      <w:r w:rsidR="00784FF7" w:rsidRPr="006C0424">
        <w:rPr>
          <w:i/>
        </w:rPr>
        <w:t xml:space="preserve">Variation to NBN Co </w:t>
      </w:r>
      <w:r w:rsidR="00910BC7" w:rsidRPr="006C0424">
        <w:rPr>
          <w:i/>
        </w:rPr>
        <w:t>Special Access Undertaking Variation</w:t>
      </w:r>
      <w:r w:rsidR="00B3589D">
        <w:t>,</w:t>
      </w:r>
      <w:r w:rsidR="00910BC7">
        <w:t xml:space="preserve"> clause </w:t>
      </w:r>
      <w:r>
        <w:rPr>
          <w:lang w:val="en-US"/>
        </w:rPr>
        <w:t>5.7(a)</w:t>
      </w:r>
      <w:r w:rsidR="00B72253">
        <w:rPr>
          <w:lang w:val="en-US"/>
        </w:rPr>
        <w:t>.</w:t>
      </w:r>
    </w:p>
  </w:footnote>
  <w:footnote w:id="3">
    <w:p w14:paraId="1A876B32" w14:textId="218FC884" w:rsidR="00F163E3" w:rsidRPr="002830D6" w:rsidRDefault="00F163E3" w:rsidP="00F163E3">
      <w:pPr>
        <w:pStyle w:val="FootnoteText"/>
        <w:rPr>
          <w:i/>
          <w:iCs/>
          <w:lang w:val="en-US"/>
        </w:rPr>
      </w:pPr>
      <w:r>
        <w:rPr>
          <w:rStyle w:val="FootnoteReference"/>
        </w:rPr>
        <w:footnoteRef/>
      </w:r>
      <w:r>
        <w:t xml:space="preserve"> </w:t>
      </w:r>
      <w:r w:rsidR="001264E9">
        <w:rPr>
          <w:lang w:val="en-US"/>
        </w:rPr>
        <w:t>AER</w:t>
      </w:r>
      <w:r>
        <w:rPr>
          <w:lang w:val="en-US"/>
        </w:rPr>
        <w:t xml:space="preserve">, 2021, </w:t>
      </w:r>
      <w:r>
        <w:rPr>
          <w:i/>
          <w:iCs/>
          <w:lang w:val="en-US"/>
        </w:rPr>
        <w:t>Better Resets Handbook Towards Consumer Centric Network Proposals</w:t>
      </w:r>
      <w:r w:rsidR="00266894">
        <w:rPr>
          <w:i/>
          <w:iCs/>
          <w:lang w:val="en-US"/>
        </w:rPr>
        <w:t>,</w:t>
      </w:r>
      <w:r w:rsidR="00ED587C">
        <w:rPr>
          <w:lang w:val="en-US"/>
        </w:rPr>
        <w:t xml:space="preserve"> </w:t>
      </w:r>
      <w:hyperlink r:id="rId1" w:history="1">
        <w:r w:rsidR="00ED587C" w:rsidRPr="00F0131C">
          <w:rPr>
            <w:rStyle w:val="Hyperlink"/>
            <w:lang w:val="en-US"/>
          </w:rPr>
          <w:t>www.aer.gov.au/system/files/Better%20Reset%20Handbook%20-%20December%202021.pdf</w:t>
        </w:r>
      </w:hyperlink>
      <w:r w:rsidR="00266894">
        <w:rPr>
          <w:lang w:val="en-US"/>
        </w:rPr>
        <w:t>.</w:t>
      </w:r>
      <w:r w:rsidR="00ED587C">
        <w:rPr>
          <w:i/>
          <w:lang w:val="en-US"/>
        </w:rPr>
        <w:t xml:space="preserve"> </w:t>
      </w:r>
    </w:p>
  </w:footnote>
  <w:footnote w:id="4">
    <w:p w14:paraId="338D76B7" w14:textId="2F44DF8F" w:rsidR="0027477B" w:rsidRPr="00212CAA" w:rsidRDefault="0027477B">
      <w:pPr>
        <w:pStyle w:val="FootnoteText"/>
        <w:rPr>
          <w:lang w:val="en-US"/>
        </w:rPr>
      </w:pPr>
      <w:r>
        <w:rPr>
          <w:rStyle w:val="FootnoteReference"/>
        </w:rPr>
        <w:footnoteRef/>
      </w:r>
      <w:r>
        <w:t xml:space="preserve"> </w:t>
      </w:r>
      <w:r w:rsidR="009E3B89">
        <w:rPr>
          <w:lang w:val="en-US"/>
        </w:rPr>
        <w:t>Notin</w:t>
      </w:r>
      <w:r w:rsidR="00110B94">
        <w:rPr>
          <w:lang w:val="en-US"/>
        </w:rPr>
        <w:t xml:space="preserve">g that </w:t>
      </w:r>
      <w:r w:rsidR="00143C75">
        <w:rPr>
          <w:lang w:val="en-US"/>
        </w:rPr>
        <w:t xml:space="preserve">the </w:t>
      </w:r>
      <w:r w:rsidR="001264E9">
        <w:rPr>
          <w:lang w:val="en-US"/>
        </w:rPr>
        <w:t>AER</w:t>
      </w:r>
      <w:r w:rsidR="00143C75">
        <w:rPr>
          <w:lang w:val="en-US"/>
        </w:rPr>
        <w:t xml:space="preserve"> </w:t>
      </w:r>
      <w:r w:rsidR="007D5E8D">
        <w:rPr>
          <w:lang w:val="en-US"/>
        </w:rPr>
        <w:t>has the power to</w:t>
      </w:r>
      <w:r w:rsidR="007018C0">
        <w:rPr>
          <w:lang w:val="en-US"/>
        </w:rPr>
        <w:t xml:space="preserve"> seek court or</w:t>
      </w:r>
      <w:r w:rsidR="00CE4F72">
        <w:rPr>
          <w:lang w:val="en-US"/>
        </w:rPr>
        <w:t>der</w:t>
      </w:r>
      <w:r w:rsidR="004E1D41">
        <w:rPr>
          <w:lang w:val="en-US"/>
        </w:rPr>
        <w:t>s requiring compliance with mandatory notification</w:t>
      </w:r>
      <w:r w:rsidR="006B71AD">
        <w:rPr>
          <w:lang w:val="en-US"/>
        </w:rPr>
        <w:t xml:space="preserve"> to give data or </w:t>
      </w:r>
      <w:r w:rsidR="00C34846">
        <w:rPr>
          <w:lang w:val="en-US"/>
        </w:rPr>
        <w:t>documents.</w:t>
      </w:r>
      <w:r w:rsidR="004F4F41">
        <w:rPr>
          <w:lang w:val="en-US"/>
        </w:rPr>
        <w:t xml:space="preserve"> </w:t>
      </w:r>
      <w:r w:rsidR="002735EC">
        <w:rPr>
          <w:lang w:val="en-US"/>
        </w:rPr>
        <w:t>AER, 2021, “</w:t>
      </w:r>
      <w:r w:rsidR="002735EC" w:rsidRPr="006C0424">
        <w:rPr>
          <w:i/>
          <w:lang w:val="en-US"/>
        </w:rPr>
        <w:t xml:space="preserve">Stronger penalties demand energy businesses </w:t>
      </w:r>
      <w:r w:rsidR="002735EC" w:rsidRPr="006C0424">
        <w:rPr>
          <w:i/>
          <w:lang w:val="en-US"/>
        </w:rPr>
        <w:t>prioritise compliance with the law</w:t>
      </w:r>
      <w:r w:rsidR="002735EC">
        <w:rPr>
          <w:lang w:val="en-US"/>
        </w:rPr>
        <w:t>”</w:t>
      </w:r>
      <w:r w:rsidR="001E2E7E">
        <w:rPr>
          <w:lang w:val="en-US"/>
        </w:rPr>
        <w:t>,</w:t>
      </w:r>
      <w:r w:rsidR="002735EC">
        <w:rPr>
          <w:lang w:val="en-US"/>
        </w:rPr>
        <w:t xml:space="preserve"> </w:t>
      </w:r>
      <w:hyperlink r:id="rId2" w:history="1">
        <w:r w:rsidR="002735EC" w:rsidRPr="002735EC">
          <w:rPr>
            <w:rStyle w:val="Hyperlink"/>
            <w:lang w:val="en-US"/>
          </w:rPr>
          <w:t>https://www.aer.gov.au/news-release/stronger-penalties-demand-energy-businesses-prioritise-compliance-with-the-law</w:t>
        </w:r>
      </w:hyperlink>
      <w:r w:rsidR="001E2E7E">
        <w:rPr>
          <w:rStyle w:val="Hyperlink"/>
          <w:lang w:val="en-US"/>
        </w:rPr>
        <w:t>.</w:t>
      </w:r>
      <w:r w:rsidR="004F4F41">
        <w:rPr>
          <w:lang w:val="en-US"/>
        </w:rPr>
        <w:t xml:space="preserve"> </w:t>
      </w:r>
    </w:p>
  </w:footnote>
  <w:footnote w:id="5">
    <w:p w14:paraId="4BE78743" w14:textId="4E8F2949" w:rsidR="00A04074" w:rsidRPr="00212CAA" w:rsidRDefault="00A04074">
      <w:pPr>
        <w:pStyle w:val="FootnoteText"/>
        <w:rPr>
          <w:lang w:val="en-US"/>
        </w:rPr>
      </w:pPr>
      <w:r w:rsidRPr="00D057C9">
        <w:rPr>
          <w:rStyle w:val="FootnoteReference"/>
        </w:rPr>
        <w:footnoteRef/>
      </w:r>
      <w:r w:rsidRPr="00D057C9">
        <w:t xml:space="preserve"> </w:t>
      </w:r>
      <w:r w:rsidR="00695E12" w:rsidRPr="00CD20BD">
        <w:rPr>
          <w:i/>
          <w:iCs/>
          <w:lang w:val="en-US"/>
        </w:rPr>
        <w:t>National Broadband Network Companies Act</w:t>
      </w:r>
      <w:r w:rsidR="000975F3" w:rsidRPr="00CD20BD">
        <w:rPr>
          <w:i/>
          <w:iCs/>
          <w:lang w:val="en-US"/>
        </w:rPr>
        <w:t xml:space="preserve"> 2011</w:t>
      </w:r>
      <w:r w:rsidR="00A34F45">
        <w:rPr>
          <w:lang w:val="en-US"/>
        </w:rPr>
        <w:t xml:space="preserve"> (</w:t>
      </w:r>
      <w:r w:rsidR="00A34F45">
        <w:rPr>
          <w:lang w:val="en-US"/>
        </w:rPr>
        <w:t>Cth)</w:t>
      </w:r>
      <w:r w:rsidR="000975F3" w:rsidRPr="00D057C9">
        <w:rPr>
          <w:lang w:val="en-US"/>
        </w:rPr>
        <w:t xml:space="preserve">, </w:t>
      </w:r>
      <w:r w:rsidR="00A34F45">
        <w:rPr>
          <w:lang w:val="en-US"/>
        </w:rPr>
        <w:t>s</w:t>
      </w:r>
      <w:r w:rsidR="00CF2F5F" w:rsidRPr="00D057C9">
        <w:rPr>
          <w:lang w:val="en-US"/>
        </w:rPr>
        <w:t>47.</w:t>
      </w:r>
    </w:p>
  </w:footnote>
  <w:footnote w:id="6">
    <w:p w14:paraId="58FCA958" w14:textId="43776FE6" w:rsidR="00C84B01" w:rsidRPr="0040627B" w:rsidRDefault="00C84B01" w:rsidP="00C84B01">
      <w:pPr>
        <w:pStyle w:val="FootnoteText"/>
        <w:rPr>
          <w:lang w:val="en-US"/>
        </w:rPr>
      </w:pPr>
      <w:r>
        <w:rPr>
          <w:rStyle w:val="FootnoteReference"/>
        </w:rPr>
        <w:footnoteRef/>
      </w:r>
      <w:r>
        <w:t xml:space="preserve"> </w:t>
      </w:r>
      <w:r w:rsidR="002F45FA">
        <w:rPr>
          <w:lang w:val="en-US"/>
        </w:rPr>
        <w:t>ACCC, 202</w:t>
      </w:r>
      <w:r w:rsidR="00595EE5">
        <w:rPr>
          <w:lang w:val="en-US"/>
        </w:rPr>
        <w:t>3</w:t>
      </w:r>
      <w:r w:rsidR="002F45FA">
        <w:rPr>
          <w:lang w:val="en-US"/>
        </w:rPr>
        <w:t xml:space="preserve">, </w:t>
      </w:r>
      <w:r w:rsidR="00C319B9">
        <w:rPr>
          <w:i/>
          <w:iCs/>
          <w:lang w:val="en-US"/>
        </w:rPr>
        <w:t>Proposed variation to NBN Co Special Access Undertaking Consultation paper</w:t>
      </w:r>
      <w:r w:rsidR="001E2E7E">
        <w:rPr>
          <w:i/>
          <w:iCs/>
          <w:lang w:val="en-US"/>
        </w:rPr>
        <w:t>,</w:t>
      </w:r>
      <w:r w:rsidR="00D0776C">
        <w:rPr>
          <w:i/>
          <w:iCs/>
          <w:lang w:val="en-US"/>
        </w:rPr>
        <w:t xml:space="preserve"> </w:t>
      </w:r>
      <w:r w:rsidR="00D0776C">
        <w:rPr>
          <w:lang w:val="en-US"/>
        </w:rPr>
        <w:t xml:space="preserve">Annexure B, p70. </w:t>
      </w:r>
    </w:p>
  </w:footnote>
  <w:footnote w:id="7">
    <w:p w14:paraId="03773FE4" w14:textId="50EDD8D6" w:rsidR="00672057" w:rsidRPr="00672057" w:rsidRDefault="00672057">
      <w:pPr>
        <w:pStyle w:val="FootnoteText"/>
        <w:rPr>
          <w:lang w:val="en-US"/>
        </w:rPr>
      </w:pPr>
      <w:r w:rsidRPr="003757B8">
        <w:rPr>
          <w:rStyle w:val="FootnoteReference"/>
        </w:rPr>
        <w:footnoteRef/>
      </w:r>
      <w:r w:rsidRPr="003757B8">
        <w:t xml:space="preserve"> </w:t>
      </w:r>
      <w:r w:rsidR="003757B8" w:rsidRPr="003757B8">
        <w:t xml:space="preserve">NBN Co, 2022, </w:t>
      </w:r>
      <w:r w:rsidR="003757B8" w:rsidRPr="002A08F7">
        <w:rPr>
          <w:i/>
        </w:rPr>
        <w:t>Variation to NBN Co Special Access Undertaking Variation</w:t>
      </w:r>
      <w:r w:rsidR="003757B8" w:rsidRPr="003757B8">
        <w:t xml:space="preserve">, clause </w:t>
      </w:r>
      <w:r w:rsidRPr="003757B8">
        <w:rPr>
          <w:lang w:val="en-US"/>
        </w:rPr>
        <w:t>2B.7</w:t>
      </w:r>
      <w:r w:rsidR="001E2E7E">
        <w:rPr>
          <w:lang w:val="en-US"/>
        </w:rPr>
        <w:t>.</w:t>
      </w:r>
    </w:p>
  </w:footnote>
  <w:footnote w:id="8">
    <w:p w14:paraId="5756AF29" w14:textId="43272CC8" w:rsidR="007807CB" w:rsidRPr="0073645F" w:rsidRDefault="007807CB">
      <w:pPr>
        <w:pStyle w:val="FootnoteText"/>
        <w:rPr>
          <w:lang w:val="en-US"/>
        </w:rPr>
      </w:pPr>
      <w:r w:rsidRPr="00B41713">
        <w:rPr>
          <w:rStyle w:val="FootnoteReference"/>
        </w:rPr>
        <w:footnoteRef/>
      </w:r>
      <w:r w:rsidRPr="00B41713">
        <w:t xml:space="preserve"> </w:t>
      </w:r>
      <w:r w:rsidR="004605D9" w:rsidRPr="00B41713">
        <w:rPr>
          <w:lang w:val="en-US"/>
        </w:rPr>
        <w:t xml:space="preserve">ACCAN, 2022, </w:t>
      </w:r>
      <w:r w:rsidR="00B41713" w:rsidRPr="0073645F">
        <w:rPr>
          <w:i/>
          <w:iCs/>
          <w:lang w:val="en-US"/>
        </w:rPr>
        <w:t xml:space="preserve">Consumer Check in: </w:t>
      </w:r>
      <w:r w:rsidR="004605D9" w:rsidRPr="0073645F">
        <w:rPr>
          <w:i/>
          <w:iCs/>
          <w:lang w:val="en-US"/>
        </w:rPr>
        <w:t>Affordability Snapshot</w:t>
      </w:r>
      <w:r w:rsidR="004605D9" w:rsidRPr="00B41713">
        <w:rPr>
          <w:lang w:val="en-US"/>
        </w:rPr>
        <w:t xml:space="preserve">, </w:t>
      </w:r>
      <w:hyperlink r:id="rId3" w:history="1">
        <w:r w:rsidR="004605D9" w:rsidRPr="00B41713">
          <w:rPr>
            <w:rStyle w:val="Hyperlink"/>
            <w:lang w:val="en-US"/>
          </w:rPr>
          <w:t>https://accan.org.au/ACCAN%202022%20Research%20Snapshot%20Affordability.pdf</w:t>
        </w:r>
      </w:hyperlink>
      <w:r w:rsidR="001811B2">
        <w:rPr>
          <w:rStyle w:val="Hyperlink"/>
          <w:lang w:val="en-US"/>
        </w:rPr>
        <w:t>.</w:t>
      </w:r>
      <w:r w:rsidR="004605D9">
        <w:rPr>
          <w:lang w:val="en-US"/>
        </w:rPr>
        <w:t xml:space="preserve"> </w:t>
      </w:r>
    </w:p>
  </w:footnote>
  <w:footnote w:id="9">
    <w:p w14:paraId="4BDCD3DC" w14:textId="34F92FD7" w:rsidR="00477647" w:rsidRPr="00882A7F" w:rsidRDefault="00477647" w:rsidP="00477647">
      <w:pPr>
        <w:pStyle w:val="FootnoteText"/>
        <w:rPr>
          <w:lang w:val="en-US"/>
        </w:rPr>
      </w:pPr>
      <w:r>
        <w:rPr>
          <w:rStyle w:val="FootnoteReference"/>
        </w:rPr>
        <w:footnoteRef/>
      </w:r>
      <w:r>
        <w:t xml:space="preserve"> IPART, 2018, </w:t>
      </w:r>
      <w:r>
        <w:rPr>
          <w:i/>
          <w:iCs/>
        </w:rPr>
        <w:t xml:space="preserve">Final Report – Review of our </w:t>
      </w:r>
      <w:proofErr w:type="spellStart"/>
      <w:r>
        <w:rPr>
          <w:i/>
          <w:iCs/>
        </w:rPr>
        <w:t>financeability</w:t>
      </w:r>
      <w:proofErr w:type="spellEnd"/>
      <w:r>
        <w:rPr>
          <w:i/>
          <w:iCs/>
        </w:rPr>
        <w:t xml:space="preserve"> test</w:t>
      </w:r>
      <w:r w:rsidR="001811B2">
        <w:rPr>
          <w:i/>
          <w:iCs/>
        </w:rPr>
        <w:t>,</w:t>
      </w:r>
      <w:r>
        <w:rPr>
          <w:i/>
          <w:iCs/>
        </w:rPr>
        <w:t xml:space="preserve"> </w:t>
      </w:r>
      <w:hyperlink r:id="rId4" w:history="1">
        <w:r w:rsidR="00483EE1" w:rsidRPr="00E43DB7">
          <w:rPr>
            <w:rStyle w:val="Hyperlink"/>
          </w:rPr>
          <w:t>https://www.ipart.nsw.gov.au/sites/default/files/documents/final-report-review-of-our-financeability-test-november-2018.pdf</w:t>
        </w:r>
      </w:hyperlink>
      <w:r w:rsidR="001811B2">
        <w:t>.</w:t>
      </w:r>
    </w:p>
  </w:footnote>
  <w:footnote w:id="10">
    <w:p w14:paraId="796B4F7E" w14:textId="1D9893A5" w:rsidR="001A7D8A" w:rsidRDefault="001A7D8A">
      <w:pPr>
        <w:pStyle w:val="FootnoteText"/>
      </w:pPr>
      <w:r>
        <w:rPr>
          <w:rStyle w:val="FootnoteReference"/>
        </w:rPr>
        <w:footnoteRef/>
      </w:r>
      <w:r>
        <w:t xml:space="preserve"> </w:t>
      </w:r>
      <w:r>
        <w:rPr>
          <w:lang w:eastAsia="en-US"/>
        </w:rPr>
        <w:t xml:space="preserve">For example, </w:t>
      </w:r>
      <w:r w:rsidR="00540C38">
        <w:rPr>
          <w:lang w:eastAsia="en-US"/>
        </w:rPr>
        <w:t xml:space="preserve">in </w:t>
      </w:r>
      <w:r w:rsidR="00540C38" w:rsidRPr="00E74B29">
        <w:rPr>
          <w:i/>
          <w:iCs/>
          <w:lang w:eastAsia="en-US"/>
        </w:rPr>
        <w:t>nbn 24-40 Public Core Services Building Block Model</w:t>
      </w:r>
      <w:r w:rsidR="00540C38">
        <w:rPr>
          <w:lang w:eastAsia="en-US"/>
        </w:rPr>
        <w:t xml:space="preserve"> </w:t>
      </w:r>
      <w:r>
        <w:rPr>
          <w:lang w:eastAsia="en-US"/>
        </w:rPr>
        <w:t>it is not clear what ‘remediation’ is</w:t>
      </w:r>
      <w:r w:rsidR="00540C38">
        <w:rPr>
          <w:lang w:eastAsia="en-US"/>
        </w:rPr>
        <w:t xml:space="preserve"> under asset class. </w:t>
      </w:r>
    </w:p>
  </w:footnote>
  <w:footnote w:id="11">
    <w:p w14:paraId="2DD50C32" w14:textId="59758762" w:rsidR="00BA50B7" w:rsidRDefault="00BA50B7">
      <w:pPr>
        <w:pStyle w:val="FootnoteText"/>
      </w:pPr>
      <w:r w:rsidRPr="0008469B">
        <w:rPr>
          <w:rStyle w:val="FootnoteReference"/>
        </w:rPr>
        <w:footnoteRef/>
      </w:r>
      <w:r w:rsidRPr="0008469B">
        <w:t xml:space="preserve"> </w:t>
      </w:r>
      <w:r w:rsidR="007604C2">
        <w:rPr>
          <w:lang w:val="en-US"/>
        </w:rPr>
        <w:t>AER</w:t>
      </w:r>
      <w:r w:rsidR="0008469B">
        <w:rPr>
          <w:lang w:val="en-US"/>
        </w:rPr>
        <w:t xml:space="preserve">, 2021, </w:t>
      </w:r>
      <w:r w:rsidR="0008469B">
        <w:rPr>
          <w:i/>
          <w:iCs/>
          <w:lang w:val="en-US"/>
        </w:rPr>
        <w:t>Better Resets Handbook Towards Consumer Centric Network Proposals</w:t>
      </w:r>
      <w:r w:rsidR="001811B2">
        <w:rPr>
          <w:i/>
          <w:iCs/>
          <w:lang w:val="en-US"/>
        </w:rPr>
        <w:t>,</w:t>
      </w:r>
      <w:r w:rsidR="0008469B">
        <w:rPr>
          <w:lang w:val="en-US"/>
        </w:rPr>
        <w:t xml:space="preserve"> </w:t>
      </w:r>
      <w:hyperlink r:id="rId5" w:history="1">
        <w:r w:rsidR="0008469B" w:rsidRPr="00F0131C">
          <w:rPr>
            <w:rStyle w:val="Hyperlink"/>
            <w:lang w:val="en-US"/>
          </w:rPr>
          <w:t>www.aer.gov.au/system/files/Better%20Reset%20Handbook%20-%20December%202021.pdf</w:t>
        </w:r>
      </w:hyperlink>
      <w:r w:rsidR="001811B2">
        <w:rPr>
          <w:rStyle w:val="Hyperlink"/>
          <w:lang w:val="en-US"/>
        </w:rPr>
        <w:t>.</w:t>
      </w:r>
      <w:r w:rsidR="0008469B">
        <w:rPr>
          <w:lang w:val="en-US"/>
        </w:rPr>
        <w:t xml:space="preserve"> </w:t>
      </w:r>
      <w:r w:rsidR="0008469B">
        <w:rPr>
          <w:i/>
          <w:iCs/>
          <w:lang w:val="en-US"/>
        </w:rPr>
        <w:t xml:space="preserve"> </w:t>
      </w:r>
    </w:p>
  </w:footnote>
  <w:footnote w:id="12">
    <w:p w14:paraId="611AE350" w14:textId="4D3DE6A7" w:rsidR="00F66C2C" w:rsidRPr="002830D6" w:rsidRDefault="00F66C2C" w:rsidP="00F66C2C">
      <w:pPr>
        <w:pStyle w:val="FootnoteText"/>
        <w:rPr>
          <w:i/>
          <w:iCs/>
          <w:lang w:val="en-US"/>
        </w:rPr>
      </w:pPr>
      <w:r>
        <w:rPr>
          <w:rStyle w:val="FootnoteReference"/>
        </w:rPr>
        <w:footnoteRef/>
      </w:r>
      <w:r>
        <w:t xml:space="preserve"> </w:t>
      </w:r>
      <w:r w:rsidR="001264E9">
        <w:rPr>
          <w:lang w:val="en-US"/>
        </w:rPr>
        <w:t>AER</w:t>
      </w:r>
      <w:r w:rsidR="00F0271C">
        <w:rPr>
          <w:lang w:val="en-US"/>
        </w:rPr>
        <w:t xml:space="preserve">, 2021, </w:t>
      </w:r>
      <w:r w:rsidR="00F0271C">
        <w:rPr>
          <w:i/>
          <w:iCs/>
          <w:lang w:val="en-US"/>
        </w:rPr>
        <w:t>Better Resets Handbook Towards Consumer Centric Network Proposals</w:t>
      </w:r>
      <w:r w:rsidR="001811B2">
        <w:rPr>
          <w:i/>
          <w:iCs/>
          <w:lang w:val="en-US"/>
        </w:rPr>
        <w:t>,</w:t>
      </w:r>
      <w:r w:rsidR="00F0271C">
        <w:rPr>
          <w:lang w:val="en-US"/>
        </w:rPr>
        <w:t xml:space="preserve"> </w:t>
      </w:r>
      <w:hyperlink r:id="rId6" w:history="1">
        <w:r w:rsidR="00F0271C" w:rsidRPr="00F0131C">
          <w:rPr>
            <w:rStyle w:val="Hyperlink"/>
            <w:lang w:val="en-US"/>
          </w:rPr>
          <w:t>www.aer.gov.au/system/files/Better%20Reset%20Handbook%20-%20December%202021.pdf</w:t>
        </w:r>
      </w:hyperlink>
      <w:r w:rsidR="001811B2">
        <w:rPr>
          <w:rStyle w:val="Hyperlink"/>
          <w:lang w:val="en-US"/>
        </w:rPr>
        <w:t>.</w:t>
      </w:r>
      <w:r w:rsidR="00F0271C">
        <w:rPr>
          <w:lang w:val="en-US"/>
        </w:rPr>
        <w:t xml:space="preserve"> </w:t>
      </w:r>
      <w:r w:rsidR="00F0271C">
        <w:rPr>
          <w:i/>
          <w:iCs/>
          <w:lang w:val="en-US"/>
        </w:rPr>
        <w:t xml:space="preserve"> </w:t>
      </w:r>
    </w:p>
    <w:p w14:paraId="6E8D884C" w14:textId="5F8F576A" w:rsidR="00F66C2C" w:rsidRPr="0054189F" w:rsidRDefault="00F66C2C">
      <w:pPr>
        <w:pStyle w:val="FootnoteText"/>
        <w:rPr>
          <w:lang w:val="en-US"/>
        </w:rPr>
      </w:pPr>
    </w:p>
  </w:footnote>
  <w:footnote w:id="13">
    <w:p w14:paraId="0E3653E8" w14:textId="62F96E76" w:rsidR="00A52080" w:rsidRDefault="00A52080">
      <w:pPr>
        <w:pStyle w:val="FootnoteText"/>
      </w:pPr>
      <w:r w:rsidRPr="00B2131B">
        <w:rPr>
          <w:rStyle w:val="FootnoteReference"/>
        </w:rPr>
        <w:footnoteRef/>
      </w:r>
      <w:r w:rsidRPr="00B2131B">
        <w:t xml:space="preserve"> </w:t>
      </w:r>
      <w:r w:rsidR="00B2131B" w:rsidRPr="00B2131B">
        <w:t xml:space="preserve">A Negative Change Event is a </w:t>
      </w:r>
      <w:r w:rsidR="005E2E48">
        <w:t>c</w:t>
      </w:r>
      <w:r w:rsidR="00B2131B" w:rsidRPr="00B2131B">
        <w:t xml:space="preserve">ost </w:t>
      </w:r>
      <w:r w:rsidR="005E2E48">
        <w:t>p</w:t>
      </w:r>
      <w:r w:rsidR="00B2131B" w:rsidRPr="00B2131B">
        <w:t>ass-</w:t>
      </w:r>
      <w:r w:rsidR="005E2E48">
        <w:t>t</w:t>
      </w:r>
      <w:r w:rsidR="00B2131B" w:rsidRPr="00B2131B">
        <w:t xml:space="preserve">hrough </w:t>
      </w:r>
      <w:r w:rsidR="005E2E48">
        <w:t>e</w:t>
      </w:r>
      <w:r w:rsidR="00B2131B" w:rsidRPr="00B2131B">
        <w:t>vent that results, or is likely to result, in NBN Co incurring Materially lower costs of supplying</w:t>
      </w:r>
      <w:r w:rsidR="00B2131B">
        <w:t xml:space="preserve"> WAPC Charge Components than it would have incurred but for that event. </w:t>
      </w:r>
    </w:p>
  </w:footnote>
  <w:footnote w:id="14">
    <w:p w14:paraId="41570C4B" w14:textId="67759810" w:rsidR="004F484B" w:rsidRPr="002C7BA6" w:rsidRDefault="004F484B" w:rsidP="004F484B">
      <w:pPr>
        <w:pStyle w:val="FootnoteText"/>
        <w:rPr>
          <w:lang w:val="en-US"/>
        </w:rPr>
      </w:pPr>
      <w:r w:rsidRPr="00B2131B">
        <w:rPr>
          <w:rStyle w:val="FootnoteReference"/>
        </w:rPr>
        <w:footnoteRef/>
      </w:r>
      <w:r w:rsidRPr="00B2131B">
        <w:t xml:space="preserve"> </w:t>
      </w:r>
      <w:r w:rsidR="00B2131B" w:rsidRPr="00B2131B">
        <w:t xml:space="preserve">NBN Co, 2022, </w:t>
      </w:r>
      <w:r w:rsidR="00B2131B" w:rsidRPr="006C0424">
        <w:rPr>
          <w:i/>
        </w:rPr>
        <w:t>Variation to NBN Co Special Access Undertaking Variation</w:t>
      </w:r>
      <w:r w:rsidR="00B2131B" w:rsidRPr="00B2131B">
        <w:t xml:space="preserve">, clause </w:t>
      </w:r>
      <w:r w:rsidRPr="00B2131B">
        <w:rPr>
          <w:lang w:val="en-US"/>
        </w:rPr>
        <w:t>2.I.2.1</w:t>
      </w:r>
      <w:r w:rsidR="001811B2">
        <w:rPr>
          <w:lang w:val="en-US"/>
        </w:rPr>
        <w:t>.</w:t>
      </w:r>
    </w:p>
  </w:footnote>
  <w:footnote w:id="15">
    <w:p w14:paraId="69A58555" w14:textId="2A95DFBE" w:rsidR="00C143D4" w:rsidRPr="00212CAA" w:rsidRDefault="00C143D4">
      <w:pPr>
        <w:pStyle w:val="FootnoteText"/>
        <w:rPr>
          <w:lang w:val="en-US"/>
        </w:rPr>
      </w:pPr>
      <w:r>
        <w:rPr>
          <w:rStyle w:val="FootnoteReference"/>
        </w:rPr>
        <w:footnoteRef/>
      </w:r>
      <w:r>
        <w:t xml:space="preserve"> </w:t>
      </w:r>
      <w:r>
        <w:rPr>
          <w:lang w:val="en-US"/>
        </w:rPr>
        <w:t xml:space="preserve">Under the CSG, consumers can expect $14.52 of compensation per working day </w:t>
      </w:r>
      <w:r w:rsidR="00B85513">
        <w:rPr>
          <w:lang w:val="en-US"/>
        </w:rPr>
        <w:t xml:space="preserve">where connection timeframes are missed. Under the </w:t>
      </w:r>
      <w:r w:rsidR="00B45569">
        <w:rPr>
          <w:lang w:val="en-US"/>
        </w:rPr>
        <w:t>SAU Variation, consumers can expect a rebate of $7.50</w:t>
      </w:r>
      <w:r w:rsidR="000C7119">
        <w:rPr>
          <w:lang w:val="en-US"/>
        </w:rPr>
        <w:t xml:space="preserve">. </w:t>
      </w:r>
    </w:p>
  </w:footnote>
  <w:footnote w:id="16">
    <w:p w14:paraId="37D1914A" w14:textId="030810B5" w:rsidR="00E561DA" w:rsidRPr="00E561DA" w:rsidRDefault="00E561DA">
      <w:pPr>
        <w:pStyle w:val="FootnoteText"/>
        <w:rPr>
          <w:lang w:val="en-US"/>
        </w:rPr>
      </w:pPr>
      <w:r w:rsidRPr="00B2131B">
        <w:rPr>
          <w:rStyle w:val="FootnoteReference"/>
        </w:rPr>
        <w:footnoteRef/>
      </w:r>
      <w:r w:rsidRPr="00B2131B">
        <w:t xml:space="preserve"> </w:t>
      </w:r>
      <w:r w:rsidR="00B2131B" w:rsidRPr="00B2131B">
        <w:t xml:space="preserve">NBN Co, 2022, </w:t>
      </w:r>
      <w:r w:rsidR="00B2131B" w:rsidRPr="006C0424">
        <w:rPr>
          <w:i/>
        </w:rPr>
        <w:t>Variation to NBN Co Special Access Undertaking Variation</w:t>
      </w:r>
      <w:r w:rsidR="00B2131B" w:rsidRPr="00B2131B">
        <w:t xml:space="preserve">, </w:t>
      </w:r>
      <w:r w:rsidR="007C2CA0" w:rsidRPr="00B2131B">
        <w:t>Attachment I</w:t>
      </w:r>
      <w:r w:rsidR="00B2131B" w:rsidRPr="00CD20BD">
        <w:t>,</w:t>
      </w:r>
      <w:r w:rsidR="007C2CA0" w:rsidRPr="00B2131B">
        <w:t xml:space="preserve"> Part B </w:t>
      </w:r>
      <w:r w:rsidRPr="00B2131B">
        <w:rPr>
          <w:lang w:val="en-US"/>
        </w:rPr>
        <w:t>1</w:t>
      </w:r>
      <w:r w:rsidR="007C2CA0" w:rsidRPr="00B2131B">
        <w:rPr>
          <w:lang w:val="en-US"/>
        </w:rPr>
        <w:t>6.2</w:t>
      </w:r>
      <w:r w:rsidR="001811B2">
        <w:rPr>
          <w:lang w:val="en-US"/>
        </w:rPr>
        <w:t>.</w:t>
      </w:r>
    </w:p>
  </w:footnote>
  <w:footnote w:id="17">
    <w:p w14:paraId="34A33623" w14:textId="3140379A" w:rsidR="00616B1E" w:rsidRDefault="00616B1E">
      <w:pPr>
        <w:pStyle w:val="FootnoteText"/>
      </w:pPr>
      <w:r w:rsidRPr="006C0424">
        <w:rPr>
          <w:rStyle w:val="FootnoteReference"/>
        </w:rPr>
        <w:footnoteRef/>
      </w:r>
      <w:r w:rsidRPr="00354771">
        <w:t xml:space="preserve"> </w:t>
      </w:r>
      <w:r w:rsidR="0086240B" w:rsidRPr="00354771">
        <w:t>ACCAN, 2023,</w:t>
      </w:r>
      <w:r w:rsidR="000A331D" w:rsidRPr="00354771">
        <w:t xml:space="preserve"> </w:t>
      </w:r>
      <w:r w:rsidR="000A331D" w:rsidRPr="00BD6747">
        <w:rPr>
          <w:i/>
          <w:iCs/>
        </w:rPr>
        <w:t>Submission to Record Keeping Rule -NBN Service Performance Consultation Paper</w:t>
      </w:r>
      <w:r w:rsidR="000A331D" w:rsidRPr="00354771">
        <w:t>,</w:t>
      </w:r>
      <w:r w:rsidR="0086240B" w:rsidRPr="00354771">
        <w:t xml:space="preserve"> </w:t>
      </w:r>
      <w:hyperlink r:id="rId7" w:history="1">
        <w:r w:rsidR="00354771" w:rsidRPr="00E43DB7">
          <w:rPr>
            <w:rStyle w:val="Hyperlink"/>
          </w:rPr>
          <w:t>https://accan.org.au/accans-work/submissions/2059-record-keeping-rule-nbn-service-performance-consultation-paper</w:t>
        </w:r>
      </w:hyperlink>
      <w:r w:rsidR="000A6BBB">
        <w:t>.</w:t>
      </w:r>
    </w:p>
  </w:footnote>
  <w:footnote w:id="18">
    <w:p w14:paraId="0A8F6488" w14:textId="1CBE0FFA" w:rsidR="0058798F" w:rsidRPr="004E414A" w:rsidRDefault="0058798F" w:rsidP="0058798F">
      <w:pPr>
        <w:pStyle w:val="FootnoteText"/>
        <w:rPr>
          <w:lang w:val="en-US"/>
        </w:rPr>
      </w:pPr>
      <w:r>
        <w:rPr>
          <w:rStyle w:val="FootnoteReference"/>
        </w:rPr>
        <w:footnoteRef/>
      </w:r>
      <w:r>
        <w:t xml:space="preserve"> </w:t>
      </w:r>
      <w:r>
        <w:rPr>
          <w:lang w:val="en-US"/>
        </w:rPr>
        <w:t xml:space="preserve">ACCC, 2023, </w:t>
      </w:r>
      <w:r>
        <w:rPr>
          <w:i/>
          <w:iCs/>
          <w:lang w:val="en-US"/>
        </w:rPr>
        <w:t xml:space="preserve">Proposed variation to the NBN Co Special Access Undertaking. </w:t>
      </w:r>
      <w:r>
        <w:rPr>
          <w:lang w:val="en-US"/>
        </w:rPr>
        <w:t>P.67</w:t>
      </w:r>
      <w:r w:rsidR="000A6BBB">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295F" w14:textId="77777777" w:rsidR="00A75493" w:rsidRDefault="00AD3EFC" w:rsidP="00E42CDF">
    <w:pPr>
      <w:tabs>
        <w:tab w:val="left" w:pos="1843"/>
      </w:tabs>
      <w:ind w:hanging="851"/>
    </w:pPr>
    <w:r>
      <w:rPr>
        <w:noProof/>
      </w:rPr>
      <w:drawing>
        <wp:anchor distT="0" distB="0" distL="114300" distR="114300" simplePos="0" relativeHeight="251658240" behindDoc="0" locked="0" layoutInCell="1" allowOverlap="1" wp14:anchorId="66AC4F73" wp14:editId="7B70E7DC">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Pr>
        <w:rFonts w:ascii="Gotham" w:hAnsi="Gotham"/>
        <w:b/>
        <w:bCs/>
        <w:i/>
        <w:iCs/>
      </w:rPr>
      <w:t xml:space="preserve">   </w:t>
    </w:r>
    <w:r>
      <w:rPr>
        <w:rFonts w:ascii="Gotham" w:hAnsi="Gotham"/>
        <w:b/>
        <w:bCs/>
        <w:i/>
        <w:iCs/>
        <w:color w:val="43C7F4" w:themeColor="accent1"/>
      </w:rPr>
      <w:t xml:space="preserve">Your </w:t>
    </w:r>
    <w:r w:rsidRPr="00962372">
      <w:rPr>
        <w:rStyle w:val="Letterhead2Char"/>
      </w:rPr>
      <w:t>consumer</w:t>
    </w:r>
    <w:r>
      <w:rPr>
        <w:rFonts w:ascii="Gotham" w:hAnsi="Gotham"/>
        <w:b/>
        <w:bCs/>
        <w:i/>
        <w:iCs/>
        <w:color w:val="43C7F4" w:themeColor="accent1"/>
      </w:rPr>
      <w:t xml:space="preserve"> voice on phones and internet</w:t>
    </w:r>
    <w:r>
      <w:rPr>
        <w:noProof/>
      </w:rPr>
      <mc:AlternateContent>
        <mc:Choice Requires="wps">
          <w:drawing>
            <wp:anchor distT="0" distB="0" distL="114300" distR="114300" simplePos="0" relativeHeight="251658241" behindDoc="1" locked="0" layoutInCell="1" allowOverlap="1" wp14:anchorId="357BD124" wp14:editId="6A13336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3F0B57E4"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F4E"/>
    <w:multiLevelType w:val="hybridMultilevel"/>
    <w:tmpl w:val="E8488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36C2B"/>
    <w:multiLevelType w:val="hybridMultilevel"/>
    <w:tmpl w:val="1EB2DCC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099D7343"/>
    <w:multiLevelType w:val="hybridMultilevel"/>
    <w:tmpl w:val="8B78EB34"/>
    <w:lvl w:ilvl="0" w:tplc="E98E957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82F64"/>
    <w:multiLevelType w:val="hybridMultilevel"/>
    <w:tmpl w:val="42006128"/>
    <w:lvl w:ilvl="0" w:tplc="8A6E48BC">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D55F7B"/>
    <w:multiLevelType w:val="hybridMultilevel"/>
    <w:tmpl w:val="C91020E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661F00"/>
    <w:multiLevelType w:val="hybridMultilevel"/>
    <w:tmpl w:val="E2E07154"/>
    <w:lvl w:ilvl="0" w:tplc="44060758">
      <w:start w:val="1"/>
      <w:numFmt w:val="bullet"/>
      <w:lvlText w:val=""/>
      <w:lvlJc w:val="left"/>
      <w:pPr>
        <w:ind w:left="720" w:hanging="360"/>
      </w:pPr>
      <w:rPr>
        <w:rFonts w:ascii="Symbol" w:hAnsi="Symbol"/>
      </w:rPr>
    </w:lvl>
    <w:lvl w:ilvl="1" w:tplc="F648AF3C">
      <w:start w:val="1"/>
      <w:numFmt w:val="bullet"/>
      <w:lvlText w:val=""/>
      <w:lvlJc w:val="left"/>
      <w:pPr>
        <w:ind w:left="720" w:hanging="360"/>
      </w:pPr>
      <w:rPr>
        <w:rFonts w:ascii="Symbol" w:hAnsi="Symbol"/>
      </w:rPr>
    </w:lvl>
    <w:lvl w:ilvl="2" w:tplc="17A0D67A">
      <w:start w:val="1"/>
      <w:numFmt w:val="bullet"/>
      <w:lvlText w:val=""/>
      <w:lvlJc w:val="left"/>
      <w:pPr>
        <w:ind w:left="720" w:hanging="360"/>
      </w:pPr>
      <w:rPr>
        <w:rFonts w:ascii="Symbol" w:hAnsi="Symbol"/>
      </w:rPr>
    </w:lvl>
    <w:lvl w:ilvl="3" w:tplc="9946B106">
      <w:start w:val="1"/>
      <w:numFmt w:val="bullet"/>
      <w:lvlText w:val=""/>
      <w:lvlJc w:val="left"/>
      <w:pPr>
        <w:ind w:left="720" w:hanging="360"/>
      </w:pPr>
      <w:rPr>
        <w:rFonts w:ascii="Symbol" w:hAnsi="Symbol"/>
      </w:rPr>
    </w:lvl>
    <w:lvl w:ilvl="4" w:tplc="E0D00D5A">
      <w:start w:val="1"/>
      <w:numFmt w:val="bullet"/>
      <w:lvlText w:val=""/>
      <w:lvlJc w:val="left"/>
      <w:pPr>
        <w:ind w:left="720" w:hanging="360"/>
      </w:pPr>
      <w:rPr>
        <w:rFonts w:ascii="Symbol" w:hAnsi="Symbol"/>
      </w:rPr>
    </w:lvl>
    <w:lvl w:ilvl="5" w:tplc="702836E6">
      <w:start w:val="1"/>
      <w:numFmt w:val="bullet"/>
      <w:lvlText w:val=""/>
      <w:lvlJc w:val="left"/>
      <w:pPr>
        <w:ind w:left="720" w:hanging="360"/>
      </w:pPr>
      <w:rPr>
        <w:rFonts w:ascii="Symbol" w:hAnsi="Symbol"/>
      </w:rPr>
    </w:lvl>
    <w:lvl w:ilvl="6" w:tplc="A46660B4">
      <w:start w:val="1"/>
      <w:numFmt w:val="bullet"/>
      <w:lvlText w:val=""/>
      <w:lvlJc w:val="left"/>
      <w:pPr>
        <w:ind w:left="720" w:hanging="360"/>
      </w:pPr>
      <w:rPr>
        <w:rFonts w:ascii="Symbol" w:hAnsi="Symbol"/>
      </w:rPr>
    </w:lvl>
    <w:lvl w:ilvl="7" w:tplc="38BCD3C0">
      <w:start w:val="1"/>
      <w:numFmt w:val="bullet"/>
      <w:lvlText w:val=""/>
      <w:lvlJc w:val="left"/>
      <w:pPr>
        <w:ind w:left="720" w:hanging="360"/>
      </w:pPr>
      <w:rPr>
        <w:rFonts w:ascii="Symbol" w:hAnsi="Symbol"/>
      </w:rPr>
    </w:lvl>
    <w:lvl w:ilvl="8" w:tplc="16F0667C">
      <w:start w:val="1"/>
      <w:numFmt w:val="bullet"/>
      <w:lvlText w:val=""/>
      <w:lvlJc w:val="left"/>
      <w:pPr>
        <w:ind w:left="720" w:hanging="360"/>
      </w:pPr>
      <w:rPr>
        <w:rFonts w:ascii="Symbol" w:hAnsi="Symbol"/>
      </w:rPr>
    </w:lvl>
  </w:abstractNum>
  <w:abstractNum w:abstractNumId="6" w15:restartNumberingAfterBreak="0">
    <w:nsid w:val="155D4148"/>
    <w:multiLevelType w:val="hybridMultilevel"/>
    <w:tmpl w:val="6A164FC2"/>
    <w:lvl w:ilvl="0" w:tplc="5FE44142">
      <w:start w:val="1"/>
      <w:numFmt w:val="bullet"/>
      <w:lvlText w:val=""/>
      <w:lvlJc w:val="left"/>
      <w:pPr>
        <w:ind w:left="2160" w:hanging="360"/>
      </w:pPr>
      <w:rPr>
        <w:rFonts w:ascii="Symbol" w:hAnsi="Symbol"/>
      </w:rPr>
    </w:lvl>
    <w:lvl w:ilvl="1" w:tplc="02885560">
      <w:start w:val="1"/>
      <w:numFmt w:val="bullet"/>
      <w:lvlText w:val=""/>
      <w:lvlJc w:val="left"/>
      <w:pPr>
        <w:ind w:left="2160" w:hanging="360"/>
      </w:pPr>
      <w:rPr>
        <w:rFonts w:ascii="Symbol" w:hAnsi="Symbol"/>
      </w:rPr>
    </w:lvl>
    <w:lvl w:ilvl="2" w:tplc="BC2ED0BE">
      <w:start w:val="1"/>
      <w:numFmt w:val="bullet"/>
      <w:lvlText w:val=""/>
      <w:lvlJc w:val="left"/>
      <w:pPr>
        <w:ind w:left="2160" w:hanging="360"/>
      </w:pPr>
      <w:rPr>
        <w:rFonts w:ascii="Symbol" w:hAnsi="Symbol"/>
      </w:rPr>
    </w:lvl>
    <w:lvl w:ilvl="3" w:tplc="87460416">
      <w:start w:val="1"/>
      <w:numFmt w:val="bullet"/>
      <w:lvlText w:val=""/>
      <w:lvlJc w:val="left"/>
      <w:pPr>
        <w:ind w:left="2160" w:hanging="360"/>
      </w:pPr>
      <w:rPr>
        <w:rFonts w:ascii="Symbol" w:hAnsi="Symbol"/>
      </w:rPr>
    </w:lvl>
    <w:lvl w:ilvl="4" w:tplc="249E0CFA">
      <w:start w:val="1"/>
      <w:numFmt w:val="bullet"/>
      <w:lvlText w:val=""/>
      <w:lvlJc w:val="left"/>
      <w:pPr>
        <w:ind w:left="2160" w:hanging="360"/>
      </w:pPr>
      <w:rPr>
        <w:rFonts w:ascii="Symbol" w:hAnsi="Symbol"/>
      </w:rPr>
    </w:lvl>
    <w:lvl w:ilvl="5" w:tplc="3ED26C52">
      <w:start w:val="1"/>
      <w:numFmt w:val="bullet"/>
      <w:lvlText w:val=""/>
      <w:lvlJc w:val="left"/>
      <w:pPr>
        <w:ind w:left="2160" w:hanging="360"/>
      </w:pPr>
      <w:rPr>
        <w:rFonts w:ascii="Symbol" w:hAnsi="Symbol"/>
      </w:rPr>
    </w:lvl>
    <w:lvl w:ilvl="6" w:tplc="05C486F2">
      <w:start w:val="1"/>
      <w:numFmt w:val="bullet"/>
      <w:lvlText w:val=""/>
      <w:lvlJc w:val="left"/>
      <w:pPr>
        <w:ind w:left="2160" w:hanging="360"/>
      </w:pPr>
      <w:rPr>
        <w:rFonts w:ascii="Symbol" w:hAnsi="Symbol"/>
      </w:rPr>
    </w:lvl>
    <w:lvl w:ilvl="7" w:tplc="6A84A8FA">
      <w:start w:val="1"/>
      <w:numFmt w:val="bullet"/>
      <w:lvlText w:val=""/>
      <w:lvlJc w:val="left"/>
      <w:pPr>
        <w:ind w:left="2160" w:hanging="360"/>
      </w:pPr>
      <w:rPr>
        <w:rFonts w:ascii="Symbol" w:hAnsi="Symbol"/>
      </w:rPr>
    </w:lvl>
    <w:lvl w:ilvl="8" w:tplc="F6E427AC">
      <w:start w:val="1"/>
      <w:numFmt w:val="bullet"/>
      <w:lvlText w:val=""/>
      <w:lvlJc w:val="left"/>
      <w:pPr>
        <w:ind w:left="2160" w:hanging="360"/>
      </w:pPr>
      <w:rPr>
        <w:rFonts w:ascii="Symbol" w:hAnsi="Symbol"/>
      </w:rPr>
    </w:lvl>
  </w:abstractNum>
  <w:abstractNum w:abstractNumId="7" w15:restartNumberingAfterBreak="0">
    <w:nsid w:val="1A530D13"/>
    <w:multiLevelType w:val="hybridMultilevel"/>
    <w:tmpl w:val="8718138A"/>
    <w:lvl w:ilvl="0" w:tplc="8A6E48B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C22EE4"/>
    <w:multiLevelType w:val="hybridMultilevel"/>
    <w:tmpl w:val="34200BA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2D5A9E"/>
    <w:multiLevelType w:val="hybridMultilevel"/>
    <w:tmpl w:val="7578EB18"/>
    <w:lvl w:ilvl="0" w:tplc="7B9EFE16">
      <w:start w:val="1"/>
      <w:numFmt w:val="bullet"/>
      <w:lvlText w:val=""/>
      <w:lvlJc w:val="left"/>
      <w:pPr>
        <w:ind w:left="2200" w:hanging="360"/>
      </w:pPr>
      <w:rPr>
        <w:rFonts w:ascii="Symbol" w:hAnsi="Symbol"/>
      </w:rPr>
    </w:lvl>
    <w:lvl w:ilvl="1" w:tplc="568A5A00">
      <w:start w:val="1"/>
      <w:numFmt w:val="bullet"/>
      <w:lvlText w:val=""/>
      <w:lvlJc w:val="left"/>
      <w:pPr>
        <w:ind w:left="2200" w:hanging="360"/>
      </w:pPr>
      <w:rPr>
        <w:rFonts w:ascii="Symbol" w:hAnsi="Symbol"/>
      </w:rPr>
    </w:lvl>
    <w:lvl w:ilvl="2" w:tplc="2E04A320">
      <w:start w:val="1"/>
      <w:numFmt w:val="bullet"/>
      <w:lvlText w:val=""/>
      <w:lvlJc w:val="left"/>
      <w:pPr>
        <w:ind w:left="2200" w:hanging="360"/>
      </w:pPr>
      <w:rPr>
        <w:rFonts w:ascii="Symbol" w:hAnsi="Symbol"/>
      </w:rPr>
    </w:lvl>
    <w:lvl w:ilvl="3" w:tplc="90383758">
      <w:start w:val="1"/>
      <w:numFmt w:val="bullet"/>
      <w:lvlText w:val=""/>
      <w:lvlJc w:val="left"/>
      <w:pPr>
        <w:ind w:left="2200" w:hanging="360"/>
      </w:pPr>
      <w:rPr>
        <w:rFonts w:ascii="Symbol" w:hAnsi="Symbol"/>
      </w:rPr>
    </w:lvl>
    <w:lvl w:ilvl="4" w:tplc="7AE06AD4">
      <w:start w:val="1"/>
      <w:numFmt w:val="bullet"/>
      <w:lvlText w:val=""/>
      <w:lvlJc w:val="left"/>
      <w:pPr>
        <w:ind w:left="2200" w:hanging="360"/>
      </w:pPr>
      <w:rPr>
        <w:rFonts w:ascii="Symbol" w:hAnsi="Symbol"/>
      </w:rPr>
    </w:lvl>
    <w:lvl w:ilvl="5" w:tplc="9F46B44C">
      <w:start w:val="1"/>
      <w:numFmt w:val="bullet"/>
      <w:lvlText w:val=""/>
      <w:lvlJc w:val="left"/>
      <w:pPr>
        <w:ind w:left="2200" w:hanging="360"/>
      </w:pPr>
      <w:rPr>
        <w:rFonts w:ascii="Symbol" w:hAnsi="Symbol"/>
      </w:rPr>
    </w:lvl>
    <w:lvl w:ilvl="6" w:tplc="7460F48C">
      <w:start w:val="1"/>
      <w:numFmt w:val="bullet"/>
      <w:lvlText w:val=""/>
      <w:lvlJc w:val="left"/>
      <w:pPr>
        <w:ind w:left="2200" w:hanging="360"/>
      </w:pPr>
      <w:rPr>
        <w:rFonts w:ascii="Symbol" w:hAnsi="Symbol"/>
      </w:rPr>
    </w:lvl>
    <w:lvl w:ilvl="7" w:tplc="3C2243AA">
      <w:start w:val="1"/>
      <w:numFmt w:val="bullet"/>
      <w:lvlText w:val=""/>
      <w:lvlJc w:val="left"/>
      <w:pPr>
        <w:ind w:left="2200" w:hanging="360"/>
      </w:pPr>
      <w:rPr>
        <w:rFonts w:ascii="Symbol" w:hAnsi="Symbol"/>
      </w:rPr>
    </w:lvl>
    <w:lvl w:ilvl="8" w:tplc="58AE994C">
      <w:start w:val="1"/>
      <w:numFmt w:val="bullet"/>
      <w:lvlText w:val=""/>
      <w:lvlJc w:val="left"/>
      <w:pPr>
        <w:ind w:left="2200" w:hanging="360"/>
      </w:pPr>
      <w:rPr>
        <w:rFonts w:ascii="Symbol" w:hAnsi="Symbol"/>
      </w:rPr>
    </w:lvl>
  </w:abstractNum>
  <w:abstractNum w:abstractNumId="10" w15:restartNumberingAfterBreak="0">
    <w:nsid w:val="206E6439"/>
    <w:multiLevelType w:val="hybridMultilevel"/>
    <w:tmpl w:val="3E12BC92"/>
    <w:lvl w:ilvl="0" w:tplc="8A6E48B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31316424"/>
    <w:multiLevelType w:val="hybridMultilevel"/>
    <w:tmpl w:val="20F4A706"/>
    <w:lvl w:ilvl="0" w:tplc="59C0A42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817A0"/>
    <w:multiLevelType w:val="hybridMultilevel"/>
    <w:tmpl w:val="2026C010"/>
    <w:lvl w:ilvl="0" w:tplc="E1EA5BE0">
      <w:start w:val="1"/>
      <w:numFmt w:val="bullet"/>
      <w:lvlText w:val=""/>
      <w:lvlJc w:val="left"/>
      <w:pPr>
        <w:ind w:left="720" w:hanging="360"/>
      </w:pPr>
      <w:rPr>
        <w:rFonts w:ascii="Symbol" w:hAnsi="Symbol"/>
      </w:rPr>
    </w:lvl>
    <w:lvl w:ilvl="1" w:tplc="22906354">
      <w:start w:val="1"/>
      <w:numFmt w:val="bullet"/>
      <w:lvlText w:val=""/>
      <w:lvlJc w:val="left"/>
      <w:pPr>
        <w:ind w:left="720" w:hanging="360"/>
      </w:pPr>
      <w:rPr>
        <w:rFonts w:ascii="Symbol" w:hAnsi="Symbol"/>
      </w:rPr>
    </w:lvl>
    <w:lvl w:ilvl="2" w:tplc="0EBC93D6">
      <w:start w:val="1"/>
      <w:numFmt w:val="bullet"/>
      <w:lvlText w:val=""/>
      <w:lvlJc w:val="left"/>
      <w:pPr>
        <w:ind w:left="720" w:hanging="360"/>
      </w:pPr>
      <w:rPr>
        <w:rFonts w:ascii="Symbol" w:hAnsi="Symbol"/>
      </w:rPr>
    </w:lvl>
    <w:lvl w:ilvl="3" w:tplc="25CC7BAC">
      <w:start w:val="1"/>
      <w:numFmt w:val="bullet"/>
      <w:lvlText w:val=""/>
      <w:lvlJc w:val="left"/>
      <w:pPr>
        <w:ind w:left="720" w:hanging="360"/>
      </w:pPr>
      <w:rPr>
        <w:rFonts w:ascii="Symbol" w:hAnsi="Symbol"/>
      </w:rPr>
    </w:lvl>
    <w:lvl w:ilvl="4" w:tplc="EDCA0436">
      <w:start w:val="1"/>
      <w:numFmt w:val="bullet"/>
      <w:lvlText w:val=""/>
      <w:lvlJc w:val="left"/>
      <w:pPr>
        <w:ind w:left="720" w:hanging="360"/>
      </w:pPr>
      <w:rPr>
        <w:rFonts w:ascii="Symbol" w:hAnsi="Symbol"/>
      </w:rPr>
    </w:lvl>
    <w:lvl w:ilvl="5" w:tplc="E93C4390">
      <w:start w:val="1"/>
      <w:numFmt w:val="bullet"/>
      <w:lvlText w:val=""/>
      <w:lvlJc w:val="left"/>
      <w:pPr>
        <w:ind w:left="720" w:hanging="360"/>
      </w:pPr>
      <w:rPr>
        <w:rFonts w:ascii="Symbol" w:hAnsi="Symbol"/>
      </w:rPr>
    </w:lvl>
    <w:lvl w:ilvl="6" w:tplc="78061D0C">
      <w:start w:val="1"/>
      <w:numFmt w:val="bullet"/>
      <w:lvlText w:val=""/>
      <w:lvlJc w:val="left"/>
      <w:pPr>
        <w:ind w:left="720" w:hanging="360"/>
      </w:pPr>
      <w:rPr>
        <w:rFonts w:ascii="Symbol" w:hAnsi="Symbol"/>
      </w:rPr>
    </w:lvl>
    <w:lvl w:ilvl="7" w:tplc="94D2A690">
      <w:start w:val="1"/>
      <w:numFmt w:val="bullet"/>
      <w:lvlText w:val=""/>
      <w:lvlJc w:val="left"/>
      <w:pPr>
        <w:ind w:left="720" w:hanging="360"/>
      </w:pPr>
      <w:rPr>
        <w:rFonts w:ascii="Symbol" w:hAnsi="Symbol"/>
      </w:rPr>
    </w:lvl>
    <w:lvl w:ilvl="8" w:tplc="4DDEB414">
      <w:start w:val="1"/>
      <w:numFmt w:val="bullet"/>
      <w:lvlText w:val=""/>
      <w:lvlJc w:val="left"/>
      <w:pPr>
        <w:ind w:left="720" w:hanging="360"/>
      </w:pPr>
      <w:rPr>
        <w:rFonts w:ascii="Symbol" w:hAnsi="Symbol"/>
      </w:rPr>
    </w:lvl>
  </w:abstractNum>
  <w:abstractNum w:abstractNumId="14" w15:restartNumberingAfterBreak="0">
    <w:nsid w:val="337C5FB2"/>
    <w:multiLevelType w:val="multilevel"/>
    <w:tmpl w:val="6AFEEB4C"/>
    <w:numStyleLink w:val="Bullets"/>
  </w:abstractNum>
  <w:abstractNum w:abstractNumId="15" w15:restartNumberingAfterBreak="0">
    <w:nsid w:val="34EF03B9"/>
    <w:multiLevelType w:val="hybridMultilevel"/>
    <w:tmpl w:val="F39EA89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35F41370"/>
    <w:multiLevelType w:val="multilevel"/>
    <w:tmpl w:val="531CECA2"/>
    <w:styleLink w:val="Recommendations"/>
    <w:lvl w:ilvl="0">
      <w:start w:val="1"/>
      <w:numFmt w:val="decimal"/>
      <w:pStyle w:val="Recommendation"/>
      <w:lvlText w:val="Recommendation %1:"/>
      <w:lvlJc w:val="left"/>
      <w:pPr>
        <w:ind w:left="850" w:firstLine="0"/>
      </w:pPr>
      <w:rPr>
        <w:rFonts w:hint="default"/>
      </w:rPr>
    </w:lvl>
    <w:lvl w:ilvl="1">
      <w:start w:val="1"/>
      <w:numFmt w:val="none"/>
      <w:lvlText w:val=""/>
      <w:lvlJc w:val="left"/>
      <w:pPr>
        <w:ind w:left="850" w:hanging="851"/>
      </w:pPr>
      <w:rPr>
        <w:rFonts w:hint="default"/>
      </w:rPr>
    </w:lvl>
    <w:lvl w:ilvl="2">
      <w:start w:val="1"/>
      <w:numFmt w:val="none"/>
      <w:lvlText w:val=""/>
      <w:lvlJc w:val="left"/>
      <w:pPr>
        <w:ind w:left="850" w:hanging="851"/>
      </w:pPr>
      <w:rPr>
        <w:rFonts w:hint="default"/>
      </w:rPr>
    </w:lvl>
    <w:lvl w:ilvl="3">
      <w:start w:val="1"/>
      <w:numFmt w:val="none"/>
      <w:lvlText w:val=""/>
      <w:lvlJc w:val="left"/>
      <w:pPr>
        <w:ind w:left="850" w:hanging="851"/>
      </w:pPr>
      <w:rPr>
        <w:rFonts w:hint="default"/>
      </w:rPr>
    </w:lvl>
    <w:lvl w:ilvl="4">
      <w:start w:val="1"/>
      <w:numFmt w:val="none"/>
      <w:lvlText w:val=""/>
      <w:lvlJc w:val="left"/>
      <w:pPr>
        <w:ind w:left="850" w:hanging="851"/>
      </w:pPr>
      <w:rPr>
        <w:rFonts w:hint="default"/>
      </w:rPr>
    </w:lvl>
    <w:lvl w:ilvl="5">
      <w:start w:val="1"/>
      <w:numFmt w:val="none"/>
      <w:lvlText w:val=""/>
      <w:lvlJc w:val="left"/>
      <w:pPr>
        <w:ind w:left="850" w:hanging="851"/>
      </w:pPr>
      <w:rPr>
        <w:rFonts w:hint="default"/>
      </w:rPr>
    </w:lvl>
    <w:lvl w:ilvl="6">
      <w:start w:val="1"/>
      <w:numFmt w:val="none"/>
      <w:lvlText w:val=""/>
      <w:lvlJc w:val="left"/>
      <w:pPr>
        <w:ind w:left="850" w:hanging="851"/>
      </w:pPr>
      <w:rPr>
        <w:rFonts w:hint="default"/>
      </w:rPr>
    </w:lvl>
    <w:lvl w:ilvl="7">
      <w:start w:val="1"/>
      <w:numFmt w:val="none"/>
      <w:lvlText w:val=""/>
      <w:lvlJc w:val="left"/>
      <w:pPr>
        <w:ind w:left="850" w:hanging="851"/>
      </w:pPr>
      <w:rPr>
        <w:rFonts w:hint="default"/>
      </w:rPr>
    </w:lvl>
    <w:lvl w:ilvl="8">
      <w:start w:val="1"/>
      <w:numFmt w:val="none"/>
      <w:lvlText w:val=""/>
      <w:lvlJc w:val="left"/>
      <w:pPr>
        <w:ind w:left="850" w:hanging="851"/>
      </w:pPr>
      <w:rPr>
        <w:rFonts w:hint="default"/>
      </w:rPr>
    </w:lvl>
  </w:abstractNum>
  <w:abstractNum w:abstractNumId="17" w15:restartNumberingAfterBreak="0">
    <w:nsid w:val="3A5B6AEE"/>
    <w:multiLevelType w:val="hybridMultilevel"/>
    <w:tmpl w:val="80AA8352"/>
    <w:lvl w:ilvl="0" w:tplc="BACA6C4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463A75"/>
    <w:multiLevelType w:val="hybridMultilevel"/>
    <w:tmpl w:val="DF008352"/>
    <w:lvl w:ilvl="0" w:tplc="45367D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651D2F"/>
    <w:multiLevelType w:val="hybridMultilevel"/>
    <w:tmpl w:val="78642970"/>
    <w:lvl w:ilvl="0" w:tplc="1736B276">
      <w:start w:val="1"/>
      <w:numFmt w:val="lowerRoman"/>
      <w:lvlText w:val="%1 "/>
      <w:lvlJc w:val="right"/>
      <w:pPr>
        <w:ind w:left="1440" w:hanging="360"/>
      </w:pPr>
    </w:lvl>
    <w:lvl w:ilvl="1" w:tplc="DD04A1F2">
      <w:start w:val="1"/>
      <w:numFmt w:val="lowerRoman"/>
      <w:lvlText w:val="%2 "/>
      <w:lvlJc w:val="right"/>
      <w:pPr>
        <w:ind w:left="1440" w:hanging="360"/>
      </w:pPr>
    </w:lvl>
    <w:lvl w:ilvl="2" w:tplc="2D0478B2">
      <w:start w:val="1"/>
      <w:numFmt w:val="lowerRoman"/>
      <w:lvlText w:val="%3 "/>
      <w:lvlJc w:val="right"/>
      <w:pPr>
        <w:ind w:left="1440" w:hanging="360"/>
      </w:pPr>
    </w:lvl>
    <w:lvl w:ilvl="3" w:tplc="D92624D4">
      <w:start w:val="1"/>
      <w:numFmt w:val="lowerRoman"/>
      <w:lvlText w:val="%4 "/>
      <w:lvlJc w:val="right"/>
      <w:pPr>
        <w:ind w:left="1440" w:hanging="360"/>
      </w:pPr>
    </w:lvl>
    <w:lvl w:ilvl="4" w:tplc="4A9E0F1E">
      <w:start w:val="1"/>
      <w:numFmt w:val="lowerRoman"/>
      <w:lvlText w:val="%5 "/>
      <w:lvlJc w:val="right"/>
      <w:pPr>
        <w:ind w:left="1440" w:hanging="360"/>
      </w:pPr>
    </w:lvl>
    <w:lvl w:ilvl="5" w:tplc="6390022A">
      <w:start w:val="1"/>
      <w:numFmt w:val="lowerRoman"/>
      <w:lvlText w:val="%6 "/>
      <w:lvlJc w:val="right"/>
      <w:pPr>
        <w:ind w:left="1440" w:hanging="360"/>
      </w:pPr>
    </w:lvl>
    <w:lvl w:ilvl="6" w:tplc="81C626F4">
      <w:start w:val="1"/>
      <w:numFmt w:val="lowerRoman"/>
      <w:lvlText w:val="%7 "/>
      <w:lvlJc w:val="right"/>
      <w:pPr>
        <w:ind w:left="1440" w:hanging="360"/>
      </w:pPr>
    </w:lvl>
    <w:lvl w:ilvl="7" w:tplc="B1D6DCD4">
      <w:start w:val="1"/>
      <w:numFmt w:val="lowerRoman"/>
      <w:lvlText w:val="%8 "/>
      <w:lvlJc w:val="right"/>
      <w:pPr>
        <w:ind w:left="1440" w:hanging="360"/>
      </w:pPr>
    </w:lvl>
    <w:lvl w:ilvl="8" w:tplc="5B1A721C">
      <w:start w:val="1"/>
      <w:numFmt w:val="lowerRoman"/>
      <w:lvlText w:val="%9 "/>
      <w:lvlJc w:val="right"/>
      <w:pPr>
        <w:ind w:left="1440" w:hanging="360"/>
      </w:pPr>
    </w:lvl>
  </w:abstractNum>
  <w:abstractNum w:abstractNumId="20" w15:restartNumberingAfterBreak="0">
    <w:nsid w:val="41CA12D0"/>
    <w:multiLevelType w:val="hybridMultilevel"/>
    <w:tmpl w:val="B34050C6"/>
    <w:lvl w:ilvl="0" w:tplc="88E89A0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DC5F32"/>
    <w:multiLevelType w:val="hybridMultilevel"/>
    <w:tmpl w:val="8A405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ED7659"/>
    <w:multiLevelType w:val="hybridMultilevel"/>
    <w:tmpl w:val="FB36D04A"/>
    <w:lvl w:ilvl="0" w:tplc="35A8D5BA">
      <w:start w:val="1"/>
      <w:numFmt w:val="lowerRoman"/>
      <w:lvlText w:val="%1 "/>
      <w:lvlJc w:val="right"/>
      <w:pPr>
        <w:ind w:left="1440" w:hanging="360"/>
      </w:pPr>
    </w:lvl>
    <w:lvl w:ilvl="1" w:tplc="BF92EBA6">
      <w:start w:val="1"/>
      <w:numFmt w:val="lowerRoman"/>
      <w:lvlText w:val="%2 "/>
      <w:lvlJc w:val="right"/>
      <w:pPr>
        <w:ind w:left="1440" w:hanging="360"/>
      </w:pPr>
    </w:lvl>
    <w:lvl w:ilvl="2" w:tplc="C5C00542">
      <w:start w:val="1"/>
      <w:numFmt w:val="lowerRoman"/>
      <w:lvlText w:val="%3 "/>
      <w:lvlJc w:val="right"/>
      <w:pPr>
        <w:ind w:left="1440" w:hanging="360"/>
      </w:pPr>
    </w:lvl>
    <w:lvl w:ilvl="3" w:tplc="F612D2B2">
      <w:start w:val="1"/>
      <w:numFmt w:val="lowerRoman"/>
      <w:lvlText w:val="%4 "/>
      <w:lvlJc w:val="right"/>
      <w:pPr>
        <w:ind w:left="1440" w:hanging="360"/>
      </w:pPr>
    </w:lvl>
    <w:lvl w:ilvl="4" w:tplc="820EDECC">
      <w:start w:val="1"/>
      <w:numFmt w:val="lowerRoman"/>
      <w:lvlText w:val="%5 "/>
      <w:lvlJc w:val="right"/>
      <w:pPr>
        <w:ind w:left="1440" w:hanging="360"/>
      </w:pPr>
    </w:lvl>
    <w:lvl w:ilvl="5" w:tplc="E0FA8F4A">
      <w:start w:val="1"/>
      <w:numFmt w:val="lowerRoman"/>
      <w:lvlText w:val="%6 "/>
      <w:lvlJc w:val="right"/>
      <w:pPr>
        <w:ind w:left="1440" w:hanging="360"/>
      </w:pPr>
    </w:lvl>
    <w:lvl w:ilvl="6" w:tplc="913E6EEE">
      <w:start w:val="1"/>
      <w:numFmt w:val="lowerRoman"/>
      <w:lvlText w:val="%7 "/>
      <w:lvlJc w:val="right"/>
      <w:pPr>
        <w:ind w:left="1440" w:hanging="360"/>
      </w:pPr>
    </w:lvl>
    <w:lvl w:ilvl="7" w:tplc="3B8E1C56">
      <w:start w:val="1"/>
      <w:numFmt w:val="lowerRoman"/>
      <w:lvlText w:val="%8 "/>
      <w:lvlJc w:val="right"/>
      <w:pPr>
        <w:ind w:left="1440" w:hanging="360"/>
      </w:pPr>
    </w:lvl>
    <w:lvl w:ilvl="8" w:tplc="7354FBC8">
      <w:start w:val="1"/>
      <w:numFmt w:val="lowerRoman"/>
      <w:lvlText w:val="%9 "/>
      <w:lvlJc w:val="right"/>
      <w:pPr>
        <w:ind w:left="1440" w:hanging="360"/>
      </w:pPr>
    </w:lvl>
  </w:abstractNum>
  <w:abstractNum w:abstractNumId="23" w15:restartNumberingAfterBreak="0">
    <w:nsid w:val="46795BEF"/>
    <w:multiLevelType w:val="hybridMultilevel"/>
    <w:tmpl w:val="40882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9D787F"/>
    <w:multiLevelType w:val="hybridMultilevel"/>
    <w:tmpl w:val="191817CE"/>
    <w:lvl w:ilvl="0" w:tplc="968E2CE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AC7FDE"/>
    <w:multiLevelType w:val="hybridMultilevel"/>
    <w:tmpl w:val="5E988B8C"/>
    <w:lvl w:ilvl="0" w:tplc="F930730E">
      <w:start w:val="1"/>
      <w:numFmt w:val="lowerLetter"/>
      <w:lvlText w:val="%1)"/>
      <w:lvlJc w:val="left"/>
      <w:pPr>
        <w:ind w:left="720" w:hanging="360"/>
      </w:pPr>
    </w:lvl>
    <w:lvl w:ilvl="1" w:tplc="440CF444">
      <w:start w:val="1"/>
      <w:numFmt w:val="lowerLetter"/>
      <w:lvlText w:val="%2)"/>
      <w:lvlJc w:val="left"/>
      <w:pPr>
        <w:ind w:left="720" w:hanging="360"/>
      </w:pPr>
    </w:lvl>
    <w:lvl w:ilvl="2" w:tplc="74AA3454">
      <w:start w:val="1"/>
      <w:numFmt w:val="lowerLetter"/>
      <w:lvlText w:val="%3)"/>
      <w:lvlJc w:val="left"/>
      <w:pPr>
        <w:ind w:left="720" w:hanging="360"/>
      </w:pPr>
    </w:lvl>
    <w:lvl w:ilvl="3" w:tplc="E6CE2D4E">
      <w:start w:val="1"/>
      <w:numFmt w:val="lowerLetter"/>
      <w:lvlText w:val="%4)"/>
      <w:lvlJc w:val="left"/>
      <w:pPr>
        <w:ind w:left="720" w:hanging="360"/>
      </w:pPr>
    </w:lvl>
    <w:lvl w:ilvl="4" w:tplc="6F20AFCE">
      <w:start w:val="1"/>
      <w:numFmt w:val="lowerLetter"/>
      <w:lvlText w:val="%5)"/>
      <w:lvlJc w:val="left"/>
      <w:pPr>
        <w:ind w:left="720" w:hanging="360"/>
      </w:pPr>
    </w:lvl>
    <w:lvl w:ilvl="5" w:tplc="0EA06E74">
      <w:start w:val="1"/>
      <w:numFmt w:val="lowerLetter"/>
      <w:lvlText w:val="%6)"/>
      <w:lvlJc w:val="left"/>
      <w:pPr>
        <w:ind w:left="720" w:hanging="360"/>
      </w:pPr>
    </w:lvl>
    <w:lvl w:ilvl="6" w:tplc="EC40D400">
      <w:start w:val="1"/>
      <w:numFmt w:val="lowerLetter"/>
      <w:lvlText w:val="%7)"/>
      <w:lvlJc w:val="left"/>
      <w:pPr>
        <w:ind w:left="720" w:hanging="360"/>
      </w:pPr>
    </w:lvl>
    <w:lvl w:ilvl="7" w:tplc="C2CC910A">
      <w:start w:val="1"/>
      <w:numFmt w:val="lowerLetter"/>
      <w:lvlText w:val="%8)"/>
      <w:lvlJc w:val="left"/>
      <w:pPr>
        <w:ind w:left="720" w:hanging="360"/>
      </w:pPr>
    </w:lvl>
    <w:lvl w:ilvl="8" w:tplc="90B88528">
      <w:start w:val="1"/>
      <w:numFmt w:val="lowerLetter"/>
      <w:lvlText w:val="%9)"/>
      <w:lvlJc w:val="left"/>
      <w:pPr>
        <w:ind w:left="720" w:hanging="360"/>
      </w:pPr>
    </w:lvl>
  </w:abstractNum>
  <w:abstractNum w:abstractNumId="26" w15:restartNumberingAfterBreak="0">
    <w:nsid w:val="4AF73C10"/>
    <w:multiLevelType w:val="hybridMultilevel"/>
    <w:tmpl w:val="E1AACFCA"/>
    <w:lvl w:ilvl="0" w:tplc="FED6EFCA">
      <w:start w:val="1"/>
      <w:numFmt w:val="lowerLetter"/>
      <w:lvlText w:val="%1)"/>
      <w:lvlJc w:val="left"/>
      <w:pPr>
        <w:ind w:left="720" w:hanging="360"/>
      </w:pPr>
    </w:lvl>
    <w:lvl w:ilvl="1" w:tplc="D862D718">
      <w:start w:val="1"/>
      <w:numFmt w:val="lowerLetter"/>
      <w:lvlText w:val="%2)"/>
      <w:lvlJc w:val="left"/>
      <w:pPr>
        <w:ind w:left="720" w:hanging="360"/>
      </w:pPr>
    </w:lvl>
    <w:lvl w:ilvl="2" w:tplc="508A56FA">
      <w:start w:val="1"/>
      <w:numFmt w:val="lowerLetter"/>
      <w:lvlText w:val="%3)"/>
      <w:lvlJc w:val="left"/>
      <w:pPr>
        <w:ind w:left="720" w:hanging="360"/>
      </w:pPr>
    </w:lvl>
    <w:lvl w:ilvl="3" w:tplc="380ECF4C">
      <w:start w:val="1"/>
      <w:numFmt w:val="lowerLetter"/>
      <w:lvlText w:val="%4)"/>
      <w:lvlJc w:val="left"/>
      <w:pPr>
        <w:ind w:left="720" w:hanging="360"/>
      </w:pPr>
    </w:lvl>
    <w:lvl w:ilvl="4" w:tplc="1FDA5C7E">
      <w:start w:val="1"/>
      <w:numFmt w:val="lowerLetter"/>
      <w:lvlText w:val="%5)"/>
      <w:lvlJc w:val="left"/>
      <w:pPr>
        <w:ind w:left="720" w:hanging="360"/>
      </w:pPr>
    </w:lvl>
    <w:lvl w:ilvl="5" w:tplc="DE82C99A">
      <w:start w:val="1"/>
      <w:numFmt w:val="lowerLetter"/>
      <w:lvlText w:val="%6)"/>
      <w:lvlJc w:val="left"/>
      <w:pPr>
        <w:ind w:left="720" w:hanging="360"/>
      </w:pPr>
    </w:lvl>
    <w:lvl w:ilvl="6" w:tplc="BA1AEC8E">
      <w:start w:val="1"/>
      <w:numFmt w:val="lowerLetter"/>
      <w:lvlText w:val="%7)"/>
      <w:lvlJc w:val="left"/>
      <w:pPr>
        <w:ind w:left="720" w:hanging="360"/>
      </w:pPr>
    </w:lvl>
    <w:lvl w:ilvl="7" w:tplc="907ED1F4">
      <w:start w:val="1"/>
      <w:numFmt w:val="lowerLetter"/>
      <w:lvlText w:val="%8)"/>
      <w:lvlJc w:val="left"/>
      <w:pPr>
        <w:ind w:left="720" w:hanging="360"/>
      </w:pPr>
    </w:lvl>
    <w:lvl w:ilvl="8" w:tplc="359C07E0">
      <w:start w:val="1"/>
      <w:numFmt w:val="lowerLetter"/>
      <w:lvlText w:val="%9)"/>
      <w:lvlJc w:val="left"/>
      <w:pPr>
        <w:ind w:left="720" w:hanging="360"/>
      </w:pPr>
    </w:lvl>
  </w:abstractNum>
  <w:abstractNum w:abstractNumId="27"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51381E25"/>
    <w:multiLevelType w:val="hybridMultilevel"/>
    <w:tmpl w:val="622816C8"/>
    <w:lvl w:ilvl="0" w:tplc="8A6E48B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8353DB"/>
    <w:multiLevelType w:val="hybridMultilevel"/>
    <w:tmpl w:val="7292CAE2"/>
    <w:lvl w:ilvl="0" w:tplc="FAD8E018">
      <w:start w:val="1"/>
      <w:numFmt w:val="bullet"/>
      <w:lvlText w:val=""/>
      <w:lvlJc w:val="left"/>
      <w:pPr>
        <w:ind w:left="720" w:hanging="360"/>
      </w:pPr>
      <w:rPr>
        <w:rFonts w:ascii="Symbol" w:hAnsi="Symbol"/>
      </w:rPr>
    </w:lvl>
    <w:lvl w:ilvl="1" w:tplc="AFBEA084">
      <w:start w:val="1"/>
      <w:numFmt w:val="bullet"/>
      <w:lvlText w:val=""/>
      <w:lvlJc w:val="left"/>
      <w:pPr>
        <w:ind w:left="720" w:hanging="360"/>
      </w:pPr>
      <w:rPr>
        <w:rFonts w:ascii="Symbol" w:hAnsi="Symbol"/>
      </w:rPr>
    </w:lvl>
    <w:lvl w:ilvl="2" w:tplc="99F2769C">
      <w:start w:val="1"/>
      <w:numFmt w:val="bullet"/>
      <w:lvlText w:val=""/>
      <w:lvlJc w:val="left"/>
      <w:pPr>
        <w:ind w:left="720" w:hanging="360"/>
      </w:pPr>
      <w:rPr>
        <w:rFonts w:ascii="Symbol" w:hAnsi="Symbol"/>
      </w:rPr>
    </w:lvl>
    <w:lvl w:ilvl="3" w:tplc="C724247A">
      <w:start w:val="1"/>
      <w:numFmt w:val="bullet"/>
      <w:lvlText w:val=""/>
      <w:lvlJc w:val="left"/>
      <w:pPr>
        <w:ind w:left="720" w:hanging="360"/>
      </w:pPr>
      <w:rPr>
        <w:rFonts w:ascii="Symbol" w:hAnsi="Symbol"/>
      </w:rPr>
    </w:lvl>
    <w:lvl w:ilvl="4" w:tplc="B2783FD4">
      <w:start w:val="1"/>
      <w:numFmt w:val="bullet"/>
      <w:lvlText w:val=""/>
      <w:lvlJc w:val="left"/>
      <w:pPr>
        <w:ind w:left="720" w:hanging="360"/>
      </w:pPr>
      <w:rPr>
        <w:rFonts w:ascii="Symbol" w:hAnsi="Symbol"/>
      </w:rPr>
    </w:lvl>
    <w:lvl w:ilvl="5" w:tplc="00D447D4">
      <w:start w:val="1"/>
      <w:numFmt w:val="bullet"/>
      <w:lvlText w:val=""/>
      <w:lvlJc w:val="left"/>
      <w:pPr>
        <w:ind w:left="720" w:hanging="360"/>
      </w:pPr>
      <w:rPr>
        <w:rFonts w:ascii="Symbol" w:hAnsi="Symbol"/>
      </w:rPr>
    </w:lvl>
    <w:lvl w:ilvl="6" w:tplc="1F7C5F0A">
      <w:start w:val="1"/>
      <w:numFmt w:val="bullet"/>
      <w:lvlText w:val=""/>
      <w:lvlJc w:val="left"/>
      <w:pPr>
        <w:ind w:left="720" w:hanging="360"/>
      </w:pPr>
      <w:rPr>
        <w:rFonts w:ascii="Symbol" w:hAnsi="Symbol"/>
      </w:rPr>
    </w:lvl>
    <w:lvl w:ilvl="7" w:tplc="764E2AD6">
      <w:start w:val="1"/>
      <w:numFmt w:val="bullet"/>
      <w:lvlText w:val=""/>
      <w:lvlJc w:val="left"/>
      <w:pPr>
        <w:ind w:left="720" w:hanging="360"/>
      </w:pPr>
      <w:rPr>
        <w:rFonts w:ascii="Symbol" w:hAnsi="Symbol"/>
      </w:rPr>
    </w:lvl>
    <w:lvl w:ilvl="8" w:tplc="977AA5FE">
      <w:start w:val="1"/>
      <w:numFmt w:val="bullet"/>
      <w:lvlText w:val=""/>
      <w:lvlJc w:val="left"/>
      <w:pPr>
        <w:ind w:left="720" w:hanging="360"/>
      </w:pPr>
      <w:rPr>
        <w:rFonts w:ascii="Symbol" w:hAnsi="Symbol"/>
      </w:rPr>
    </w:lvl>
  </w:abstractNum>
  <w:abstractNum w:abstractNumId="30" w15:restartNumberingAfterBreak="0">
    <w:nsid w:val="57A51B2D"/>
    <w:multiLevelType w:val="hybridMultilevel"/>
    <w:tmpl w:val="2390BD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5BC2019"/>
    <w:multiLevelType w:val="multilevel"/>
    <w:tmpl w:val="197C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225C5A"/>
    <w:multiLevelType w:val="hybridMultilevel"/>
    <w:tmpl w:val="5E52F0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695B24D9"/>
    <w:multiLevelType w:val="hybridMultilevel"/>
    <w:tmpl w:val="B2C6DAAE"/>
    <w:lvl w:ilvl="0" w:tplc="F32CAA6C">
      <w:start w:val="1"/>
      <w:numFmt w:val="lowerLetter"/>
      <w:lvlText w:val="%1)"/>
      <w:lvlJc w:val="left"/>
      <w:pPr>
        <w:ind w:left="720" w:hanging="360"/>
      </w:pPr>
    </w:lvl>
    <w:lvl w:ilvl="1" w:tplc="637297B4">
      <w:start w:val="1"/>
      <w:numFmt w:val="lowerLetter"/>
      <w:lvlText w:val="%2)"/>
      <w:lvlJc w:val="left"/>
      <w:pPr>
        <w:ind w:left="720" w:hanging="360"/>
      </w:pPr>
    </w:lvl>
    <w:lvl w:ilvl="2" w:tplc="3B7A1DFA">
      <w:start w:val="1"/>
      <w:numFmt w:val="lowerLetter"/>
      <w:lvlText w:val="%3)"/>
      <w:lvlJc w:val="left"/>
      <w:pPr>
        <w:ind w:left="720" w:hanging="360"/>
      </w:pPr>
    </w:lvl>
    <w:lvl w:ilvl="3" w:tplc="84EE1994">
      <w:start w:val="1"/>
      <w:numFmt w:val="lowerLetter"/>
      <w:lvlText w:val="%4)"/>
      <w:lvlJc w:val="left"/>
      <w:pPr>
        <w:ind w:left="720" w:hanging="360"/>
      </w:pPr>
    </w:lvl>
    <w:lvl w:ilvl="4" w:tplc="9162054A">
      <w:start w:val="1"/>
      <w:numFmt w:val="lowerLetter"/>
      <w:lvlText w:val="%5)"/>
      <w:lvlJc w:val="left"/>
      <w:pPr>
        <w:ind w:left="720" w:hanging="360"/>
      </w:pPr>
    </w:lvl>
    <w:lvl w:ilvl="5" w:tplc="601A27D4">
      <w:start w:val="1"/>
      <w:numFmt w:val="lowerLetter"/>
      <w:lvlText w:val="%6)"/>
      <w:lvlJc w:val="left"/>
      <w:pPr>
        <w:ind w:left="720" w:hanging="360"/>
      </w:pPr>
    </w:lvl>
    <w:lvl w:ilvl="6" w:tplc="3AB47522">
      <w:start w:val="1"/>
      <w:numFmt w:val="lowerLetter"/>
      <w:lvlText w:val="%7)"/>
      <w:lvlJc w:val="left"/>
      <w:pPr>
        <w:ind w:left="720" w:hanging="360"/>
      </w:pPr>
    </w:lvl>
    <w:lvl w:ilvl="7" w:tplc="FBD4798E">
      <w:start w:val="1"/>
      <w:numFmt w:val="lowerLetter"/>
      <w:lvlText w:val="%8)"/>
      <w:lvlJc w:val="left"/>
      <w:pPr>
        <w:ind w:left="720" w:hanging="360"/>
      </w:pPr>
    </w:lvl>
    <w:lvl w:ilvl="8" w:tplc="C30AD0A2">
      <w:start w:val="1"/>
      <w:numFmt w:val="lowerLetter"/>
      <w:lvlText w:val="%9)"/>
      <w:lvlJc w:val="left"/>
      <w:pPr>
        <w:ind w:left="720" w:hanging="360"/>
      </w:pPr>
    </w:lvl>
  </w:abstractNum>
  <w:abstractNum w:abstractNumId="34"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53F467E"/>
    <w:multiLevelType w:val="hybridMultilevel"/>
    <w:tmpl w:val="19DA0A8A"/>
    <w:lvl w:ilvl="0" w:tplc="8A6E48B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7" w15:restartNumberingAfterBreak="0">
    <w:nsid w:val="7DB312C7"/>
    <w:multiLevelType w:val="hybridMultilevel"/>
    <w:tmpl w:val="024C73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E043478"/>
    <w:multiLevelType w:val="hybridMultilevel"/>
    <w:tmpl w:val="913AF3E8"/>
    <w:lvl w:ilvl="0" w:tplc="8A6E48BC">
      <w:numFmt w:val="bullet"/>
      <w:lvlText w:val="•"/>
      <w:lvlJc w:val="left"/>
      <w:pPr>
        <w:ind w:left="720" w:hanging="360"/>
      </w:pPr>
      <w:rPr>
        <w:rFonts w:ascii="Calibri" w:eastAsiaTheme="minorEastAsia" w:hAnsi="Calibri" w:cs="Calibri" w:hint="default"/>
      </w:rPr>
    </w:lvl>
    <w:lvl w:ilvl="1" w:tplc="AB36A9C8">
      <w:numFmt w:val="bullet"/>
      <w:lvlText w:val=""/>
      <w:lvlJc w:val="left"/>
      <w:pPr>
        <w:ind w:left="1440" w:hanging="360"/>
      </w:pPr>
      <w:rPr>
        <w:rFonts w:ascii="Symbol" w:eastAsiaTheme="minorEastAsia" w:hAnsi="Symbol"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302EC8"/>
    <w:multiLevelType w:val="hybridMultilevel"/>
    <w:tmpl w:val="F0FCAC86"/>
    <w:lvl w:ilvl="0" w:tplc="33EEAD54">
      <w:start w:val="1"/>
      <w:numFmt w:val="bullet"/>
      <w:lvlText w:val=""/>
      <w:lvlJc w:val="left"/>
      <w:pPr>
        <w:ind w:left="720" w:hanging="360"/>
      </w:pPr>
      <w:rPr>
        <w:rFonts w:ascii="Symbol" w:hAnsi="Symbol"/>
      </w:rPr>
    </w:lvl>
    <w:lvl w:ilvl="1" w:tplc="252EC3D0">
      <w:start w:val="1"/>
      <w:numFmt w:val="bullet"/>
      <w:lvlText w:val=""/>
      <w:lvlJc w:val="left"/>
      <w:pPr>
        <w:ind w:left="720" w:hanging="360"/>
      </w:pPr>
      <w:rPr>
        <w:rFonts w:ascii="Symbol" w:hAnsi="Symbol"/>
      </w:rPr>
    </w:lvl>
    <w:lvl w:ilvl="2" w:tplc="AFB06C3C">
      <w:start w:val="1"/>
      <w:numFmt w:val="bullet"/>
      <w:lvlText w:val=""/>
      <w:lvlJc w:val="left"/>
      <w:pPr>
        <w:ind w:left="720" w:hanging="360"/>
      </w:pPr>
      <w:rPr>
        <w:rFonts w:ascii="Symbol" w:hAnsi="Symbol"/>
      </w:rPr>
    </w:lvl>
    <w:lvl w:ilvl="3" w:tplc="9B0EE976">
      <w:start w:val="1"/>
      <w:numFmt w:val="bullet"/>
      <w:lvlText w:val=""/>
      <w:lvlJc w:val="left"/>
      <w:pPr>
        <w:ind w:left="720" w:hanging="360"/>
      </w:pPr>
      <w:rPr>
        <w:rFonts w:ascii="Symbol" w:hAnsi="Symbol"/>
      </w:rPr>
    </w:lvl>
    <w:lvl w:ilvl="4" w:tplc="EB7E0332">
      <w:start w:val="1"/>
      <w:numFmt w:val="bullet"/>
      <w:lvlText w:val=""/>
      <w:lvlJc w:val="left"/>
      <w:pPr>
        <w:ind w:left="720" w:hanging="360"/>
      </w:pPr>
      <w:rPr>
        <w:rFonts w:ascii="Symbol" w:hAnsi="Symbol"/>
      </w:rPr>
    </w:lvl>
    <w:lvl w:ilvl="5" w:tplc="E6A60F72">
      <w:start w:val="1"/>
      <w:numFmt w:val="bullet"/>
      <w:lvlText w:val=""/>
      <w:lvlJc w:val="left"/>
      <w:pPr>
        <w:ind w:left="720" w:hanging="360"/>
      </w:pPr>
      <w:rPr>
        <w:rFonts w:ascii="Symbol" w:hAnsi="Symbol"/>
      </w:rPr>
    </w:lvl>
    <w:lvl w:ilvl="6" w:tplc="C5841658">
      <w:start w:val="1"/>
      <w:numFmt w:val="bullet"/>
      <w:lvlText w:val=""/>
      <w:lvlJc w:val="left"/>
      <w:pPr>
        <w:ind w:left="720" w:hanging="360"/>
      </w:pPr>
      <w:rPr>
        <w:rFonts w:ascii="Symbol" w:hAnsi="Symbol"/>
      </w:rPr>
    </w:lvl>
    <w:lvl w:ilvl="7" w:tplc="B6BCE574">
      <w:start w:val="1"/>
      <w:numFmt w:val="bullet"/>
      <w:lvlText w:val=""/>
      <w:lvlJc w:val="left"/>
      <w:pPr>
        <w:ind w:left="720" w:hanging="360"/>
      </w:pPr>
      <w:rPr>
        <w:rFonts w:ascii="Symbol" w:hAnsi="Symbol"/>
      </w:rPr>
    </w:lvl>
    <w:lvl w:ilvl="8" w:tplc="2F820C48">
      <w:start w:val="1"/>
      <w:numFmt w:val="bullet"/>
      <w:lvlText w:val=""/>
      <w:lvlJc w:val="left"/>
      <w:pPr>
        <w:ind w:left="720" w:hanging="360"/>
      </w:pPr>
      <w:rPr>
        <w:rFonts w:ascii="Symbol" w:hAnsi="Symbol"/>
      </w:rPr>
    </w:lvl>
  </w:abstractNum>
  <w:abstractNum w:abstractNumId="40" w15:restartNumberingAfterBreak="0">
    <w:nsid w:val="7F47288D"/>
    <w:multiLevelType w:val="hybridMultilevel"/>
    <w:tmpl w:val="E46CC3D0"/>
    <w:lvl w:ilvl="0" w:tplc="757C7A6C">
      <w:start w:val="1"/>
      <w:numFmt w:val="bullet"/>
      <w:lvlText w:val=""/>
      <w:lvlJc w:val="left"/>
      <w:pPr>
        <w:ind w:left="720" w:hanging="360"/>
      </w:pPr>
      <w:rPr>
        <w:rFonts w:ascii="Symbol" w:hAnsi="Symbol"/>
      </w:rPr>
    </w:lvl>
    <w:lvl w:ilvl="1" w:tplc="13447BCC">
      <w:start w:val="1"/>
      <w:numFmt w:val="bullet"/>
      <w:lvlText w:val=""/>
      <w:lvlJc w:val="left"/>
      <w:pPr>
        <w:ind w:left="720" w:hanging="360"/>
      </w:pPr>
      <w:rPr>
        <w:rFonts w:ascii="Symbol" w:hAnsi="Symbol"/>
      </w:rPr>
    </w:lvl>
    <w:lvl w:ilvl="2" w:tplc="C71653D8">
      <w:start w:val="1"/>
      <w:numFmt w:val="bullet"/>
      <w:lvlText w:val=""/>
      <w:lvlJc w:val="left"/>
      <w:pPr>
        <w:ind w:left="720" w:hanging="360"/>
      </w:pPr>
      <w:rPr>
        <w:rFonts w:ascii="Symbol" w:hAnsi="Symbol"/>
      </w:rPr>
    </w:lvl>
    <w:lvl w:ilvl="3" w:tplc="08B44092">
      <w:start w:val="1"/>
      <w:numFmt w:val="bullet"/>
      <w:lvlText w:val=""/>
      <w:lvlJc w:val="left"/>
      <w:pPr>
        <w:ind w:left="720" w:hanging="360"/>
      </w:pPr>
      <w:rPr>
        <w:rFonts w:ascii="Symbol" w:hAnsi="Symbol"/>
      </w:rPr>
    </w:lvl>
    <w:lvl w:ilvl="4" w:tplc="8BD63B60">
      <w:start w:val="1"/>
      <w:numFmt w:val="bullet"/>
      <w:lvlText w:val=""/>
      <w:lvlJc w:val="left"/>
      <w:pPr>
        <w:ind w:left="720" w:hanging="360"/>
      </w:pPr>
      <w:rPr>
        <w:rFonts w:ascii="Symbol" w:hAnsi="Symbol"/>
      </w:rPr>
    </w:lvl>
    <w:lvl w:ilvl="5" w:tplc="3A122DA4">
      <w:start w:val="1"/>
      <w:numFmt w:val="bullet"/>
      <w:lvlText w:val=""/>
      <w:lvlJc w:val="left"/>
      <w:pPr>
        <w:ind w:left="720" w:hanging="360"/>
      </w:pPr>
      <w:rPr>
        <w:rFonts w:ascii="Symbol" w:hAnsi="Symbol"/>
      </w:rPr>
    </w:lvl>
    <w:lvl w:ilvl="6" w:tplc="53487B6A">
      <w:start w:val="1"/>
      <w:numFmt w:val="bullet"/>
      <w:lvlText w:val=""/>
      <w:lvlJc w:val="left"/>
      <w:pPr>
        <w:ind w:left="720" w:hanging="360"/>
      </w:pPr>
      <w:rPr>
        <w:rFonts w:ascii="Symbol" w:hAnsi="Symbol"/>
      </w:rPr>
    </w:lvl>
    <w:lvl w:ilvl="7" w:tplc="2B8E4842">
      <w:start w:val="1"/>
      <w:numFmt w:val="bullet"/>
      <w:lvlText w:val=""/>
      <w:lvlJc w:val="left"/>
      <w:pPr>
        <w:ind w:left="720" w:hanging="360"/>
      </w:pPr>
      <w:rPr>
        <w:rFonts w:ascii="Symbol" w:hAnsi="Symbol"/>
      </w:rPr>
    </w:lvl>
    <w:lvl w:ilvl="8" w:tplc="79AAE6F2">
      <w:start w:val="1"/>
      <w:numFmt w:val="bullet"/>
      <w:lvlText w:val=""/>
      <w:lvlJc w:val="left"/>
      <w:pPr>
        <w:ind w:left="720" w:hanging="360"/>
      </w:pPr>
      <w:rPr>
        <w:rFonts w:ascii="Symbol" w:hAnsi="Symbol"/>
      </w:rPr>
    </w:lvl>
  </w:abstractNum>
  <w:abstractNum w:abstractNumId="41" w15:restartNumberingAfterBreak="0">
    <w:nsid w:val="7F820593"/>
    <w:multiLevelType w:val="hybridMultilevel"/>
    <w:tmpl w:val="2A72B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F35DD9"/>
    <w:multiLevelType w:val="hybridMultilevel"/>
    <w:tmpl w:val="013A780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2037082">
    <w:abstractNumId w:val="36"/>
  </w:num>
  <w:num w:numId="2" w16cid:durableId="432474946">
    <w:abstractNumId w:val="11"/>
  </w:num>
  <w:num w:numId="3" w16cid:durableId="1224683495">
    <w:abstractNumId w:val="14"/>
  </w:num>
  <w:num w:numId="4" w16cid:durableId="1132165798">
    <w:abstractNumId w:val="27"/>
  </w:num>
  <w:num w:numId="5" w16cid:durableId="671227">
    <w:abstractNumId w:val="34"/>
  </w:num>
  <w:num w:numId="6" w16cid:durableId="151024087">
    <w:abstractNumId w:val="16"/>
    <w:lvlOverride w:ilvl="0">
      <w:lvl w:ilvl="0">
        <w:start w:val="1"/>
        <w:numFmt w:val="decimal"/>
        <w:pStyle w:val="Recommendation"/>
        <w:lvlText w:val="Recommendation %1:"/>
        <w:lvlJc w:val="left"/>
        <w:pPr>
          <w:ind w:left="850" w:firstLine="0"/>
        </w:pPr>
        <w:rPr>
          <w:rFonts w:hint="default"/>
        </w:rPr>
      </w:lvl>
    </w:lvlOverride>
    <w:lvlOverride w:ilvl="1">
      <w:lvl w:ilvl="1">
        <w:start w:val="1"/>
        <w:numFmt w:val="none"/>
        <w:lvlText w:val=""/>
        <w:lvlJc w:val="left"/>
        <w:pPr>
          <w:ind w:left="850" w:hanging="851"/>
        </w:pPr>
        <w:rPr>
          <w:rFonts w:hint="default"/>
        </w:rPr>
      </w:lvl>
    </w:lvlOverride>
    <w:lvlOverride w:ilvl="2">
      <w:lvl w:ilvl="2">
        <w:start w:val="1"/>
        <w:numFmt w:val="none"/>
        <w:lvlText w:val=""/>
        <w:lvlJc w:val="left"/>
        <w:pPr>
          <w:ind w:left="850" w:hanging="851"/>
        </w:pPr>
        <w:rPr>
          <w:rFonts w:hint="default"/>
        </w:rPr>
      </w:lvl>
    </w:lvlOverride>
    <w:lvlOverride w:ilvl="3">
      <w:lvl w:ilvl="3">
        <w:start w:val="1"/>
        <w:numFmt w:val="none"/>
        <w:lvlText w:val=""/>
        <w:lvlJc w:val="left"/>
        <w:pPr>
          <w:ind w:left="850" w:hanging="851"/>
        </w:pPr>
        <w:rPr>
          <w:rFonts w:hint="default"/>
        </w:rPr>
      </w:lvl>
    </w:lvlOverride>
    <w:lvlOverride w:ilvl="4">
      <w:lvl w:ilvl="4">
        <w:start w:val="1"/>
        <w:numFmt w:val="none"/>
        <w:lvlText w:val=""/>
        <w:lvlJc w:val="left"/>
        <w:pPr>
          <w:ind w:left="850" w:hanging="851"/>
        </w:pPr>
        <w:rPr>
          <w:rFonts w:hint="default"/>
        </w:rPr>
      </w:lvl>
    </w:lvlOverride>
    <w:lvlOverride w:ilvl="5">
      <w:lvl w:ilvl="5">
        <w:start w:val="1"/>
        <w:numFmt w:val="none"/>
        <w:lvlText w:val=""/>
        <w:lvlJc w:val="left"/>
        <w:pPr>
          <w:ind w:left="850" w:hanging="851"/>
        </w:pPr>
        <w:rPr>
          <w:rFonts w:hint="default"/>
        </w:rPr>
      </w:lvl>
    </w:lvlOverride>
    <w:lvlOverride w:ilvl="6">
      <w:lvl w:ilvl="6">
        <w:start w:val="1"/>
        <w:numFmt w:val="none"/>
        <w:lvlText w:val=""/>
        <w:lvlJc w:val="left"/>
        <w:pPr>
          <w:ind w:left="850" w:hanging="851"/>
        </w:pPr>
        <w:rPr>
          <w:rFonts w:hint="default"/>
        </w:rPr>
      </w:lvl>
    </w:lvlOverride>
    <w:lvlOverride w:ilvl="7">
      <w:lvl w:ilvl="7">
        <w:start w:val="1"/>
        <w:numFmt w:val="none"/>
        <w:lvlText w:val=""/>
        <w:lvlJc w:val="left"/>
        <w:pPr>
          <w:ind w:left="850" w:hanging="851"/>
        </w:pPr>
        <w:rPr>
          <w:rFonts w:hint="default"/>
        </w:rPr>
      </w:lvl>
    </w:lvlOverride>
    <w:lvlOverride w:ilvl="8">
      <w:lvl w:ilvl="8">
        <w:start w:val="1"/>
        <w:numFmt w:val="none"/>
        <w:lvlText w:val=""/>
        <w:lvlJc w:val="left"/>
        <w:pPr>
          <w:ind w:left="850" w:hanging="851"/>
        </w:pPr>
        <w:rPr>
          <w:rFonts w:hint="default"/>
        </w:rPr>
      </w:lvl>
    </w:lvlOverride>
  </w:num>
  <w:num w:numId="7" w16cid:durableId="1124159441">
    <w:abstractNumId w:val="38"/>
  </w:num>
  <w:num w:numId="8" w16cid:durableId="422726641">
    <w:abstractNumId w:val="7"/>
  </w:num>
  <w:num w:numId="9" w16cid:durableId="655038067">
    <w:abstractNumId w:val="2"/>
  </w:num>
  <w:num w:numId="10" w16cid:durableId="493842827">
    <w:abstractNumId w:val="15"/>
  </w:num>
  <w:num w:numId="11" w16cid:durableId="19281121">
    <w:abstractNumId w:val="30"/>
  </w:num>
  <w:num w:numId="12" w16cid:durableId="20790136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7423396">
    <w:abstractNumId w:val="12"/>
  </w:num>
  <w:num w:numId="14" w16cid:durableId="1252818881">
    <w:abstractNumId w:val="4"/>
  </w:num>
  <w:num w:numId="15" w16cid:durableId="533807091">
    <w:abstractNumId w:val="37"/>
  </w:num>
  <w:num w:numId="16" w16cid:durableId="166216114">
    <w:abstractNumId w:val="42"/>
  </w:num>
  <w:num w:numId="17" w16cid:durableId="321351973">
    <w:abstractNumId w:val="17"/>
  </w:num>
  <w:num w:numId="18" w16cid:durableId="491407426">
    <w:abstractNumId w:val="20"/>
  </w:num>
  <w:num w:numId="19" w16cid:durableId="941842473">
    <w:abstractNumId w:val="24"/>
  </w:num>
  <w:num w:numId="20" w16cid:durableId="819880919">
    <w:abstractNumId w:val="40"/>
  </w:num>
  <w:num w:numId="21" w16cid:durableId="249242357">
    <w:abstractNumId w:val="31"/>
  </w:num>
  <w:num w:numId="22" w16cid:durableId="2121948119">
    <w:abstractNumId w:val="5"/>
  </w:num>
  <w:num w:numId="23" w16cid:durableId="682124565">
    <w:abstractNumId w:val="16"/>
    <w:lvlOverride w:ilvl="0">
      <w:lvl w:ilvl="0">
        <w:start w:val="1"/>
        <w:numFmt w:val="decimal"/>
        <w:pStyle w:val="Recommendation"/>
        <w:lvlText w:val="Recommendation %1:"/>
        <w:lvlJc w:val="left"/>
        <w:pPr>
          <w:ind w:left="850" w:firstLine="0"/>
        </w:pPr>
        <w:rPr>
          <w:rFonts w:hint="default"/>
          <w:b/>
          <w:bCs/>
        </w:rPr>
      </w:lvl>
    </w:lvlOverride>
    <w:lvlOverride w:ilvl="1">
      <w:lvl w:ilvl="1">
        <w:start w:val="1"/>
        <w:numFmt w:val="none"/>
        <w:lvlText w:val=""/>
        <w:lvlJc w:val="left"/>
        <w:pPr>
          <w:ind w:left="850" w:hanging="851"/>
        </w:pPr>
        <w:rPr>
          <w:rFonts w:hint="default"/>
        </w:rPr>
      </w:lvl>
    </w:lvlOverride>
    <w:lvlOverride w:ilvl="2">
      <w:lvl w:ilvl="2">
        <w:start w:val="1"/>
        <w:numFmt w:val="none"/>
        <w:lvlText w:val=""/>
        <w:lvlJc w:val="left"/>
        <w:pPr>
          <w:ind w:left="850" w:hanging="851"/>
        </w:pPr>
        <w:rPr>
          <w:rFonts w:hint="default"/>
        </w:rPr>
      </w:lvl>
    </w:lvlOverride>
    <w:lvlOverride w:ilvl="3">
      <w:lvl w:ilvl="3">
        <w:start w:val="1"/>
        <w:numFmt w:val="none"/>
        <w:lvlText w:val=""/>
        <w:lvlJc w:val="left"/>
        <w:pPr>
          <w:ind w:left="850" w:hanging="851"/>
        </w:pPr>
        <w:rPr>
          <w:rFonts w:hint="default"/>
        </w:rPr>
      </w:lvl>
    </w:lvlOverride>
    <w:lvlOverride w:ilvl="4">
      <w:lvl w:ilvl="4">
        <w:start w:val="1"/>
        <w:numFmt w:val="none"/>
        <w:lvlText w:val=""/>
        <w:lvlJc w:val="left"/>
        <w:pPr>
          <w:ind w:left="850" w:hanging="851"/>
        </w:pPr>
        <w:rPr>
          <w:rFonts w:hint="default"/>
        </w:rPr>
      </w:lvl>
    </w:lvlOverride>
    <w:lvlOverride w:ilvl="5">
      <w:lvl w:ilvl="5">
        <w:start w:val="1"/>
        <w:numFmt w:val="none"/>
        <w:lvlText w:val=""/>
        <w:lvlJc w:val="left"/>
        <w:pPr>
          <w:ind w:left="850" w:hanging="851"/>
        </w:pPr>
        <w:rPr>
          <w:rFonts w:hint="default"/>
        </w:rPr>
      </w:lvl>
    </w:lvlOverride>
    <w:lvlOverride w:ilvl="6">
      <w:lvl w:ilvl="6">
        <w:start w:val="1"/>
        <w:numFmt w:val="none"/>
        <w:lvlText w:val=""/>
        <w:lvlJc w:val="left"/>
        <w:pPr>
          <w:ind w:left="850" w:hanging="851"/>
        </w:pPr>
        <w:rPr>
          <w:rFonts w:hint="default"/>
        </w:rPr>
      </w:lvl>
    </w:lvlOverride>
    <w:lvlOverride w:ilvl="7">
      <w:lvl w:ilvl="7">
        <w:start w:val="1"/>
        <w:numFmt w:val="none"/>
        <w:lvlText w:val=""/>
        <w:lvlJc w:val="left"/>
        <w:pPr>
          <w:ind w:left="850" w:hanging="851"/>
        </w:pPr>
        <w:rPr>
          <w:rFonts w:hint="default"/>
        </w:rPr>
      </w:lvl>
    </w:lvlOverride>
    <w:lvlOverride w:ilvl="8">
      <w:lvl w:ilvl="8">
        <w:start w:val="1"/>
        <w:numFmt w:val="none"/>
        <w:lvlText w:val=""/>
        <w:lvlJc w:val="left"/>
        <w:pPr>
          <w:ind w:left="850" w:hanging="851"/>
        </w:pPr>
        <w:rPr>
          <w:rFonts w:hint="default"/>
        </w:rPr>
      </w:lvl>
    </w:lvlOverride>
  </w:num>
  <w:num w:numId="24" w16cid:durableId="12641490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76610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0076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9321467">
    <w:abstractNumId w:val="16"/>
    <w:lvlOverride w:ilvl="0">
      <w:lvl w:ilvl="0">
        <w:start w:val="1"/>
        <w:numFmt w:val="decimal"/>
        <w:pStyle w:val="Recommendation"/>
        <w:lvlText w:val="Recommendation %1:"/>
        <w:lvlJc w:val="left"/>
        <w:pPr>
          <w:ind w:left="850" w:firstLine="0"/>
        </w:pPr>
        <w:rPr>
          <w:rFonts w:hint="default"/>
          <w:b/>
          <w:bCs/>
        </w:rPr>
      </w:lvl>
    </w:lvlOverride>
    <w:lvlOverride w:ilvl="1">
      <w:lvl w:ilvl="1">
        <w:start w:val="1"/>
        <w:numFmt w:val="none"/>
        <w:lvlText w:val=""/>
        <w:lvlJc w:val="left"/>
        <w:pPr>
          <w:ind w:left="850" w:hanging="851"/>
        </w:pPr>
        <w:rPr>
          <w:rFonts w:hint="default"/>
        </w:rPr>
      </w:lvl>
    </w:lvlOverride>
    <w:lvlOverride w:ilvl="2">
      <w:lvl w:ilvl="2">
        <w:start w:val="1"/>
        <w:numFmt w:val="none"/>
        <w:lvlText w:val=""/>
        <w:lvlJc w:val="left"/>
        <w:pPr>
          <w:ind w:left="850" w:hanging="851"/>
        </w:pPr>
        <w:rPr>
          <w:rFonts w:hint="default"/>
        </w:rPr>
      </w:lvl>
    </w:lvlOverride>
    <w:lvlOverride w:ilvl="3">
      <w:lvl w:ilvl="3">
        <w:start w:val="1"/>
        <w:numFmt w:val="none"/>
        <w:lvlText w:val=""/>
        <w:lvlJc w:val="left"/>
        <w:pPr>
          <w:ind w:left="850" w:hanging="851"/>
        </w:pPr>
        <w:rPr>
          <w:rFonts w:hint="default"/>
        </w:rPr>
      </w:lvl>
    </w:lvlOverride>
    <w:lvlOverride w:ilvl="4">
      <w:lvl w:ilvl="4">
        <w:start w:val="1"/>
        <w:numFmt w:val="none"/>
        <w:lvlText w:val=""/>
        <w:lvlJc w:val="left"/>
        <w:pPr>
          <w:ind w:left="850" w:hanging="851"/>
        </w:pPr>
        <w:rPr>
          <w:rFonts w:hint="default"/>
        </w:rPr>
      </w:lvl>
    </w:lvlOverride>
    <w:lvlOverride w:ilvl="5">
      <w:lvl w:ilvl="5">
        <w:start w:val="1"/>
        <w:numFmt w:val="none"/>
        <w:lvlText w:val=""/>
        <w:lvlJc w:val="left"/>
        <w:pPr>
          <w:ind w:left="850" w:hanging="851"/>
        </w:pPr>
        <w:rPr>
          <w:rFonts w:hint="default"/>
        </w:rPr>
      </w:lvl>
    </w:lvlOverride>
    <w:lvlOverride w:ilvl="6">
      <w:lvl w:ilvl="6">
        <w:start w:val="1"/>
        <w:numFmt w:val="none"/>
        <w:lvlText w:val=""/>
        <w:lvlJc w:val="left"/>
        <w:pPr>
          <w:ind w:left="850" w:hanging="851"/>
        </w:pPr>
        <w:rPr>
          <w:rFonts w:hint="default"/>
        </w:rPr>
      </w:lvl>
    </w:lvlOverride>
    <w:lvlOverride w:ilvl="7">
      <w:lvl w:ilvl="7">
        <w:start w:val="1"/>
        <w:numFmt w:val="none"/>
        <w:lvlText w:val=""/>
        <w:lvlJc w:val="left"/>
        <w:pPr>
          <w:ind w:left="850" w:hanging="851"/>
        </w:pPr>
        <w:rPr>
          <w:rFonts w:hint="default"/>
        </w:rPr>
      </w:lvl>
    </w:lvlOverride>
    <w:lvlOverride w:ilvl="8">
      <w:lvl w:ilvl="8">
        <w:start w:val="1"/>
        <w:numFmt w:val="none"/>
        <w:lvlText w:val=""/>
        <w:lvlJc w:val="left"/>
        <w:pPr>
          <w:ind w:left="850" w:hanging="851"/>
        </w:pPr>
        <w:rPr>
          <w:rFonts w:hint="default"/>
        </w:rPr>
      </w:lvl>
    </w:lvlOverride>
  </w:num>
  <w:num w:numId="28" w16cid:durableId="1206797801">
    <w:abstractNumId w:val="29"/>
  </w:num>
  <w:num w:numId="29" w16cid:durableId="392045896">
    <w:abstractNumId w:val="0"/>
  </w:num>
  <w:num w:numId="30" w16cid:durableId="1952006691">
    <w:abstractNumId w:val="22"/>
  </w:num>
  <w:num w:numId="31" w16cid:durableId="100104039">
    <w:abstractNumId w:val="19"/>
  </w:num>
  <w:num w:numId="32" w16cid:durableId="912813675">
    <w:abstractNumId w:val="39"/>
  </w:num>
  <w:num w:numId="33" w16cid:durableId="1907718401">
    <w:abstractNumId w:val="35"/>
  </w:num>
  <w:num w:numId="34" w16cid:durableId="2128998">
    <w:abstractNumId w:val="10"/>
  </w:num>
  <w:num w:numId="35" w16cid:durableId="204603429">
    <w:abstractNumId w:val="13"/>
  </w:num>
  <w:num w:numId="36" w16cid:durableId="1610311475">
    <w:abstractNumId w:val="28"/>
  </w:num>
  <w:num w:numId="37" w16cid:durableId="1580482414">
    <w:abstractNumId w:val="3"/>
  </w:num>
  <w:num w:numId="38" w16cid:durableId="1797748949">
    <w:abstractNumId w:val="16"/>
  </w:num>
  <w:num w:numId="39" w16cid:durableId="453837560">
    <w:abstractNumId w:val="8"/>
  </w:num>
  <w:num w:numId="40" w16cid:durableId="1906142533">
    <w:abstractNumId w:val="25"/>
  </w:num>
  <w:num w:numId="41" w16cid:durableId="1217816883">
    <w:abstractNumId w:val="33"/>
  </w:num>
  <w:num w:numId="42" w16cid:durableId="972177505">
    <w:abstractNumId w:val="26"/>
  </w:num>
  <w:num w:numId="43" w16cid:durableId="697002181">
    <w:abstractNumId w:val="18"/>
  </w:num>
  <w:num w:numId="44" w16cid:durableId="1247810556">
    <w:abstractNumId w:val="16"/>
    <w:lvlOverride w:ilvl="0">
      <w:lvl w:ilvl="0">
        <w:start w:val="1"/>
        <w:numFmt w:val="decimal"/>
        <w:pStyle w:val="Recommendation"/>
        <w:lvlText w:val="Recommendation %1:"/>
        <w:lvlJc w:val="left"/>
        <w:pPr>
          <w:ind w:left="850" w:firstLine="0"/>
        </w:pPr>
        <w:rPr>
          <w:rFonts w:hint="default"/>
        </w:rPr>
      </w:lvl>
    </w:lvlOverride>
    <w:lvlOverride w:ilvl="1">
      <w:lvl w:ilvl="1">
        <w:start w:val="1"/>
        <w:numFmt w:val="none"/>
        <w:lvlText w:val=""/>
        <w:lvlJc w:val="left"/>
        <w:pPr>
          <w:ind w:left="850" w:hanging="851"/>
        </w:pPr>
        <w:rPr>
          <w:rFonts w:hint="default"/>
        </w:rPr>
      </w:lvl>
    </w:lvlOverride>
    <w:lvlOverride w:ilvl="2">
      <w:lvl w:ilvl="2">
        <w:start w:val="1"/>
        <w:numFmt w:val="none"/>
        <w:lvlText w:val=""/>
        <w:lvlJc w:val="left"/>
        <w:pPr>
          <w:ind w:left="850" w:hanging="851"/>
        </w:pPr>
        <w:rPr>
          <w:rFonts w:hint="default"/>
        </w:rPr>
      </w:lvl>
    </w:lvlOverride>
    <w:lvlOverride w:ilvl="3">
      <w:lvl w:ilvl="3">
        <w:start w:val="1"/>
        <w:numFmt w:val="none"/>
        <w:lvlText w:val=""/>
        <w:lvlJc w:val="left"/>
        <w:pPr>
          <w:ind w:left="850" w:hanging="851"/>
        </w:pPr>
        <w:rPr>
          <w:rFonts w:hint="default"/>
        </w:rPr>
      </w:lvl>
    </w:lvlOverride>
    <w:lvlOverride w:ilvl="4">
      <w:lvl w:ilvl="4">
        <w:start w:val="1"/>
        <w:numFmt w:val="none"/>
        <w:lvlText w:val=""/>
        <w:lvlJc w:val="left"/>
        <w:pPr>
          <w:ind w:left="850" w:hanging="851"/>
        </w:pPr>
        <w:rPr>
          <w:rFonts w:hint="default"/>
        </w:rPr>
      </w:lvl>
    </w:lvlOverride>
    <w:lvlOverride w:ilvl="5">
      <w:lvl w:ilvl="5">
        <w:start w:val="1"/>
        <w:numFmt w:val="none"/>
        <w:lvlText w:val=""/>
        <w:lvlJc w:val="left"/>
        <w:pPr>
          <w:ind w:left="850" w:hanging="851"/>
        </w:pPr>
        <w:rPr>
          <w:rFonts w:hint="default"/>
        </w:rPr>
      </w:lvl>
    </w:lvlOverride>
    <w:lvlOverride w:ilvl="6">
      <w:lvl w:ilvl="6">
        <w:start w:val="1"/>
        <w:numFmt w:val="none"/>
        <w:lvlText w:val=""/>
        <w:lvlJc w:val="left"/>
        <w:pPr>
          <w:ind w:left="850" w:hanging="851"/>
        </w:pPr>
        <w:rPr>
          <w:rFonts w:hint="default"/>
        </w:rPr>
      </w:lvl>
    </w:lvlOverride>
    <w:lvlOverride w:ilvl="7">
      <w:lvl w:ilvl="7">
        <w:start w:val="1"/>
        <w:numFmt w:val="none"/>
        <w:lvlText w:val=""/>
        <w:lvlJc w:val="left"/>
        <w:pPr>
          <w:ind w:left="850" w:hanging="851"/>
        </w:pPr>
        <w:rPr>
          <w:rFonts w:hint="default"/>
        </w:rPr>
      </w:lvl>
    </w:lvlOverride>
    <w:lvlOverride w:ilvl="8">
      <w:lvl w:ilvl="8">
        <w:start w:val="1"/>
        <w:numFmt w:val="none"/>
        <w:lvlText w:val=""/>
        <w:lvlJc w:val="left"/>
        <w:pPr>
          <w:ind w:left="850" w:hanging="851"/>
        </w:pPr>
        <w:rPr>
          <w:rFonts w:hint="default"/>
        </w:rPr>
      </w:lvl>
    </w:lvlOverride>
  </w:num>
  <w:num w:numId="45" w16cid:durableId="28262710">
    <w:abstractNumId w:val="41"/>
  </w:num>
  <w:num w:numId="46" w16cid:durableId="1127548559">
    <w:abstractNumId w:val="21"/>
  </w:num>
  <w:num w:numId="47" w16cid:durableId="125702958">
    <w:abstractNumId w:val="1"/>
  </w:num>
  <w:num w:numId="48" w16cid:durableId="703483615">
    <w:abstractNumId w:val="6"/>
  </w:num>
  <w:num w:numId="49" w16cid:durableId="977221183">
    <w:abstractNumId w:val="9"/>
  </w:num>
  <w:num w:numId="50" w16cid:durableId="33697890">
    <w:abstractNumId w:val="32"/>
  </w:num>
  <w:num w:numId="51" w16cid:durableId="1424379593">
    <w:abstractNumId w:val="23"/>
  </w:num>
  <w:num w:numId="52" w16cid:durableId="1175732974">
    <w:abstractNumId w:val="16"/>
    <w:lvlOverride w:ilvl="0">
      <w:lvl w:ilvl="0">
        <w:start w:val="1"/>
        <w:numFmt w:val="decimal"/>
        <w:pStyle w:val="Recommendation"/>
        <w:lvlText w:val="Recommendation %1:"/>
        <w:lvlJc w:val="left"/>
        <w:pPr>
          <w:ind w:left="850" w:firstLine="0"/>
        </w:pPr>
        <w:rPr>
          <w:rFonts w:hint="default"/>
        </w:rPr>
      </w:lvl>
    </w:lvlOverride>
    <w:lvlOverride w:ilvl="1">
      <w:lvl w:ilvl="1">
        <w:start w:val="1"/>
        <w:numFmt w:val="none"/>
        <w:lvlText w:val=""/>
        <w:lvlJc w:val="left"/>
        <w:pPr>
          <w:ind w:left="850" w:hanging="851"/>
        </w:pPr>
        <w:rPr>
          <w:rFonts w:hint="default"/>
        </w:rPr>
      </w:lvl>
    </w:lvlOverride>
    <w:lvlOverride w:ilvl="2">
      <w:lvl w:ilvl="2">
        <w:start w:val="1"/>
        <w:numFmt w:val="none"/>
        <w:lvlText w:val=""/>
        <w:lvlJc w:val="left"/>
        <w:pPr>
          <w:ind w:left="850" w:hanging="851"/>
        </w:pPr>
        <w:rPr>
          <w:rFonts w:hint="default"/>
        </w:rPr>
      </w:lvl>
    </w:lvlOverride>
    <w:lvlOverride w:ilvl="3">
      <w:lvl w:ilvl="3">
        <w:start w:val="1"/>
        <w:numFmt w:val="none"/>
        <w:lvlText w:val=""/>
        <w:lvlJc w:val="left"/>
        <w:pPr>
          <w:ind w:left="850" w:hanging="851"/>
        </w:pPr>
        <w:rPr>
          <w:rFonts w:hint="default"/>
        </w:rPr>
      </w:lvl>
    </w:lvlOverride>
    <w:lvlOverride w:ilvl="4">
      <w:lvl w:ilvl="4">
        <w:start w:val="1"/>
        <w:numFmt w:val="none"/>
        <w:lvlText w:val=""/>
        <w:lvlJc w:val="left"/>
        <w:pPr>
          <w:ind w:left="850" w:hanging="851"/>
        </w:pPr>
        <w:rPr>
          <w:rFonts w:hint="default"/>
        </w:rPr>
      </w:lvl>
    </w:lvlOverride>
    <w:lvlOverride w:ilvl="5">
      <w:lvl w:ilvl="5">
        <w:start w:val="1"/>
        <w:numFmt w:val="none"/>
        <w:lvlText w:val=""/>
        <w:lvlJc w:val="left"/>
        <w:pPr>
          <w:ind w:left="850" w:hanging="851"/>
        </w:pPr>
        <w:rPr>
          <w:rFonts w:hint="default"/>
        </w:rPr>
      </w:lvl>
    </w:lvlOverride>
    <w:lvlOverride w:ilvl="6">
      <w:lvl w:ilvl="6">
        <w:start w:val="1"/>
        <w:numFmt w:val="none"/>
        <w:lvlText w:val=""/>
        <w:lvlJc w:val="left"/>
        <w:pPr>
          <w:ind w:left="850" w:hanging="851"/>
        </w:pPr>
        <w:rPr>
          <w:rFonts w:hint="default"/>
        </w:rPr>
      </w:lvl>
    </w:lvlOverride>
    <w:lvlOverride w:ilvl="7">
      <w:lvl w:ilvl="7">
        <w:start w:val="1"/>
        <w:numFmt w:val="none"/>
        <w:lvlText w:val=""/>
        <w:lvlJc w:val="left"/>
        <w:pPr>
          <w:ind w:left="850" w:hanging="851"/>
        </w:pPr>
        <w:rPr>
          <w:rFonts w:hint="default"/>
        </w:rPr>
      </w:lvl>
    </w:lvlOverride>
    <w:lvlOverride w:ilvl="8">
      <w:lvl w:ilvl="8">
        <w:start w:val="1"/>
        <w:numFmt w:val="none"/>
        <w:lvlText w:val=""/>
        <w:lvlJc w:val="left"/>
        <w:pPr>
          <w:ind w:left="850" w:hanging="851"/>
        </w:pPr>
        <w:rPr>
          <w:rFonts w:hint="default"/>
        </w:rPr>
      </w:lvl>
    </w:lvlOverride>
  </w:num>
  <w:num w:numId="53" w16cid:durableId="1883052538">
    <w:abstractNumId w:val="16"/>
    <w:lvlOverride w:ilvl="0">
      <w:lvl w:ilvl="0">
        <w:start w:val="1"/>
        <w:numFmt w:val="decimal"/>
        <w:pStyle w:val="Recommendation"/>
        <w:lvlText w:val="Recommendation %1:"/>
        <w:lvlJc w:val="left"/>
        <w:pPr>
          <w:ind w:left="850" w:firstLine="0"/>
        </w:pPr>
        <w:rPr>
          <w:rFonts w:hint="default"/>
        </w:rPr>
      </w:lvl>
    </w:lvlOverride>
    <w:lvlOverride w:ilvl="1">
      <w:lvl w:ilvl="1">
        <w:start w:val="1"/>
        <w:numFmt w:val="none"/>
        <w:lvlText w:val=""/>
        <w:lvlJc w:val="left"/>
        <w:pPr>
          <w:ind w:left="850" w:hanging="851"/>
        </w:pPr>
        <w:rPr>
          <w:rFonts w:hint="default"/>
        </w:rPr>
      </w:lvl>
    </w:lvlOverride>
    <w:lvlOverride w:ilvl="2">
      <w:lvl w:ilvl="2">
        <w:start w:val="1"/>
        <w:numFmt w:val="none"/>
        <w:lvlText w:val=""/>
        <w:lvlJc w:val="left"/>
        <w:pPr>
          <w:ind w:left="850" w:hanging="851"/>
        </w:pPr>
        <w:rPr>
          <w:rFonts w:hint="default"/>
        </w:rPr>
      </w:lvl>
    </w:lvlOverride>
    <w:lvlOverride w:ilvl="3">
      <w:lvl w:ilvl="3">
        <w:start w:val="1"/>
        <w:numFmt w:val="none"/>
        <w:lvlText w:val=""/>
        <w:lvlJc w:val="left"/>
        <w:pPr>
          <w:ind w:left="850" w:hanging="851"/>
        </w:pPr>
        <w:rPr>
          <w:rFonts w:hint="default"/>
        </w:rPr>
      </w:lvl>
    </w:lvlOverride>
    <w:lvlOverride w:ilvl="4">
      <w:lvl w:ilvl="4">
        <w:start w:val="1"/>
        <w:numFmt w:val="none"/>
        <w:lvlText w:val=""/>
        <w:lvlJc w:val="left"/>
        <w:pPr>
          <w:ind w:left="850" w:hanging="851"/>
        </w:pPr>
        <w:rPr>
          <w:rFonts w:hint="default"/>
        </w:rPr>
      </w:lvl>
    </w:lvlOverride>
    <w:lvlOverride w:ilvl="5">
      <w:lvl w:ilvl="5">
        <w:start w:val="1"/>
        <w:numFmt w:val="none"/>
        <w:lvlText w:val=""/>
        <w:lvlJc w:val="left"/>
        <w:pPr>
          <w:ind w:left="850" w:hanging="851"/>
        </w:pPr>
        <w:rPr>
          <w:rFonts w:hint="default"/>
        </w:rPr>
      </w:lvl>
    </w:lvlOverride>
    <w:lvlOverride w:ilvl="6">
      <w:lvl w:ilvl="6">
        <w:start w:val="1"/>
        <w:numFmt w:val="none"/>
        <w:lvlText w:val=""/>
        <w:lvlJc w:val="left"/>
        <w:pPr>
          <w:ind w:left="850" w:hanging="851"/>
        </w:pPr>
        <w:rPr>
          <w:rFonts w:hint="default"/>
        </w:rPr>
      </w:lvl>
    </w:lvlOverride>
    <w:lvlOverride w:ilvl="7">
      <w:lvl w:ilvl="7">
        <w:start w:val="1"/>
        <w:numFmt w:val="none"/>
        <w:lvlText w:val=""/>
        <w:lvlJc w:val="left"/>
        <w:pPr>
          <w:ind w:left="850" w:hanging="851"/>
        </w:pPr>
        <w:rPr>
          <w:rFonts w:hint="default"/>
        </w:rPr>
      </w:lvl>
    </w:lvlOverride>
    <w:lvlOverride w:ilvl="8">
      <w:lvl w:ilvl="8">
        <w:start w:val="1"/>
        <w:numFmt w:val="none"/>
        <w:lvlText w:val=""/>
        <w:lvlJc w:val="left"/>
        <w:pPr>
          <w:ind w:left="850" w:hanging="851"/>
        </w:pPr>
        <w:rPr>
          <w:rFonts w:hint="default"/>
        </w:rPr>
      </w:lvl>
    </w:lvlOverride>
  </w:num>
  <w:num w:numId="54" w16cid:durableId="121700716">
    <w:abstractNumId w:val="16"/>
    <w:lvlOverride w:ilvl="0">
      <w:startOverride w:val="1"/>
      <w:lvl w:ilvl="0">
        <w:start w:val="1"/>
        <w:numFmt w:val="decimal"/>
        <w:pStyle w:val="Recommendation"/>
        <w:lvlText w:val="Recommendation %1:"/>
        <w:lvlJc w:val="left"/>
        <w:pPr>
          <w:ind w:left="850" w:firstLine="0"/>
        </w:pPr>
        <w:rPr>
          <w:rFonts w:hint="default"/>
        </w:rPr>
      </w:lvl>
    </w:lvlOverride>
    <w:lvlOverride w:ilvl="1">
      <w:startOverride w:val="1"/>
      <w:lvl w:ilvl="1">
        <w:start w:val="1"/>
        <w:numFmt w:val="none"/>
        <w:lvlText w:val=""/>
        <w:lvlJc w:val="left"/>
        <w:pPr>
          <w:ind w:left="850" w:hanging="851"/>
        </w:pPr>
        <w:rPr>
          <w:rFonts w:hint="default"/>
        </w:rPr>
      </w:lvl>
    </w:lvlOverride>
    <w:lvlOverride w:ilvl="2">
      <w:startOverride w:val="1"/>
      <w:lvl w:ilvl="2">
        <w:start w:val="1"/>
        <w:numFmt w:val="none"/>
        <w:lvlText w:val=""/>
        <w:lvlJc w:val="left"/>
        <w:pPr>
          <w:ind w:left="850" w:hanging="851"/>
        </w:pPr>
        <w:rPr>
          <w:rFonts w:hint="default"/>
        </w:rPr>
      </w:lvl>
    </w:lvlOverride>
    <w:lvlOverride w:ilvl="3">
      <w:startOverride w:val="1"/>
      <w:lvl w:ilvl="3">
        <w:start w:val="1"/>
        <w:numFmt w:val="none"/>
        <w:lvlText w:val=""/>
        <w:lvlJc w:val="left"/>
        <w:pPr>
          <w:ind w:left="850" w:hanging="851"/>
        </w:pPr>
        <w:rPr>
          <w:rFonts w:hint="default"/>
        </w:rPr>
      </w:lvl>
    </w:lvlOverride>
    <w:lvlOverride w:ilvl="4">
      <w:startOverride w:val="1"/>
      <w:lvl w:ilvl="4">
        <w:start w:val="1"/>
        <w:numFmt w:val="none"/>
        <w:lvlText w:val=""/>
        <w:lvlJc w:val="left"/>
        <w:pPr>
          <w:ind w:left="850" w:hanging="851"/>
        </w:pPr>
        <w:rPr>
          <w:rFonts w:hint="default"/>
        </w:rPr>
      </w:lvl>
    </w:lvlOverride>
    <w:lvlOverride w:ilvl="5">
      <w:startOverride w:val="1"/>
      <w:lvl w:ilvl="5">
        <w:start w:val="1"/>
        <w:numFmt w:val="none"/>
        <w:lvlText w:val=""/>
        <w:lvlJc w:val="left"/>
        <w:pPr>
          <w:ind w:left="850" w:hanging="851"/>
        </w:pPr>
        <w:rPr>
          <w:rFonts w:hint="default"/>
        </w:rPr>
      </w:lvl>
    </w:lvlOverride>
    <w:lvlOverride w:ilvl="6">
      <w:startOverride w:val="1"/>
      <w:lvl w:ilvl="6">
        <w:start w:val="1"/>
        <w:numFmt w:val="none"/>
        <w:lvlText w:val=""/>
        <w:lvlJc w:val="left"/>
        <w:pPr>
          <w:ind w:left="850" w:hanging="851"/>
        </w:pPr>
        <w:rPr>
          <w:rFonts w:hint="default"/>
        </w:rPr>
      </w:lvl>
    </w:lvlOverride>
    <w:lvlOverride w:ilvl="7">
      <w:startOverride w:val="1"/>
      <w:lvl w:ilvl="7">
        <w:start w:val="1"/>
        <w:numFmt w:val="none"/>
        <w:lvlText w:val=""/>
        <w:lvlJc w:val="left"/>
        <w:pPr>
          <w:ind w:left="850" w:hanging="851"/>
        </w:pPr>
        <w:rPr>
          <w:rFonts w:hint="default"/>
        </w:rPr>
      </w:lvl>
    </w:lvlOverride>
    <w:lvlOverride w:ilvl="8">
      <w:startOverride w:val="1"/>
      <w:lvl w:ilvl="8">
        <w:start w:val="1"/>
        <w:numFmt w:val="none"/>
        <w:lvlText w:val=""/>
        <w:lvlJc w:val="left"/>
        <w:pPr>
          <w:ind w:left="850" w:hanging="851"/>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97B"/>
    <w:rsid w:val="000007F9"/>
    <w:rsid w:val="00001029"/>
    <w:rsid w:val="0000141F"/>
    <w:rsid w:val="00001455"/>
    <w:rsid w:val="00002592"/>
    <w:rsid w:val="00002A84"/>
    <w:rsid w:val="000039D9"/>
    <w:rsid w:val="00006849"/>
    <w:rsid w:val="00006C00"/>
    <w:rsid w:val="00006E73"/>
    <w:rsid w:val="00010945"/>
    <w:rsid w:val="000111A3"/>
    <w:rsid w:val="00011567"/>
    <w:rsid w:val="00012743"/>
    <w:rsid w:val="000130E1"/>
    <w:rsid w:val="00014CF0"/>
    <w:rsid w:val="00014E08"/>
    <w:rsid w:val="00015C9E"/>
    <w:rsid w:val="00017397"/>
    <w:rsid w:val="0001751C"/>
    <w:rsid w:val="00017FF5"/>
    <w:rsid w:val="000200CB"/>
    <w:rsid w:val="00020140"/>
    <w:rsid w:val="00020912"/>
    <w:rsid w:val="0002144A"/>
    <w:rsid w:val="000216CB"/>
    <w:rsid w:val="0002178D"/>
    <w:rsid w:val="00021EEE"/>
    <w:rsid w:val="00022392"/>
    <w:rsid w:val="00022D35"/>
    <w:rsid w:val="00023BBD"/>
    <w:rsid w:val="00024218"/>
    <w:rsid w:val="00024E5A"/>
    <w:rsid w:val="00025032"/>
    <w:rsid w:val="00025C2A"/>
    <w:rsid w:val="00025FC3"/>
    <w:rsid w:val="00026931"/>
    <w:rsid w:val="00030E30"/>
    <w:rsid w:val="00030F1E"/>
    <w:rsid w:val="000314F3"/>
    <w:rsid w:val="00031DE1"/>
    <w:rsid w:val="00032441"/>
    <w:rsid w:val="00034122"/>
    <w:rsid w:val="000341DA"/>
    <w:rsid w:val="000345B4"/>
    <w:rsid w:val="000346DF"/>
    <w:rsid w:val="00034C56"/>
    <w:rsid w:val="000362DE"/>
    <w:rsid w:val="00037603"/>
    <w:rsid w:val="00040073"/>
    <w:rsid w:val="000408F8"/>
    <w:rsid w:val="00041749"/>
    <w:rsid w:val="0004248D"/>
    <w:rsid w:val="00042C3A"/>
    <w:rsid w:val="00043831"/>
    <w:rsid w:val="00044434"/>
    <w:rsid w:val="00044C01"/>
    <w:rsid w:val="0004551B"/>
    <w:rsid w:val="00045F32"/>
    <w:rsid w:val="00047413"/>
    <w:rsid w:val="00047973"/>
    <w:rsid w:val="00050607"/>
    <w:rsid w:val="0005153D"/>
    <w:rsid w:val="00051C90"/>
    <w:rsid w:val="00052737"/>
    <w:rsid w:val="00052B90"/>
    <w:rsid w:val="00052D56"/>
    <w:rsid w:val="00052E4F"/>
    <w:rsid w:val="000530BA"/>
    <w:rsid w:val="000538E7"/>
    <w:rsid w:val="00053D0E"/>
    <w:rsid w:val="00053D8B"/>
    <w:rsid w:val="00053E22"/>
    <w:rsid w:val="000544F6"/>
    <w:rsid w:val="000547D7"/>
    <w:rsid w:val="00056D71"/>
    <w:rsid w:val="000576D9"/>
    <w:rsid w:val="00057A92"/>
    <w:rsid w:val="00057E03"/>
    <w:rsid w:val="00060599"/>
    <w:rsid w:val="00060ED3"/>
    <w:rsid w:val="00061D64"/>
    <w:rsid w:val="00062A46"/>
    <w:rsid w:val="00063DD0"/>
    <w:rsid w:val="000653A2"/>
    <w:rsid w:val="00066C39"/>
    <w:rsid w:val="00066CD4"/>
    <w:rsid w:val="00066E97"/>
    <w:rsid w:val="0006739D"/>
    <w:rsid w:val="000677D1"/>
    <w:rsid w:val="00067963"/>
    <w:rsid w:val="00070297"/>
    <w:rsid w:val="00070A22"/>
    <w:rsid w:val="00071D23"/>
    <w:rsid w:val="00071EE9"/>
    <w:rsid w:val="00071F03"/>
    <w:rsid w:val="00072954"/>
    <w:rsid w:val="00072BF4"/>
    <w:rsid w:val="00072C5D"/>
    <w:rsid w:val="0007343A"/>
    <w:rsid w:val="00073841"/>
    <w:rsid w:val="00074521"/>
    <w:rsid w:val="00074AA4"/>
    <w:rsid w:val="00075C32"/>
    <w:rsid w:val="00075E41"/>
    <w:rsid w:val="00076331"/>
    <w:rsid w:val="00077240"/>
    <w:rsid w:val="0008068C"/>
    <w:rsid w:val="000810C2"/>
    <w:rsid w:val="000818F2"/>
    <w:rsid w:val="0008262A"/>
    <w:rsid w:val="00082DFB"/>
    <w:rsid w:val="00082FC4"/>
    <w:rsid w:val="000840C2"/>
    <w:rsid w:val="0008469B"/>
    <w:rsid w:val="00086136"/>
    <w:rsid w:val="00086378"/>
    <w:rsid w:val="00090606"/>
    <w:rsid w:val="000912D5"/>
    <w:rsid w:val="000919B7"/>
    <w:rsid w:val="0009245D"/>
    <w:rsid w:val="000933B5"/>
    <w:rsid w:val="00094F28"/>
    <w:rsid w:val="00095E7A"/>
    <w:rsid w:val="00096F21"/>
    <w:rsid w:val="000975F3"/>
    <w:rsid w:val="000A02E4"/>
    <w:rsid w:val="000A0DE3"/>
    <w:rsid w:val="000A1C5D"/>
    <w:rsid w:val="000A283C"/>
    <w:rsid w:val="000A2BF2"/>
    <w:rsid w:val="000A3314"/>
    <w:rsid w:val="000A331D"/>
    <w:rsid w:val="000A3806"/>
    <w:rsid w:val="000A3FBC"/>
    <w:rsid w:val="000A41A1"/>
    <w:rsid w:val="000A4520"/>
    <w:rsid w:val="000A453D"/>
    <w:rsid w:val="000A4540"/>
    <w:rsid w:val="000A55EE"/>
    <w:rsid w:val="000A6640"/>
    <w:rsid w:val="000A6BBB"/>
    <w:rsid w:val="000A6FBF"/>
    <w:rsid w:val="000A76AE"/>
    <w:rsid w:val="000A7D60"/>
    <w:rsid w:val="000A7D83"/>
    <w:rsid w:val="000B11EF"/>
    <w:rsid w:val="000B13C5"/>
    <w:rsid w:val="000B2023"/>
    <w:rsid w:val="000B21AF"/>
    <w:rsid w:val="000B240D"/>
    <w:rsid w:val="000B2C45"/>
    <w:rsid w:val="000B2D9F"/>
    <w:rsid w:val="000B3477"/>
    <w:rsid w:val="000B3B35"/>
    <w:rsid w:val="000B5326"/>
    <w:rsid w:val="000B7682"/>
    <w:rsid w:val="000B7868"/>
    <w:rsid w:val="000B7AD9"/>
    <w:rsid w:val="000B7C10"/>
    <w:rsid w:val="000C067B"/>
    <w:rsid w:val="000C06F5"/>
    <w:rsid w:val="000C0C76"/>
    <w:rsid w:val="000C0C90"/>
    <w:rsid w:val="000C0D44"/>
    <w:rsid w:val="000C116D"/>
    <w:rsid w:val="000C231C"/>
    <w:rsid w:val="000C24B4"/>
    <w:rsid w:val="000C2936"/>
    <w:rsid w:val="000C2E64"/>
    <w:rsid w:val="000C3A65"/>
    <w:rsid w:val="000C3DC5"/>
    <w:rsid w:val="000C40D9"/>
    <w:rsid w:val="000C463F"/>
    <w:rsid w:val="000C5947"/>
    <w:rsid w:val="000C5BAA"/>
    <w:rsid w:val="000C6573"/>
    <w:rsid w:val="000C68CF"/>
    <w:rsid w:val="000C7119"/>
    <w:rsid w:val="000C7431"/>
    <w:rsid w:val="000C7B21"/>
    <w:rsid w:val="000D04F7"/>
    <w:rsid w:val="000D0D3C"/>
    <w:rsid w:val="000D17E4"/>
    <w:rsid w:val="000D18A2"/>
    <w:rsid w:val="000D18AD"/>
    <w:rsid w:val="000D3021"/>
    <w:rsid w:val="000D31DB"/>
    <w:rsid w:val="000D3D01"/>
    <w:rsid w:val="000D3E33"/>
    <w:rsid w:val="000D3F85"/>
    <w:rsid w:val="000D3FE1"/>
    <w:rsid w:val="000D5F57"/>
    <w:rsid w:val="000D5FE7"/>
    <w:rsid w:val="000D6C9F"/>
    <w:rsid w:val="000D7399"/>
    <w:rsid w:val="000E0A5E"/>
    <w:rsid w:val="000E1593"/>
    <w:rsid w:val="000E186E"/>
    <w:rsid w:val="000E1EA7"/>
    <w:rsid w:val="000E2A17"/>
    <w:rsid w:val="000E312B"/>
    <w:rsid w:val="000E54D5"/>
    <w:rsid w:val="000E57E5"/>
    <w:rsid w:val="000E5A23"/>
    <w:rsid w:val="000E5CAE"/>
    <w:rsid w:val="000E624D"/>
    <w:rsid w:val="000E77E6"/>
    <w:rsid w:val="000E7979"/>
    <w:rsid w:val="000E7C20"/>
    <w:rsid w:val="000F0363"/>
    <w:rsid w:val="000F0991"/>
    <w:rsid w:val="000F21D4"/>
    <w:rsid w:val="000F3856"/>
    <w:rsid w:val="000F5959"/>
    <w:rsid w:val="000F5C4B"/>
    <w:rsid w:val="000F5DD8"/>
    <w:rsid w:val="000F764C"/>
    <w:rsid w:val="000F7BC2"/>
    <w:rsid w:val="000F7BED"/>
    <w:rsid w:val="0010016A"/>
    <w:rsid w:val="00102B1E"/>
    <w:rsid w:val="00102CDA"/>
    <w:rsid w:val="0010364C"/>
    <w:rsid w:val="00103999"/>
    <w:rsid w:val="00103DAC"/>
    <w:rsid w:val="00104A4E"/>
    <w:rsid w:val="00104DAD"/>
    <w:rsid w:val="00104DD4"/>
    <w:rsid w:val="001055CC"/>
    <w:rsid w:val="00105875"/>
    <w:rsid w:val="00106AEC"/>
    <w:rsid w:val="001072FF"/>
    <w:rsid w:val="00110195"/>
    <w:rsid w:val="00110B94"/>
    <w:rsid w:val="00110D58"/>
    <w:rsid w:val="00110F85"/>
    <w:rsid w:val="00111228"/>
    <w:rsid w:val="0011136A"/>
    <w:rsid w:val="001113E7"/>
    <w:rsid w:val="00111D4F"/>
    <w:rsid w:val="00111F02"/>
    <w:rsid w:val="0011281B"/>
    <w:rsid w:val="001128CE"/>
    <w:rsid w:val="00112E29"/>
    <w:rsid w:val="00113465"/>
    <w:rsid w:val="0011356F"/>
    <w:rsid w:val="00113AE0"/>
    <w:rsid w:val="00114446"/>
    <w:rsid w:val="0011594C"/>
    <w:rsid w:val="00117218"/>
    <w:rsid w:val="00117D27"/>
    <w:rsid w:val="00120579"/>
    <w:rsid w:val="001208E7"/>
    <w:rsid w:val="00120F88"/>
    <w:rsid w:val="001215FE"/>
    <w:rsid w:val="001216C7"/>
    <w:rsid w:val="001217E2"/>
    <w:rsid w:val="001217FD"/>
    <w:rsid w:val="00121D47"/>
    <w:rsid w:val="00122AB0"/>
    <w:rsid w:val="00122DD1"/>
    <w:rsid w:val="00123750"/>
    <w:rsid w:val="00123B9D"/>
    <w:rsid w:val="00125060"/>
    <w:rsid w:val="0012556A"/>
    <w:rsid w:val="00126183"/>
    <w:rsid w:val="0012622F"/>
    <w:rsid w:val="0012636E"/>
    <w:rsid w:val="001264E9"/>
    <w:rsid w:val="0012663D"/>
    <w:rsid w:val="00126F00"/>
    <w:rsid w:val="001270D6"/>
    <w:rsid w:val="001275E7"/>
    <w:rsid w:val="001276CF"/>
    <w:rsid w:val="00130900"/>
    <w:rsid w:val="00130E70"/>
    <w:rsid w:val="001312BA"/>
    <w:rsid w:val="00132365"/>
    <w:rsid w:val="00132BD9"/>
    <w:rsid w:val="00133476"/>
    <w:rsid w:val="00133C6C"/>
    <w:rsid w:val="00134BAC"/>
    <w:rsid w:val="0013554A"/>
    <w:rsid w:val="00135C01"/>
    <w:rsid w:val="00136DEC"/>
    <w:rsid w:val="00136E66"/>
    <w:rsid w:val="001374C7"/>
    <w:rsid w:val="00137B10"/>
    <w:rsid w:val="00137C51"/>
    <w:rsid w:val="00137F0B"/>
    <w:rsid w:val="00142804"/>
    <w:rsid w:val="00143C75"/>
    <w:rsid w:val="00144743"/>
    <w:rsid w:val="00145394"/>
    <w:rsid w:val="00146277"/>
    <w:rsid w:val="0014693A"/>
    <w:rsid w:val="001469FD"/>
    <w:rsid w:val="00146E34"/>
    <w:rsid w:val="00150873"/>
    <w:rsid w:val="00151009"/>
    <w:rsid w:val="001511AB"/>
    <w:rsid w:val="001514F8"/>
    <w:rsid w:val="0015159F"/>
    <w:rsid w:val="00151665"/>
    <w:rsid w:val="00151EAB"/>
    <w:rsid w:val="00151F10"/>
    <w:rsid w:val="001531E7"/>
    <w:rsid w:val="001537A7"/>
    <w:rsid w:val="001549E7"/>
    <w:rsid w:val="00155428"/>
    <w:rsid w:val="001563CB"/>
    <w:rsid w:val="001579C3"/>
    <w:rsid w:val="00157C3B"/>
    <w:rsid w:val="001600A6"/>
    <w:rsid w:val="001605C9"/>
    <w:rsid w:val="00161238"/>
    <w:rsid w:val="00161B2B"/>
    <w:rsid w:val="001623E5"/>
    <w:rsid w:val="00163200"/>
    <w:rsid w:val="00163B56"/>
    <w:rsid w:val="0016410F"/>
    <w:rsid w:val="00164AF6"/>
    <w:rsid w:val="00165366"/>
    <w:rsid w:val="001665DE"/>
    <w:rsid w:val="00166E6C"/>
    <w:rsid w:val="0016711C"/>
    <w:rsid w:val="0016756F"/>
    <w:rsid w:val="00167714"/>
    <w:rsid w:val="0017083D"/>
    <w:rsid w:val="00170D2B"/>
    <w:rsid w:val="00171821"/>
    <w:rsid w:val="00171E8F"/>
    <w:rsid w:val="001730E0"/>
    <w:rsid w:val="00174031"/>
    <w:rsid w:val="0017456B"/>
    <w:rsid w:val="001747AA"/>
    <w:rsid w:val="001754ED"/>
    <w:rsid w:val="001766A1"/>
    <w:rsid w:val="001770BB"/>
    <w:rsid w:val="00177D14"/>
    <w:rsid w:val="00180255"/>
    <w:rsid w:val="00180276"/>
    <w:rsid w:val="001811B2"/>
    <w:rsid w:val="00182687"/>
    <w:rsid w:val="001828D8"/>
    <w:rsid w:val="00182995"/>
    <w:rsid w:val="00182E30"/>
    <w:rsid w:val="001830C2"/>
    <w:rsid w:val="00183188"/>
    <w:rsid w:val="00185044"/>
    <w:rsid w:val="001851E4"/>
    <w:rsid w:val="00185232"/>
    <w:rsid w:val="00185442"/>
    <w:rsid w:val="00185FD9"/>
    <w:rsid w:val="001861E8"/>
    <w:rsid w:val="00190484"/>
    <w:rsid w:val="00190C56"/>
    <w:rsid w:val="00191398"/>
    <w:rsid w:val="00191F0E"/>
    <w:rsid w:val="00193212"/>
    <w:rsid w:val="00193244"/>
    <w:rsid w:val="00193309"/>
    <w:rsid w:val="0019340F"/>
    <w:rsid w:val="00193DB9"/>
    <w:rsid w:val="00194562"/>
    <w:rsid w:val="0019461C"/>
    <w:rsid w:val="0019487F"/>
    <w:rsid w:val="0019504D"/>
    <w:rsid w:val="0019567C"/>
    <w:rsid w:val="001965CF"/>
    <w:rsid w:val="00196FE2"/>
    <w:rsid w:val="001979D1"/>
    <w:rsid w:val="001A012D"/>
    <w:rsid w:val="001A0171"/>
    <w:rsid w:val="001A173E"/>
    <w:rsid w:val="001A26F9"/>
    <w:rsid w:val="001A2736"/>
    <w:rsid w:val="001A2746"/>
    <w:rsid w:val="001A2BA5"/>
    <w:rsid w:val="001A3248"/>
    <w:rsid w:val="001A3380"/>
    <w:rsid w:val="001A33F4"/>
    <w:rsid w:val="001A4162"/>
    <w:rsid w:val="001A43FF"/>
    <w:rsid w:val="001A4C59"/>
    <w:rsid w:val="001A5738"/>
    <w:rsid w:val="001A60E4"/>
    <w:rsid w:val="001A772D"/>
    <w:rsid w:val="001A7D8A"/>
    <w:rsid w:val="001B0297"/>
    <w:rsid w:val="001B0DED"/>
    <w:rsid w:val="001B0E5A"/>
    <w:rsid w:val="001B1EC0"/>
    <w:rsid w:val="001B2A2A"/>
    <w:rsid w:val="001B2C27"/>
    <w:rsid w:val="001B2ED7"/>
    <w:rsid w:val="001B3957"/>
    <w:rsid w:val="001B4AAD"/>
    <w:rsid w:val="001B4F92"/>
    <w:rsid w:val="001B513E"/>
    <w:rsid w:val="001B55B3"/>
    <w:rsid w:val="001B5856"/>
    <w:rsid w:val="001B5D07"/>
    <w:rsid w:val="001B5E00"/>
    <w:rsid w:val="001B5FB2"/>
    <w:rsid w:val="001B63DD"/>
    <w:rsid w:val="001B6438"/>
    <w:rsid w:val="001C08F8"/>
    <w:rsid w:val="001C2F52"/>
    <w:rsid w:val="001C33C4"/>
    <w:rsid w:val="001C3A4F"/>
    <w:rsid w:val="001C40D8"/>
    <w:rsid w:val="001C4264"/>
    <w:rsid w:val="001C439A"/>
    <w:rsid w:val="001C46FD"/>
    <w:rsid w:val="001C50DE"/>
    <w:rsid w:val="001C5B99"/>
    <w:rsid w:val="001C672F"/>
    <w:rsid w:val="001C77D1"/>
    <w:rsid w:val="001D10F0"/>
    <w:rsid w:val="001D1F31"/>
    <w:rsid w:val="001D23AA"/>
    <w:rsid w:val="001D2405"/>
    <w:rsid w:val="001D3295"/>
    <w:rsid w:val="001D3FF5"/>
    <w:rsid w:val="001D49E1"/>
    <w:rsid w:val="001D4CBC"/>
    <w:rsid w:val="001D4FF2"/>
    <w:rsid w:val="001D5893"/>
    <w:rsid w:val="001D5C22"/>
    <w:rsid w:val="001D5D40"/>
    <w:rsid w:val="001D5EEB"/>
    <w:rsid w:val="001D680B"/>
    <w:rsid w:val="001D6BB3"/>
    <w:rsid w:val="001D6F9E"/>
    <w:rsid w:val="001D70F3"/>
    <w:rsid w:val="001D70F4"/>
    <w:rsid w:val="001D74D1"/>
    <w:rsid w:val="001D7A1B"/>
    <w:rsid w:val="001D7ECB"/>
    <w:rsid w:val="001E038D"/>
    <w:rsid w:val="001E0910"/>
    <w:rsid w:val="001E0FEB"/>
    <w:rsid w:val="001E1AE7"/>
    <w:rsid w:val="001E2E7E"/>
    <w:rsid w:val="001E3CC3"/>
    <w:rsid w:val="001E5483"/>
    <w:rsid w:val="001E5887"/>
    <w:rsid w:val="001E5C52"/>
    <w:rsid w:val="001E6FBA"/>
    <w:rsid w:val="001E70DA"/>
    <w:rsid w:val="001E7889"/>
    <w:rsid w:val="001F013B"/>
    <w:rsid w:val="001F09EE"/>
    <w:rsid w:val="001F17F7"/>
    <w:rsid w:val="001F19CE"/>
    <w:rsid w:val="001F240F"/>
    <w:rsid w:val="001F36F0"/>
    <w:rsid w:val="001F37BE"/>
    <w:rsid w:val="001F3844"/>
    <w:rsid w:val="001F3911"/>
    <w:rsid w:val="001F53B3"/>
    <w:rsid w:val="001F59D4"/>
    <w:rsid w:val="001F7078"/>
    <w:rsid w:val="001F7374"/>
    <w:rsid w:val="001F77F6"/>
    <w:rsid w:val="00200982"/>
    <w:rsid w:val="002016D0"/>
    <w:rsid w:val="00201B65"/>
    <w:rsid w:val="0020280F"/>
    <w:rsid w:val="00203B66"/>
    <w:rsid w:val="00203E9E"/>
    <w:rsid w:val="0020448B"/>
    <w:rsid w:val="002048E8"/>
    <w:rsid w:val="00205EDA"/>
    <w:rsid w:val="00207BED"/>
    <w:rsid w:val="00207EC8"/>
    <w:rsid w:val="00210463"/>
    <w:rsid w:val="00211174"/>
    <w:rsid w:val="00211233"/>
    <w:rsid w:val="00211308"/>
    <w:rsid w:val="00211326"/>
    <w:rsid w:val="002118F3"/>
    <w:rsid w:val="00211AE0"/>
    <w:rsid w:val="00211C24"/>
    <w:rsid w:val="00212719"/>
    <w:rsid w:val="00212CAA"/>
    <w:rsid w:val="00212DBC"/>
    <w:rsid w:val="002140FC"/>
    <w:rsid w:val="0021413E"/>
    <w:rsid w:val="0021558D"/>
    <w:rsid w:val="00215D55"/>
    <w:rsid w:val="00215FE2"/>
    <w:rsid w:val="002164AA"/>
    <w:rsid w:val="00217CD5"/>
    <w:rsid w:val="0022051D"/>
    <w:rsid w:val="0022308E"/>
    <w:rsid w:val="0022523D"/>
    <w:rsid w:val="002266D0"/>
    <w:rsid w:val="0022767A"/>
    <w:rsid w:val="00227CD4"/>
    <w:rsid w:val="002309ED"/>
    <w:rsid w:val="00230ABF"/>
    <w:rsid w:val="00231159"/>
    <w:rsid w:val="00231C00"/>
    <w:rsid w:val="00232C90"/>
    <w:rsid w:val="0023354F"/>
    <w:rsid w:val="0023499C"/>
    <w:rsid w:val="00234B82"/>
    <w:rsid w:val="00236639"/>
    <w:rsid w:val="002366E4"/>
    <w:rsid w:val="0023695D"/>
    <w:rsid w:val="0024097E"/>
    <w:rsid w:val="00240E32"/>
    <w:rsid w:val="002412AC"/>
    <w:rsid w:val="002417EF"/>
    <w:rsid w:val="00241FE8"/>
    <w:rsid w:val="0024276C"/>
    <w:rsid w:val="0024333D"/>
    <w:rsid w:val="00243964"/>
    <w:rsid w:val="00243F63"/>
    <w:rsid w:val="002446C4"/>
    <w:rsid w:val="00244DB0"/>
    <w:rsid w:val="00244FE0"/>
    <w:rsid w:val="00245265"/>
    <w:rsid w:val="00245485"/>
    <w:rsid w:val="00245C97"/>
    <w:rsid w:val="002464E3"/>
    <w:rsid w:val="00247AC4"/>
    <w:rsid w:val="00247D67"/>
    <w:rsid w:val="00250123"/>
    <w:rsid w:val="00251782"/>
    <w:rsid w:val="00251792"/>
    <w:rsid w:val="00251B53"/>
    <w:rsid w:val="00251DEC"/>
    <w:rsid w:val="00252148"/>
    <w:rsid w:val="00253A46"/>
    <w:rsid w:val="00255C0B"/>
    <w:rsid w:val="002567BC"/>
    <w:rsid w:val="00257DAC"/>
    <w:rsid w:val="00260164"/>
    <w:rsid w:val="0026030A"/>
    <w:rsid w:val="00260359"/>
    <w:rsid w:val="00260397"/>
    <w:rsid w:val="002605E9"/>
    <w:rsid w:val="002612C5"/>
    <w:rsid w:val="002618FD"/>
    <w:rsid w:val="00261BA9"/>
    <w:rsid w:val="002624EB"/>
    <w:rsid w:val="002631A4"/>
    <w:rsid w:val="002641DC"/>
    <w:rsid w:val="0026420E"/>
    <w:rsid w:val="00264485"/>
    <w:rsid w:val="002644A8"/>
    <w:rsid w:val="00265E58"/>
    <w:rsid w:val="0026652F"/>
    <w:rsid w:val="00266894"/>
    <w:rsid w:val="00266AA4"/>
    <w:rsid w:val="002671B4"/>
    <w:rsid w:val="002701D5"/>
    <w:rsid w:val="002712D5"/>
    <w:rsid w:val="00271509"/>
    <w:rsid w:val="0027168A"/>
    <w:rsid w:val="002718A5"/>
    <w:rsid w:val="00272512"/>
    <w:rsid w:val="002728F9"/>
    <w:rsid w:val="002735EC"/>
    <w:rsid w:val="002736FF"/>
    <w:rsid w:val="00274126"/>
    <w:rsid w:val="0027438E"/>
    <w:rsid w:val="0027477B"/>
    <w:rsid w:val="00274E04"/>
    <w:rsid w:val="00274F51"/>
    <w:rsid w:val="0027553C"/>
    <w:rsid w:val="002767A3"/>
    <w:rsid w:val="00276F66"/>
    <w:rsid w:val="00277BA3"/>
    <w:rsid w:val="002801B4"/>
    <w:rsid w:val="00280451"/>
    <w:rsid w:val="00280FE6"/>
    <w:rsid w:val="00281129"/>
    <w:rsid w:val="00281259"/>
    <w:rsid w:val="00281CE2"/>
    <w:rsid w:val="00281FF9"/>
    <w:rsid w:val="00284F6A"/>
    <w:rsid w:val="002865E4"/>
    <w:rsid w:val="002865E9"/>
    <w:rsid w:val="00286777"/>
    <w:rsid w:val="00286C2D"/>
    <w:rsid w:val="002876D9"/>
    <w:rsid w:val="00287779"/>
    <w:rsid w:val="00290330"/>
    <w:rsid w:val="00290656"/>
    <w:rsid w:val="00290F03"/>
    <w:rsid w:val="0029283A"/>
    <w:rsid w:val="002933F6"/>
    <w:rsid w:val="00293E90"/>
    <w:rsid w:val="002949C8"/>
    <w:rsid w:val="00295367"/>
    <w:rsid w:val="00295902"/>
    <w:rsid w:val="00295D7C"/>
    <w:rsid w:val="00296FA3"/>
    <w:rsid w:val="00297691"/>
    <w:rsid w:val="00297767"/>
    <w:rsid w:val="002A03F8"/>
    <w:rsid w:val="002A08F7"/>
    <w:rsid w:val="002A0A3F"/>
    <w:rsid w:val="002A1728"/>
    <w:rsid w:val="002A21C1"/>
    <w:rsid w:val="002A24BD"/>
    <w:rsid w:val="002A333B"/>
    <w:rsid w:val="002A34F2"/>
    <w:rsid w:val="002A3D6A"/>
    <w:rsid w:val="002A5400"/>
    <w:rsid w:val="002A6483"/>
    <w:rsid w:val="002A7763"/>
    <w:rsid w:val="002B0920"/>
    <w:rsid w:val="002B1F5A"/>
    <w:rsid w:val="002B429F"/>
    <w:rsid w:val="002B55CE"/>
    <w:rsid w:val="002B5620"/>
    <w:rsid w:val="002B62D8"/>
    <w:rsid w:val="002B710F"/>
    <w:rsid w:val="002B771A"/>
    <w:rsid w:val="002B7725"/>
    <w:rsid w:val="002C1340"/>
    <w:rsid w:val="002C1866"/>
    <w:rsid w:val="002C1A4B"/>
    <w:rsid w:val="002C21D2"/>
    <w:rsid w:val="002C2C61"/>
    <w:rsid w:val="002C2F6D"/>
    <w:rsid w:val="002C30D3"/>
    <w:rsid w:val="002C36FB"/>
    <w:rsid w:val="002C3C9F"/>
    <w:rsid w:val="002C4007"/>
    <w:rsid w:val="002C403A"/>
    <w:rsid w:val="002C58B8"/>
    <w:rsid w:val="002C6262"/>
    <w:rsid w:val="002C70FD"/>
    <w:rsid w:val="002C7BA6"/>
    <w:rsid w:val="002C7DC0"/>
    <w:rsid w:val="002C7F9B"/>
    <w:rsid w:val="002D004C"/>
    <w:rsid w:val="002D0309"/>
    <w:rsid w:val="002D0E21"/>
    <w:rsid w:val="002D0FFF"/>
    <w:rsid w:val="002D14B7"/>
    <w:rsid w:val="002D1707"/>
    <w:rsid w:val="002D18C5"/>
    <w:rsid w:val="002D1993"/>
    <w:rsid w:val="002D2FCE"/>
    <w:rsid w:val="002D374C"/>
    <w:rsid w:val="002D3D7B"/>
    <w:rsid w:val="002D42AD"/>
    <w:rsid w:val="002D4A22"/>
    <w:rsid w:val="002D637F"/>
    <w:rsid w:val="002D7024"/>
    <w:rsid w:val="002D7ACE"/>
    <w:rsid w:val="002E1DB1"/>
    <w:rsid w:val="002E225B"/>
    <w:rsid w:val="002E2A8E"/>
    <w:rsid w:val="002E2D22"/>
    <w:rsid w:val="002E47AD"/>
    <w:rsid w:val="002E5182"/>
    <w:rsid w:val="002E54CF"/>
    <w:rsid w:val="002E5AFB"/>
    <w:rsid w:val="002F019F"/>
    <w:rsid w:val="002F0276"/>
    <w:rsid w:val="002F1EFA"/>
    <w:rsid w:val="002F224B"/>
    <w:rsid w:val="002F292E"/>
    <w:rsid w:val="002F2A32"/>
    <w:rsid w:val="002F2ADF"/>
    <w:rsid w:val="002F3CC7"/>
    <w:rsid w:val="002F4130"/>
    <w:rsid w:val="002F45FA"/>
    <w:rsid w:val="002F48F3"/>
    <w:rsid w:val="002F5BDE"/>
    <w:rsid w:val="00300061"/>
    <w:rsid w:val="003007EE"/>
    <w:rsid w:val="00301A71"/>
    <w:rsid w:val="00301D3A"/>
    <w:rsid w:val="003025AF"/>
    <w:rsid w:val="00302A26"/>
    <w:rsid w:val="00302C4C"/>
    <w:rsid w:val="00302D3C"/>
    <w:rsid w:val="003032F5"/>
    <w:rsid w:val="003055A1"/>
    <w:rsid w:val="0030637F"/>
    <w:rsid w:val="003065DD"/>
    <w:rsid w:val="0030738D"/>
    <w:rsid w:val="00310B62"/>
    <w:rsid w:val="00310CBD"/>
    <w:rsid w:val="00311363"/>
    <w:rsid w:val="00311972"/>
    <w:rsid w:val="00312253"/>
    <w:rsid w:val="0031284F"/>
    <w:rsid w:val="003134D9"/>
    <w:rsid w:val="003158B9"/>
    <w:rsid w:val="003163FB"/>
    <w:rsid w:val="0031654A"/>
    <w:rsid w:val="00317254"/>
    <w:rsid w:val="0031726C"/>
    <w:rsid w:val="00317523"/>
    <w:rsid w:val="00317E1B"/>
    <w:rsid w:val="003200BD"/>
    <w:rsid w:val="00320CD5"/>
    <w:rsid w:val="0032136A"/>
    <w:rsid w:val="00323B41"/>
    <w:rsid w:val="003249BF"/>
    <w:rsid w:val="003263BD"/>
    <w:rsid w:val="00326D69"/>
    <w:rsid w:val="0033242E"/>
    <w:rsid w:val="003336B2"/>
    <w:rsid w:val="00334A4E"/>
    <w:rsid w:val="00335DB7"/>
    <w:rsid w:val="003367F5"/>
    <w:rsid w:val="003367FD"/>
    <w:rsid w:val="00336BC3"/>
    <w:rsid w:val="00336F1E"/>
    <w:rsid w:val="00337824"/>
    <w:rsid w:val="00337D7D"/>
    <w:rsid w:val="003403FD"/>
    <w:rsid w:val="00340445"/>
    <w:rsid w:val="0034080A"/>
    <w:rsid w:val="00341B03"/>
    <w:rsid w:val="00342178"/>
    <w:rsid w:val="003437B0"/>
    <w:rsid w:val="00343CDD"/>
    <w:rsid w:val="003444A4"/>
    <w:rsid w:val="00344605"/>
    <w:rsid w:val="00345569"/>
    <w:rsid w:val="003456BA"/>
    <w:rsid w:val="00346F3B"/>
    <w:rsid w:val="00350584"/>
    <w:rsid w:val="0035113A"/>
    <w:rsid w:val="003515BD"/>
    <w:rsid w:val="003515F4"/>
    <w:rsid w:val="00351C15"/>
    <w:rsid w:val="00351C60"/>
    <w:rsid w:val="003521C8"/>
    <w:rsid w:val="003525A4"/>
    <w:rsid w:val="00352D9B"/>
    <w:rsid w:val="00352FCF"/>
    <w:rsid w:val="003532F3"/>
    <w:rsid w:val="00353C9D"/>
    <w:rsid w:val="0035431E"/>
    <w:rsid w:val="00354771"/>
    <w:rsid w:val="003555EE"/>
    <w:rsid w:val="00356029"/>
    <w:rsid w:val="00356130"/>
    <w:rsid w:val="00356EBC"/>
    <w:rsid w:val="00357173"/>
    <w:rsid w:val="003573DB"/>
    <w:rsid w:val="003574F5"/>
    <w:rsid w:val="003575DB"/>
    <w:rsid w:val="00360102"/>
    <w:rsid w:val="00360559"/>
    <w:rsid w:val="00360987"/>
    <w:rsid w:val="003617BA"/>
    <w:rsid w:val="00361A53"/>
    <w:rsid w:val="00361A5A"/>
    <w:rsid w:val="00362932"/>
    <w:rsid w:val="00363187"/>
    <w:rsid w:val="00364A72"/>
    <w:rsid w:val="00364A7E"/>
    <w:rsid w:val="00364DDF"/>
    <w:rsid w:val="003665D3"/>
    <w:rsid w:val="003667B4"/>
    <w:rsid w:val="00366968"/>
    <w:rsid w:val="003670EE"/>
    <w:rsid w:val="00367661"/>
    <w:rsid w:val="00370196"/>
    <w:rsid w:val="003704AA"/>
    <w:rsid w:val="00370BF8"/>
    <w:rsid w:val="00370FC6"/>
    <w:rsid w:val="00372128"/>
    <w:rsid w:val="0037286D"/>
    <w:rsid w:val="00372ABB"/>
    <w:rsid w:val="00372F65"/>
    <w:rsid w:val="00373659"/>
    <w:rsid w:val="00373E12"/>
    <w:rsid w:val="003742A1"/>
    <w:rsid w:val="003753FF"/>
    <w:rsid w:val="00375563"/>
    <w:rsid w:val="003757B8"/>
    <w:rsid w:val="003757DF"/>
    <w:rsid w:val="003764C1"/>
    <w:rsid w:val="00376654"/>
    <w:rsid w:val="00376678"/>
    <w:rsid w:val="00376FCF"/>
    <w:rsid w:val="00381A76"/>
    <w:rsid w:val="00381C48"/>
    <w:rsid w:val="00381CEC"/>
    <w:rsid w:val="00381D25"/>
    <w:rsid w:val="003821A6"/>
    <w:rsid w:val="003822B0"/>
    <w:rsid w:val="00383369"/>
    <w:rsid w:val="00385E23"/>
    <w:rsid w:val="00385E63"/>
    <w:rsid w:val="0038617E"/>
    <w:rsid w:val="00386C98"/>
    <w:rsid w:val="00390E23"/>
    <w:rsid w:val="00390FE3"/>
    <w:rsid w:val="003916F4"/>
    <w:rsid w:val="003923FE"/>
    <w:rsid w:val="00392735"/>
    <w:rsid w:val="00393A7B"/>
    <w:rsid w:val="0039416E"/>
    <w:rsid w:val="00394BFB"/>
    <w:rsid w:val="00394E20"/>
    <w:rsid w:val="00396015"/>
    <w:rsid w:val="0039672B"/>
    <w:rsid w:val="003979E0"/>
    <w:rsid w:val="00397FD7"/>
    <w:rsid w:val="003A0471"/>
    <w:rsid w:val="003A0E65"/>
    <w:rsid w:val="003A11DE"/>
    <w:rsid w:val="003A2485"/>
    <w:rsid w:val="003A3818"/>
    <w:rsid w:val="003A382E"/>
    <w:rsid w:val="003A4FCC"/>
    <w:rsid w:val="003A504A"/>
    <w:rsid w:val="003A50A4"/>
    <w:rsid w:val="003A566B"/>
    <w:rsid w:val="003A6AAF"/>
    <w:rsid w:val="003A6DA5"/>
    <w:rsid w:val="003A74F8"/>
    <w:rsid w:val="003A7E66"/>
    <w:rsid w:val="003B00FD"/>
    <w:rsid w:val="003B0198"/>
    <w:rsid w:val="003B1B67"/>
    <w:rsid w:val="003B2380"/>
    <w:rsid w:val="003B42CE"/>
    <w:rsid w:val="003B4A42"/>
    <w:rsid w:val="003B4F26"/>
    <w:rsid w:val="003B4F60"/>
    <w:rsid w:val="003B5561"/>
    <w:rsid w:val="003B5AE8"/>
    <w:rsid w:val="003B668A"/>
    <w:rsid w:val="003C065C"/>
    <w:rsid w:val="003C1118"/>
    <w:rsid w:val="003C163E"/>
    <w:rsid w:val="003C2E78"/>
    <w:rsid w:val="003C2FE0"/>
    <w:rsid w:val="003C3084"/>
    <w:rsid w:val="003C3577"/>
    <w:rsid w:val="003C6711"/>
    <w:rsid w:val="003D1038"/>
    <w:rsid w:val="003D50CC"/>
    <w:rsid w:val="003D520B"/>
    <w:rsid w:val="003D5727"/>
    <w:rsid w:val="003D646B"/>
    <w:rsid w:val="003D6CA6"/>
    <w:rsid w:val="003D7936"/>
    <w:rsid w:val="003D7C36"/>
    <w:rsid w:val="003D7DCC"/>
    <w:rsid w:val="003D7FB7"/>
    <w:rsid w:val="003E0260"/>
    <w:rsid w:val="003E0BA7"/>
    <w:rsid w:val="003E1801"/>
    <w:rsid w:val="003E1ECC"/>
    <w:rsid w:val="003E1F03"/>
    <w:rsid w:val="003E2948"/>
    <w:rsid w:val="003E2DAA"/>
    <w:rsid w:val="003E3D2C"/>
    <w:rsid w:val="003E46F5"/>
    <w:rsid w:val="003E57DE"/>
    <w:rsid w:val="003F020D"/>
    <w:rsid w:val="003F0FC3"/>
    <w:rsid w:val="003F1128"/>
    <w:rsid w:val="003F11DF"/>
    <w:rsid w:val="003F1601"/>
    <w:rsid w:val="003F17A3"/>
    <w:rsid w:val="003F3FBD"/>
    <w:rsid w:val="003F46B8"/>
    <w:rsid w:val="003F4BFE"/>
    <w:rsid w:val="003F5CBD"/>
    <w:rsid w:val="003F65EC"/>
    <w:rsid w:val="003F6F16"/>
    <w:rsid w:val="003F74E3"/>
    <w:rsid w:val="00400988"/>
    <w:rsid w:val="00400B1A"/>
    <w:rsid w:val="00401C2C"/>
    <w:rsid w:val="00401ECE"/>
    <w:rsid w:val="0040204B"/>
    <w:rsid w:val="004027B5"/>
    <w:rsid w:val="00402E52"/>
    <w:rsid w:val="00403105"/>
    <w:rsid w:val="004035CE"/>
    <w:rsid w:val="00403FCA"/>
    <w:rsid w:val="00404030"/>
    <w:rsid w:val="00404888"/>
    <w:rsid w:val="0040490F"/>
    <w:rsid w:val="00405151"/>
    <w:rsid w:val="0040544A"/>
    <w:rsid w:val="0040553A"/>
    <w:rsid w:val="00405767"/>
    <w:rsid w:val="0040627B"/>
    <w:rsid w:val="004112F5"/>
    <w:rsid w:val="00411953"/>
    <w:rsid w:val="0041227E"/>
    <w:rsid w:val="0041361A"/>
    <w:rsid w:val="004136D4"/>
    <w:rsid w:val="00413D1B"/>
    <w:rsid w:val="004142D0"/>
    <w:rsid w:val="004149B3"/>
    <w:rsid w:val="00415095"/>
    <w:rsid w:val="00416FC1"/>
    <w:rsid w:val="00417A43"/>
    <w:rsid w:val="004203E8"/>
    <w:rsid w:val="004205D1"/>
    <w:rsid w:val="004214FC"/>
    <w:rsid w:val="00423227"/>
    <w:rsid w:val="0042333B"/>
    <w:rsid w:val="00425105"/>
    <w:rsid w:val="0042548B"/>
    <w:rsid w:val="0042675F"/>
    <w:rsid w:val="00426E45"/>
    <w:rsid w:val="00430686"/>
    <w:rsid w:val="00430B46"/>
    <w:rsid w:val="00431D8B"/>
    <w:rsid w:val="00431DB3"/>
    <w:rsid w:val="00432655"/>
    <w:rsid w:val="0043310D"/>
    <w:rsid w:val="00433DE5"/>
    <w:rsid w:val="00434591"/>
    <w:rsid w:val="00434911"/>
    <w:rsid w:val="00434C0C"/>
    <w:rsid w:val="00436370"/>
    <w:rsid w:val="00436F44"/>
    <w:rsid w:val="00437FAC"/>
    <w:rsid w:val="00440060"/>
    <w:rsid w:val="004405D5"/>
    <w:rsid w:val="00441073"/>
    <w:rsid w:val="00441FAC"/>
    <w:rsid w:val="00442BF0"/>
    <w:rsid w:val="004431B1"/>
    <w:rsid w:val="00443D19"/>
    <w:rsid w:val="004445B6"/>
    <w:rsid w:val="00444B6E"/>
    <w:rsid w:val="00445433"/>
    <w:rsid w:val="004459D2"/>
    <w:rsid w:val="00445BB7"/>
    <w:rsid w:val="00445D76"/>
    <w:rsid w:val="00445FC3"/>
    <w:rsid w:val="00446511"/>
    <w:rsid w:val="00447A45"/>
    <w:rsid w:val="00447EAD"/>
    <w:rsid w:val="00451467"/>
    <w:rsid w:val="00451585"/>
    <w:rsid w:val="00451DC8"/>
    <w:rsid w:val="004523A4"/>
    <w:rsid w:val="004528C4"/>
    <w:rsid w:val="00452CA7"/>
    <w:rsid w:val="004530E3"/>
    <w:rsid w:val="00453DC0"/>
    <w:rsid w:val="00455428"/>
    <w:rsid w:val="004557F7"/>
    <w:rsid w:val="00455A3E"/>
    <w:rsid w:val="00456326"/>
    <w:rsid w:val="00456C63"/>
    <w:rsid w:val="00456C80"/>
    <w:rsid w:val="00456FF2"/>
    <w:rsid w:val="004571AA"/>
    <w:rsid w:val="004572B8"/>
    <w:rsid w:val="00457A53"/>
    <w:rsid w:val="00460481"/>
    <w:rsid w:val="004605D9"/>
    <w:rsid w:val="00460698"/>
    <w:rsid w:val="00460AB8"/>
    <w:rsid w:val="00461876"/>
    <w:rsid w:val="00461AA6"/>
    <w:rsid w:val="00462B34"/>
    <w:rsid w:val="00462E81"/>
    <w:rsid w:val="00463135"/>
    <w:rsid w:val="004633A8"/>
    <w:rsid w:val="004651D2"/>
    <w:rsid w:val="004652AC"/>
    <w:rsid w:val="00466336"/>
    <w:rsid w:val="00467242"/>
    <w:rsid w:val="00470338"/>
    <w:rsid w:val="00470B4F"/>
    <w:rsid w:val="00470C95"/>
    <w:rsid w:val="00472A35"/>
    <w:rsid w:val="00472DA7"/>
    <w:rsid w:val="00473130"/>
    <w:rsid w:val="00473BAB"/>
    <w:rsid w:val="00475642"/>
    <w:rsid w:val="004757FF"/>
    <w:rsid w:val="00475E85"/>
    <w:rsid w:val="0047643B"/>
    <w:rsid w:val="00476F6A"/>
    <w:rsid w:val="004770AB"/>
    <w:rsid w:val="00477647"/>
    <w:rsid w:val="004814B5"/>
    <w:rsid w:val="00481607"/>
    <w:rsid w:val="0048163E"/>
    <w:rsid w:val="00481BA2"/>
    <w:rsid w:val="00481F33"/>
    <w:rsid w:val="00482E06"/>
    <w:rsid w:val="004830E1"/>
    <w:rsid w:val="00483A26"/>
    <w:rsid w:val="00483B58"/>
    <w:rsid w:val="00483EE1"/>
    <w:rsid w:val="00484120"/>
    <w:rsid w:val="004847C1"/>
    <w:rsid w:val="00485373"/>
    <w:rsid w:val="0048554A"/>
    <w:rsid w:val="00485619"/>
    <w:rsid w:val="004858C9"/>
    <w:rsid w:val="004877EB"/>
    <w:rsid w:val="00487E7D"/>
    <w:rsid w:val="00487EC4"/>
    <w:rsid w:val="00491F05"/>
    <w:rsid w:val="00492328"/>
    <w:rsid w:val="00492893"/>
    <w:rsid w:val="00492DA2"/>
    <w:rsid w:val="00492F12"/>
    <w:rsid w:val="00493666"/>
    <w:rsid w:val="00493FED"/>
    <w:rsid w:val="0049502E"/>
    <w:rsid w:val="004968C0"/>
    <w:rsid w:val="00497F47"/>
    <w:rsid w:val="00497F62"/>
    <w:rsid w:val="004A031D"/>
    <w:rsid w:val="004A12D8"/>
    <w:rsid w:val="004A13E3"/>
    <w:rsid w:val="004A14E6"/>
    <w:rsid w:val="004A1554"/>
    <w:rsid w:val="004A1676"/>
    <w:rsid w:val="004A201D"/>
    <w:rsid w:val="004A3908"/>
    <w:rsid w:val="004A4B15"/>
    <w:rsid w:val="004A4DAC"/>
    <w:rsid w:val="004A5421"/>
    <w:rsid w:val="004A59D4"/>
    <w:rsid w:val="004A5D6C"/>
    <w:rsid w:val="004A5E82"/>
    <w:rsid w:val="004A631E"/>
    <w:rsid w:val="004A6815"/>
    <w:rsid w:val="004A6866"/>
    <w:rsid w:val="004A6F23"/>
    <w:rsid w:val="004A6FED"/>
    <w:rsid w:val="004A7DE3"/>
    <w:rsid w:val="004B0BBF"/>
    <w:rsid w:val="004B117C"/>
    <w:rsid w:val="004B1E7C"/>
    <w:rsid w:val="004B2590"/>
    <w:rsid w:val="004B25B2"/>
    <w:rsid w:val="004B2773"/>
    <w:rsid w:val="004B35CE"/>
    <w:rsid w:val="004B6455"/>
    <w:rsid w:val="004B660F"/>
    <w:rsid w:val="004B6B88"/>
    <w:rsid w:val="004B7188"/>
    <w:rsid w:val="004B7349"/>
    <w:rsid w:val="004B74E4"/>
    <w:rsid w:val="004B7616"/>
    <w:rsid w:val="004B7A5E"/>
    <w:rsid w:val="004C04CB"/>
    <w:rsid w:val="004C09B2"/>
    <w:rsid w:val="004C0F55"/>
    <w:rsid w:val="004C1171"/>
    <w:rsid w:val="004C175A"/>
    <w:rsid w:val="004C1780"/>
    <w:rsid w:val="004C23F1"/>
    <w:rsid w:val="004C26B5"/>
    <w:rsid w:val="004C2752"/>
    <w:rsid w:val="004C35A4"/>
    <w:rsid w:val="004C3799"/>
    <w:rsid w:val="004C49E2"/>
    <w:rsid w:val="004C4CCD"/>
    <w:rsid w:val="004C4DB9"/>
    <w:rsid w:val="004C6001"/>
    <w:rsid w:val="004C644B"/>
    <w:rsid w:val="004D01B3"/>
    <w:rsid w:val="004D077A"/>
    <w:rsid w:val="004D0AAF"/>
    <w:rsid w:val="004D1CEF"/>
    <w:rsid w:val="004D1E29"/>
    <w:rsid w:val="004D1EC9"/>
    <w:rsid w:val="004D2B6E"/>
    <w:rsid w:val="004D3393"/>
    <w:rsid w:val="004D34AA"/>
    <w:rsid w:val="004D36D3"/>
    <w:rsid w:val="004D39C5"/>
    <w:rsid w:val="004D39FA"/>
    <w:rsid w:val="004D3A7A"/>
    <w:rsid w:val="004D4CDA"/>
    <w:rsid w:val="004D4D1C"/>
    <w:rsid w:val="004D4D32"/>
    <w:rsid w:val="004D4D8A"/>
    <w:rsid w:val="004D5198"/>
    <w:rsid w:val="004D608B"/>
    <w:rsid w:val="004E144C"/>
    <w:rsid w:val="004E1D41"/>
    <w:rsid w:val="004E2FD7"/>
    <w:rsid w:val="004E3248"/>
    <w:rsid w:val="004E34BE"/>
    <w:rsid w:val="004E5143"/>
    <w:rsid w:val="004E54E8"/>
    <w:rsid w:val="004E5592"/>
    <w:rsid w:val="004E56CD"/>
    <w:rsid w:val="004E6B21"/>
    <w:rsid w:val="004E77B9"/>
    <w:rsid w:val="004F01C2"/>
    <w:rsid w:val="004F0512"/>
    <w:rsid w:val="004F16E4"/>
    <w:rsid w:val="004F2AEF"/>
    <w:rsid w:val="004F3C44"/>
    <w:rsid w:val="004F428C"/>
    <w:rsid w:val="004F4304"/>
    <w:rsid w:val="004F484B"/>
    <w:rsid w:val="004F497C"/>
    <w:rsid w:val="004F497E"/>
    <w:rsid w:val="004F4BCB"/>
    <w:rsid w:val="004F4CCA"/>
    <w:rsid w:val="004F4E15"/>
    <w:rsid w:val="004F4F41"/>
    <w:rsid w:val="004F53E8"/>
    <w:rsid w:val="004F67B1"/>
    <w:rsid w:val="004F757D"/>
    <w:rsid w:val="00500324"/>
    <w:rsid w:val="005003F2"/>
    <w:rsid w:val="00500C39"/>
    <w:rsid w:val="00501263"/>
    <w:rsid w:val="00501736"/>
    <w:rsid w:val="00502204"/>
    <w:rsid w:val="0050401D"/>
    <w:rsid w:val="0050496A"/>
    <w:rsid w:val="0050561F"/>
    <w:rsid w:val="00506D90"/>
    <w:rsid w:val="00507159"/>
    <w:rsid w:val="0050773A"/>
    <w:rsid w:val="005079C4"/>
    <w:rsid w:val="00510D4B"/>
    <w:rsid w:val="00511326"/>
    <w:rsid w:val="00511465"/>
    <w:rsid w:val="0051146F"/>
    <w:rsid w:val="0051223B"/>
    <w:rsid w:val="0051227E"/>
    <w:rsid w:val="00512C16"/>
    <w:rsid w:val="0051315D"/>
    <w:rsid w:val="00514703"/>
    <w:rsid w:val="005149EA"/>
    <w:rsid w:val="0051701F"/>
    <w:rsid w:val="00517200"/>
    <w:rsid w:val="005172A4"/>
    <w:rsid w:val="00517B49"/>
    <w:rsid w:val="005207E9"/>
    <w:rsid w:val="00520BE9"/>
    <w:rsid w:val="0052100E"/>
    <w:rsid w:val="00521487"/>
    <w:rsid w:val="0052345D"/>
    <w:rsid w:val="00523673"/>
    <w:rsid w:val="00523A77"/>
    <w:rsid w:val="0052434A"/>
    <w:rsid w:val="00524506"/>
    <w:rsid w:val="00525967"/>
    <w:rsid w:val="00526A68"/>
    <w:rsid w:val="00526DBC"/>
    <w:rsid w:val="00530F0D"/>
    <w:rsid w:val="00531161"/>
    <w:rsid w:val="00531546"/>
    <w:rsid w:val="00531790"/>
    <w:rsid w:val="00533CCD"/>
    <w:rsid w:val="00533F13"/>
    <w:rsid w:val="005350AF"/>
    <w:rsid w:val="0053684A"/>
    <w:rsid w:val="005401FE"/>
    <w:rsid w:val="00540A91"/>
    <w:rsid w:val="00540C38"/>
    <w:rsid w:val="00541118"/>
    <w:rsid w:val="005415AD"/>
    <w:rsid w:val="0054189F"/>
    <w:rsid w:val="00541923"/>
    <w:rsid w:val="00542492"/>
    <w:rsid w:val="005424F9"/>
    <w:rsid w:val="005428CD"/>
    <w:rsid w:val="00543F9A"/>
    <w:rsid w:val="0054418B"/>
    <w:rsid w:val="005448C2"/>
    <w:rsid w:val="00544C37"/>
    <w:rsid w:val="00544CE4"/>
    <w:rsid w:val="0054584B"/>
    <w:rsid w:val="00545CB4"/>
    <w:rsid w:val="00545F69"/>
    <w:rsid w:val="00546935"/>
    <w:rsid w:val="00546C40"/>
    <w:rsid w:val="00550F4E"/>
    <w:rsid w:val="005515A9"/>
    <w:rsid w:val="00551D96"/>
    <w:rsid w:val="00551EB0"/>
    <w:rsid w:val="0055201B"/>
    <w:rsid w:val="00552B60"/>
    <w:rsid w:val="00553290"/>
    <w:rsid w:val="005537B6"/>
    <w:rsid w:val="00553B4F"/>
    <w:rsid w:val="00553E34"/>
    <w:rsid w:val="0055419D"/>
    <w:rsid w:val="0055442B"/>
    <w:rsid w:val="005544FC"/>
    <w:rsid w:val="00554E89"/>
    <w:rsid w:val="005559F4"/>
    <w:rsid w:val="00556EF2"/>
    <w:rsid w:val="00556FFE"/>
    <w:rsid w:val="00557774"/>
    <w:rsid w:val="00557D9A"/>
    <w:rsid w:val="0056134B"/>
    <w:rsid w:val="00561EDA"/>
    <w:rsid w:val="005623FF"/>
    <w:rsid w:val="00562A70"/>
    <w:rsid w:val="0056339D"/>
    <w:rsid w:val="005634DE"/>
    <w:rsid w:val="005635A4"/>
    <w:rsid w:val="00563612"/>
    <w:rsid w:val="0056364D"/>
    <w:rsid w:val="00563768"/>
    <w:rsid w:val="00564368"/>
    <w:rsid w:val="00564462"/>
    <w:rsid w:val="00565E28"/>
    <w:rsid w:val="005664EC"/>
    <w:rsid w:val="00566EB6"/>
    <w:rsid w:val="00567402"/>
    <w:rsid w:val="00567464"/>
    <w:rsid w:val="005705CE"/>
    <w:rsid w:val="00570F53"/>
    <w:rsid w:val="00571665"/>
    <w:rsid w:val="00571A94"/>
    <w:rsid w:val="005729AF"/>
    <w:rsid w:val="005733DD"/>
    <w:rsid w:val="00573791"/>
    <w:rsid w:val="005739A2"/>
    <w:rsid w:val="005742BC"/>
    <w:rsid w:val="00574AFF"/>
    <w:rsid w:val="00575248"/>
    <w:rsid w:val="0057642C"/>
    <w:rsid w:val="00576D4A"/>
    <w:rsid w:val="005770BF"/>
    <w:rsid w:val="005772D3"/>
    <w:rsid w:val="0058019C"/>
    <w:rsid w:val="005815E6"/>
    <w:rsid w:val="0058360D"/>
    <w:rsid w:val="00584299"/>
    <w:rsid w:val="00584D1A"/>
    <w:rsid w:val="0058526B"/>
    <w:rsid w:val="005872F6"/>
    <w:rsid w:val="0058798F"/>
    <w:rsid w:val="00587E39"/>
    <w:rsid w:val="00591BC6"/>
    <w:rsid w:val="00591D4A"/>
    <w:rsid w:val="00593AF7"/>
    <w:rsid w:val="005946B9"/>
    <w:rsid w:val="005948E8"/>
    <w:rsid w:val="00594C44"/>
    <w:rsid w:val="00595EE5"/>
    <w:rsid w:val="0059630E"/>
    <w:rsid w:val="00596F8B"/>
    <w:rsid w:val="005970B7"/>
    <w:rsid w:val="00597849"/>
    <w:rsid w:val="005A0652"/>
    <w:rsid w:val="005A23CC"/>
    <w:rsid w:val="005A2642"/>
    <w:rsid w:val="005A3248"/>
    <w:rsid w:val="005A371E"/>
    <w:rsid w:val="005A3AFA"/>
    <w:rsid w:val="005A4659"/>
    <w:rsid w:val="005A499C"/>
    <w:rsid w:val="005A4AB8"/>
    <w:rsid w:val="005A4CDF"/>
    <w:rsid w:val="005A5745"/>
    <w:rsid w:val="005A6986"/>
    <w:rsid w:val="005A7E55"/>
    <w:rsid w:val="005B091B"/>
    <w:rsid w:val="005B0A64"/>
    <w:rsid w:val="005B0AAA"/>
    <w:rsid w:val="005B1418"/>
    <w:rsid w:val="005B2616"/>
    <w:rsid w:val="005B2C8D"/>
    <w:rsid w:val="005B3526"/>
    <w:rsid w:val="005B3823"/>
    <w:rsid w:val="005B3D95"/>
    <w:rsid w:val="005B3E45"/>
    <w:rsid w:val="005B686B"/>
    <w:rsid w:val="005B6BBE"/>
    <w:rsid w:val="005B7A51"/>
    <w:rsid w:val="005B7B2B"/>
    <w:rsid w:val="005B7D0E"/>
    <w:rsid w:val="005C0007"/>
    <w:rsid w:val="005C03B1"/>
    <w:rsid w:val="005C03DA"/>
    <w:rsid w:val="005C1682"/>
    <w:rsid w:val="005C3340"/>
    <w:rsid w:val="005C33DB"/>
    <w:rsid w:val="005C3BB7"/>
    <w:rsid w:val="005C44CB"/>
    <w:rsid w:val="005C456F"/>
    <w:rsid w:val="005C4DF4"/>
    <w:rsid w:val="005C6417"/>
    <w:rsid w:val="005C6875"/>
    <w:rsid w:val="005C7CCD"/>
    <w:rsid w:val="005D0532"/>
    <w:rsid w:val="005D1375"/>
    <w:rsid w:val="005D13A2"/>
    <w:rsid w:val="005D1766"/>
    <w:rsid w:val="005D17F4"/>
    <w:rsid w:val="005D240F"/>
    <w:rsid w:val="005D2B6B"/>
    <w:rsid w:val="005D3A52"/>
    <w:rsid w:val="005D40F9"/>
    <w:rsid w:val="005D5A08"/>
    <w:rsid w:val="005D6B1D"/>
    <w:rsid w:val="005D6E2A"/>
    <w:rsid w:val="005E0929"/>
    <w:rsid w:val="005E1428"/>
    <w:rsid w:val="005E14C6"/>
    <w:rsid w:val="005E1D01"/>
    <w:rsid w:val="005E2537"/>
    <w:rsid w:val="005E2E48"/>
    <w:rsid w:val="005E3E74"/>
    <w:rsid w:val="005E3F59"/>
    <w:rsid w:val="005E4DB0"/>
    <w:rsid w:val="005E55BB"/>
    <w:rsid w:val="005E57B7"/>
    <w:rsid w:val="005E69BE"/>
    <w:rsid w:val="005E7D79"/>
    <w:rsid w:val="005F086C"/>
    <w:rsid w:val="005F3236"/>
    <w:rsid w:val="005F39F2"/>
    <w:rsid w:val="005F3ADA"/>
    <w:rsid w:val="005F41E3"/>
    <w:rsid w:val="005F4913"/>
    <w:rsid w:val="005F5182"/>
    <w:rsid w:val="005F631C"/>
    <w:rsid w:val="005F7AF4"/>
    <w:rsid w:val="005F7DEC"/>
    <w:rsid w:val="005F7DF4"/>
    <w:rsid w:val="0060065C"/>
    <w:rsid w:val="00600AF4"/>
    <w:rsid w:val="00600EBF"/>
    <w:rsid w:val="0060129D"/>
    <w:rsid w:val="006012CD"/>
    <w:rsid w:val="006021CD"/>
    <w:rsid w:val="00602B4D"/>
    <w:rsid w:val="006032D3"/>
    <w:rsid w:val="00603334"/>
    <w:rsid w:val="0060360A"/>
    <w:rsid w:val="00603F2C"/>
    <w:rsid w:val="00604233"/>
    <w:rsid w:val="0060433F"/>
    <w:rsid w:val="00604D4F"/>
    <w:rsid w:val="0060519C"/>
    <w:rsid w:val="006059A8"/>
    <w:rsid w:val="00605C45"/>
    <w:rsid w:val="0060609A"/>
    <w:rsid w:val="0060632B"/>
    <w:rsid w:val="0060758D"/>
    <w:rsid w:val="00607716"/>
    <w:rsid w:val="00607BDC"/>
    <w:rsid w:val="006104FE"/>
    <w:rsid w:val="00610888"/>
    <w:rsid w:val="00610A9D"/>
    <w:rsid w:val="00610FFD"/>
    <w:rsid w:val="006116A6"/>
    <w:rsid w:val="00611870"/>
    <w:rsid w:val="00612473"/>
    <w:rsid w:val="00612652"/>
    <w:rsid w:val="0061342C"/>
    <w:rsid w:val="00614754"/>
    <w:rsid w:val="006158C8"/>
    <w:rsid w:val="00615DD5"/>
    <w:rsid w:val="00616202"/>
    <w:rsid w:val="0061685B"/>
    <w:rsid w:val="00616B1E"/>
    <w:rsid w:val="00616D29"/>
    <w:rsid w:val="00616D2F"/>
    <w:rsid w:val="006219F2"/>
    <w:rsid w:val="006222D4"/>
    <w:rsid w:val="00622BA8"/>
    <w:rsid w:val="0062302D"/>
    <w:rsid w:val="006246DD"/>
    <w:rsid w:val="0062564B"/>
    <w:rsid w:val="00626BB2"/>
    <w:rsid w:val="0062733D"/>
    <w:rsid w:val="0062761A"/>
    <w:rsid w:val="0062797B"/>
    <w:rsid w:val="00630657"/>
    <w:rsid w:val="006309CB"/>
    <w:rsid w:val="00631564"/>
    <w:rsid w:val="00632513"/>
    <w:rsid w:val="00632903"/>
    <w:rsid w:val="00632978"/>
    <w:rsid w:val="006331D4"/>
    <w:rsid w:val="006338C4"/>
    <w:rsid w:val="006338E3"/>
    <w:rsid w:val="00634001"/>
    <w:rsid w:val="0063474D"/>
    <w:rsid w:val="0063541B"/>
    <w:rsid w:val="00635D4A"/>
    <w:rsid w:val="00636CB2"/>
    <w:rsid w:val="0063714D"/>
    <w:rsid w:val="00637267"/>
    <w:rsid w:val="006375D5"/>
    <w:rsid w:val="00637B4E"/>
    <w:rsid w:val="0064170A"/>
    <w:rsid w:val="006417CE"/>
    <w:rsid w:val="006422C6"/>
    <w:rsid w:val="00642CE7"/>
    <w:rsid w:val="0064312A"/>
    <w:rsid w:val="006438A4"/>
    <w:rsid w:val="0064428D"/>
    <w:rsid w:val="00644A5E"/>
    <w:rsid w:val="0064568C"/>
    <w:rsid w:val="00645832"/>
    <w:rsid w:val="0064611D"/>
    <w:rsid w:val="00646957"/>
    <w:rsid w:val="006471C5"/>
    <w:rsid w:val="006501BE"/>
    <w:rsid w:val="006505C6"/>
    <w:rsid w:val="00650CC5"/>
    <w:rsid w:val="00651EBE"/>
    <w:rsid w:val="006520C4"/>
    <w:rsid w:val="0065393B"/>
    <w:rsid w:val="00653943"/>
    <w:rsid w:val="00653D85"/>
    <w:rsid w:val="00654318"/>
    <w:rsid w:val="006545DD"/>
    <w:rsid w:val="00654DC5"/>
    <w:rsid w:val="00654F7A"/>
    <w:rsid w:val="00655941"/>
    <w:rsid w:val="006566EB"/>
    <w:rsid w:val="00657E8D"/>
    <w:rsid w:val="00657EAA"/>
    <w:rsid w:val="006601D7"/>
    <w:rsid w:val="006608AE"/>
    <w:rsid w:val="0066096F"/>
    <w:rsid w:val="00662263"/>
    <w:rsid w:val="006628BD"/>
    <w:rsid w:val="00663A9D"/>
    <w:rsid w:val="00665366"/>
    <w:rsid w:val="0066651C"/>
    <w:rsid w:val="00666FAC"/>
    <w:rsid w:val="00667345"/>
    <w:rsid w:val="0066764F"/>
    <w:rsid w:val="00667DBC"/>
    <w:rsid w:val="006702C9"/>
    <w:rsid w:val="00670519"/>
    <w:rsid w:val="006714A9"/>
    <w:rsid w:val="00671DFD"/>
    <w:rsid w:val="00672057"/>
    <w:rsid w:val="00672548"/>
    <w:rsid w:val="006728A0"/>
    <w:rsid w:val="00672B90"/>
    <w:rsid w:val="006734C8"/>
    <w:rsid w:val="00673EF7"/>
    <w:rsid w:val="006747FE"/>
    <w:rsid w:val="00675C4B"/>
    <w:rsid w:val="0067680B"/>
    <w:rsid w:val="006768B9"/>
    <w:rsid w:val="00677281"/>
    <w:rsid w:val="006776F1"/>
    <w:rsid w:val="006837C5"/>
    <w:rsid w:val="00685467"/>
    <w:rsid w:val="0068607D"/>
    <w:rsid w:val="006860F1"/>
    <w:rsid w:val="00691F58"/>
    <w:rsid w:val="00691F80"/>
    <w:rsid w:val="00692275"/>
    <w:rsid w:val="00692657"/>
    <w:rsid w:val="00692D8C"/>
    <w:rsid w:val="00693CC5"/>
    <w:rsid w:val="006943A9"/>
    <w:rsid w:val="0069518D"/>
    <w:rsid w:val="0069548A"/>
    <w:rsid w:val="00695634"/>
    <w:rsid w:val="0069584B"/>
    <w:rsid w:val="00695B4E"/>
    <w:rsid w:val="00695E12"/>
    <w:rsid w:val="0069604F"/>
    <w:rsid w:val="00696D38"/>
    <w:rsid w:val="00696F53"/>
    <w:rsid w:val="00697086"/>
    <w:rsid w:val="00697667"/>
    <w:rsid w:val="0069798D"/>
    <w:rsid w:val="006A05C8"/>
    <w:rsid w:val="006A1876"/>
    <w:rsid w:val="006A1E4D"/>
    <w:rsid w:val="006A2265"/>
    <w:rsid w:val="006A30FD"/>
    <w:rsid w:val="006A46CD"/>
    <w:rsid w:val="006A49A8"/>
    <w:rsid w:val="006A4B35"/>
    <w:rsid w:val="006A4D2B"/>
    <w:rsid w:val="006A5197"/>
    <w:rsid w:val="006A5C89"/>
    <w:rsid w:val="006A5D73"/>
    <w:rsid w:val="006A64C5"/>
    <w:rsid w:val="006A6B5A"/>
    <w:rsid w:val="006A7027"/>
    <w:rsid w:val="006A765E"/>
    <w:rsid w:val="006B0170"/>
    <w:rsid w:val="006B0BC5"/>
    <w:rsid w:val="006B1225"/>
    <w:rsid w:val="006B1A83"/>
    <w:rsid w:val="006B1AE9"/>
    <w:rsid w:val="006B1AEB"/>
    <w:rsid w:val="006B1CBA"/>
    <w:rsid w:val="006B23BB"/>
    <w:rsid w:val="006B2B8F"/>
    <w:rsid w:val="006B35AE"/>
    <w:rsid w:val="006B3C3F"/>
    <w:rsid w:val="006B491C"/>
    <w:rsid w:val="006B4AB2"/>
    <w:rsid w:val="006B514F"/>
    <w:rsid w:val="006B5261"/>
    <w:rsid w:val="006B58A5"/>
    <w:rsid w:val="006B6387"/>
    <w:rsid w:val="006B69A8"/>
    <w:rsid w:val="006B71AD"/>
    <w:rsid w:val="006B7377"/>
    <w:rsid w:val="006C0196"/>
    <w:rsid w:val="006C0424"/>
    <w:rsid w:val="006C0815"/>
    <w:rsid w:val="006C1419"/>
    <w:rsid w:val="006C2547"/>
    <w:rsid w:val="006C2F9A"/>
    <w:rsid w:val="006C2FE0"/>
    <w:rsid w:val="006C3AF7"/>
    <w:rsid w:val="006C5BBE"/>
    <w:rsid w:val="006C6B2A"/>
    <w:rsid w:val="006C6CCB"/>
    <w:rsid w:val="006C74DF"/>
    <w:rsid w:val="006C7843"/>
    <w:rsid w:val="006C7FC7"/>
    <w:rsid w:val="006D10E7"/>
    <w:rsid w:val="006D1801"/>
    <w:rsid w:val="006D2217"/>
    <w:rsid w:val="006D2644"/>
    <w:rsid w:val="006D331F"/>
    <w:rsid w:val="006D386D"/>
    <w:rsid w:val="006D44F7"/>
    <w:rsid w:val="006D5F32"/>
    <w:rsid w:val="006D6A6A"/>
    <w:rsid w:val="006D6F63"/>
    <w:rsid w:val="006D75E8"/>
    <w:rsid w:val="006D7FEB"/>
    <w:rsid w:val="006E0712"/>
    <w:rsid w:val="006E08E3"/>
    <w:rsid w:val="006E0C32"/>
    <w:rsid w:val="006E16CB"/>
    <w:rsid w:val="006E191F"/>
    <w:rsid w:val="006E23C6"/>
    <w:rsid w:val="006E245E"/>
    <w:rsid w:val="006E2DE3"/>
    <w:rsid w:val="006E332F"/>
    <w:rsid w:val="006E3496"/>
    <w:rsid w:val="006E386D"/>
    <w:rsid w:val="006E4302"/>
    <w:rsid w:val="006E535B"/>
    <w:rsid w:val="006E546F"/>
    <w:rsid w:val="006E5C2B"/>
    <w:rsid w:val="006E7100"/>
    <w:rsid w:val="006E7127"/>
    <w:rsid w:val="006E7994"/>
    <w:rsid w:val="006E7C54"/>
    <w:rsid w:val="006F2221"/>
    <w:rsid w:val="006F26D3"/>
    <w:rsid w:val="006F27D4"/>
    <w:rsid w:val="006F383A"/>
    <w:rsid w:val="006F4569"/>
    <w:rsid w:val="006F611B"/>
    <w:rsid w:val="006F69EC"/>
    <w:rsid w:val="006F6E59"/>
    <w:rsid w:val="00700340"/>
    <w:rsid w:val="00700B85"/>
    <w:rsid w:val="007018C0"/>
    <w:rsid w:val="00701BE2"/>
    <w:rsid w:val="00702153"/>
    <w:rsid w:val="0070226D"/>
    <w:rsid w:val="007025C0"/>
    <w:rsid w:val="007039D9"/>
    <w:rsid w:val="00704288"/>
    <w:rsid w:val="007050F0"/>
    <w:rsid w:val="00705139"/>
    <w:rsid w:val="0070575E"/>
    <w:rsid w:val="00706226"/>
    <w:rsid w:val="00706D9C"/>
    <w:rsid w:val="00706DB2"/>
    <w:rsid w:val="007101B9"/>
    <w:rsid w:val="00710973"/>
    <w:rsid w:val="00711213"/>
    <w:rsid w:val="00711584"/>
    <w:rsid w:val="007122C9"/>
    <w:rsid w:val="0071236E"/>
    <w:rsid w:val="007125BA"/>
    <w:rsid w:val="0071285D"/>
    <w:rsid w:val="00712B4D"/>
    <w:rsid w:val="00713754"/>
    <w:rsid w:val="00714300"/>
    <w:rsid w:val="0071501B"/>
    <w:rsid w:val="00716127"/>
    <w:rsid w:val="007162FE"/>
    <w:rsid w:val="007170D3"/>
    <w:rsid w:val="00717B54"/>
    <w:rsid w:val="00717BA3"/>
    <w:rsid w:val="00717E2E"/>
    <w:rsid w:val="00720A76"/>
    <w:rsid w:val="00720AE7"/>
    <w:rsid w:val="00721465"/>
    <w:rsid w:val="0072184D"/>
    <w:rsid w:val="00721A33"/>
    <w:rsid w:val="00721CAA"/>
    <w:rsid w:val="0072346A"/>
    <w:rsid w:val="00723837"/>
    <w:rsid w:val="0072386D"/>
    <w:rsid w:val="00724C9A"/>
    <w:rsid w:val="00725BF3"/>
    <w:rsid w:val="00727AC1"/>
    <w:rsid w:val="00727DB7"/>
    <w:rsid w:val="007318C0"/>
    <w:rsid w:val="00731F11"/>
    <w:rsid w:val="00732EEE"/>
    <w:rsid w:val="00734FCB"/>
    <w:rsid w:val="00735194"/>
    <w:rsid w:val="00735963"/>
    <w:rsid w:val="00735EB8"/>
    <w:rsid w:val="0073645F"/>
    <w:rsid w:val="007364CD"/>
    <w:rsid w:val="00736BDF"/>
    <w:rsid w:val="00736FBA"/>
    <w:rsid w:val="00740C71"/>
    <w:rsid w:val="007415E7"/>
    <w:rsid w:val="00741E8F"/>
    <w:rsid w:val="00742999"/>
    <w:rsid w:val="00742D1C"/>
    <w:rsid w:val="00743E4F"/>
    <w:rsid w:val="00744504"/>
    <w:rsid w:val="0074488D"/>
    <w:rsid w:val="0074570E"/>
    <w:rsid w:val="00745BF9"/>
    <w:rsid w:val="0074602B"/>
    <w:rsid w:val="00746385"/>
    <w:rsid w:val="007467C6"/>
    <w:rsid w:val="007517A9"/>
    <w:rsid w:val="00751998"/>
    <w:rsid w:val="007535FB"/>
    <w:rsid w:val="007536C4"/>
    <w:rsid w:val="00753C18"/>
    <w:rsid w:val="00754675"/>
    <w:rsid w:val="00754A7A"/>
    <w:rsid w:val="00756D28"/>
    <w:rsid w:val="00756F51"/>
    <w:rsid w:val="00757C83"/>
    <w:rsid w:val="00760249"/>
    <w:rsid w:val="007604C2"/>
    <w:rsid w:val="007613E7"/>
    <w:rsid w:val="00761E5C"/>
    <w:rsid w:val="0076420A"/>
    <w:rsid w:val="007646FD"/>
    <w:rsid w:val="0076578C"/>
    <w:rsid w:val="00765CFD"/>
    <w:rsid w:val="0076606E"/>
    <w:rsid w:val="007665E0"/>
    <w:rsid w:val="00766B47"/>
    <w:rsid w:val="00767374"/>
    <w:rsid w:val="00767786"/>
    <w:rsid w:val="00767F5D"/>
    <w:rsid w:val="007714A3"/>
    <w:rsid w:val="00771AA7"/>
    <w:rsid w:val="00772271"/>
    <w:rsid w:val="00773DEE"/>
    <w:rsid w:val="00774248"/>
    <w:rsid w:val="00774BCF"/>
    <w:rsid w:val="007757B1"/>
    <w:rsid w:val="00775B87"/>
    <w:rsid w:val="007766CF"/>
    <w:rsid w:val="007775EF"/>
    <w:rsid w:val="007807CB"/>
    <w:rsid w:val="0078093F"/>
    <w:rsid w:val="00781409"/>
    <w:rsid w:val="00781420"/>
    <w:rsid w:val="00781A83"/>
    <w:rsid w:val="007820E4"/>
    <w:rsid w:val="00782409"/>
    <w:rsid w:val="00782819"/>
    <w:rsid w:val="0078296B"/>
    <w:rsid w:val="00782FBC"/>
    <w:rsid w:val="0078393C"/>
    <w:rsid w:val="00783EB8"/>
    <w:rsid w:val="00784FF7"/>
    <w:rsid w:val="007851A3"/>
    <w:rsid w:val="00785658"/>
    <w:rsid w:val="00785A4C"/>
    <w:rsid w:val="00785E43"/>
    <w:rsid w:val="00785E8F"/>
    <w:rsid w:val="007862A4"/>
    <w:rsid w:val="00787815"/>
    <w:rsid w:val="007878B8"/>
    <w:rsid w:val="007879CC"/>
    <w:rsid w:val="007907AF"/>
    <w:rsid w:val="007908C5"/>
    <w:rsid w:val="007908C9"/>
    <w:rsid w:val="00791F11"/>
    <w:rsid w:val="007926DE"/>
    <w:rsid w:val="00792943"/>
    <w:rsid w:val="00792D73"/>
    <w:rsid w:val="00792FB2"/>
    <w:rsid w:val="00793530"/>
    <w:rsid w:val="00793627"/>
    <w:rsid w:val="007942D7"/>
    <w:rsid w:val="00794385"/>
    <w:rsid w:val="007944BC"/>
    <w:rsid w:val="00794FBF"/>
    <w:rsid w:val="007962F4"/>
    <w:rsid w:val="00796533"/>
    <w:rsid w:val="007974E5"/>
    <w:rsid w:val="007A009C"/>
    <w:rsid w:val="007A061F"/>
    <w:rsid w:val="007A086E"/>
    <w:rsid w:val="007A0C49"/>
    <w:rsid w:val="007A1BEB"/>
    <w:rsid w:val="007A1C9E"/>
    <w:rsid w:val="007A2591"/>
    <w:rsid w:val="007A32A1"/>
    <w:rsid w:val="007A3B94"/>
    <w:rsid w:val="007A44CA"/>
    <w:rsid w:val="007A4B52"/>
    <w:rsid w:val="007A5D36"/>
    <w:rsid w:val="007A68A1"/>
    <w:rsid w:val="007A77F8"/>
    <w:rsid w:val="007A78B0"/>
    <w:rsid w:val="007A7981"/>
    <w:rsid w:val="007B0489"/>
    <w:rsid w:val="007B186C"/>
    <w:rsid w:val="007B1E9D"/>
    <w:rsid w:val="007B33BA"/>
    <w:rsid w:val="007B3B7B"/>
    <w:rsid w:val="007B4143"/>
    <w:rsid w:val="007B4D04"/>
    <w:rsid w:val="007B5128"/>
    <w:rsid w:val="007B538B"/>
    <w:rsid w:val="007B66E2"/>
    <w:rsid w:val="007B6E95"/>
    <w:rsid w:val="007B71EB"/>
    <w:rsid w:val="007B7B22"/>
    <w:rsid w:val="007B7BB7"/>
    <w:rsid w:val="007C0B67"/>
    <w:rsid w:val="007C0DB9"/>
    <w:rsid w:val="007C1AE7"/>
    <w:rsid w:val="007C1BB5"/>
    <w:rsid w:val="007C2CA0"/>
    <w:rsid w:val="007C3547"/>
    <w:rsid w:val="007C3694"/>
    <w:rsid w:val="007C4901"/>
    <w:rsid w:val="007C594A"/>
    <w:rsid w:val="007C6C91"/>
    <w:rsid w:val="007C7124"/>
    <w:rsid w:val="007C7B5D"/>
    <w:rsid w:val="007C7B9D"/>
    <w:rsid w:val="007C7E27"/>
    <w:rsid w:val="007D0688"/>
    <w:rsid w:val="007D16B8"/>
    <w:rsid w:val="007D1F48"/>
    <w:rsid w:val="007D2BCD"/>
    <w:rsid w:val="007D3B47"/>
    <w:rsid w:val="007D4848"/>
    <w:rsid w:val="007D4C18"/>
    <w:rsid w:val="007D4CC8"/>
    <w:rsid w:val="007D5DEF"/>
    <w:rsid w:val="007D5E8D"/>
    <w:rsid w:val="007D608B"/>
    <w:rsid w:val="007D63F6"/>
    <w:rsid w:val="007E015B"/>
    <w:rsid w:val="007E0AC9"/>
    <w:rsid w:val="007E0E9D"/>
    <w:rsid w:val="007E14CD"/>
    <w:rsid w:val="007E1556"/>
    <w:rsid w:val="007E16B2"/>
    <w:rsid w:val="007E1925"/>
    <w:rsid w:val="007E24B6"/>
    <w:rsid w:val="007E29F0"/>
    <w:rsid w:val="007E4A9C"/>
    <w:rsid w:val="007E4EAB"/>
    <w:rsid w:val="007E52CD"/>
    <w:rsid w:val="007E56E3"/>
    <w:rsid w:val="007E610E"/>
    <w:rsid w:val="007E63FD"/>
    <w:rsid w:val="007E7BEE"/>
    <w:rsid w:val="007E7F45"/>
    <w:rsid w:val="007F0195"/>
    <w:rsid w:val="007F2543"/>
    <w:rsid w:val="007F2DE0"/>
    <w:rsid w:val="007F41D9"/>
    <w:rsid w:val="007F4C2A"/>
    <w:rsid w:val="007F4E7A"/>
    <w:rsid w:val="007F60F6"/>
    <w:rsid w:val="007F6629"/>
    <w:rsid w:val="007F6E4E"/>
    <w:rsid w:val="0080015C"/>
    <w:rsid w:val="0080025A"/>
    <w:rsid w:val="008010A7"/>
    <w:rsid w:val="00801E27"/>
    <w:rsid w:val="00802234"/>
    <w:rsid w:val="00803299"/>
    <w:rsid w:val="008033BC"/>
    <w:rsid w:val="0080352B"/>
    <w:rsid w:val="008041CB"/>
    <w:rsid w:val="008052C7"/>
    <w:rsid w:val="008055D7"/>
    <w:rsid w:val="00805928"/>
    <w:rsid w:val="00807C97"/>
    <w:rsid w:val="008101F0"/>
    <w:rsid w:val="00810D06"/>
    <w:rsid w:val="00810E6A"/>
    <w:rsid w:val="0081176F"/>
    <w:rsid w:val="00812754"/>
    <w:rsid w:val="0081290C"/>
    <w:rsid w:val="00812ECA"/>
    <w:rsid w:val="00813019"/>
    <w:rsid w:val="00814BC9"/>
    <w:rsid w:val="00815559"/>
    <w:rsid w:val="0081579E"/>
    <w:rsid w:val="00815AB2"/>
    <w:rsid w:val="00816223"/>
    <w:rsid w:val="00816D9B"/>
    <w:rsid w:val="0081707B"/>
    <w:rsid w:val="008203C7"/>
    <w:rsid w:val="008205DB"/>
    <w:rsid w:val="008212DB"/>
    <w:rsid w:val="008227D4"/>
    <w:rsid w:val="00822F5D"/>
    <w:rsid w:val="008235BE"/>
    <w:rsid w:val="00824A65"/>
    <w:rsid w:val="00824D07"/>
    <w:rsid w:val="00824DD8"/>
    <w:rsid w:val="00825946"/>
    <w:rsid w:val="0082601A"/>
    <w:rsid w:val="0082642F"/>
    <w:rsid w:val="008264FA"/>
    <w:rsid w:val="00826E14"/>
    <w:rsid w:val="008303C1"/>
    <w:rsid w:val="008303F2"/>
    <w:rsid w:val="00830FF0"/>
    <w:rsid w:val="00832250"/>
    <w:rsid w:val="008325CF"/>
    <w:rsid w:val="0083266F"/>
    <w:rsid w:val="00832E35"/>
    <w:rsid w:val="00832F20"/>
    <w:rsid w:val="00833ECB"/>
    <w:rsid w:val="008343AF"/>
    <w:rsid w:val="00834584"/>
    <w:rsid w:val="00834A8D"/>
    <w:rsid w:val="00836216"/>
    <w:rsid w:val="00836762"/>
    <w:rsid w:val="008375E6"/>
    <w:rsid w:val="00837776"/>
    <w:rsid w:val="0084006A"/>
    <w:rsid w:val="00840080"/>
    <w:rsid w:val="00840BDC"/>
    <w:rsid w:val="00841C1A"/>
    <w:rsid w:val="00843769"/>
    <w:rsid w:val="00843C32"/>
    <w:rsid w:val="0084417A"/>
    <w:rsid w:val="00845A53"/>
    <w:rsid w:val="008475ED"/>
    <w:rsid w:val="00850C32"/>
    <w:rsid w:val="00851529"/>
    <w:rsid w:val="008515B6"/>
    <w:rsid w:val="00851BBB"/>
    <w:rsid w:val="008523BA"/>
    <w:rsid w:val="008524B1"/>
    <w:rsid w:val="008525EB"/>
    <w:rsid w:val="00852C15"/>
    <w:rsid w:val="00853438"/>
    <w:rsid w:val="00853D04"/>
    <w:rsid w:val="00853DCF"/>
    <w:rsid w:val="00854435"/>
    <w:rsid w:val="008547DB"/>
    <w:rsid w:val="008559DE"/>
    <w:rsid w:val="00855C12"/>
    <w:rsid w:val="00855F03"/>
    <w:rsid w:val="00855FE8"/>
    <w:rsid w:val="00856124"/>
    <w:rsid w:val="00856166"/>
    <w:rsid w:val="00856867"/>
    <w:rsid w:val="00856E90"/>
    <w:rsid w:val="00856F7D"/>
    <w:rsid w:val="0085793C"/>
    <w:rsid w:val="00857E6F"/>
    <w:rsid w:val="008602AB"/>
    <w:rsid w:val="00860343"/>
    <w:rsid w:val="00861477"/>
    <w:rsid w:val="00861687"/>
    <w:rsid w:val="00861923"/>
    <w:rsid w:val="0086232B"/>
    <w:rsid w:val="0086240B"/>
    <w:rsid w:val="00862505"/>
    <w:rsid w:val="00862C0A"/>
    <w:rsid w:val="008633A2"/>
    <w:rsid w:val="00864368"/>
    <w:rsid w:val="0086493C"/>
    <w:rsid w:val="00864B01"/>
    <w:rsid w:val="00864DB0"/>
    <w:rsid w:val="00865249"/>
    <w:rsid w:val="008654F6"/>
    <w:rsid w:val="008657C4"/>
    <w:rsid w:val="00865972"/>
    <w:rsid w:val="0086638F"/>
    <w:rsid w:val="00866482"/>
    <w:rsid w:val="008667DF"/>
    <w:rsid w:val="00866975"/>
    <w:rsid w:val="00866AA6"/>
    <w:rsid w:val="00866C39"/>
    <w:rsid w:val="00867140"/>
    <w:rsid w:val="00867840"/>
    <w:rsid w:val="00872303"/>
    <w:rsid w:val="008730C8"/>
    <w:rsid w:val="00874291"/>
    <w:rsid w:val="00874C05"/>
    <w:rsid w:val="0087567C"/>
    <w:rsid w:val="008764F4"/>
    <w:rsid w:val="00876875"/>
    <w:rsid w:val="00876AD1"/>
    <w:rsid w:val="008776D5"/>
    <w:rsid w:val="008779D8"/>
    <w:rsid w:val="00877DE4"/>
    <w:rsid w:val="00880915"/>
    <w:rsid w:val="00880CCF"/>
    <w:rsid w:val="008818C9"/>
    <w:rsid w:val="008822D6"/>
    <w:rsid w:val="00882492"/>
    <w:rsid w:val="00882A26"/>
    <w:rsid w:val="00882A7F"/>
    <w:rsid w:val="00883444"/>
    <w:rsid w:val="00883A25"/>
    <w:rsid w:val="00884411"/>
    <w:rsid w:val="0088458A"/>
    <w:rsid w:val="00884979"/>
    <w:rsid w:val="00886F38"/>
    <w:rsid w:val="0088720C"/>
    <w:rsid w:val="008878A2"/>
    <w:rsid w:val="00887F30"/>
    <w:rsid w:val="0089025D"/>
    <w:rsid w:val="00890F30"/>
    <w:rsid w:val="00891298"/>
    <w:rsid w:val="008912FE"/>
    <w:rsid w:val="008928D0"/>
    <w:rsid w:val="00892AD2"/>
    <w:rsid w:val="00893287"/>
    <w:rsid w:val="008952EF"/>
    <w:rsid w:val="00895F50"/>
    <w:rsid w:val="008961EC"/>
    <w:rsid w:val="00896C3B"/>
    <w:rsid w:val="00896D9F"/>
    <w:rsid w:val="00897203"/>
    <w:rsid w:val="00897497"/>
    <w:rsid w:val="0089767D"/>
    <w:rsid w:val="00897BA6"/>
    <w:rsid w:val="00897C24"/>
    <w:rsid w:val="008A04FA"/>
    <w:rsid w:val="008A05C0"/>
    <w:rsid w:val="008A2204"/>
    <w:rsid w:val="008A2443"/>
    <w:rsid w:val="008A2858"/>
    <w:rsid w:val="008A2D48"/>
    <w:rsid w:val="008A32D2"/>
    <w:rsid w:val="008A4474"/>
    <w:rsid w:val="008A4CDE"/>
    <w:rsid w:val="008A5DE1"/>
    <w:rsid w:val="008A6C7B"/>
    <w:rsid w:val="008A6C93"/>
    <w:rsid w:val="008A7DB4"/>
    <w:rsid w:val="008B01DA"/>
    <w:rsid w:val="008B0D8F"/>
    <w:rsid w:val="008B0F4B"/>
    <w:rsid w:val="008B1187"/>
    <w:rsid w:val="008B11E4"/>
    <w:rsid w:val="008B18A9"/>
    <w:rsid w:val="008B18F2"/>
    <w:rsid w:val="008B1C8C"/>
    <w:rsid w:val="008B2703"/>
    <w:rsid w:val="008B3C0C"/>
    <w:rsid w:val="008B3F8F"/>
    <w:rsid w:val="008B4B8F"/>
    <w:rsid w:val="008B5ABF"/>
    <w:rsid w:val="008B5BBF"/>
    <w:rsid w:val="008B6761"/>
    <w:rsid w:val="008B6A77"/>
    <w:rsid w:val="008B6AF0"/>
    <w:rsid w:val="008B77E9"/>
    <w:rsid w:val="008B7882"/>
    <w:rsid w:val="008B78D9"/>
    <w:rsid w:val="008C0F5E"/>
    <w:rsid w:val="008C1C8A"/>
    <w:rsid w:val="008C1FA2"/>
    <w:rsid w:val="008C485E"/>
    <w:rsid w:val="008C4AD7"/>
    <w:rsid w:val="008C4B5D"/>
    <w:rsid w:val="008C611C"/>
    <w:rsid w:val="008C6B73"/>
    <w:rsid w:val="008C7367"/>
    <w:rsid w:val="008C7CEE"/>
    <w:rsid w:val="008C7F0C"/>
    <w:rsid w:val="008D0389"/>
    <w:rsid w:val="008D06B3"/>
    <w:rsid w:val="008D092A"/>
    <w:rsid w:val="008D1C13"/>
    <w:rsid w:val="008D1CCE"/>
    <w:rsid w:val="008D28EA"/>
    <w:rsid w:val="008D3059"/>
    <w:rsid w:val="008D3128"/>
    <w:rsid w:val="008D3281"/>
    <w:rsid w:val="008D3323"/>
    <w:rsid w:val="008D39E6"/>
    <w:rsid w:val="008D3E97"/>
    <w:rsid w:val="008D4316"/>
    <w:rsid w:val="008D4538"/>
    <w:rsid w:val="008D48C9"/>
    <w:rsid w:val="008D6210"/>
    <w:rsid w:val="008D78BA"/>
    <w:rsid w:val="008D7B8D"/>
    <w:rsid w:val="008D7C24"/>
    <w:rsid w:val="008E0360"/>
    <w:rsid w:val="008E1B4D"/>
    <w:rsid w:val="008E1EBD"/>
    <w:rsid w:val="008E24A0"/>
    <w:rsid w:val="008E352E"/>
    <w:rsid w:val="008E6279"/>
    <w:rsid w:val="008E6E50"/>
    <w:rsid w:val="008E6EB7"/>
    <w:rsid w:val="008E77D0"/>
    <w:rsid w:val="008E7825"/>
    <w:rsid w:val="008F05C4"/>
    <w:rsid w:val="008F0772"/>
    <w:rsid w:val="008F0DEC"/>
    <w:rsid w:val="008F128E"/>
    <w:rsid w:val="008F13EC"/>
    <w:rsid w:val="008F1969"/>
    <w:rsid w:val="008F1B2A"/>
    <w:rsid w:val="008F1B65"/>
    <w:rsid w:val="008F1F45"/>
    <w:rsid w:val="008F23E8"/>
    <w:rsid w:val="008F39C9"/>
    <w:rsid w:val="008F56F4"/>
    <w:rsid w:val="008F5831"/>
    <w:rsid w:val="008F5A13"/>
    <w:rsid w:val="008F5DE0"/>
    <w:rsid w:val="008F6D08"/>
    <w:rsid w:val="008F71C9"/>
    <w:rsid w:val="008F7368"/>
    <w:rsid w:val="008F7808"/>
    <w:rsid w:val="008F78DC"/>
    <w:rsid w:val="0090014A"/>
    <w:rsid w:val="009010D2"/>
    <w:rsid w:val="00901C32"/>
    <w:rsid w:val="00902075"/>
    <w:rsid w:val="00902659"/>
    <w:rsid w:val="00903442"/>
    <w:rsid w:val="00905305"/>
    <w:rsid w:val="009057DD"/>
    <w:rsid w:val="009062E5"/>
    <w:rsid w:val="009068D9"/>
    <w:rsid w:val="00907D33"/>
    <w:rsid w:val="00907D4C"/>
    <w:rsid w:val="00910150"/>
    <w:rsid w:val="009104EB"/>
    <w:rsid w:val="009107B6"/>
    <w:rsid w:val="00910BC7"/>
    <w:rsid w:val="00912373"/>
    <w:rsid w:val="00913215"/>
    <w:rsid w:val="00913432"/>
    <w:rsid w:val="0091356F"/>
    <w:rsid w:val="0091380D"/>
    <w:rsid w:val="00916AA4"/>
    <w:rsid w:val="00916BAD"/>
    <w:rsid w:val="0091719A"/>
    <w:rsid w:val="009173FB"/>
    <w:rsid w:val="0091779C"/>
    <w:rsid w:val="00920D24"/>
    <w:rsid w:val="00921040"/>
    <w:rsid w:val="00921536"/>
    <w:rsid w:val="00921CCF"/>
    <w:rsid w:val="00922BAB"/>
    <w:rsid w:val="009235EF"/>
    <w:rsid w:val="00923CA6"/>
    <w:rsid w:val="00923CC1"/>
    <w:rsid w:val="00924089"/>
    <w:rsid w:val="009249BD"/>
    <w:rsid w:val="00924BB0"/>
    <w:rsid w:val="00924C5F"/>
    <w:rsid w:val="00925213"/>
    <w:rsid w:val="009268BF"/>
    <w:rsid w:val="00927322"/>
    <w:rsid w:val="00927539"/>
    <w:rsid w:val="0093025E"/>
    <w:rsid w:val="0093041B"/>
    <w:rsid w:val="009310DE"/>
    <w:rsid w:val="009311E3"/>
    <w:rsid w:val="0093176A"/>
    <w:rsid w:val="00931811"/>
    <w:rsid w:val="009318E9"/>
    <w:rsid w:val="00931D5A"/>
    <w:rsid w:val="0093282D"/>
    <w:rsid w:val="0093361E"/>
    <w:rsid w:val="0093372D"/>
    <w:rsid w:val="00934D3C"/>
    <w:rsid w:val="00936050"/>
    <w:rsid w:val="00937515"/>
    <w:rsid w:val="00937837"/>
    <w:rsid w:val="00940155"/>
    <w:rsid w:val="009401FE"/>
    <w:rsid w:val="009405FB"/>
    <w:rsid w:val="00940C92"/>
    <w:rsid w:val="00940FBE"/>
    <w:rsid w:val="00941069"/>
    <w:rsid w:val="00941F3E"/>
    <w:rsid w:val="00942128"/>
    <w:rsid w:val="009424C0"/>
    <w:rsid w:val="009435B4"/>
    <w:rsid w:val="00943A10"/>
    <w:rsid w:val="00944218"/>
    <w:rsid w:val="00944A2C"/>
    <w:rsid w:val="00944B31"/>
    <w:rsid w:val="0094581D"/>
    <w:rsid w:val="00947BE3"/>
    <w:rsid w:val="00947DE3"/>
    <w:rsid w:val="00947F30"/>
    <w:rsid w:val="00950883"/>
    <w:rsid w:val="009518F7"/>
    <w:rsid w:val="00951DFC"/>
    <w:rsid w:val="00952753"/>
    <w:rsid w:val="00952871"/>
    <w:rsid w:val="00952FAD"/>
    <w:rsid w:val="009536CB"/>
    <w:rsid w:val="00953837"/>
    <w:rsid w:val="00953E57"/>
    <w:rsid w:val="00953EFC"/>
    <w:rsid w:val="00954A76"/>
    <w:rsid w:val="00954D94"/>
    <w:rsid w:val="00954F20"/>
    <w:rsid w:val="00955677"/>
    <w:rsid w:val="00955AEE"/>
    <w:rsid w:val="00955DD1"/>
    <w:rsid w:val="0095646B"/>
    <w:rsid w:val="0095658C"/>
    <w:rsid w:val="00957208"/>
    <w:rsid w:val="00957A90"/>
    <w:rsid w:val="00957CE9"/>
    <w:rsid w:val="009605AA"/>
    <w:rsid w:val="0096083B"/>
    <w:rsid w:val="00961529"/>
    <w:rsid w:val="00961A7F"/>
    <w:rsid w:val="00962372"/>
    <w:rsid w:val="009627FF"/>
    <w:rsid w:val="00964685"/>
    <w:rsid w:val="00965900"/>
    <w:rsid w:val="00966431"/>
    <w:rsid w:val="0096698D"/>
    <w:rsid w:val="00966B81"/>
    <w:rsid w:val="0096714F"/>
    <w:rsid w:val="009676CF"/>
    <w:rsid w:val="00970429"/>
    <w:rsid w:val="00970CC8"/>
    <w:rsid w:val="00971082"/>
    <w:rsid w:val="00971B38"/>
    <w:rsid w:val="00972B3B"/>
    <w:rsid w:val="00973779"/>
    <w:rsid w:val="009744A3"/>
    <w:rsid w:val="009760C3"/>
    <w:rsid w:val="009762A1"/>
    <w:rsid w:val="00976951"/>
    <w:rsid w:val="00976CF0"/>
    <w:rsid w:val="00976EAF"/>
    <w:rsid w:val="00977177"/>
    <w:rsid w:val="009774D0"/>
    <w:rsid w:val="00977753"/>
    <w:rsid w:val="00980086"/>
    <w:rsid w:val="00980828"/>
    <w:rsid w:val="00980C07"/>
    <w:rsid w:val="009817CE"/>
    <w:rsid w:val="009819B7"/>
    <w:rsid w:val="00981F3D"/>
    <w:rsid w:val="00982052"/>
    <w:rsid w:val="00983CB6"/>
    <w:rsid w:val="00983D15"/>
    <w:rsid w:val="00985889"/>
    <w:rsid w:val="00985CFE"/>
    <w:rsid w:val="00986A1F"/>
    <w:rsid w:val="009912D3"/>
    <w:rsid w:val="00991452"/>
    <w:rsid w:val="00991C90"/>
    <w:rsid w:val="00992370"/>
    <w:rsid w:val="0099239F"/>
    <w:rsid w:val="00992796"/>
    <w:rsid w:val="00992D58"/>
    <w:rsid w:val="009932C1"/>
    <w:rsid w:val="0099331F"/>
    <w:rsid w:val="00993AEF"/>
    <w:rsid w:val="00993CDF"/>
    <w:rsid w:val="00993ED8"/>
    <w:rsid w:val="009955B7"/>
    <w:rsid w:val="00995611"/>
    <w:rsid w:val="00995B6D"/>
    <w:rsid w:val="00995FC1"/>
    <w:rsid w:val="009962E2"/>
    <w:rsid w:val="00996FA4"/>
    <w:rsid w:val="00997AB3"/>
    <w:rsid w:val="00997D9E"/>
    <w:rsid w:val="009A0282"/>
    <w:rsid w:val="009A040B"/>
    <w:rsid w:val="009A14D8"/>
    <w:rsid w:val="009A3BE8"/>
    <w:rsid w:val="009A466E"/>
    <w:rsid w:val="009A54BB"/>
    <w:rsid w:val="009A6CD6"/>
    <w:rsid w:val="009A6F15"/>
    <w:rsid w:val="009A6F59"/>
    <w:rsid w:val="009A7581"/>
    <w:rsid w:val="009A7891"/>
    <w:rsid w:val="009A7B61"/>
    <w:rsid w:val="009B03B5"/>
    <w:rsid w:val="009B0CD4"/>
    <w:rsid w:val="009B18BB"/>
    <w:rsid w:val="009B2B83"/>
    <w:rsid w:val="009B4C71"/>
    <w:rsid w:val="009B4D54"/>
    <w:rsid w:val="009B7D9E"/>
    <w:rsid w:val="009B7DD2"/>
    <w:rsid w:val="009B7E35"/>
    <w:rsid w:val="009C094B"/>
    <w:rsid w:val="009C0AB7"/>
    <w:rsid w:val="009C0C6D"/>
    <w:rsid w:val="009C10BB"/>
    <w:rsid w:val="009C147C"/>
    <w:rsid w:val="009C156A"/>
    <w:rsid w:val="009C326C"/>
    <w:rsid w:val="009C385D"/>
    <w:rsid w:val="009C3F77"/>
    <w:rsid w:val="009C4AFF"/>
    <w:rsid w:val="009C5912"/>
    <w:rsid w:val="009C6CCE"/>
    <w:rsid w:val="009C7C32"/>
    <w:rsid w:val="009D137D"/>
    <w:rsid w:val="009D1AE9"/>
    <w:rsid w:val="009D2DB2"/>
    <w:rsid w:val="009D3283"/>
    <w:rsid w:val="009D35F4"/>
    <w:rsid w:val="009D3634"/>
    <w:rsid w:val="009D392B"/>
    <w:rsid w:val="009D3A4E"/>
    <w:rsid w:val="009D538A"/>
    <w:rsid w:val="009D70B8"/>
    <w:rsid w:val="009D70C9"/>
    <w:rsid w:val="009D7CD5"/>
    <w:rsid w:val="009E014C"/>
    <w:rsid w:val="009E1154"/>
    <w:rsid w:val="009E1C86"/>
    <w:rsid w:val="009E22EE"/>
    <w:rsid w:val="009E26C5"/>
    <w:rsid w:val="009E2F5F"/>
    <w:rsid w:val="009E313D"/>
    <w:rsid w:val="009E3B89"/>
    <w:rsid w:val="009E46B2"/>
    <w:rsid w:val="009E580F"/>
    <w:rsid w:val="009E5895"/>
    <w:rsid w:val="009E6635"/>
    <w:rsid w:val="009E78C4"/>
    <w:rsid w:val="009F0E7F"/>
    <w:rsid w:val="009F0F5B"/>
    <w:rsid w:val="009F111A"/>
    <w:rsid w:val="009F26B7"/>
    <w:rsid w:val="009F2701"/>
    <w:rsid w:val="009F396B"/>
    <w:rsid w:val="009F3CA3"/>
    <w:rsid w:val="009F4086"/>
    <w:rsid w:val="009F4F86"/>
    <w:rsid w:val="009F524B"/>
    <w:rsid w:val="009F5E7B"/>
    <w:rsid w:val="009F6248"/>
    <w:rsid w:val="009F73AE"/>
    <w:rsid w:val="009F7BD4"/>
    <w:rsid w:val="00A0060F"/>
    <w:rsid w:val="00A01526"/>
    <w:rsid w:val="00A029DA"/>
    <w:rsid w:val="00A03B0E"/>
    <w:rsid w:val="00A03FC9"/>
    <w:rsid w:val="00A04074"/>
    <w:rsid w:val="00A04187"/>
    <w:rsid w:val="00A047A2"/>
    <w:rsid w:val="00A04CDF"/>
    <w:rsid w:val="00A05AE1"/>
    <w:rsid w:val="00A067F5"/>
    <w:rsid w:val="00A0796F"/>
    <w:rsid w:val="00A106B2"/>
    <w:rsid w:val="00A10851"/>
    <w:rsid w:val="00A10C55"/>
    <w:rsid w:val="00A11196"/>
    <w:rsid w:val="00A11B9B"/>
    <w:rsid w:val="00A13212"/>
    <w:rsid w:val="00A13884"/>
    <w:rsid w:val="00A13AED"/>
    <w:rsid w:val="00A13D63"/>
    <w:rsid w:val="00A142B4"/>
    <w:rsid w:val="00A14C29"/>
    <w:rsid w:val="00A14DEB"/>
    <w:rsid w:val="00A15551"/>
    <w:rsid w:val="00A15E9C"/>
    <w:rsid w:val="00A160CD"/>
    <w:rsid w:val="00A16203"/>
    <w:rsid w:val="00A166FF"/>
    <w:rsid w:val="00A16776"/>
    <w:rsid w:val="00A170BF"/>
    <w:rsid w:val="00A170C0"/>
    <w:rsid w:val="00A179D1"/>
    <w:rsid w:val="00A2058A"/>
    <w:rsid w:val="00A20AEF"/>
    <w:rsid w:val="00A20C03"/>
    <w:rsid w:val="00A214B3"/>
    <w:rsid w:val="00A24BDC"/>
    <w:rsid w:val="00A25492"/>
    <w:rsid w:val="00A25C8E"/>
    <w:rsid w:val="00A25C9F"/>
    <w:rsid w:val="00A260CC"/>
    <w:rsid w:val="00A268B1"/>
    <w:rsid w:val="00A26947"/>
    <w:rsid w:val="00A26A17"/>
    <w:rsid w:val="00A26E41"/>
    <w:rsid w:val="00A278B5"/>
    <w:rsid w:val="00A27F55"/>
    <w:rsid w:val="00A30BF5"/>
    <w:rsid w:val="00A31618"/>
    <w:rsid w:val="00A323BF"/>
    <w:rsid w:val="00A32BA8"/>
    <w:rsid w:val="00A33D37"/>
    <w:rsid w:val="00A34F45"/>
    <w:rsid w:val="00A34F6A"/>
    <w:rsid w:val="00A35390"/>
    <w:rsid w:val="00A35452"/>
    <w:rsid w:val="00A359E1"/>
    <w:rsid w:val="00A360B1"/>
    <w:rsid w:val="00A367C5"/>
    <w:rsid w:val="00A367E9"/>
    <w:rsid w:val="00A369C3"/>
    <w:rsid w:val="00A36CF4"/>
    <w:rsid w:val="00A371CA"/>
    <w:rsid w:val="00A376FC"/>
    <w:rsid w:val="00A4038C"/>
    <w:rsid w:val="00A403AF"/>
    <w:rsid w:val="00A4056F"/>
    <w:rsid w:val="00A40B10"/>
    <w:rsid w:val="00A42142"/>
    <w:rsid w:val="00A42947"/>
    <w:rsid w:val="00A42ECF"/>
    <w:rsid w:val="00A43035"/>
    <w:rsid w:val="00A43E3D"/>
    <w:rsid w:val="00A43F3E"/>
    <w:rsid w:val="00A44325"/>
    <w:rsid w:val="00A449B3"/>
    <w:rsid w:val="00A44BC8"/>
    <w:rsid w:val="00A44BD6"/>
    <w:rsid w:val="00A45C11"/>
    <w:rsid w:val="00A46D51"/>
    <w:rsid w:val="00A4716D"/>
    <w:rsid w:val="00A474A6"/>
    <w:rsid w:val="00A47C3C"/>
    <w:rsid w:val="00A50659"/>
    <w:rsid w:val="00A506AA"/>
    <w:rsid w:val="00A50755"/>
    <w:rsid w:val="00A50B1D"/>
    <w:rsid w:val="00A50FC3"/>
    <w:rsid w:val="00A517D0"/>
    <w:rsid w:val="00A52080"/>
    <w:rsid w:val="00A53603"/>
    <w:rsid w:val="00A53835"/>
    <w:rsid w:val="00A53D63"/>
    <w:rsid w:val="00A544DF"/>
    <w:rsid w:val="00A55575"/>
    <w:rsid w:val="00A564A7"/>
    <w:rsid w:val="00A56D58"/>
    <w:rsid w:val="00A57531"/>
    <w:rsid w:val="00A57A0D"/>
    <w:rsid w:val="00A60BDE"/>
    <w:rsid w:val="00A622F7"/>
    <w:rsid w:val="00A62A08"/>
    <w:rsid w:val="00A62A4F"/>
    <w:rsid w:val="00A62CEC"/>
    <w:rsid w:val="00A62E89"/>
    <w:rsid w:val="00A62EE6"/>
    <w:rsid w:val="00A63027"/>
    <w:rsid w:val="00A63C23"/>
    <w:rsid w:val="00A6413D"/>
    <w:rsid w:val="00A64D8D"/>
    <w:rsid w:val="00A64E92"/>
    <w:rsid w:val="00A716B7"/>
    <w:rsid w:val="00A716FE"/>
    <w:rsid w:val="00A73092"/>
    <w:rsid w:val="00A7334C"/>
    <w:rsid w:val="00A7356C"/>
    <w:rsid w:val="00A73C9E"/>
    <w:rsid w:val="00A753EA"/>
    <w:rsid w:val="00A75493"/>
    <w:rsid w:val="00A761CF"/>
    <w:rsid w:val="00A776AD"/>
    <w:rsid w:val="00A77C05"/>
    <w:rsid w:val="00A77D5B"/>
    <w:rsid w:val="00A801E8"/>
    <w:rsid w:val="00A8069C"/>
    <w:rsid w:val="00A80DBC"/>
    <w:rsid w:val="00A81334"/>
    <w:rsid w:val="00A8138B"/>
    <w:rsid w:val="00A816AC"/>
    <w:rsid w:val="00A8259C"/>
    <w:rsid w:val="00A832D7"/>
    <w:rsid w:val="00A83589"/>
    <w:rsid w:val="00A845BF"/>
    <w:rsid w:val="00A8659F"/>
    <w:rsid w:val="00A868EB"/>
    <w:rsid w:val="00A86CA0"/>
    <w:rsid w:val="00A86EE6"/>
    <w:rsid w:val="00A87A64"/>
    <w:rsid w:val="00A912E1"/>
    <w:rsid w:val="00A91F46"/>
    <w:rsid w:val="00A935B2"/>
    <w:rsid w:val="00A94513"/>
    <w:rsid w:val="00A94D3B"/>
    <w:rsid w:val="00A94E44"/>
    <w:rsid w:val="00A95405"/>
    <w:rsid w:val="00A95CC8"/>
    <w:rsid w:val="00A95E91"/>
    <w:rsid w:val="00A95EFA"/>
    <w:rsid w:val="00A96791"/>
    <w:rsid w:val="00A9708B"/>
    <w:rsid w:val="00A97440"/>
    <w:rsid w:val="00A97FB5"/>
    <w:rsid w:val="00AA0473"/>
    <w:rsid w:val="00AA12C7"/>
    <w:rsid w:val="00AA1622"/>
    <w:rsid w:val="00AA17AA"/>
    <w:rsid w:val="00AA29B8"/>
    <w:rsid w:val="00AA2A20"/>
    <w:rsid w:val="00AA321A"/>
    <w:rsid w:val="00AA38D2"/>
    <w:rsid w:val="00AA42C0"/>
    <w:rsid w:val="00AA4687"/>
    <w:rsid w:val="00AA6CCE"/>
    <w:rsid w:val="00AA7049"/>
    <w:rsid w:val="00AA7087"/>
    <w:rsid w:val="00AA7295"/>
    <w:rsid w:val="00AA73B0"/>
    <w:rsid w:val="00AA778F"/>
    <w:rsid w:val="00AA7A8D"/>
    <w:rsid w:val="00AA7B42"/>
    <w:rsid w:val="00AA7B78"/>
    <w:rsid w:val="00AB0202"/>
    <w:rsid w:val="00AB0507"/>
    <w:rsid w:val="00AB0B21"/>
    <w:rsid w:val="00AB1EBB"/>
    <w:rsid w:val="00AB21DE"/>
    <w:rsid w:val="00AB2331"/>
    <w:rsid w:val="00AB2EB2"/>
    <w:rsid w:val="00AB34E7"/>
    <w:rsid w:val="00AB4452"/>
    <w:rsid w:val="00AB4466"/>
    <w:rsid w:val="00AB45FB"/>
    <w:rsid w:val="00AB4819"/>
    <w:rsid w:val="00AB4E84"/>
    <w:rsid w:val="00AB641B"/>
    <w:rsid w:val="00AB64E1"/>
    <w:rsid w:val="00AB73D0"/>
    <w:rsid w:val="00AB76CB"/>
    <w:rsid w:val="00AB7966"/>
    <w:rsid w:val="00AC020E"/>
    <w:rsid w:val="00AC06FE"/>
    <w:rsid w:val="00AC1A53"/>
    <w:rsid w:val="00AC1C2D"/>
    <w:rsid w:val="00AC1F81"/>
    <w:rsid w:val="00AC2B54"/>
    <w:rsid w:val="00AC4477"/>
    <w:rsid w:val="00AC54F9"/>
    <w:rsid w:val="00AC5A3F"/>
    <w:rsid w:val="00AC5B50"/>
    <w:rsid w:val="00AC601E"/>
    <w:rsid w:val="00AC61DA"/>
    <w:rsid w:val="00AC7448"/>
    <w:rsid w:val="00AC7CB1"/>
    <w:rsid w:val="00AD0512"/>
    <w:rsid w:val="00AD069C"/>
    <w:rsid w:val="00AD08F5"/>
    <w:rsid w:val="00AD1349"/>
    <w:rsid w:val="00AD1A64"/>
    <w:rsid w:val="00AD2B68"/>
    <w:rsid w:val="00AD2DC0"/>
    <w:rsid w:val="00AD3EFC"/>
    <w:rsid w:val="00AD4261"/>
    <w:rsid w:val="00AD4DA4"/>
    <w:rsid w:val="00AD5A3A"/>
    <w:rsid w:val="00AD5BF9"/>
    <w:rsid w:val="00AD5D58"/>
    <w:rsid w:val="00AD7546"/>
    <w:rsid w:val="00AD7B71"/>
    <w:rsid w:val="00AD7CDE"/>
    <w:rsid w:val="00AE02B9"/>
    <w:rsid w:val="00AE0D51"/>
    <w:rsid w:val="00AE24A6"/>
    <w:rsid w:val="00AE3A9B"/>
    <w:rsid w:val="00AE43AE"/>
    <w:rsid w:val="00AE466D"/>
    <w:rsid w:val="00AE4F32"/>
    <w:rsid w:val="00AE510C"/>
    <w:rsid w:val="00AE568B"/>
    <w:rsid w:val="00AE5B0C"/>
    <w:rsid w:val="00AE5EC4"/>
    <w:rsid w:val="00AE61F6"/>
    <w:rsid w:val="00AE620E"/>
    <w:rsid w:val="00AE6859"/>
    <w:rsid w:val="00AE75D5"/>
    <w:rsid w:val="00AE76CB"/>
    <w:rsid w:val="00AE76F0"/>
    <w:rsid w:val="00AF0AA0"/>
    <w:rsid w:val="00AF1A53"/>
    <w:rsid w:val="00AF2106"/>
    <w:rsid w:val="00AF24BE"/>
    <w:rsid w:val="00AF2E24"/>
    <w:rsid w:val="00AF3109"/>
    <w:rsid w:val="00AF341D"/>
    <w:rsid w:val="00AF49BE"/>
    <w:rsid w:val="00AF53F1"/>
    <w:rsid w:val="00AF675C"/>
    <w:rsid w:val="00AF7FCC"/>
    <w:rsid w:val="00B003CF"/>
    <w:rsid w:val="00B00E52"/>
    <w:rsid w:val="00B03442"/>
    <w:rsid w:val="00B03EC5"/>
    <w:rsid w:val="00B042CB"/>
    <w:rsid w:val="00B04B2C"/>
    <w:rsid w:val="00B04EBB"/>
    <w:rsid w:val="00B05237"/>
    <w:rsid w:val="00B05CAC"/>
    <w:rsid w:val="00B06082"/>
    <w:rsid w:val="00B0759E"/>
    <w:rsid w:val="00B079D6"/>
    <w:rsid w:val="00B11940"/>
    <w:rsid w:val="00B12E1A"/>
    <w:rsid w:val="00B13077"/>
    <w:rsid w:val="00B13547"/>
    <w:rsid w:val="00B167D1"/>
    <w:rsid w:val="00B17342"/>
    <w:rsid w:val="00B1757D"/>
    <w:rsid w:val="00B17FB7"/>
    <w:rsid w:val="00B20625"/>
    <w:rsid w:val="00B2131B"/>
    <w:rsid w:val="00B2146E"/>
    <w:rsid w:val="00B21AC8"/>
    <w:rsid w:val="00B21FC8"/>
    <w:rsid w:val="00B2547C"/>
    <w:rsid w:val="00B25625"/>
    <w:rsid w:val="00B26482"/>
    <w:rsid w:val="00B30431"/>
    <w:rsid w:val="00B3070A"/>
    <w:rsid w:val="00B30841"/>
    <w:rsid w:val="00B30A3F"/>
    <w:rsid w:val="00B30C5E"/>
    <w:rsid w:val="00B30CC2"/>
    <w:rsid w:val="00B31ABF"/>
    <w:rsid w:val="00B32682"/>
    <w:rsid w:val="00B32691"/>
    <w:rsid w:val="00B3271C"/>
    <w:rsid w:val="00B32A50"/>
    <w:rsid w:val="00B32ADC"/>
    <w:rsid w:val="00B346AA"/>
    <w:rsid w:val="00B35360"/>
    <w:rsid w:val="00B356F6"/>
    <w:rsid w:val="00B3589D"/>
    <w:rsid w:val="00B35F0E"/>
    <w:rsid w:val="00B362F0"/>
    <w:rsid w:val="00B4046A"/>
    <w:rsid w:val="00B41713"/>
    <w:rsid w:val="00B419BC"/>
    <w:rsid w:val="00B41CA8"/>
    <w:rsid w:val="00B4329B"/>
    <w:rsid w:val="00B4353F"/>
    <w:rsid w:val="00B44EFA"/>
    <w:rsid w:val="00B45569"/>
    <w:rsid w:val="00B45727"/>
    <w:rsid w:val="00B45BE3"/>
    <w:rsid w:val="00B4646B"/>
    <w:rsid w:val="00B46737"/>
    <w:rsid w:val="00B46C24"/>
    <w:rsid w:val="00B47285"/>
    <w:rsid w:val="00B47D72"/>
    <w:rsid w:val="00B503BF"/>
    <w:rsid w:val="00B50711"/>
    <w:rsid w:val="00B50B26"/>
    <w:rsid w:val="00B51649"/>
    <w:rsid w:val="00B516F8"/>
    <w:rsid w:val="00B5202D"/>
    <w:rsid w:val="00B520F1"/>
    <w:rsid w:val="00B526AE"/>
    <w:rsid w:val="00B53FB3"/>
    <w:rsid w:val="00B547A0"/>
    <w:rsid w:val="00B552A2"/>
    <w:rsid w:val="00B552B4"/>
    <w:rsid w:val="00B55DE1"/>
    <w:rsid w:val="00B56331"/>
    <w:rsid w:val="00B56EC3"/>
    <w:rsid w:val="00B60DC1"/>
    <w:rsid w:val="00B610A5"/>
    <w:rsid w:val="00B6122A"/>
    <w:rsid w:val="00B622B8"/>
    <w:rsid w:val="00B62CCD"/>
    <w:rsid w:val="00B62E54"/>
    <w:rsid w:val="00B62EA0"/>
    <w:rsid w:val="00B633E6"/>
    <w:rsid w:val="00B63BBB"/>
    <w:rsid w:val="00B640FC"/>
    <w:rsid w:val="00B64A95"/>
    <w:rsid w:val="00B65ADE"/>
    <w:rsid w:val="00B67350"/>
    <w:rsid w:val="00B67762"/>
    <w:rsid w:val="00B67B32"/>
    <w:rsid w:val="00B70D87"/>
    <w:rsid w:val="00B71516"/>
    <w:rsid w:val="00B72253"/>
    <w:rsid w:val="00B72879"/>
    <w:rsid w:val="00B734A1"/>
    <w:rsid w:val="00B73665"/>
    <w:rsid w:val="00B73C34"/>
    <w:rsid w:val="00B73EF4"/>
    <w:rsid w:val="00B747B2"/>
    <w:rsid w:val="00B75214"/>
    <w:rsid w:val="00B7534F"/>
    <w:rsid w:val="00B756A9"/>
    <w:rsid w:val="00B76398"/>
    <w:rsid w:val="00B76659"/>
    <w:rsid w:val="00B76EF7"/>
    <w:rsid w:val="00B76FED"/>
    <w:rsid w:val="00B7727A"/>
    <w:rsid w:val="00B773F7"/>
    <w:rsid w:val="00B777AA"/>
    <w:rsid w:val="00B77ABB"/>
    <w:rsid w:val="00B77E06"/>
    <w:rsid w:val="00B80012"/>
    <w:rsid w:val="00B808BA"/>
    <w:rsid w:val="00B81824"/>
    <w:rsid w:val="00B828ED"/>
    <w:rsid w:val="00B82938"/>
    <w:rsid w:val="00B82C24"/>
    <w:rsid w:val="00B82D5E"/>
    <w:rsid w:val="00B833B9"/>
    <w:rsid w:val="00B839AF"/>
    <w:rsid w:val="00B83B89"/>
    <w:rsid w:val="00B84153"/>
    <w:rsid w:val="00B84201"/>
    <w:rsid w:val="00B84A76"/>
    <w:rsid w:val="00B84B90"/>
    <w:rsid w:val="00B84FA8"/>
    <w:rsid w:val="00B85513"/>
    <w:rsid w:val="00B85AEE"/>
    <w:rsid w:val="00B85DCF"/>
    <w:rsid w:val="00B866B7"/>
    <w:rsid w:val="00B86830"/>
    <w:rsid w:val="00B86F1C"/>
    <w:rsid w:val="00B86F39"/>
    <w:rsid w:val="00B87667"/>
    <w:rsid w:val="00B9041F"/>
    <w:rsid w:val="00B91718"/>
    <w:rsid w:val="00B9178F"/>
    <w:rsid w:val="00B9199E"/>
    <w:rsid w:val="00B91FBC"/>
    <w:rsid w:val="00B9341A"/>
    <w:rsid w:val="00B9382B"/>
    <w:rsid w:val="00B94702"/>
    <w:rsid w:val="00B95074"/>
    <w:rsid w:val="00B96EF6"/>
    <w:rsid w:val="00B97128"/>
    <w:rsid w:val="00B97237"/>
    <w:rsid w:val="00B97747"/>
    <w:rsid w:val="00BA01D4"/>
    <w:rsid w:val="00BA04FD"/>
    <w:rsid w:val="00BA23DF"/>
    <w:rsid w:val="00BA2657"/>
    <w:rsid w:val="00BA35C0"/>
    <w:rsid w:val="00BA395B"/>
    <w:rsid w:val="00BA436F"/>
    <w:rsid w:val="00BA4A68"/>
    <w:rsid w:val="00BA4C50"/>
    <w:rsid w:val="00BA50B7"/>
    <w:rsid w:val="00BA5A7A"/>
    <w:rsid w:val="00BA5C71"/>
    <w:rsid w:val="00BA7D0E"/>
    <w:rsid w:val="00BA7DA2"/>
    <w:rsid w:val="00BB1641"/>
    <w:rsid w:val="00BB1DBA"/>
    <w:rsid w:val="00BB1F44"/>
    <w:rsid w:val="00BB2A36"/>
    <w:rsid w:val="00BB2E7D"/>
    <w:rsid w:val="00BB3EC8"/>
    <w:rsid w:val="00BB4739"/>
    <w:rsid w:val="00BB4947"/>
    <w:rsid w:val="00BB505D"/>
    <w:rsid w:val="00BB552E"/>
    <w:rsid w:val="00BB5FD1"/>
    <w:rsid w:val="00BB7650"/>
    <w:rsid w:val="00BB7F96"/>
    <w:rsid w:val="00BC07C8"/>
    <w:rsid w:val="00BC0CB7"/>
    <w:rsid w:val="00BC1610"/>
    <w:rsid w:val="00BC193B"/>
    <w:rsid w:val="00BC1E7F"/>
    <w:rsid w:val="00BC253D"/>
    <w:rsid w:val="00BC26FA"/>
    <w:rsid w:val="00BC36D7"/>
    <w:rsid w:val="00BC38F7"/>
    <w:rsid w:val="00BC3C91"/>
    <w:rsid w:val="00BC437B"/>
    <w:rsid w:val="00BC4460"/>
    <w:rsid w:val="00BC4C4C"/>
    <w:rsid w:val="00BC4F09"/>
    <w:rsid w:val="00BC5BEE"/>
    <w:rsid w:val="00BC5E7A"/>
    <w:rsid w:val="00BC7A92"/>
    <w:rsid w:val="00BD05EB"/>
    <w:rsid w:val="00BD15C1"/>
    <w:rsid w:val="00BD16A7"/>
    <w:rsid w:val="00BD273C"/>
    <w:rsid w:val="00BD345F"/>
    <w:rsid w:val="00BD37A4"/>
    <w:rsid w:val="00BD3D80"/>
    <w:rsid w:val="00BD42C5"/>
    <w:rsid w:val="00BD4329"/>
    <w:rsid w:val="00BD638B"/>
    <w:rsid w:val="00BD643B"/>
    <w:rsid w:val="00BD6678"/>
    <w:rsid w:val="00BD6747"/>
    <w:rsid w:val="00BD71A1"/>
    <w:rsid w:val="00BE0ED3"/>
    <w:rsid w:val="00BE0F60"/>
    <w:rsid w:val="00BE109F"/>
    <w:rsid w:val="00BE1D4A"/>
    <w:rsid w:val="00BE2D70"/>
    <w:rsid w:val="00BE42C8"/>
    <w:rsid w:val="00BE4373"/>
    <w:rsid w:val="00BE4682"/>
    <w:rsid w:val="00BE4927"/>
    <w:rsid w:val="00BE4AA1"/>
    <w:rsid w:val="00BE4CE1"/>
    <w:rsid w:val="00BE57BB"/>
    <w:rsid w:val="00BE5EF2"/>
    <w:rsid w:val="00BF0481"/>
    <w:rsid w:val="00BF048E"/>
    <w:rsid w:val="00BF0619"/>
    <w:rsid w:val="00BF09C9"/>
    <w:rsid w:val="00BF0E2D"/>
    <w:rsid w:val="00BF1865"/>
    <w:rsid w:val="00BF18A6"/>
    <w:rsid w:val="00BF18E0"/>
    <w:rsid w:val="00BF1DD0"/>
    <w:rsid w:val="00BF36EA"/>
    <w:rsid w:val="00BF39A8"/>
    <w:rsid w:val="00BF40EF"/>
    <w:rsid w:val="00BF4462"/>
    <w:rsid w:val="00BF4F83"/>
    <w:rsid w:val="00BF5312"/>
    <w:rsid w:val="00BF5951"/>
    <w:rsid w:val="00BF6213"/>
    <w:rsid w:val="00BF6441"/>
    <w:rsid w:val="00BF6D6F"/>
    <w:rsid w:val="00BF6E0A"/>
    <w:rsid w:val="00BF7077"/>
    <w:rsid w:val="00BF79E2"/>
    <w:rsid w:val="00BF7FFC"/>
    <w:rsid w:val="00C01F1D"/>
    <w:rsid w:val="00C027FD"/>
    <w:rsid w:val="00C0284D"/>
    <w:rsid w:val="00C0368D"/>
    <w:rsid w:val="00C03CE9"/>
    <w:rsid w:val="00C041A3"/>
    <w:rsid w:val="00C04C80"/>
    <w:rsid w:val="00C04DAB"/>
    <w:rsid w:val="00C05032"/>
    <w:rsid w:val="00C05D9C"/>
    <w:rsid w:val="00C063E7"/>
    <w:rsid w:val="00C0683B"/>
    <w:rsid w:val="00C07344"/>
    <w:rsid w:val="00C078EA"/>
    <w:rsid w:val="00C10481"/>
    <w:rsid w:val="00C10CB0"/>
    <w:rsid w:val="00C1217A"/>
    <w:rsid w:val="00C12544"/>
    <w:rsid w:val="00C13B5C"/>
    <w:rsid w:val="00C142C6"/>
    <w:rsid w:val="00C1435D"/>
    <w:rsid w:val="00C143D4"/>
    <w:rsid w:val="00C148BC"/>
    <w:rsid w:val="00C14CA4"/>
    <w:rsid w:val="00C14CE3"/>
    <w:rsid w:val="00C14EDF"/>
    <w:rsid w:val="00C155FA"/>
    <w:rsid w:val="00C169E4"/>
    <w:rsid w:val="00C1798D"/>
    <w:rsid w:val="00C216CB"/>
    <w:rsid w:val="00C220AD"/>
    <w:rsid w:val="00C22682"/>
    <w:rsid w:val="00C22CAE"/>
    <w:rsid w:val="00C23144"/>
    <w:rsid w:val="00C24A8E"/>
    <w:rsid w:val="00C24D98"/>
    <w:rsid w:val="00C24F4F"/>
    <w:rsid w:val="00C25638"/>
    <w:rsid w:val="00C259BD"/>
    <w:rsid w:val="00C25BE3"/>
    <w:rsid w:val="00C26C8B"/>
    <w:rsid w:val="00C26EDD"/>
    <w:rsid w:val="00C26F67"/>
    <w:rsid w:val="00C27928"/>
    <w:rsid w:val="00C27A82"/>
    <w:rsid w:val="00C27F2C"/>
    <w:rsid w:val="00C30915"/>
    <w:rsid w:val="00C3095B"/>
    <w:rsid w:val="00C30B67"/>
    <w:rsid w:val="00C31952"/>
    <w:rsid w:val="00C319B9"/>
    <w:rsid w:val="00C3237B"/>
    <w:rsid w:val="00C32B77"/>
    <w:rsid w:val="00C33115"/>
    <w:rsid w:val="00C333C4"/>
    <w:rsid w:val="00C3458C"/>
    <w:rsid w:val="00C34846"/>
    <w:rsid w:val="00C3555A"/>
    <w:rsid w:val="00C355E0"/>
    <w:rsid w:val="00C40496"/>
    <w:rsid w:val="00C41CCA"/>
    <w:rsid w:val="00C422E5"/>
    <w:rsid w:val="00C42C22"/>
    <w:rsid w:val="00C43B0D"/>
    <w:rsid w:val="00C4420D"/>
    <w:rsid w:val="00C4427A"/>
    <w:rsid w:val="00C4474C"/>
    <w:rsid w:val="00C44816"/>
    <w:rsid w:val="00C4540E"/>
    <w:rsid w:val="00C45760"/>
    <w:rsid w:val="00C46613"/>
    <w:rsid w:val="00C46FBE"/>
    <w:rsid w:val="00C47BB2"/>
    <w:rsid w:val="00C50B2D"/>
    <w:rsid w:val="00C50B55"/>
    <w:rsid w:val="00C513C2"/>
    <w:rsid w:val="00C5194C"/>
    <w:rsid w:val="00C51BC9"/>
    <w:rsid w:val="00C51C1A"/>
    <w:rsid w:val="00C52CDF"/>
    <w:rsid w:val="00C5300A"/>
    <w:rsid w:val="00C54340"/>
    <w:rsid w:val="00C549E6"/>
    <w:rsid w:val="00C55404"/>
    <w:rsid w:val="00C564E9"/>
    <w:rsid w:val="00C56E17"/>
    <w:rsid w:val="00C571DD"/>
    <w:rsid w:val="00C574F4"/>
    <w:rsid w:val="00C5798F"/>
    <w:rsid w:val="00C57B85"/>
    <w:rsid w:val="00C57C1B"/>
    <w:rsid w:val="00C57DE4"/>
    <w:rsid w:val="00C609FE"/>
    <w:rsid w:val="00C61DE3"/>
    <w:rsid w:val="00C62A83"/>
    <w:rsid w:val="00C647A6"/>
    <w:rsid w:val="00C64AAC"/>
    <w:rsid w:val="00C64C9B"/>
    <w:rsid w:val="00C64F41"/>
    <w:rsid w:val="00C655BC"/>
    <w:rsid w:val="00C66451"/>
    <w:rsid w:val="00C668A5"/>
    <w:rsid w:val="00C66F6A"/>
    <w:rsid w:val="00C676B2"/>
    <w:rsid w:val="00C6785C"/>
    <w:rsid w:val="00C7044E"/>
    <w:rsid w:val="00C7084D"/>
    <w:rsid w:val="00C70BD6"/>
    <w:rsid w:val="00C70EDF"/>
    <w:rsid w:val="00C70FE3"/>
    <w:rsid w:val="00C7117C"/>
    <w:rsid w:val="00C72A64"/>
    <w:rsid w:val="00C73ADC"/>
    <w:rsid w:val="00C73BD8"/>
    <w:rsid w:val="00C7435F"/>
    <w:rsid w:val="00C74D4D"/>
    <w:rsid w:val="00C76B7E"/>
    <w:rsid w:val="00C76E36"/>
    <w:rsid w:val="00C777A7"/>
    <w:rsid w:val="00C81175"/>
    <w:rsid w:val="00C821BF"/>
    <w:rsid w:val="00C82B4C"/>
    <w:rsid w:val="00C830B9"/>
    <w:rsid w:val="00C84B01"/>
    <w:rsid w:val="00C84B8B"/>
    <w:rsid w:val="00C85C07"/>
    <w:rsid w:val="00C8726B"/>
    <w:rsid w:val="00C877BE"/>
    <w:rsid w:val="00C87E24"/>
    <w:rsid w:val="00C87EAD"/>
    <w:rsid w:val="00C90265"/>
    <w:rsid w:val="00C90427"/>
    <w:rsid w:val="00C90987"/>
    <w:rsid w:val="00C910D3"/>
    <w:rsid w:val="00C92155"/>
    <w:rsid w:val="00C92313"/>
    <w:rsid w:val="00C923D4"/>
    <w:rsid w:val="00C9358A"/>
    <w:rsid w:val="00C937D2"/>
    <w:rsid w:val="00C93F2C"/>
    <w:rsid w:val="00C94481"/>
    <w:rsid w:val="00C94D36"/>
    <w:rsid w:val="00C95149"/>
    <w:rsid w:val="00C95178"/>
    <w:rsid w:val="00C95AD3"/>
    <w:rsid w:val="00C96113"/>
    <w:rsid w:val="00C965A4"/>
    <w:rsid w:val="00C967DE"/>
    <w:rsid w:val="00C96A1B"/>
    <w:rsid w:val="00C975BF"/>
    <w:rsid w:val="00C97F68"/>
    <w:rsid w:val="00CA0015"/>
    <w:rsid w:val="00CA0363"/>
    <w:rsid w:val="00CA20DA"/>
    <w:rsid w:val="00CA2853"/>
    <w:rsid w:val="00CA2C0A"/>
    <w:rsid w:val="00CA3426"/>
    <w:rsid w:val="00CA3FA0"/>
    <w:rsid w:val="00CA4583"/>
    <w:rsid w:val="00CA47BF"/>
    <w:rsid w:val="00CA51EE"/>
    <w:rsid w:val="00CA5FE2"/>
    <w:rsid w:val="00CA63DA"/>
    <w:rsid w:val="00CA6773"/>
    <w:rsid w:val="00CA7462"/>
    <w:rsid w:val="00CA7ECC"/>
    <w:rsid w:val="00CB04D9"/>
    <w:rsid w:val="00CB0C3A"/>
    <w:rsid w:val="00CB0F72"/>
    <w:rsid w:val="00CB1342"/>
    <w:rsid w:val="00CB1EDF"/>
    <w:rsid w:val="00CB2FCD"/>
    <w:rsid w:val="00CB3B21"/>
    <w:rsid w:val="00CB529E"/>
    <w:rsid w:val="00CB601F"/>
    <w:rsid w:val="00CB6F86"/>
    <w:rsid w:val="00CB7C02"/>
    <w:rsid w:val="00CB7F76"/>
    <w:rsid w:val="00CC01BC"/>
    <w:rsid w:val="00CC19BE"/>
    <w:rsid w:val="00CC1C51"/>
    <w:rsid w:val="00CC20C2"/>
    <w:rsid w:val="00CC283B"/>
    <w:rsid w:val="00CC3862"/>
    <w:rsid w:val="00CC4E66"/>
    <w:rsid w:val="00CC5390"/>
    <w:rsid w:val="00CC549C"/>
    <w:rsid w:val="00CC6762"/>
    <w:rsid w:val="00CC6DF2"/>
    <w:rsid w:val="00CC7250"/>
    <w:rsid w:val="00CC73A0"/>
    <w:rsid w:val="00CC7F94"/>
    <w:rsid w:val="00CD034D"/>
    <w:rsid w:val="00CD074B"/>
    <w:rsid w:val="00CD0D19"/>
    <w:rsid w:val="00CD20BD"/>
    <w:rsid w:val="00CD2AD9"/>
    <w:rsid w:val="00CD38AB"/>
    <w:rsid w:val="00CD45DE"/>
    <w:rsid w:val="00CD4AB1"/>
    <w:rsid w:val="00CD505E"/>
    <w:rsid w:val="00CD5083"/>
    <w:rsid w:val="00CD568D"/>
    <w:rsid w:val="00CD56D3"/>
    <w:rsid w:val="00CD6D13"/>
    <w:rsid w:val="00CD7BAE"/>
    <w:rsid w:val="00CD7F1E"/>
    <w:rsid w:val="00CE020A"/>
    <w:rsid w:val="00CE0303"/>
    <w:rsid w:val="00CE08FE"/>
    <w:rsid w:val="00CE0C76"/>
    <w:rsid w:val="00CE12CB"/>
    <w:rsid w:val="00CE1A3F"/>
    <w:rsid w:val="00CE1BEE"/>
    <w:rsid w:val="00CE20A7"/>
    <w:rsid w:val="00CE273A"/>
    <w:rsid w:val="00CE3002"/>
    <w:rsid w:val="00CE3983"/>
    <w:rsid w:val="00CE3EF0"/>
    <w:rsid w:val="00CE477E"/>
    <w:rsid w:val="00CE4E09"/>
    <w:rsid w:val="00CE4EE7"/>
    <w:rsid w:val="00CE4EF2"/>
    <w:rsid w:val="00CE4F72"/>
    <w:rsid w:val="00CE5F8E"/>
    <w:rsid w:val="00CE644F"/>
    <w:rsid w:val="00CE79B2"/>
    <w:rsid w:val="00CF0992"/>
    <w:rsid w:val="00CF0A9F"/>
    <w:rsid w:val="00CF1822"/>
    <w:rsid w:val="00CF22E1"/>
    <w:rsid w:val="00CF25E7"/>
    <w:rsid w:val="00CF2F5F"/>
    <w:rsid w:val="00CF393A"/>
    <w:rsid w:val="00CF3C11"/>
    <w:rsid w:val="00CF3C5D"/>
    <w:rsid w:val="00CF4A85"/>
    <w:rsid w:val="00CF6428"/>
    <w:rsid w:val="00CF6944"/>
    <w:rsid w:val="00CF6E51"/>
    <w:rsid w:val="00CF7985"/>
    <w:rsid w:val="00CF7FF4"/>
    <w:rsid w:val="00D00772"/>
    <w:rsid w:val="00D00D82"/>
    <w:rsid w:val="00D02752"/>
    <w:rsid w:val="00D02E8F"/>
    <w:rsid w:val="00D02EB1"/>
    <w:rsid w:val="00D02EBC"/>
    <w:rsid w:val="00D0323E"/>
    <w:rsid w:val="00D03E1F"/>
    <w:rsid w:val="00D056D3"/>
    <w:rsid w:val="00D057C9"/>
    <w:rsid w:val="00D0588B"/>
    <w:rsid w:val="00D05EA6"/>
    <w:rsid w:val="00D05EDF"/>
    <w:rsid w:val="00D06041"/>
    <w:rsid w:val="00D065E2"/>
    <w:rsid w:val="00D066D3"/>
    <w:rsid w:val="00D06874"/>
    <w:rsid w:val="00D0776C"/>
    <w:rsid w:val="00D07A4E"/>
    <w:rsid w:val="00D07AC9"/>
    <w:rsid w:val="00D07DC8"/>
    <w:rsid w:val="00D10D13"/>
    <w:rsid w:val="00D10DFD"/>
    <w:rsid w:val="00D10FEC"/>
    <w:rsid w:val="00D1125C"/>
    <w:rsid w:val="00D12050"/>
    <w:rsid w:val="00D128D1"/>
    <w:rsid w:val="00D12A56"/>
    <w:rsid w:val="00D13230"/>
    <w:rsid w:val="00D13490"/>
    <w:rsid w:val="00D13843"/>
    <w:rsid w:val="00D13852"/>
    <w:rsid w:val="00D13922"/>
    <w:rsid w:val="00D1509D"/>
    <w:rsid w:val="00D15B26"/>
    <w:rsid w:val="00D15F20"/>
    <w:rsid w:val="00D160BF"/>
    <w:rsid w:val="00D2079F"/>
    <w:rsid w:val="00D20A75"/>
    <w:rsid w:val="00D20AD3"/>
    <w:rsid w:val="00D2295D"/>
    <w:rsid w:val="00D22D0E"/>
    <w:rsid w:val="00D23195"/>
    <w:rsid w:val="00D2414F"/>
    <w:rsid w:val="00D2444A"/>
    <w:rsid w:val="00D26838"/>
    <w:rsid w:val="00D26CB5"/>
    <w:rsid w:val="00D27DB2"/>
    <w:rsid w:val="00D30529"/>
    <w:rsid w:val="00D31906"/>
    <w:rsid w:val="00D3190C"/>
    <w:rsid w:val="00D31F7C"/>
    <w:rsid w:val="00D32721"/>
    <w:rsid w:val="00D328E5"/>
    <w:rsid w:val="00D32A36"/>
    <w:rsid w:val="00D33291"/>
    <w:rsid w:val="00D33692"/>
    <w:rsid w:val="00D34114"/>
    <w:rsid w:val="00D3493B"/>
    <w:rsid w:val="00D34A06"/>
    <w:rsid w:val="00D34C4A"/>
    <w:rsid w:val="00D3584B"/>
    <w:rsid w:val="00D35BEE"/>
    <w:rsid w:val="00D377AC"/>
    <w:rsid w:val="00D402C8"/>
    <w:rsid w:val="00D40603"/>
    <w:rsid w:val="00D4079C"/>
    <w:rsid w:val="00D41039"/>
    <w:rsid w:val="00D418F0"/>
    <w:rsid w:val="00D43ED4"/>
    <w:rsid w:val="00D449CF"/>
    <w:rsid w:val="00D46488"/>
    <w:rsid w:val="00D466ED"/>
    <w:rsid w:val="00D47ADD"/>
    <w:rsid w:val="00D50777"/>
    <w:rsid w:val="00D50A14"/>
    <w:rsid w:val="00D54640"/>
    <w:rsid w:val="00D547EE"/>
    <w:rsid w:val="00D54EB3"/>
    <w:rsid w:val="00D560F9"/>
    <w:rsid w:val="00D5651E"/>
    <w:rsid w:val="00D566DC"/>
    <w:rsid w:val="00D56B80"/>
    <w:rsid w:val="00D57128"/>
    <w:rsid w:val="00D57DE0"/>
    <w:rsid w:val="00D60670"/>
    <w:rsid w:val="00D611C0"/>
    <w:rsid w:val="00D61427"/>
    <w:rsid w:val="00D614D3"/>
    <w:rsid w:val="00D616A2"/>
    <w:rsid w:val="00D61F75"/>
    <w:rsid w:val="00D632FE"/>
    <w:rsid w:val="00D65181"/>
    <w:rsid w:val="00D65F07"/>
    <w:rsid w:val="00D66E05"/>
    <w:rsid w:val="00D678CF"/>
    <w:rsid w:val="00D70CFA"/>
    <w:rsid w:val="00D71370"/>
    <w:rsid w:val="00D71584"/>
    <w:rsid w:val="00D72AD7"/>
    <w:rsid w:val="00D73A71"/>
    <w:rsid w:val="00D73E0A"/>
    <w:rsid w:val="00D743D5"/>
    <w:rsid w:val="00D747CD"/>
    <w:rsid w:val="00D748AB"/>
    <w:rsid w:val="00D74943"/>
    <w:rsid w:val="00D75E68"/>
    <w:rsid w:val="00D8003A"/>
    <w:rsid w:val="00D80736"/>
    <w:rsid w:val="00D80B77"/>
    <w:rsid w:val="00D81165"/>
    <w:rsid w:val="00D814AB"/>
    <w:rsid w:val="00D816FE"/>
    <w:rsid w:val="00D83772"/>
    <w:rsid w:val="00D85024"/>
    <w:rsid w:val="00D862DD"/>
    <w:rsid w:val="00D868B6"/>
    <w:rsid w:val="00D870AE"/>
    <w:rsid w:val="00D876D2"/>
    <w:rsid w:val="00D8786D"/>
    <w:rsid w:val="00D90045"/>
    <w:rsid w:val="00D90774"/>
    <w:rsid w:val="00D9110E"/>
    <w:rsid w:val="00D9136A"/>
    <w:rsid w:val="00D916C1"/>
    <w:rsid w:val="00D91CE9"/>
    <w:rsid w:val="00D9344A"/>
    <w:rsid w:val="00D9397D"/>
    <w:rsid w:val="00D93A19"/>
    <w:rsid w:val="00D93ECF"/>
    <w:rsid w:val="00D951B6"/>
    <w:rsid w:val="00D95205"/>
    <w:rsid w:val="00D954C3"/>
    <w:rsid w:val="00D95B0C"/>
    <w:rsid w:val="00D96098"/>
    <w:rsid w:val="00D96114"/>
    <w:rsid w:val="00D96318"/>
    <w:rsid w:val="00D96976"/>
    <w:rsid w:val="00D97344"/>
    <w:rsid w:val="00D97567"/>
    <w:rsid w:val="00D97D1D"/>
    <w:rsid w:val="00D97FB5"/>
    <w:rsid w:val="00DA0352"/>
    <w:rsid w:val="00DA0617"/>
    <w:rsid w:val="00DA0C2E"/>
    <w:rsid w:val="00DA0EEC"/>
    <w:rsid w:val="00DA10FE"/>
    <w:rsid w:val="00DA1129"/>
    <w:rsid w:val="00DA18D3"/>
    <w:rsid w:val="00DA1C01"/>
    <w:rsid w:val="00DA23F0"/>
    <w:rsid w:val="00DA2614"/>
    <w:rsid w:val="00DA3D62"/>
    <w:rsid w:val="00DA52EA"/>
    <w:rsid w:val="00DA6784"/>
    <w:rsid w:val="00DA743E"/>
    <w:rsid w:val="00DA759C"/>
    <w:rsid w:val="00DA7FA9"/>
    <w:rsid w:val="00DB075E"/>
    <w:rsid w:val="00DB1030"/>
    <w:rsid w:val="00DB48AF"/>
    <w:rsid w:val="00DB4F7A"/>
    <w:rsid w:val="00DB586C"/>
    <w:rsid w:val="00DB653A"/>
    <w:rsid w:val="00DB7E65"/>
    <w:rsid w:val="00DC00C7"/>
    <w:rsid w:val="00DC00F1"/>
    <w:rsid w:val="00DC0265"/>
    <w:rsid w:val="00DC076C"/>
    <w:rsid w:val="00DC0E05"/>
    <w:rsid w:val="00DC106C"/>
    <w:rsid w:val="00DC25AD"/>
    <w:rsid w:val="00DC27A8"/>
    <w:rsid w:val="00DC299A"/>
    <w:rsid w:val="00DC33DC"/>
    <w:rsid w:val="00DC348D"/>
    <w:rsid w:val="00DC4121"/>
    <w:rsid w:val="00DC5330"/>
    <w:rsid w:val="00DC6CA8"/>
    <w:rsid w:val="00DC76F0"/>
    <w:rsid w:val="00DC775D"/>
    <w:rsid w:val="00DC7933"/>
    <w:rsid w:val="00DC7989"/>
    <w:rsid w:val="00DC7A00"/>
    <w:rsid w:val="00DC7E17"/>
    <w:rsid w:val="00DC7E18"/>
    <w:rsid w:val="00DD016B"/>
    <w:rsid w:val="00DD01B9"/>
    <w:rsid w:val="00DD025D"/>
    <w:rsid w:val="00DD056A"/>
    <w:rsid w:val="00DD07E5"/>
    <w:rsid w:val="00DD09DD"/>
    <w:rsid w:val="00DD286D"/>
    <w:rsid w:val="00DD316E"/>
    <w:rsid w:val="00DD33C5"/>
    <w:rsid w:val="00DD3656"/>
    <w:rsid w:val="00DD392D"/>
    <w:rsid w:val="00DD3E93"/>
    <w:rsid w:val="00DD4255"/>
    <w:rsid w:val="00DD4E1A"/>
    <w:rsid w:val="00DD5568"/>
    <w:rsid w:val="00DD6989"/>
    <w:rsid w:val="00DD736A"/>
    <w:rsid w:val="00DD7379"/>
    <w:rsid w:val="00DE0B5A"/>
    <w:rsid w:val="00DE1615"/>
    <w:rsid w:val="00DE3D95"/>
    <w:rsid w:val="00DE432A"/>
    <w:rsid w:val="00DE4C7C"/>
    <w:rsid w:val="00DE52C9"/>
    <w:rsid w:val="00DE569D"/>
    <w:rsid w:val="00DE7B64"/>
    <w:rsid w:val="00DF0C4D"/>
    <w:rsid w:val="00DF1603"/>
    <w:rsid w:val="00DF2903"/>
    <w:rsid w:val="00DF4638"/>
    <w:rsid w:val="00DF4B0E"/>
    <w:rsid w:val="00DF553B"/>
    <w:rsid w:val="00DF5B4F"/>
    <w:rsid w:val="00DF6CA7"/>
    <w:rsid w:val="00DF6F99"/>
    <w:rsid w:val="00DF6FDC"/>
    <w:rsid w:val="00DF70EB"/>
    <w:rsid w:val="00DF72AE"/>
    <w:rsid w:val="00DF7833"/>
    <w:rsid w:val="00DF7B27"/>
    <w:rsid w:val="00E005ED"/>
    <w:rsid w:val="00E0193E"/>
    <w:rsid w:val="00E022A6"/>
    <w:rsid w:val="00E02886"/>
    <w:rsid w:val="00E02B15"/>
    <w:rsid w:val="00E039ED"/>
    <w:rsid w:val="00E03C26"/>
    <w:rsid w:val="00E0457B"/>
    <w:rsid w:val="00E05141"/>
    <w:rsid w:val="00E05439"/>
    <w:rsid w:val="00E071C0"/>
    <w:rsid w:val="00E101E4"/>
    <w:rsid w:val="00E10675"/>
    <w:rsid w:val="00E10754"/>
    <w:rsid w:val="00E1115E"/>
    <w:rsid w:val="00E1199D"/>
    <w:rsid w:val="00E11B25"/>
    <w:rsid w:val="00E12419"/>
    <w:rsid w:val="00E136B5"/>
    <w:rsid w:val="00E13878"/>
    <w:rsid w:val="00E13CAD"/>
    <w:rsid w:val="00E146A8"/>
    <w:rsid w:val="00E14A6E"/>
    <w:rsid w:val="00E15D0B"/>
    <w:rsid w:val="00E179D8"/>
    <w:rsid w:val="00E17BB3"/>
    <w:rsid w:val="00E17DAA"/>
    <w:rsid w:val="00E17F75"/>
    <w:rsid w:val="00E20219"/>
    <w:rsid w:val="00E213D4"/>
    <w:rsid w:val="00E21418"/>
    <w:rsid w:val="00E217A3"/>
    <w:rsid w:val="00E21852"/>
    <w:rsid w:val="00E21CE0"/>
    <w:rsid w:val="00E229E6"/>
    <w:rsid w:val="00E24516"/>
    <w:rsid w:val="00E25467"/>
    <w:rsid w:val="00E25604"/>
    <w:rsid w:val="00E2568D"/>
    <w:rsid w:val="00E25A9C"/>
    <w:rsid w:val="00E261B9"/>
    <w:rsid w:val="00E26634"/>
    <w:rsid w:val="00E30C9C"/>
    <w:rsid w:val="00E30DD4"/>
    <w:rsid w:val="00E312DB"/>
    <w:rsid w:val="00E31D87"/>
    <w:rsid w:val="00E31E88"/>
    <w:rsid w:val="00E3240B"/>
    <w:rsid w:val="00E3292A"/>
    <w:rsid w:val="00E32D59"/>
    <w:rsid w:val="00E3331D"/>
    <w:rsid w:val="00E35BA2"/>
    <w:rsid w:val="00E35E6E"/>
    <w:rsid w:val="00E35F24"/>
    <w:rsid w:val="00E361F6"/>
    <w:rsid w:val="00E36720"/>
    <w:rsid w:val="00E379E6"/>
    <w:rsid w:val="00E40B0D"/>
    <w:rsid w:val="00E40C2C"/>
    <w:rsid w:val="00E413C8"/>
    <w:rsid w:val="00E42CDF"/>
    <w:rsid w:val="00E4344A"/>
    <w:rsid w:val="00E43881"/>
    <w:rsid w:val="00E442F8"/>
    <w:rsid w:val="00E44A5D"/>
    <w:rsid w:val="00E46C64"/>
    <w:rsid w:val="00E5038C"/>
    <w:rsid w:val="00E51611"/>
    <w:rsid w:val="00E51B8B"/>
    <w:rsid w:val="00E525E7"/>
    <w:rsid w:val="00E528B7"/>
    <w:rsid w:val="00E52DEB"/>
    <w:rsid w:val="00E537C5"/>
    <w:rsid w:val="00E53F99"/>
    <w:rsid w:val="00E540EA"/>
    <w:rsid w:val="00E546A4"/>
    <w:rsid w:val="00E5585C"/>
    <w:rsid w:val="00E55AF0"/>
    <w:rsid w:val="00E561DA"/>
    <w:rsid w:val="00E56259"/>
    <w:rsid w:val="00E56349"/>
    <w:rsid w:val="00E56CED"/>
    <w:rsid w:val="00E5719C"/>
    <w:rsid w:val="00E60FAF"/>
    <w:rsid w:val="00E6107B"/>
    <w:rsid w:val="00E614E6"/>
    <w:rsid w:val="00E6178A"/>
    <w:rsid w:val="00E621FF"/>
    <w:rsid w:val="00E62487"/>
    <w:rsid w:val="00E6277A"/>
    <w:rsid w:val="00E6285D"/>
    <w:rsid w:val="00E62DFF"/>
    <w:rsid w:val="00E63530"/>
    <w:rsid w:val="00E63612"/>
    <w:rsid w:val="00E637D7"/>
    <w:rsid w:val="00E64554"/>
    <w:rsid w:val="00E64617"/>
    <w:rsid w:val="00E64B47"/>
    <w:rsid w:val="00E65313"/>
    <w:rsid w:val="00E65DC5"/>
    <w:rsid w:val="00E70912"/>
    <w:rsid w:val="00E70AEE"/>
    <w:rsid w:val="00E71183"/>
    <w:rsid w:val="00E72500"/>
    <w:rsid w:val="00E7255A"/>
    <w:rsid w:val="00E72E84"/>
    <w:rsid w:val="00E739C2"/>
    <w:rsid w:val="00E73F9E"/>
    <w:rsid w:val="00E74C3E"/>
    <w:rsid w:val="00E75BA4"/>
    <w:rsid w:val="00E762D0"/>
    <w:rsid w:val="00E779CA"/>
    <w:rsid w:val="00E77DD2"/>
    <w:rsid w:val="00E81140"/>
    <w:rsid w:val="00E81349"/>
    <w:rsid w:val="00E815CC"/>
    <w:rsid w:val="00E81EF9"/>
    <w:rsid w:val="00E82B9F"/>
    <w:rsid w:val="00E8317B"/>
    <w:rsid w:val="00E848D6"/>
    <w:rsid w:val="00E84BEE"/>
    <w:rsid w:val="00E84FF3"/>
    <w:rsid w:val="00E87200"/>
    <w:rsid w:val="00E8765E"/>
    <w:rsid w:val="00E9075C"/>
    <w:rsid w:val="00E90F47"/>
    <w:rsid w:val="00E91BE5"/>
    <w:rsid w:val="00E91CBC"/>
    <w:rsid w:val="00E92236"/>
    <w:rsid w:val="00E92252"/>
    <w:rsid w:val="00E93038"/>
    <w:rsid w:val="00E93352"/>
    <w:rsid w:val="00E93506"/>
    <w:rsid w:val="00E93A90"/>
    <w:rsid w:val="00E944A1"/>
    <w:rsid w:val="00E94C61"/>
    <w:rsid w:val="00E95BD5"/>
    <w:rsid w:val="00E95EBC"/>
    <w:rsid w:val="00E95EF3"/>
    <w:rsid w:val="00E96C98"/>
    <w:rsid w:val="00E9787B"/>
    <w:rsid w:val="00EA0A8C"/>
    <w:rsid w:val="00EA1427"/>
    <w:rsid w:val="00EA14CA"/>
    <w:rsid w:val="00EA1513"/>
    <w:rsid w:val="00EA1A01"/>
    <w:rsid w:val="00EA219B"/>
    <w:rsid w:val="00EA27E0"/>
    <w:rsid w:val="00EA3214"/>
    <w:rsid w:val="00EA35DC"/>
    <w:rsid w:val="00EA3811"/>
    <w:rsid w:val="00EA3A0D"/>
    <w:rsid w:val="00EA3C29"/>
    <w:rsid w:val="00EA4C52"/>
    <w:rsid w:val="00EA4CDA"/>
    <w:rsid w:val="00EA691A"/>
    <w:rsid w:val="00EA6E32"/>
    <w:rsid w:val="00EA7B03"/>
    <w:rsid w:val="00EB0736"/>
    <w:rsid w:val="00EB0B3D"/>
    <w:rsid w:val="00EB0E3F"/>
    <w:rsid w:val="00EB0FB9"/>
    <w:rsid w:val="00EB32C1"/>
    <w:rsid w:val="00EB3430"/>
    <w:rsid w:val="00EB344B"/>
    <w:rsid w:val="00EB44F4"/>
    <w:rsid w:val="00EB59CC"/>
    <w:rsid w:val="00EB6D04"/>
    <w:rsid w:val="00EB75E7"/>
    <w:rsid w:val="00EB7C7A"/>
    <w:rsid w:val="00EC0683"/>
    <w:rsid w:val="00EC0746"/>
    <w:rsid w:val="00EC0B4F"/>
    <w:rsid w:val="00EC0F11"/>
    <w:rsid w:val="00EC101B"/>
    <w:rsid w:val="00EC1CC0"/>
    <w:rsid w:val="00EC2880"/>
    <w:rsid w:val="00EC33B6"/>
    <w:rsid w:val="00EC34BC"/>
    <w:rsid w:val="00EC35B1"/>
    <w:rsid w:val="00EC38E8"/>
    <w:rsid w:val="00EC40C3"/>
    <w:rsid w:val="00EC450B"/>
    <w:rsid w:val="00EC4CC7"/>
    <w:rsid w:val="00EC625F"/>
    <w:rsid w:val="00EC681A"/>
    <w:rsid w:val="00EC70A7"/>
    <w:rsid w:val="00EC7219"/>
    <w:rsid w:val="00EC7546"/>
    <w:rsid w:val="00EC7AD7"/>
    <w:rsid w:val="00ED03E7"/>
    <w:rsid w:val="00ED13C5"/>
    <w:rsid w:val="00ED553C"/>
    <w:rsid w:val="00ED587C"/>
    <w:rsid w:val="00ED607C"/>
    <w:rsid w:val="00ED6727"/>
    <w:rsid w:val="00ED6746"/>
    <w:rsid w:val="00ED7F0F"/>
    <w:rsid w:val="00EE18B4"/>
    <w:rsid w:val="00EE1941"/>
    <w:rsid w:val="00EE233B"/>
    <w:rsid w:val="00EE251C"/>
    <w:rsid w:val="00EE28B1"/>
    <w:rsid w:val="00EE2AC2"/>
    <w:rsid w:val="00EE3173"/>
    <w:rsid w:val="00EE3530"/>
    <w:rsid w:val="00EE367F"/>
    <w:rsid w:val="00EE37D7"/>
    <w:rsid w:val="00EE3A35"/>
    <w:rsid w:val="00EE3AA8"/>
    <w:rsid w:val="00EE3AF1"/>
    <w:rsid w:val="00EE49AD"/>
    <w:rsid w:val="00EE4BF8"/>
    <w:rsid w:val="00EE54FD"/>
    <w:rsid w:val="00EE578E"/>
    <w:rsid w:val="00EE5933"/>
    <w:rsid w:val="00EE5FE3"/>
    <w:rsid w:val="00EE709B"/>
    <w:rsid w:val="00EE7885"/>
    <w:rsid w:val="00EF1085"/>
    <w:rsid w:val="00EF14B5"/>
    <w:rsid w:val="00EF1554"/>
    <w:rsid w:val="00EF19DC"/>
    <w:rsid w:val="00EF1D98"/>
    <w:rsid w:val="00EF1E11"/>
    <w:rsid w:val="00EF20C4"/>
    <w:rsid w:val="00EF255F"/>
    <w:rsid w:val="00EF2B1E"/>
    <w:rsid w:val="00EF3145"/>
    <w:rsid w:val="00EF3A6D"/>
    <w:rsid w:val="00EF41A0"/>
    <w:rsid w:val="00EF4816"/>
    <w:rsid w:val="00EF4F22"/>
    <w:rsid w:val="00EF5480"/>
    <w:rsid w:val="00EF54D8"/>
    <w:rsid w:val="00EF57AC"/>
    <w:rsid w:val="00EF5BCF"/>
    <w:rsid w:val="00EF6260"/>
    <w:rsid w:val="00EF660E"/>
    <w:rsid w:val="00EF6C81"/>
    <w:rsid w:val="00EF7A5E"/>
    <w:rsid w:val="00EF7B2A"/>
    <w:rsid w:val="00F00546"/>
    <w:rsid w:val="00F00652"/>
    <w:rsid w:val="00F00DAC"/>
    <w:rsid w:val="00F00E7A"/>
    <w:rsid w:val="00F00E8D"/>
    <w:rsid w:val="00F013D1"/>
    <w:rsid w:val="00F0271C"/>
    <w:rsid w:val="00F04634"/>
    <w:rsid w:val="00F04F30"/>
    <w:rsid w:val="00F05791"/>
    <w:rsid w:val="00F05DA0"/>
    <w:rsid w:val="00F0651A"/>
    <w:rsid w:val="00F0681B"/>
    <w:rsid w:val="00F06869"/>
    <w:rsid w:val="00F06980"/>
    <w:rsid w:val="00F06B0B"/>
    <w:rsid w:val="00F10A3F"/>
    <w:rsid w:val="00F11D55"/>
    <w:rsid w:val="00F13CEA"/>
    <w:rsid w:val="00F144E9"/>
    <w:rsid w:val="00F155C9"/>
    <w:rsid w:val="00F15BAD"/>
    <w:rsid w:val="00F15D25"/>
    <w:rsid w:val="00F163E3"/>
    <w:rsid w:val="00F168A1"/>
    <w:rsid w:val="00F16D4E"/>
    <w:rsid w:val="00F17240"/>
    <w:rsid w:val="00F17485"/>
    <w:rsid w:val="00F17A6A"/>
    <w:rsid w:val="00F17B21"/>
    <w:rsid w:val="00F17CED"/>
    <w:rsid w:val="00F20410"/>
    <w:rsid w:val="00F2078C"/>
    <w:rsid w:val="00F20AE5"/>
    <w:rsid w:val="00F20D1C"/>
    <w:rsid w:val="00F2110A"/>
    <w:rsid w:val="00F22D09"/>
    <w:rsid w:val="00F230DD"/>
    <w:rsid w:val="00F23629"/>
    <w:rsid w:val="00F238C7"/>
    <w:rsid w:val="00F2408C"/>
    <w:rsid w:val="00F24947"/>
    <w:rsid w:val="00F25A16"/>
    <w:rsid w:val="00F25BE1"/>
    <w:rsid w:val="00F2726C"/>
    <w:rsid w:val="00F27564"/>
    <w:rsid w:val="00F30A36"/>
    <w:rsid w:val="00F30D9D"/>
    <w:rsid w:val="00F319BF"/>
    <w:rsid w:val="00F31E1F"/>
    <w:rsid w:val="00F31EAD"/>
    <w:rsid w:val="00F321BC"/>
    <w:rsid w:val="00F322F0"/>
    <w:rsid w:val="00F3257F"/>
    <w:rsid w:val="00F32E57"/>
    <w:rsid w:val="00F33341"/>
    <w:rsid w:val="00F33960"/>
    <w:rsid w:val="00F3481E"/>
    <w:rsid w:val="00F359DB"/>
    <w:rsid w:val="00F35E68"/>
    <w:rsid w:val="00F37464"/>
    <w:rsid w:val="00F42AEB"/>
    <w:rsid w:val="00F42FC4"/>
    <w:rsid w:val="00F43260"/>
    <w:rsid w:val="00F43967"/>
    <w:rsid w:val="00F441BE"/>
    <w:rsid w:val="00F455C4"/>
    <w:rsid w:val="00F45BDC"/>
    <w:rsid w:val="00F45DF2"/>
    <w:rsid w:val="00F466F7"/>
    <w:rsid w:val="00F468EF"/>
    <w:rsid w:val="00F46C7E"/>
    <w:rsid w:val="00F472F9"/>
    <w:rsid w:val="00F47A31"/>
    <w:rsid w:val="00F47D8C"/>
    <w:rsid w:val="00F50413"/>
    <w:rsid w:val="00F50823"/>
    <w:rsid w:val="00F5094E"/>
    <w:rsid w:val="00F51060"/>
    <w:rsid w:val="00F51176"/>
    <w:rsid w:val="00F51DBF"/>
    <w:rsid w:val="00F52928"/>
    <w:rsid w:val="00F53080"/>
    <w:rsid w:val="00F540C7"/>
    <w:rsid w:val="00F5550C"/>
    <w:rsid w:val="00F55D39"/>
    <w:rsid w:val="00F55D81"/>
    <w:rsid w:val="00F60CC4"/>
    <w:rsid w:val="00F60E15"/>
    <w:rsid w:val="00F614F4"/>
    <w:rsid w:val="00F62145"/>
    <w:rsid w:val="00F626BC"/>
    <w:rsid w:val="00F63DFB"/>
    <w:rsid w:val="00F641B8"/>
    <w:rsid w:val="00F64600"/>
    <w:rsid w:val="00F64C59"/>
    <w:rsid w:val="00F6585E"/>
    <w:rsid w:val="00F65D65"/>
    <w:rsid w:val="00F65FC1"/>
    <w:rsid w:val="00F66C14"/>
    <w:rsid w:val="00F66C2C"/>
    <w:rsid w:val="00F67331"/>
    <w:rsid w:val="00F6758D"/>
    <w:rsid w:val="00F707A9"/>
    <w:rsid w:val="00F71C7C"/>
    <w:rsid w:val="00F72773"/>
    <w:rsid w:val="00F72CC4"/>
    <w:rsid w:val="00F72F58"/>
    <w:rsid w:val="00F732BA"/>
    <w:rsid w:val="00F73FC0"/>
    <w:rsid w:val="00F744CD"/>
    <w:rsid w:val="00F75198"/>
    <w:rsid w:val="00F75C83"/>
    <w:rsid w:val="00F7778B"/>
    <w:rsid w:val="00F80474"/>
    <w:rsid w:val="00F808D6"/>
    <w:rsid w:val="00F8307D"/>
    <w:rsid w:val="00F8360C"/>
    <w:rsid w:val="00F84AEB"/>
    <w:rsid w:val="00F84B59"/>
    <w:rsid w:val="00F84BFF"/>
    <w:rsid w:val="00F84D57"/>
    <w:rsid w:val="00F86B82"/>
    <w:rsid w:val="00F870C6"/>
    <w:rsid w:val="00F87489"/>
    <w:rsid w:val="00F87ACC"/>
    <w:rsid w:val="00F87B6D"/>
    <w:rsid w:val="00F901F0"/>
    <w:rsid w:val="00F90983"/>
    <w:rsid w:val="00F9170F"/>
    <w:rsid w:val="00F91D23"/>
    <w:rsid w:val="00F91DC9"/>
    <w:rsid w:val="00F92189"/>
    <w:rsid w:val="00F9224B"/>
    <w:rsid w:val="00F92914"/>
    <w:rsid w:val="00F942EF"/>
    <w:rsid w:val="00F9507F"/>
    <w:rsid w:val="00F961F7"/>
    <w:rsid w:val="00F973B7"/>
    <w:rsid w:val="00F973DB"/>
    <w:rsid w:val="00FA17B2"/>
    <w:rsid w:val="00FA1EE2"/>
    <w:rsid w:val="00FA245C"/>
    <w:rsid w:val="00FA2C7F"/>
    <w:rsid w:val="00FA34CC"/>
    <w:rsid w:val="00FA4A79"/>
    <w:rsid w:val="00FA4F6B"/>
    <w:rsid w:val="00FA5CF6"/>
    <w:rsid w:val="00FA5FCC"/>
    <w:rsid w:val="00FA629F"/>
    <w:rsid w:val="00FA63DD"/>
    <w:rsid w:val="00FA66A0"/>
    <w:rsid w:val="00FA6812"/>
    <w:rsid w:val="00FA686F"/>
    <w:rsid w:val="00FA698C"/>
    <w:rsid w:val="00FB01B7"/>
    <w:rsid w:val="00FB2211"/>
    <w:rsid w:val="00FB33F3"/>
    <w:rsid w:val="00FB3C38"/>
    <w:rsid w:val="00FB3FB5"/>
    <w:rsid w:val="00FB3FE0"/>
    <w:rsid w:val="00FB40BE"/>
    <w:rsid w:val="00FB4834"/>
    <w:rsid w:val="00FB5A5C"/>
    <w:rsid w:val="00FB6179"/>
    <w:rsid w:val="00FB61EF"/>
    <w:rsid w:val="00FB6FA8"/>
    <w:rsid w:val="00FB7782"/>
    <w:rsid w:val="00FC04F1"/>
    <w:rsid w:val="00FC05D9"/>
    <w:rsid w:val="00FC1109"/>
    <w:rsid w:val="00FC255F"/>
    <w:rsid w:val="00FC2678"/>
    <w:rsid w:val="00FC3A09"/>
    <w:rsid w:val="00FC501F"/>
    <w:rsid w:val="00FC6EE1"/>
    <w:rsid w:val="00FC78DC"/>
    <w:rsid w:val="00FD07D7"/>
    <w:rsid w:val="00FD148F"/>
    <w:rsid w:val="00FD18B2"/>
    <w:rsid w:val="00FD3AF2"/>
    <w:rsid w:val="00FD606C"/>
    <w:rsid w:val="00FD6CF3"/>
    <w:rsid w:val="00FD7D01"/>
    <w:rsid w:val="00FD7D0C"/>
    <w:rsid w:val="00FE1619"/>
    <w:rsid w:val="00FE2321"/>
    <w:rsid w:val="00FE2A3B"/>
    <w:rsid w:val="00FE2BB4"/>
    <w:rsid w:val="00FE2F7F"/>
    <w:rsid w:val="00FE302C"/>
    <w:rsid w:val="00FE3CC6"/>
    <w:rsid w:val="00FE42A7"/>
    <w:rsid w:val="00FE4334"/>
    <w:rsid w:val="00FE4F9E"/>
    <w:rsid w:val="00FE5691"/>
    <w:rsid w:val="00FE58FF"/>
    <w:rsid w:val="00FE671B"/>
    <w:rsid w:val="00FE77B4"/>
    <w:rsid w:val="00FE7ED6"/>
    <w:rsid w:val="00FF192D"/>
    <w:rsid w:val="00FF2A83"/>
    <w:rsid w:val="00FF3CF3"/>
    <w:rsid w:val="00FF4EE1"/>
    <w:rsid w:val="00FF51CE"/>
    <w:rsid w:val="00FF597F"/>
    <w:rsid w:val="00FF5DD5"/>
    <w:rsid w:val="00FF65D7"/>
    <w:rsid w:val="00FF688C"/>
    <w:rsid w:val="00FF6E7E"/>
    <w:rsid w:val="00FF7819"/>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4E474"/>
  <w15:docId w15:val="{52E291C8-5A3E-4E02-89E7-0DD96873E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767F5D"/>
    <w:pPr>
      <w:pBdr>
        <w:top w:val="single" w:sz="36" w:space="10" w:color="43C7F4" w:themeColor="accent1"/>
        <w:bottom w:val="single" w:sz="36" w:space="10" w:color="43C7F4" w:themeColor="accent1"/>
      </w:pBdr>
      <w:ind w:left="0" w:right="-46"/>
      <w:jc w:val="left"/>
    </w:pPr>
    <w:rPr>
      <w:rFonts w:ascii="Gotham" w:hAnsi="Gotham"/>
      <w:b/>
      <w:color w:val="auto"/>
      <w:sz w:val="16"/>
      <w:lang w:val="en-US"/>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B41CA8"/>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5"/>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38"/>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6505C6"/>
    <w:pPr>
      <w:tabs>
        <w:tab w:val="right" w:pos="9026"/>
      </w:tabs>
    </w:pPr>
    <w:rPr>
      <w:rFonts w:ascii="Gotham Black" w:hAnsi="Gotham Black"/>
      <w:color w:val="43C7F4" w:themeColor="accent1"/>
      <w:sz w:val="36"/>
      <w:szCs w:val="36"/>
    </w:rPr>
  </w:style>
  <w:style w:type="character" w:customStyle="1" w:styleId="DocLabelChar">
    <w:name w:val="Doc Label Char"/>
    <w:basedOn w:val="DefaultParagraphFont"/>
    <w:link w:val="DocLabel"/>
    <w:rsid w:val="006505C6"/>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7B1E9D"/>
    <w:pPr>
      <w:tabs>
        <w:tab w:val="left" w:pos="3855"/>
        <w:tab w:val="center" w:pos="4513"/>
        <w:tab w:val="right" w:pos="9026"/>
      </w:tabs>
      <w:spacing w:after="0"/>
      <w:jc w:val="right"/>
    </w:pPr>
    <w:rPr>
      <w:rFonts w:ascii="Gotham" w:hAnsi="Gotham"/>
      <w:b/>
      <w:bCs/>
      <w:spacing w:val="8"/>
      <w:sz w:val="20"/>
      <w:szCs w:val="20"/>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7B1E9D"/>
    <w:rPr>
      <w:rFonts w:ascii="Gotham" w:eastAsiaTheme="minorEastAsia" w:hAnsi="Gotham"/>
      <w:b/>
      <w:bCs/>
      <w:spacing w:val="8"/>
      <w:sz w:val="20"/>
      <w:szCs w:val="20"/>
      <w:lang w:eastAsia="en-AU"/>
    </w:rPr>
  </w:style>
  <w:style w:type="paragraph" w:customStyle="1" w:styleId="DocDate">
    <w:name w:val="Doc Date"/>
    <w:basedOn w:val="Normal"/>
    <w:link w:val="DocDateChar"/>
    <w:qFormat/>
    <w:rsid w:val="00962372"/>
    <w:pPr>
      <w:tabs>
        <w:tab w:val="right" w:pos="9026"/>
      </w:tabs>
    </w:pPr>
    <w:rPr>
      <w:rFonts w:ascii="Gotham" w:hAnsi="Gotham"/>
      <w:b/>
      <w:bCs/>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962372"/>
    <w:rPr>
      <w:rFonts w:ascii="Gotham" w:eastAsiaTheme="minorEastAsia" w:hAnsi="Gotham"/>
      <w:b/>
      <w:bCs/>
      <w:lang w:eastAsia="en-AU"/>
    </w:rPr>
  </w:style>
  <w:style w:type="paragraph" w:customStyle="1" w:styleId="Default">
    <w:name w:val="Default"/>
    <w:rsid w:val="00DF6F99"/>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944B31"/>
    <w:pPr>
      <w:tabs>
        <w:tab w:val="right" w:leader="dot" w:pos="9016"/>
      </w:tabs>
      <w:spacing w:after="100"/>
    </w:pPr>
  </w:style>
  <w:style w:type="paragraph" w:styleId="CommentText">
    <w:name w:val="annotation text"/>
    <w:basedOn w:val="Normal"/>
    <w:link w:val="CommentTextChar"/>
    <w:uiPriority w:val="99"/>
    <w:unhideWhenUsed/>
    <w:rsid w:val="007F6629"/>
    <w:pPr>
      <w:spacing w:line="240" w:lineRule="auto"/>
    </w:pPr>
    <w:rPr>
      <w:sz w:val="20"/>
      <w:szCs w:val="20"/>
    </w:rPr>
  </w:style>
  <w:style w:type="character" w:customStyle="1" w:styleId="CommentTextChar">
    <w:name w:val="Comment Text Char"/>
    <w:basedOn w:val="DefaultParagraphFont"/>
    <w:link w:val="CommentText"/>
    <w:uiPriority w:val="99"/>
    <w:rsid w:val="007F6629"/>
    <w:rPr>
      <w:rFonts w:eastAsiaTheme="minorEastAsia"/>
      <w:sz w:val="20"/>
      <w:szCs w:val="20"/>
      <w:lang w:eastAsia="en-AU"/>
    </w:rPr>
  </w:style>
  <w:style w:type="paragraph" w:styleId="FootnoteText">
    <w:name w:val="footnote text"/>
    <w:basedOn w:val="Normal"/>
    <w:link w:val="FootnoteTextChar"/>
    <w:uiPriority w:val="99"/>
    <w:semiHidden/>
    <w:unhideWhenUsed/>
    <w:rsid w:val="00C148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48BC"/>
    <w:rPr>
      <w:rFonts w:eastAsiaTheme="minorEastAsia"/>
      <w:sz w:val="20"/>
      <w:szCs w:val="20"/>
      <w:lang w:eastAsia="en-AU"/>
    </w:rPr>
  </w:style>
  <w:style w:type="paragraph" w:styleId="Header">
    <w:name w:val="header"/>
    <w:basedOn w:val="Normal"/>
    <w:link w:val="HeaderChar"/>
    <w:uiPriority w:val="99"/>
    <w:semiHidden/>
    <w:unhideWhenUsed/>
    <w:rsid w:val="0053154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31546"/>
    <w:rPr>
      <w:rFonts w:eastAsiaTheme="minorEastAsia"/>
      <w:lang w:eastAsia="en-AU"/>
    </w:rPr>
  </w:style>
  <w:style w:type="paragraph" w:styleId="Footer">
    <w:name w:val="footer"/>
    <w:basedOn w:val="Normal"/>
    <w:link w:val="FooterChar"/>
    <w:uiPriority w:val="99"/>
    <w:semiHidden/>
    <w:unhideWhenUsed/>
    <w:rsid w:val="0053154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31546"/>
    <w:rPr>
      <w:rFonts w:eastAsiaTheme="minorEastAsia"/>
      <w:lang w:eastAsia="en-AU"/>
    </w:rPr>
  </w:style>
  <w:style w:type="character" w:customStyle="1" w:styleId="cf01">
    <w:name w:val="cf01"/>
    <w:basedOn w:val="DefaultParagraphFont"/>
    <w:rsid w:val="00290F03"/>
    <w:rPr>
      <w:rFonts w:ascii="Segoe UI" w:hAnsi="Segoe UI" w:cs="Segoe UI" w:hint="default"/>
      <w:sz w:val="18"/>
      <w:szCs w:val="18"/>
    </w:rPr>
  </w:style>
  <w:style w:type="paragraph" w:customStyle="1" w:styleId="pf0">
    <w:name w:val="pf0"/>
    <w:basedOn w:val="Normal"/>
    <w:rsid w:val="00E72E84"/>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F727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82134262">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4825893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54853620">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183325547">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26986334">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0568574">
      <w:bodyDiv w:val="1"/>
      <w:marLeft w:val="0"/>
      <w:marRight w:val="0"/>
      <w:marTop w:val="0"/>
      <w:marBottom w:val="0"/>
      <w:divBdr>
        <w:top w:val="none" w:sz="0" w:space="0" w:color="auto"/>
        <w:left w:val="none" w:sz="0" w:space="0" w:color="auto"/>
        <w:bottom w:val="none" w:sz="0" w:space="0" w:color="auto"/>
        <w:right w:val="none" w:sz="0" w:space="0" w:color="auto"/>
      </w:divBdr>
    </w:div>
    <w:div w:id="1497762879">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ccan.org.au/ACCAN%202022%20Research%20Snapshot%20Affordability.pdf" TargetMode="External"/><Relationship Id="rId7" Type="http://schemas.openxmlformats.org/officeDocument/2006/relationships/hyperlink" Target="https://accan.org.au/accans-work/submissions/2059-record-keeping-rule-nbn-service-performance-consultation-paper" TargetMode="External"/><Relationship Id="rId2" Type="http://schemas.openxmlformats.org/officeDocument/2006/relationships/hyperlink" Target="https://www.aer.gov.au/news-release/stronger-penalties-demand-energy-businesses-prioritise-compliance-with-the-law" TargetMode="External"/><Relationship Id="rId1" Type="http://schemas.openxmlformats.org/officeDocument/2006/relationships/hyperlink" Target="http://www.aer.gov.au/system/files/Better%20Reset%20Handbook%20-%20December%202021.pdf" TargetMode="External"/><Relationship Id="rId6" Type="http://schemas.openxmlformats.org/officeDocument/2006/relationships/hyperlink" Target="http://www.aer.gov.au/system/files/Better%20Reset%20Handbook%20-%20December%202021.pdf" TargetMode="External"/><Relationship Id="rId5" Type="http://schemas.openxmlformats.org/officeDocument/2006/relationships/hyperlink" Target="http://www.aer.gov.au/system/files/Better%20Reset%20Handbook%20-%20December%202021.pdf" TargetMode="External"/><Relationship Id="rId4" Type="http://schemas.openxmlformats.org/officeDocument/2006/relationships/hyperlink" Target="https://www.ipart.nsw.gov.au/sites/default/files/documents/final-report-review-of-our-financeability-test-november-201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Long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B25CECA-5D69-4A86-BBDE-BBBC3765A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DocumentTemplate-LongSubmission.dotx</Template>
  <TotalTime>256</TotalTime>
  <Pages>1</Pages>
  <Words>11765</Words>
  <Characters>67061</Characters>
  <Application>Microsoft Office Word</Application>
  <DocSecurity>4</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78669</CharactersWithSpaces>
  <SharedDoc>false</SharedDoc>
  <HLinks>
    <vt:vector size="138" baseType="variant">
      <vt:variant>
        <vt:i4>1245234</vt:i4>
      </vt:variant>
      <vt:variant>
        <vt:i4>86</vt:i4>
      </vt:variant>
      <vt:variant>
        <vt:i4>0</vt:i4>
      </vt:variant>
      <vt:variant>
        <vt:i4>5</vt:i4>
      </vt:variant>
      <vt:variant>
        <vt:lpwstr/>
      </vt:variant>
      <vt:variant>
        <vt:lpwstr>_Toc127353168</vt:lpwstr>
      </vt:variant>
      <vt:variant>
        <vt:i4>1245234</vt:i4>
      </vt:variant>
      <vt:variant>
        <vt:i4>80</vt:i4>
      </vt:variant>
      <vt:variant>
        <vt:i4>0</vt:i4>
      </vt:variant>
      <vt:variant>
        <vt:i4>5</vt:i4>
      </vt:variant>
      <vt:variant>
        <vt:lpwstr/>
      </vt:variant>
      <vt:variant>
        <vt:lpwstr>_Toc127353167</vt:lpwstr>
      </vt:variant>
      <vt:variant>
        <vt:i4>1245234</vt:i4>
      </vt:variant>
      <vt:variant>
        <vt:i4>74</vt:i4>
      </vt:variant>
      <vt:variant>
        <vt:i4>0</vt:i4>
      </vt:variant>
      <vt:variant>
        <vt:i4>5</vt:i4>
      </vt:variant>
      <vt:variant>
        <vt:lpwstr/>
      </vt:variant>
      <vt:variant>
        <vt:lpwstr>_Toc127353166</vt:lpwstr>
      </vt:variant>
      <vt:variant>
        <vt:i4>1245234</vt:i4>
      </vt:variant>
      <vt:variant>
        <vt:i4>68</vt:i4>
      </vt:variant>
      <vt:variant>
        <vt:i4>0</vt:i4>
      </vt:variant>
      <vt:variant>
        <vt:i4>5</vt:i4>
      </vt:variant>
      <vt:variant>
        <vt:lpwstr/>
      </vt:variant>
      <vt:variant>
        <vt:lpwstr>_Toc127353165</vt:lpwstr>
      </vt:variant>
      <vt:variant>
        <vt:i4>1245234</vt:i4>
      </vt:variant>
      <vt:variant>
        <vt:i4>62</vt:i4>
      </vt:variant>
      <vt:variant>
        <vt:i4>0</vt:i4>
      </vt:variant>
      <vt:variant>
        <vt:i4>5</vt:i4>
      </vt:variant>
      <vt:variant>
        <vt:lpwstr/>
      </vt:variant>
      <vt:variant>
        <vt:lpwstr>_Toc127353164</vt:lpwstr>
      </vt:variant>
      <vt:variant>
        <vt:i4>1245234</vt:i4>
      </vt:variant>
      <vt:variant>
        <vt:i4>56</vt:i4>
      </vt:variant>
      <vt:variant>
        <vt:i4>0</vt:i4>
      </vt:variant>
      <vt:variant>
        <vt:i4>5</vt:i4>
      </vt:variant>
      <vt:variant>
        <vt:lpwstr/>
      </vt:variant>
      <vt:variant>
        <vt:lpwstr>_Toc127353163</vt:lpwstr>
      </vt:variant>
      <vt:variant>
        <vt:i4>1245234</vt:i4>
      </vt:variant>
      <vt:variant>
        <vt:i4>50</vt:i4>
      </vt:variant>
      <vt:variant>
        <vt:i4>0</vt:i4>
      </vt:variant>
      <vt:variant>
        <vt:i4>5</vt:i4>
      </vt:variant>
      <vt:variant>
        <vt:lpwstr/>
      </vt:variant>
      <vt:variant>
        <vt:lpwstr>_Toc127353162</vt:lpwstr>
      </vt:variant>
      <vt:variant>
        <vt:i4>1245234</vt:i4>
      </vt:variant>
      <vt:variant>
        <vt:i4>44</vt:i4>
      </vt:variant>
      <vt:variant>
        <vt:i4>0</vt:i4>
      </vt:variant>
      <vt:variant>
        <vt:i4>5</vt:i4>
      </vt:variant>
      <vt:variant>
        <vt:lpwstr/>
      </vt:variant>
      <vt:variant>
        <vt:lpwstr>_Toc127353161</vt:lpwstr>
      </vt:variant>
      <vt:variant>
        <vt:i4>1245234</vt:i4>
      </vt:variant>
      <vt:variant>
        <vt:i4>38</vt:i4>
      </vt:variant>
      <vt:variant>
        <vt:i4>0</vt:i4>
      </vt:variant>
      <vt:variant>
        <vt:i4>5</vt:i4>
      </vt:variant>
      <vt:variant>
        <vt:lpwstr/>
      </vt:variant>
      <vt:variant>
        <vt:lpwstr>_Toc127353160</vt:lpwstr>
      </vt:variant>
      <vt:variant>
        <vt:i4>1048626</vt:i4>
      </vt:variant>
      <vt:variant>
        <vt:i4>32</vt:i4>
      </vt:variant>
      <vt:variant>
        <vt:i4>0</vt:i4>
      </vt:variant>
      <vt:variant>
        <vt:i4>5</vt:i4>
      </vt:variant>
      <vt:variant>
        <vt:lpwstr/>
      </vt:variant>
      <vt:variant>
        <vt:lpwstr>_Toc127353159</vt:lpwstr>
      </vt:variant>
      <vt:variant>
        <vt:i4>1048626</vt:i4>
      </vt:variant>
      <vt:variant>
        <vt:i4>26</vt:i4>
      </vt:variant>
      <vt:variant>
        <vt:i4>0</vt:i4>
      </vt:variant>
      <vt:variant>
        <vt:i4>5</vt:i4>
      </vt:variant>
      <vt:variant>
        <vt:lpwstr/>
      </vt:variant>
      <vt:variant>
        <vt:lpwstr>_Toc127353158</vt:lpwstr>
      </vt:variant>
      <vt:variant>
        <vt:i4>1048626</vt:i4>
      </vt:variant>
      <vt:variant>
        <vt:i4>20</vt:i4>
      </vt:variant>
      <vt:variant>
        <vt:i4>0</vt:i4>
      </vt:variant>
      <vt:variant>
        <vt:i4>5</vt:i4>
      </vt:variant>
      <vt:variant>
        <vt:lpwstr/>
      </vt:variant>
      <vt:variant>
        <vt:lpwstr>_Toc127353157</vt:lpwstr>
      </vt:variant>
      <vt:variant>
        <vt:i4>1048626</vt:i4>
      </vt:variant>
      <vt:variant>
        <vt:i4>14</vt:i4>
      </vt:variant>
      <vt:variant>
        <vt:i4>0</vt:i4>
      </vt:variant>
      <vt:variant>
        <vt:i4>5</vt:i4>
      </vt:variant>
      <vt:variant>
        <vt:lpwstr/>
      </vt:variant>
      <vt:variant>
        <vt:lpwstr>_Toc127353156</vt:lpwstr>
      </vt:variant>
      <vt:variant>
        <vt:i4>1048626</vt:i4>
      </vt:variant>
      <vt:variant>
        <vt:i4>8</vt:i4>
      </vt:variant>
      <vt:variant>
        <vt:i4>0</vt:i4>
      </vt:variant>
      <vt:variant>
        <vt:i4>5</vt:i4>
      </vt:variant>
      <vt:variant>
        <vt:lpwstr/>
      </vt:variant>
      <vt:variant>
        <vt:lpwstr>_Toc127353155</vt:lpwstr>
      </vt:variant>
      <vt:variant>
        <vt:i4>2490480</vt:i4>
      </vt:variant>
      <vt:variant>
        <vt:i4>3</vt:i4>
      </vt:variant>
      <vt:variant>
        <vt:i4>0</vt:i4>
      </vt:variant>
      <vt:variant>
        <vt:i4>5</vt:i4>
      </vt:variant>
      <vt:variant>
        <vt:lpwstr>http://relayservice.gov.au/</vt:lpwstr>
      </vt:variant>
      <vt:variant>
        <vt:lpwstr/>
      </vt:variant>
      <vt:variant>
        <vt:i4>2621518</vt:i4>
      </vt:variant>
      <vt:variant>
        <vt:i4>0</vt:i4>
      </vt:variant>
      <vt:variant>
        <vt:i4>0</vt:i4>
      </vt:variant>
      <vt:variant>
        <vt:i4>5</vt:i4>
      </vt:variant>
      <vt:variant>
        <vt:lpwstr>mailto:info@accan.org.au</vt:lpwstr>
      </vt:variant>
      <vt:variant>
        <vt:lpwstr/>
      </vt:variant>
      <vt:variant>
        <vt:i4>1638475</vt:i4>
      </vt:variant>
      <vt:variant>
        <vt:i4>18</vt:i4>
      </vt:variant>
      <vt:variant>
        <vt:i4>0</vt:i4>
      </vt:variant>
      <vt:variant>
        <vt:i4>5</vt:i4>
      </vt:variant>
      <vt:variant>
        <vt:lpwstr>https://accan.org.au/accans-work/submissions/2059-record-keeping-rule-nbn-service-performance-consultation-paper</vt:lpwstr>
      </vt:variant>
      <vt:variant>
        <vt:lpwstr/>
      </vt:variant>
      <vt:variant>
        <vt:i4>1638401</vt:i4>
      </vt:variant>
      <vt:variant>
        <vt:i4>15</vt:i4>
      </vt:variant>
      <vt:variant>
        <vt:i4>0</vt:i4>
      </vt:variant>
      <vt:variant>
        <vt:i4>5</vt:i4>
      </vt:variant>
      <vt:variant>
        <vt:lpwstr>http://www.aer.gov.au/system/files/Better Reset Handbook - December 2021.pdf</vt:lpwstr>
      </vt:variant>
      <vt:variant>
        <vt:lpwstr/>
      </vt:variant>
      <vt:variant>
        <vt:i4>1638401</vt:i4>
      </vt:variant>
      <vt:variant>
        <vt:i4>12</vt:i4>
      </vt:variant>
      <vt:variant>
        <vt:i4>0</vt:i4>
      </vt:variant>
      <vt:variant>
        <vt:i4>5</vt:i4>
      </vt:variant>
      <vt:variant>
        <vt:lpwstr>http://www.aer.gov.au/system/files/Better Reset Handbook - December 2021.pdf</vt:lpwstr>
      </vt:variant>
      <vt:variant>
        <vt:lpwstr/>
      </vt:variant>
      <vt:variant>
        <vt:i4>2490485</vt:i4>
      </vt:variant>
      <vt:variant>
        <vt:i4>9</vt:i4>
      </vt:variant>
      <vt:variant>
        <vt:i4>0</vt:i4>
      </vt:variant>
      <vt:variant>
        <vt:i4>5</vt:i4>
      </vt:variant>
      <vt:variant>
        <vt:lpwstr>https://www.ipart.nsw.gov.au/sites/default/files/documents/final-report-review-of-our-financeability-test-november-2018.pdf</vt:lpwstr>
      </vt:variant>
      <vt:variant>
        <vt:lpwstr/>
      </vt:variant>
      <vt:variant>
        <vt:i4>3211382</vt:i4>
      </vt:variant>
      <vt:variant>
        <vt:i4>6</vt:i4>
      </vt:variant>
      <vt:variant>
        <vt:i4>0</vt:i4>
      </vt:variant>
      <vt:variant>
        <vt:i4>5</vt:i4>
      </vt:variant>
      <vt:variant>
        <vt:lpwstr>https://accan.org.au/ACCAN 2022 Research Snapshot Affordability.pdf</vt:lpwstr>
      </vt:variant>
      <vt:variant>
        <vt:lpwstr/>
      </vt:variant>
      <vt:variant>
        <vt:i4>7078010</vt:i4>
      </vt:variant>
      <vt:variant>
        <vt:i4>3</vt:i4>
      </vt:variant>
      <vt:variant>
        <vt:i4>0</vt:i4>
      </vt:variant>
      <vt:variant>
        <vt:i4>5</vt:i4>
      </vt:variant>
      <vt:variant>
        <vt:lpwstr>https://www.aer.gov.au/news-release/stronger-penalties-demand-energy-businesses-prioritise-compliance-with-the-law</vt:lpwstr>
      </vt:variant>
      <vt:variant>
        <vt:lpwstr/>
      </vt:variant>
      <vt:variant>
        <vt:i4>1638401</vt:i4>
      </vt:variant>
      <vt:variant>
        <vt:i4>0</vt:i4>
      </vt:variant>
      <vt:variant>
        <vt:i4>0</vt:i4>
      </vt:variant>
      <vt:variant>
        <vt:i4>5</vt:i4>
      </vt:variant>
      <vt:variant>
        <vt:lpwstr>http://www.aer.gov.au/system/files/Better Reset Handbook - December 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65</cp:revision>
  <cp:lastPrinted>2023-02-17T20:01:00Z</cp:lastPrinted>
  <dcterms:created xsi:type="dcterms:W3CDTF">2023-02-17T13:30:00Z</dcterms:created>
  <dcterms:modified xsi:type="dcterms:W3CDTF">2023-02-17T20:01:00Z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