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6CB7" w14:textId="77777777" w:rsidR="00E3454F" w:rsidRPr="00E3454F" w:rsidRDefault="00E3454F" w:rsidP="00E3454F">
      <w:pPr>
        <w:tabs>
          <w:tab w:val="left" w:pos="3855"/>
          <w:tab w:val="center" w:pos="4513"/>
          <w:tab w:val="right" w:pos="9026"/>
        </w:tabs>
        <w:spacing w:after="0" w:line="276" w:lineRule="auto"/>
        <w:jc w:val="right"/>
        <w:rPr>
          <w:rFonts w:ascii="Gotham" w:eastAsia="MS Mincho" w:hAnsi="Gotham" w:cs="Arial"/>
          <w:b/>
          <w:bCs/>
          <w:spacing w:val="8"/>
          <w:sz w:val="20"/>
          <w:szCs w:val="20"/>
          <w:lang w:eastAsia="en-AU"/>
        </w:rPr>
      </w:pPr>
      <w:bookmarkStart w:id="0" w:name="_Hlk95835868"/>
      <w:r w:rsidRPr="00E3454F">
        <w:rPr>
          <w:rFonts w:ascii="Gotham" w:eastAsia="MS Mincho" w:hAnsi="Gotham" w:cs="Arial"/>
          <w:b/>
          <w:bCs/>
          <w:noProof/>
          <w:spacing w:val="8"/>
          <w:sz w:val="20"/>
          <w:szCs w:val="20"/>
          <w:lang w:eastAsia="en-AU"/>
        </w:rPr>
        <w:drawing>
          <wp:anchor distT="0" distB="0" distL="114300" distR="114300" simplePos="0" relativeHeight="251658243" behindDoc="1" locked="0" layoutInCell="1" allowOverlap="1" wp14:anchorId="23132AD5" wp14:editId="315EF623">
            <wp:simplePos x="0" y="0"/>
            <wp:positionH relativeFrom="column">
              <wp:posOffset>4862195</wp:posOffset>
            </wp:positionH>
            <wp:positionV relativeFrom="page">
              <wp:posOffset>563880</wp:posOffset>
            </wp:positionV>
            <wp:extent cx="191770" cy="191770"/>
            <wp:effectExtent l="0" t="0" r="0" b="0"/>
            <wp:wrapSquare wrapText="bothSides"/>
            <wp:docPr id="7" name="Picture 7" descr="Twitter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itter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454F">
        <w:rPr>
          <w:rFonts w:ascii="Gotham" w:eastAsia="MS Mincho" w:hAnsi="Gotham" w:cs="Arial"/>
          <w:b/>
          <w:bCs/>
          <w:noProof/>
          <w:spacing w:val="8"/>
          <w:sz w:val="20"/>
          <w:szCs w:val="20"/>
          <w:lang w:eastAsia="en-AU"/>
        </w:rPr>
        <w:drawing>
          <wp:anchor distT="0" distB="0" distL="114300" distR="114300" simplePos="0" relativeHeight="251658244" behindDoc="0" locked="0" layoutInCell="1" allowOverlap="1" wp14:anchorId="23155E81" wp14:editId="05D740C6">
            <wp:simplePos x="0" y="0"/>
            <wp:positionH relativeFrom="column">
              <wp:posOffset>5092065</wp:posOffset>
            </wp:positionH>
            <wp:positionV relativeFrom="page">
              <wp:posOffset>560070</wp:posOffset>
            </wp:positionV>
            <wp:extent cx="191770" cy="191770"/>
            <wp:effectExtent l="0" t="0" r="0" b="0"/>
            <wp:wrapSquare wrapText="bothSides"/>
            <wp:docPr id="8" name="Picture 8" descr="Facebook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acebook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E3454F">
        <w:rPr>
          <w:rFonts w:ascii="Gotham" w:eastAsia="MS Mincho" w:hAnsi="Gotham" w:cs="Arial"/>
          <w:b/>
          <w:bCs/>
          <w:noProof/>
          <w:spacing w:val="8"/>
          <w:sz w:val="20"/>
          <w:szCs w:val="20"/>
          <w:lang w:eastAsia="en-AU"/>
        </w:rPr>
        <w:drawing>
          <wp:anchor distT="0" distB="0" distL="114300" distR="114300" simplePos="0" relativeHeight="251658245" behindDoc="0" locked="0" layoutInCell="1" allowOverlap="1" wp14:anchorId="2DDCB177" wp14:editId="0690EB4A">
            <wp:simplePos x="0" y="0"/>
            <wp:positionH relativeFrom="column">
              <wp:posOffset>5326380</wp:posOffset>
            </wp:positionH>
            <wp:positionV relativeFrom="page">
              <wp:posOffset>560070</wp:posOffset>
            </wp:positionV>
            <wp:extent cx="191770" cy="191770"/>
            <wp:effectExtent l="0" t="0" r="0" b="0"/>
            <wp:wrapSquare wrapText="bothSides"/>
            <wp:docPr id="9" name="Picture 9" descr="Linked in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 in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E3454F">
        <w:rPr>
          <w:rFonts w:ascii="Gotham" w:eastAsia="MS Mincho" w:hAnsi="Gotham" w:cs="Arial"/>
          <w:b/>
          <w:bCs/>
          <w:noProof/>
          <w:spacing w:val="8"/>
          <w:sz w:val="20"/>
          <w:szCs w:val="20"/>
          <w:lang w:eastAsia="en-AU"/>
        </w:rPr>
        <w:drawing>
          <wp:anchor distT="0" distB="0" distL="114300" distR="114300" simplePos="0" relativeHeight="251658242" behindDoc="0" locked="0" layoutInCell="1" allowOverlap="1" wp14:anchorId="009F2D2F" wp14:editId="7595197F">
            <wp:simplePos x="0" y="0"/>
            <wp:positionH relativeFrom="column">
              <wp:posOffset>5546725</wp:posOffset>
            </wp:positionH>
            <wp:positionV relativeFrom="page">
              <wp:posOffset>560070</wp:posOffset>
            </wp:positionV>
            <wp:extent cx="191770" cy="191770"/>
            <wp:effectExtent l="0" t="0" r="0" b="0"/>
            <wp:wrapSquare wrapText="bothSides"/>
            <wp:docPr id="10" name="Picture 10" descr="Instagram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stagram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E3454F">
        <w:rPr>
          <w:rFonts w:ascii="Gotham" w:eastAsia="MS Mincho" w:hAnsi="Gotham" w:cs="Arial"/>
          <w:b/>
          <w:bCs/>
          <w:noProof/>
          <w:spacing w:val="8"/>
          <w:sz w:val="20"/>
          <w:szCs w:val="20"/>
          <w:lang w:eastAsia="en-AU"/>
        </w:rPr>
        <w:drawing>
          <wp:anchor distT="0" distB="0" distL="114300" distR="114300" simplePos="0" relativeHeight="251658241" behindDoc="0" locked="0" layoutInCell="1" allowOverlap="1" wp14:anchorId="74000A88" wp14:editId="40A0F047">
            <wp:simplePos x="0" y="0"/>
            <wp:positionH relativeFrom="column">
              <wp:posOffset>4445</wp:posOffset>
            </wp:positionH>
            <wp:positionV relativeFrom="page">
              <wp:posOffset>421005</wp:posOffset>
            </wp:positionV>
            <wp:extent cx="2035810" cy="880110"/>
            <wp:effectExtent l="0" t="0" r="2540" b="0"/>
            <wp:wrapSquare wrapText="bothSides"/>
            <wp:docPr id="16" name="Picture 16" descr="ACCA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CAN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581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454F">
        <w:rPr>
          <w:rFonts w:ascii="Gotham" w:eastAsia="MS Mincho" w:hAnsi="Gotham" w:cs="Arial"/>
          <w:b/>
          <w:bCs/>
          <w:spacing w:val="8"/>
          <w:sz w:val="20"/>
          <w:szCs w:val="20"/>
          <w:lang w:eastAsia="en-AU"/>
        </w:rPr>
        <w:t>www.accan.org.au</w:t>
      </w:r>
    </w:p>
    <w:p w14:paraId="003C96B4" w14:textId="77777777" w:rsidR="00E3454F" w:rsidRPr="00E3454F" w:rsidRDefault="00E3454F" w:rsidP="00E3454F">
      <w:pPr>
        <w:tabs>
          <w:tab w:val="left" w:pos="3855"/>
          <w:tab w:val="center" w:pos="4513"/>
          <w:tab w:val="right" w:pos="9026"/>
        </w:tabs>
        <w:spacing w:after="0" w:line="276" w:lineRule="auto"/>
        <w:jc w:val="right"/>
        <w:rPr>
          <w:rFonts w:ascii="Gotham" w:eastAsia="MS Mincho" w:hAnsi="Gotham" w:cs="Arial"/>
          <w:b/>
          <w:bCs/>
          <w:spacing w:val="8"/>
          <w:sz w:val="20"/>
          <w:szCs w:val="20"/>
          <w:lang w:eastAsia="en-AU"/>
        </w:rPr>
      </w:pPr>
      <w:r w:rsidRPr="00E3454F">
        <w:rPr>
          <w:rFonts w:ascii="Gotham" w:eastAsia="MS Mincho" w:hAnsi="Gotham" w:cs="Arial"/>
          <w:b/>
          <w:bCs/>
          <w:spacing w:val="8"/>
          <w:sz w:val="20"/>
          <w:szCs w:val="20"/>
          <w:lang w:eastAsia="en-AU"/>
        </w:rPr>
        <w:t>info@accan.org.au</w:t>
      </w:r>
    </w:p>
    <w:p w14:paraId="2F6E325C" w14:textId="77777777" w:rsidR="00E3454F" w:rsidRPr="00E3454F" w:rsidRDefault="00E3454F" w:rsidP="00E3454F">
      <w:pPr>
        <w:tabs>
          <w:tab w:val="left" w:pos="3855"/>
          <w:tab w:val="center" w:pos="4513"/>
          <w:tab w:val="right" w:pos="9026"/>
        </w:tabs>
        <w:spacing w:after="0" w:line="276" w:lineRule="auto"/>
        <w:jc w:val="right"/>
        <w:rPr>
          <w:rFonts w:ascii="Gotham" w:eastAsia="MS Mincho" w:hAnsi="Gotham" w:cs="Arial"/>
          <w:b/>
          <w:bCs/>
          <w:spacing w:val="8"/>
          <w:sz w:val="20"/>
          <w:szCs w:val="20"/>
          <w:lang w:eastAsia="en-AU"/>
        </w:rPr>
      </w:pPr>
      <w:r w:rsidRPr="00E3454F">
        <w:rPr>
          <w:rFonts w:ascii="Gotham" w:eastAsia="MS Mincho" w:hAnsi="Gotham" w:cs="Arial"/>
          <w:b/>
          <w:bCs/>
          <w:spacing w:val="8"/>
          <w:sz w:val="20"/>
          <w:szCs w:val="20"/>
          <w:lang w:eastAsia="en-AU"/>
        </w:rPr>
        <w:t>02 9288 4000</w:t>
      </w:r>
    </w:p>
    <w:p w14:paraId="318ECB64" w14:textId="77777777" w:rsidR="00E3454F" w:rsidRPr="00E3454F" w:rsidRDefault="00E3454F" w:rsidP="00E3454F">
      <w:pPr>
        <w:tabs>
          <w:tab w:val="left" w:pos="3855"/>
        </w:tabs>
        <w:spacing w:after="200" w:line="276" w:lineRule="auto"/>
        <w:rPr>
          <w:rFonts w:ascii="Gotham" w:eastAsia="MS Mincho" w:hAnsi="Gotham" w:cs="Arial"/>
          <w:b/>
          <w:bCs/>
          <w:lang w:val="en-US" w:eastAsia="en-AU"/>
        </w:rPr>
      </w:pPr>
      <w:r w:rsidRPr="00E3454F">
        <w:rPr>
          <w:rFonts w:ascii="Calibri" w:eastAsia="MS Mincho" w:hAnsi="Calibri" w:cs="Arial"/>
          <w:noProof/>
          <w:lang w:eastAsia="en-AU"/>
        </w:rPr>
        <mc:AlternateContent>
          <mc:Choice Requires="wps">
            <w:drawing>
              <wp:anchor distT="0" distB="0" distL="114300" distR="114300" simplePos="0" relativeHeight="251658240" behindDoc="1" locked="0" layoutInCell="1" allowOverlap="1" wp14:anchorId="792EAAC8" wp14:editId="0E5AB671">
                <wp:simplePos x="0" y="0"/>
                <wp:positionH relativeFrom="column">
                  <wp:posOffset>-627380</wp:posOffset>
                </wp:positionH>
                <wp:positionV relativeFrom="page">
                  <wp:posOffset>1675572</wp:posOffset>
                </wp:positionV>
                <wp:extent cx="6892290" cy="45085"/>
                <wp:effectExtent l="0" t="0" r="3810" b="0"/>
                <wp:wrapNone/>
                <wp:docPr id="4379" name="Rectangle 4379"/>
                <wp:cNvGraphicFramePr/>
                <a:graphic xmlns:a="http://schemas.openxmlformats.org/drawingml/2006/main">
                  <a:graphicData uri="http://schemas.microsoft.com/office/word/2010/wordprocessingShape">
                    <wps:wsp>
                      <wps:cNvSpPr/>
                      <wps:spPr>
                        <a:xfrm>
                          <a:off x="0" y="0"/>
                          <a:ext cx="6892290" cy="45085"/>
                        </a:xfrm>
                        <a:prstGeom prst="rect">
                          <a:avLst/>
                        </a:prstGeom>
                        <a:solidFill>
                          <a:srgbClr val="43C7F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8E29D5" id="Rectangle 4379" o:spid="_x0000_s1026" style="position:absolute;margin-left:-49.4pt;margin-top:131.95pt;width:542.7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gdRQIAAIoEAAAOAAAAZHJzL2Uyb0RvYy54bWysVFFv2jAQfp+0/2D5fQ2w0AJqqBAV0yTU&#10;VmqnPhvHJpEcn3c2BPbrd3ZSoN2epr2YO9/lu/N333F7d2gM2yv0NdiCD68GnCkroazttuA/XlZf&#10;Jpz5IGwpDFhV8KPy/G7++dNt62ZqBBWYUiEjEOtnrSt4FYKbZZmXlWqEvwKnLAU1YCMCubjNShQt&#10;oTcmGw0G11kLWDoEqbyn2/suyOcJX2slw6PWXgVmCk69hXRiOjfxzOa3YrZF4apa9m2If+iiEbWl&#10;oieoexEE22H9B1RTSwQPOlxJaDLQupYqvYFeMxx8eM1zJZxKbyFyvDvR5P8frHzYP7snJBpa52ee&#10;zPiKg8Ym/lJ/7JDIOp7IUofAJF1eT6aj0ZQ4lRTLx4PJOJKZnT926MM3BQ2LRsGRZpEoEvu1D13q&#10;W0qs5cHU5ao2Jjm43SwNsr2gueVflzervEd/l2Ysaws+GueD2Icg/WgjApmNKwvu7ZYzYbYkTBkw&#10;1bYQK6Shx9r3wlddjQTblzA2tqCSevpWz+REawPl8QkZQicn7+SqJrS18OFJIOmHuqGdCI90aAPU&#10;IvQWZxXgr7/dx3waK0U5a0mP1P7PnUDFmfluaeDTYZ5HAScnH9+MyMHLyOYyYnfNEoi6IW2fk8mM&#10;+cG8mRqheaXVWcSqFBJWUu2OqN5Zhm5PaPmkWixSGonWibC2z05G8MhT5PHl8CrQ9YMOpJAHeNOu&#10;mH2Yd5cbv7Sw2AXQdRLDmVcSUXRI8ElO/XLGjbr0U9b5L2T+GwAA//8DAFBLAwQUAAYACAAAACEA&#10;25pn3eEAAAALAQAADwAAAGRycy9kb3ducmV2LnhtbEyPwWrDMBBE74X+g9hCLyWRk4Jqu5ZDKIRS&#10;AoGkufS2thTZRFoZS0ncv696ao87O8y8qVaTs+yqx9B7krCYZ8A0tV71ZCQcPzezHFiISAqtJy3h&#10;WwdY1fd3FZbK32ivr4doWAqhUKKELsah5Dy0nXYY5n7QlH4nPzqM6RwNVyPeUrizfJllgjvsKTV0&#10;OOi3Trfnw8VJ+NisdyJgYbbWmuMXvu+o2T5J+fgwrV+BRT3FPzP84id0qBNT4y+kArMSZkWe0KOE&#10;pXgugCVHkQsBrEnKyyIDXlf8/4b6BwAA//8DAFBLAQItABQABgAIAAAAIQC2gziS/gAAAOEBAAAT&#10;AAAAAAAAAAAAAAAAAAAAAABbQ29udGVudF9UeXBlc10ueG1sUEsBAi0AFAAGAAgAAAAhADj9If/W&#10;AAAAlAEAAAsAAAAAAAAAAAAAAAAALwEAAF9yZWxzLy5yZWxzUEsBAi0AFAAGAAgAAAAhANh3OB1F&#10;AgAAigQAAA4AAAAAAAAAAAAAAAAALgIAAGRycy9lMm9Eb2MueG1sUEsBAi0AFAAGAAgAAAAhANua&#10;Z93hAAAACwEAAA8AAAAAAAAAAAAAAAAAnwQAAGRycy9kb3ducmV2LnhtbFBLBQYAAAAABAAEAPMA&#10;AACtBQAAAAA=&#10;" fillcolor="#43c7f4" stroked="f" strokeweight="2pt">
                <w10:wrap anchory="page"/>
              </v:rect>
            </w:pict>
          </mc:Fallback>
        </mc:AlternateContent>
      </w:r>
    </w:p>
    <w:p w14:paraId="4E1D86A1" w14:textId="77777777" w:rsidR="00E3454F" w:rsidRPr="00E3454F" w:rsidRDefault="00E3454F" w:rsidP="00E3454F">
      <w:pPr>
        <w:tabs>
          <w:tab w:val="right" w:pos="8931"/>
        </w:tabs>
        <w:spacing w:after="200" w:line="276" w:lineRule="auto"/>
        <w:rPr>
          <w:rFonts w:ascii="Gotham Black" w:eastAsia="MS Mincho" w:hAnsi="Gotham Black" w:cs="Arial"/>
          <w:color w:val="43C7F4"/>
          <w:sz w:val="36"/>
          <w:szCs w:val="36"/>
          <w:lang w:eastAsia="en-AU"/>
        </w:rPr>
      </w:pPr>
    </w:p>
    <w:p w14:paraId="5DC2BD61" w14:textId="77777777" w:rsidR="00E3454F" w:rsidRPr="00E3454F" w:rsidRDefault="00E3454F" w:rsidP="00E3454F">
      <w:pPr>
        <w:tabs>
          <w:tab w:val="right" w:pos="9026"/>
        </w:tabs>
        <w:spacing w:after="200" w:line="276" w:lineRule="auto"/>
        <w:rPr>
          <w:rFonts w:ascii="Gotham" w:eastAsia="MS Mincho" w:hAnsi="Gotham" w:cs="Arial"/>
          <w:b/>
          <w:bCs/>
          <w:lang w:eastAsia="en-AU"/>
        </w:rPr>
      </w:pPr>
      <w:r w:rsidRPr="00E3454F">
        <w:rPr>
          <w:rFonts w:ascii="Gotham Black" w:eastAsia="MS Mincho" w:hAnsi="Gotham Black" w:cs="Arial"/>
          <w:color w:val="43C7F4"/>
          <w:sz w:val="36"/>
          <w:szCs w:val="36"/>
          <w:lang w:eastAsia="en-AU"/>
        </w:rPr>
        <w:t>Submission</w:t>
      </w:r>
      <w:r w:rsidRPr="00E3454F">
        <w:rPr>
          <w:rFonts w:ascii="Gotham Black" w:eastAsia="MS Mincho" w:hAnsi="Gotham Black" w:cs="Arial"/>
          <w:color w:val="44C7F4"/>
          <w:sz w:val="36"/>
          <w:szCs w:val="36"/>
          <w:lang w:eastAsia="en-AU"/>
        </w:rPr>
        <w:tab/>
      </w:r>
      <w:bookmarkEnd w:id="0"/>
      <w:r w:rsidRPr="00E3454F">
        <w:rPr>
          <w:rFonts w:ascii="Gotham" w:eastAsia="MS Mincho" w:hAnsi="Gotham" w:cs="Arial"/>
          <w:b/>
          <w:bCs/>
          <w:lang w:eastAsia="en-AU"/>
        </w:rPr>
        <w:t>21 June 2022</w:t>
      </w:r>
    </w:p>
    <w:p w14:paraId="6FE6F61A" w14:textId="77777777" w:rsidR="00E3454F" w:rsidRPr="00E3454F" w:rsidRDefault="00E3454F" w:rsidP="00E3454F">
      <w:pPr>
        <w:spacing w:after="200" w:line="276" w:lineRule="auto"/>
        <w:outlineLvl w:val="0"/>
        <w:rPr>
          <w:rFonts w:ascii="Calibri" w:eastAsia="MS Mincho" w:hAnsi="Calibri" w:cs="Calibri"/>
          <w:sz w:val="32"/>
          <w:szCs w:val="32"/>
          <w:lang w:eastAsia="en-AU"/>
        </w:rPr>
      </w:pPr>
      <w:bookmarkStart w:id="1" w:name="_Toc99448590"/>
      <w:r w:rsidRPr="00E3454F">
        <w:rPr>
          <w:rFonts w:ascii="Calibri" w:eastAsia="MS Mincho" w:hAnsi="Calibri" w:cs="Calibri"/>
          <w:sz w:val="32"/>
          <w:szCs w:val="32"/>
          <w:lang w:eastAsia="en-AU"/>
        </w:rPr>
        <w:t>Telstra TPGT MOCN Authorisation request</w:t>
      </w:r>
      <w:bookmarkEnd w:id="1"/>
    </w:p>
    <w:p w14:paraId="388907B8" w14:textId="284BB723" w:rsidR="685EC864" w:rsidRDefault="00396944" w:rsidP="685EC864">
      <w:pPr>
        <w:spacing w:after="200" w:line="276" w:lineRule="auto"/>
        <w:outlineLvl w:val="0"/>
        <w:rPr>
          <w:rFonts w:ascii="Calibri" w:eastAsia="MS Mincho" w:hAnsi="Calibri" w:cs="Calibri"/>
          <w:lang w:eastAsia="en-AU"/>
        </w:rPr>
      </w:pPr>
      <w:hyperlink r:id="rId21" w:history="1">
        <w:r w:rsidR="00BD4D28" w:rsidRPr="000C6ECC">
          <w:rPr>
            <w:rStyle w:val="Hyperlink"/>
            <w:rFonts w:ascii="Calibri" w:eastAsia="MS Mincho" w:hAnsi="Calibri" w:cs="Calibri"/>
            <w:lang w:eastAsia="en-AU"/>
          </w:rPr>
          <w:t>mergerauthorisations@accc.gov.au</w:t>
        </w:r>
      </w:hyperlink>
    </w:p>
    <w:p w14:paraId="0A7C2E39" w14:textId="49B60518" w:rsidR="00E3454F" w:rsidRPr="00E3454F" w:rsidRDefault="00E3454F" w:rsidP="00E3454F">
      <w:pPr>
        <w:spacing w:after="200" w:line="276" w:lineRule="auto"/>
        <w:rPr>
          <w:rFonts w:ascii="Calibri" w:eastAsia="MS Mincho" w:hAnsi="Calibri" w:cs="Arial"/>
          <w:lang w:eastAsia="en-AU"/>
        </w:rPr>
      </w:pPr>
      <w:r w:rsidRPr="00E3454F">
        <w:rPr>
          <w:rFonts w:ascii="Calibri" w:eastAsia="MS Mincho" w:hAnsi="Calibri" w:cs="Arial"/>
          <w:lang w:eastAsia="en-AU"/>
        </w:rPr>
        <w:t>ACCAN thanks the ACCC for the opportunity to comment on the proposed mobile infrastructure and spectrum sharing agreement between Telstra and TPGT</w:t>
      </w:r>
      <w:r w:rsidR="002378A2">
        <w:rPr>
          <w:rFonts w:ascii="Calibri" w:eastAsia="MS Mincho" w:hAnsi="Calibri" w:cs="Arial"/>
          <w:lang w:eastAsia="en-AU"/>
        </w:rPr>
        <w:t xml:space="preserve"> – the Multi-Operator Core Network (MOCN) agreement</w:t>
      </w:r>
      <w:r w:rsidRPr="00E3454F">
        <w:rPr>
          <w:rFonts w:ascii="Calibri" w:eastAsia="MS Mincho" w:hAnsi="Calibri" w:cs="Arial"/>
          <w:lang w:eastAsia="en-AU"/>
        </w:rPr>
        <w:t xml:space="preserve">. As the peak consumer communications organisation in Australia, this is an important consultation for ACCAN and our members, as many are organisations and individuals based in rural, </w:t>
      </w:r>
      <w:proofErr w:type="gramStart"/>
      <w:r w:rsidRPr="00E3454F">
        <w:rPr>
          <w:rFonts w:ascii="Calibri" w:eastAsia="MS Mincho" w:hAnsi="Calibri" w:cs="Arial"/>
          <w:lang w:eastAsia="en-AU"/>
        </w:rPr>
        <w:t>regional</w:t>
      </w:r>
      <w:proofErr w:type="gramEnd"/>
      <w:r w:rsidRPr="00E3454F">
        <w:rPr>
          <w:rFonts w:ascii="Calibri" w:eastAsia="MS Mincho" w:hAnsi="Calibri" w:cs="Arial"/>
          <w:lang w:eastAsia="en-AU"/>
        </w:rPr>
        <w:t xml:space="preserve"> and remote Australia. </w:t>
      </w:r>
    </w:p>
    <w:p w14:paraId="5905EE0A" w14:textId="10B6CBEE" w:rsidR="00E3454F" w:rsidRPr="00214861" w:rsidRDefault="005757DE" w:rsidP="00EE6FC9">
      <w:pPr>
        <w:spacing w:after="200" w:line="276" w:lineRule="auto"/>
        <w:contextualSpacing/>
        <w:rPr>
          <w:rStyle w:val="Emphasis"/>
        </w:rPr>
      </w:pPr>
      <w:r w:rsidRPr="00214861">
        <w:rPr>
          <w:rStyle w:val="Emphasis"/>
        </w:rPr>
        <w:t>The i</w:t>
      </w:r>
      <w:r w:rsidR="00E3454F" w:rsidRPr="00214861">
        <w:rPr>
          <w:rStyle w:val="Emphasis"/>
        </w:rPr>
        <w:t xml:space="preserve">mportance of mobile services in regional Australia </w:t>
      </w:r>
    </w:p>
    <w:p w14:paraId="5E5DF1F2" w14:textId="65DFB653" w:rsidR="004E300E" w:rsidRDefault="00E3454F" w:rsidP="00487921">
      <w:pPr>
        <w:spacing w:after="200" w:line="276" w:lineRule="auto"/>
        <w:rPr>
          <w:rFonts w:eastAsia="Times New Roman" w:cstheme="minorHAnsi"/>
          <w:sz w:val="24"/>
          <w:szCs w:val="24"/>
          <w:lang w:eastAsia="en-AU"/>
        </w:rPr>
      </w:pPr>
      <w:r w:rsidRPr="00E3454F">
        <w:rPr>
          <w:rFonts w:ascii="Calibri" w:eastAsia="MS Mincho" w:hAnsi="Calibri" w:cs="Arial"/>
          <w:lang w:eastAsia="en-AU"/>
        </w:rPr>
        <w:t>Community expectations about access to mobile services have changed considerably, with access now regarded as a necessity by most consumers</w:t>
      </w:r>
      <w:r w:rsidRPr="00E3454F">
        <w:rPr>
          <w:rFonts w:ascii="Calibri" w:eastAsia="MS Mincho" w:hAnsi="Calibri" w:cs="Arial"/>
          <w:vertAlign w:val="superscript"/>
          <w:lang w:eastAsia="en-AU"/>
        </w:rPr>
        <w:footnoteReference w:id="2"/>
      </w:r>
      <w:r w:rsidRPr="00E3454F">
        <w:rPr>
          <w:rFonts w:ascii="Calibri" w:eastAsia="MS Mincho" w:hAnsi="Calibri" w:cs="Arial"/>
          <w:lang w:eastAsia="en-AU"/>
        </w:rPr>
        <w:t xml:space="preserve">. </w:t>
      </w:r>
      <w:r w:rsidR="002C3D01" w:rsidRPr="002C3D01">
        <w:rPr>
          <w:rFonts w:ascii="Calibri" w:eastAsia="MS Mincho" w:hAnsi="Calibri" w:cs="Arial"/>
          <w:lang w:eastAsia="en-AU"/>
        </w:rPr>
        <w:t>A recent survey of almost 1000 Australians showed that 84% of people considered mobile phone to be an essential - something that no one in Australia should have to go without today. This was the highest percentage amongst landline and home internet</w:t>
      </w:r>
      <w:r w:rsidR="002C3D01">
        <w:rPr>
          <w:rStyle w:val="FootnoteReference"/>
          <w:rFonts w:ascii="Calibri" w:eastAsia="MS Mincho" w:hAnsi="Calibri" w:cs="Arial"/>
          <w:lang w:eastAsia="en-AU"/>
        </w:rPr>
        <w:footnoteReference w:id="3"/>
      </w:r>
      <w:r w:rsidR="002C3D01" w:rsidRPr="002C3D01">
        <w:rPr>
          <w:rFonts w:ascii="Calibri" w:eastAsia="MS Mincho" w:hAnsi="Calibri" w:cs="Arial"/>
          <w:lang w:eastAsia="en-AU"/>
        </w:rPr>
        <w:t xml:space="preserve">. </w:t>
      </w:r>
      <w:r w:rsidRPr="00E3454F">
        <w:rPr>
          <w:rFonts w:ascii="Calibri" w:eastAsia="MS Mincho" w:hAnsi="Calibri" w:cs="Arial"/>
          <w:lang w:eastAsia="en-AU"/>
        </w:rPr>
        <w:t xml:space="preserve">These expectations have increased in regional and rural areas over the last decade as service performance has improved and the mobile footprint has expanded, due to private investment and public policy initiatives such as the Mobile Black Spot Program. </w:t>
      </w:r>
      <w:r w:rsidRPr="00E3454F">
        <w:rPr>
          <w:rFonts w:ascii="Calibri" w:eastAsia="MS Mincho" w:hAnsi="Calibri" w:cs="Calibri"/>
          <w:lang w:val="en-US" w:eastAsia="en-AU"/>
        </w:rPr>
        <w:t xml:space="preserve"> </w:t>
      </w:r>
      <w:r w:rsidR="00CA753E">
        <w:rPr>
          <w:rFonts w:ascii="Calibri" w:eastAsia="MS Mincho" w:hAnsi="Calibri" w:cs="Calibri"/>
          <w:lang w:val="en-US" w:eastAsia="en-AU"/>
        </w:rPr>
        <w:t xml:space="preserve">The utility and convenience of mobile connectivity is highly valued in regional areas, particularly given the limited alternative communications options in outer regional and more remote areas. </w:t>
      </w:r>
      <w:r w:rsidRPr="00E3454F">
        <w:rPr>
          <w:rFonts w:ascii="Calibri" w:eastAsia="Times New Roman" w:hAnsi="Calibri" w:cs="Calibri"/>
          <w:lang w:val="en-US" w:eastAsia="en-AU"/>
        </w:rPr>
        <w:t xml:space="preserve">A contributing factor to the high demand for mobile services is the increasing population in regional areas, with the Australian Bureau of Statistics reporting an overall growth of 70,900 in 2020-21 </w:t>
      </w:r>
      <w:r w:rsidR="004E300E">
        <w:rPr>
          <w:rFonts w:ascii="Calibri" w:eastAsia="Times New Roman" w:hAnsi="Calibri" w:cs="Calibri"/>
          <w:lang w:val="en-US" w:eastAsia="en-AU"/>
        </w:rPr>
        <w:t xml:space="preserve">partly due to migration from </w:t>
      </w:r>
      <w:r w:rsidRPr="00E3454F">
        <w:rPr>
          <w:rFonts w:ascii="Calibri" w:eastAsia="Times New Roman" w:hAnsi="Calibri" w:cs="Calibri"/>
          <w:lang w:val="en-US" w:eastAsia="en-AU"/>
        </w:rPr>
        <w:t xml:space="preserve">urban </w:t>
      </w:r>
      <w:proofErr w:type="spellStart"/>
      <w:r w:rsidRPr="00E3454F">
        <w:rPr>
          <w:rFonts w:ascii="Calibri" w:eastAsia="Times New Roman" w:hAnsi="Calibri" w:cs="Calibri"/>
          <w:lang w:val="en-US" w:eastAsia="en-AU"/>
        </w:rPr>
        <w:t>centres</w:t>
      </w:r>
      <w:proofErr w:type="spellEnd"/>
      <w:r w:rsidR="004E300E">
        <w:rPr>
          <w:rStyle w:val="FootnoteReference"/>
          <w:rFonts w:ascii="Calibri" w:eastAsia="Times New Roman" w:hAnsi="Calibri" w:cs="Calibri"/>
          <w:lang w:val="en-US" w:eastAsia="en-AU"/>
        </w:rPr>
        <w:footnoteReference w:id="4"/>
      </w:r>
      <w:r w:rsidRPr="00E3454F">
        <w:rPr>
          <w:rFonts w:ascii="Calibri" w:eastAsia="Times New Roman" w:hAnsi="Calibri" w:cs="Calibri"/>
          <w:lang w:val="en-US" w:eastAsia="en-AU"/>
        </w:rPr>
        <w:t>.  In this context</w:t>
      </w:r>
      <w:r w:rsidRPr="00E3454F">
        <w:rPr>
          <w:rFonts w:eastAsia="Times New Roman" w:cstheme="minorHAnsi"/>
          <w:lang w:val="en-US" w:eastAsia="en-AU"/>
        </w:rPr>
        <w:t xml:space="preserve">, </w:t>
      </w:r>
      <w:r w:rsidRPr="00E3454F">
        <w:rPr>
          <w:rFonts w:eastAsia="Times New Roman" w:cstheme="minorHAnsi"/>
          <w:lang w:eastAsia="en-AU"/>
        </w:rPr>
        <w:t>when services perform poorly, are patchy or non-existent, consumers are seriously inconvenienced and frustrated.  At times, the consequences can be life-threatening if there is no ability to call for help in emergencies and there are no readily available fixed services.</w:t>
      </w:r>
      <w:r w:rsidRPr="00E3454F">
        <w:rPr>
          <w:rFonts w:eastAsia="Times New Roman" w:cstheme="minorHAnsi"/>
          <w:sz w:val="24"/>
          <w:szCs w:val="24"/>
          <w:lang w:eastAsia="en-AU"/>
        </w:rPr>
        <w:t xml:space="preserve"> </w:t>
      </w:r>
    </w:p>
    <w:p w14:paraId="34AF756F" w14:textId="1B6FBA4F" w:rsidR="00EE6FC9" w:rsidRPr="00214861" w:rsidRDefault="00EE6FC9" w:rsidP="004E300E">
      <w:pPr>
        <w:tabs>
          <w:tab w:val="num" w:pos="1440"/>
        </w:tabs>
        <w:spacing w:after="0" w:line="276" w:lineRule="auto"/>
        <w:textAlignment w:val="baseline"/>
        <w:rPr>
          <w:rStyle w:val="Emphasis"/>
        </w:rPr>
      </w:pPr>
      <w:r w:rsidRPr="00214861">
        <w:rPr>
          <w:rStyle w:val="Emphasis"/>
        </w:rPr>
        <w:t>Rising complaints and negative consumer reports</w:t>
      </w:r>
    </w:p>
    <w:p w14:paraId="72830866" w14:textId="4FBA2F25" w:rsidR="002378A2" w:rsidRDefault="002378A2" w:rsidP="004E300E">
      <w:pPr>
        <w:tabs>
          <w:tab w:val="num" w:pos="1440"/>
        </w:tabs>
        <w:spacing w:after="0" w:line="276" w:lineRule="auto"/>
        <w:textAlignment w:val="baseline"/>
        <w:rPr>
          <w:rFonts w:eastAsia="Times New Roman" w:cstheme="minorHAnsi"/>
          <w:lang w:eastAsia="en-AU"/>
        </w:rPr>
      </w:pPr>
      <w:r>
        <w:rPr>
          <w:rFonts w:eastAsia="Times New Roman" w:cstheme="minorHAnsi"/>
          <w:lang w:eastAsia="en-AU"/>
        </w:rPr>
        <w:t xml:space="preserve">Despite investment in mobile coverage, </w:t>
      </w:r>
      <w:r w:rsidR="00A52788">
        <w:rPr>
          <w:rFonts w:eastAsia="Times New Roman" w:cstheme="minorHAnsi"/>
          <w:lang w:eastAsia="en-AU"/>
        </w:rPr>
        <w:t xml:space="preserve">unmet </w:t>
      </w:r>
      <w:r>
        <w:rPr>
          <w:rFonts w:eastAsia="Times New Roman" w:cstheme="minorHAnsi"/>
          <w:lang w:eastAsia="en-AU"/>
        </w:rPr>
        <w:t xml:space="preserve">demand for increased coverage and improvements in service quality are </w:t>
      </w:r>
      <w:r w:rsidR="00A52788">
        <w:rPr>
          <w:rFonts w:eastAsia="Times New Roman" w:cstheme="minorHAnsi"/>
          <w:lang w:eastAsia="en-AU"/>
        </w:rPr>
        <w:t>concerning</w:t>
      </w:r>
      <w:r>
        <w:rPr>
          <w:rFonts w:eastAsia="Times New Roman" w:cstheme="minorHAnsi"/>
          <w:lang w:eastAsia="en-AU"/>
        </w:rPr>
        <w:t xml:space="preserve">. Service deterioration has been reported in many regional areas with </w:t>
      </w:r>
      <w:proofErr w:type="gramStart"/>
      <w:r>
        <w:rPr>
          <w:rFonts w:eastAsia="Times New Roman" w:cstheme="minorHAnsi"/>
          <w:lang w:eastAsia="en-AU"/>
        </w:rPr>
        <w:t>a</w:t>
      </w:r>
      <w:proofErr w:type="gramEnd"/>
      <w:r>
        <w:rPr>
          <w:rFonts w:eastAsia="Times New Roman" w:cstheme="minorHAnsi"/>
          <w:lang w:eastAsia="en-AU"/>
        </w:rPr>
        <w:t xml:space="preserve"> NSW Farmers survey in 2021 finding that 60% of respondents reported a decline in mobile coverage and internet connectivity in the previous 12 months, and a 2021 survey by the National Farmers </w:t>
      </w:r>
      <w:r>
        <w:rPr>
          <w:rFonts w:eastAsia="Times New Roman" w:cstheme="minorHAnsi"/>
          <w:lang w:eastAsia="en-AU"/>
        </w:rPr>
        <w:lastRenderedPageBreak/>
        <w:t>Federation reporting that 49% of respondents observed that their mobile network coverage had declined in the previous year</w:t>
      </w:r>
      <w:r>
        <w:rPr>
          <w:rStyle w:val="FootnoteReference"/>
          <w:rFonts w:eastAsia="Times New Roman" w:cstheme="minorHAnsi"/>
          <w:lang w:eastAsia="en-AU"/>
        </w:rPr>
        <w:footnoteReference w:id="5"/>
      </w:r>
      <w:r>
        <w:rPr>
          <w:rFonts w:eastAsia="Times New Roman" w:cstheme="minorHAnsi"/>
          <w:lang w:eastAsia="en-AU"/>
        </w:rPr>
        <w:t xml:space="preserve">. </w:t>
      </w:r>
    </w:p>
    <w:p w14:paraId="1A5E2852" w14:textId="77777777" w:rsidR="002378A2" w:rsidRDefault="002378A2" w:rsidP="004E300E">
      <w:pPr>
        <w:tabs>
          <w:tab w:val="num" w:pos="1440"/>
        </w:tabs>
        <w:spacing w:after="0" w:line="276" w:lineRule="auto"/>
        <w:textAlignment w:val="baseline"/>
        <w:rPr>
          <w:rFonts w:eastAsia="Times New Roman" w:cstheme="minorHAnsi"/>
          <w:lang w:eastAsia="en-AU"/>
        </w:rPr>
      </w:pPr>
    </w:p>
    <w:p w14:paraId="194A95D0" w14:textId="0E8E92DA" w:rsidR="00E3454F" w:rsidRDefault="004E300E" w:rsidP="004E300E">
      <w:pPr>
        <w:tabs>
          <w:tab w:val="num" w:pos="1440"/>
        </w:tabs>
        <w:spacing w:after="0" w:line="276" w:lineRule="auto"/>
        <w:textAlignment w:val="baseline"/>
        <w:rPr>
          <w:rFonts w:ascii="Calibri" w:eastAsia="Times New Roman" w:hAnsi="Calibri" w:cs="Calibri"/>
          <w:lang w:val="en-US" w:eastAsia="en-AU"/>
        </w:rPr>
      </w:pPr>
      <w:r>
        <w:rPr>
          <w:rFonts w:eastAsia="Times New Roman" w:cstheme="minorHAnsi"/>
          <w:lang w:eastAsia="en-AU"/>
        </w:rPr>
        <w:t>I</w:t>
      </w:r>
      <w:r w:rsidR="00CA753E">
        <w:rPr>
          <w:rFonts w:eastAsia="Times New Roman" w:cstheme="minorHAnsi"/>
          <w:lang w:eastAsia="en-AU"/>
        </w:rPr>
        <w:t xml:space="preserve">n this context, </w:t>
      </w:r>
      <w:r>
        <w:rPr>
          <w:rFonts w:eastAsia="Times New Roman" w:cstheme="minorHAnsi"/>
          <w:lang w:eastAsia="en-AU"/>
        </w:rPr>
        <w:t xml:space="preserve">the TIO has reported higher complaint levels about </w:t>
      </w:r>
      <w:r w:rsidR="00E3454F" w:rsidRPr="00E3454F">
        <w:rPr>
          <w:rFonts w:ascii="Calibri" w:eastAsia="Times New Roman" w:hAnsi="Calibri" w:cs="Calibri"/>
          <w:lang w:val="en-US" w:eastAsia="en-AU"/>
        </w:rPr>
        <w:t>mobile services by regional consumers and small businesses since 2019, from 8,395 to 10,178</w:t>
      </w:r>
      <w:r w:rsidR="00E3454F" w:rsidRPr="00E3454F">
        <w:rPr>
          <w:rFonts w:ascii="Calibri" w:eastAsia="Times New Roman" w:hAnsi="Calibri" w:cs="Calibri"/>
          <w:vertAlign w:val="superscript"/>
          <w:lang w:val="en-US" w:eastAsia="en-AU"/>
        </w:rPr>
        <w:footnoteReference w:id="6"/>
      </w:r>
      <w:r>
        <w:rPr>
          <w:rFonts w:ascii="Calibri" w:eastAsia="Times New Roman" w:hAnsi="Calibri" w:cs="Calibri"/>
          <w:lang w:val="en-US" w:eastAsia="en-AU"/>
        </w:rPr>
        <w:t xml:space="preserve"> in 2021, with </w:t>
      </w:r>
      <w:r w:rsidR="00E3454F" w:rsidRPr="00E3454F">
        <w:rPr>
          <w:rFonts w:ascii="Calibri" w:eastAsia="Times New Roman" w:hAnsi="Calibri" w:cs="Calibri"/>
          <w:lang w:val="en-US" w:eastAsia="en-AU"/>
        </w:rPr>
        <w:t xml:space="preserve">mobile coverage </w:t>
      </w:r>
      <w:r>
        <w:rPr>
          <w:rFonts w:ascii="Calibri" w:eastAsia="Times New Roman" w:hAnsi="Calibri" w:cs="Calibri"/>
          <w:lang w:val="en-US" w:eastAsia="en-AU"/>
        </w:rPr>
        <w:t xml:space="preserve">issues </w:t>
      </w:r>
      <w:r w:rsidR="00E3454F" w:rsidRPr="00E3454F">
        <w:rPr>
          <w:rFonts w:ascii="Calibri" w:eastAsia="Times New Roman" w:hAnsi="Calibri" w:cs="Calibri"/>
          <w:lang w:val="en-US" w:eastAsia="en-AU"/>
        </w:rPr>
        <w:t xml:space="preserve">and blackspots </w:t>
      </w:r>
      <w:r>
        <w:rPr>
          <w:rFonts w:ascii="Calibri" w:eastAsia="Times New Roman" w:hAnsi="Calibri" w:cs="Calibri"/>
          <w:lang w:val="en-US" w:eastAsia="en-AU"/>
        </w:rPr>
        <w:t xml:space="preserve">identified as </w:t>
      </w:r>
      <w:r w:rsidR="00E3454F" w:rsidRPr="00E3454F">
        <w:rPr>
          <w:rFonts w:ascii="Calibri" w:eastAsia="Times New Roman" w:hAnsi="Calibri" w:cs="Calibri"/>
          <w:lang w:val="en-US" w:eastAsia="en-AU"/>
        </w:rPr>
        <w:t>ongoing concerns, as well as</w:t>
      </w:r>
      <w:r w:rsidR="00CA753E">
        <w:rPr>
          <w:rFonts w:ascii="Calibri" w:eastAsia="Times New Roman" w:hAnsi="Calibri" w:cs="Calibri"/>
          <w:lang w:val="en-US" w:eastAsia="en-AU"/>
        </w:rPr>
        <w:t xml:space="preserve"> inaccurate information about coverage. </w:t>
      </w:r>
      <w:r w:rsidR="00E3454F" w:rsidRPr="00E3454F">
        <w:rPr>
          <w:rFonts w:ascii="Calibri" w:eastAsia="Times New Roman" w:hAnsi="Calibri" w:cs="Calibri"/>
          <w:lang w:val="en-US" w:eastAsia="en-AU"/>
        </w:rPr>
        <w:t xml:space="preserve"> </w:t>
      </w:r>
      <w:r>
        <w:rPr>
          <w:rFonts w:ascii="Calibri" w:eastAsia="Times New Roman" w:hAnsi="Calibri" w:cs="Calibri"/>
          <w:lang w:val="en-US" w:eastAsia="en-AU"/>
        </w:rPr>
        <w:t>ACMA telco complaints data also shows that mobile services have been the most complained about service category since 2018-19</w:t>
      </w:r>
      <w:r w:rsidR="00A52788">
        <w:rPr>
          <w:rFonts w:ascii="Calibri" w:eastAsia="Times New Roman" w:hAnsi="Calibri" w:cs="Calibri"/>
          <w:lang w:val="en-US" w:eastAsia="en-AU"/>
        </w:rPr>
        <w:t>.</w:t>
      </w:r>
      <w:r w:rsidR="00E3454F" w:rsidRPr="00E3454F">
        <w:rPr>
          <w:rFonts w:ascii="Calibri" w:eastAsia="Times New Roman" w:hAnsi="Calibri" w:cs="Calibri"/>
          <w:lang w:val="en-US" w:eastAsia="en-AU"/>
        </w:rPr>
        <w:t xml:space="preserve"> </w:t>
      </w:r>
      <w:r w:rsidR="00EE6FC9">
        <w:rPr>
          <w:rFonts w:ascii="Calibri" w:eastAsia="Times New Roman" w:hAnsi="Calibri" w:cs="Calibri"/>
          <w:lang w:val="en-US" w:eastAsia="en-AU"/>
        </w:rPr>
        <w:t xml:space="preserve">Should </w:t>
      </w:r>
      <w:r w:rsidR="00D16EC1">
        <w:rPr>
          <w:rFonts w:ascii="Calibri" w:eastAsia="Times New Roman" w:hAnsi="Calibri" w:cs="Calibri"/>
          <w:lang w:val="en-US" w:eastAsia="en-AU"/>
        </w:rPr>
        <w:t xml:space="preserve">the MOCN agreement </w:t>
      </w:r>
      <w:r w:rsidR="00EE6FC9">
        <w:rPr>
          <w:rFonts w:ascii="Calibri" w:eastAsia="Times New Roman" w:hAnsi="Calibri" w:cs="Calibri"/>
          <w:lang w:val="en-US" w:eastAsia="en-AU"/>
        </w:rPr>
        <w:t xml:space="preserve">proceed, ACCAN </w:t>
      </w:r>
      <w:r w:rsidR="00D16EC1">
        <w:rPr>
          <w:rFonts w:ascii="Calibri" w:eastAsia="Times New Roman" w:hAnsi="Calibri" w:cs="Calibri"/>
          <w:lang w:val="en-US" w:eastAsia="en-AU"/>
        </w:rPr>
        <w:t xml:space="preserve">would be keen to see a reduction in </w:t>
      </w:r>
      <w:r w:rsidR="00EE6FC9">
        <w:rPr>
          <w:rFonts w:ascii="Calibri" w:eastAsia="Times New Roman" w:hAnsi="Calibri" w:cs="Calibri"/>
          <w:lang w:val="en-US" w:eastAsia="en-AU"/>
        </w:rPr>
        <w:t>some of t</w:t>
      </w:r>
      <w:r w:rsidR="00D16EC1">
        <w:rPr>
          <w:rFonts w:ascii="Calibri" w:eastAsia="Times New Roman" w:hAnsi="Calibri" w:cs="Calibri"/>
          <w:lang w:val="en-US" w:eastAsia="en-AU"/>
        </w:rPr>
        <w:t xml:space="preserve">hese concerns and more satisfactory end user experiences. </w:t>
      </w:r>
    </w:p>
    <w:p w14:paraId="4D683E47" w14:textId="3329F7B8" w:rsidR="000D6905" w:rsidRDefault="000D6905" w:rsidP="004E300E">
      <w:pPr>
        <w:tabs>
          <w:tab w:val="num" w:pos="1440"/>
        </w:tabs>
        <w:spacing w:after="0" w:line="276" w:lineRule="auto"/>
        <w:textAlignment w:val="baseline"/>
        <w:rPr>
          <w:rFonts w:ascii="Calibri" w:eastAsia="Times New Roman" w:hAnsi="Calibri" w:cs="Calibri"/>
          <w:lang w:val="en-US" w:eastAsia="en-AU"/>
        </w:rPr>
      </w:pPr>
    </w:p>
    <w:p w14:paraId="16802BB6" w14:textId="023D3303" w:rsidR="005757DE" w:rsidRDefault="000D6905" w:rsidP="00A30EC3">
      <w:pPr>
        <w:tabs>
          <w:tab w:val="num" w:pos="1440"/>
        </w:tabs>
        <w:spacing w:after="0" w:line="276" w:lineRule="auto"/>
        <w:textAlignment w:val="baseline"/>
        <w:rPr>
          <w:rFonts w:ascii="Calibri" w:eastAsia="Times New Roman" w:hAnsi="Calibri" w:cs="Calibri"/>
          <w:lang w:eastAsia="en-AU"/>
        </w:rPr>
      </w:pPr>
      <w:r>
        <w:rPr>
          <w:rFonts w:ascii="Calibri" w:eastAsia="Times New Roman" w:hAnsi="Calibri" w:cs="Calibri"/>
          <w:lang w:val="en-US" w:eastAsia="en-AU"/>
        </w:rPr>
        <w:t xml:space="preserve">ACCAN’s comments address the following consultation questions </w:t>
      </w:r>
      <w:r w:rsidR="005757DE">
        <w:rPr>
          <w:rFonts w:ascii="Calibri" w:eastAsia="Times New Roman" w:hAnsi="Calibri" w:cs="Calibri"/>
          <w:lang w:val="en-US" w:eastAsia="en-AU"/>
        </w:rPr>
        <w:t xml:space="preserve">(in bold) </w:t>
      </w:r>
      <w:r>
        <w:rPr>
          <w:rFonts w:ascii="Calibri" w:eastAsia="Times New Roman" w:hAnsi="Calibri" w:cs="Calibri"/>
          <w:lang w:val="en-US" w:eastAsia="en-AU"/>
        </w:rPr>
        <w:t>identified by the ACCC</w:t>
      </w:r>
      <w:r w:rsidR="005757DE">
        <w:rPr>
          <w:rFonts w:ascii="Calibri" w:eastAsia="Times New Roman" w:hAnsi="Calibri" w:cs="Calibri"/>
          <w:lang w:val="en-US" w:eastAsia="en-AU"/>
        </w:rPr>
        <w:t>.</w:t>
      </w:r>
    </w:p>
    <w:p w14:paraId="00DA9AB0" w14:textId="77777777" w:rsidR="00A30EC3" w:rsidRPr="00A30EC3" w:rsidRDefault="00A30EC3" w:rsidP="00A30EC3">
      <w:pPr>
        <w:tabs>
          <w:tab w:val="num" w:pos="1440"/>
        </w:tabs>
        <w:spacing w:after="0" w:line="276" w:lineRule="auto"/>
        <w:textAlignment w:val="baseline"/>
        <w:rPr>
          <w:rFonts w:ascii="Calibri" w:eastAsia="Times New Roman" w:hAnsi="Calibri" w:cs="Calibri"/>
          <w:lang w:eastAsia="en-AU"/>
        </w:rPr>
      </w:pPr>
    </w:p>
    <w:p w14:paraId="11425292" w14:textId="45ACF001" w:rsidR="00E3454F" w:rsidRPr="00E3454F" w:rsidRDefault="00E3454F" w:rsidP="00E3454F">
      <w:pPr>
        <w:spacing w:after="200" w:line="276" w:lineRule="auto"/>
        <w:rPr>
          <w:rFonts w:ascii="Calibri" w:eastAsia="MS Mincho" w:hAnsi="Calibri" w:cs="Arial"/>
          <w:b/>
          <w:bCs/>
          <w:lang w:eastAsia="en-AU"/>
        </w:rPr>
      </w:pPr>
      <w:proofErr w:type="gramStart"/>
      <w:r w:rsidRPr="00E3454F">
        <w:rPr>
          <w:rFonts w:ascii="Calibri" w:eastAsia="MS Mincho" w:hAnsi="Calibri" w:cs="Calibri"/>
          <w:b/>
          <w:bCs/>
          <w:i/>
          <w:iCs/>
          <w:color w:val="000000"/>
          <w:shd w:val="clear" w:color="auto" w:fill="FFFFFF"/>
          <w:lang w:eastAsia="en-AU"/>
        </w:rPr>
        <w:t>How</w:t>
      </w:r>
      <w:proofErr w:type="gramEnd"/>
      <w:r w:rsidRPr="00E3454F">
        <w:rPr>
          <w:rFonts w:ascii="Calibri" w:eastAsia="MS Mincho" w:hAnsi="Calibri" w:cs="Calibri"/>
          <w:b/>
          <w:bCs/>
          <w:i/>
          <w:iCs/>
          <w:color w:val="000000"/>
          <w:shd w:val="clear" w:color="auto" w:fill="FFFFFF"/>
          <w:lang w:eastAsia="en-AU"/>
        </w:rPr>
        <w:t xml:space="preserve"> mobile service providers currently compete, including whether they seek to differentiate on price, network coverage and quality, product and service offerings and inclusions, and whether the MOCN arrangement will impact this competition;</w:t>
      </w:r>
      <w:r w:rsidRPr="00E3454F">
        <w:rPr>
          <w:rFonts w:ascii="Calibri" w:eastAsia="MS Mincho" w:hAnsi="Calibri" w:cs="Calibri"/>
          <w:b/>
          <w:bCs/>
          <w:color w:val="000000"/>
          <w:shd w:val="clear" w:color="auto" w:fill="FFFFFF"/>
          <w:lang w:eastAsia="en-AU"/>
        </w:rPr>
        <w:t> </w:t>
      </w:r>
    </w:p>
    <w:p w14:paraId="4ADFF8A4" w14:textId="5B2D01E7" w:rsidR="00E3454F" w:rsidRDefault="00E3454F" w:rsidP="007A074E">
      <w:pPr>
        <w:spacing w:after="0" w:line="276" w:lineRule="auto"/>
        <w:textAlignment w:val="baseline"/>
        <w:rPr>
          <w:rFonts w:ascii="Calibri" w:eastAsia="Times New Roman" w:hAnsi="Calibri" w:cs="Calibri"/>
          <w:lang w:val="en-US" w:eastAsia="en-AU"/>
        </w:rPr>
      </w:pPr>
      <w:r w:rsidRPr="00E3454F">
        <w:rPr>
          <w:rFonts w:ascii="Calibri" w:eastAsia="Times New Roman" w:hAnsi="Calibri" w:cs="Calibri"/>
          <w:lang w:val="en-US" w:eastAsia="en-AU"/>
        </w:rPr>
        <w:t>For people who work</w:t>
      </w:r>
      <w:r w:rsidR="004E300E">
        <w:rPr>
          <w:rFonts w:ascii="Calibri" w:eastAsia="Times New Roman" w:hAnsi="Calibri" w:cs="Calibri"/>
          <w:lang w:val="en-US" w:eastAsia="en-AU"/>
        </w:rPr>
        <w:t xml:space="preserve"> and </w:t>
      </w:r>
      <w:r w:rsidRPr="00E3454F">
        <w:rPr>
          <w:rFonts w:ascii="Calibri" w:eastAsia="Times New Roman" w:hAnsi="Calibri" w:cs="Calibri"/>
          <w:lang w:val="en-US" w:eastAsia="en-AU"/>
        </w:rPr>
        <w:t xml:space="preserve">live in </w:t>
      </w:r>
      <w:r w:rsidR="004E300E">
        <w:rPr>
          <w:rFonts w:ascii="Calibri" w:eastAsia="Times New Roman" w:hAnsi="Calibri" w:cs="Calibri"/>
          <w:lang w:val="en-US" w:eastAsia="en-AU"/>
        </w:rPr>
        <w:t xml:space="preserve">regional, </w:t>
      </w:r>
      <w:proofErr w:type="gramStart"/>
      <w:r w:rsidRPr="00E3454F">
        <w:rPr>
          <w:rFonts w:ascii="Calibri" w:eastAsia="Times New Roman" w:hAnsi="Calibri" w:cs="Calibri"/>
          <w:lang w:val="en-US" w:eastAsia="en-AU"/>
        </w:rPr>
        <w:t>rural</w:t>
      </w:r>
      <w:proofErr w:type="gramEnd"/>
      <w:r w:rsidR="004E300E">
        <w:rPr>
          <w:rFonts w:ascii="Calibri" w:eastAsia="Times New Roman" w:hAnsi="Calibri" w:cs="Calibri"/>
          <w:lang w:val="en-US" w:eastAsia="en-AU"/>
        </w:rPr>
        <w:t xml:space="preserve"> and </w:t>
      </w:r>
      <w:r w:rsidRPr="00E3454F">
        <w:rPr>
          <w:rFonts w:ascii="Calibri" w:eastAsia="Times New Roman" w:hAnsi="Calibri" w:cs="Calibri"/>
          <w:lang w:val="en-US" w:eastAsia="en-AU"/>
        </w:rPr>
        <w:t xml:space="preserve">remote areas coverage is of necessity the dominant factor in deciding which mobile provider to choose, and this market is consequently dominated by Telstra due to its superior </w:t>
      </w:r>
      <w:r w:rsidR="004E300E">
        <w:rPr>
          <w:rFonts w:ascii="Calibri" w:eastAsia="Times New Roman" w:hAnsi="Calibri" w:cs="Calibri"/>
          <w:lang w:val="en-US" w:eastAsia="en-AU"/>
        </w:rPr>
        <w:t xml:space="preserve">network </w:t>
      </w:r>
      <w:r w:rsidRPr="00E3454F">
        <w:rPr>
          <w:rFonts w:ascii="Calibri" w:eastAsia="Times New Roman" w:hAnsi="Calibri" w:cs="Calibri"/>
          <w:lang w:val="en-US" w:eastAsia="en-AU"/>
        </w:rPr>
        <w:t>coverage</w:t>
      </w:r>
      <w:r w:rsidRPr="00E3454F">
        <w:rPr>
          <w:rFonts w:ascii="Calibri" w:eastAsia="Times New Roman" w:hAnsi="Calibri" w:cs="Calibri"/>
          <w:vertAlign w:val="superscript"/>
          <w:lang w:val="en-US" w:eastAsia="en-AU"/>
        </w:rPr>
        <w:footnoteReference w:id="7"/>
      </w:r>
      <w:r w:rsidRPr="00E3454F">
        <w:rPr>
          <w:rFonts w:ascii="Calibri" w:eastAsia="Times New Roman" w:hAnsi="Calibri" w:cs="Calibri"/>
          <w:lang w:val="en-US" w:eastAsia="en-AU"/>
        </w:rPr>
        <w:t>. While Telstra MVNOs offer some alternative</w:t>
      </w:r>
      <w:r w:rsidR="004E300E">
        <w:rPr>
          <w:rFonts w:ascii="Calibri" w:eastAsia="Times New Roman" w:hAnsi="Calibri" w:cs="Calibri"/>
          <w:lang w:val="en-US" w:eastAsia="en-AU"/>
        </w:rPr>
        <w:t>s</w:t>
      </w:r>
      <w:r w:rsidRPr="00E3454F">
        <w:rPr>
          <w:rFonts w:ascii="Calibri" w:eastAsia="Times New Roman" w:hAnsi="Calibri" w:cs="Calibri"/>
          <w:lang w:val="en-US" w:eastAsia="en-AU"/>
        </w:rPr>
        <w:t xml:space="preserve"> at more reasonable price points, they are not well known and there is confusion about the extent to which they provide access to the full Telstra network. It is difficult for consumers to find this information</w:t>
      </w:r>
      <w:r w:rsidR="00A52788">
        <w:rPr>
          <w:rFonts w:ascii="Calibri" w:eastAsia="Times New Roman" w:hAnsi="Calibri" w:cs="Calibri"/>
          <w:lang w:val="en-US" w:eastAsia="en-AU"/>
        </w:rPr>
        <w:t>. M</w:t>
      </w:r>
      <w:r w:rsidRPr="00E3454F">
        <w:rPr>
          <w:rFonts w:ascii="Calibri" w:eastAsia="Times New Roman" w:hAnsi="Calibri" w:cs="Calibri"/>
          <w:lang w:val="en-US" w:eastAsia="en-AU"/>
        </w:rPr>
        <w:t>obile coverage maps can confuse as they are based on predictive algorithms rather than on the ground testing for reception</w:t>
      </w:r>
      <w:r w:rsidR="00A52788">
        <w:rPr>
          <w:rFonts w:ascii="Calibri" w:eastAsia="Times New Roman" w:hAnsi="Calibri" w:cs="Calibri"/>
          <w:lang w:val="en-US" w:eastAsia="en-AU"/>
        </w:rPr>
        <w:t>, and inputs from the three mobile network operators are not standardised</w:t>
      </w:r>
      <w:r w:rsidRPr="00E3454F">
        <w:rPr>
          <w:rFonts w:ascii="Calibri" w:eastAsia="Times New Roman" w:hAnsi="Calibri" w:cs="Calibri"/>
          <w:lang w:val="en-US" w:eastAsia="en-AU"/>
        </w:rPr>
        <w:t>. The significant level of uncertainty around coverage encourages regional consumers to choose or stay with Telstra</w:t>
      </w:r>
      <w:r w:rsidR="00A52788">
        <w:rPr>
          <w:rFonts w:ascii="Calibri" w:eastAsia="Times New Roman" w:hAnsi="Calibri" w:cs="Calibri"/>
          <w:lang w:val="en-US" w:eastAsia="en-AU"/>
        </w:rPr>
        <w:t xml:space="preserve">, and coverage is clearly a key market differentiator for Telstra in regional, </w:t>
      </w:r>
      <w:proofErr w:type="gramStart"/>
      <w:r w:rsidR="00A52788">
        <w:rPr>
          <w:rFonts w:ascii="Calibri" w:eastAsia="Times New Roman" w:hAnsi="Calibri" w:cs="Calibri"/>
          <w:lang w:val="en-US" w:eastAsia="en-AU"/>
        </w:rPr>
        <w:t>rural</w:t>
      </w:r>
      <w:proofErr w:type="gramEnd"/>
      <w:r w:rsidR="00A52788">
        <w:rPr>
          <w:rFonts w:ascii="Calibri" w:eastAsia="Times New Roman" w:hAnsi="Calibri" w:cs="Calibri"/>
          <w:lang w:val="en-US" w:eastAsia="en-AU"/>
        </w:rPr>
        <w:t xml:space="preserve"> and remote areas. </w:t>
      </w:r>
      <w:r w:rsidRPr="00E3454F">
        <w:rPr>
          <w:rFonts w:ascii="Calibri" w:eastAsia="Times New Roman" w:hAnsi="Calibri" w:cs="Calibri"/>
          <w:lang w:val="en-US" w:eastAsia="en-AU"/>
        </w:rPr>
        <w:t xml:space="preserve"> </w:t>
      </w:r>
    </w:p>
    <w:p w14:paraId="68AEEE3B" w14:textId="77777777" w:rsidR="00A52788" w:rsidRPr="00E3454F" w:rsidRDefault="00A52788" w:rsidP="007A074E">
      <w:pPr>
        <w:spacing w:after="0" w:line="276" w:lineRule="auto"/>
        <w:textAlignment w:val="baseline"/>
        <w:rPr>
          <w:rFonts w:ascii="Calibri" w:eastAsia="Times New Roman" w:hAnsi="Calibri" w:cs="Calibri"/>
          <w:lang w:val="en-US" w:eastAsia="en-AU"/>
        </w:rPr>
      </w:pPr>
    </w:p>
    <w:p w14:paraId="0D528C9D" w14:textId="52627A20" w:rsidR="00E3454F" w:rsidRPr="00E3454F" w:rsidRDefault="00A52788" w:rsidP="007A074E">
      <w:pPr>
        <w:spacing w:after="0" w:line="276" w:lineRule="auto"/>
        <w:textAlignment w:val="baseline"/>
        <w:rPr>
          <w:rFonts w:ascii="Calibri" w:eastAsia="Times New Roman" w:hAnsi="Calibri" w:cs="Calibri"/>
          <w:lang w:eastAsia="en-AU"/>
        </w:rPr>
      </w:pPr>
      <w:r>
        <w:rPr>
          <w:rFonts w:ascii="Calibri" w:eastAsia="Times New Roman" w:hAnsi="Calibri" w:cs="Calibri"/>
          <w:lang w:val="en-US" w:eastAsia="en-AU"/>
        </w:rPr>
        <w:t xml:space="preserve">While </w:t>
      </w:r>
      <w:r w:rsidR="00E3454F" w:rsidRPr="00E3454F">
        <w:rPr>
          <w:rFonts w:ascii="Calibri" w:eastAsia="Times New Roman" w:hAnsi="Calibri" w:cs="Calibri"/>
          <w:lang w:val="en-US" w:eastAsia="en-AU"/>
        </w:rPr>
        <w:t xml:space="preserve">Optus is the market competitor to Telstra in regional Australia, due to Optus’ more limited footprint many consumers remain using Telstra. </w:t>
      </w:r>
      <w:r>
        <w:rPr>
          <w:rFonts w:ascii="Calibri" w:eastAsia="Times New Roman" w:hAnsi="Calibri" w:cs="Calibri"/>
          <w:lang w:val="en-US" w:eastAsia="en-AU"/>
        </w:rPr>
        <w:t xml:space="preserve">This is especially the case for consumers who need to travel in and out of coverage zones, who benefit from Telstra’s more extensive coverage. </w:t>
      </w:r>
    </w:p>
    <w:p w14:paraId="7477B5DE" w14:textId="77777777" w:rsidR="004E300E" w:rsidRPr="00E3454F" w:rsidRDefault="004E300E" w:rsidP="007A074E">
      <w:pPr>
        <w:spacing w:after="0" w:line="276" w:lineRule="auto"/>
        <w:textAlignment w:val="baseline"/>
        <w:rPr>
          <w:rFonts w:ascii="Calibri" w:eastAsia="Times New Roman" w:hAnsi="Calibri" w:cs="Calibri"/>
          <w:lang w:eastAsia="en-AU"/>
        </w:rPr>
      </w:pPr>
    </w:p>
    <w:p w14:paraId="48D48228" w14:textId="26F3EDA6" w:rsidR="00E3454F" w:rsidRPr="00E3454F" w:rsidRDefault="00E3454F" w:rsidP="007A074E">
      <w:pPr>
        <w:spacing w:after="0" w:line="276" w:lineRule="auto"/>
        <w:textAlignment w:val="baseline"/>
        <w:rPr>
          <w:rFonts w:ascii="Calibri" w:eastAsia="Times New Roman" w:hAnsi="Calibri" w:cs="Calibri"/>
          <w:lang w:eastAsia="en-AU"/>
        </w:rPr>
      </w:pPr>
      <w:r w:rsidRPr="00E3454F">
        <w:rPr>
          <w:rFonts w:ascii="Calibri" w:eastAsia="Times New Roman" w:hAnsi="Calibri" w:cs="Calibri"/>
          <w:lang w:val="en-US" w:eastAsia="en-AU"/>
        </w:rPr>
        <w:t>In metro areas, mobile service providers are more likely to compete on price, inclusions, and bundling of other services (</w:t>
      </w:r>
      <w:r w:rsidR="00CA753E">
        <w:rPr>
          <w:rFonts w:ascii="Calibri" w:eastAsia="Times New Roman" w:hAnsi="Calibri" w:cs="Calibri"/>
          <w:lang w:val="en-US" w:eastAsia="en-AU"/>
        </w:rPr>
        <w:t>for example, Vodafone’s recent</w:t>
      </w:r>
      <w:r w:rsidRPr="00E3454F">
        <w:rPr>
          <w:rFonts w:ascii="Calibri" w:eastAsia="Times New Roman" w:hAnsi="Calibri" w:cs="Calibri"/>
          <w:lang w:val="en-US" w:eastAsia="en-AU"/>
        </w:rPr>
        <w:t xml:space="preserve"> offering of cheaper </w:t>
      </w:r>
      <w:r w:rsidR="00CA753E">
        <w:rPr>
          <w:rFonts w:ascii="Calibri" w:eastAsia="Times New Roman" w:hAnsi="Calibri" w:cs="Calibri"/>
          <w:lang w:val="en-US" w:eastAsia="en-AU"/>
        </w:rPr>
        <w:t>4G/</w:t>
      </w:r>
      <w:r w:rsidRPr="00E3454F">
        <w:rPr>
          <w:rFonts w:ascii="Calibri" w:eastAsia="Times New Roman" w:hAnsi="Calibri" w:cs="Calibri"/>
          <w:lang w:val="en-US" w:eastAsia="en-AU"/>
        </w:rPr>
        <w:t xml:space="preserve">5G </w:t>
      </w:r>
      <w:r w:rsidR="00CA753E">
        <w:rPr>
          <w:rFonts w:ascii="Calibri" w:eastAsia="Times New Roman" w:hAnsi="Calibri" w:cs="Calibri"/>
          <w:lang w:val="en-US" w:eastAsia="en-AU"/>
        </w:rPr>
        <w:t>h</w:t>
      </w:r>
      <w:r w:rsidRPr="00E3454F">
        <w:rPr>
          <w:rFonts w:ascii="Calibri" w:eastAsia="Times New Roman" w:hAnsi="Calibri" w:cs="Calibri"/>
          <w:lang w:val="en-US" w:eastAsia="en-AU"/>
        </w:rPr>
        <w:t xml:space="preserve">ome broadband bundle </w:t>
      </w:r>
      <w:r w:rsidR="00CA753E">
        <w:rPr>
          <w:rFonts w:ascii="Calibri" w:eastAsia="Times New Roman" w:hAnsi="Calibri" w:cs="Calibri"/>
          <w:lang w:val="en-US" w:eastAsia="en-AU"/>
        </w:rPr>
        <w:t>for its mobile customers</w:t>
      </w:r>
      <w:r w:rsidRPr="00E3454F">
        <w:rPr>
          <w:rFonts w:ascii="Calibri" w:eastAsia="Times New Roman" w:hAnsi="Calibri" w:cs="Calibri"/>
          <w:lang w:val="en-US" w:eastAsia="en-AU"/>
        </w:rPr>
        <w:t xml:space="preserve">). </w:t>
      </w:r>
      <w:r w:rsidR="00A52788">
        <w:rPr>
          <w:rFonts w:ascii="Calibri" w:eastAsia="Times New Roman" w:hAnsi="Calibri" w:cs="Calibri"/>
          <w:lang w:val="en-US" w:eastAsia="en-AU"/>
        </w:rPr>
        <w:t xml:space="preserve">TPG has focused successfully on good value services at a lower price point in this market – for example, </w:t>
      </w:r>
      <w:r w:rsidR="00A30EC3">
        <w:rPr>
          <w:rFonts w:ascii="Calibri" w:eastAsia="Times New Roman" w:hAnsi="Calibri" w:cs="Calibri"/>
          <w:lang w:val="en-US" w:eastAsia="en-AU"/>
        </w:rPr>
        <w:t>F</w:t>
      </w:r>
      <w:r w:rsidR="00A52788">
        <w:rPr>
          <w:rFonts w:ascii="Calibri" w:eastAsia="Times New Roman" w:hAnsi="Calibri" w:cs="Calibri"/>
          <w:lang w:val="en-US" w:eastAsia="en-AU"/>
        </w:rPr>
        <w:t xml:space="preserve">elix offers unlimited mobile data, standard </w:t>
      </w:r>
      <w:proofErr w:type="gramStart"/>
      <w:r w:rsidR="00A52788">
        <w:rPr>
          <w:rFonts w:ascii="Calibri" w:eastAsia="Times New Roman" w:hAnsi="Calibri" w:cs="Calibri"/>
          <w:lang w:val="en-US" w:eastAsia="en-AU"/>
        </w:rPr>
        <w:t>calls</w:t>
      </w:r>
      <w:proofErr w:type="gramEnd"/>
      <w:r w:rsidR="00A52788">
        <w:rPr>
          <w:rFonts w:ascii="Calibri" w:eastAsia="Times New Roman" w:hAnsi="Calibri" w:cs="Calibri"/>
          <w:lang w:val="en-US" w:eastAsia="en-AU"/>
        </w:rPr>
        <w:t xml:space="preserve"> and text at $35 a month, and MVNO Kogan $15 per month for 10GBs data and unlimited standard calls and texts. </w:t>
      </w:r>
      <w:r w:rsidR="0005514D">
        <w:rPr>
          <w:rFonts w:ascii="Calibri" w:eastAsia="Times New Roman" w:hAnsi="Calibri" w:cs="Calibri"/>
          <w:lang w:val="en-US" w:eastAsia="en-AU"/>
        </w:rPr>
        <w:t xml:space="preserve">To date, the </w:t>
      </w:r>
      <w:proofErr w:type="spellStart"/>
      <w:r w:rsidR="0005514D">
        <w:rPr>
          <w:rFonts w:ascii="Calibri" w:eastAsia="Times New Roman" w:hAnsi="Calibri" w:cs="Calibri"/>
          <w:lang w:val="en-US" w:eastAsia="en-AU"/>
        </w:rPr>
        <w:t>trade off</w:t>
      </w:r>
      <w:proofErr w:type="spellEnd"/>
      <w:r w:rsidR="0005514D">
        <w:rPr>
          <w:rFonts w:ascii="Calibri" w:eastAsia="Times New Roman" w:hAnsi="Calibri" w:cs="Calibri"/>
          <w:lang w:val="en-US" w:eastAsia="en-AU"/>
        </w:rPr>
        <w:t xml:space="preserve"> between price and coverage</w:t>
      </w:r>
      <w:r w:rsidR="00E6186D">
        <w:rPr>
          <w:rFonts w:ascii="Calibri" w:eastAsia="Times New Roman" w:hAnsi="Calibri" w:cs="Calibri"/>
          <w:lang w:val="en-US" w:eastAsia="en-AU"/>
        </w:rPr>
        <w:t xml:space="preserve"> which TPG has catered for</w:t>
      </w:r>
      <w:r w:rsidR="0005514D">
        <w:rPr>
          <w:rFonts w:ascii="Calibri" w:eastAsia="Times New Roman" w:hAnsi="Calibri" w:cs="Calibri"/>
          <w:lang w:val="en-US" w:eastAsia="en-AU"/>
        </w:rPr>
        <w:t xml:space="preserve"> has been to the benefit of metropolitan consumers who do not value coverage.</w:t>
      </w:r>
    </w:p>
    <w:p w14:paraId="1B920B7B" w14:textId="77777777" w:rsidR="00E3454F" w:rsidRPr="00E3454F" w:rsidRDefault="00E3454F" w:rsidP="007A074E">
      <w:pPr>
        <w:spacing w:after="0" w:line="276" w:lineRule="auto"/>
        <w:ind w:left="720"/>
        <w:textAlignment w:val="baseline"/>
        <w:rPr>
          <w:rFonts w:ascii="Calibri" w:eastAsia="Times New Roman" w:hAnsi="Calibri" w:cs="Calibri"/>
          <w:lang w:eastAsia="en-AU"/>
        </w:rPr>
      </w:pPr>
    </w:p>
    <w:p w14:paraId="698C214E" w14:textId="141AC5AB" w:rsidR="00E3454F" w:rsidRDefault="007A074E" w:rsidP="007A074E">
      <w:pPr>
        <w:tabs>
          <w:tab w:val="num" w:pos="0"/>
        </w:tabs>
        <w:spacing w:after="0" w:line="276" w:lineRule="auto"/>
        <w:textAlignment w:val="baseline"/>
        <w:rPr>
          <w:rFonts w:ascii="Calibri" w:eastAsia="Times New Roman" w:hAnsi="Calibri" w:cs="Calibri"/>
          <w:lang w:val="en-US" w:eastAsia="en-AU"/>
        </w:rPr>
      </w:pPr>
      <w:r>
        <w:rPr>
          <w:rFonts w:ascii="Calibri" w:eastAsia="Times New Roman" w:hAnsi="Calibri" w:cs="Calibri"/>
          <w:lang w:val="en-US" w:eastAsia="en-AU"/>
        </w:rPr>
        <w:lastRenderedPageBreak/>
        <w:t>Under the MOCN</w:t>
      </w:r>
      <w:r w:rsidR="00D16EC1">
        <w:rPr>
          <w:rFonts w:ascii="Calibri" w:eastAsia="Times New Roman" w:hAnsi="Calibri" w:cs="Calibri"/>
          <w:lang w:val="en-US" w:eastAsia="en-AU"/>
        </w:rPr>
        <w:t xml:space="preserve"> agreement</w:t>
      </w:r>
      <w:r>
        <w:rPr>
          <w:rFonts w:ascii="Calibri" w:eastAsia="Times New Roman" w:hAnsi="Calibri" w:cs="Calibri"/>
          <w:lang w:val="en-US" w:eastAsia="en-AU"/>
        </w:rPr>
        <w:t xml:space="preserve">, </w:t>
      </w:r>
      <w:r w:rsidR="00E3454F" w:rsidRPr="00E3454F">
        <w:rPr>
          <w:rFonts w:ascii="Calibri" w:eastAsia="Times New Roman" w:hAnsi="Calibri" w:cs="Calibri"/>
          <w:lang w:val="en-US" w:eastAsia="en-AU"/>
        </w:rPr>
        <w:t xml:space="preserve">Telstra will still lead on </w:t>
      </w:r>
      <w:proofErr w:type="gramStart"/>
      <w:r w:rsidR="00E3454F" w:rsidRPr="00E3454F">
        <w:rPr>
          <w:rFonts w:ascii="Calibri" w:eastAsia="Times New Roman" w:hAnsi="Calibri" w:cs="Calibri"/>
          <w:lang w:val="en-US" w:eastAsia="en-AU"/>
        </w:rPr>
        <w:t>coverage</w:t>
      </w:r>
      <w:proofErr w:type="gramEnd"/>
      <w:r w:rsidR="00D16EC1">
        <w:rPr>
          <w:rFonts w:ascii="Calibri" w:eastAsia="Times New Roman" w:hAnsi="Calibri" w:cs="Calibri"/>
          <w:lang w:val="en-US" w:eastAsia="en-AU"/>
        </w:rPr>
        <w:t xml:space="preserve"> so </w:t>
      </w:r>
      <w:r w:rsidR="00E3454F" w:rsidRPr="00E3454F">
        <w:rPr>
          <w:rFonts w:ascii="Calibri" w:eastAsia="Times New Roman" w:hAnsi="Calibri" w:cs="Calibri"/>
          <w:lang w:val="en-US" w:eastAsia="en-AU"/>
        </w:rPr>
        <w:t xml:space="preserve">it </w:t>
      </w:r>
      <w:r w:rsidR="004E300E">
        <w:rPr>
          <w:rFonts w:ascii="Calibri" w:eastAsia="Times New Roman" w:hAnsi="Calibri" w:cs="Calibri"/>
          <w:lang w:val="en-US" w:eastAsia="en-AU"/>
        </w:rPr>
        <w:t xml:space="preserve">is likely to </w:t>
      </w:r>
      <w:r w:rsidR="00E3454F" w:rsidRPr="00E3454F">
        <w:rPr>
          <w:rFonts w:ascii="Calibri" w:eastAsia="Times New Roman" w:hAnsi="Calibri" w:cs="Calibri"/>
          <w:lang w:val="en-US" w:eastAsia="en-AU"/>
        </w:rPr>
        <w:t xml:space="preserve">retain this key differentiation in rural and </w:t>
      </w:r>
      <w:r w:rsidR="004E300E">
        <w:rPr>
          <w:rFonts w:ascii="Calibri" w:eastAsia="Times New Roman" w:hAnsi="Calibri" w:cs="Calibri"/>
          <w:lang w:val="en-US" w:eastAsia="en-AU"/>
        </w:rPr>
        <w:t>remote areas and</w:t>
      </w:r>
      <w:r w:rsidR="00D16EC1">
        <w:rPr>
          <w:rFonts w:ascii="Calibri" w:eastAsia="Times New Roman" w:hAnsi="Calibri" w:cs="Calibri"/>
          <w:lang w:val="en-US" w:eastAsia="en-AU"/>
        </w:rPr>
        <w:t xml:space="preserve"> remain the provider of choice</w:t>
      </w:r>
      <w:r w:rsidR="004E300E">
        <w:rPr>
          <w:rFonts w:ascii="Calibri" w:eastAsia="Times New Roman" w:hAnsi="Calibri" w:cs="Calibri"/>
          <w:lang w:val="en-US" w:eastAsia="en-AU"/>
        </w:rPr>
        <w:t xml:space="preserve"> for regional based consumers who travel in less populated areas. However, </w:t>
      </w:r>
      <w:r w:rsidR="00E6186D">
        <w:rPr>
          <w:rFonts w:ascii="Calibri" w:eastAsia="Times New Roman" w:hAnsi="Calibri" w:cs="Calibri"/>
          <w:lang w:val="en-US" w:eastAsia="en-AU"/>
        </w:rPr>
        <w:t xml:space="preserve">within TPG’s </w:t>
      </w:r>
      <w:r w:rsidR="00A23577">
        <w:rPr>
          <w:rFonts w:ascii="Calibri" w:eastAsia="Times New Roman" w:hAnsi="Calibri" w:cs="Calibri"/>
          <w:lang w:val="en-US" w:eastAsia="en-AU"/>
        </w:rPr>
        <w:t xml:space="preserve">expanded </w:t>
      </w:r>
      <w:proofErr w:type="gramStart"/>
      <w:r w:rsidR="00A23577">
        <w:rPr>
          <w:rFonts w:ascii="Calibri" w:eastAsia="Times New Roman" w:hAnsi="Calibri" w:cs="Calibri"/>
          <w:lang w:val="en-US" w:eastAsia="en-AU"/>
        </w:rPr>
        <w:t>footprint</w:t>
      </w:r>
      <w:r w:rsidR="00E171A0">
        <w:rPr>
          <w:rFonts w:ascii="Calibri" w:eastAsia="Times New Roman" w:hAnsi="Calibri" w:cs="Calibri"/>
          <w:lang w:val="en-US" w:eastAsia="en-AU"/>
        </w:rPr>
        <w:t xml:space="preserve"> </w:t>
      </w:r>
      <w:r w:rsidR="00E6186D">
        <w:rPr>
          <w:rFonts w:ascii="Calibri" w:eastAsia="Times New Roman" w:hAnsi="Calibri" w:cs="Calibri"/>
          <w:lang w:val="en-US" w:eastAsia="en-AU"/>
        </w:rPr>
        <w:t xml:space="preserve"> </w:t>
      </w:r>
      <w:r w:rsidR="00E3454F" w:rsidRPr="00E3454F">
        <w:rPr>
          <w:rFonts w:ascii="Calibri" w:eastAsia="Times New Roman" w:hAnsi="Calibri" w:cs="Calibri"/>
          <w:lang w:val="en-US" w:eastAsia="en-AU"/>
        </w:rPr>
        <w:t>TPG</w:t>
      </w:r>
      <w:proofErr w:type="gramEnd"/>
      <w:r w:rsidR="00E3454F" w:rsidRPr="00E3454F">
        <w:rPr>
          <w:rFonts w:ascii="Calibri" w:eastAsia="Times New Roman" w:hAnsi="Calibri" w:cs="Calibri"/>
          <w:lang w:val="en-US" w:eastAsia="en-AU"/>
        </w:rPr>
        <w:t xml:space="preserve"> </w:t>
      </w:r>
      <w:r w:rsidR="004E300E">
        <w:rPr>
          <w:rFonts w:ascii="Calibri" w:eastAsia="Times New Roman" w:hAnsi="Calibri" w:cs="Calibri"/>
          <w:lang w:val="en-US" w:eastAsia="en-AU"/>
        </w:rPr>
        <w:t xml:space="preserve">services </w:t>
      </w:r>
      <w:r w:rsidR="00E3454F" w:rsidRPr="00E3454F">
        <w:rPr>
          <w:rFonts w:ascii="Calibri" w:eastAsia="Times New Roman" w:hAnsi="Calibri" w:cs="Calibri"/>
          <w:lang w:val="en-US" w:eastAsia="en-AU"/>
        </w:rPr>
        <w:t>would be</w:t>
      </w:r>
      <w:r>
        <w:rPr>
          <w:rFonts w:ascii="Calibri" w:eastAsia="Times New Roman" w:hAnsi="Calibri" w:cs="Calibri"/>
          <w:lang w:val="en-US" w:eastAsia="en-AU"/>
        </w:rPr>
        <w:t>come</w:t>
      </w:r>
      <w:r w:rsidR="00E3454F" w:rsidRPr="00E3454F">
        <w:rPr>
          <w:rFonts w:ascii="Calibri" w:eastAsia="Times New Roman" w:hAnsi="Calibri" w:cs="Calibri"/>
          <w:lang w:val="en-US" w:eastAsia="en-AU"/>
        </w:rPr>
        <w:t xml:space="preserve"> </w:t>
      </w:r>
      <w:r w:rsidR="00A52788">
        <w:rPr>
          <w:rFonts w:ascii="Calibri" w:eastAsia="Times New Roman" w:hAnsi="Calibri" w:cs="Calibri"/>
          <w:lang w:val="en-US" w:eastAsia="en-AU"/>
        </w:rPr>
        <w:t xml:space="preserve">an attractive lower priced </w:t>
      </w:r>
      <w:r w:rsidR="00E3454F" w:rsidRPr="00E3454F">
        <w:rPr>
          <w:rFonts w:ascii="Calibri" w:eastAsia="Times New Roman" w:hAnsi="Calibri" w:cs="Calibri"/>
          <w:lang w:val="en-US" w:eastAsia="en-AU"/>
        </w:rPr>
        <w:t>alternative</w:t>
      </w:r>
      <w:r>
        <w:rPr>
          <w:rFonts w:ascii="Calibri" w:eastAsia="Times New Roman" w:hAnsi="Calibri" w:cs="Calibri"/>
          <w:lang w:val="en-US" w:eastAsia="en-AU"/>
        </w:rPr>
        <w:t xml:space="preserve">, as the market would be open </w:t>
      </w:r>
      <w:r w:rsidR="00E3454F" w:rsidRPr="00E3454F">
        <w:rPr>
          <w:rFonts w:ascii="Calibri" w:eastAsia="Times New Roman" w:hAnsi="Calibri" w:cs="Calibri"/>
          <w:lang w:val="en-US" w:eastAsia="en-AU"/>
        </w:rPr>
        <w:t xml:space="preserve">to mobile brands operated by TPG (Vodafone, TPG, </w:t>
      </w:r>
      <w:proofErr w:type="spellStart"/>
      <w:r w:rsidR="00E3454F" w:rsidRPr="00E3454F">
        <w:rPr>
          <w:rFonts w:ascii="Calibri" w:eastAsia="Times New Roman" w:hAnsi="Calibri" w:cs="Calibri"/>
          <w:lang w:val="en-US" w:eastAsia="en-AU"/>
        </w:rPr>
        <w:t>Lebara</w:t>
      </w:r>
      <w:proofErr w:type="spellEnd"/>
      <w:r w:rsidR="00E3454F" w:rsidRPr="00E3454F">
        <w:rPr>
          <w:rFonts w:ascii="Calibri" w:eastAsia="Times New Roman" w:hAnsi="Calibri" w:cs="Calibri"/>
          <w:lang w:val="en-US" w:eastAsia="en-AU"/>
        </w:rPr>
        <w:t xml:space="preserve">, Kogan, and </w:t>
      </w:r>
      <w:r w:rsidR="00344874">
        <w:rPr>
          <w:rFonts w:ascii="Calibri" w:eastAsia="Times New Roman" w:hAnsi="Calibri" w:cs="Calibri"/>
          <w:lang w:val="en-US" w:eastAsia="en-AU"/>
        </w:rPr>
        <w:t>F</w:t>
      </w:r>
      <w:r w:rsidR="00E3454F" w:rsidRPr="00E3454F">
        <w:rPr>
          <w:rFonts w:ascii="Calibri" w:eastAsia="Times New Roman" w:hAnsi="Calibri" w:cs="Calibri"/>
          <w:lang w:val="en-US" w:eastAsia="en-AU"/>
        </w:rPr>
        <w:t xml:space="preserve">elix), as well as some </w:t>
      </w:r>
      <w:r>
        <w:rPr>
          <w:rFonts w:ascii="Calibri" w:eastAsia="Times New Roman" w:hAnsi="Calibri" w:cs="Calibri"/>
          <w:lang w:val="en-US" w:eastAsia="en-AU"/>
        </w:rPr>
        <w:t xml:space="preserve">smaller </w:t>
      </w:r>
      <w:r w:rsidR="00E3454F" w:rsidRPr="00E3454F">
        <w:rPr>
          <w:rFonts w:ascii="Calibri" w:eastAsia="Times New Roman" w:hAnsi="Calibri" w:cs="Calibri"/>
          <w:lang w:val="en-US" w:eastAsia="en-AU"/>
        </w:rPr>
        <w:t xml:space="preserve">MVNOs using the TPG network. This increased choice would be a very welcome development for those living in regional areas, and for those travelling from metropolitan areas to the regions. </w:t>
      </w:r>
    </w:p>
    <w:p w14:paraId="4867E67E" w14:textId="55025C6B" w:rsidR="004E300E" w:rsidRDefault="004E300E" w:rsidP="007A074E">
      <w:pPr>
        <w:tabs>
          <w:tab w:val="num" w:pos="0"/>
        </w:tabs>
        <w:spacing w:after="0" w:line="276" w:lineRule="auto"/>
        <w:textAlignment w:val="baseline"/>
        <w:rPr>
          <w:rFonts w:ascii="Calibri" w:eastAsia="Times New Roman" w:hAnsi="Calibri" w:cs="Calibri"/>
          <w:lang w:val="en-US" w:eastAsia="en-AU"/>
        </w:rPr>
      </w:pPr>
    </w:p>
    <w:p w14:paraId="56A05D3F" w14:textId="3FFA6AF5" w:rsidR="004E300E" w:rsidRDefault="00D16EC1" w:rsidP="007A074E">
      <w:pPr>
        <w:tabs>
          <w:tab w:val="num" w:pos="0"/>
        </w:tabs>
        <w:spacing w:after="0" w:line="276" w:lineRule="auto"/>
        <w:textAlignment w:val="baseline"/>
        <w:rPr>
          <w:rFonts w:ascii="Calibri" w:eastAsia="Times New Roman" w:hAnsi="Calibri" w:cs="Calibri"/>
          <w:lang w:eastAsia="en-AU"/>
        </w:rPr>
      </w:pPr>
      <w:r>
        <w:rPr>
          <w:rFonts w:ascii="Calibri" w:eastAsia="Times New Roman" w:hAnsi="Calibri" w:cs="Calibri"/>
          <w:lang w:val="en-US" w:eastAsia="en-AU"/>
        </w:rPr>
        <w:t>However, t</w:t>
      </w:r>
      <w:r w:rsidR="004E300E">
        <w:rPr>
          <w:rFonts w:ascii="Calibri" w:eastAsia="Times New Roman" w:hAnsi="Calibri" w:cs="Calibri"/>
          <w:lang w:val="en-US" w:eastAsia="en-AU"/>
        </w:rPr>
        <w:t xml:space="preserve">o benefit fully from the MOCN, </w:t>
      </w:r>
      <w:r w:rsidR="004E300E">
        <w:rPr>
          <w:rFonts w:ascii="Calibri" w:eastAsia="Times New Roman" w:hAnsi="Calibri" w:cs="Calibri"/>
          <w:lang w:eastAsia="en-AU"/>
        </w:rPr>
        <w:t>c</w:t>
      </w:r>
      <w:r w:rsidR="004E300E" w:rsidRPr="00E3454F">
        <w:rPr>
          <w:rFonts w:ascii="Calibri" w:eastAsia="Times New Roman" w:hAnsi="Calibri" w:cs="Calibri"/>
          <w:lang w:eastAsia="en-AU"/>
        </w:rPr>
        <w:t>onsumers w</w:t>
      </w:r>
      <w:r w:rsidR="004E300E">
        <w:rPr>
          <w:rFonts w:ascii="Calibri" w:eastAsia="Times New Roman" w:hAnsi="Calibri" w:cs="Calibri"/>
          <w:lang w:eastAsia="en-AU"/>
        </w:rPr>
        <w:t>ill</w:t>
      </w:r>
      <w:r w:rsidR="004E300E" w:rsidRPr="00E3454F">
        <w:rPr>
          <w:rFonts w:ascii="Calibri" w:eastAsia="Times New Roman" w:hAnsi="Calibri" w:cs="Calibri"/>
          <w:lang w:eastAsia="en-AU"/>
        </w:rPr>
        <w:t xml:space="preserve"> need </w:t>
      </w:r>
      <w:r w:rsidR="004E300E">
        <w:rPr>
          <w:rFonts w:ascii="Calibri" w:eastAsia="Times New Roman" w:hAnsi="Calibri" w:cs="Calibri"/>
          <w:lang w:eastAsia="en-AU"/>
        </w:rPr>
        <w:t xml:space="preserve">improved </w:t>
      </w:r>
      <w:r w:rsidR="004E300E" w:rsidRPr="00E3454F">
        <w:rPr>
          <w:rFonts w:ascii="Calibri" w:eastAsia="Times New Roman" w:hAnsi="Calibri" w:cs="Calibri"/>
          <w:lang w:eastAsia="en-AU"/>
        </w:rPr>
        <w:t xml:space="preserve">coverage maps so that they can be </w:t>
      </w:r>
      <w:r w:rsidR="004E300E">
        <w:rPr>
          <w:rFonts w:ascii="Calibri" w:eastAsia="Times New Roman" w:hAnsi="Calibri" w:cs="Calibri"/>
          <w:lang w:eastAsia="en-AU"/>
        </w:rPr>
        <w:t xml:space="preserve">properly </w:t>
      </w:r>
      <w:r w:rsidR="004E300E" w:rsidRPr="00E3454F">
        <w:rPr>
          <w:rFonts w:ascii="Calibri" w:eastAsia="Times New Roman" w:hAnsi="Calibri" w:cs="Calibri"/>
          <w:lang w:eastAsia="en-AU"/>
        </w:rPr>
        <w:t xml:space="preserve">informed about </w:t>
      </w:r>
      <w:r w:rsidR="004E300E">
        <w:rPr>
          <w:rFonts w:ascii="Calibri" w:eastAsia="Times New Roman" w:hAnsi="Calibri" w:cs="Calibri"/>
          <w:lang w:eastAsia="en-AU"/>
        </w:rPr>
        <w:t xml:space="preserve">the services </w:t>
      </w:r>
      <w:r w:rsidR="004E300E" w:rsidRPr="00E3454F">
        <w:rPr>
          <w:rFonts w:ascii="Calibri" w:eastAsia="Times New Roman" w:hAnsi="Calibri" w:cs="Calibri"/>
          <w:lang w:eastAsia="en-AU"/>
        </w:rPr>
        <w:t xml:space="preserve">they </w:t>
      </w:r>
      <w:r w:rsidR="004E300E">
        <w:rPr>
          <w:rFonts w:ascii="Calibri" w:eastAsia="Times New Roman" w:hAnsi="Calibri" w:cs="Calibri"/>
          <w:lang w:eastAsia="en-AU"/>
        </w:rPr>
        <w:t>are</w:t>
      </w:r>
      <w:r w:rsidR="004E300E" w:rsidRPr="00E3454F">
        <w:rPr>
          <w:rFonts w:ascii="Calibri" w:eastAsia="Times New Roman" w:hAnsi="Calibri" w:cs="Calibri"/>
          <w:lang w:eastAsia="en-AU"/>
        </w:rPr>
        <w:t xml:space="preserve"> buying</w:t>
      </w:r>
      <w:r w:rsidR="004E300E">
        <w:rPr>
          <w:rFonts w:ascii="Calibri" w:eastAsia="Times New Roman" w:hAnsi="Calibri" w:cs="Calibri"/>
          <w:lang w:eastAsia="en-AU"/>
        </w:rPr>
        <w:t xml:space="preserve">. ACCAN supports initiatives flagged by the ACCC to standardise the way mobile coverage is reported across mobile network operators, and additionally sees a need for on the ground testing to ensure the assumptions made about coverage using predictive algorithms are accurate. </w:t>
      </w:r>
    </w:p>
    <w:p w14:paraId="56FEEA86" w14:textId="0C77F1F2" w:rsidR="004E300E" w:rsidRDefault="004E300E" w:rsidP="007A074E">
      <w:pPr>
        <w:tabs>
          <w:tab w:val="num" w:pos="0"/>
        </w:tabs>
        <w:spacing w:after="0" w:line="276" w:lineRule="auto"/>
        <w:textAlignment w:val="baseline"/>
        <w:rPr>
          <w:rFonts w:ascii="Calibri" w:eastAsia="Times New Roman" w:hAnsi="Calibri" w:cs="Calibri"/>
          <w:lang w:eastAsia="en-AU"/>
        </w:rPr>
      </w:pPr>
    </w:p>
    <w:p w14:paraId="0FE9F551" w14:textId="22842F0A" w:rsidR="00E3454F" w:rsidRDefault="004E300E" w:rsidP="007A074E">
      <w:pPr>
        <w:tabs>
          <w:tab w:val="num" w:pos="0"/>
        </w:tabs>
        <w:spacing w:after="0" w:line="276" w:lineRule="auto"/>
        <w:textAlignment w:val="baseline"/>
        <w:rPr>
          <w:rFonts w:ascii="Calibri" w:eastAsia="Times New Roman" w:hAnsi="Calibri" w:cs="Calibri"/>
          <w:lang w:eastAsia="en-AU"/>
        </w:rPr>
      </w:pPr>
      <w:r>
        <w:rPr>
          <w:rFonts w:ascii="Calibri" w:eastAsia="Times New Roman" w:hAnsi="Calibri" w:cs="Calibri"/>
          <w:lang w:eastAsia="en-AU"/>
        </w:rPr>
        <w:t>A complexity is that e</w:t>
      </w:r>
      <w:r w:rsidR="00E3454F" w:rsidRPr="00E3454F">
        <w:rPr>
          <w:rFonts w:ascii="Calibri" w:eastAsia="Times New Roman" w:hAnsi="Calibri" w:cs="Calibri"/>
          <w:lang w:eastAsia="en-AU"/>
        </w:rPr>
        <w:t xml:space="preserve">xclusions from </w:t>
      </w:r>
      <w:r>
        <w:rPr>
          <w:rFonts w:ascii="Calibri" w:eastAsia="Times New Roman" w:hAnsi="Calibri" w:cs="Calibri"/>
          <w:lang w:eastAsia="en-AU"/>
        </w:rPr>
        <w:t xml:space="preserve">the </w:t>
      </w:r>
      <w:r w:rsidR="00E3454F" w:rsidRPr="00E3454F">
        <w:rPr>
          <w:rFonts w:ascii="Calibri" w:eastAsia="Times New Roman" w:hAnsi="Calibri" w:cs="Calibri"/>
          <w:lang w:eastAsia="en-AU"/>
        </w:rPr>
        <w:t>non-discrim</w:t>
      </w:r>
      <w:r>
        <w:rPr>
          <w:rFonts w:ascii="Calibri" w:eastAsia="Times New Roman" w:hAnsi="Calibri" w:cs="Calibri"/>
          <w:lang w:eastAsia="en-AU"/>
        </w:rPr>
        <w:t>in</w:t>
      </w:r>
      <w:r w:rsidR="00E3454F" w:rsidRPr="00E3454F">
        <w:rPr>
          <w:rFonts w:ascii="Calibri" w:eastAsia="Times New Roman" w:hAnsi="Calibri" w:cs="Calibri"/>
          <w:lang w:eastAsia="en-AU"/>
        </w:rPr>
        <w:t xml:space="preserve">ation provisions </w:t>
      </w:r>
      <w:r>
        <w:rPr>
          <w:rFonts w:ascii="Calibri" w:eastAsia="Times New Roman" w:hAnsi="Calibri" w:cs="Calibri"/>
          <w:lang w:eastAsia="en-AU"/>
        </w:rPr>
        <w:t xml:space="preserve">may </w:t>
      </w:r>
      <w:r w:rsidR="00E3454F" w:rsidRPr="00E3454F">
        <w:rPr>
          <w:rFonts w:ascii="Calibri" w:eastAsia="Times New Roman" w:hAnsi="Calibri" w:cs="Calibri"/>
          <w:lang w:eastAsia="en-AU"/>
        </w:rPr>
        <w:t xml:space="preserve">dampen </w:t>
      </w:r>
      <w:r>
        <w:rPr>
          <w:rFonts w:ascii="Calibri" w:eastAsia="Times New Roman" w:hAnsi="Calibri" w:cs="Calibri"/>
          <w:lang w:eastAsia="en-AU"/>
        </w:rPr>
        <w:t>TPG’s ability to compete with Telstra. For example, TPG will have not have access to 5G sites for the first six months after activation by Telstra, and will only be offering fixed wireless services over 5G on 3.6Ghz spectrum</w:t>
      </w:r>
      <w:r>
        <w:rPr>
          <w:rStyle w:val="FootnoteReference"/>
          <w:rFonts w:ascii="Calibri" w:eastAsia="Times New Roman" w:hAnsi="Calibri" w:cs="Calibri"/>
          <w:lang w:eastAsia="en-AU"/>
        </w:rPr>
        <w:footnoteReference w:id="8"/>
      </w:r>
      <w:r>
        <w:rPr>
          <w:rFonts w:ascii="Calibri" w:eastAsia="Times New Roman" w:hAnsi="Calibri" w:cs="Calibri"/>
          <w:lang w:eastAsia="en-AU"/>
        </w:rPr>
        <w:t xml:space="preserve">. We urge the ACCC to examine these exclusions to assess the competition implications, as we have a concern that Telstra’s six months ‘first mover advantage’ may be difficult for TPG to compete with, given the barriers to switching </w:t>
      </w:r>
      <w:r w:rsidR="00D406C1">
        <w:rPr>
          <w:rFonts w:ascii="Calibri" w:eastAsia="Times New Roman" w:hAnsi="Calibri" w:cs="Calibri"/>
          <w:lang w:eastAsia="en-AU"/>
        </w:rPr>
        <w:t xml:space="preserve">faced by consumers. </w:t>
      </w:r>
      <w:r>
        <w:rPr>
          <w:rFonts w:ascii="Calibri" w:eastAsia="Times New Roman" w:hAnsi="Calibri" w:cs="Calibri"/>
          <w:lang w:eastAsia="en-AU"/>
        </w:rPr>
        <w:t xml:space="preserve">We also have concerns that the 5G delay </w:t>
      </w:r>
      <w:r w:rsidR="00D406C1">
        <w:rPr>
          <w:rFonts w:ascii="Calibri" w:eastAsia="Times New Roman" w:hAnsi="Calibri" w:cs="Calibri"/>
          <w:lang w:eastAsia="en-AU"/>
        </w:rPr>
        <w:t xml:space="preserve">could cause consumer confusion, </w:t>
      </w:r>
      <w:r>
        <w:rPr>
          <w:rFonts w:ascii="Calibri" w:eastAsia="Times New Roman" w:hAnsi="Calibri" w:cs="Calibri"/>
          <w:lang w:eastAsia="en-AU"/>
        </w:rPr>
        <w:t xml:space="preserve">as </w:t>
      </w:r>
      <w:r w:rsidR="00D406C1">
        <w:rPr>
          <w:rFonts w:ascii="Calibri" w:eastAsia="Times New Roman" w:hAnsi="Calibri" w:cs="Calibri"/>
          <w:lang w:eastAsia="en-AU"/>
        </w:rPr>
        <w:t>people</w:t>
      </w:r>
      <w:r>
        <w:rPr>
          <w:rFonts w:ascii="Calibri" w:eastAsia="Times New Roman" w:hAnsi="Calibri" w:cs="Calibri"/>
          <w:lang w:eastAsia="en-AU"/>
        </w:rPr>
        <w:t xml:space="preserve"> may believe they are getting full access to the Telstra mobile network in buying a TPG service, when in fact </w:t>
      </w:r>
      <w:r w:rsidR="00E3454F" w:rsidRPr="00E3454F">
        <w:rPr>
          <w:rFonts w:ascii="Calibri" w:eastAsia="Times New Roman" w:hAnsi="Calibri" w:cs="Calibri"/>
          <w:lang w:eastAsia="en-AU"/>
        </w:rPr>
        <w:t>TPG services may not work as well as Telstra’s</w:t>
      </w:r>
      <w:r>
        <w:rPr>
          <w:rFonts w:ascii="Calibri" w:eastAsia="Times New Roman" w:hAnsi="Calibri" w:cs="Calibri"/>
          <w:lang w:eastAsia="en-AU"/>
        </w:rPr>
        <w:t xml:space="preserve"> for the first 6 months.</w:t>
      </w:r>
      <w:r w:rsidR="00E3454F" w:rsidRPr="00E3454F">
        <w:rPr>
          <w:rFonts w:ascii="Calibri" w:eastAsia="Times New Roman" w:hAnsi="Calibri" w:cs="Calibri"/>
          <w:lang w:eastAsia="en-AU"/>
        </w:rPr>
        <w:t xml:space="preserve"> </w:t>
      </w:r>
      <w:r>
        <w:rPr>
          <w:rFonts w:ascii="Calibri" w:eastAsia="Times New Roman" w:hAnsi="Calibri" w:cs="Calibri"/>
          <w:lang w:eastAsia="en-AU"/>
        </w:rPr>
        <w:t xml:space="preserve">In relation to fixed wireless, ACCAN’s understanding is that TPG will not be offering 4G fixed wireless services in the areas covered by the MOCN. This is a disappointing outcome for households in these areas who could benefit from additional choices, such as Vodafone’s bundled offer of 4G home internet with unlimited data for $50 a month for mobile subscribers. </w:t>
      </w:r>
      <w:r w:rsidR="00657D46">
        <w:rPr>
          <w:rFonts w:ascii="Calibri" w:eastAsia="Times New Roman" w:hAnsi="Calibri" w:cs="Calibri"/>
          <w:lang w:eastAsia="en-AU"/>
        </w:rPr>
        <w:t xml:space="preserve">ACCAN is concerned that these exclusions will </w:t>
      </w:r>
      <w:r w:rsidR="0005514D">
        <w:rPr>
          <w:rFonts w:ascii="Calibri" w:eastAsia="Times New Roman" w:hAnsi="Calibri" w:cs="Calibri"/>
          <w:lang w:eastAsia="en-AU"/>
        </w:rPr>
        <w:t xml:space="preserve">work to </w:t>
      </w:r>
      <w:r w:rsidR="00657D46">
        <w:rPr>
          <w:rFonts w:ascii="Calibri" w:eastAsia="Times New Roman" w:hAnsi="Calibri" w:cs="Calibri"/>
          <w:lang w:eastAsia="en-AU"/>
        </w:rPr>
        <w:t xml:space="preserve">dampen </w:t>
      </w:r>
      <w:r w:rsidR="0005514D">
        <w:rPr>
          <w:rFonts w:ascii="Calibri" w:eastAsia="Times New Roman" w:hAnsi="Calibri" w:cs="Calibri"/>
          <w:lang w:eastAsia="en-AU"/>
        </w:rPr>
        <w:t xml:space="preserve">the improved </w:t>
      </w:r>
      <w:r w:rsidR="00657D46">
        <w:rPr>
          <w:rFonts w:ascii="Calibri" w:eastAsia="Times New Roman" w:hAnsi="Calibri" w:cs="Calibri"/>
          <w:lang w:eastAsia="en-AU"/>
        </w:rPr>
        <w:t>competitive pressure</w:t>
      </w:r>
      <w:r w:rsidR="0005514D">
        <w:rPr>
          <w:rFonts w:ascii="Calibri" w:eastAsia="Times New Roman" w:hAnsi="Calibri" w:cs="Calibri"/>
          <w:lang w:eastAsia="en-AU"/>
        </w:rPr>
        <w:t xml:space="preserve"> expected from TPG increasing its coverage</w:t>
      </w:r>
      <w:r w:rsidR="00657D46">
        <w:rPr>
          <w:rFonts w:ascii="Calibri" w:eastAsia="Times New Roman" w:hAnsi="Calibri" w:cs="Calibri"/>
          <w:lang w:eastAsia="en-AU"/>
        </w:rPr>
        <w:t>.</w:t>
      </w:r>
    </w:p>
    <w:p w14:paraId="28DAF1A3" w14:textId="7274CBA9" w:rsidR="004E300E" w:rsidRDefault="004E300E" w:rsidP="007A074E">
      <w:pPr>
        <w:tabs>
          <w:tab w:val="num" w:pos="0"/>
        </w:tabs>
        <w:spacing w:after="0" w:line="276" w:lineRule="auto"/>
        <w:textAlignment w:val="baseline"/>
        <w:rPr>
          <w:rFonts w:ascii="Calibri" w:eastAsia="Times New Roman" w:hAnsi="Calibri" w:cs="Calibri"/>
          <w:lang w:eastAsia="en-AU"/>
        </w:rPr>
      </w:pPr>
    </w:p>
    <w:p w14:paraId="11113CA7" w14:textId="4C76C2E6" w:rsidR="00E3454F" w:rsidRPr="00E3454F" w:rsidRDefault="005757DE" w:rsidP="00E3454F">
      <w:pPr>
        <w:spacing w:after="0" w:line="240" w:lineRule="auto"/>
        <w:textAlignment w:val="baseline"/>
        <w:rPr>
          <w:rFonts w:eastAsia="Times New Roman" w:cstheme="minorHAnsi"/>
          <w:b/>
          <w:bCs/>
          <w:color w:val="000000"/>
          <w:shd w:val="clear" w:color="auto" w:fill="FFFFFF"/>
          <w:lang w:eastAsia="en-AU"/>
        </w:rPr>
      </w:pPr>
      <w:r w:rsidRPr="005757DE">
        <w:rPr>
          <w:rFonts w:eastAsia="MS Gothic" w:cstheme="minorHAnsi"/>
          <w:b/>
          <w:bCs/>
          <w:i/>
          <w:iCs/>
          <w:color w:val="000000"/>
          <w:shd w:val="clear" w:color="auto" w:fill="FFFFFF"/>
          <w:lang w:eastAsia="en-AU"/>
        </w:rPr>
        <w:t>T</w:t>
      </w:r>
      <w:r w:rsidR="00E3454F" w:rsidRPr="00E3454F">
        <w:rPr>
          <w:rFonts w:eastAsia="MS Gothic" w:cstheme="minorHAnsi"/>
          <w:b/>
          <w:bCs/>
          <w:i/>
          <w:iCs/>
          <w:color w:val="000000"/>
          <w:shd w:val="clear" w:color="auto" w:fill="FFFFFF"/>
          <w:lang w:eastAsia="en-AU"/>
        </w:rPr>
        <w:t xml:space="preserve">he likely impact of the MOCN arrangement on prices, including mobile services, fixed </w:t>
      </w:r>
      <w:proofErr w:type="gramStart"/>
      <w:r w:rsidR="00E3454F" w:rsidRPr="00E3454F">
        <w:rPr>
          <w:rFonts w:eastAsia="MS Gothic" w:cstheme="minorHAnsi"/>
          <w:b/>
          <w:bCs/>
          <w:i/>
          <w:iCs/>
          <w:color w:val="000000"/>
          <w:shd w:val="clear" w:color="auto" w:fill="FFFFFF"/>
          <w:lang w:eastAsia="en-AU"/>
        </w:rPr>
        <w:t>bundles</w:t>
      </w:r>
      <w:proofErr w:type="gramEnd"/>
      <w:r w:rsidR="00E3454F" w:rsidRPr="00E3454F">
        <w:rPr>
          <w:rFonts w:eastAsia="MS Gothic" w:cstheme="minorHAnsi"/>
          <w:b/>
          <w:bCs/>
          <w:i/>
          <w:iCs/>
          <w:color w:val="000000"/>
          <w:shd w:val="clear" w:color="auto" w:fill="FFFFFF"/>
          <w:lang w:eastAsia="en-AU"/>
        </w:rPr>
        <w:t xml:space="preserve"> and data services; the likely impact of the MOCN arrangement on non-price aspects of competition, including product and service offerings, contracts, network coverage, bundling options, speed, customer service and service quality</w:t>
      </w:r>
      <w:r w:rsidRPr="005757DE">
        <w:rPr>
          <w:rFonts w:eastAsia="MS Gothic" w:cstheme="minorHAnsi"/>
          <w:b/>
          <w:bCs/>
          <w:i/>
          <w:iCs/>
          <w:color w:val="000000"/>
          <w:shd w:val="clear" w:color="auto" w:fill="FFFFFF"/>
          <w:lang w:eastAsia="en-AU"/>
        </w:rPr>
        <w:t>.</w:t>
      </w:r>
    </w:p>
    <w:p w14:paraId="5D5094D4" w14:textId="77777777" w:rsidR="00E3454F" w:rsidRPr="00E3454F" w:rsidRDefault="00E3454F" w:rsidP="00E3454F">
      <w:pPr>
        <w:spacing w:after="0" w:line="240" w:lineRule="auto"/>
        <w:textAlignment w:val="baseline"/>
        <w:rPr>
          <w:rFonts w:ascii="Calibri" w:eastAsia="Times New Roman" w:hAnsi="Calibri" w:cs="Calibri"/>
          <w:lang w:eastAsia="en-AU"/>
        </w:rPr>
      </w:pPr>
    </w:p>
    <w:p w14:paraId="0D13D9C0" w14:textId="3197BF14" w:rsidR="00EF2447" w:rsidRPr="00EF2447" w:rsidRDefault="00EF2447" w:rsidP="00EE6FC9">
      <w:pPr>
        <w:tabs>
          <w:tab w:val="num" w:pos="0"/>
        </w:tabs>
        <w:spacing w:after="0" w:line="276" w:lineRule="auto"/>
        <w:textAlignment w:val="baseline"/>
        <w:rPr>
          <w:rFonts w:ascii="Calibri" w:eastAsia="Times New Roman" w:hAnsi="Calibri" w:cs="Calibri"/>
          <w:lang w:eastAsia="en-AU"/>
        </w:rPr>
      </w:pPr>
      <w:r w:rsidRPr="00EF2447">
        <w:rPr>
          <w:rFonts w:ascii="Calibri" w:eastAsia="Times New Roman" w:hAnsi="Calibri" w:cs="Calibri"/>
          <w:lang w:eastAsia="en-AU"/>
        </w:rPr>
        <w:t xml:space="preserve">ACCAN welcomes assurances from both Telstra and TPG that spectrum pooling would lead to improved network service quality, and alleviate </w:t>
      </w:r>
      <w:r>
        <w:rPr>
          <w:rFonts w:ascii="Calibri" w:eastAsia="Times New Roman" w:hAnsi="Calibri" w:cs="Calibri"/>
          <w:lang w:eastAsia="en-AU"/>
        </w:rPr>
        <w:t xml:space="preserve">current </w:t>
      </w:r>
      <w:r w:rsidRPr="00EF2447">
        <w:rPr>
          <w:rFonts w:ascii="Calibri" w:eastAsia="Times New Roman" w:hAnsi="Calibri" w:cs="Calibri"/>
          <w:lang w:eastAsia="en-AU"/>
        </w:rPr>
        <w:t xml:space="preserve">congestion. ACCAN hopes this will address reports from consumers that the quality of service in the Telstra regional network has deteriorated, and provide future proofing so that the network will have the capacity to meet demand. This would be a very positive outcome for regional areas. </w:t>
      </w:r>
    </w:p>
    <w:p w14:paraId="4D95538C" w14:textId="77777777" w:rsidR="00EF2447" w:rsidRPr="00EF2447" w:rsidRDefault="00EF2447" w:rsidP="00EE6FC9">
      <w:pPr>
        <w:pStyle w:val="ListParagraph"/>
        <w:tabs>
          <w:tab w:val="num" w:pos="0"/>
        </w:tabs>
        <w:spacing w:after="0" w:line="276" w:lineRule="auto"/>
        <w:textAlignment w:val="baseline"/>
        <w:rPr>
          <w:rFonts w:ascii="Calibri" w:eastAsia="Times New Roman" w:hAnsi="Calibri" w:cs="Calibri"/>
          <w:lang w:eastAsia="en-AU"/>
        </w:rPr>
      </w:pPr>
    </w:p>
    <w:p w14:paraId="74B2EF8F" w14:textId="3B2A47D5" w:rsidR="00EF2447" w:rsidRDefault="00EF2447" w:rsidP="00EE6FC9">
      <w:pPr>
        <w:spacing w:after="0" w:line="276" w:lineRule="auto"/>
        <w:textAlignment w:val="baseline"/>
        <w:rPr>
          <w:rFonts w:ascii="Calibri" w:eastAsia="MS Mincho" w:hAnsi="Calibri" w:cs="Calibri"/>
          <w:lang w:eastAsia="en-AU"/>
        </w:rPr>
      </w:pPr>
      <w:r w:rsidRPr="00EF2447">
        <w:rPr>
          <w:rFonts w:ascii="Calibri" w:eastAsia="MS Mincho" w:hAnsi="Calibri" w:cs="Calibri"/>
          <w:lang w:eastAsia="en-AU"/>
        </w:rPr>
        <w:t xml:space="preserve">It is </w:t>
      </w:r>
      <w:r w:rsidR="00AB4685">
        <w:rPr>
          <w:rFonts w:ascii="Calibri" w:eastAsia="MS Mincho" w:hAnsi="Calibri" w:cs="Calibri"/>
          <w:lang w:eastAsia="en-AU"/>
        </w:rPr>
        <w:t xml:space="preserve">unlikely that </w:t>
      </w:r>
      <w:r w:rsidRPr="00EF2447">
        <w:rPr>
          <w:rFonts w:ascii="Calibri" w:eastAsia="MS Mincho" w:hAnsi="Calibri" w:cs="Calibri"/>
          <w:lang w:eastAsia="en-AU"/>
        </w:rPr>
        <w:t xml:space="preserve">the MOCN would have </w:t>
      </w:r>
      <w:r w:rsidR="00AB4685">
        <w:rPr>
          <w:rFonts w:ascii="Calibri" w:eastAsia="MS Mincho" w:hAnsi="Calibri" w:cs="Calibri"/>
          <w:lang w:eastAsia="en-AU"/>
        </w:rPr>
        <w:t xml:space="preserve">any impact </w:t>
      </w:r>
      <w:r w:rsidRPr="00EF2447">
        <w:rPr>
          <w:rFonts w:ascii="Calibri" w:eastAsia="MS Mincho" w:hAnsi="Calibri" w:cs="Calibri"/>
          <w:lang w:eastAsia="en-AU"/>
        </w:rPr>
        <w:t xml:space="preserve">on improving fault repair times </w:t>
      </w:r>
      <w:r w:rsidR="00AB4685">
        <w:rPr>
          <w:rFonts w:ascii="Calibri" w:eastAsia="MS Mincho" w:hAnsi="Calibri" w:cs="Calibri"/>
          <w:lang w:eastAsia="en-AU"/>
        </w:rPr>
        <w:t>f</w:t>
      </w:r>
      <w:r w:rsidRPr="00EF2447">
        <w:rPr>
          <w:rFonts w:ascii="Calibri" w:eastAsia="MS Mincho" w:hAnsi="Calibri" w:cs="Calibri"/>
          <w:lang w:eastAsia="en-AU"/>
        </w:rPr>
        <w:t>o</w:t>
      </w:r>
      <w:r w:rsidR="00AB4685">
        <w:rPr>
          <w:rFonts w:ascii="Calibri" w:eastAsia="MS Mincho" w:hAnsi="Calibri" w:cs="Calibri"/>
          <w:lang w:eastAsia="en-AU"/>
        </w:rPr>
        <w:t>r</w:t>
      </w:r>
      <w:r w:rsidRPr="00EF2447">
        <w:rPr>
          <w:rFonts w:ascii="Calibri" w:eastAsia="MS Mincho" w:hAnsi="Calibri" w:cs="Calibri"/>
          <w:lang w:eastAsia="en-AU"/>
        </w:rPr>
        <w:t xml:space="preserve"> mobile infrastructure given that Telstra would remain the network operator.  </w:t>
      </w:r>
    </w:p>
    <w:p w14:paraId="5CD0A92A" w14:textId="4BF6A033" w:rsidR="00A52788" w:rsidRDefault="00A52788" w:rsidP="00EE6FC9">
      <w:pPr>
        <w:spacing w:after="0" w:line="276" w:lineRule="auto"/>
        <w:textAlignment w:val="baseline"/>
        <w:rPr>
          <w:rFonts w:ascii="Calibri" w:eastAsia="MS Mincho" w:hAnsi="Calibri" w:cs="Calibri"/>
          <w:lang w:eastAsia="en-AU"/>
        </w:rPr>
      </w:pPr>
    </w:p>
    <w:p w14:paraId="25D06BCC" w14:textId="77777777" w:rsidR="00371B0B" w:rsidRDefault="00371B0B" w:rsidP="00EE6FC9">
      <w:pPr>
        <w:spacing w:after="0" w:line="276" w:lineRule="auto"/>
        <w:textAlignment w:val="baseline"/>
        <w:rPr>
          <w:rStyle w:val="Emphasis"/>
        </w:rPr>
      </w:pPr>
    </w:p>
    <w:p w14:paraId="0939F932" w14:textId="324540B7" w:rsidR="00A52788" w:rsidRPr="00214861" w:rsidRDefault="00A52788" w:rsidP="00EE6FC9">
      <w:pPr>
        <w:spacing w:after="0" w:line="276" w:lineRule="auto"/>
        <w:textAlignment w:val="baseline"/>
        <w:rPr>
          <w:rStyle w:val="Emphasis"/>
        </w:rPr>
      </w:pPr>
      <w:r w:rsidRPr="00214861">
        <w:rPr>
          <w:rStyle w:val="Emphasis"/>
        </w:rPr>
        <w:lastRenderedPageBreak/>
        <w:t>Prices</w:t>
      </w:r>
    </w:p>
    <w:p w14:paraId="1B9A1E46" w14:textId="224D294A" w:rsidR="00A52788" w:rsidRDefault="00A52788" w:rsidP="00EE6FC9">
      <w:pPr>
        <w:spacing w:after="0" w:line="276" w:lineRule="auto"/>
        <w:textAlignment w:val="baseline"/>
        <w:rPr>
          <w:rFonts w:ascii="Calibri" w:eastAsia="Times New Roman" w:hAnsi="Calibri" w:cs="Calibri"/>
          <w:lang w:val="en-US" w:eastAsia="en-AU"/>
        </w:rPr>
      </w:pPr>
      <w:r>
        <w:rPr>
          <w:rFonts w:ascii="Calibri" w:eastAsia="MS Mincho" w:hAnsi="Calibri" w:cs="Calibri"/>
          <w:lang w:eastAsia="en-AU"/>
        </w:rPr>
        <w:t xml:space="preserve">The potential </w:t>
      </w:r>
      <w:r w:rsidR="00E3454F" w:rsidRPr="00E3454F">
        <w:rPr>
          <w:rFonts w:ascii="Calibri" w:eastAsia="MS Mincho" w:hAnsi="Calibri" w:cs="Calibri"/>
          <w:lang w:eastAsia="en-AU"/>
        </w:rPr>
        <w:t>for more price competition</w:t>
      </w:r>
      <w:r>
        <w:rPr>
          <w:rFonts w:ascii="Calibri" w:eastAsia="MS Mincho" w:hAnsi="Calibri" w:cs="Calibri"/>
          <w:lang w:eastAsia="en-AU"/>
        </w:rPr>
        <w:t xml:space="preserve"> </w:t>
      </w:r>
      <w:r w:rsidR="00DF2075">
        <w:rPr>
          <w:rFonts w:ascii="Calibri" w:eastAsia="MS Mincho" w:hAnsi="Calibri" w:cs="Calibri"/>
          <w:lang w:eastAsia="en-AU"/>
        </w:rPr>
        <w:t>c</w:t>
      </w:r>
      <w:r>
        <w:rPr>
          <w:rFonts w:ascii="Calibri" w:eastAsia="MS Mincho" w:hAnsi="Calibri" w:cs="Calibri"/>
          <w:lang w:eastAsia="en-AU"/>
        </w:rPr>
        <w:t xml:space="preserve">ould be a positive outcome for consumers under the proposed arrangements. As mentioned above, </w:t>
      </w:r>
      <w:r w:rsidR="00E3454F" w:rsidRPr="00E3454F">
        <w:rPr>
          <w:rFonts w:ascii="Calibri" w:eastAsia="Times New Roman" w:hAnsi="Calibri" w:cs="Calibri"/>
          <w:lang w:val="en-US" w:eastAsia="en-AU"/>
        </w:rPr>
        <w:t xml:space="preserve">TPG has generally been </w:t>
      </w:r>
      <w:r>
        <w:rPr>
          <w:rFonts w:ascii="Calibri" w:eastAsia="Times New Roman" w:hAnsi="Calibri" w:cs="Calibri"/>
          <w:lang w:val="en-US" w:eastAsia="en-AU"/>
        </w:rPr>
        <w:t xml:space="preserve">able to offer </w:t>
      </w:r>
      <w:r w:rsidR="00E3454F" w:rsidRPr="00E3454F">
        <w:rPr>
          <w:rFonts w:ascii="Calibri" w:eastAsia="Times New Roman" w:hAnsi="Calibri" w:cs="Calibri"/>
          <w:lang w:val="en-US" w:eastAsia="en-AU"/>
        </w:rPr>
        <w:t>cheaper alternative</w:t>
      </w:r>
      <w:r>
        <w:rPr>
          <w:rFonts w:ascii="Calibri" w:eastAsia="Times New Roman" w:hAnsi="Calibri" w:cs="Calibri"/>
          <w:lang w:val="en-US" w:eastAsia="en-AU"/>
        </w:rPr>
        <w:t>s</w:t>
      </w:r>
      <w:r w:rsidR="00E3454F" w:rsidRPr="00E3454F">
        <w:rPr>
          <w:rFonts w:ascii="Calibri" w:eastAsia="Times New Roman" w:hAnsi="Calibri" w:cs="Calibri"/>
          <w:lang w:val="en-US" w:eastAsia="en-AU"/>
        </w:rPr>
        <w:t xml:space="preserve"> to </w:t>
      </w:r>
      <w:r>
        <w:rPr>
          <w:rFonts w:ascii="Calibri" w:eastAsia="Times New Roman" w:hAnsi="Calibri" w:cs="Calibri"/>
          <w:lang w:val="en-US" w:eastAsia="en-AU"/>
        </w:rPr>
        <w:t xml:space="preserve">Telstra and Optus </w:t>
      </w:r>
      <w:r w:rsidR="00E3454F" w:rsidRPr="00E3454F">
        <w:rPr>
          <w:rFonts w:ascii="Calibri" w:eastAsia="Times New Roman" w:hAnsi="Calibri" w:cs="Calibri"/>
          <w:lang w:val="en-US" w:eastAsia="en-AU"/>
        </w:rPr>
        <w:t>as a trade</w:t>
      </w:r>
      <w:r>
        <w:rPr>
          <w:rFonts w:ascii="Calibri" w:eastAsia="Times New Roman" w:hAnsi="Calibri" w:cs="Calibri"/>
          <w:lang w:val="en-US" w:eastAsia="en-AU"/>
        </w:rPr>
        <w:t>-</w:t>
      </w:r>
      <w:r w:rsidR="00E3454F" w:rsidRPr="00E3454F">
        <w:rPr>
          <w:rFonts w:ascii="Calibri" w:eastAsia="Times New Roman" w:hAnsi="Calibri" w:cs="Calibri"/>
          <w:lang w:val="en-US" w:eastAsia="en-AU"/>
        </w:rPr>
        <w:t xml:space="preserve">off for </w:t>
      </w:r>
      <w:r>
        <w:rPr>
          <w:rFonts w:ascii="Calibri" w:eastAsia="Times New Roman" w:hAnsi="Calibri" w:cs="Calibri"/>
          <w:lang w:val="en-US" w:eastAsia="en-AU"/>
        </w:rPr>
        <w:t xml:space="preserve">its more limited </w:t>
      </w:r>
      <w:r w:rsidR="00E3454F" w:rsidRPr="00E3454F">
        <w:rPr>
          <w:rFonts w:ascii="Calibri" w:eastAsia="Times New Roman" w:hAnsi="Calibri" w:cs="Calibri"/>
          <w:lang w:val="en-US" w:eastAsia="en-AU"/>
        </w:rPr>
        <w:t>coverage</w:t>
      </w:r>
      <w:r>
        <w:rPr>
          <w:rFonts w:ascii="Calibri" w:eastAsia="Times New Roman" w:hAnsi="Calibri" w:cs="Calibri"/>
          <w:lang w:val="en-US" w:eastAsia="en-AU"/>
        </w:rPr>
        <w:t xml:space="preserve">. </w:t>
      </w:r>
      <w:r w:rsidR="002C3D01" w:rsidRPr="002C3D01">
        <w:rPr>
          <w:rFonts w:ascii="Calibri" w:eastAsia="Times New Roman" w:hAnsi="Calibri" w:cs="Calibri"/>
          <w:lang w:eastAsia="en-AU"/>
        </w:rPr>
        <w:t xml:space="preserve">It is of the upmost importance that this differentiation would remain if the MOCN proceeds. </w:t>
      </w:r>
      <w:r>
        <w:rPr>
          <w:rFonts w:ascii="Calibri" w:eastAsia="Times New Roman" w:hAnsi="Calibri" w:cs="Calibri"/>
          <w:lang w:val="en-US" w:eastAsia="en-AU"/>
        </w:rPr>
        <w:t xml:space="preserve"> </w:t>
      </w:r>
    </w:p>
    <w:p w14:paraId="3CEBB109" w14:textId="77777777" w:rsidR="00A52788" w:rsidRDefault="00A52788" w:rsidP="00EE6FC9">
      <w:pPr>
        <w:spacing w:after="0" w:line="276" w:lineRule="auto"/>
        <w:textAlignment w:val="baseline"/>
        <w:rPr>
          <w:rFonts w:ascii="Calibri" w:eastAsia="Times New Roman" w:hAnsi="Calibri" w:cs="Calibri"/>
          <w:lang w:val="en-US" w:eastAsia="en-AU"/>
        </w:rPr>
      </w:pPr>
    </w:p>
    <w:p w14:paraId="209479AA" w14:textId="7FD48460" w:rsidR="00DF2075" w:rsidRDefault="00A52788" w:rsidP="00EE6FC9">
      <w:pPr>
        <w:spacing w:after="0" w:line="276" w:lineRule="auto"/>
        <w:textAlignment w:val="baseline"/>
        <w:rPr>
          <w:rFonts w:ascii="Calibri" w:eastAsia="MS Mincho" w:hAnsi="Calibri" w:cs="Calibri"/>
          <w:lang w:eastAsia="en-AU"/>
        </w:rPr>
      </w:pPr>
      <w:r>
        <w:rPr>
          <w:rFonts w:ascii="Calibri" w:eastAsia="Times New Roman" w:hAnsi="Calibri" w:cs="Calibri"/>
          <w:lang w:val="en-US" w:eastAsia="en-AU"/>
        </w:rPr>
        <w:t xml:space="preserve">However, it is difficult </w:t>
      </w:r>
      <w:r w:rsidR="00AB4685">
        <w:rPr>
          <w:rFonts w:ascii="Calibri" w:eastAsia="Times New Roman" w:hAnsi="Calibri" w:cs="Calibri"/>
          <w:lang w:val="en-US" w:eastAsia="en-AU"/>
        </w:rPr>
        <w:t xml:space="preserve">from ACCAN’s perspective to </w:t>
      </w:r>
      <w:r>
        <w:rPr>
          <w:rFonts w:ascii="Calibri" w:eastAsia="Times New Roman" w:hAnsi="Calibri" w:cs="Calibri"/>
          <w:lang w:val="en-US" w:eastAsia="en-AU"/>
        </w:rPr>
        <w:t xml:space="preserve">predict what the impact on prices would be. Telstra has recently announced a 4-5% price increase </w:t>
      </w:r>
      <w:r w:rsidR="00DF2075">
        <w:rPr>
          <w:rFonts w:ascii="Calibri" w:eastAsia="Times New Roman" w:hAnsi="Calibri" w:cs="Calibri"/>
          <w:lang w:val="en-US" w:eastAsia="en-AU"/>
        </w:rPr>
        <w:t xml:space="preserve">for its mobile plans </w:t>
      </w:r>
      <w:r>
        <w:rPr>
          <w:rFonts w:ascii="Calibri" w:eastAsia="Times New Roman" w:hAnsi="Calibri" w:cs="Calibri"/>
          <w:lang w:val="en-US" w:eastAsia="en-AU"/>
        </w:rPr>
        <w:t xml:space="preserve">in line with CPI, </w:t>
      </w:r>
      <w:r>
        <w:rPr>
          <w:rFonts w:ascii="Calibri" w:eastAsia="MS Mincho" w:hAnsi="Calibri" w:cs="Calibri"/>
          <w:lang w:eastAsia="en-AU"/>
        </w:rPr>
        <w:t>and there is speculation that Optus will also be increasing mobile pricing later in 2022</w:t>
      </w:r>
      <w:r>
        <w:rPr>
          <w:rStyle w:val="FootnoteReference"/>
          <w:rFonts w:ascii="Calibri" w:eastAsia="MS Mincho" w:hAnsi="Calibri" w:cs="Calibri"/>
          <w:lang w:eastAsia="en-AU"/>
        </w:rPr>
        <w:footnoteReference w:id="9"/>
      </w:r>
      <w:r>
        <w:rPr>
          <w:rFonts w:ascii="Calibri" w:eastAsia="MS Mincho" w:hAnsi="Calibri" w:cs="Calibri"/>
          <w:lang w:eastAsia="en-AU"/>
        </w:rPr>
        <w:t xml:space="preserve">. TPG may want to maintain current mobile pricing levels to build growth in the regional market, as well as increase its share of the metropolitan market. Alternatively, additional costs incurred by TPG under the proposed arrangements may need to be recouped by higher prices nationally, which would disadvantage its current metropolitan customer base at a time of high cost of living pressures putting a strain on household budgets. </w:t>
      </w:r>
      <w:r w:rsidR="00DF2075">
        <w:rPr>
          <w:rFonts w:ascii="Calibri" w:eastAsia="MS Mincho" w:hAnsi="Calibri" w:cs="Calibri"/>
          <w:lang w:eastAsia="en-AU"/>
        </w:rPr>
        <w:t xml:space="preserve">This would be an undesirable outcome. TPG have indicated that their costs under the MOCN will be offset by spectrum lease payments from Telstra, and from savings in decommissioning its 725 mobile sites in the MOCN footprint, which may reduce pressure to increase prices. </w:t>
      </w:r>
    </w:p>
    <w:p w14:paraId="1E4A69C9" w14:textId="77777777" w:rsidR="00DF2075" w:rsidRDefault="00DF2075" w:rsidP="00EE6FC9">
      <w:pPr>
        <w:spacing w:after="0" w:line="276" w:lineRule="auto"/>
        <w:textAlignment w:val="baseline"/>
        <w:rPr>
          <w:rFonts w:ascii="Calibri" w:eastAsia="MS Mincho" w:hAnsi="Calibri" w:cs="Calibri"/>
          <w:lang w:eastAsia="en-AU"/>
        </w:rPr>
      </w:pPr>
    </w:p>
    <w:p w14:paraId="776A71C3" w14:textId="07A9D73C" w:rsidR="00E3454F" w:rsidRDefault="00DF2075" w:rsidP="00EE6FC9">
      <w:pPr>
        <w:spacing w:after="0" w:line="276" w:lineRule="auto"/>
        <w:textAlignment w:val="baseline"/>
        <w:rPr>
          <w:rFonts w:ascii="Calibri" w:eastAsia="MS Mincho" w:hAnsi="Calibri" w:cs="Calibri"/>
          <w:lang w:eastAsia="en-AU"/>
        </w:rPr>
      </w:pPr>
      <w:r>
        <w:rPr>
          <w:rFonts w:ascii="Calibri" w:eastAsia="MS Mincho" w:hAnsi="Calibri" w:cs="Calibri"/>
          <w:lang w:eastAsia="en-AU"/>
        </w:rPr>
        <w:t xml:space="preserve">Given that Telstra will maintain its coverage advantage and is the market incumbent in regional areas, we believe it unlikely that it would be motivated to lower prices </w:t>
      </w:r>
      <w:r w:rsidR="004655E7">
        <w:rPr>
          <w:rFonts w:ascii="Calibri" w:eastAsia="MS Mincho" w:hAnsi="Calibri" w:cs="Calibri"/>
          <w:lang w:eastAsia="en-AU"/>
        </w:rPr>
        <w:t>because of</w:t>
      </w:r>
      <w:r>
        <w:rPr>
          <w:rFonts w:ascii="Calibri" w:eastAsia="MS Mincho" w:hAnsi="Calibri" w:cs="Calibri"/>
          <w:lang w:eastAsia="en-AU"/>
        </w:rPr>
        <w:t xml:space="preserve"> the proposed arrangements. </w:t>
      </w:r>
      <w:r w:rsidR="005023C1">
        <w:rPr>
          <w:rFonts w:ascii="Calibri" w:eastAsia="MS Mincho" w:hAnsi="Calibri" w:cs="Calibri"/>
          <w:lang w:eastAsia="en-AU"/>
        </w:rPr>
        <w:t xml:space="preserve">Telstra has even indicated that it is open to annual price increases in line with CPI in future, suggesting it has no intention of price reductions. </w:t>
      </w:r>
    </w:p>
    <w:p w14:paraId="19B2DA96" w14:textId="7D787266" w:rsidR="004655E7" w:rsidRDefault="004655E7" w:rsidP="00EE6FC9">
      <w:pPr>
        <w:spacing w:after="0" w:line="276" w:lineRule="auto"/>
        <w:textAlignment w:val="baseline"/>
        <w:rPr>
          <w:rFonts w:ascii="Calibri" w:eastAsia="MS Mincho" w:hAnsi="Calibri" w:cs="Calibri"/>
          <w:lang w:eastAsia="en-AU"/>
        </w:rPr>
      </w:pPr>
    </w:p>
    <w:p w14:paraId="10C99EF4" w14:textId="2F832C65" w:rsidR="004655E7" w:rsidRDefault="004655E7" w:rsidP="00EE6FC9">
      <w:pPr>
        <w:spacing w:after="0" w:line="276" w:lineRule="auto"/>
        <w:textAlignment w:val="baseline"/>
        <w:rPr>
          <w:rFonts w:ascii="Calibri" w:eastAsia="MS Mincho" w:hAnsi="Calibri" w:cs="Calibri"/>
          <w:i/>
          <w:iCs/>
          <w:lang w:eastAsia="en-AU"/>
        </w:rPr>
      </w:pPr>
      <w:r w:rsidRPr="004655E7">
        <w:rPr>
          <w:rFonts w:ascii="Calibri" w:eastAsia="MS Mincho" w:hAnsi="Calibri" w:cs="Calibri"/>
          <w:i/>
          <w:iCs/>
          <w:lang w:eastAsia="en-AU"/>
        </w:rPr>
        <w:t xml:space="preserve">Decommissioning of 725 TPG mobile </w:t>
      </w:r>
      <w:r w:rsidR="00676291">
        <w:rPr>
          <w:rFonts w:ascii="Calibri" w:eastAsia="MS Mincho" w:hAnsi="Calibri" w:cs="Calibri"/>
          <w:i/>
          <w:iCs/>
          <w:lang w:eastAsia="en-AU"/>
        </w:rPr>
        <w:t>sites</w:t>
      </w:r>
    </w:p>
    <w:p w14:paraId="30E47FC7" w14:textId="50E7BC90" w:rsidR="006C0C12" w:rsidRDefault="003A79BF" w:rsidP="00EE6FC9">
      <w:pPr>
        <w:spacing w:after="0" w:line="276" w:lineRule="auto"/>
        <w:textAlignment w:val="baseline"/>
        <w:rPr>
          <w:rFonts w:ascii="Calibri" w:eastAsia="Times New Roman" w:hAnsi="Calibri" w:cs="Calibri"/>
          <w:lang w:eastAsia="en-AU"/>
        </w:rPr>
      </w:pPr>
      <w:r w:rsidRPr="4DE116CB">
        <w:rPr>
          <w:rFonts w:ascii="Calibri" w:eastAsia="Times New Roman" w:hAnsi="Calibri" w:cs="Calibri"/>
          <w:lang w:eastAsia="en-AU"/>
        </w:rPr>
        <w:t xml:space="preserve">TPG </w:t>
      </w:r>
      <w:r w:rsidR="00676291" w:rsidRPr="4DE116CB">
        <w:rPr>
          <w:rFonts w:ascii="Calibri" w:eastAsia="Times New Roman" w:hAnsi="Calibri" w:cs="Calibri"/>
          <w:lang w:eastAsia="en-AU"/>
        </w:rPr>
        <w:t xml:space="preserve">and Telstra have agreed that TPG </w:t>
      </w:r>
      <w:r w:rsidRPr="4DE116CB">
        <w:rPr>
          <w:rFonts w:ascii="Calibri" w:eastAsia="Times New Roman" w:hAnsi="Calibri" w:cs="Calibri"/>
          <w:lang w:eastAsia="en-AU"/>
        </w:rPr>
        <w:t xml:space="preserve">will remove its equipment from </w:t>
      </w:r>
      <w:r w:rsidR="00676291" w:rsidRPr="4DE116CB">
        <w:rPr>
          <w:rFonts w:ascii="Calibri" w:eastAsia="Times New Roman" w:hAnsi="Calibri" w:cs="Calibri"/>
          <w:lang w:eastAsia="en-AU"/>
        </w:rPr>
        <w:t xml:space="preserve">725 mobile sites in the regional area covered by the MOCN, and Telstra will install its equipment on 169 of these sites. </w:t>
      </w:r>
      <w:r w:rsidR="0084134D" w:rsidRPr="4DE116CB">
        <w:rPr>
          <w:rFonts w:ascii="Calibri" w:eastAsia="Times New Roman" w:hAnsi="Calibri" w:cs="Calibri"/>
          <w:lang w:eastAsia="en-AU"/>
        </w:rPr>
        <w:t>ACCAN would be concerned if this process resulted in any diminution of coverage overall</w:t>
      </w:r>
      <w:r w:rsidR="00031509">
        <w:rPr>
          <w:rFonts w:ascii="Calibri" w:eastAsia="Times New Roman" w:hAnsi="Calibri" w:cs="Calibri"/>
          <w:lang w:eastAsia="en-AU"/>
        </w:rPr>
        <w:t>.</w:t>
      </w:r>
      <w:r w:rsidR="006249F5" w:rsidRPr="4DE116CB">
        <w:rPr>
          <w:rFonts w:ascii="Calibri" w:eastAsia="Times New Roman" w:hAnsi="Calibri" w:cs="Calibri"/>
          <w:lang w:eastAsia="en-AU"/>
        </w:rPr>
        <w:t xml:space="preserve"> Additionally</w:t>
      </w:r>
      <w:r w:rsidR="009D476F">
        <w:rPr>
          <w:rFonts w:ascii="Calibri" w:eastAsia="Times New Roman" w:hAnsi="Calibri" w:cs="Calibri"/>
          <w:lang w:eastAsia="en-AU"/>
        </w:rPr>
        <w:t>,</w:t>
      </w:r>
      <w:r w:rsidR="0084134D" w:rsidRPr="4DE116CB">
        <w:rPr>
          <w:rFonts w:ascii="Calibri" w:eastAsia="Times New Roman" w:hAnsi="Calibri" w:cs="Calibri"/>
          <w:lang w:eastAsia="en-AU"/>
        </w:rPr>
        <w:t xml:space="preserve"> </w:t>
      </w:r>
      <w:r w:rsidR="001B4C89" w:rsidRPr="4DE116CB">
        <w:rPr>
          <w:rFonts w:ascii="Calibri" w:eastAsia="Times New Roman" w:hAnsi="Calibri" w:cs="Calibri"/>
          <w:lang w:eastAsia="en-AU"/>
        </w:rPr>
        <w:t>the extent to which the decommissioning of mobile sites reduces redundancy during an emergency should be considered. ACCAN notes that th</w:t>
      </w:r>
      <w:r w:rsidR="009D476F">
        <w:rPr>
          <w:rFonts w:ascii="Calibri" w:eastAsia="Times New Roman" w:hAnsi="Calibri" w:cs="Calibri"/>
          <w:lang w:eastAsia="en-AU"/>
        </w:rPr>
        <w:t>is</w:t>
      </w:r>
      <w:r w:rsidR="001B4C89" w:rsidRPr="4DE116CB">
        <w:rPr>
          <w:rFonts w:ascii="Calibri" w:eastAsia="Times New Roman" w:hAnsi="Calibri" w:cs="Calibri"/>
          <w:lang w:eastAsia="en-AU"/>
        </w:rPr>
        <w:t xml:space="preserve"> impact may be mitigated </w:t>
      </w:r>
      <w:r w:rsidR="00FA44AC">
        <w:rPr>
          <w:rFonts w:ascii="Calibri" w:eastAsia="Times New Roman" w:hAnsi="Calibri" w:cs="Calibri"/>
          <w:lang w:eastAsia="en-AU"/>
        </w:rPr>
        <w:t xml:space="preserve">if </w:t>
      </w:r>
      <w:r w:rsidR="00B97664">
        <w:rPr>
          <w:rFonts w:ascii="Calibri" w:eastAsia="Times New Roman" w:hAnsi="Calibri" w:cs="Calibri"/>
          <w:lang w:eastAsia="en-AU"/>
        </w:rPr>
        <w:t xml:space="preserve">the mobile sites </w:t>
      </w:r>
      <w:r w:rsidR="00CB1BF6">
        <w:rPr>
          <w:rFonts w:ascii="Calibri" w:eastAsia="Times New Roman" w:hAnsi="Calibri" w:cs="Calibri"/>
          <w:lang w:eastAsia="en-AU"/>
        </w:rPr>
        <w:t>flagged for decommissioning</w:t>
      </w:r>
      <w:r w:rsidR="00340CC5">
        <w:rPr>
          <w:rFonts w:ascii="Calibri" w:eastAsia="Times New Roman" w:hAnsi="Calibri" w:cs="Calibri"/>
          <w:lang w:eastAsia="en-AU"/>
        </w:rPr>
        <w:t xml:space="preserve"> will </w:t>
      </w:r>
      <w:r w:rsidR="006D3195">
        <w:rPr>
          <w:rFonts w:ascii="Calibri" w:eastAsia="Times New Roman" w:hAnsi="Calibri" w:cs="Calibri"/>
          <w:lang w:eastAsia="en-AU"/>
        </w:rPr>
        <w:t xml:space="preserve">retain </w:t>
      </w:r>
      <w:r w:rsidR="005545C3">
        <w:rPr>
          <w:rFonts w:ascii="Calibri" w:eastAsia="Times New Roman" w:hAnsi="Calibri" w:cs="Calibri"/>
          <w:lang w:eastAsia="en-AU"/>
        </w:rPr>
        <w:t>Optus</w:t>
      </w:r>
      <w:r w:rsidR="00C01351">
        <w:rPr>
          <w:rFonts w:ascii="Calibri" w:eastAsia="Times New Roman" w:hAnsi="Calibri" w:cs="Calibri"/>
          <w:lang w:eastAsia="en-AU"/>
        </w:rPr>
        <w:t xml:space="preserve"> and Telstra </w:t>
      </w:r>
      <w:r w:rsidR="009D476F">
        <w:rPr>
          <w:rFonts w:ascii="Calibri" w:eastAsia="Times New Roman" w:hAnsi="Calibri" w:cs="Calibri"/>
          <w:lang w:eastAsia="en-AU"/>
        </w:rPr>
        <w:t xml:space="preserve">active equipment. </w:t>
      </w:r>
      <w:r w:rsidR="001B4C89" w:rsidRPr="4DE116CB">
        <w:rPr>
          <w:rFonts w:ascii="Calibri" w:eastAsia="Times New Roman" w:hAnsi="Calibri" w:cs="Calibri"/>
          <w:lang w:eastAsia="en-AU"/>
        </w:rPr>
        <w:t xml:space="preserve"> </w:t>
      </w:r>
    </w:p>
    <w:p w14:paraId="50BFAB3D" w14:textId="77777777" w:rsidR="006C0C12" w:rsidRDefault="006C0C12" w:rsidP="00EE6FC9">
      <w:pPr>
        <w:spacing w:after="0" w:line="276" w:lineRule="auto"/>
        <w:textAlignment w:val="baseline"/>
        <w:rPr>
          <w:rFonts w:ascii="Calibri" w:eastAsia="Times New Roman" w:hAnsi="Calibri" w:cs="Calibri"/>
          <w:lang w:eastAsia="en-AU"/>
        </w:rPr>
      </w:pPr>
    </w:p>
    <w:p w14:paraId="215E577A" w14:textId="09B83071" w:rsidR="004655E7" w:rsidRPr="00E3454F" w:rsidRDefault="006C0C12" w:rsidP="00EE6FC9">
      <w:pPr>
        <w:spacing w:after="0" w:line="276" w:lineRule="auto"/>
        <w:textAlignment w:val="baseline"/>
        <w:rPr>
          <w:rFonts w:ascii="Calibri" w:eastAsia="Times New Roman" w:hAnsi="Calibri" w:cs="Calibri"/>
          <w:lang w:eastAsia="en-AU"/>
        </w:rPr>
      </w:pPr>
      <w:r>
        <w:rPr>
          <w:rFonts w:ascii="Calibri" w:eastAsia="Times New Roman" w:hAnsi="Calibri" w:cs="Calibri"/>
          <w:lang w:eastAsia="en-AU"/>
        </w:rPr>
        <w:t xml:space="preserve">Besides the </w:t>
      </w:r>
      <w:r w:rsidR="001B4C89">
        <w:rPr>
          <w:rFonts w:ascii="Calibri" w:eastAsia="Times New Roman" w:hAnsi="Calibri" w:cs="Calibri"/>
          <w:lang w:eastAsia="en-AU"/>
        </w:rPr>
        <w:t xml:space="preserve">potentially </w:t>
      </w:r>
      <w:r>
        <w:rPr>
          <w:rFonts w:ascii="Calibri" w:eastAsia="Times New Roman" w:hAnsi="Calibri" w:cs="Calibri"/>
          <w:lang w:eastAsia="en-AU"/>
        </w:rPr>
        <w:t xml:space="preserve">reduced redundancy, is unclear to ACCAN what the </w:t>
      </w:r>
      <w:proofErr w:type="gramStart"/>
      <w:r>
        <w:rPr>
          <w:rFonts w:ascii="Calibri" w:eastAsia="Times New Roman" w:hAnsi="Calibri" w:cs="Calibri"/>
          <w:lang w:eastAsia="en-AU"/>
        </w:rPr>
        <w:t>long term</w:t>
      </w:r>
      <w:proofErr w:type="gramEnd"/>
      <w:r>
        <w:rPr>
          <w:rFonts w:ascii="Calibri" w:eastAsia="Times New Roman" w:hAnsi="Calibri" w:cs="Calibri"/>
          <w:lang w:eastAsia="en-AU"/>
        </w:rPr>
        <w:t xml:space="preserve"> impacts of </w:t>
      </w:r>
      <w:r w:rsidR="00B6045D">
        <w:rPr>
          <w:rFonts w:ascii="Calibri" w:eastAsia="Times New Roman" w:hAnsi="Calibri" w:cs="Calibri"/>
          <w:lang w:eastAsia="en-AU"/>
        </w:rPr>
        <w:t>the</w:t>
      </w:r>
      <w:r>
        <w:rPr>
          <w:rFonts w:ascii="Calibri" w:eastAsia="Times New Roman" w:hAnsi="Calibri" w:cs="Calibri"/>
          <w:lang w:eastAsia="en-AU"/>
        </w:rPr>
        <w:t xml:space="preserve"> </w:t>
      </w:r>
      <w:r w:rsidR="00B6045D">
        <w:rPr>
          <w:rFonts w:ascii="Calibri" w:eastAsia="Times New Roman" w:hAnsi="Calibri" w:cs="Calibri"/>
          <w:lang w:eastAsia="en-AU"/>
        </w:rPr>
        <w:t>reduction in</w:t>
      </w:r>
      <w:r>
        <w:rPr>
          <w:rFonts w:ascii="Calibri" w:eastAsia="Times New Roman" w:hAnsi="Calibri" w:cs="Calibri"/>
          <w:lang w:eastAsia="en-AU"/>
        </w:rPr>
        <w:t xml:space="preserve"> infrastructure competition </w:t>
      </w:r>
      <w:r w:rsidR="00B6045D">
        <w:rPr>
          <w:rFonts w:ascii="Calibri" w:eastAsia="Times New Roman" w:hAnsi="Calibri" w:cs="Calibri"/>
          <w:lang w:eastAsia="en-AU"/>
        </w:rPr>
        <w:t>would be. Indeed</w:t>
      </w:r>
      <w:r w:rsidR="00180930">
        <w:rPr>
          <w:rFonts w:ascii="Calibri" w:eastAsia="Times New Roman" w:hAnsi="Calibri" w:cs="Calibri"/>
          <w:lang w:eastAsia="en-AU"/>
        </w:rPr>
        <w:t>,</w:t>
      </w:r>
      <w:r w:rsidR="00B6045D">
        <w:rPr>
          <w:rFonts w:ascii="Calibri" w:eastAsia="Times New Roman" w:hAnsi="Calibri" w:cs="Calibri"/>
          <w:lang w:eastAsia="en-AU"/>
        </w:rPr>
        <w:t xml:space="preserve"> the structure of the mobile towers market has undergone significant change in the past year with all three </w:t>
      </w:r>
      <w:r w:rsidR="00180930">
        <w:rPr>
          <w:rFonts w:ascii="Calibri" w:eastAsia="Times New Roman" w:hAnsi="Calibri" w:cs="Calibri"/>
          <w:lang w:eastAsia="en-AU"/>
        </w:rPr>
        <w:t xml:space="preserve">mobile networks </w:t>
      </w:r>
      <w:r w:rsidR="00B6045D">
        <w:rPr>
          <w:rFonts w:ascii="Calibri" w:eastAsia="Times New Roman" w:hAnsi="Calibri" w:cs="Calibri"/>
          <w:lang w:eastAsia="en-AU"/>
        </w:rPr>
        <w:t xml:space="preserve">selling their towers. </w:t>
      </w:r>
      <w:proofErr w:type="gramStart"/>
      <w:r w:rsidR="00B6045D">
        <w:rPr>
          <w:rFonts w:ascii="Calibri" w:eastAsia="Times New Roman" w:hAnsi="Calibri" w:cs="Calibri"/>
          <w:lang w:eastAsia="en-AU"/>
        </w:rPr>
        <w:t>In light of</w:t>
      </w:r>
      <w:proofErr w:type="gramEnd"/>
      <w:r w:rsidR="00B6045D">
        <w:rPr>
          <w:rFonts w:ascii="Calibri" w:eastAsia="Times New Roman" w:hAnsi="Calibri" w:cs="Calibri"/>
          <w:lang w:eastAsia="en-AU"/>
        </w:rPr>
        <w:t xml:space="preserve"> these developments, ACCAN considers that any potential consumer harm from a reduction in </w:t>
      </w:r>
      <w:r w:rsidR="00D568B0">
        <w:rPr>
          <w:rFonts w:ascii="Calibri" w:eastAsia="Times New Roman" w:hAnsi="Calibri" w:cs="Calibri"/>
          <w:lang w:eastAsia="en-AU"/>
        </w:rPr>
        <w:t xml:space="preserve">passive </w:t>
      </w:r>
      <w:r w:rsidR="00B6045D">
        <w:rPr>
          <w:rFonts w:ascii="Calibri" w:eastAsia="Times New Roman" w:hAnsi="Calibri" w:cs="Calibri"/>
          <w:lang w:eastAsia="en-AU"/>
        </w:rPr>
        <w:t>infrastructure competition could be mitigated by a fit-for-purpose facilities access regime</w:t>
      </w:r>
      <w:r w:rsidR="008670C0">
        <w:rPr>
          <w:rFonts w:ascii="Calibri" w:eastAsia="Times New Roman" w:hAnsi="Calibri" w:cs="Calibri"/>
          <w:lang w:eastAsia="en-AU"/>
        </w:rPr>
        <w:t>.</w:t>
      </w:r>
    </w:p>
    <w:p w14:paraId="499B437F" w14:textId="77777777" w:rsidR="00E3454F" w:rsidRPr="00E3454F" w:rsidRDefault="00E3454F" w:rsidP="00DF2075">
      <w:pPr>
        <w:spacing w:after="0" w:line="240" w:lineRule="auto"/>
        <w:ind w:left="720"/>
        <w:textAlignment w:val="baseline"/>
        <w:rPr>
          <w:rFonts w:ascii="Calibri" w:eastAsia="Times New Roman" w:hAnsi="Calibri" w:cs="Calibri"/>
          <w:lang w:eastAsia="en-AU"/>
        </w:rPr>
      </w:pPr>
    </w:p>
    <w:p w14:paraId="33C42468" w14:textId="77777777" w:rsidR="00BD1D79" w:rsidRDefault="00BD1D79">
      <w:pPr>
        <w:rPr>
          <w:rStyle w:val="normaltextrun"/>
          <w:rFonts w:ascii="Calibri" w:hAnsi="Calibri" w:cs="Calibri"/>
          <w:b/>
          <w:bCs/>
          <w:i/>
          <w:iCs/>
          <w:color w:val="000000"/>
          <w:shd w:val="clear" w:color="auto" w:fill="FFFFFF"/>
          <w:lang w:val="en-US"/>
        </w:rPr>
      </w:pPr>
      <w:r>
        <w:rPr>
          <w:rStyle w:val="normaltextrun"/>
          <w:rFonts w:ascii="Calibri" w:hAnsi="Calibri" w:cs="Calibri"/>
          <w:b/>
          <w:bCs/>
          <w:i/>
          <w:iCs/>
          <w:color w:val="000000"/>
          <w:shd w:val="clear" w:color="auto" w:fill="FFFFFF"/>
          <w:lang w:val="en-US"/>
        </w:rPr>
        <w:br w:type="page"/>
      </w:r>
    </w:p>
    <w:p w14:paraId="3D35B7BA" w14:textId="534C5E22" w:rsidR="00E3454F" w:rsidRPr="005757DE" w:rsidRDefault="004E300E" w:rsidP="00E3454F">
      <w:pPr>
        <w:spacing w:after="200" w:line="276" w:lineRule="auto"/>
        <w:rPr>
          <w:rStyle w:val="normaltextrun"/>
          <w:rFonts w:ascii="Calibri" w:hAnsi="Calibri" w:cs="Calibri"/>
          <w:b/>
          <w:bCs/>
          <w:i/>
          <w:iCs/>
          <w:color w:val="000000"/>
          <w:shd w:val="clear" w:color="auto" w:fill="FFFFFF"/>
          <w:lang w:val="en-US"/>
        </w:rPr>
      </w:pPr>
      <w:r w:rsidRPr="005757DE">
        <w:rPr>
          <w:rStyle w:val="normaltextrun"/>
          <w:rFonts w:ascii="Calibri" w:hAnsi="Calibri" w:cs="Calibri"/>
          <w:b/>
          <w:bCs/>
          <w:i/>
          <w:iCs/>
          <w:color w:val="000000"/>
          <w:shd w:val="clear" w:color="auto" w:fill="FFFFFF"/>
          <w:lang w:val="en-US"/>
        </w:rPr>
        <w:lastRenderedPageBreak/>
        <w:t>How closely TPG and Telstra currently compete, or would be likely to compete in the future, absent the MOCN arrangement</w:t>
      </w:r>
      <w:r w:rsidR="005757DE">
        <w:rPr>
          <w:rStyle w:val="normaltextrun"/>
          <w:rFonts w:ascii="Calibri" w:hAnsi="Calibri" w:cs="Calibri"/>
          <w:b/>
          <w:bCs/>
          <w:i/>
          <w:iCs/>
          <w:color w:val="000000"/>
          <w:shd w:val="clear" w:color="auto" w:fill="FFFFFF"/>
          <w:lang w:val="en-US"/>
        </w:rPr>
        <w:t>;</w:t>
      </w:r>
      <w:r w:rsidRPr="005757DE">
        <w:rPr>
          <w:rStyle w:val="normaltextrun"/>
          <w:rFonts w:ascii="Calibri" w:hAnsi="Calibri" w:cs="Calibri"/>
          <w:b/>
          <w:bCs/>
          <w:i/>
          <w:iCs/>
          <w:color w:val="000000"/>
          <w:shd w:val="clear" w:color="auto" w:fill="FFFFFF"/>
          <w:lang w:val="en-US"/>
        </w:rPr>
        <w:t xml:space="preserve"> the likelihood of other competitors expanding their network coverage and quality to constrain the services provided by Telstra and TPG under the MOCN arrangement</w:t>
      </w:r>
      <w:r w:rsidR="005757DE">
        <w:rPr>
          <w:rStyle w:val="normaltextrun"/>
          <w:rFonts w:ascii="Calibri" w:hAnsi="Calibri" w:cs="Calibri"/>
          <w:b/>
          <w:bCs/>
          <w:i/>
          <w:iCs/>
          <w:color w:val="000000"/>
          <w:shd w:val="clear" w:color="auto" w:fill="FFFFFF"/>
          <w:lang w:val="en-US"/>
        </w:rPr>
        <w:t>.</w:t>
      </w:r>
    </w:p>
    <w:p w14:paraId="450810EF" w14:textId="75640969" w:rsidR="00AB4685" w:rsidRDefault="00AB4685" w:rsidP="00E3454F">
      <w:pPr>
        <w:spacing w:after="200" w:line="276" w:lineRule="auto"/>
        <w:rPr>
          <w:rStyle w:val="normaltextrun"/>
          <w:rFonts w:ascii="Calibri" w:hAnsi="Calibri" w:cs="Calibri"/>
          <w:color w:val="000000"/>
          <w:shd w:val="clear" w:color="auto" w:fill="FFFFFF"/>
          <w:lang w:val="en-US"/>
        </w:rPr>
      </w:pPr>
      <w:r w:rsidRPr="00AB4685">
        <w:rPr>
          <w:rStyle w:val="normaltextrun"/>
          <w:rFonts w:ascii="Calibri" w:hAnsi="Calibri" w:cs="Calibri"/>
          <w:color w:val="000000"/>
          <w:shd w:val="clear" w:color="auto" w:fill="FFFFFF"/>
          <w:lang w:val="en-US"/>
        </w:rPr>
        <w:t xml:space="preserve">As </w:t>
      </w:r>
      <w:r>
        <w:rPr>
          <w:rStyle w:val="normaltextrun"/>
          <w:rFonts w:ascii="Calibri" w:hAnsi="Calibri" w:cs="Calibri"/>
          <w:color w:val="000000"/>
          <w:shd w:val="clear" w:color="auto" w:fill="FFFFFF"/>
          <w:lang w:val="en-US"/>
        </w:rPr>
        <w:t>the current market competitor to Telstra in regional Australia, Optus has made clear its deep concerns about the dampening effect of the MOCN arrangements</w:t>
      </w:r>
      <w:r w:rsidR="006D6987">
        <w:rPr>
          <w:rStyle w:val="normaltextrun"/>
          <w:rFonts w:ascii="Calibri" w:hAnsi="Calibri" w:cs="Calibri"/>
          <w:color w:val="000000"/>
          <w:shd w:val="clear" w:color="auto" w:fill="FFFFFF"/>
          <w:lang w:val="en-US"/>
        </w:rPr>
        <w:t xml:space="preserve"> on its future investments in regional infrastructure, and the expansion of its 5G network. </w:t>
      </w:r>
      <w:r w:rsidR="004516DA">
        <w:rPr>
          <w:rStyle w:val="normaltextrun"/>
          <w:rFonts w:ascii="Calibri" w:hAnsi="Calibri" w:cs="Calibri"/>
          <w:color w:val="000000"/>
          <w:shd w:val="clear" w:color="auto" w:fill="FFFFFF"/>
          <w:lang w:val="en-US"/>
        </w:rPr>
        <w:t xml:space="preserve">This would be a negative outcome, as consumers in regional areas would benefit from increased competition from the three mobile network operators on an infrastructure and service offering basis. </w:t>
      </w:r>
      <w:r w:rsidR="003167B3">
        <w:rPr>
          <w:rStyle w:val="normaltextrun"/>
          <w:rFonts w:ascii="Calibri" w:hAnsi="Calibri" w:cs="Calibri"/>
          <w:color w:val="000000"/>
          <w:shd w:val="clear" w:color="auto" w:fill="FFFFFF"/>
          <w:lang w:val="en-US"/>
        </w:rPr>
        <w:t xml:space="preserve">We suggest the ACCC carefully assess the respective claims made by the mobile networks to </w:t>
      </w:r>
      <w:proofErr w:type="gramStart"/>
      <w:r w:rsidR="003167B3">
        <w:rPr>
          <w:rStyle w:val="normaltextrun"/>
          <w:rFonts w:ascii="Calibri" w:hAnsi="Calibri" w:cs="Calibri"/>
          <w:color w:val="000000"/>
          <w:shd w:val="clear" w:color="auto" w:fill="FFFFFF"/>
          <w:lang w:val="en-US"/>
        </w:rPr>
        <w:t>take into account</w:t>
      </w:r>
      <w:proofErr w:type="gramEnd"/>
      <w:r w:rsidR="003167B3">
        <w:rPr>
          <w:rStyle w:val="normaltextrun"/>
          <w:rFonts w:ascii="Calibri" w:hAnsi="Calibri" w:cs="Calibri"/>
          <w:color w:val="000000"/>
          <w:shd w:val="clear" w:color="auto" w:fill="FFFFFF"/>
          <w:lang w:val="en-US"/>
        </w:rPr>
        <w:t xml:space="preserve"> any lessening of competition and resultant consumer detriment, noting that </w:t>
      </w:r>
      <w:r w:rsidR="00D406C1">
        <w:rPr>
          <w:rStyle w:val="normaltextrun"/>
          <w:rFonts w:ascii="Calibri" w:hAnsi="Calibri" w:cs="Calibri"/>
          <w:color w:val="000000"/>
          <w:shd w:val="clear" w:color="auto" w:fill="FFFFFF"/>
          <w:lang w:val="en-US"/>
        </w:rPr>
        <w:t xml:space="preserve">only </w:t>
      </w:r>
      <w:r w:rsidR="003167B3">
        <w:rPr>
          <w:rStyle w:val="normaltextrun"/>
          <w:rFonts w:ascii="Calibri" w:hAnsi="Calibri" w:cs="Calibri"/>
          <w:color w:val="000000"/>
          <w:shd w:val="clear" w:color="auto" w:fill="FFFFFF"/>
          <w:lang w:val="en-US"/>
        </w:rPr>
        <w:t xml:space="preserve">the ACCC has full transparency of the Authorisation Application and submissions to the current consultation due to partial redactions. </w:t>
      </w:r>
    </w:p>
    <w:p w14:paraId="094F718B" w14:textId="77777777" w:rsidR="009514D0" w:rsidRDefault="003167B3" w:rsidP="00E3454F">
      <w:pPr>
        <w:spacing w:after="200" w:line="276" w:lineRule="auto"/>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 xml:space="preserve">We also urge the </w:t>
      </w:r>
      <w:r w:rsidR="004E300E">
        <w:rPr>
          <w:rStyle w:val="normaltextrun"/>
          <w:rFonts w:ascii="Calibri" w:hAnsi="Calibri" w:cs="Calibri"/>
          <w:color w:val="000000"/>
          <w:shd w:val="clear" w:color="auto" w:fill="FFFFFF"/>
          <w:lang w:val="en-US"/>
        </w:rPr>
        <w:t xml:space="preserve">ACCC to carefully assess the impact on </w:t>
      </w:r>
      <w:r w:rsidR="002062CE">
        <w:rPr>
          <w:rStyle w:val="normaltextrun"/>
          <w:rFonts w:ascii="Calibri" w:hAnsi="Calibri" w:cs="Calibri"/>
          <w:color w:val="000000"/>
          <w:shd w:val="clear" w:color="auto" w:fill="FFFFFF"/>
          <w:lang w:val="en-US"/>
        </w:rPr>
        <w:t xml:space="preserve">the potential growth of mobile network </w:t>
      </w:r>
      <w:r w:rsidR="004E300E">
        <w:rPr>
          <w:rStyle w:val="normaltextrun"/>
          <w:rFonts w:ascii="Calibri" w:hAnsi="Calibri" w:cs="Calibri"/>
          <w:color w:val="000000"/>
          <w:shd w:val="clear" w:color="auto" w:fill="FFFFFF"/>
          <w:lang w:val="en-US"/>
        </w:rPr>
        <w:t>neutral host model</w:t>
      </w:r>
      <w:r w:rsidR="002062CE">
        <w:rPr>
          <w:rStyle w:val="normaltextrun"/>
          <w:rFonts w:ascii="Calibri" w:hAnsi="Calibri" w:cs="Calibri"/>
          <w:color w:val="000000"/>
          <w:shd w:val="clear" w:color="auto" w:fill="FFFFFF"/>
          <w:lang w:val="en-US"/>
        </w:rPr>
        <w:t>s</w:t>
      </w:r>
      <w:r w:rsidR="004E300E">
        <w:rPr>
          <w:rStyle w:val="normaltextrun"/>
          <w:rFonts w:ascii="Calibri" w:hAnsi="Calibri" w:cs="Calibri"/>
          <w:color w:val="000000"/>
          <w:shd w:val="clear" w:color="auto" w:fill="FFFFFF"/>
          <w:lang w:val="en-US"/>
        </w:rPr>
        <w:t>, as the MOCN could make it considerabl</w:t>
      </w:r>
      <w:r w:rsidR="00D406C1">
        <w:rPr>
          <w:rStyle w:val="normaltextrun"/>
          <w:rFonts w:ascii="Calibri" w:hAnsi="Calibri" w:cs="Calibri"/>
          <w:color w:val="000000"/>
          <w:shd w:val="clear" w:color="auto" w:fill="FFFFFF"/>
          <w:lang w:val="en-US"/>
        </w:rPr>
        <w:t>y</w:t>
      </w:r>
      <w:r w:rsidR="004E300E">
        <w:rPr>
          <w:rStyle w:val="normaltextrun"/>
          <w:rFonts w:ascii="Calibri" w:hAnsi="Calibri" w:cs="Calibri"/>
          <w:color w:val="000000"/>
          <w:shd w:val="clear" w:color="auto" w:fill="FFFFFF"/>
          <w:lang w:val="en-US"/>
        </w:rPr>
        <w:t xml:space="preserve"> more challenging for neutral hosts to enter the market in the regional MOCN area</w:t>
      </w:r>
      <w:r w:rsidR="00D406C1">
        <w:rPr>
          <w:rStyle w:val="normaltextrun"/>
          <w:rFonts w:ascii="Calibri" w:hAnsi="Calibri" w:cs="Calibri"/>
          <w:color w:val="000000"/>
          <w:shd w:val="clear" w:color="auto" w:fill="FFFFFF"/>
          <w:lang w:val="en-US"/>
        </w:rPr>
        <w:t>, and beyond</w:t>
      </w:r>
      <w:r w:rsidR="004E300E">
        <w:rPr>
          <w:rStyle w:val="normaltextrun"/>
          <w:rFonts w:ascii="Calibri" w:hAnsi="Calibri" w:cs="Calibri"/>
          <w:color w:val="000000"/>
          <w:shd w:val="clear" w:color="auto" w:fill="FFFFFF"/>
          <w:lang w:val="en-US"/>
        </w:rPr>
        <w:t xml:space="preserve">. </w:t>
      </w:r>
      <w:r w:rsidR="00064408">
        <w:rPr>
          <w:rStyle w:val="normaltextrun"/>
          <w:rFonts w:ascii="Calibri" w:hAnsi="Calibri" w:cs="Calibri"/>
          <w:color w:val="000000"/>
          <w:shd w:val="clear" w:color="auto" w:fill="FFFFFF"/>
          <w:lang w:val="en-US"/>
        </w:rPr>
        <w:t xml:space="preserve">For consumers in fringe regional, </w:t>
      </w:r>
      <w:proofErr w:type="gramStart"/>
      <w:r w:rsidR="00064408">
        <w:rPr>
          <w:rStyle w:val="normaltextrun"/>
          <w:rFonts w:ascii="Calibri" w:hAnsi="Calibri" w:cs="Calibri"/>
          <w:color w:val="000000"/>
          <w:shd w:val="clear" w:color="auto" w:fill="FFFFFF"/>
          <w:lang w:val="en-US"/>
        </w:rPr>
        <w:t>rural</w:t>
      </w:r>
      <w:proofErr w:type="gramEnd"/>
      <w:r w:rsidR="00064408">
        <w:rPr>
          <w:rStyle w:val="normaltextrun"/>
          <w:rFonts w:ascii="Calibri" w:hAnsi="Calibri" w:cs="Calibri"/>
          <w:color w:val="000000"/>
          <w:shd w:val="clear" w:color="auto" w:fill="FFFFFF"/>
          <w:lang w:val="en-US"/>
        </w:rPr>
        <w:t xml:space="preserve"> and remote areas, neutral host infrastructure sharing is an attractive option as it has the potential to support expanded coverage in less-profitable areas. </w:t>
      </w:r>
    </w:p>
    <w:p w14:paraId="7E995319" w14:textId="1245580C" w:rsidR="00E3454F" w:rsidRPr="005757DE" w:rsidRDefault="004E300E" w:rsidP="00E3454F">
      <w:pPr>
        <w:spacing w:after="200" w:line="276" w:lineRule="auto"/>
        <w:rPr>
          <w:rStyle w:val="eop"/>
          <w:rFonts w:ascii="Calibri" w:hAnsi="Calibri" w:cs="Calibri"/>
          <w:b/>
          <w:bCs/>
          <w:color w:val="000000"/>
          <w:shd w:val="clear" w:color="auto" w:fill="FFFFFF"/>
        </w:rPr>
      </w:pPr>
      <w:r w:rsidRPr="005757DE">
        <w:rPr>
          <w:rStyle w:val="normaltextrun"/>
          <w:rFonts w:ascii="Calibri" w:hAnsi="Calibri" w:cs="Calibri"/>
          <w:b/>
          <w:bCs/>
          <w:i/>
          <w:iCs/>
          <w:color w:val="000000"/>
          <w:shd w:val="clear" w:color="auto" w:fill="FFFFFF"/>
          <w:lang w:val="en-US"/>
        </w:rPr>
        <w:t>The extent and likelihood of public benefits and detriments, claimed by the applicants or otherwise, arising from the MOCN arrangement; and any other competition issues relevant to the ACCC’s consideration of the proposed arrangement.</w:t>
      </w:r>
      <w:r w:rsidRPr="005757DE">
        <w:rPr>
          <w:rStyle w:val="eop"/>
          <w:rFonts w:ascii="Calibri" w:hAnsi="Calibri" w:cs="Calibri"/>
          <w:b/>
          <w:bCs/>
          <w:color w:val="000000"/>
          <w:shd w:val="clear" w:color="auto" w:fill="FFFFFF"/>
        </w:rPr>
        <w:t> </w:t>
      </w:r>
    </w:p>
    <w:p w14:paraId="42A193B9" w14:textId="64BE1A74" w:rsidR="00064408" w:rsidRDefault="007773E8" w:rsidP="00E3454F">
      <w:pPr>
        <w:spacing w:after="200" w:line="276" w:lineRule="auto"/>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ACCAN notes that the MOCN arrangement will effectively concentrate spectrum holdings </w:t>
      </w:r>
      <w:r w:rsidR="002062CE">
        <w:rPr>
          <w:rStyle w:val="eop"/>
          <w:rFonts w:ascii="Calibri" w:hAnsi="Calibri" w:cs="Calibri"/>
          <w:color w:val="000000"/>
          <w:shd w:val="clear" w:color="auto" w:fill="FFFFFF"/>
        </w:rPr>
        <w:t xml:space="preserve">in regional areas allocated to Telstra and TPG, enabling improvements in mobile services to be shared by both parties. </w:t>
      </w:r>
      <w:r w:rsidR="00064408">
        <w:rPr>
          <w:rStyle w:val="eop"/>
          <w:rFonts w:ascii="Calibri" w:hAnsi="Calibri" w:cs="Calibri"/>
          <w:color w:val="000000"/>
          <w:shd w:val="clear" w:color="auto" w:fill="FFFFFF"/>
        </w:rPr>
        <w:t>While this will mean that TPG</w:t>
      </w:r>
      <w:r w:rsidR="00CE013D">
        <w:rPr>
          <w:rStyle w:val="eop"/>
          <w:rFonts w:ascii="Calibri" w:hAnsi="Calibri" w:cs="Calibri"/>
          <w:color w:val="000000"/>
          <w:shd w:val="clear" w:color="auto" w:fill="FFFFFF"/>
        </w:rPr>
        <w:t>’s regional</w:t>
      </w:r>
      <w:r w:rsidR="00064408">
        <w:rPr>
          <w:rStyle w:val="eop"/>
          <w:rFonts w:ascii="Calibri" w:hAnsi="Calibri" w:cs="Calibri"/>
          <w:color w:val="000000"/>
          <w:shd w:val="clear" w:color="auto" w:fill="FFFFFF"/>
        </w:rPr>
        <w:t xml:space="preserve"> spectrum will be used more efficiently,</w:t>
      </w:r>
      <w:r w:rsidR="00E65B15">
        <w:rPr>
          <w:rStyle w:val="eop"/>
          <w:rFonts w:ascii="Calibri" w:hAnsi="Calibri" w:cs="Calibri"/>
          <w:color w:val="000000"/>
          <w:shd w:val="clear" w:color="auto" w:fill="FFFFFF"/>
        </w:rPr>
        <w:t xml:space="preserve"> we are aware that</w:t>
      </w:r>
      <w:r w:rsidR="00064408">
        <w:rPr>
          <w:rStyle w:val="eop"/>
          <w:rFonts w:ascii="Calibri" w:hAnsi="Calibri" w:cs="Calibri"/>
          <w:color w:val="000000"/>
          <w:shd w:val="clear" w:color="auto" w:fill="FFFFFF"/>
        </w:rPr>
        <w:t xml:space="preserve"> </w:t>
      </w:r>
      <w:r w:rsidR="002062CE">
        <w:rPr>
          <w:rStyle w:val="eop"/>
          <w:rFonts w:ascii="Calibri" w:hAnsi="Calibri" w:cs="Calibri"/>
          <w:color w:val="000000"/>
          <w:shd w:val="clear" w:color="auto" w:fill="FFFFFF"/>
        </w:rPr>
        <w:t xml:space="preserve">the MOCN can be seen as a way of bypassing spectrum limits set by the </w:t>
      </w:r>
      <w:r w:rsidR="00CE013D">
        <w:rPr>
          <w:rStyle w:val="eop"/>
          <w:rFonts w:ascii="Calibri" w:hAnsi="Calibri" w:cs="Calibri"/>
          <w:color w:val="000000"/>
          <w:shd w:val="clear" w:color="auto" w:fill="FFFFFF"/>
        </w:rPr>
        <w:t>government</w:t>
      </w:r>
      <w:r w:rsidR="002062CE">
        <w:rPr>
          <w:rStyle w:val="eop"/>
          <w:rFonts w:ascii="Calibri" w:hAnsi="Calibri" w:cs="Calibri"/>
          <w:color w:val="000000"/>
          <w:shd w:val="clear" w:color="auto" w:fill="FFFFFF"/>
        </w:rPr>
        <w:t xml:space="preserve"> in consultation with the ACCC. </w:t>
      </w:r>
      <w:r w:rsidR="00CE013D">
        <w:rPr>
          <w:rStyle w:val="eop"/>
          <w:rFonts w:ascii="Calibri" w:hAnsi="Calibri" w:cs="Calibri"/>
          <w:color w:val="000000"/>
          <w:shd w:val="clear" w:color="auto" w:fill="FFFFFF"/>
        </w:rPr>
        <w:t xml:space="preserve">We urge the </w:t>
      </w:r>
      <w:r w:rsidR="00064408">
        <w:rPr>
          <w:rStyle w:val="eop"/>
          <w:rFonts w:ascii="Calibri" w:hAnsi="Calibri" w:cs="Calibri"/>
          <w:color w:val="000000"/>
          <w:shd w:val="clear" w:color="auto" w:fill="FFFFFF"/>
        </w:rPr>
        <w:t xml:space="preserve">ACCC </w:t>
      </w:r>
      <w:r w:rsidR="00CE013D">
        <w:rPr>
          <w:rStyle w:val="eop"/>
          <w:rFonts w:ascii="Calibri" w:hAnsi="Calibri" w:cs="Calibri"/>
          <w:color w:val="000000"/>
          <w:shd w:val="clear" w:color="auto" w:fill="FFFFFF"/>
        </w:rPr>
        <w:t xml:space="preserve">to use its expertise to carefully </w:t>
      </w:r>
      <w:r w:rsidR="00064408">
        <w:rPr>
          <w:rStyle w:val="eop"/>
          <w:rFonts w:ascii="Calibri" w:hAnsi="Calibri" w:cs="Calibri"/>
          <w:color w:val="000000"/>
          <w:shd w:val="clear" w:color="auto" w:fill="FFFFFF"/>
        </w:rPr>
        <w:t xml:space="preserve">assess the </w:t>
      </w:r>
      <w:proofErr w:type="gramStart"/>
      <w:r w:rsidR="00CE013D">
        <w:rPr>
          <w:rStyle w:val="eop"/>
          <w:rFonts w:ascii="Calibri" w:hAnsi="Calibri" w:cs="Calibri"/>
          <w:color w:val="000000"/>
          <w:shd w:val="clear" w:color="auto" w:fill="FFFFFF"/>
        </w:rPr>
        <w:t>short and long term</w:t>
      </w:r>
      <w:proofErr w:type="gramEnd"/>
      <w:r w:rsidR="00CE013D">
        <w:rPr>
          <w:rStyle w:val="eop"/>
          <w:rFonts w:ascii="Calibri" w:hAnsi="Calibri" w:cs="Calibri"/>
          <w:color w:val="000000"/>
          <w:shd w:val="clear" w:color="auto" w:fill="FFFFFF"/>
        </w:rPr>
        <w:t xml:space="preserve"> </w:t>
      </w:r>
      <w:r w:rsidR="00E65B15">
        <w:rPr>
          <w:rStyle w:val="eop"/>
          <w:rFonts w:ascii="Calibri" w:hAnsi="Calibri" w:cs="Calibri"/>
          <w:color w:val="000000"/>
          <w:shd w:val="clear" w:color="auto" w:fill="FFFFFF"/>
        </w:rPr>
        <w:t xml:space="preserve">implications </w:t>
      </w:r>
      <w:r w:rsidR="00EE6FC9">
        <w:rPr>
          <w:rStyle w:val="eop"/>
          <w:rFonts w:ascii="Calibri" w:hAnsi="Calibri" w:cs="Calibri"/>
          <w:color w:val="000000"/>
          <w:shd w:val="clear" w:color="auto" w:fill="FFFFFF"/>
        </w:rPr>
        <w:t xml:space="preserve">here </w:t>
      </w:r>
      <w:r w:rsidR="00E65B15">
        <w:rPr>
          <w:rStyle w:val="eop"/>
          <w:rFonts w:ascii="Calibri" w:hAnsi="Calibri" w:cs="Calibri"/>
          <w:color w:val="000000"/>
          <w:shd w:val="clear" w:color="auto" w:fill="FFFFFF"/>
        </w:rPr>
        <w:t xml:space="preserve">for end users. </w:t>
      </w:r>
      <w:r w:rsidR="00E65B15" w:rsidRPr="3286481C">
        <w:rPr>
          <w:rStyle w:val="eop"/>
          <w:rFonts w:ascii="Calibri" w:hAnsi="Calibri" w:cs="Calibri"/>
          <w:color w:val="000000" w:themeColor="text1"/>
        </w:rPr>
        <w:t xml:space="preserve">ACCAN would be concerned if the </w:t>
      </w:r>
      <w:r w:rsidR="00546472">
        <w:rPr>
          <w:rStyle w:val="eop"/>
          <w:rFonts w:ascii="Calibri" w:hAnsi="Calibri" w:cs="Calibri"/>
          <w:color w:val="000000" w:themeColor="text1"/>
        </w:rPr>
        <w:t>increased access to scarce telecommunications</w:t>
      </w:r>
      <w:r w:rsidR="00E65B15" w:rsidRPr="3286481C">
        <w:rPr>
          <w:rStyle w:val="eop"/>
          <w:rFonts w:ascii="Calibri" w:hAnsi="Calibri" w:cs="Calibri"/>
          <w:color w:val="000000" w:themeColor="text1"/>
        </w:rPr>
        <w:t xml:space="preserve"> spectrum resulte</w:t>
      </w:r>
      <w:r w:rsidR="001B4C89">
        <w:rPr>
          <w:rStyle w:val="eop"/>
          <w:rFonts w:ascii="Calibri" w:hAnsi="Calibri" w:cs="Calibri"/>
          <w:color w:val="000000" w:themeColor="text1"/>
        </w:rPr>
        <w:t>d in a significant increase of market power to Telstra</w:t>
      </w:r>
      <w:r w:rsidR="00546472">
        <w:rPr>
          <w:rStyle w:val="eop"/>
          <w:rFonts w:ascii="Calibri" w:hAnsi="Calibri" w:cs="Calibri"/>
          <w:color w:val="000000" w:themeColor="text1"/>
        </w:rPr>
        <w:t>, resulting in a lessening of competition across the sector</w:t>
      </w:r>
      <w:r w:rsidR="001B4C89">
        <w:rPr>
          <w:rStyle w:val="eop"/>
          <w:rFonts w:ascii="Calibri" w:hAnsi="Calibri" w:cs="Calibri"/>
          <w:color w:val="000000" w:themeColor="text1"/>
        </w:rPr>
        <w:t xml:space="preserve">. </w:t>
      </w:r>
    </w:p>
    <w:p w14:paraId="58C73D0B" w14:textId="77777777" w:rsidR="00E3454F" w:rsidRPr="00E3454F" w:rsidRDefault="00E3454F" w:rsidP="00E3454F">
      <w:pPr>
        <w:spacing w:after="200" w:line="276" w:lineRule="auto"/>
        <w:rPr>
          <w:rFonts w:ascii="Calibri" w:eastAsia="MS Mincho" w:hAnsi="Calibri" w:cs="Arial"/>
          <w:lang w:eastAsia="en-AU"/>
        </w:rPr>
      </w:pPr>
    </w:p>
    <w:p w14:paraId="66FF1D30" w14:textId="77777777" w:rsidR="00E3454F" w:rsidRPr="00E3454F" w:rsidRDefault="00E3454F" w:rsidP="00E3454F">
      <w:pPr>
        <w:spacing w:after="200" w:line="276" w:lineRule="auto"/>
        <w:rPr>
          <w:rFonts w:ascii="Calibri" w:eastAsia="MS Mincho" w:hAnsi="Calibri" w:cs="Arial"/>
          <w:lang w:eastAsia="en-AU"/>
        </w:rPr>
      </w:pPr>
    </w:p>
    <w:p w14:paraId="640F9ADE" w14:textId="77777777" w:rsidR="00E3454F" w:rsidRPr="00E3454F" w:rsidRDefault="00E3454F" w:rsidP="00E3454F">
      <w:pPr>
        <w:spacing w:after="200" w:line="276" w:lineRule="auto"/>
        <w:rPr>
          <w:rFonts w:ascii="Calibri" w:eastAsia="MS Mincho" w:hAnsi="Calibri" w:cs="Arial"/>
          <w:lang w:eastAsia="en-AU"/>
        </w:rPr>
      </w:pPr>
    </w:p>
    <w:p w14:paraId="45B52E16" w14:textId="77777777" w:rsidR="00E3454F" w:rsidRPr="00E3454F" w:rsidRDefault="00E3454F" w:rsidP="00E3454F">
      <w:pPr>
        <w:spacing w:after="200" w:line="276" w:lineRule="auto"/>
        <w:rPr>
          <w:rFonts w:ascii="Calibri" w:eastAsia="MS Mincho" w:hAnsi="Calibri" w:cs="Arial"/>
          <w:lang w:eastAsia="en-AU"/>
        </w:rPr>
      </w:pPr>
    </w:p>
    <w:p w14:paraId="22650B3F" w14:textId="77777777" w:rsidR="00CA753E" w:rsidRPr="00A263E5" w:rsidRDefault="00CA753E" w:rsidP="00CA753E"/>
    <w:p w14:paraId="102EBCF8" w14:textId="77777777" w:rsidR="00CA753E" w:rsidRPr="00CA753E" w:rsidRDefault="00CA753E" w:rsidP="00CA753E">
      <w:pPr>
        <w:spacing w:after="200" w:line="276" w:lineRule="auto"/>
        <w:rPr>
          <w:rFonts w:ascii="Calibri" w:eastAsia="MS Mincho" w:hAnsi="Calibri" w:cs="Arial"/>
          <w:lang w:eastAsia="en-AU"/>
        </w:rPr>
      </w:pPr>
    </w:p>
    <w:p w14:paraId="12FC68B5" w14:textId="1C3B4F26" w:rsidR="00CA753E" w:rsidRPr="00313202" w:rsidRDefault="00CA753E" w:rsidP="00313202">
      <w:pPr>
        <w:pBdr>
          <w:top w:val="single" w:sz="36" w:space="10" w:color="43C7F4"/>
          <w:bottom w:val="single" w:sz="36" w:space="10" w:color="43C7F4"/>
        </w:pBdr>
        <w:spacing w:before="360" w:after="360" w:line="276" w:lineRule="auto"/>
        <w:ind w:right="-46"/>
        <w:rPr>
          <w:rFonts w:ascii="Gotham" w:eastAsia="MS Mincho" w:hAnsi="Gotham" w:cs="Arial"/>
          <w:b/>
          <w:i/>
          <w:iCs/>
          <w:sz w:val="16"/>
          <w:lang w:val="en-US" w:eastAsia="en-AU"/>
        </w:rPr>
      </w:pPr>
      <w:r w:rsidRPr="00CA753E">
        <w:rPr>
          <w:rFonts w:ascii="Gotham" w:eastAsia="MS Mincho" w:hAnsi="Gotham" w:cs="Arial"/>
          <w:b/>
          <w:i/>
          <w:iCs/>
          <w:sz w:val="16"/>
          <w:lang w:val="en-US" w:eastAsia="en-AU"/>
        </w:rPr>
        <w:t xml:space="preserve">The Australian Communications Consumer Action Network (ACCAN) is Australia’s peak communication consumer </w:t>
      </w:r>
      <w:proofErr w:type="spellStart"/>
      <w:r w:rsidRPr="00CA753E">
        <w:rPr>
          <w:rFonts w:ascii="Gotham" w:eastAsia="MS Mincho" w:hAnsi="Gotham" w:cs="Arial"/>
          <w:b/>
          <w:i/>
          <w:iCs/>
          <w:sz w:val="16"/>
          <w:lang w:val="en-US" w:eastAsia="en-AU"/>
        </w:rPr>
        <w:t>organisation</w:t>
      </w:r>
      <w:proofErr w:type="spellEnd"/>
      <w:r w:rsidRPr="00CA753E">
        <w:rPr>
          <w:rFonts w:ascii="Gotham" w:eastAsia="MS Mincho" w:hAnsi="Gotham" w:cs="Arial"/>
          <w:b/>
          <w:i/>
          <w:iCs/>
          <w:sz w:val="16"/>
          <w:lang w:val="en-US" w:eastAsia="en-AU"/>
        </w:rPr>
        <w:t>. The operation of ACCAN is made possible by funding provided by the Commonwealth of Australia under section 593 of the Telecommunications Act 1997. This funding is recovered from charges on telecommunications carriers.</w:t>
      </w:r>
    </w:p>
    <w:sectPr w:rsidR="00CA753E" w:rsidRPr="0031320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6EE5" w14:textId="77777777" w:rsidR="00767EF6" w:rsidRDefault="00767EF6" w:rsidP="00E3454F">
      <w:pPr>
        <w:spacing w:after="0" w:line="240" w:lineRule="auto"/>
      </w:pPr>
      <w:r>
        <w:separator/>
      </w:r>
    </w:p>
  </w:endnote>
  <w:endnote w:type="continuationSeparator" w:id="0">
    <w:p w14:paraId="464DE5DC" w14:textId="77777777" w:rsidR="00767EF6" w:rsidRDefault="00767EF6" w:rsidP="00E3454F">
      <w:pPr>
        <w:spacing w:after="0" w:line="240" w:lineRule="auto"/>
      </w:pPr>
      <w:r>
        <w:continuationSeparator/>
      </w:r>
    </w:p>
  </w:endnote>
  <w:endnote w:type="continuationNotice" w:id="1">
    <w:p w14:paraId="56BE73A4" w14:textId="77777777" w:rsidR="00767EF6" w:rsidRDefault="00767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Calibri"/>
    <w:charset w:val="00"/>
    <w:family w:val="auto"/>
    <w:pitch w:val="variable"/>
    <w:sig w:usb0="800000A7" w:usb1="00000000" w:usb2="00000000" w:usb3="00000000" w:csb0="00000009" w:csb1="00000000"/>
  </w:font>
  <w:font w:name="Yu Mincho">
    <w:altName w:val="Yu Gothic"/>
    <w:charset w:val="80"/>
    <w:family w:val="roman"/>
    <w:pitch w:val="variable"/>
    <w:sig w:usb0="800002E7" w:usb1="2AC7FCFF" w:usb2="00000012" w:usb3="00000000" w:csb0="0002009F" w:csb1="00000000"/>
  </w:font>
  <w:font w:name="Gotham Black">
    <w:altName w:val="Calibri"/>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48090"/>
      <w:docPartObj>
        <w:docPartGallery w:val="Page Numbers (Bottom of Page)"/>
        <w:docPartUnique/>
      </w:docPartObj>
    </w:sdtPr>
    <w:sdtEndPr>
      <w:rPr>
        <w:noProof/>
      </w:rPr>
    </w:sdtEndPr>
    <w:sdtContent>
      <w:p w14:paraId="42B18EA8" w14:textId="2FD0BF0C" w:rsidR="004E300E" w:rsidRDefault="004E30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0D4DD3" w14:textId="77777777" w:rsidR="004E300E" w:rsidRDefault="004E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18EB" w14:textId="77777777" w:rsidR="00767EF6" w:rsidRDefault="00767EF6" w:rsidP="00E3454F">
      <w:pPr>
        <w:spacing w:after="0" w:line="240" w:lineRule="auto"/>
      </w:pPr>
      <w:r>
        <w:separator/>
      </w:r>
    </w:p>
  </w:footnote>
  <w:footnote w:type="continuationSeparator" w:id="0">
    <w:p w14:paraId="4B277E83" w14:textId="77777777" w:rsidR="00767EF6" w:rsidRDefault="00767EF6" w:rsidP="00E3454F">
      <w:pPr>
        <w:spacing w:after="0" w:line="240" w:lineRule="auto"/>
      </w:pPr>
      <w:r>
        <w:continuationSeparator/>
      </w:r>
    </w:p>
  </w:footnote>
  <w:footnote w:type="continuationNotice" w:id="1">
    <w:p w14:paraId="76A3AE91" w14:textId="77777777" w:rsidR="00767EF6" w:rsidRDefault="00767EF6">
      <w:pPr>
        <w:spacing w:after="0" w:line="240" w:lineRule="auto"/>
      </w:pPr>
    </w:p>
  </w:footnote>
  <w:footnote w:id="2">
    <w:p w14:paraId="62EF480F" w14:textId="77777777" w:rsidR="00E3454F" w:rsidRPr="00B5357D" w:rsidRDefault="00E3454F" w:rsidP="00E3454F">
      <w:pPr>
        <w:pStyle w:val="FootnoteText"/>
        <w:rPr>
          <w:lang w:val="en-US"/>
        </w:rPr>
      </w:pPr>
      <w:r>
        <w:rPr>
          <w:rStyle w:val="FootnoteReference"/>
        </w:rPr>
        <w:footnoteRef/>
      </w:r>
      <w:r>
        <w:t xml:space="preserve"> </w:t>
      </w:r>
      <w:r w:rsidRPr="00B5357D">
        <w:t>https://amta.org.au/wp-content/uploads/2019/05/mobile-nation-2019-the-5g-future.pdf</w:t>
      </w:r>
    </w:p>
  </w:footnote>
  <w:footnote w:id="3">
    <w:p w14:paraId="7A467F62" w14:textId="780CC049" w:rsidR="002C3D01" w:rsidRPr="00214861" w:rsidRDefault="002C3D01">
      <w:pPr>
        <w:pStyle w:val="FootnoteText"/>
        <w:rPr>
          <w:lang w:val="en-US"/>
        </w:rPr>
      </w:pPr>
      <w:r>
        <w:rPr>
          <w:rStyle w:val="FootnoteReference"/>
        </w:rPr>
        <w:footnoteRef/>
      </w:r>
      <w:r>
        <w:t xml:space="preserve"> </w:t>
      </w:r>
      <w:r>
        <w:rPr>
          <w:lang w:val="en-US"/>
        </w:rPr>
        <w:t>Omnibus survey commissioned by ACCAN, March 2022</w:t>
      </w:r>
    </w:p>
  </w:footnote>
  <w:footnote w:id="4">
    <w:p w14:paraId="4C33F0A2" w14:textId="1A2207A6" w:rsidR="004E300E" w:rsidRPr="004E300E" w:rsidRDefault="004E300E">
      <w:pPr>
        <w:pStyle w:val="FootnoteText"/>
        <w:rPr>
          <w:lang w:val="en-US"/>
        </w:rPr>
      </w:pPr>
      <w:r>
        <w:rPr>
          <w:rStyle w:val="FootnoteReference"/>
        </w:rPr>
        <w:footnoteRef/>
      </w:r>
      <w:r>
        <w:t xml:space="preserve"> </w:t>
      </w:r>
      <w:hyperlink r:id="rId1" w:history="1">
        <w:r w:rsidRPr="004E300E">
          <w:rPr>
            <w:rStyle w:val="Hyperlink"/>
          </w:rPr>
          <w:t>https://www.abs.gov.au/media-centre/media-releases/more-growth-regions-during-pandemic</w:t>
        </w:r>
      </w:hyperlink>
    </w:p>
  </w:footnote>
  <w:footnote w:id="5">
    <w:p w14:paraId="602CEB6C" w14:textId="7D65E9B9" w:rsidR="002378A2" w:rsidRPr="002378A2" w:rsidRDefault="002378A2">
      <w:pPr>
        <w:pStyle w:val="FootnoteText"/>
        <w:rPr>
          <w:lang w:val="en-US"/>
        </w:rPr>
      </w:pPr>
      <w:r>
        <w:rPr>
          <w:rStyle w:val="FootnoteReference"/>
        </w:rPr>
        <w:footnoteRef/>
      </w:r>
      <w:r>
        <w:t xml:space="preserve"> </w:t>
      </w:r>
      <w:hyperlink r:id="rId2" w:history="1">
        <w:r w:rsidRPr="002378A2">
          <w:rPr>
            <w:rStyle w:val="Hyperlink"/>
            <w:lang w:val="en-US"/>
          </w:rPr>
          <w:t>ACCAN submission</w:t>
        </w:r>
      </w:hyperlink>
      <w:r>
        <w:rPr>
          <w:lang w:val="en-US"/>
        </w:rPr>
        <w:t>: Regional Telecommunications Review, section 1.1</w:t>
      </w:r>
    </w:p>
  </w:footnote>
  <w:footnote w:id="6">
    <w:p w14:paraId="10AC45F0" w14:textId="445C30BD" w:rsidR="00E3454F" w:rsidRPr="00B5357D" w:rsidRDefault="00E3454F" w:rsidP="00E3454F">
      <w:pPr>
        <w:pStyle w:val="FootnoteText"/>
        <w:rPr>
          <w:lang w:val="en-US"/>
        </w:rPr>
      </w:pPr>
      <w:r>
        <w:rPr>
          <w:rStyle w:val="FootnoteReference"/>
        </w:rPr>
        <w:footnoteRef/>
      </w:r>
      <w:r>
        <w:t xml:space="preserve"> TIO submission: Regional Telecommunications Review 021:</w:t>
      </w:r>
      <w:hyperlink r:id="rId3" w:history="1">
        <w:r w:rsidRPr="00F12746">
          <w:rPr>
            <w:rStyle w:val="Hyperlink1"/>
          </w:rPr>
          <w:t>https://www.tio.com.au/sites/default/files/2021-10/TIO%20Submission%20-%202021%20Regional%20Telecommunications%20Review.pdf</w:t>
        </w:r>
      </w:hyperlink>
    </w:p>
  </w:footnote>
  <w:footnote w:id="7">
    <w:p w14:paraId="3C03BD89" w14:textId="77777777" w:rsidR="00E3454F" w:rsidRPr="00B5357D" w:rsidRDefault="00E3454F" w:rsidP="00E3454F">
      <w:pPr>
        <w:pStyle w:val="FootnoteText"/>
        <w:rPr>
          <w:lang w:val="en-US"/>
        </w:rPr>
      </w:pPr>
      <w:r>
        <w:rPr>
          <w:rStyle w:val="FootnoteReference"/>
        </w:rPr>
        <w:footnoteRef/>
      </w:r>
      <w:r>
        <w:t xml:space="preserve"> </w:t>
      </w:r>
      <w:r w:rsidRPr="00B5357D">
        <w:t>https://www.accc.gov.au/regulated-infrastructure/communications/mobile-services/regional-mobile-issues/mobile-infrastructure-report-2021</w:t>
      </w:r>
    </w:p>
  </w:footnote>
  <w:footnote w:id="8">
    <w:p w14:paraId="0314545A" w14:textId="3D74468E" w:rsidR="004E300E" w:rsidRPr="004E300E" w:rsidRDefault="004E300E">
      <w:pPr>
        <w:pStyle w:val="FootnoteText"/>
        <w:rPr>
          <w:lang w:val="en-US"/>
        </w:rPr>
      </w:pPr>
      <w:r>
        <w:rPr>
          <w:rStyle w:val="FootnoteReference"/>
        </w:rPr>
        <w:footnoteRef/>
      </w:r>
      <w:r>
        <w:t xml:space="preserve"> See paras </w:t>
      </w:r>
      <w:r>
        <w:rPr>
          <w:lang w:val="en-US"/>
        </w:rPr>
        <w:t>139 and 140, Telstra TPG Application</w:t>
      </w:r>
    </w:p>
  </w:footnote>
  <w:footnote w:id="9">
    <w:p w14:paraId="71FB5711" w14:textId="7D8C14E4" w:rsidR="00A52788" w:rsidRPr="00A52788" w:rsidRDefault="00A52788">
      <w:pPr>
        <w:pStyle w:val="FootnoteText"/>
        <w:rPr>
          <w:lang w:val="en-US"/>
        </w:rPr>
      </w:pPr>
      <w:r>
        <w:rPr>
          <w:rStyle w:val="FootnoteReference"/>
        </w:rPr>
        <w:footnoteRef/>
      </w:r>
      <w:r>
        <w:t xml:space="preserve"> </w:t>
      </w:r>
      <w:hyperlink r:id="rId4" w:history="1">
        <w:r w:rsidRPr="00A52788">
          <w:rPr>
            <w:rStyle w:val="Hyperlink"/>
          </w:rPr>
          <w:t>https://www.afr.com/companies/telecommunications/telstra-raises-mobile-phone-charges-optus-tipped-to-follow-20220602-p5aqm0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19DD"/>
    <w:multiLevelType w:val="multilevel"/>
    <w:tmpl w:val="B76662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526F8"/>
    <w:multiLevelType w:val="multilevel"/>
    <w:tmpl w:val="57C8E7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0024C"/>
    <w:multiLevelType w:val="multilevel"/>
    <w:tmpl w:val="B37ACC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277"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15:restartNumberingAfterBreak="0">
    <w:nsid w:val="337C5FB2"/>
    <w:multiLevelType w:val="multilevel"/>
    <w:tmpl w:val="6AFEEB4C"/>
    <w:numStyleLink w:val="Bullets"/>
  </w:abstractNum>
  <w:abstractNum w:abstractNumId="5" w15:restartNumberingAfterBreak="0">
    <w:nsid w:val="4CA7612B"/>
    <w:multiLevelType w:val="hybridMultilevel"/>
    <w:tmpl w:val="E670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333432"/>
    <w:multiLevelType w:val="multilevel"/>
    <w:tmpl w:val="2A741B3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1988776197">
    <w:abstractNumId w:val="3"/>
  </w:num>
  <w:num w:numId="2" w16cid:durableId="1684897755">
    <w:abstractNumId w:val="4"/>
  </w:num>
  <w:num w:numId="3" w16cid:durableId="1354109851">
    <w:abstractNumId w:val="5"/>
  </w:num>
  <w:num w:numId="4" w16cid:durableId="1576208122">
    <w:abstractNumId w:val="1"/>
  </w:num>
  <w:num w:numId="5" w16cid:durableId="1461217536">
    <w:abstractNumId w:val="6"/>
  </w:num>
  <w:num w:numId="6" w16cid:durableId="2049867613">
    <w:abstractNumId w:val="0"/>
  </w:num>
  <w:num w:numId="7" w16cid:durableId="1991590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4F"/>
    <w:rsid w:val="00017C50"/>
    <w:rsid w:val="00031509"/>
    <w:rsid w:val="0005514D"/>
    <w:rsid w:val="00064408"/>
    <w:rsid w:val="000A43EC"/>
    <w:rsid w:val="000D6905"/>
    <w:rsid w:val="000E3CD2"/>
    <w:rsid w:val="000E7292"/>
    <w:rsid w:val="00180930"/>
    <w:rsid w:val="0019685C"/>
    <w:rsid w:val="001A2BD7"/>
    <w:rsid w:val="001B4C89"/>
    <w:rsid w:val="001E4365"/>
    <w:rsid w:val="002062CE"/>
    <w:rsid w:val="00214861"/>
    <w:rsid w:val="002378A2"/>
    <w:rsid w:val="00264604"/>
    <w:rsid w:val="002C3D01"/>
    <w:rsid w:val="002D746F"/>
    <w:rsid w:val="002F1F52"/>
    <w:rsid w:val="00313202"/>
    <w:rsid w:val="003167B3"/>
    <w:rsid w:val="00340CC5"/>
    <w:rsid w:val="00344874"/>
    <w:rsid w:val="0036262B"/>
    <w:rsid w:val="00364558"/>
    <w:rsid w:val="00371B0B"/>
    <w:rsid w:val="00396944"/>
    <w:rsid w:val="00397E32"/>
    <w:rsid w:val="003A79BF"/>
    <w:rsid w:val="003C57C9"/>
    <w:rsid w:val="003E4AE5"/>
    <w:rsid w:val="004516DA"/>
    <w:rsid w:val="004655E7"/>
    <w:rsid w:val="00470DE5"/>
    <w:rsid w:val="00487921"/>
    <w:rsid w:val="004E300E"/>
    <w:rsid w:val="004E36AE"/>
    <w:rsid w:val="005023C1"/>
    <w:rsid w:val="005328CA"/>
    <w:rsid w:val="005349E5"/>
    <w:rsid w:val="00546472"/>
    <w:rsid w:val="005545C3"/>
    <w:rsid w:val="005757DE"/>
    <w:rsid w:val="00583699"/>
    <w:rsid w:val="005A3A3F"/>
    <w:rsid w:val="005C30A1"/>
    <w:rsid w:val="005E37AF"/>
    <w:rsid w:val="005E4291"/>
    <w:rsid w:val="006249F5"/>
    <w:rsid w:val="00652DA8"/>
    <w:rsid w:val="00657D46"/>
    <w:rsid w:val="00676291"/>
    <w:rsid w:val="006A2856"/>
    <w:rsid w:val="006C0C12"/>
    <w:rsid w:val="006C1967"/>
    <w:rsid w:val="006D3195"/>
    <w:rsid w:val="006D6987"/>
    <w:rsid w:val="00737F1B"/>
    <w:rsid w:val="00762B3F"/>
    <w:rsid w:val="00762E88"/>
    <w:rsid w:val="00767EF6"/>
    <w:rsid w:val="007773E8"/>
    <w:rsid w:val="007A074E"/>
    <w:rsid w:val="00805D6A"/>
    <w:rsid w:val="0084134D"/>
    <w:rsid w:val="008670C0"/>
    <w:rsid w:val="00875017"/>
    <w:rsid w:val="008879F8"/>
    <w:rsid w:val="008E2ECC"/>
    <w:rsid w:val="008F5598"/>
    <w:rsid w:val="00902D66"/>
    <w:rsid w:val="00910655"/>
    <w:rsid w:val="00926CF1"/>
    <w:rsid w:val="009514D0"/>
    <w:rsid w:val="009D476F"/>
    <w:rsid w:val="00A07801"/>
    <w:rsid w:val="00A23577"/>
    <w:rsid w:val="00A30EC3"/>
    <w:rsid w:val="00A52788"/>
    <w:rsid w:val="00AA690E"/>
    <w:rsid w:val="00AB4685"/>
    <w:rsid w:val="00AD457C"/>
    <w:rsid w:val="00B6045D"/>
    <w:rsid w:val="00B97664"/>
    <w:rsid w:val="00BD1D79"/>
    <w:rsid w:val="00BD4D28"/>
    <w:rsid w:val="00BE11B4"/>
    <w:rsid w:val="00C01351"/>
    <w:rsid w:val="00C0502A"/>
    <w:rsid w:val="00C223FB"/>
    <w:rsid w:val="00C65390"/>
    <w:rsid w:val="00C71740"/>
    <w:rsid w:val="00C873E6"/>
    <w:rsid w:val="00CA753E"/>
    <w:rsid w:val="00CB1BF6"/>
    <w:rsid w:val="00CE013D"/>
    <w:rsid w:val="00D16EC1"/>
    <w:rsid w:val="00D21283"/>
    <w:rsid w:val="00D2287D"/>
    <w:rsid w:val="00D232B2"/>
    <w:rsid w:val="00D406C1"/>
    <w:rsid w:val="00D42CF8"/>
    <w:rsid w:val="00D568B0"/>
    <w:rsid w:val="00D7640E"/>
    <w:rsid w:val="00D85B44"/>
    <w:rsid w:val="00D91D00"/>
    <w:rsid w:val="00DB7C3D"/>
    <w:rsid w:val="00DF0BC9"/>
    <w:rsid w:val="00DF2075"/>
    <w:rsid w:val="00E05E8D"/>
    <w:rsid w:val="00E171A0"/>
    <w:rsid w:val="00E3454F"/>
    <w:rsid w:val="00E6186D"/>
    <w:rsid w:val="00E65B15"/>
    <w:rsid w:val="00ED5B04"/>
    <w:rsid w:val="00EE6FC9"/>
    <w:rsid w:val="00EF2447"/>
    <w:rsid w:val="00F57D38"/>
    <w:rsid w:val="00FA44AC"/>
    <w:rsid w:val="00FC7872"/>
    <w:rsid w:val="00FE41EA"/>
    <w:rsid w:val="00FF04EB"/>
    <w:rsid w:val="00FF469D"/>
    <w:rsid w:val="03C5B0DC"/>
    <w:rsid w:val="103E8CB4"/>
    <w:rsid w:val="2717C6E3"/>
    <w:rsid w:val="3286481C"/>
    <w:rsid w:val="3D2184CD"/>
    <w:rsid w:val="434AA072"/>
    <w:rsid w:val="45923CE7"/>
    <w:rsid w:val="4DE116CB"/>
    <w:rsid w:val="685EC864"/>
    <w:rsid w:val="6F4DAA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67F5"/>
  <w15:chartTrackingRefBased/>
  <w15:docId w15:val="{6AF73E2F-83D2-4B1F-9E98-273CF238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E3454F"/>
    <w:pPr>
      <w:numPr>
        <w:numId w:val="1"/>
      </w:numPr>
    </w:pPr>
  </w:style>
  <w:style w:type="paragraph" w:customStyle="1" w:styleId="Bulletlist1">
    <w:name w:val="Bullet list 1"/>
    <w:basedOn w:val="Normal"/>
    <w:qFormat/>
    <w:rsid w:val="00E3454F"/>
    <w:pPr>
      <w:numPr>
        <w:numId w:val="2"/>
      </w:numPr>
      <w:spacing w:before="100" w:beforeAutospacing="1" w:after="100" w:afterAutospacing="1" w:line="240" w:lineRule="auto"/>
    </w:pPr>
    <w:rPr>
      <w:rFonts w:ascii="Calibri" w:eastAsia="MS Mincho" w:hAnsi="Calibri"/>
      <w:lang w:eastAsia="en-AU"/>
    </w:rPr>
  </w:style>
  <w:style w:type="character" w:customStyle="1" w:styleId="Hyperlink1">
    <w:name w:val="Hyperlink1"/>
    <w:basedOn w:val="DefaultParagraphFont"/>
    <w:uiPriority w:val="99"/>
    <w:unhideWhenUsed/>
    <w:rsid w:val="00E3454F"/>
    <w:rPr>
      <w:color w:val="0000FF"/>
      <w:u w:val="single"/>
    </w:rPr>
  </w:style>
  <w:style w:type="paragraph" w:styleId="FootnoteText">
    <w:name w:val="footnote text"/>
    <w:basedOn w:val="Normal"/>
    <w:link w:val="FootnoteTextChar"/>
    <w:uiPriority w:val="99"/>
    <w:semiHidden/>
    <w:unhideWhenUsed/>
    <w:rsid w:val="00E3454F"/>
    <w:pPr>
      <w:spacing w:after="0" w:line="240" w:lineRule="auto"/>
    </w:pPr>
    <w:rPr>
      <w:rFonts w:eastAsia="MS Mincho"/>
      <w:sz w:val="20"/>
      <w:szCs w:val="20"/>
      <w:lang w:eastAsia="en-AU"/>
    </w:rPr>
  </w:style>
  <w:style w:type="character" w:customStyle="1" w:styleId="FootnoteTextChar">
    <w:name w:val="Footnote Text Char"/>
    <w:basedOn w:val="DefaultParagraphFont"/>
    <w:link w:val="FootnoteText"/>
    <w:uiPriority w:val="99"/>
    <w:semiHidden/>
    <w:rsid w:val="00E3454F"/>
    <w:rPr>
      <w:rFonts w:eastAsia="MS Mincho"/>
      <w:sz w:val="20"/>
      <w:szCs w:val="20"/>
      <w:lang w:eastAsia="en-AU"/>
    </w:rPr>
  </w:style>
  <w:style w:type="character" w:styleId="FootnoteReference">
    <w:name w:val="footnote reference"/>
    <w:basedOn w:val="DefaultParagraphFont"/>
    <w:uiPriority w:val="99"/>
    <w:semiHidden/>
    <w:unhideWhenUsed/>
    <w:rsid w:val="00E3454F"/>
    <w:rPr>
      <w:vertAlign w:val="superscript"/>
    </w:rPr>
  </w:style>
  <w:style w:type="character" w:styleId="CommentReference">
    <w:name w:val="annotation reference"/>
    <w:basedOn w:val="DefaultParagraphFont"/>
    <w:uiPriority w:val="99"/>
    <w:semiHidden/>
    <w:unhideWhenUsed/>
    <w:rsid w:val="00E3454F"/>
    <w:rPr>
      <w:sz w:val="16"/>
      <w:szCs w:val="16"/>
    </w:rPr>
  </w:style>
  <w:style w:type="paragraph" w:customStyle="1" w:styleId="Bulletlist2">
    <w:name w:val="Bullet list 2"/>
    <w:basedOn w:val="Bulletlist1"/>
    <w:qFormat/>
    <w:rsid w:val="00E3454F"/>
    <w:pPr>
      <w:numPr>
        <w:ilvl w:val="1"/>
      </w:numPr>
    </w:pPr>
  </w:style>
  <w:style w:type="paragraph" w:customStyle="1" w:styleId="Bulletlist3">
    <w:name w:val="Bullet list 3"/>
    <w:basedOn w:val="Bulletlist2"/>
    <w:qFormat/>
    <w:rsid w:val="00E3454F"/>
    <w:pPr>
      <w:numPr>
        <w:ilvl w:val="2"/>
      </w:numPr>
      <w:tabs>
        <w:tab w:val="num" w:pos="360"/>
      </w:tabs>
    </w:pPr>
  </w:style>
  <w:style w:type="paragraph" w:customStyle="1" w:styleId="CommentText1">
    <w:name w:val="Comment Text1"/>
    <w:basedOn w:val="Normal"/>
    <w:next w:val="CommentText"/>
    <w:link w:val="CommentTextChar"/>
    <w:uiPriority w:val="99"/>
    <w:unhideWhenUsed/>
    <w:rsid w:val="00E3454F"/>
    <w:pPr>
      <w:spacing w:after="200" w:line="240" w:lineRule="auto"/>
    </w:pPr>
    <w:rPr>
      <w:rFonts w:eastAsia="MS Mincho"/>
      <w:sz w:val="20"/>
      <w:szCs w:val="20"/>
      <w:lang w:eastAsia="en-AU"/>
    </w:rPr>
  </w:style>
  <w:style w:type="character" w:customStyle="1" w:styleId="CommentTextChar">
    <w:name w:val="Comment Text Char"/>
    <w:basedOn w:val="DefaultParagraphFont"/>
    <w:link w:val="CommentText1"/>
    <w:uiPriority w:val="99"/>
    <w:rsid w:val="00E3454F"/>
    <w:rPr>
      <w:rFonts w:eastAsia="MS Mincho"/>
      <w:sz w:val="20"/>
      <w:szCs w:val="20"/>
      <w:lang w:eastAsia="en-AU"/>
    </w:rPr>
  </w:style>
  <w:style w:type="character" w:styleId="Hyperlink">
    <w:name w:val="Hyperlink"/>
    <w:basedOn w:val="DefaultParagraphFont"/>
    <w:uiPriority w:val="99"/>
    <w:unhideWhenUsed/>
    <w:rsid w:val="00E3454F"/>
    <w:rPr>
      <w:color w:val="0563C1" w:themeColor="hyperlink"/>
      <w:u w:val="single"/>
    </w:rPr>
  </w:style>
  <w:style w:type="paragraph" w:styleId="CommentText">
    <w:name w:val="annotation text"/>
    <w:basedOn w:val="Normal"/>
    <w:link w:val="CommentTextChar1"/>
    <w:uiPriority w:val="99"/>
    <w:unhideWhenUsed/>
    <w:rsid w:val="00E3454F"/>
    <w:pPr>
      <w:spacing w:line="240" w:lineRule="auto"/>
    </w:pPr>
    <w:rPr>
      <w:sz w:val="20"/>
      <w:szCs w:val="20"/>
    </w:rPr>
  </w:style>
  <w:style w:type="character" w:customStyle="1" w:styleId="CommentTextChar1">
    <w:name w:val="Comment Text Char1"/>
    <w:basedOn w:val="DefaultParagraphFont"/>
    <w:link w:val="CommentText"/>
    <w:uiPriority w:val="99"/>
    <w:rsid w:val="00E3454F"/>
    <w:rPr>
      <w:sz w:val="20"/>
      <w:szCs w:val="20"/>
    </w:rPr>
  </w:style>
  <w:style w:type="character" w:styleId="UnresolvedMention">
    <w:name w:val="Unresolved Mention"/>
    <w:basedOn w:val="DefaultParagraphFont"/>
    <w:uiPriority w:val="99"/>
    <w:semiHidden/>
    <w:unhideWhenUsed/>
    <w:rsid w:val="004E300E"/>
    <w:rPr>
      <w:color w:val="605E5C"/>
      <w:shd w:val="clear" w:color="auto" w:fill="E1DFDD"/>
    </w:rPr>
  </w:style>
  <w:style w:type="paragraph" w:styleId="Header">
    <w:name w:val="header"/>
    <w:basedOn w:val="Normal"/>
    <w:link w:val="HeaderChar"/>
    <w:uiPriority w:val="99"/>
    <w:unhideWhenUsed/>
    <w:rsid w:val="004E3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00E"/>
  </w:style>
  <w:style w:type="paragraph" w:styleId="Footer">
    <w:name w:val="footer"/>
    <w:basedOn w:val="Normal"/>
    <w:link w:val="FooterChar"/>
    <w:uiPriority w:val="99"/>
    <w:unhideWhenUsed/>
    <w:rsid w:val="004E3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00E"/>
  </w:style>
  <w:style w:type="character" w:customStyle="1" w:styleId="normaltextrun">
    <w:name w:val="normaltextrun"/>
    <w:basedOn w:val="DefaultParagraphFont"/>
    <w:rsid w:val="004E300E"/>
  </w:style>
  <w:style w:type="character" w:customStyle="1" w:styleId="eop">
    <w:name w:val="eop"/>
    <w:basedOn w:val="DefaultParagraphFont"/>
    <w:rsid w:val="004E300E"/>
  </w:style>
  <w:style w:type="paragraph" w:styleId="CommentSubject">
    <w:name w:val="annotation subject"/>
    <w:basedOn w:val="CommentText"/>
    <w:next w:val="CommentText"/>
    <w:link w:val="CommentSubjectChar"/>
    <w:uiPriority w:val="99"/>
    <w:semiHidden/>
    <w:unhideWhenUsed/>
    <w:rsid w:val="004E300E"/>
    <w:rPr>
      <w:b/>
      <w:bCs/>
    </w:rPr>
  </w:style>
  <w:style w:type="character" w:customStyle="1" w:styleId="CommentSubjectChar">
    <w:name w:val="Comment Subject Char"/>
    <w:basedOn w:val="CommentTextChar1"/>
    <w:link w:val="CommentSubject"/>
    <w:uiPriority w:val="99"/>
    <w:semiHidden/>
    <w:rsid w:val="004E300E"/>
    <w:rPr>
      <w:b/>
      <w:bCs/>
      <w:sz w:val="20"/>
      <w:szCs w:val="20"/>
    </w:rPr>
  </w:style>
  <w:style w:type="paragraph" w:styleId="ListParagraph">
    <w:name w:val="List Paragraph"/>
    <w:basedOn w:val="Normal"/>
    <w:uiPriority w:val="34"/>
    <w:qFormat/>
    <w:rsid w:val="00EF2447"/>
    <w:pPr>
      <w:ind w:left="720"/>
      <w:contextualSpacing/>
    </w:pPr>
  </w:style>
  <w:style w:type="paragraph" w:customStyle="1" w:styleId="FundingAcknowledgement">
    <w:name w:val="Funding Acknowledgement"/>
    <w:basedOn w:val="Normal"/>
    <w:autoRedefine/>
    <w:qFormat/>
    <w:rsid w:val="00CA753E"/>
    <w:pPr>
      <w:pBdr>
        <w:top w:val="single" w:sz="36" w:space="10" w:color="4472C4" w:themeColor="accent1"/>
        <w:bottom w:val="single" w:sz="36" w:space="10" w:color="4472C4" w:themeColor="accent1"/>
      </w:pBdr>
      <w:spacing w:before="360" w:after="360" w:line="276" w:lineRule="auto"/>
      <w:ind w:right="-46"/>
    </w:pPr>
    <w:rPr>
      <w:rFonts w:ascii="Gotham" w:eastAsiaTheme="minorEastAsia" w:hAnsi="Gotham"/>
      <w:b/>
      <w:i/>
      <w:iCs/>
      <w:sz w:val="16"/>
      <w:lang w:val="en-US" w:eastAsia="en-AU"/>
    </w:rPr>
  </w:style>
  <w:style w:type="paragraph" w:styleId="Revision">
    <w:name w:val="Revision"/>
    <w:hidden/>
    <w:uiPriority w:val="99"/>
    <w:semiHidden/>
    <w:rsid w:val="00A30EC3"/>
    <w:pPr>
      <w:spacing w:after="0" w:line="240" w:lineRule="auto"/>
    </w:pPr>
  </w:style>
  <w:style w:type="character" w:styleId="Emphasis">
    <w:name w:val="Emphasis"/>
    <w:basedOn w:val="DefaultParagraphFont"/>
    <w:uiPriority w:val="20"/>
    <w:qFormat/>
    <w:rsid w:val="00A30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accanau"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mailto:mergerauthorisations@accc.gov.au"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instagram.com/accan_au"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ACCAN_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nkedin.com/company/accan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ccan.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io.com.au/sites/default/files/2021-10/TIO%20Submission%20-%202021%20Regional%20Telecommunications%20Review.pdf" TargetMode="External"/><Relationship Id="rId2" Type="http://schemas.openxmlformats.org/officeDocument/2006/relationships/hyperlink" Target="https://accan.org.au/accans-work/submissions/406-regional-telecommunications-review?highlight=WyJyZWdpb25hbCIsInRlbGVjb21tdW5pY2F0aW9ucyIsIid0ZWxlY29tbXVuaWNhdGlvbnMiLCJyZXZpZXciLCJyZXZpZXcncyIsInJldmlldycsIiwicmVnaW9uYWwgdGVsZWNvbW11bmljYXRpb25zIiwicmVnaW9uYWwgdGVsZWNvbW11bmljYXRpb25zIHJldmlldyIsInRlbGVjb21tdW5pY2F0aW9ucyByZXZpZXciXQ==" TargetMode="External"/><Relationship Id="rId1" Type="http://schemas.openxmlformats.org/officeDocument/2006/relationships/hyperlink" Target="https://www.abs.gov.au/media-centre/media-releases/more-growth-regions-during-pandemic" TargetMode="External"/><Relationship Id="rId4" Type="http://schemas.openxmlformats.org/officeDocument/2006/relationships/hyperlink" Target="https://www.afr.com/companies/telecommunications/telstra-raises-mobile-phone-charges-optus-tipped-to-follow-20220602-p5aq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6" ma:contentTypeDescription="Create a new document." ma:contentTypeScope="" ma:versionID="ea7b058ea57afb665b00310e88cfb963">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aaf83de09e21ac40c367696fbb363d37"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D9F80-5B4D-40D1-93FF-4A10283D8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1CC6C-4E11-449A-8656-55CEDBE6FC4C}">
  <ds:schemaRefs>
    <ds:schemaRef ds:uri="http://schemas.microsoft.com/sharepoint/v3/contenttype/forms"/>
  </ds:schemaRefs>
</ds:datastoreItem>
</file>

<file path=customXml/itemProps3.xml><?xml version="1.0" encoding="utf-8"?>
<ds:datastoreItem xmlns:ds="http://schemas.openxmlformats.org/officeDocument/2006/customXml" ds:itemID="{068FB6E7-3DF3-4546-A7F0-821F58BD41B0}">
  <ds:schemaRefs>
    <ds:schemaRef ds:uri="http://schemas.openxmlformats.org/officeDocument/2006/bibliography"/>
  </ds:schemaRefs>
</ds:datastoreItem>
</file>

<file path=customXml/itemProps4.xml><?xml version="1.0" encoding="utf-8"?>
<ds:datastoreItem xmlns:ds="http://schemas.openxmlformats.org/officeDocument/2006/customXml" ds:itemID="{28C1D674-C592-4181-B771-068E7E094BA5}"/>
</file>

<file path=docProps/app.xml><?xml version="1.0" encoding="utf-8"?>
<Properties xmlns="http://schemas.openxmlformats.org/officeDocument/2006/extended-properties" xmlns:vt="http://schemas.openxmlformats.org/officeDocument/2006/docPropsVTypes">
  <Template>Normal</Template>
  <TotalTime>0</TotalTime>
  <Pages>5</Pages>
  <Words>2142</Words>
  <Characters>12215</Characters>
  <Application>Microsoft Office Word</Application>
  <DocSecurity>0</DocSecurity>
  <Lines>101</Lines>
  <Paragraphs>28</Paragraphs>
  <ScaleCrop>false</ScaleCrop>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Lawrence</dc:creator>
  <cp:keywords/>
  <dc:description/>
  <cp:lastModifiedBy>Una Lawrence</cp:lastModifiedBy>
  <cp:revision>2</cp:revision>
  <dcterms:created xsi:type="dcterms:W3CDTF">2022-06-21T02:58:00Z</dcterms:created>
  <dcterms:modified xsi:type="dcterms:W3CDTF">2022-06-21T02:58:00Z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0x010100B3E4A5C17F963D4A81626FBA9D0C3C6E</vt:lpwstr>
  </property>
</Properties>
</file>