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2ACBB7" w14:textId="77777777" w:rsidR="00BB3EC8" w:rsidRDefault="00BB3EC8" w:rsidP="00BB3EC8">
      <w:pPr>
        <w:pStyle w:val="Letterhead1"/>
      </w:pPr>
      <w:bookmarkStart w:id="0" w:name="_Hlk95835868"/>
      <w:r>
        <w:rPr>
          <w:noProof/>
        </w:rPr>
        <w:drawing>
          <wp:anchor distT="0" distB="0" distL="114300" distR="114300" simplePos="0" relativeHeight="251658245" behindDoc="1" locked="0" layoutInCell="1" allowOverlap="1" wp14:anchorId="1DF81269" wp14:editId="67BECB9C">
            <wp:simplePos x="0" y="0"/>
            <wp:positionH relativeFrom="column">
              <wp:posOffset>4862195</wp:posOffset>
            </wp:positionH>
            <wp:positionV relativeFrom="page">
              <wp:posOffset>563880</wp:posOffset>
            </wp:positionV>
            <wp:extent cx="191770" cy="191770"/>
            <wp:effectExtent l="0" t="0" r="0" b="0"/>
            <wp:wrapSquare wrapText="bothSides"/>
            <wp:docPr id="11" name="Picture 11" descr="Twitter Ico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witter Icon">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6" behindDoc="0" locked="0" layoutInCell="1" allowOverlap="1" wp14:anchorId="47A43EB3" wp14:editId="1D9604D4">
            <wp:simplePos x="0" y="0"/>
            <wp:positionH relativeFrom="column">
              <wp:posOffset>5092065</wp:posOffset>
            </wp:positionH>
            <wp:positionV relativeFrom="page">
              <wp:posOffset>560070</wp:posOffset>
            </wp:positionV>
            <wp:extent cx="191770" cy="191770"/>
            <wp:effectExtent l="0" t="0" r="0" b="0"/>
            <wp:wrapSquare wrapText="bothSides"/>
            <wp:docPr id="6" name="Picture 6" descr="Facebook ico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acebook icon">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7" behindDoc="0" locked="0" layoutInCell="1" allowOverlap="1" wp14:anchorId="22EAFD04" wp14:editId="1F43F4BC">
            <wp:simplePos x="0" y="0"/>
            <wp:positionH relativeFrom="column">
              <wp:posOffset>5326380</wp:posOffset>
            </wp:positionH>
            <wp:positionV relativeFrom="page">
              <wp:posOffset>560070</wp:posOffset>
            </wp:positionV>
            <wp:extent cx="191770" cy="191770"/>
            <wp:effectExtent l="0" t="0" r="0" b="0"/>
            <wp:wrapSquare wrapText="bothSides"/>
            <wp:docPr id="4" name="Picture 4" descr="Linked in icon">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inked in icon">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3" behindDoc="0" locked="0" layoutInCell="1" allowOverlap="1" wp14:anchorId="1665484C" wp14:editId="0D10A139">
            <wp:simplePos x="0" y="0"/>
            <wp:positionH relativeFrom="column">
              <wp:posOffset>5546725</wp:posOffset>
            </wp:positionH>
            <wp:positionV relativeFrom="page">
              <wp:posOffset>560070</wp:posOffset>
            </wp:positionV>
            <wp:extent cx="191770" cy="191770"/>
            <wp:effectExtent l="0" t="0" r="0" b="0"/>
            <wp:wrapSquare wrapText="bothSides"/>
            <wp:docPr id="3" name="Picture 3" descr="Instagram ico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nstagram icon">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1770" cy="191770"/>
                    </a:xfrm>
                    <a:prstGeom prst="rect">
                      <a:avLst/>
                    </a:prstGeom>
                    <a:noFill/>
                  </pic:spPr>
                </pic:pic>
              </a:graphicData>
            </a:graphic>
            <wp14:sizeRelH relativeFrom="page">
              <wp14:pctWidth>0</wp14:pctWidth>
            </wp14:sizeRelH>
            <wp14:sizeRelV relativeFrom="margin">
              <wp14:pctHeight>0</wp14:pctHeight>
            </wp14:sizeRelV>
          </wp:anchor>
        </w:drawing>
      </w:r>
      <w:r>
        <w:rPr>
          <w:noProof/>
        </w:rPr>
        <w:drawing>
          <wp:anchor distT="0" distB="0" distL="114300" distR="114300" simplePos="0" relativeHeight="251658242" behindDoc="0" locked="0" layoutInCell="1" allowOverlap="1" wp14:anchorId="1BD66A6C" wp14:editId="5205C1C7">
            <wp:simplePos x="0" y="0"/>
            <wp:positionH relativeFrom="column">
              <wp:posOffset>4445</wp:posOffset>
            </wp:positionH>
            <wp:positionV relativeFrom="page">
              <wp:posOffset>421005</wp:posOffset>
            </wp:positionV>
            <wp:extent cx="2035810" cy="880110"/>
            <wp:effectExtent l="0" t="0" r="2540" b="0"/>
            <wp:wrapSquare wrapText="bothSides"/>
            <wp:docPr id="2" name="Picture 2"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t>www.accan.org.au</w:t>
      </w:r>
    </w:p>
    <w:p w14:paraId="19D5EFF8" w14:textId="74387091" w:rsidR="00BB3EC8" w:rsidRDefault="00BB3EC8" w:rsidP="00BB3EC8">
      <w:pPr>
        <w:pStyle w:val="Letterhead1"/>
      </w:pPr>
      <w:r>
        <w:t>info@accan.org.au</w:t>
      </w:r>
    </w:p>
    <w:p w14:paraId="3F63B152" w14:textId="77777777" w:rsidR="00BB3EC8" w:rsidRDefault="00BB3EC8" w:rsidP="00BB3EC8">
      <w:pPr>
        <w:pStyle w:val="Letterhead1"/>
      </w:pPr>
      <w:r>
        <w:t>02 9288 4000</w:t>
      </w:r>
    </w:p>
    <w:p w14:paraId="6E96616A" w14:textId="77777777" w:rsidR="000D3021" w:rsidRDefault="000D3021" w:rsidP="000D3021">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1" behindDoc="1" locked="0" layoutInCell="1" allowOverlap="1" wp14:anchorId="7EBE89E7" wp14:editId="41E7C05E">
                <wp:simplePos x="0" y="0"/>
                <wp:positionH relativeFrom="column">
                  <wp:posOffset>-627380</wp:posOffset>
                </wp:positionH>
                <wp:positionV relativeFrom="page">
                  <wp:posOffset>1675572</wp:posOffset>
                </wp:positionV>
                <wp:extent cx="6892290" cy="45085"/>
                <wp:effectExtent l="0" t="0" r="3810" b="0"/>
                <wp:wrapNone/>
                <wp:docPr id="5" name="Rectangle 5"/>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1D8B22C1" id="Rectangle 5" o:spid="_x0000_s1026" style="position:absolute;margin-left:-49.4pt;margin-top:131.95pt;width:542.7pt;height:3.5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1A241C6A" w14:textId="77777777" w:rsidR="00B47285" w:rsidRDefault="00B47285" w:rsidP="00B47285">
      <w:pPr>
        <w:tabs>
          <w:tab w:val="left" w:pos="3855"/>
        </w:tabs>
        <w:rPr>
          <w:rFonts w:ascii="Gotham" w:hAnsi="Gotham"/>
          <w:b/>
          <w:bCs/>
          <w:lang w:val="en-US"/>
        </w:rPr>
      </w:pPr>
      <w:r w:rsidRPr="002C5882">
        <w:rPr>
          <w:noProof/>
        </w:rPr>
        <mc:AlternateContent>
          <mc:Choice Requires="wps">
            <w:drawing>
              <wp:anchor distT="0" distB="0" distL="114300" distR="114300" simplePos="0" relativeHeight="251658240" behindDoc="1" locked="0" layoutInCell="1" allowOverlap="1" wp14:anchorId="71AA785A" wp14:editId="72CB9E27">
                <wp:simplePos x="0" y="0"/>
                <wp:positionH relativeFrom="column">
                  <wp:posOffset>-627380</wp:posOffset>
                </wp:positionH>
                <wp:positionV relativeFrom="page">
                  <wp:posOffset>1675572</wp:posOffset>
                </wp:positionV>
                <wp:extent cx="6892290" cy="45085"/>
                <wp:effectExtent l="0" t="0" r="3810" b="0"/>
                <wp:wrapNone/>
                <wp:docPr id="4379" name="Rectangle 4379"/>
                <wp:cNvGraphicFramePr/>
                <a:graphic xmlns:a="http://schemas.openxmlformats.org/drawingml/2006/main">
                  <a:graphicData uri="http://schemas.microsoft.com/office/word/2010/wordprocessingShape">
                    <wps:wsp>
                      <wps:cNvSpPr/>
                      <wps:spPr>
                        <a:xfrm>
                          <a:off x="0" y="0"/>
                          <a:ext cx="6892290" cy="4508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51878A14" id="Rectangle 4379" o:spid="_x0000_s1026" style="position:absolute;margin-left:-49.4pt;margin-top:131.95pt;width:542.7pt;height: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" fillcolor="#43c7f4" stroked="f" strokeweight="2pt">
                <w10:wrap anchory="page"/>
              </v:rect>
            </w:pict>
          </mc:Fallback>
        </mc:AlternateContent>
      </w:r>
    </w:p>
    <w:p w14:paraId="7662E08D" w14:textId="01926B0D" w:rsidR="00F45BDC" w:rsidRPr="000B3FAC" w:rsidRDefault="008912FE" w:rsidP="00AA7049">
      <w:pPr>
        <w:tabs>
          <w:tab w:val="right" w:pos="9026"/>
        </w:tabs>
        <w:rPr>
          <w:rFonts w:ascii="Gotham Black" w:hAnsi="Gotham Black"/>
          <w:color w:val="43C7F4"/>
          <w:sz w:val="36"/>
          <w:szCs w:val="36"/>
        </w:rPr>
      </w:pPr>
      <w:r>
        <w:rPr>
          <w:rFonts w:ascii="Gotham Black" w:hAnsi="Gotham Black"/>
          <w:color w:val="44C7F4"/>
          <w:sz w:val="36"/>
          <w:szCs w:val="36"/>
        </w:rPr>
        <w:t>Submission</w:t>
      </w:r>
      <w:r w:rsidR="00F45BDC" w:rsidRPr="006F47E7">
        <w:rPr>
          <w:rFonts w:ascii="Gotham Black" w:hAnsi="Gotham Black"/>
          <w:color w:val="44C7F4"/>
          <w:sz w:val="36"/>
          <w:szCs w:val="36"/>
        </w:rPr>
        <w:tab/>
      </w:r>
      <w:r w:rsidR="0046697C">
        <w:rPr>
          <w:rFonts w:ascii="Gotham" w:hAnsi="Gotham"/>
          <w:b/>
          <w:bCs/>
        </w:rPr>
        <w:t>1</w:t>
      </w:r>
      <w:r w:rsidR="003548A2">
        <w:rPr>
          <w:rFonts w:ascii="Gotham" w:hAnsi="Gotham"/>
          <w:b/>
          <w:bCs/>
        </w:rPr>
        <w:t>6</w:t>
      </w:r>
      <w:r w:rsidR="0046697C">
        <w:rPr>
          <w:rFonts w:ascii="Gotham" w:hAnsi="Gotham"/>
          <w:b/>
          <w:bCs/>
        </w:rPr>
        <w:t xml:space="preserve"> May 2022</w:t>
      </w:r>
    </w:p>
    <w:bookmarkEnd w:id="0"/>
    <w:p w14:paraId="4A4D7D74" w14:textId="77777777" w:rsidR="00771AA7" w:rsidRDefault="00771AA7" w:rsidP="006B1CBA"/>
    <w:p w14:paraId="3FCAA6E3" w14:textId="77777777" w:rsidR="001B66FF" w:rsidRDefault="001B66FF" w:rsidP="006B1CBA"/>
    <w:p w14:paraId="7E9D8868" w14:textId="77777777" w:rsidR="001B66FF" w:rsidRDefault="001B66FF" w:rsidP="006B1CBA"/>
    <w:p w14:paraId="19D2AB47" w14:textId="7854EF5B" w:rsidR="009518F7" w:rsidRPr="00B363A5" w:rsidRDefault="00B86A00" w:rsidP="00B363A5">
      <w:pPr>
        <w:jc w:val="center"/>
        <w:rPr>
          <w:sz w:val="48"/>
          <w:szCs w:val="48"/>
        </w:rPr>
      </w:pPr>
      <w:r w:rsidRPr="00B363A5">
        <w:rPr>
          <w:sz w:val="48"/>
          <w:szCs w:val="48"/>
        </w:rPr>
        <w:t>Joint Consumer Submission on the Independent TIO Review</w:t>
      </w:r>
    </w:p>
    <w:p w14:paraId="420177FE" w14:textId="7865E903" w:rsidR="008B6A77" w:rsidRPr="00B363A5" w:rsidRDefault="008B6A77" w:rsidP="00B363A5">
      <w:pPr>
        <w:jc w:val="center"/>
        <w:rPr>
          <w:sz w:val="32"/>
          <w:szCs w:val="32"/>
        </w:rPr>
      </w:pPr>
      <w:bookmarkStart w:id="1" w:name="_Toc99975355"/>
      <w:bookmarkStart w:id="2" w:name="_Toc99975401"/>
      <w:bookmarkStart w:id="3" w:name="_Toc99975438"/>
      <w:bookmarkStart w:id="4" w:name="_Toc99975451"/>
      <w:bookmarkStart w:id="5" w:name="_Toc99975568"/>
      <w:r w:rsidRPr="00B363A5">
        <w:rPr>
          <w:sz w:val="32"/>
          <w:szCs w:val="32"/>
        </w:rPr>
        <w:t xml:space="preserve">Submission by the Australian Communications Consumer Action Network </w:t>
      </w:r>
      <w:r w:rsidR="0012556A" w:rsidRPr="00B363A5">
        <w:rPr>
          <w:sz w:val="32"/>
          <w:szCs w:val="32"/>
        </w:rPr>
        <w:t>(ACCAN)</w:t>
      </w:r>
      <w:r w:rsidR="00B86A00" w:rsidRPr="00B363A5">
        <w:rPr>
          <w:sz w:val="32"/>
          <w:szCs w:val="32"/>
        </w:rPr>
        <w:t xml:space="preserve">, Consumer Action Law Centre, Financial Counselling Australia and </w:t>
      </w:r>
      <w:proofErr w:type="spellStart"/>
      <w:r w:rsidR="00B86A00" w:rsidRPr="00B363A5">
        <w:rPr>
          <w:sz w:val="32"/>
          <w:szCs w:val="32"/>
        </w:rPr>
        <w:t>WEstjustice</w:t>
      </w:r>
      <w:bookmarkEnd w:id="1"/>
      <w:bookmarkEnd w:id="2"/>
      <w:bookmarkEnd w:id="3"/>
      <w:bookmarkEnd w:id="4"/>
      <w:bookmarkEnd w:id="5"/>
      <w:proofErr w:type="spellEnd"/>
    </w:p>
    <w:p w14:paraId="4D6523C3" w14:textId="081E7550" w:rsidR="00E95EF3" w:rsidRPr="00E95EF3" w:rsidRDefault="00E95EF3" w:rsidP="006B1CBA">
      <w:pPr>
        <w:rPr>
          <w:lang w:val="en-US" w:eastAsia="en-US"/>
        </w:rPr>
      </w:pPr>
    </w:p>
    <w:p w14:paraId="45268F40" w14:textId="0069F3D6" w:rsidR="00B77DFA" w:rsidRPr="00E95EF3" w:rsidRDefault="00B77DFA" w:rsidP="006B1CBA">
      <w:pPr>
        <w:rPr>
          <w:lang w:val="en-US" w:eastAsia="en-US"/>
        </w:rPr>
      </w:pPr>
    </w:p>
    <w:p w14:paraId="3C19DD89" w14:textId="7BBBFA9B" w:rsidR="00A761CF" w:rsidRDefault="001B66FF" w:rsidP="006B1CBA">
      <w:r>
        <w:rPr>
          <w:noProof/>
        </w:rPr>
        <w:drawing>
          <wp:anchor distT="0" distB="0" distL="114300" distR="114300" simplePos="0" relativeHeight="251658251" behindDoc="0" locked="0" layoutInCell="1" allowOverlap="1" wp14:anchorId="05F0BB79" wp14:editId="6EF5169D">
            <wp:simplePos x="0" y="0"/>
            <wp:positionH relativeFrom="column">
              <wp:posOffset>527685</wp:posOffset>
            </wp:positionH>
            <wp:positionV relativeFrom="page">
              <wp:posOffset>6090123</wp:posOffset>
            </wp:positionV>
            <wp:extent cx="2035810" cy="880110"/>
            <wp:effectExtent l="0" t="0" r="2540" b="0"/>
            <wp:wrapSquare wrapText="bothSides"/>
            <wp:docPr id="15" name="Picture 15" descr="ACCAN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CCAN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35810" cy="880110"/>
                    </a:xfrm>
                    <a:prstGeom prst="rect">
                      <a:avLst/>
                    </a:prstGeom>
                    <a:no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9" behindDoc="0" locked="0" layoutInCell="1" allowOverlap="1" wp14:anchorId="12FED98C" wp14:editId="0D0711F6">
            <wp:simplePos x="0" y="0"/>
            <wp:positionH relativeFrom="column">
              <wp:posOffset>2931160</wp:posOffset>
            </wp:positionH>
            <wp:positionV relativeFrom="paragraph">
              <wp:posOffset>130013</wp:posOffset>
            </wp:positionV>
            <wp:extent cx="2700655" cy="935355"/>
            <wp:effectExtent l="0" t="0" r="4445" b="0"/>
            <wp:wrapSquare wrapText="bothSides"/>
            <wp:docPr id="10" name="Picture 10" descr="CAL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ALC log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0065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8" behindDoc="0" locked="0" layoutInCell="1" allowOverlap="1" wp14:anchorId="23A5BF7E" wp14:editId="281146ED">
            <wp:simplePos x="0" y="0"/>
            <wp:positionH relativeFrom="column">
              <wp:posOffset>-4962</wp:posOffset>
            </wp:positionH>
            <wp:positionV relativeFrom="paragraph">
              <wp:posOffset>1489178</wp:posOffset>
            </wp:positionV>
            <wp:extent cx="2710815" cy="1043940"/>
            <wp:effectExtent l="0" t="0" r="0" b="3810"/>
            <wp:wrapSquare wrapText="bothSides"/>
            <wp:docPr id="8" name="Picture 8" descr="Logo - Financial Counselling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 Financial Counselling Australia"/>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2710815" cy="1043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50" behindDoc="0" locked="0" layoutInCell="1" allowOverlap="1" wp14:anchorId="2D5D541F" wp14:editId="323BD6FA">
            <wp:simplePos x="0" y="0"/>
            <wp:positionH relativeFrom="column">
              <wp:posOffset>3031534</wp:posOffset>
            </wp:positionH>
            <wp:positionV relativeFrom="paragraph">
              <wp:posOffset>1777912</wp:posOffset>
            </wp:positionV>
            <wp:extent cx="2710180" cy="600075"/>
            <wp:effectExtent l="0" t="0" r="0"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10180" cy="600075"/>
                    </a:xfrm>
                    <a:prstGeom prst="rect">
                      <a:avLst/>
                    </a:prstGeom>
                    <a:noFill/>
                  </pic:spPr>
                </pic:pic>
              </a:graphicData>
            </a:graphic>
            <wp14:sizeRelH relativeFrom="page">
              <wp14:pctWidth>0</wp14:pctWidth>
            </wp14:sizeRelH>
            <wp14:sizeRelV relativeFrom="page">
              <wp14:pctHeight>0</wp14:pctHeight>
            </wp14:sizeRelV>
          </wp:anchor>
        </w:drawing>
      </w:r>
      <w:r w:rsidR="00A761CF">
        <w:br w:type="page"/>
      </w:r>
    </w:p>
    <w:p w14:paraId="4754A79C" w14:textId="77777777" w:rsidR="00B41CA8" w:rsidRPr="00B41CA8" w:rsidRDefault="00B41CA8" w:rsidP="00B41CA8">
      <w:pPr>
        <w:spacing w:before="100" w:beforeAutospacing="1" w:after="100" w:afterAutospacing="1" w:line="240" w:lineRule="auto"/>
        <w:rPr>
          <w:rFonts w:ascii="Calibri" w:eastAsia="MS Mincho" w:hAnsi="Calibri" w:cs="Arial"/>
          <w:b/>
        </w:rPr>
      </w:pPr>
      <w:r w:rsidRPr="00B41CA8">
        <w:rPr>
          <w:rFonts w:ascii="Calibri" w:eastAsia="MS Mincho" w:hAnsi="Calibri" w:cs="Arial"/>
          <w:b/>
        </w:rPr>
        <w:lastRenderedPageBreak/>
        <w:t xml:space="preserve">About ACCAN </w:t>
      </w:r>
    </w:p>
    <w:p w14:paraId="74A721BB" w14:textId="21746150" w:rsidR="00B41CA8" w:rsidRPr="00385DD4" w:rsidRDefault="00B41CA8" w:rsidP="005537B6">
      <w:pPr>
        <w:rPr>
          <w:sz w:val="20"/>
          <w:szCs w:val="20"/>
        </w:rPr>
      </w:pPr>
      <w:r w:rsidRPr="00385DD4">
        <w:rPr>
          <w:sz w:val="20"/>
          <w:szCs w:val="20"/>
        </w:rPr>
        <w:t>The Australian Communications Consumer Action Network (ACCAN) is the peak body that represents all consumers on communications issues including telecommunications, broadband and emerging new services. ACCAN provides a strong unified voice to industry and government as consumers work towards communications services that are trusted, inclusive and available for all.</w:t>
      </w:r>
      <w:r w:rsidR="00385DD4">
        <w:rPr>
          <w:sz w:val="20"/>
          <w:szCs w:val="20"/>
        </w:rPr>
        <w:t xml:space="preserve"> </w:t>
      </w:r>
      <w:r w:rsidRPr="00385DD4">
        <w:rPr>
          <w:sz w:val="20"/>
          <w:szCs w:val="20"/>
        </w:rPr>
        <w:t xml:space="preserve">Consumers need ACCAN to promote better consumer protection outcomes ensuring speedy responses to complaints and issues. ACCAN aims to empower consumers so that they are well informed and can make good choices about products and services. As a peak body, ACCAN will represent the views of its broad and diverse membership base to policy makers, </w:t>
      </w:r>
      <w:proofErr w:type="gramStart"/>
      <w:r w:rsidRPr="00385DD4">
        <w:rPr>
          <w:sz w:val="20"/>
          <w:szCs w:val="20"/>
        </w:rPr>
        <w:t>government</w:t>
      </w:r>
      <w:proofErr w:type="gramEnd"/>
      <w:r w:rsidRPr="00385DD4">
        <w:rPr>
          <w:sz w:val="20"/>
          <w:szCs w:val="20"/>
        </w:rPr>
        <w:t xml:space="preserve"> and industry to get better outcomes for all communications consumers</w:t>
      </w:r>
      <w:r w:rsidRPr="00B41CA8">
        <w:t>. </w:t>
      </w:r>
    </w:p>
    <w:p w14:paraId="0A16D3A8" w14:textId="64A4BEF2" w:rsidR="00385DD4" w:rsidRDefault="00385DD4" w:rsidP="00081423">
      <w:pPr>
        <w:rPr>
          <w:b/>
          <w:bCs/>
        </w:rPr>
      </w:pPr>
      <w:r>
        <w:rPr>
          <w:b/>
          <w:bCs/>
        </w:rPr>
        <w:t>About Consumer Action Law Centre</w:t>
      </w:r>
    </w:p>
    <w:p w14:paraId="30A6157D" w14:textId="4DDA2FC8" w:rsidR="00385DD4" w:rsidRPr="00385DD4" w:rsidRDefault="00385DD4" w:rsidP="00081423">
      <w:pPr>
        <w:rPr>
          <w:sz w:val="20"/>
          <w:szCs w:val="20"/>
        </w:rPr>
      </w:pPr>
      <w:r w:rsidRPr="00385DD4">
        <w:rPr>
          <w:sz w:val="20"/>
          <w:szCs w:val="20"/>
        </w:rPr>
        <w:t xml:space="preserve">Consumer Action is an independent, not-for profit consumer organisation with deep expertise in consumer and consumer credit laws, </w:t>
      </w:r>
      <w:proofErr w:type="gramStart"/>
      <w:r w:rsidRPr="00385DD4">
        <w:rPr>
          <w:sz w:val="20"/>
          <w:szCs w:val="20"/>
        </w:rPr>
        <w:t>policy</w:t>
      </w:r>
      <w:proofErr w:type="gramEnd"/>
      <w:r w:rsidRPr="00385DD4">
        <w:rPr>
          <w:sz w:val="20"/>
          <w:szCs w:val="20"/>
        </w:rPr>
        <w:t xml:space="preserve"> and direct knowledge of people's experience of modern markets. We work for a just marketplace, where people have power and business plays fair. We make life easier for people experiencing vulnerability and disadvantage in Australia, through financial counselling, legal advice, legal representation, policy work and campaigns. Based in Melbourne, our direct services assist </w:t>
      </w:r>
      <w:proofErr w:type="gramStart"/>
      <w:r w:rsidRPr="00385DD4">
        <w:rPr>
          <w:sz w:val="20"/>
          <w:szCs w:val="20"/>
        </w:rPr>
        <w:t>Victorians</w:t>
      </w:r>
      <w:proofErr w:type="gramEnd"/>
      <w:r w:rsidRPr="00385DD4">
        <w:rPr>
          <w:sz w:val="20"/>
          <w:szCs w:val="20"/>
        </w:rPr>
        <w:t xml:space="preserve"> and our advocacy supports a just marketplace for all Australians.</w:t>
      </w:r>
    </w:p>
    <w:p w14:paraId="16864BC6" w14:textId="2CC09ADE" w:rsidR="00081423" w:rsidRPr="00081423" w:rsidRDefault="00081423" w:rsidP="00081423">
      <w:pPr>
        <w:rPr>
          <w:b/>
          <w:bCs/>
        </w:rPr>
      </w:pPr>
      <w:r w:rsidRPr="00081423">
        <w:rPr>
          <w:b/>
          <w:bCs/>
        </w:rPr>
        <w:t xml:space="preserve">About Financial Counselling Australia </w:t>
      </w:r>
    </w:p>
    <w:p w14:paraId="76B4C53C" w14:textId="644251C0" w:rsidR="00081423" w:rsidRDefault="00081423" w:rsidP="00081423">
      <w:pPr>
        <w:rPr>
          <w:sz w:val="20"/>
          <w:szCs w:val="20"/>
        </w:rPr>
      </w:pPr>
      <w:r w:rsidRPr="00385DD4">
        <w:rPr>
          <w:sz w:val="20"/>
          <w:szCs w:val="20"/>
        </w:rPr>
        <w:t xml:space="preserve">Financial Counselling Australia is the peak body for financial counsellors. Financial counsellors assist people experiencing financial difficulty by providing information, support, </w:t>
      </w:r>
      <w:proofErr w:type="gramStart"/>
      <w:r w:rsidRPr="00385DD4">
        <w:rPr>
          <w:sz w:val="20"/>
          <w:szCs w:val="20"/>
        </w:rPr>
        <w:t>advice</w:t>
      </w:r>
      <w:proofErr w:type="gramEnd"/>
      <w:r w:rsidRPr="00385DD4">
        <w:rPr>
          <w:sz w:val="20"/>
          <w:szCs w:val="20"/>
        </w:rPr>
        <w:t xml:space="preserve"> and advocacy. Working in not-for-profit community organisations, financial counselling services are free, </w:t>
      </w:r>
      <w:proofErr w:type="gramStart"/>
      <w:r w:rsidRPr="00385DD4">
        <w:rPr>
          <w:sz w:val="20"/>
          <w:szCs w:val="20"/>
        </w:rPr>
        <w:t>independent</w:t>
      </w:r>
      <w:proofErr w:type="gramEnd"/>
      <w:r w:rsidRPr="00385DD4">
        <w:rPr>
          <w:sz w:val="20"/>
          <w:szCs w:val="20"/>
        </w:rPr>
        <w:t xml:space="preserve"> and confidential. </w:t>
      </w:r>
    </w:p>
    <w:p w14:paraId="1D6D6168" w14:textId="2CAA0064" w:rsidR="00305B41" w:rsidRPr="00167ACB" w:rsidRDefault="008B68DD" w:rsidP="00081423">
      <w:pPr>
        <w:rPr>
          <w:b/>
          <w:bCs/>
        </w:rPr>
      </w:pPr>
      <w:r w:rsidRPr="00167ACB">
        <w:rPr>
          <w:b/>
          <w:bCs/>
        </w:rPr>
        <w:t xml:space="preserve">About </w:t>
      </w:r>
      <w:proofErr w:type="spellStart"/>
      <w:r w:rsidR="00C121EA" w:rsidRPr="00167ACB">
        <w:rPr>
          <w:b/>
          <w:bCs/>
        </w:rPr>
        <w:t>W</w:t>
      </w:r>
      <w:r w:rsidR="00305B41" w:rsidRPr="00167ACB">
        <w:rPr>
          <w:b/>
          <w:bCs/>
        </w:rPr>
        <w:t>e</w:t>
      </w:r>
      <w:r w:rsidR="00C121EA" w:rsidRPr="00167ACB">
        <w:rPr>
          <w:b/>
          <w:bCs/>
        </w:rPr>
        <w:t>stjustice</w:t>
      </w:r>
      <w:proofErr w:type="spellEnd"/>
    </w:p>
    <w:p w14:paraId="2176256E" w14:textId="113E486E" w:rsidR="006523FB" w:rsidRPr="00385DD4" w:rsidRDefault="00C121EA" w:rsidP="00081423">
      <w:pPr>
        <w:rPr>
          <w:sz w:val="20"/>
          <w:szCs w:val="20"/>
        </w:rPr>
      </w:pPr>
      <w:proofErr w:type="spellStart"/>
      <w:r w:rsidRPr="00C121EA">
        <w:rPr>
          <w:sz w:val="20"/>
          <w:szCs w:val="20"/>
        </w:rPr>
        <w:t>WEstjustice</w:t>
      </w:r>
      <w:proofErr w:type="spellEnd"/>
      <w:r w:rsidRPr="00C121EA">
        <w:rPr>
          <w:sz w:val="20"/>
          <w:szCs w:val="20"/>
        </w:rPr>
        <w:t xml:space="preserve"> provides free legal services and financial counselling to people who live, work, or studying in the cities of Wyndham, </w:t>
      </w:r>
      <w:proofErr w:type="gramStart"/>
      <w:r w:rsidRPr="00C121EA">
        <w:rPr>
          <w:sz w:val="20"/>
          <w:szCs w:val="20"/>
        </w:rPr>
        <w:t>Maribyrnong</w:t>
      </w:r>
      <w:proofErr w:type="gramEnd"/>
      <w:r w:rsidRPr="00C121EA">
        <w:rPr>
          <w:sz w:val="20"/>
          <w:szCs w:val="20"/>
        </w:rPr>
        <w:t xml:space="preserve"> and Hobsons Bay, in Melbourne’s western suburbs. We have offices in Werribee and Footscray, as well as youth legal branch in Sunshine, and outreach across the west. Our services </w:t>
      </w:r>
      <w:proofErr w:type="gramStart"/>
      <w:r w:rsidRPr="00C121EA">
        <w:rPr>
          <w:sz w:val="20"/>
          <w:szCs w:val="20"/>
        </w:rPr>
        <w:t>include:</w:t>
      </w:r>
      <w:proofErr w:type="gramEnd"/>
      <w:r w:rsidRPr="00C121EA">
        <w:rPr>
          <w:sz w:val="20"/>
          <w:szCs w:val="20"/>
        </w:rPr>
        <w:t xml:space="preserve"> legal information, advice and casework, duty lawyer services, community legal education, community projects, and law reform and advocacy.</w:t>
      </w:r>
    </w:p>
    <w:p w14:paraId="57BD9B65" w14:textId="77777777" w:rsidR="00305B41" w:rsidRDefault="00305B41" w:rsidP="005537B6">
      <w:pPr>
        <w:rPr>
          <w:b/>
        </w:rPr>
      </w:pPr>
    </w:p>
    <w:p w14:paraId="4C6C90F7" w14:textId="702BB4A2" w:rsidR="00AB3578" w:rsidRPr="00081423" w:rsidRDefault="00AB3578" w:rsidP="005537B6">
      <w:pPr>
        <w:rPr>
          <w:b/>
        </w:rPr>
      </w:pPr>
      <w:r w:rsidRPr="00081423">
        <w:rPr>
          <w:b/>
        </w:rPr>
        <w:t>Contact</w:t>
      </w:r>
    </w:p>
    <w:p w14:paraId="22693003" w14:textId="242B53E0" w:rsidR="00AB3578" w:rsidRDefault="00AB3578" w:rsidP="005537B6">
      <w:r>
        <w:t>Meredith Lea</w:t>
      </w:r>
      <w:r>
        <w:br/>
      </w:r>
      <w:r w:rsidR="00081423">
        <w:t xml:space="preserve">ACCAN </w:t>
      </w:r>
      <w:r>
        <w:t>Policy Manager</w:t>
      </w:r>
    </w:p>
    <w:p w14:paraId="5616032B" w14:textId="4828485A" w:rsidR="00B41CA8" w:rsidRPr="00B41CA8" w:rsidRDefault="00B41CA8" w:rsidP="005537B6">
      <w:r w:rsidRPr="00B41CA8">
        <w:t>PO Box A1158</w:t>
      </w:r>
      <w:r w:rsidR="005537B6" w:rsidRPr="00B41CA8">
        <w:br/>
      </w:r>
      <w:r w:rsidRPr="00B41CA8">
        <w:t>Sydney South NSW 1235</w:t>
      </w:r>
      <w:r w:rsidRPr="00B41CA8">
        <w:br/>
        <w:t xml:space="preserve">Email: </w:t>
      </w:r>
      <w:hyperlink r:id="rId25" w:history="1">
        <w:r w:rsidRPr="00B41CA8">
          <w:rPr>
            <w:color w:val="0000FF"/>
            <w:u w:val="single"/>
          </w:rPr>
          <w:t>info@accan.org.au</w:t>
        </w:r>
      </w:hyperlink>
      <w:r w:rsidRPr="00B41CA8">
        <w:rPr>
          <w:color w:val="0000FF"/>
          <w:u w:val="single"/>
        </w:rPr>
        <w:br/>
      </w:r>
      <w:r w:rsidRPr="00B41CA8">
        <w:t>Phone: (02) 9288 4000</w:t>
      </w:r>
      <w:r w:rsidRPr="00B41CA8">
        <w:br/>
        <w:t>Fax: (02) 9288 4019</w:t>
      </w:r>
      <w:r w:rsidRPr="00B41CA8">
        <w:br/>
        <w:t xml:space="preserve">Contact us through the </w:t>
      </w:r>
      <w:hyperlink r:id="rId26" w:history="1">
        <w:r w:rsidRPr="00B41CA8">
          <w:rPr>
            <w:color w:val="0000FF"/>
            <w:u w:val="single"/>
          </w:rPr>
          <w:t>National Relay Service</w:t>
        </w:r>
      </w:hyperlink>
    </w:p>
    <w:p w14:paraId="25846B4E" w14:textId="77777777" w:rsidR="000547D7" w:rsidRDefault="000547D7">
      <w:r>
        <w:br w:type="page"/>
      </w:r>
    </w:p>
    <w:sdt>
      <w:sdtPr>
        <w:rPr>
          <w:rFonts w:eastAsia="MS Mincho" w:cs="Arial"/>
          <w:bCs/>
          <w:sz w:val="23"/>
        </w:rPr>
        <w:id w:val="-39521029"/>
        <w:docPartObj>
          <w:docPartGallery w:val="Table of Contents"/>
          <w:docPartUnique/>
        </w:docPartObj>
      </w:sdtPr>
      <w:sdtEndPr>
        <w:rPr>
          <w:b/>
          <w:bCs w:val="0"/>
          <w:noProof/>
          <w:sz w:val="22"/>
        </w:rPr>
      </w:sdtEndPr>
      <w:sdtContent>
        <w:p w14:paraId="24AD14E4" w14:textId="77777777" w:rsidR="00FE5F00" w:rsidRDefault="00B41CA8" w:rsidP="009235EF">
          <w:pPr>
            <w:rPr>
              <w:noProof/>
            </w:rPr>
          </w:pPr>
          <w:r w:rsidRPr="00EB44F4">
            <w:rPr>
              <w:rStyle w:val="TitleChar"/>
            </w:rPr>
            <w:t>Contents</w:t>
          </w:r>
          <w:r w:rsidRPr="00B41CA8">
            <w:rPr>
              <w:rFonts w:ascii="Calibri" w:eastAsia="MS Mincho" w:hAnsi="Calibri" w:cs="Arial"/>
            </w:rPr>
            <w:fldChar w:fldCharType="begin"/>
          </w:r>
          <w:r w:rsidRPr="00B41CA8">
            <w:rPr>
              <w:rFonts w:ascii="Calibri" w:eastAsia="MS Mincho" w:hAnsi="Calibri" w:cs="Arial"/>
            </w:rPr>
            <w:instrText xml:space="preserve"> TOC \o "1-1" \h \z \u </w:instrText>
          </w:r>
          <w:r w:rsidRPr="00B41CA8">
            <w:rPr>
              <w:rFonts w:ascii="Calibri" w:eastAsia="MS Mincho" w:hAnsi="Calibri" w:cs="Arial"/>
            </w:rPr>
            <w:fldChar w:fldCharType="separate"/>
          </w:r>
        </w:p>
        <w:p w14:paraId="1F072681" w14:textId="55BA5AE9" w:rsidR="00FE5F00" w:rsidRDefault="00475497">
          <w:pPr>
            <w:pStyle w:val="TOC1"/>
            <w:rPr>
              <w:noProof/>
            </w:rPr>
          </w:pPr>
          <w:hyperlink w:anchor="_Toc103609595" w:history="1">
            <w:r w:rsidR="00FE5F00" w:rsidRPr="006A2A5C">
              <w:rPr>
                <w:rStyle w:val="Hyperlink"/>
                <w:noProof/>
              </w:rPr>
              <w:t>Executive Summary</w:t>
            </w:r>
            <w:r w:rsidR="00FE5F00">
              <w:rPr>
                <w:noProof/>
                <w:webHidden/>
              </w:rPr>
              <w:tab/>
            </w:r>
            <w:r w:rsidR="00FE5F00">
              <w:rPr>
                <w:noProof/>
                <w:webHidden/>
              </w:rPr>
              <w:fldChar w:fldCharType="begin"/>
            </w:r>
            <w:r w:rsidR="00FE5F00">
              <w:rPr>
                <w:noProof/>
                <w:webHidden/>
              </w:rPr>
              <w:instrText xml:space="preserve"> PAGEREF _Toc103609595 \h </w:instrText>
            </w:r>
            <w:r w:rsidR="00FE5F00">
              <w:rPr>
                <w:noProof/>
                <w:webHidden/>
              </w:rPr>
            </w:r>
            <w:r w:rsidR="00FE5F00">
              <w:rPr>
                <w:noProof/>
                <w:webHidden/>
              </w:rPr>
              <w:fldChar w:fldCharType="separate"/>
            </w:r>
            <w:r w:rsidR="0043525B">
              <w:rPr>
                <w:noProof/>
                <w:webHidden/>
              </w:rPr>
              <w:t>4</w:t>
            </w:r>
            <w:r w:rsidR="00FE5F00">
              <w:rPr>
                <w:noProof/>
                <w:webHidden/>
              </w:rPr>
              <w:fldChar w:fldCharType="end"/>
            </w:r>
          </w:hyperlink>
        </w:p>
        <w:p w14:paraId="705CD4C3" w14:textId="7320ED50" w:rsidR="00FE5F00" w:rsidRDefault="00475497">
          <w:pPr>
            <w:pStyle w:val="TOC1"/>
            <w:rPr>
              <w:noProof/>
            </w:rPr>
          </w:pPr>
          <w:hyperlink w:anchor="_Toc103609596" w:history="1">
            <w:r w:rsidR="00FE5F00" w:rsidRPr="006A2A5C">
              <w:rPr>
                <w:rStyle w:val="Hyperlink"/>
                <w:noProof/>
                <w:lang w:eastAsia="en-US"/>
              </w:rPr>
              <w:t>List of Recommendations</w:t>
            </w:r>
            <w:r w:rsidR="00FE5F00">
              <w:rPr>
                <w:noProof/>
                <w:webHidden/>
              </w:rPr>
              <w:tab/>
            </w:r>
            <w:r w:rsidR="00FE5F00">
              <w:rPr>
                <w:noProof/>
                <w:webHidden/>
              </w:rPr>
              <w:fldChar w:fldCharType="begin"/>
            </w:r>
            <w:r w:rsidR="00FE5F00">
              <w:rPr>
                <w:noProof/>
                <w:webHidden/>
              </w:rPr>
              <w:instrText xml:space="preserve"> PAGEREF _Toc103609596 \h </w:instrText>
            </w:r>
            <w:r w:rsidR="00FE5F00">
              <w:rPr>
                <w:noProof/>
                <w:webHidden/>
              </w:rPr>
            </w:r>
            <w:r w:rsidR="00FE5F00">
              <w:rPr>
                <w:noProof/>
                <w:webHidden/>
              </w:rPr>
              <w:fldChar w:fldCharType="separate"/>
            </w:r>
            <w:r w:rsidR="0043525B">
              <w:rPr>
                <w:noProof/>
                <w:webHidden/>
              </w:rPr>
              <w:t>6</w:t>
            </w:r>
            <w:r w:rsidR="00FE5F00">
              <w:rPr>
                <w:noProof/>
                <w:webHidden/>
              </w:rPr>
              <w:fldChar w:fldCharType="end"/>
            </w:r>
          </w:hyperlink>
        </w:p>
        <w:p w14:paraId="345B3BFF" w14:textId="2E0DBFF7" w:rsidR="00FE5F00" w:rsidRDefault="00475497">
          <w:pPr>
            <w:pStyle w:val="TOC1"/>
            <w:rPr>
              <w:noProof/>
            </w:rPr>
          </w:pPr>
          <w:hyperlink w:anchor="_Toc103609597" w:history="1">
            <w:r w:rsidR="00FE5F00" w:rsidRPr="006A2A5C">
              <w:rPr>
                <w:rStyle w:val="Hyperlink"/>
                <w:noProof/>
              </w:rPr>
              <w:t>Industry Benchmark 1: Accessibility</w:t>
            </w:r>
            <w:r w:rsidR="00FE5F00">
              <w:rPr>
                <w:noProof/>
                <w:webHidden/>
              </w:rPr>
              <w:tab/>
            </w:r>
            <w:r w:rsidR="00FE5F00">
              <w:rPr>
                <w:noProof/>
                <w:webHidden/>
              </w:rPr>
              <w:fldChar w:fldCharType="begin"/>
            </w:r>
            <w:r w:rsidR="00FE5F00">
              <w:rPr>
                <w:noProof/>
                <w:webHidden/>
              </w:rPr>
              <w:instrText xml:space="preserve"> PAGEREF _Toc103609597 \h </w:instrText>
            </w:r>
            <w:r w:rsidR="00FE5F00">
              <w:rPr>
                <w:noProof/>
                <w:webHidden/>
              </w:rPr>
            </w:r>
            <w:r w:rsidR="00FE5F00">
              <w:rPr>
                <w:noProof/>
                <w:webHidden/>
              </w:rPr>
              <w:fldChar w:fldCharType="separate"/>
            </w:r>
            <w:r w:rsidR="0043525B">
              <w:rPr>
                <w:noProof/>
                <w:webHidden/>
              </w:rPr>
              <w:t>7</w:t>
            </w:r>
            <w:r w:rsidR="00FE5F00">
              <w:rPr>
                <w:noProof/>
                <w:webHidden/>
              </w:rPr>
              <w:fldChar w:fldCharType="end"/>
            </w:r>
          </w:hyperlink>
        </w:p>
        <w:p w14:paraId="2B19628E" w14:textId="2DF98AF8" w:rsidR="00FE5F00" w:rsidRDefault="00475497">
          <w:pPr>
            <w:pStyle w:val="TOC1"/>
            <w:rPr>
              <w:noProof/>
            </w:rPr>
          </w:pPr>
          <w:hyperlink w:anchor="_Toc103609598" w:history="1">
            <w:r w:rsidR="00FE5F00" w:rsidRPr="006A2A5C">
              <w:rPr>
                <w:rStyle w:val="Hyperlink"/>
                <w:noProof/>
                <w:lang w:val="en-US" w:eastAsia="en-US"/>
              </w:rPr>
              <w:t>Industry Benchmark 2: Independence</w:t>
            </w:r>
            <w:r w:rsidR="00FE5F00">
              <w:rPr>
                <w:noProof/>
                <w:webHidden/>
              </w:rPr>
              <w:tab/>
            </w:r>
            <w:r w:rsidR="00FE5F00">
              <w:rPr>
                <w:noProof/>
                <w:webHidden/>
              </w:rPr>
              <w:fldChar w:fldCharType="begin"/>
            </w:r>
            <w:r w:rsidR="00FE5F00">
              <w:rPr>
                <w:noProof/>
                <w:webHidden/>
              </w:rPr>
              <w:instrText xml:space="preserve"> PAGEREF _Toc103609598 \h </w:instrText>
            </w:r>
            <w:r w:rsidR="00FE5F00">
              <w:rPr>
                <w:noProof/>
                <w:webHidden/>
              </w:rPr>
            </w:r>
            <w:r w:rsidR="00FE5F00">
              <w:rPr>
                <w:noProof/>
                <w:webHidden/>
              </w:rPr>
              <w:fldChar w:fldCharType="separate"/>
            </w:r>
            <w:r w:rsidR="0043525B">
              <w:rPr>
                <w:noProof/>
                <w:webHidden/>
              </w:rPr>
              <w:t>11</w:t>
            </w:r>
            <w:r w:rsidR="00FE5F00">
              <w:rPr>
                <w:noProof/>
                <w:webHidden/>
              </w:rPr>
              <w:fldChar w:fldCharType="end"/>
            </w:r>
          </w:hyperlink>
        </w:p>
        <w:p w14:paraId="07E6AEEA" w14:textId="30FC4640" w:rsidR="00FE5F00" w:rsidRDefault="00475497">
          <w:pPr>
            <w:pStyle w:val="TOC1"/>
            <w:rPr>
              <w:noProof/>
            </w:rPr>
          </w:pPr>
          <w:hyperlink w:anchor="_Toc103609599" w:history="1">
            <w:r w:rsidR="00FE5F00" w:rsidRPr="006A2A5C">
              <w:rPr>
                <w:rStyle w:val="Hyperlink"/>
                <w:noProof/>
              </w:rPr>
              <w:t>Industry Benchmark 3: Fairness</w:t>
            </w:r>
            <w:r w:rsidR="00FE5F00">
              <w:rPr>
                <w:noProof/>
                <w:webHidden/>
              </w:rPr>
              <w:tab/>
            </w:r>
            <w:r w:rsidR="00FE5F00">
              <w:rPr>
                <w:noProof/>
                <w:webHidden/>
              </w:rPr>
              <w:fldChar w:fldCharType="begin"/>
            </w:r>
            <w:r w:rsidR="00FE5F00">
              <w:rPr>
                <w:noProof/>
                <w:webHidden/>
              </w:rPr>
              <w:instrText xml:space="preserve"> PAGEREF _Toc103609599 \h </w:instrText>
            </w:r>
            <w:r w:rsidR="00FE5F00">
              <w:rPr>
                <w:noProof/>
                <w:webHidden/>
              </w:rPr>
            </w:r>
            <w:r w:rsidR="00FE5F00">
              <w:rPr>
                <w:noProof/>
                <w:webHidden/>
              </w:rPr>
              <w:fldChar w:fldCharType="separate"/>
            </w:r>
            <w:r w:rsidR="0043525B">
              <w:rPr>
                <w:noProof/>
                <w:webHidden/>
              </w:rPr>
              <w:t>11</w:t>
            </w:r>
            <w:r w:rsidR="00FE5F00">
              <w:rPr>
                <w:noProof/>
                <w:webHidden/>
              </w:rPr>
              <w:fldChar w:fldCharType="end"/>
            </w:r>
          </w:hyperlink>
        </w:p>
        <w:p w14:paraId="37D10BDE" w14:textId="343D43DE" w:rsidR="00FE5F00" w:rsidRDefault="00475497">
          <w:pPr>
            <w:pStyle w:val="TOC1"/>
            <w:rPr>
              <w:noProof/>
            </w:rPr>
          </w:pPr>
          <w:hyperlink w:anchor="_Toc103609600" w:history="1">
            <w:r w:rsidR="00FE5F00" w:rsidRPr="006A2A5C">
              <w:rPr>
                <w:rStyle w:val="Hyperlink"/>
                <w:noProof/>
              </w:rPr>
              <w:t>Industry Benchmark 4: Accountability</w:t>
            </w:r>
            <w:r w:rsidR="00FE5F00">
              <w:rPr>
                <w:noProof/>
                <w:webHidden/>
              </w:rPr>
              <w:tab/>
            </w:r>
            <w:r w:rsidR="00FE5F00">
              <w:rPr>
                <w:noProof/>
                <w:webHidden/>
              </w:rPr>
              <w:fldChar w:fldCharType="begin"/>
            </w:r>
            <w:r w:rsidR="00FE5F00">
              <w:rPr>
                <w:noProof/>
                <w:webHidden/>
              </w:rPr>
              <w:instrText xml:space="preserve"> PAGEREF _Toc103609600 \h </w:instrText>
            </w:r>
            <w:r w:rsidR="00FE5F00">
              <w:rPr>
                <w:noProof/>
                <w:webHidden/>
              </w:rPr>
            </w:r>
            <w:r w:rsidR="00FE5F00">
              <w:rPr>
                <w:noProof/>
                <w:webHidden/>
              </w:rPr>
              <w:fldChar w:fldCharType="separate"/>
            </w:r>
            <w:r w:rsidR="0043525B">
              <w:rPr>
                <w:noProof/>
                <w:webHidden/>
              </w:rPr>
              <w:t>14</w:t>
            </w:r>
            <w:r w:rsidR="00FE5F00">
              <w:rPr>
                <w:noProof/>
                <w:webHidden/>
              </w:rPr>
              <w:fldChar w:fldCharType="end"/>
            </w:r>
          </w:hyperlink>
        </w:p>
        <w:p w14:paraId="69C11AB6" w14:textId="0E91B1D6" w:rsidR="00FE5F00" w:rsidRDefault="00475497">
          <w:pPr>
            <w:pStyle w:val="TOC1"/>
            <w:rPr>
              <w:noProof/>
            </w:rPr>
          </w:pPr>
          <w:hyperlink w:anchor="_Toc103609601" w:history="1">
            <w:r w:rsidR="00FE5F00" w:rsidRPr="006A2A5C">
              <w:rPr>
                <w:rStyle w:val="Hyperlink"/>
                <w:noProof/>
              </w:rPr>
              <w:t>Industry Benchmark 5: Efficiency</w:t>
            </w:r>
            <w:r w:rsidR="00FE5F00">
              <w:rPr>
                <w:noProof/>
                <w:webHidden/>
              </w:rPr>
              <w:tab/>
            </w:r>
            <w:r w:rsidR="00FE5F00">
              <w:rPr>
                <w:noProof/>
                <w:webHidden/>
              </w:rPr>
              <w:fldChar w:fldCharType="begin"/>
            </w:r>
            <w:r w:rsidR="00FE5F00">
              <w:rPr>
                <w:noProof/>
                <w:webHidden/>
              </w:rPr>
              <w:instrText xml:space="preserve"> PAGEREF _Toc103609601 \h </w:instrText>
            </w:r>
            <w:r w:rsidR="00FE5F00">
              <w:rPr>
                <w:noProof/>
                <w:webHidden/>
              </w:rPr>
            </w:r>
            <w:r w:rsidR="00FE5F00">
              <w:rPr>
                <w:noProof/>
                <w:webHidden/>
              </w:rPr>
              <w:fldChar w:fldCharType="separate"/>
            </w:r>
            <w:r w:rsidR="0043525B">
              <w:rPr>
                <w:noProof/>
                <w:webHidden/>
              </w:rPr>
              <w:t>15</w:t>
            </w:r>
            <w:r w:rsidR="00FE5F00">
              <w:rPr>
                <w:noProof/>
                <w:webHidden/>
              </w:rPr>
              <w:fldChar w:fldCharType="end"/>
            </w:r>
          </w:hyperlink>
        </w:p>
        <w:p w14:paraId="302ABADE" w14:textId="2F40192A" w:rsidR="00FE5F00" w:rsidRDefault="00475497">
          <w:pPr>
            <w:pStyle w:val="TOC1"/>
            <w:rPr>
              <w:noProof/>
            </w:rPr>
          </w:pPr>
          <w:hyperlink w:anchor="_Toc103609602" w:history="1">
            <w:r w:rsidR="00FE5F00" w:rsidRPr="006A2A5C">
              <w:rPr>
                <w:rStyle w:val="Hyperlink"/>
                <w:noProof/>
              </w:rPr>
              <w:t>Industry Benchmark 6: Effectiveness</w:t>
            </w:r>
            <w:r w:rsidR="00FE5F00">
              <w:rPr>
                <w:noProof/>
                <w:webHidden/>
              </w:rPr>
              <w:tab/>
            </w:r>
            <w:r w:rsidR="00FE5F00">
              <w:rPr>
                <w:noProof/>
                <w:webHidden/>
              </w:rPr>
              <w:fldChar w:fldCharType="begin"/>
            </w:r>
            <w:r w:rsidR="00FE5F00">
              <w:rPr>
                <w:noProof/>
                <w:webHidden/>
              </w:rPr>
              <w:instrText xml:space="preserve"> PAGEREF _Toc103609602 \h </w:instrText>
            </w:r>
            <w:r w:rsidR="00FE5F00">
              <w:rPr>
                <w:noProof/>
                <w:webHidden/>
              </w:rPr>
            </w:r>
            <w:r w:rsidR="00FE5F00">
              <w:rPr>
                <w:noProof/>
                <w:webHidden/>
              </w:rPr>
              <w:fldChar w:fldCharType="separate"/>
            </w:r>
            <w:r w:rsidR="0043525B">
              <w:rPr>
                <w:noProof/>
                <w:webHidden/>
              </w:rPr>
              <w:t>19</w:t>
            </w:r>
            <w:r w:rsidR="00FE5F00">
              <w:rPr>
                <w:noProof/>
                <w:webHidden/>
              </w:rPr>
              <w:fldChar w:fldCharType="end"/>
            </w:r>
          </w:hyperlink>
        </w:p>
        <w:p w14:paraId="724FAF10" w14:textId="573DF170" w:rsidR="00FE5F00" w:rsidRDefault="00475497">
          <w:pPr>
            <w:pStyle w:val="TOC1"/>
            <w:rPr>
              <w:noProof/>
            </w:rPr>
          </w:pPr>
          <w:hyperlink w:anchor="_Toc103609603" w:history="1">
            <w:r w:rsidR="00FE5F00" w:rsidRPr="006A2A5C">
              <w:rPr>
                <w:rStyle w:val="Hyperlink"/>
                <w:noProof/>
                <w:lang w:val="en-US" w:eastAsia="en-US"/>
              </w:rPr>
              <w:t>Additional issues</w:t>
            </w:r>
            <w:r w:rsidR="00FE5F00">
              <w:rPr>
                <w:noProof/>
                <w:webHidden/>
              </w:rPr>
              <w:tab/>
            </w:r>
            <w:r w:rsidR="00FE5F00">
              <w:rPr>
                <w:noProof/>
                <w:webHidden/>
              </w:rPr>
              <w:fldChar w:fldCharType="begin"/>
            </w:r>
            <w:r w:rsidR="00FE5F00">
              <w:rPr>
                <w:noProof/>
                <w:webHidden/>
              </w:rPr>
              <w:instrText xml:space="preserve"> PAGEREF _Toc103609603 \h </w:instrText>
            </w:r>
            <w:r w:rsidR="00FE5F00">
              <w:rPr>
                <w:noProof/>
                <w:webHidden/>
              </w:rPr>
            </w:r>
            <w:r w:rsidR="00FE5F00">
              <w:rPr>
                <w:noProof/>
                <w:webHidden/>
              </w:rPr>
              <w:fldChar w:fldCharType="separate"/>
            </w:r>
            <w:r w:rsidR="0043525B">
              <w:rPr>
                <w:noProof/>
                <w:webHidden/>
              </w:rPr>
              <w:t>22</w:t>
            </w:r>
            <w:r w:rsidR="00FE5F00">
              <w:rPr>
                <w:noProof/>
                <w:webHidden/>
              </w:rPr>
              <w:fldChar w:fldCharType="end"/>
            </w:r>
          </w:hyperlink>
        </w:p>
        <w:p w14:paraId="75FBDF89" w14:textId="68E9CCE3" w:rsidR="00FE5F00" w:rsidRDefault="00475497">
          <w:pPr>
            <w:pStyle w:val="TOC1"/>
            <w:rPr>
              <w:noProof/>
            </w:rPr>
          </w:pPr>
          <w:hyperlink w:anchor="_Toc103609604" w:history="1">
            <w:r w:rsidR="00FE5F00" w:rsidRPr="006A2A5C">
              <w:rPr>
                <w:rStyle w:val="Hyperlink"/>
                <w:noProof/>
                <w:lang w:val="en-US"/>
              </w:rPr>
              <w:t>Appendix</w:t>
            </w:r>
            <w:r w:rsidR="00FE5F00">
              <w:rPr>
                <w:noProof/>
                <w:webHidden/>
              </w:rPr>
              <w:tab/>
            </w:r>
            <w:r w:rsidR="00FE5F00">
              <w:rPr>
                <w:noProof/>
                <w:webHidden/>
              </w:rPr>
              <w:fldChar w:fldCharType="begin"/>
            </w:r>
            <w:r w:rsidR="00FE5F00">
              <w:rPr>
                <w:noProof/>
                <w:webHidden/>
              </w:rPr>
              <w:instrText xml:space="preserve"> PAGEREF _Toc103609604 \h </w:instrText>
            </w:r>
            <w:r w:rsidR="00FE5F00">
              <w:rPr>
                <w:noProof/>
                <w:webHidden/>
              </w:rPr>
            </w:r>
            <w:r w:rsidR="00FE5F00">
              <w:rPr>
                <w:noProof/>
                <w:webHidden/>
              </w:rPr>
              <w:fldChar w:fldCharType="separate"/>
            </w:r>
            <w:r w:rsidR="0043525B">
              <w:rPr>
                <w:noProof/>
                <w:webHidden/>
              </w:rPr>
              <w:t>27</w:t>
            </w:r>
            <w:r w:rsidR="00FE5F00">
              <w:rPr>
                <w:noProof/>
                <w:webHidden/>
              </w:rPr>
              <w:fldChar w:fldCharType="end"/>
            </w:r>
          </w:hyperlink>
        </w:p>
        <w:p w14:paraId="79382CC7" w14:textId="2D913348" w:rsidR="00B41CA8" w:rsidRPr="005537B6" w:rsidRDefault="00B41CA8" w:rsidP="00756F51">
          <w:pPr>
            <w:tabs>
              <w:tab w:val="right" w:leader="dot" w:pos="9016"/>
            </w:tabs>
            <w:rPr>
              <w:rFonts w:ascii="Calibri" w:eastAsia="MS Mincho" w:hAnsi="Calibri" w:cs="Arial"/>
            </w:rPr>
          </w:pPr>
          <w:r w:rsidRPr="00B41CA8">
            <w:rPr>
              <w:rFonts w:ascii="Calibri" w:eastAsia="MS Mincho" w:hAnsi="Calibri" w:cs="Arial"/>
            </w:rPr>
            <w:fldChar w:fldCharType="end"/>
          </w:r>
        </w:p>
      </w:sdtContent>
    </w:sdt>
    <w:p w14:paraId="7B1AB864" w14:textId="77777777" w:rsidR="00756F51" w:rsidRDefault="00756F51" w:rsidP="0017456B">
      <w:pPr>
        <w:rPr>
          <w:lang w:val="en-US"/>
        </w:rPr>
      </w:pPr>
    </w:p>
    <w:p w14:paraId="4B20CD0A" w14:textId="77777777" w:rsidR="005537B6" w:rsidRPr="0017456B" w:rsidRDefault="005537B6" w:rsidP="0017456B">
      <w:r>
        <w:rPr>
          <w:lang w:val="en-US"/>
        </w:rPr>
        <w:br w:type="page"/>
      </w:r>
    </w:p>
    <w:p w14:paraId="4466C416" w14:textId="77777777" w:rsidR="00B41CA8" w:rsidRDefault="006A30FD" w:rsidP="008F5831">
      <w:pPr>
        <w:pStyle w:val="Title"/>
      </w:pPr>
      <w:bookmarkStart w:id="6" w:name="_Toc103609595"/>
      <w:r>
        <w:lastRenderedPageBreak/>
        <w:t>Executive Summary</w:t>
      </w:r>
      <w:bookmarkEnd w:id="6"/>
    </w:p>
    <w:p w14:paraId="56D97545" w14:textId="2899DA11" w:rsidR="00E12907" w:rsidRDefault="00B85F6D" w:rsidP="00B85F6D">
      <w:r>
        <w:t xml:space="preserve">ACCAN, </w:t>
      </w:r>
      <w:r w:rsidR="00C21391">
        <w:t>Consumer Action Law Centre</w:t>
      </w:r>
      <w:r>
        <w:t xml:space="preserve">, </w:t>
      </w:r>
      <w:r w:rsidR="008D2435">
        <w:t>F</w:t>
      </w:r>
      <w:r w:rsidR="008D411E">
        <w:t>inancial Counselling Australia</w:t>
      </w:r>
      <w:r>
        <w:t xml:space="preserve"> and </w:t>
      </w:r>
      <w:proofErr w:type="spellStart"/>
      <w:r>
        <w:t>WEstjustice</w:t>
      </w:r>
      <w:proofErr w:type="spellEnd"/>
      <w:r w:rsidR="00E14DFF" w:rsidRPr="00E14DFF">
        <w:t xml:space="preserve"> </w:t>
      </w:r>
      <w:r>
        <w:t>t</w:t>
      </w:r>
      <w:r w:rsidR="00E14DFF">
        <w:t>hank</w:t>
      </w:r>
      <w:r w:rsidR="00004F01">
        <w:t xml:space="preserve"> </w:t>
      </w:r>
      <w:r w:rsidR="00BB6B5F">
        <w:t xml:space="preserve">Queen Margaret University </w:t>
      </w:r>
      <w:r w:rsidR="00E14DFF">
        <w:t>for the opportunity to provide</w:t>
      </w:r>
      <w:r w:rsidR="00876F1D">
        <w:t xml:space="preserve"> feedback</w:t>
      </w:r>
      <w:r w:rsidR="00004037">
        <w:t xml:space="preserve"> </w:t>
      </w:r>
      <w:r w:rsidR="00876F1D">
        <w:t xml:space="preserve">as part of </w:t>
      </w:r>
      <w:r w:rsidR="00004F01">
        <w:t>its</w:t>
      </w:r>
      <w:r w:rsidR="00876F1D">
        <w:t xml:space="preserve"> independent review of the T</w:t>
      </w:r>
      <w:r w:rsidR="00C512C8">
        <w:t xml:space="preserve">elecommunications </w:t>
      </w:r>
      <w:r w:rsidR="00876F1D">
        <w:t>I</w:t>
      </w:r>
      <w:r w:rsidR="00C512C8">
        <w:t xml:space="preserve">ndustry </w:t>
      </w:r>
      <w:r w:rsidR="00876F1D">
        <w:t>O</w:t>
      </w:r>
      <w:r w:rsidR="00C512C8">
        <w:t>mbudsman</w:t>
      </w:r>
      <w:r w:rsidR="00C10249">
        <w:t xml:space="preserve"> (</w:t>
      </w:r>
      <w:r w:rsidR="00C10249" w:rsidRPr="00C10249">
        <w:rPr>
          <w:b/>
          <w:bCs/>
        </w:rPr>
        <w:t>TIO</w:t>
      </w:r>
      <w:r w:rsidR="00C10249">
        <w:t>)</w:t>
      </w:r>
      <w:r w:rsidR="00876F1D">
        <w:t xml:space="preserve">. </w:t>
      </w:r>
      <w:r>
        <w:t xml:space="preserve">This joint submission </w:t>
      </w:r>
      <w:r w:rsidR="00E12907">
        <w:t>draws on feedback and case studies received</w:t>
      </w:r>
      <w:r>
        <w:t xml:space="preserve"> from </w:t>
      </w:r>
      <w:r w:rsidR="000B7906">
        <w:t>residential and small business consumers,</w:t>
      </w:r>
      <w:r w:rsidR="00213029">
        <w:t xml:space="preserve"> consumer advocates, financial counsellors</w:t>
      </w:r>
      <w:r w:rsidR="000B7906">
        <w:t>,</w:t>
      </w:r>
      <w:r w:rsidR="00E12907">
        <w:t xml:space="preserve"> </w:t>
      </w:r>
      <w:r w:rsidR="00312A86">
        <w:t xml:space="preserve">and community organisations </w:t>
      </w:r>
      <w:r w:rsidR="0018065D">
        <w:t xml:space="preserve">that have </w:t>
      </w:r>
      <w:r w:rsidR="00C10249">
        <w:t>experience</w:t>
      </w:r>
      <w:r w:rsidR="0018065D">
        <w:t xml:space="preserve"> dealing with TIO</w:t>
      </w:r>
      <w:r w:rsidR="005E5413">
        <w:t xml:space="preserve"> </w:t>
      </w:r>
      <w:r w:rsidR="00033545">
        <w:t>matters</w:t>
      </w:r>
      <w:r w:rsidR="00C10249">
        <w:t>.</w:t>
      </w:r>
    </w:p>
    <w:p w14:paraId="748D76AC" w14:textId="5F0D90A0" w:rsidR="00DF270C" w:rsidRDefault="00563CD6" w:rsidP="00B85F6D">
      <w:r>
        <w:t xml:space="preserve">Phone and internet complaints can be </w:t>
      </w:r>
      <w:r w:rsidR="00DF270C">
        <w:t>extremely</w:t>
      </w:r>
      <w:r>
        <w:t xml:space="preserve"> challenging for consumers to resolve. The</w:t>
      </w:r>
      <w:r w:rsidR="00373D32">
        <w:t xml:space="preserve"> </w:t>
      </w:r>
      <w:r>
        <w:t>technical nature</w:t>
      </w:r>
      <w:r w:rsidR="00DF270C">
        <w:t xml:space="preserve"> </w:t>
      </w:r>
      <w:r w:rsidR="00DA2BA1">
        <w:t xml:space="preserve">and the potential service-level and financial </w:t>
      </w:r>
      <w:r w:rsidR="001F49FB">
        <w:t>impact o</w:t>
      </w:r>
      <w:r w:rsidR="0080211C">
        <w:t xml:space="preserve">f an issue </w:t>
      </w:r>
      <w:r w:rsidR="00DA2BA1">
        <w:t xml:space="preserve">can create </w:t>
      </w:r>
      <w:r w:rsidR="002D5BBD">
        <w:t xml:space="preserve">significant </w:t>
      </w:r>
      <w:r w:rsidR="007C495F">
        <w:t>inconvenien</w:t>
      </w:r>
      <w:r w:rsidR="00DA2BA1">
        <w:t>ce</w:t>
      </w:r>
      <w:r w:rsidR="007C495F">
        <w:t xml:space="preserve"> and di</w:t>
      </w:r>
      <w:r w:rsidR="002D5BBD">
        <w:t xml:space="preserve">stress </w:t>
      </w:r>
      <w:r w:rsidR="00DA2BA1">
        <w:t>for</w:t>
      </w:r>
      <w:r w:rsidR="008D7360">
        <w:t xml:space="preserve"> </w:t>
      </w:r>
      <w:r w:rsidR="00DF270C">
        <w:t>consumer complainants</w:t>
      </w:r>
      <w:r w:rsidR="008D7360">
        <w:t xml:space="preserve">. </w:t>
      </w:r>
      <w:r w:rsidR="00E42799">
        <w:t xml:space="preserve">The lack of </w:t>
      </w:r>
      <w:r w:rsidR="00802F48">
        <w:t xml:space="preserve">robust </w:t>
      </w:r>
      <w:r w:rsidR="00C20AC1">
        <w:t>customer service</w:t>
      </w:r>
      <w:r w:rsidR="00B21EFE">
        <w:t xml:space="preserve"> rules placed upon the telecommunications industry </w:t>
      </w:r>
      <w:r w:rsidR="007C495F">
        <w:t xml:space="preserve">means that </w:t>
      </w:r>
      <w:r w:rsidR="004E3B0F">
        <w:t xml:space="preserve">consumers can spend weeks or months attempting to resolve an issue before it is identified as a complaint by their </w:t>
      </w:r>
      <w:r w:rsidR="00A8197A">
        <w:t xml:space="preserve">telecommunications retail </w:t>
      </w:r>
      <w:r w:rsidR="004E3B0F">
        <w:t>service provider (</w:t>
      </w:r>
      <w:r w:rsidR="004E3B0F" w:rsidRPr="00366066">
        <w:rPr>
          <w:b/>
          <w:bCs/>
        </w:rPr>
        <w:t>RSP</w:t>
      </w:r>
      <w:r w:rsidR="004E3B0F">
        <w:t>).</w:t>
      </w:r>
      <w:r w:rsidR="00366066">
        <w:rPr>
          <w:rStyle w:val="FootnoteReference"/>
        </w:rPr>
        <w:footnoteReference w:id="2"/>
      </w:r>
      <w:r w:rsidR="00DF270C">
        <w:t xml:space="preserve"> </w:t>
      </w:r>
      <w:r w:rsidR="00547A33">
        <w:t>Phone and internet c</w:t>
      </w:r>
      <w:r w:rsidR="0095118F">
        <w:t>omplaint fatigue</w:t>
      </w:r>
      <w:r w:rsidR="00547A33">
        <w:t xml:space="preserve"> is commonplace</w:t>
      </w:r>
      <w:r w:rsidR="0095118F">
        <w:t>.</w:t>
      </w:r>
      <w:r w:rsidR="0095118F">
        <w:rPr>
          <w:rStyle w:val="FootnoteReference"/>
        </w:rPr>
        <w:footnoteReference w:id="3"/>
      </w:r>
      <w:r w:rsidR="0095118F">
        <w:t xml:space="preserve"> </w:t>
      </w:r>
      <w:r w:rsidR="000C49EA">
        <w:t>This is why access to external dispute resolution (</w:t>
      </w:r>
      <w:r w:rsidR="000C49EA" w:rsidRPr="000C49EA">
        <w:rPr>
          <w:b/>
          <w:bCs/>
        </w:rPr>
        <w:t>EDR</w:t>
      </w:r>
      <w:r w:rsidR="000C49EA">
        <w:t xml:space="preserve">) is vital. </w:t>
      </w:r>
      <w:r w:rsidR="002C61B9">
        <w:t>I</w:t>
      </w:r>
      <w:r w:rsidR="002B2A56">
        <w:t>ndeed, i</w:t>
      </w:r>
      <w:r w:rsidR="002C61B9">
        <w:t>n the 2020-21 financial year, residential and small business consumers made 119,400 complaints to the TIO.</w:t>
      </w:r>
      <w:r w:rsidR="002C61B9">
        <w:rPr>
          <w:rStyle w:val="FootnoteReference"/>
        </w:rPr>
        <w:footnoteReference w:id="4"/>
      </w:r>
    </w:p>
    <w:p w14:paraId="2AAD9FD9" w14:textId="4E9D186A" w:rsidR="00C10249" w:rsidRDefault="00C10249" w:rsidP="00B85F6D">
      <w:r>
        <w:t>We support the vital role</w:t>
      </w:r>
      <w:r w:rsidR="008D7F5F">
        <w:t xml:space="preserve"> that</w:t>
      </w:r>
      <w:r>
        <w:t xml:space="preserve"> the TIO performs</w:t>
      </w:r>
      <w:r w:rsidR="008D7F5F">
        <w:t xml:space="preserve"> when</w:t>
      </w:r>
      <w:r>
        <w:t xml:space="preserve"> dealing wi</w:t>
      </w:r>
      <w:r w:rsidR="00D03902">
        <w:t xml:space="preserve">th </w:t>
      </w:r>
      <w:r w:rsidR="00B718F9">
        <w:t>escalated</w:t>
      </w:r>
      <w:r w:rsidR="00D03902">
        <w:t xml:space="preserve"> phone and </w:t>
      </w:r>
      <w:r w:rsidR="009F2C91">
        <w:t xml:space="preserve">internet </w:t>
      </w:r>
      <w:r w:rsidR="00D03902">
        <w:t>complaints</w:t>
      </w:r>
      <w:r w:rsidR="00997551">
        <w:t xml:space="preserve">. The TIO’s </w:t>
      </w:r>
      <w:r w:rsidR="002C61B9">
        <w:t>public</w:t>
      </w:r>
      <w:r w:rsidR="00475073">
        <w:t xml:space="preserve"> </w:t>
      </w:r>
      <w:r w:rsidR="00997551">
        <w:t>reporting</w:t>
      </w:r>
      <w:r w:rsidR="00492475">
        <w:t xml:space="preserve"> </w:t>
      </w:r>
      <w:r w:rsidR="009F2C91">
        <w:t xml:space="preserve">on </w:t>
      </w:r>
      <w:r w:rsidR="00492475">
        <w:t xml:space="preserve">complaints </w:t>
      </w:r>
      <w:r w:rsidR="00527943">
        <w:t>and</w:t>
      </w:r>
      <w:r w:rsidR="00AB73D2">
        <w:t xml:space="preserve"> its</w:t>
      </w:r>
      <w:r w:rsidR="00527943">
        <w:t xml:space="preserve"> </w:t>
      </w:r>
      <w:r w:rsidR="00885E9F">
        <w:t>commentary on phone and internet consumer issues</w:t>
      </w:r>
      <w:r w:rsidR="00997551">
        <w:t xml:space="preserve"> </w:t>
      </w:r>
      <w:r w:rsidR="00392F1B">
        <w:t xml:space="preserve">create a level of transparency </w:t>
      </w:r>
      <w:r w:rsidR="007C495F">
        <w:t>surrounding the telecommunications industry’s performance</w:t>
      </w:r>
      <w:r w:rsidR="00D03902">
        <w:t xml:space="preserve">. In recent years, the TIO has </w:t>
      </w:r>
      <w:r w:rsidR="00527943">
        <w:t xml:space="preserve">made significant </w:t>
      </w:r>
      <w:r w:rsidR="009E14B7">
        <w:t xml:space="preserve">investments into </w:t>
      </w:r>
      <w:r w:rsidR="00885E9F">
        <w:t xml:space="preserve">improving its processes and </w:t>
      </w:r>
      <w:r w:rsidR="007A1FE1">
        <w:t>engaging</w:t>
      </w:r>
      <w:r w:rsidR="00885E9F">
        <w:t xml:space="preserve"> with consumers and with its members</w:t>
      </w:r>
      <w:r w:rsidR="00182BDE">
        <w:t>, for which it should be commended</w:t>
      </w:r>
      <w:r w:rsidR="00885E9F">
        <w:t xml:space="preserve">. </w:t>
      </w:r>
    </w:p>
    <w:p w14:paraId="4D096032" w14:textId="2A05802B" w:rsidR="00D63325" w:rsidRPr="00CF4D98" w:rsidRDefault="00475073" w:rsidP="00E14DFF">
      <w:r w:rsidRPr="00475073">
        <w:t>Given the TIO’s fundamental role, and the importance of robust EDR arrangements in the telecommunications sector, we have identified areas where we feel the TIO could improve its activities and processes to ensure it consistently exceeds the Australian Government’s Benchmarks for Industry-Based Customer Dispute Resolution.</w:t>
      </w:r>
      <w:r w:rsidR="000919D5">
        <w:rPr>
          <w:rStyle w:val="FootnoteReference"/>
        </w:rPr>
        <w:footnoteReference w:id="5"/>
      </w:r>
      <w:r w:rsidR="00A924B7">
        <w:t xml:space="preserve"> </w:t>
      </w:r>
      <w:r w:rsidR="001261F8">
        <w:t xml:space="preserve">Our submission </w:t>
      </w:r>
      <w:r w:rsidR="00F67E22" w:rsidRPr="00CF4D98">
        <w:t>highlights the following:</w:t>
      </w:r>
    </w:p>
    <w:p w14:paraId="27608F1C" w14:textId="38F63E88" w:rsidR="00F67E22" w:rsidRPr="00CF4D98" w:rsidRDefault="00F67E22" w:rsidP="00F67E22">
      <w:pPr>
        <w:pStyle w:val="ListParagraph"/>
        <w:numPr>
          <w:ilvl w:val="0"/>
          <w:numId w:val="31"/>
        </w:numPr>
        <w:rPr>
          <w:lang w:val="en-US"/>
        </w:rPr>
      </w:pPr>
      <w:r w:rsidRPr="00CF4D98">
        <w:rPr>
          <w:lang w:val="en-US"/>
        </w:rPr>
        <w:t xml:space="preserve">Awareness of the TIO needs to be increased through wider and more targeted </w:t>
      </w:r>
      <w:r w:rsidR="0032232E">
        <w:rPr>
          <w:lang w:val="en-US"/>
        </w:rPr>
        <w:t xml:space="preserve">outreach and </w:t>
      </w:r>
      <w:r w:rsidRPr="00CF4D98">
        <w:rPr>
          <w:lang w:val="en-US"/>
        </w:rPr>
        <w:t xml:space="preserve">advertising </w:t>
      </w:r>
      <w:r w:rsidR="00DA1A7B" w:rsidRPr="00CF4D98">
        <w:rPr>
          <w:lang w:val="en-US"/>
        </w:rPr>
        <w:t>to consumers</w:t>
      </w:r>
      <w:r w:rsidRPr="00CF4D98">
        <w:rPr>
          <w:lang w:val="en-US"/>
        </w:rPr>
        <w:t xml:space="preserve">.  </w:t>
      </w:r>
    </w:p>
    <w:p w14:paraId="58C3F61E" w14:textId="4069E294" w:rsidR="00222465" w:rsidRPr="00CF4D98" w:rsidRDefault="00222465" w:rsidP="00222465">
      <w:pPr>
        <w:pStyle w:val="ListParagraph"/>
        <w:numPr>
          <w:ilvl w:val="0"/>
          <w:numId w:val="31"/>
        </w:numPr>
        <w:rPr>
          <w:lang w:val="en-US"/>
        </w:rPr>
      </w:pPr>
      <w:r w:rsidRPr="00CF4D98">
        <w:rPr>
          <w:lang w:val="en-US"/>
        </w:rPr>
        <w:t xml:space="preserve">The TIO </w:t>
      </w:r>
      <w:r>
        <w:rPr>
          <w:lang w:val="en-US"/>
        </w:rPr>
        <w:t>should</w:t>
      </w:r>
      <w:r w:rsidRPr="00CF4D98">
        <w:rPr>
          <w:lang w:val="en-US"/>
        </w:rPr>
        <w:t xml:space="preserve"> continue improving access to the TIO for people experiencing vulnerability and for First Nations peoples, including digging deeper with consumer</w:t>
      </w:r>
      <w:r>
        <w:rPr>
          <w:lang w:val="en-US"/>
        </w:rPr>
        <w:t>s</w:t>
      </w:r>
      <w:r w:rsidRPr="00CF4D98">
        <w:rPr>
          <w:lang w:val="en-US"/>
        </w:rPr>
        <w:t xml:space="preserve"> to help them identify the core complaint</w:t>
      </w:r>
      <w:r>
        <w:rPr>
          <w:lang w:val="en-US"/>
        </w:rPr>
        <w:t xml:space="preserve"> and a suitable solution</w:t>
      </w:r>
      <w:r w:rsidRPr="00CF4D98">
        <w:rPr>
          <w:lang w:val="en-US"/>
        </w:rPr>
        <w:t>.</w:t>
      </w:r>
    </w:p>
    <w:p w14:paraId="4FF4DAA1" w14:textId="77777777" w:rsidR="00222465" w:rsidRDefault="00222465" w:rsidP="00222465">
      <w:pPr>
        <w:pStyle w:val="ListParagraph"/>
        <w:numPr>
          <w:ilvl w:val="0"/>
          <w:numId w:val="31"/>
        </w:numPr>
        <w:rPr>
          <w:lang w:val="en-US"/>
        </w:rPr>
      </w:pPr>
      <w:r w:rsidRPr="00CF4D98">
        <w:rPr>
          <w:lang w:val="en-US"/>
        </w:rPr>
        <w:t>The TIO should be able to reopen</w:t>
      </w:r>
      <w:r>
        <w:rPr>
          <w:lang w:val="en-US"/>
        </w:rPr>
        <w:t xml:space="preserve"> and fast-track</w:t>
      </w:r>
      <w:r w:rsidRPr="00CF4D98">
        <w:rPr>
          <w:lang w:val="en-US"/>
        </w:rPr>
        <w:t xml:space="preserve"> complaints for recurrent or unresolved issues, so consumers are not required to begin the whole process again for an issue that has already been raised at the TIO level. </w:t>
      </w:r>
    </w:p>
    <w:p w14:paraId="714336C6" w14:textId="41C816E3" w:rsidR="00DC14D5" w:rsidRPr="004D1CC9" w:rsidRDefault="00222465" w:rsidP="004D1CC9">
      <w:pPr>
        <w:pStyle w:val="ListParagraph"/>
        <w:numPr>
          <w:ilvl w:val="0"/>
          <w:numId w:val="31"/>
        </w:numPr>
        <w:rPr>
          <w:lang w:val="en-US"/>
        </w:rPr>
      </w:pPr>
      <w:r>
        <w:rPr>
          <w:lang w:val="en-US"/>
        </w:rPr>
        <w:lastRenderedPageBreak/>
        <w:t>The TIO should continue to improve the fairness of its dispute resolution services</w:t>
      </w:r>
      <w:r w:rsidR="00DC14D5">
        <w:rPr>
          <w:lang w:val="en-US"/>
        </w:rPr>
        <w:t>, including in its procedures and complaints handling outcomes</w:t>
      </w:r>
      <w:r>
        <w:rPr>
          <w:lang w:val="en-US"/>
        </w:rPr>
        <w:t xml:space="preserve">. </w:t>
      </w:r>
    </w:p>
    <w:p w14:paraId="7971E9FE" w14:textId="5D46C059" w:rsidR="00222465" w:rsidRDefault="00BF16A8" w:rsidP="00BF16A8">
      <w:pPr>
        <w:pStyle w:val="ListParagraph"/>
        <w:numPr>
          <w:ilvl w:val="0"/>
          <w:numId w:val="31"/>
        </w:numPr>
        <w:rPr>
          <w:lang w:val="en-US"/>
        </w:rPr>
      </w:pPr>
      <w:r w:rsidRPr="00CF4D98">
        <w:rPr>
          <w:lang w:val="en-US"/>
        </w:rPr>
        <w:t>More granularity and transparency around providers’</w:t>
      </w:r>
      <w:r w:rsidR="007F03EE">
        <w:rPr>
          <w:lang w:val="en-US"/>
        </w:rPr>
        <w:t xml:space="preserve"> complaints</w:t>
      </w:r>
      <w:r w:rsidRPr="00CF4D98">
        <w:rPr>
          <w:lang w:val="en-US"/>
        </w:rPr>
        <w:t xml:space="preserve"> performance is needed. </w:t>
      </w:r>
      <w:r w:rsidR="00672604">
        <w:rPr>
          <w:lang w:val="en-US"/>
        </w:rPr>
        <w:t xml:space="preserve">The </w:t>
      </w:r>
      <w:r w:rsidRPr="00CF4D98">
        <w:rPr>
          <w:lang w:val="en-US"/>
        </w:rPr>
        <w:t>TIO should publish information about technology type (</w:t>
      </w:r>
      <w:proofErr w:type="gramStart"/>
      <w:r w:rsidRPr="00CF4D98">
        <w:rPr>
          <w:lang w:val="en-US"/>
        </w:rPr>
        <w:t>e</w:t>
      </w:r>
      <w:r w:rsidR="00DA1A7B" w:rsidRPr="00CF4D98">
        <w:rPr>
          <w:lang w:val="en-US"/>
        </w:rPr>
        <w:t>.</w:t>
      </w:r>
      <w:r w:rsidRPr="00CF4D98">
        <w:rPr>
          <w:lang w:val="en-US"/>
        </w:rPr>
        <w:t>g.</w:t>
      </w:r>
      <w:proofErr w:type="gramEnd"/>
      <w:r w:rsidRPr="00CF4D98">
        <w:rPr>
          <w:lang w:val="en-US"/>
        </w:rPr>
        <w:t xml:space="preserve"> </w:t>
      </w:r>
      <w:r w:rsidR="002047E7">
        <w:rPr>
          <w:lang w:val="en-US"/>
        </w:rPr>
        <w:t>s</w:t>
      </w:r>
      <w:r w:rsidRPr="00CF4D98">
        <w:rPr>
          <w:lang w:val="en-US"/>
        </w:rPr>
        <w:t xml:space="preserve">atellite broadband, 5G) for complaints about service-level issues. </w:t>
      </w:r>
    </w:p>
    <w:p w14:paraId="1DC7A9B9" w14:textId="1806FC1A" w:rsidR="004D1CC9" w:rsidRPr="004D1CC9" w:rsidRDefault="004D1CC9" w:rsidP="004D1CC9">
      <w:pPr>
        <w:pStyle w:val="ListParagraph"/>
        <w:numPr>
          <w:ilvl w:val="0"/>
          <w:numId w:val="31"/>
        </w:numPr>
        <w:rPr>
          <w:lang w:val="en-US"/>
        </w:rPr>
      </w:pPr>
      <w:r w:rsidRPr="00CF4D98">
        <w:rPr>
          <w:lang w:val="en-US"/>
        </w:rPr>
        <w:t>The TIO should follow up on complaints once referred t</w:t>
      </w:r>
      <w:r>
        <w:rPr>
          <w:lang w:val="en-US"/>
        </w:rPr>
        <w:t xml:space="preserve">o members </w:t>
      </w:r>
      <w:r w:rsidRPr="00CF4D98">
        <w:rPr>
          <w:lang w:val="en-US"/>
        </w:rPr>
        <w:t xml:space="preserve">and the response period has lapsed (usually 10 business days). </w:t>
      </w:r>
      <w:r w:rsidR="00DD318B">
        <w:rPr>
          <w:lang w:val="en-US"/>
        </w:rPr>
        <w:t xml:space="preserve">The time given to TIO members to respond to simple complaints should be reviewed. </w:t>
      </w:r>
    </w:p>
    <w:p w14:paraId="2DB74CAB" w14:textId="48E4A53C" w:rsidR="00BF16A8" w:rsidRPr="00CF4D98" w:rsidRDefault="0092461E" w:rsidP="00BF16A8">
      <w:pPr>
        <w:pStyle w:val="ListParagraph"/>
        <w:numPr>
          <w:ilvl w:val="0"/>
          <w:numId w:val="31"/>
        </w:numPr>
        <w:rPr>
          <w:lang w:val="en-US"/>
        </w:rPr>
      </w:pPr>
      <w:r>
        <w:rPr>
          <w:lang w:val="en-US"/>
        </w:rPr>
        <w:t xml:space="preserve">The TIO should be </w:t>
      </w:r>
      <w:r w:rsidR="00DD7ECE">
        <w:rPr>
          <w:lang w:val="en-US"/>
        </w:rPr>
        <w:t xml:space="preserve">able </w:t>
      </w:r>
      <w:r>
        <w:rPr>
          <w:lang w:val="en-US"/>
        </w:rPr>
        <w:t xml:space="preserve">to adapt to a changing </w:t>
      </w:r>
      <w:proofErr w:type="gramStart"/>
      <w:r>
        <w:rPr>
          <w:lang w:val="en-US"/>
        </w:rPr>
        <w:t>communications landscape</w:t>
      </w:r>
      <w:r w:rsidR="00DD7ECE">
        <w:rPr>
          <w:lang w:val="en-US"/>
        </w:rPr>
        <w:t>, and</w:t>
      </w:r>
      <w:proofErr w:type="gramEnd"/>
      <w:r w:rsidR="00DD7ECE">
        <w:rPr>
          <w:lang w:val="en-US"/>
        </w:rPr>
        <w:t xml:space="preserve"> changing consumer needs</w:t>
      </w:r>
      <w:r>
        <w:rPr>
          <w:lang w:val="en-US"/>
        </w:rPr>
        <w:t>. In the current environment, t</w:t>
      </w:r>
      <w:r w:rsidRPr="00CF4D98">
        <w:rPr>
          <w:lang w:val="en-US"/>
        </w:rPr>
        <w:t>here</w:t>
      </w:r>
      <w:r w:rsidR="00BF16A8" w:rsidRPr="00CF4D98">
        <w:rPr>
          <w:lang w:val="en-US"/>
        </w:rPr>
        <w:t xml:space="preserve"> are some limitations to the effectiveness of the TIO,</w:t>
      </w:r>
      <w:r w:rsidR="00FF602E">
        <w:rPr>
          <w:lang w:val="en-US"/>
        </w:rPr>
        <w:t xml:space="preserve"> for example, its</w:t>
      </w:r>
      <w:r w:rsidR="00BF16A8" w:rsidRPr="00CF4D98">
        <w:rPr>
          <w:lang w:val="en-US"/>
        </w:rPr>
        <w:t xml:space="preserve"> device</w:t>
      </w:r>
      <w:r w:rsidR="00FF602E">
        <w:rPr>
          <w:lang w:val="en-US"/>
        </w:rPr>
        <w:t xml:space="preserve"> and </w:t>
      </w:r>
      <w:r w:rsidR="00BF16A8" w:rsidRPr="00CF4D98">
        <w:rPr>
          <w:lang w:val="en-US"/>
        </w:rPr>
        <w:t>equipment jurisdiction</w:t>
      </w:r>
      <w:r w:rsidR="00FF602E">
        <w:rPr>
          <w:lang w:val="en-US"/>
        </w:rPr>
        <w:t xml:space="preserve"> and </w:t>
      </w:r>
      <w:r w:rsidR="00841B6E" w:rsidRPr="00CF4D98">
        <w:rPr>
          <w:lang w:val="en-US"/>
        </w:rPr>
        <w:t>small business definition</w:t>
      </w:r>
      <w:r w:rsidR="00BF16A8" w:rsidRPr="00CF4D98">
        <w:rPr>
          <w:lang w:val="en-US"/>
        </w:rPr>
        <w:t>.</w:t>
      </w:r>
    </w:p>
    <w:p w14:paraId="5A2CC868" w14:textId="03304DFD" w:rsidR="00756F51" w:rsidRDefault="00CC43BA" w:rsidP="00CC43BA">
      <w:pPr>
        <w:pStyle w:val="ListParagraph"/>
        <w:numPr>
          <w:ilvl w:val="0"/>
          <w:numId w:val="31"/>
        </w:numPr>
        <w:rPr>
          <w:lang w:val="en-US"/>
        </w:rPr>
      </w:pPr>
      <w:r>
        <w:rPr>
          <w:lang w:val="en-US"/>
        </w:rPr>
        <w:t>It is imperative that t</w:t>
      </w:r>
      <w:r w:rsidRPr="00CF4D98">
        <w:rPr>
          <w:lang w:val="en-US"/>
        </w:rPr>
        <w:t>he TIO’s systemic</w:t>
      </w:r>
      <w:r>
        <w:rPr>
          <w:lang w:val="en-US"/>
        </w:rPr>
        <w:t xml:space="preserve"> issues</w:t>
      </w:r>
      <w:r w:rsidRPr="00CF4D98">
        <w:rPr>
          <w:lang w:val="en-US"/>
        </w:rPr>
        <w:t xml:space="preserve"> </w:t>
      </w:r>
      <w:proofErr w:type="gramStart"/>
      <w:r w:rsidRPr="00CF4D98">
        <w:rPr>
          <w:lang w:val="en-US"/>
        </w:rPr>
        <w:t>work</w:t>
      </w:r>
      <w:proofErr w:type="gramEnd"/>
      <w:r w:rsidRPr="00CF4D98">
        <w:rPr>
          <w:lang w:val="en-US"/>
        </w:rPr>
        <w:t xml:space="preserve"> and reporting continue</w:t>
      </w:r>
      <w:r>
        <w:rPr>
          <w:lang w:val="en-US"/>
        </w:rPr>
        <w:t>s</w:t>
      </w:r>
      <w:r w:rsidRPr="00CF4D98">
        <w:rPr>
          <w:lang w:val="en-US"/>
        </w:rPr>
        <w:t xml:space="preserve">. </w:t>
      </w:r>
    </w:p>
    <w:p w14:paraId="69FC6141" w14:textId="6FC15AC1" w:rsidR="00D063A3" w:rsidRDefault="00D063A3" w:rsidP="00CC43BA">
      <w:pPr>
        <w:pStyle w:val="ListParagraph"/>
        <w:numPr>
          <w:ilvl w:val="0"/>
          <w:numId w:val="31"/>
        </w:numPr>
        <w:rPr>
          <w:lang w:val="en-US"/>
        </w:rPr>
      </w:pPr>
      <w:r>
        <w:rPr>
          <w:lang w:val="en-US"/>
        </w:rPr>
        <w:t xml:space="preserve">The TIO should </w:t>
      </w:r>
      <w:r w:rsidR="003941BB">
        <w:rPr>
          <w:lang w:val="en-US"/>
        </w:rPr>
        <w:t xml:space="preserve">continue referring member non-compliance to the relevant regulator. </w:t>
      </w:r>
    </w:p>
    <w:p w14:paraId="6E0D52F9" w14:textId="16CFA6B3" w:rsidR="007D0600" w:rsidRPr="007D0600" w:rsidRDefault="007D0600" w:rsidP="007D0600">
      <w:pPr>
        <w:pStyle w:val="ListParagraph"/>
        <w:numPr>
          <w:ilvl w:val="0"/>
          <w:numId w:val="31"/>
        </w:numPr>
        <w:rPr>
          <w:lang w:val="en-US"/>
        </w:rPr>
      </w:pPr>
      <w:r w:rsidRPr="00CF4D98">
        <w:rPr>
          <w:lang w:val="en-US"/>
        </w:rPr>
        <w:t xml:space="preserve">The TIO’s </w:t>
      </w:r>
      <w:r>
        <w:rPr>
          <w:lang w:val="en-US"/>
        </w:rPr>
        <w:t>engagement</w:t>
      </w:r>
      <w:r w:rsidRPr="00CF4D98">
        <w:rPr>
          <w:lang w:val="en-US"/>
        </w:rPr>
        <w:t xml:space="preserve"> with the community sector </w:t>
      </w:r>
      <w:r>
        <w:rPr>
          <w:lang w:val="en-US"/>
        </w:rPr>
        <w:t>(</w:t>
      </w:r>
      <w:proofErr w:type="gramStart"/>
      <w:r>
        <w:rPr>
          <w:lang w:val="en-US"/>
        </w:rPr>
        <w:t>e.g.</w:t>
      </w:r>
      <w:proofErr w:type="gramEnd"/>
      <w:r w:rsidRPr="00CF4D98">
        <w:rPr>
          <w:lang w:val="en-US"/>
        </w:rPr>
        <w:t xml:space="preserve"> through the TIO Consumer Panel) must continue. The TIO has a culture of inclusiveness which is valued by the community sector. </w:t>
      </w:r>
    </w:p>
    <w:p w14:paraId="0311171A" w14:textId="77777777" w:rsidR="00CE79B2" w:rsidRDefault="00CE79B2" w:rsidP="00F24947">
      <w:pPr>
        <w:rPr>
          <w:lang w:val="en-US"/>
        </w:rPr>
      </w:pPr>
      <w:r>
        <w:rPr>
          <w:lang w:val="en-US"/>
        </w:rPr>
        <w:br w:type="page"/>
      </w:r>
    </w:p>
    <w:p w14:paraId="41AFE157" w14:textId="77777777" w:rsidR="00B41CA8" w:rsidRDefault="00B41CA8" w:rsidP="00071F03">
      <w:pPr>
        <w:pStyle w:val="Title"/>
        <w:rPr>
          <w:lang w:eastAsia="en-US"/>
        </w:rPr>
      </w:pPr>
      <w:bookmarkStart w:id="7" w:name="_Toc103609596"/>
      <w:r w:rsidRPr="00B41CA8">
        <w:rPr>
          <w:lang w:eastAsia="en-US"/>
        </w:rPr>
        <w:lastRenderedPageBreak/>
        <w:t>List of Recommendations</w:t>
      </w:r>
      <w:bookmarkEnd w:id="7"/>
    </w:p>
    <w:p w14:paraId="4F06A18A" w14:textId="77777777" w:rsidR="004F7BF1" w:rsidRDefault="004F7BF1" w:rsidP="004F7BF1">
      <w:pPr>
        <w:pStyle w:val="Recommendation"/>
        <w:numPr>
          <w:ilvl w:val="0"/>
          <w:numId w:val="29"/>
        </w:numPr>
        <w:spacing w:before="240"/>
      </w:pPr>
      <w:r>
        <w:t xml:space="preserve">The TIO should implement strategies to improve consumer awareness of its function and services. </w:t>
      </w:r>
    </w:p>
    <w:p w14:paraId="4C701036" w14:textId="77777777" w:rsidR="004F7BF1" w:rsidRDefault="004F7BF1" w:rsidP="004F7BF1">
      <w:pPr>
        <w:pStyle w:val="Recommendation"/>
        <w:numPr>
          <w:ilvl w:val="0"/>
          <w:numId w:val="29"/>
        </w:numPr>
      </w:pPr>
      <w:r>
        <w:t xml:space="preserve">The TIO should undertake an investigation on the extent to which its members inform consumers about going to the TIO. </w:t>
      </w:r>
    </w:p>
    <w:p w14:paraId="022AC2BC" w14:textId="77777777" w:rsidR="004F7BF1" w:rsidRDefault="004F7BF1" w:rsidP="004F7BF1">
      <w:pPr>
        <w:pStyle w:val="Recommendation"/>
        <w:numPr>
          <w:ilvl w:val="0"/>
          <w:numId w:val="29"/>
        </w:numPr>
      </w:pPr>
      <w:r>
        <w:t>The TIO should ensure its intake processes thoroughly assess the root cause of the complaint, to promote access to the scheme on an equitable basis.</w:t>
      </w:r>
    </w:p>
    <w:p w14:paraId="3D7D54FA" w14:textId="6374AE0E" w:rsidR="004F7BF1" w:rsidRDefault="004F7BF1" w:rsidP="004F7BF1">
      <w:pPr>
        <w:pStyle w:val="Recommendation"/>
        <w:numPr>
          <w:ilvl w:val="0"/>
          <w:numId w:val="29"/>
        </w:numPr>
      </w:pPr>
      <w:r>
        <w:t xml:space="preserve">The TIO should place greater emphasis on consumer vulnerability when dealing with individual consumer complaints and assessing members’ </w:t>
      </w:r>
      <w:proofErr w:type="gramStart"/>
      <w:r>
        <w:t>actions</w:t>
      </w:r>
      <w:r w:rsidR="009B3FAC">
        <w:t>,</w:t>
      </w:r>
      <w:r>
        <w:t xml:space="preserve"> and</w:t>
      </w:r>
      <w:proofErr w:type="gramEnd"/>
      <w:r>
        <w:t xml:space="preserve"> develop a comprehensive Vulnerability Strategy.</w:t>
      </w:r>
    </w:p>
    <w:p w14:paraId="0C31DAE2" w14:textId="77777777" w:rsidR="004F7BF1" w:rsidRDefault="004F7BF1" w:rsidP="004F7BF1">
      <w:pPr>
        <w:pStyle w:val="Recommendation"/>
        <w:numPr>
          <w:ilvl w:val="0"/>
          <w:numId w:val="29"/>
        </w:numPr>
      </w:pPr>
      <w:r>
        <w:t xml:space="preserve"> The TIO should allow consumers to reopen, re-raise and fast-track complaints where the issue is recurring or has not been resolved in totality.  </w:t>
      </w:r>
    </w:p>
    <w:p w14:paraId="6FA6D555" w14:textId="77777777" w:rsidR="004F7BF1" w:rsidRDefault="004F7BF1" w:rsidP="004F7BF1">
      <w:pPr>
        <w:pStyle w:val="Recommendation"/>
        <w:numPr>
          <w:ilvl w:val="0"/>
          <w:numId w:val="29"/>
        </w:numPr>
      </w:pPr>
      <w:r>
        <w:t>The TIO should ensure that consumers making complaints are always aware of when and how they can request the TIO to review its decision</w:t>
      </w:r>
    </w:p>
    <w:p w14:paraId="6E5317C9" w14:textId="77777777" w:rsidR="004F7BF1" w:rsidRDefault="004F7BF1" w:rsidP="004F7BF1">
      <w:pPr>
        <w:pStyle w:val="Recommendation"/>
        <w:numPr>
          <w:ilvl w:val="0"/>
          <w:numId w:val="29"/>
        </w:numPr>
      </w:pPr>
      <w:r>
        <w:t>The TIO should ensure that its complaints review process is completely equitable.</w:t>
      </w:r>
    </w:p>
    <w:p w14:paraId="04C4683E" w14:textId="77777777" w:rsidR="004F7BF1" w:rsidRDefault="004F7BF1" w:rsidP="004F7BF1">
      <w:pPr>
        <w:pStyle w:val="Recommendation"/>
        <w:numPr>
          <w:ilvl w:val="0"/>
          <w:numId w:val="29"/>
        </w:numPr>
      </w:pPr>
      <w:r>
        <w:t xml:space="preserve">The TIO should introduce a specialised process to deal with consumers experiencing vulnerability or complex circumstances, flagged at the point of initial complaint intake. </w:t>
      </w:r>
    </w:p>
    <w:p w14:paraId="7DDFCD7D" w14:textId="77777777" w:rsidR="004F7BF1" w:rsidRDefault="004F7BF1" w:rsidP="004F7BF1">
      <w:pPr>
        <w:pStyle w:val="Recommendation"/>
        <w:numPr>
          <w:ilvl w:val="0"/>
          <w:numId w:val="29"/>
        </w:numPr>
      </w:pPr>
      <w:r>
        <w:t xml:space="preserve">The TIO should expand its public reporting to provide greater detail about the technology types, geographical location, and TIO members involved in TIO complaints. </w:t>
      </w:r>
    </w:p>
    <w:p w14:paraId="0DDB32BE" w14:textId="77777777" w:rsidR="004F7BF1" w:rsidRDefault="004F7BF1" w:rsidP="004F7BF1">
      <w:pPr>
        <w:pStyle w:val="Recommendation"/>
        <w:numPr>
          <w:ilvl w:val="0"/>
          <w:numId w:val="29"/>
        </w:numPr>
      </w:pPr>
      <w:r>
        <w:t>The TIO should capture and publicly report on the issues and reasons why it could not deal with a matter classified as an Enquiry.</w:t>
      </w:r>
    </w:p>
    <w:p w14:paraId="2D366017" w14:textId="77777777" w:rsidR="004F7BF1" w:rsidRDefault="004F7BF1" w:rsidP="004F7BF1">
      <w:pPr>
        <w:pStyle w:val="Recommendation"/>
        <w:numPr>
          <w:ilvl w:val="0"/>
          <w:numId w:val="29"/>
        </w:numPr>
      </w:pPr>
      <w:r>
        <w:t xml:space="preserve">The TIO should differentiate simple complaints that could reasonably be resolved within 5 business days from </w:t>
      </w:r>
      <w:proofErr w:type="gramStart"/>
      <w:r>
        <w:t>referral, and</w:t>
      </w:r>
      <w:proofErr w:type="gramEnd"/>
      <w:r>
        <w:t xml:space="preserve"> amend the permitted response time accordingly. </w:t>
      </w:r>
    </w:p>
    <w:p w14:paraId="1A112D9F" w14:textId="77777777" w:rsidR="004F7BF1" w:rsidRDefault="004F7BF1" w:rsidP="004F7BF1">
      <w:pPr>
        <w:pStyle w:val="Recommendation"/>
        <w:numPr>
          <w:ilvl w:val="0"/>
          <w:numId w:val="29"/>
        </w:numPr>
      </w:pPr>
      <w:r>
        <w:t xml:space="preserve">Once a complaint has been referred to a TIO member, the TIO should follow up with the consumer to assess whether the complaint has been </w:t>
      </w:r>
      <w:proofErr w:type="gramStart"/>
      <w:r>
        <w:t>resolved, and</w:t>
      </w:r>
      <w:proofErr w:type="gramEnd"/>
      <w:r>
        <w:t xml:space="preserve"> should continue handling the complaint if it hasn’t. </w:t>
      </w:r>
    </w:p>
    <w:p w14:paraId="200FE962" w14:textId="77777777" w:rsidR="004F7BF1" w:rsidRDefault="004F7BF1" w:rsidP="004F7BF1">
      <w:pPr>
        <w:pStyle w:val="Recommendation"/>
        <w:numPr>
          <w:ilvl w:val="0"/>
          <w:numId w:val="29"/>
        </w:numPr>
      </w:pPr>
      <w:r>
        <w:t xml:space="preserve">The TIO should reconsider the suitability of its definition of small </w:t>
      </w:r>
      <w:proofErr w:type="gramStart"/>
      <w:r>
        <w:t>business, and</w:t>
      </w:r>
      <w:proofErr w:type="gramEnd"/>
      <w:r>
        <w:t xml:space="preserve"> ensure that it triages small business complaints effectively. </w:t>
      </w:r>
    </w:p>
    <w:p w14:paraId="1D79060F" w14:textId="77777777" w:rsidR="004F7BF1" w:rsidRDefault="004F7BF1" w:rsidP="004F7BF1">
      <w:pPr>
        <w:pStyle w:val="Recommendation"/>
        <w:numPr>
          <w:ilvl w:val="0"/>
          <w:numId w:val="29"/>
        </w:numPr>
      </w:pPr>
      <w:r>
        <w:t xml:space="preserve">The TIO should reconsider how it handles device and equipment complaints to ensure the scheme is addressing complaints effectively. </w:t>
      </w:r>
    </w:p>
    <w:p w14:paraId="46EA1C6E" w14:textId="77777777" w:rsidR="004F7BF1" w:rsidRDefault="004F7BF1" w:rsidP="004F7BF1">
      <w:pPr>
        <w:pStyle w:val="Recommendation"/>
        <w:numPr>
          <w:ilvl w:val="0"/>
          <w:numId w:val="29"/>
        </w:numPr>
      </w:pPr>
      <w:r>
        <w:t xml:space="preserve">The TIO should review its approach to awarding compensation for non-financial loss, ensuring consistency with other major EDR schemes. </w:t>
      </w:r>
    </w:p>
    <w:p w14:paraId="1E517D88" w14:textId="77777777" w:rsidR="004F7BF1" w:rsidRDefault="004F7BF1" w:rsidP="004F7BF1">
      <w:pPr>
        <w:pStyle w:val="Recommendation"/>
        <w:numPr>
          <w:ilvl w:val="0"/>
          <w:numId w:val="29"/>
        </w:numPr>
      </w:pPr>
      <w:r>
        <w:t>The TIO should continue to refine its processes identifying and reporting on systemic issues facing phone and internet consumers.</w:t>
      </w:r>
    </w:p>
    <w:p w14:paraId="266AAE36" w14:textId="7D029530" w:rsidR="00A16AA4" w:rsidRDefault="00C72C32" w:rsidP="00A16AA4">
      <w:pPr>
        <w:pStyle w:val="Recommendation"/>
        <w:numPr>
          <w:ilvl w:val="0"/>
          <w:numId w:val="29"/>
        </w:numPr>
      </w:pPr>
      <w:r w:rsidRPr="00C72C32">
        <w:t>That the TIO continues to engage in communications policy work and is adequately resourced to do so.</w:t>
      </w:r>
      <w:r w:rsidR="00A16AA4">
        <w:t xml:space="preserve"> </w:t>
      </w:r>
    </w:p>
    <w:p w14:paraId="37498E84" w14:textId="2AD4AECF" w:rsidR="004F7BF1" w:rsidRDefault="00A16AA4" w:rsidP="004F7BF1">
      <w:pPr>
        <w:pStyle w:val="Recommendation"/>
        <w:numPr>
          <w:ilvl w:val="0"/>
          <w:numId w:val="29"/>
        </w:numPr>
      </w:pPr>
      <w:r>
        <w:t>T</w:t>
      </w:r>
      <w:r w:rsidR="004F7BF1">
        <w:t xml:space="preserve">he TIO should refer suspected member non-compliance to the relevant regulator.  </w:t>
      </w:r>
    </w:p>
    <w:p w14:paraId="1BED3C11" w14:textId="77777777" w:rsidR="004F7BF1" w:rsidRDefault="004F7BF1" w:rsidP="004F7BF1">
      <w:pPr>
        <w:pStyle w:val="Recommendation"/>
        <w:numPr>
          <w:ilvl w:val="0"/>
          <w:numId w:val="29"/>
        </w:numPr>
      </w:pPr>
      <w:r>
        <w:t xml:space="preserve">The TIO should continue pursuing meaningful stakeholder engagement to ensure better strategic outcomes for phone and internet consumers. </w:t>
      </w:r>
    </w:p>
    <w:p w14:paraId="072ACDD8" w14:textId="65BE89E3" w:rsidR="00D44B2A" w:rsidRPr="00D44B2A" w:rsidRDefault="007B3F7D" w:rsidP="00BF4E73">
      <w:pPr>
        <w:pStyle w:val="Heading1"/>
      </w:pPr>
      <w:bookmarkStart w:id="8" w:name="_Toc103609597"/>
      <w:r w:rsidRPr="00CE4901">
        <w:lastRenderedPageBreak/>
        <w:t>Industry Benchmark 1: Accessibility</w:t>
      </w:r>
      <w:bookmarkEnd w:id="8"/>
    </w:p>
    <w:p w14:paraId="57CA63E6" w14:textId="54C8502E" w:rsidR="002A0959" w:rsidRDefault="002A0959" w:rsidP="005C4EDF">
      <w:pPr>
        <w:pStyle w:val="Heading2"/>
      </w:pPr>
      <w:r w:rsidRPr="002A0959">
        <w:t>Not all consumers know about the TIO</w:t>
      </w:r>
    </w:p>
    <w:p w14:paraId="66617A8F" w14:textId="3BF16D5F" w:rsidR="000F5644" w:rsidRDefault="00DA1A7B" w:rsidP="008E4BF1">
      <w:r>
        <w:t>C</w:t>
      </w:r>
      <w:r w:rsidR="008E4BF1">
        <w:t>onsumers are not</w:t>
      </w:r>
      <w:r w:rsidR="00A92C32">
        <w:t xml:space="preserve"> always</w:t>
      </w:r>
      <w:r w:rsidR="008E4BF1">
        <w:t xml:space="preserve"> aware of the TIO or its role in resolving phone and internet complaints. Findings from a recent Ipsos Omnibus survey</w:t>
      </w:r>
      <w:r w:rsidR="00482E60">
        <w:t>,</w:t>
      </w:r>
      <w:r w:rsidR="00820E3B">
        <w:rPr>
          <w:rStyle w:val="FootnoteReference"/>
        </w:rPr>
        <w:footnoteReference w:id="6"/>
      </w:r>
      <w:r w:rsidR="00482E60">
        <w:t xml:space="preserve"> commissioned by ACCAN,</w:t>
      </w:r>
      <w:r w:rsidR="008E4BF1">
        <w:t xml:space="preserve"> found that 1 in 4 consumers</w:t>
      </w:r>
      <w:r w:rsidR="00482E60">
        <w:t xml:space="preserve"> surveyed</w:t>
      </w:r>
      <w:r w:rsidR="008E4BF1">
        <w:t xml:space="preserve"> (25%) were not aware of the TIO</w:t>
      </w:r>
      <w:r w:rsidR="00DE4B13">
        <w:t xml:space="preserve">, and </w:t>
      </w:r>
      <w:r w:rsidR="008F6CBC">
        <w:t>a third</w:t>
      </w:r>
      <w:r w:rsidR="00642A68">
        <w:t xml:space="preserve"> </w:t>
      </w:r>
      <w:r w:rsidR="008E4BF1">
        <w:t>(</w:t>
      </w:r>
      <w:r w:rsidR="00E83D27">
        <w:t>34</w:t>
      </w:r>
      <w:r w:rsidR="008E4BF1">
        <w:t xml:space="preserve">%) </w:t>
      </w:r>
      <w:r w:rsidR="00D340C3">
        <w:t xml:space="preserve">did not </w:t>
      </w:r>
      <w:r w:rsidR="008E4BF1">
        <w:t>kn</w:t>
      </w:r>
      <w:r w:rsidR="00D340C3">
        <w:t>o</w:t>
      </w:r>
      <w:r w:rsidR="008E4BF1">
        <w:t xml:space="preserve">w what the TIO could do if they had difficulty resolving a complaint with their phone or internet provider. </w:t>
      </w:r>
      <w:r w:rsidR="00990C25">
        <w:t>Indeed,</w:t>
      </w:r>
      <w:r w:rsidR="008E4BF1">
        <w:t xml:space="preserve"> a quarter (26%) indicated that if they couldn’t resolve a complaint with their phone or internet provider, they did not know where to go next. These findings show that there is a significant gap in awareness about the availability and functions of the TIO. They suggest that there are opportunities to boost the TIO’s outreach and advertising so that all phone and internet consumers are aware of the dispute resolution services available to them. </w:t>
      </w:r>
      <w:r w:rsidR="0024511F">
        <w:t>Feedback from community organisation</w:t>
      </w:r>
      <w:r w:rsidR="000806D0">
        <w:t>s</w:t>
      </w:r>
      <w:r w:rsidR="0024511F">
        <w:t xml:space="preserve"> indicate that often it is consumers who are digitally excluded or expe</w:t>
      </w:r>
      <w:r w:rsidR="00B60F07">
        <w:t xml:space="preserve">riencing vulnerability who do not know about the TIO, or do not understand how it can help. </w:t>
      </w:r>
    </w:p>
    <w:p w14:paraId="2E923671" w14:textId="232DA55E" w:rsidR="008E4BF1" w:rsidRDefault="008E4BF1" w:rsidP="008E4BF1">
      <w:r>
        <w:t xml:space="preserve">While it is out of scope </w:t>
      </w:r>
      <w:r w:rsidR="000806D0">
        <w:t>for</w:t>
      </w:r>
      <w:r>
        <w:t xml:space="preserve"> this review, it is important to note that </w:t>
      </w:r>
      <w:r w:rsidR="00B60F07">
        <w:t xml:space="preserve">in some circumstances </w:t>
      </w:r>
      <w:r>
        <w:t>TIO members have an obligation under the ACMA Complaints Handling Standard to proactively inform a consumer of their options for EDR, including going to the TIO.</w:t>
      </w:r>
      <w:r w:rsidR="002A0959">
        <w:rPr>
          <w:rStyle w:val="FootnoteReference"/>
        </w:rPr>
        <w:footnoteReference w:id="7"/>
      </w:r>
      <w:r w:rsidR="002A0959">
        <w:t xml:space="preserve"> </w:t>
      </w:r>
      <w:r>
        <w:t>We are aware that</w:t>
      </w:r>
      <w:r w:rsidR="00FB36FD">
        <w:t xml:space="preserve"> TIO members </w:t>
      </w:r>
      <w:r>
        <w:t xml:space="preserve">do not always do this, which may contribute to consumers’ lack of awareness about the TIO.  </w:t>
      </w:r>
      <w:r w:rsidR="00D24EFB">
        <w:t xml:space="preserve">The TIO could address this directly by, for example, undertaking a systemic issue report on telco’s compliance with the obligation to inform consumers about their right to complain to the TIO, or </w:t>
      </w:r>
      <w:r w:rsidR="0073267F">
        <w:t xml:space="preserve">by </w:t>
      </w:r>
      <w:r w:rsidR="00D24EFB">
        <w:t>publicly nam</w:t>
      </w:r>
      <w:r w:rsidR="0073267F">
        <w:t>ing</w:t>
      </w:r>
      <w:r w:rsidR="00D24EFB">
        <w:t xml:space="preserve"> telcos who consistently fail to do this.  </w:t>
      </w:r>
    </w:p>
    <w:p w14:paraId="2C277857" w14:textId="53DA4C9E" w:rsidR="008E4BF1" w:rsidRDefault="008E4BF1" w:rsidP="008E4BF1">
      <w:r>
        <w:t>There a</w:t>
      </w:r>
      <w:r w:rsidR="00490D52">
        <w:t>re</w:t>
      </w:r>
      <w:r w:rsidR="000806D0">
        <w:t xml:space="preserve"> </w:t>
      </w:r>
      <w:proofErr w:type="gramStart"/>
      <w:r w:rsidR="000806D0">
        <w:t>a</w:t>
      </w:r>
      <w:r>
        <w:t xml:space="preserve"> number of</w:t>
      </w:r>
      <w:proofErr w:type="gramEnd"/>
      <w:r>
        <w:t xml:space="preserve"> ways that the TIO could boost consumer awareness of its services, including: </w:t>
      </w:r>
    </w:p>
    <w:p w14:paraId="78E0164C" w14:textId="155B1628" w:rsidR="002A0959" w:rsidRDefault="008E4BF1" w:rsidP="008E4BF1">
      <w:pPr>
        <w:pStyle w:val="ListParagraph"/>
        <w:numPr>
          <w:ilvl w:val="0"/>
          <w:numId w:val="32"/>
        </w:numPr>
      </w:pPr>
      <w:r>
        <w:t>Introducing a bold outreach agenda, particularly in regional and rural areas (for example, market stall</w:t>
      </w:r>
      <w:r w:rsidR="00940879">
        <w:t>s</w:t>
      </w:r>
      <w:r>
        <w:t xml:space="preserve"> at major agricultural and social events). </w:t>
      </w:r>
    </w:p>
    <w:p w14:paraId="1EEF990B" w14:textId="77777777" w:rsidR="002A0959" w:rsidRDefault="008E4BF1" w:rsidP="008E4BF1">
      <w:pPr>
        <w:pStyle w:val="ListParagraph"/>
        <w:numPr>
          <w:ilvl w:val="0"/>
          <w:numId w:val="32"/>
        </w:numPr>
      </w:pPr>
      <w:r>
        <w:t xml:space="preserve">Increasing the use of social media advertising. </w:t>
      </w:r>
    </w:p>
    <w:p w14:paraId="18872698" w14:textId="77777777" w:rsidR="002A0959" w:rsidRDefault="008E4BF1" w:rsidP="008E4BF1">
      <w:pPr>
        <w:pStyle w:val="ListParagraph"/>
        <w:numPr>
          <w:ilvl w:val="0"/>
          <w:numId w:val="32"/>
        </w:numPr>
      </w:pPr>
      <w:r>
        <w:t xml:space="preserve">Using communication channels targeted at First Nations people, including local community radio, NITV and ITV. </w:t>
      </w:r>
    </w:p>
    <w:p w14:paraId="7B6B74A2" w14:textId="1DDF3F2B" w:rsidR="008E4BF1" w:rsidRDefault="008E4BF1" w:rsidP="008E4BF1">
      <w:pPr>
        <w:pStyle w:val="ListParagraph"/>
        <w:numPr>
          <w:ilvl w:val="0"/>
          <w:numId w:val="32"/>
        </w:numPr>
      </w:pPr>
      <w:r>
        <w:t xml:space="preserve">Developing online and hard-copy consumer information materials in languages other than </w:t>
      </w:r>
      <w:proofErr w:type="gramStart"/>
      <w:r>
        <w:t>English, and</w:t>
      </w:r>
      <w:proofErr w:type="gramEnd"/>
      <w:r>
        <w:t xml:space="preserve"> distributing these via established networks of community service organisations. </w:t>
      </w:r>
    </w:p>
    <w:p w14:paraId="6BD038A2" w14:textId="79D011CA" w:rsidR="00EE1653" w:rsidRDefault="00EE1653" w:rsidP="0075391A">
      <w:pPr>
        <w:pStyle w:val="Recommendation"/>
      </w:pPr>
      <w:r>
        <w:t>The TIO should</w:t>
      </w:r>
      <w:r w:rsidR="006D70FC">
        <w:t xml:space="preserve"> </w:t>
      </w:r>
      <w:r w:rsidR="00733536">
        <w:t xml:space="preserve">implement </w:t>
      </w:r>
      <w:r w:rsidR="006D70FC">
        <w:t xml:space="preserve">strategies to improve consumer awareness of its function and services. </w:t>
      </w:r>
    </w:p>
    <w:p w14:paraId="194727BE" w14:textId="5F959161" w:rsidR="00D24EFB" w:rsidRDefault="00D24EFB" w:rsidP="0075391A">
      <w:pPr>
        <w:pStyle w:val="Recommendation"/>
      </w:pPr>
      <w:r>
        <w:t>The TIO should</w:t>
      </w:r>
      <w:r w:rsidR="004165EA">
        <w:t xml:space="preserve"> under</w:t>
      </w:r>
      <w:r w:rsidR="009F48A5">
        <w:t xml:space="preserve">take an investigation on the extent to which its members inform consumers about going to the TIO. </w:t>
      </w:r>
    </w:p>
    <w:p w14:paraId="53C5CA05" w14:textId="325C7393" w:rsidR="000846C7" w:rsidRDefault="000846C7" w:rsidP="005C4EDF">
      <w:pPr>
        <w:pStyle w:val="Heading2"/>
      </w:pPr>
      <w:r>
        <w:lastRenderedPageBreak/>
        <w:t>The TIO should work with consumers to identify</w:t>
      </w:r>
      <w:r w:rsidR="00443273">
        <w:t xml:space="preserve"> and resolve</w:t>
      </w:r>
      <w:r w:rsidR="00B11CD1">
        <w:t xml:space="preserve"> complaints</w:t>
      </w:r>
      <w:r w:rsidR="00443273">
        <w:t>, especially consumers experiencing vulnerability</w:t>
      </w:r>
      <w:r w:rsidR="00B11CD1">
        <w:t xml:space="preserve"> </w:t>
      </w:r>
    </w:p>
    <w:p w14:paraId="3E083FD7" w14:textId="083E250E" w:rsidR="009F624D" w:rsidRDefault="009F624D" w:rsidP="00921559">
      <w:r>
        <w:t xml:space="preserve">There is a </w:t>
      </w:r>
      <w:r w:rsidR="007A27F8">
        <w:t>considerable difference</w:t>
      </w:r>
      <w:r w:rsidR="003D5EA5">
        <w:t xml:space="preserve"> </w:t>
      </w:r>
      <w:r w:rsidR="00BD6672">
        <w:t xml:space="preserve">between the number of complaints received </w:t>
      </w:r>
      <w:r w:rsidR="007A27F8">
        <w:t>by telcos</w:t>
      </w:r>
      <w:r w:rsidR="00FF3B9D">
        <w:t xml:space="preserve"> (</w:t>
      </w:r>
      <w:r w:rsidR="004D7058">
        <w:t>1,089,607 in FY</w:t>
      </w:r>
      <w:r w:rsidR="0075391A">
        <w:t xml:space="preserve"> </w:t>
      </w:r>
      <w:r w:rsidR="004D7058">
        <w:t>2020-21)</w:t>
      </w:r>
      <w:r w:rsidR="007A27F8">
        <w:t xml:space="preserve">, and </w:t>
      </w:r>
      <w:r w:rsidR="00BD6672">
        <w:t xml:space="preserve">the </w:t>
      </w:r>
      <w:r w:rsidR="00276737">
        <w:t xml:space="preserve">number </w:t>
      </w:r>
      <w:r w:rsidR="004D7058">
        <w:t xml:space="preserve">of complaints </w:t>
      </w:r>
      <w:r w:rsidR="00276737">
        <w:t xml:space="preserve">received </w:t>
      </w:r>
      <w:r w:rsidR="004D7058">
        <w:t>by</w:t>
      </w:r>
      <w:r w:rsidR="00276737">
        <w:t xml:space="preserve"> the TIO </w:t>
      </w:r>
      <w:r w:rsidR="004D7058">
        <w:t>(</w:t>
      </w:r>
      <w:r w:rsidR="0003080C">
        <w:t>116,113</w:t>
      </w:r>
      <w:r w:rsidR="00ED66DB">
        <w:t xml:space="preserve"> in FY</w:t>
      </w:r>
      <w:r w:rsidR="0075391A">
        <w:t xml:space="preserve"> </w:t>
      </w:r>
      <w:r w:rsidR="00ED66DB">
        <w:t>2020-21</w:t>
      </w:r>
      <w:r w:rsidR="0003080C">
        <w:t>)</w:t>
      </w:r>
      <w:r w:rsidR="00276737">
        <w:t xml:space="preserve">. </w:t>
      </w:r>
      <w:r w:rsidR="00784215">
        <w:t xml:space="preserve">We know the real </w:t>
      </w:r>
      <w:r w:rsidR="007C641C">
        <w:t xml:space="preserve">number of complaints received by telcos </w:t>
      </w:r>
      <w:r w:rsidR="00784215">
        <w:t>is much higher than this figure</w:t>
      </w:r>
      <w:r w:rsidR="000F13FA">
        <w:t xml:space="preserve">. </w:t>
      </w:r>
      <w:r w:rsidR="00F47FC4">
        <w:t>It is common for c</w:t>
      </w:r>
      <w:r w:rsidR="00086E6C">
        <w:t>onsumer</w:t>
      </w:r>
      <w:r w:rsidR="000F13FA">
        <w:t xml:space="preserve">s </w:t>
      </w:r>
      <w:r w:rsidR="00F47FC4">
        <w:t xml:space="preserve">to </w:t>
      </w:r>
      <w:r w:rsidR="00E63E1F">
        <w:t xml:space="preserve">contact </w:t>
      </w:r>
      <w:r w:rsidR="00044A9F">
        <w:t>their telco about a persistent issue that should b</w:t>
      </w:r>
      <w:r w:rsidR="008D5AB3">
        <w:t>e</w:t>
      </w:r>
      <w:r w:rsidR="00044A9F">
        <w:t xml:space="preserve"> treated as a formal complaint, but </w:t>
      </w:r>
      <w:r w:rsidR="008D5AB3">
        <w:t>isn’t</w:t>
      </w:r>
      <w:r w:rsidR="005322C3">
        <w:t xml:space="preserve"> classified as such</w:t>
      </w:r>
      <w:r w:rsidR="00044A9F">
        <w:t>.</w:t>
      </w:r>
      <w:r w:rsidR="00276737">
        <w:rPr>
          <w:rStyle w:val="FootnoteReference"/>
        </w:rPr>
        <w:footnoteReference w:id="8"/>
      </w:r>
      <w:r w:rsidR="00044A9F">
        <w:t xml:space="preserve"> </w:t>
      </w:r>
      <w:r w:rsidR="008D5AB3">
        <w:t xml:space="preserve">Additionally, we are </w:t>
      </w:r>
      <w:r w:rsidR="00D949D5">
        <w:t>aware</w:t>
      </w:r>
      <w:r w:rsidR="008D5AB3">
        <w:t xml:space="preserve"> that in some instances, telcos artificially suppress their </w:t>
      </w:r>
      <w:r w:rsidR="00EE650E">
        <w:t xml:space="preserve">TIO complaint escalation rate by offering </w:t>
      </w:r>
      <w:r w:rsidR="00D949D5">
        <w:t>one</w:t>
      </w:r>
      <w:r w:rsidR="00EE650E">
        <w:t>-</w:t>
      </w:r>
      <w:r w:rsidR="00D949D5">
        <w:t>off</w:t>
      </w:r>
      <w:r w:rsidR="00EE650E">
        <w:t xml:space="preserve"> financial </w:t>
      </w:r>
      <w:r w:rsidR="00FB5979">
        <w:t>co</w:t>
      </w:r>
      <w:r w:rsidR="00D949D5">
        <w:t>mpensation</w:t>
      </w:r>
      <w:r w:rsidR="00033400">
        <w:t xml:space="preserve"> to consumers,</w:t>
      </w:r>
      <w:r w:rsidR="009D7555">
        <w:t xml:space="preserve"> rather than </w:t>
      </w:r>
      <w:r w:rsidR="005C24C0">
        <w:t xml:space="preserve">addressing the root cause of the complaint. It is essential </w:t>
      </w:r>
      <w:r w:rsidR="00540AA1">
        <w:t xml:space="preserve">that the TIO always </w:t>
      </w:r>
      <w:r w:rsidR="005F1F2E">
        <w:t xml:space="preserve">works with the consumer and the TIO member to understand, address and resolve the root cause </w:t>
      </w:r>
      <w:r w:rsidR="00526BB7">
        <w:t xml:space="preserve">of consumer complaints. </w:t>
      </w:r>
      <w:r w:rsidR="00086E6C">
        <w:t xml:space="preserve"> </w:t>
      </w:r>
      <w:r w:rsidR="00D57BE7">
        <w:t xml:space="preserve"> </w:t>
      </w:r>
    </w:p>
    <w:p w14:paraId="78146F28" w14:textId="05C051A1" w:rsidR="00D55229" w:rsidRDefault="008F3659" w:rsidP="00921559">
      <w:r>
        <w:t>We hear from consumers</w:t>
      </w:r>
      <w:r w:rsidR="00D1718D">
        <w:t>, particularly those experiencing vulnerability,</w:t>
      </w:r>
      <w:r>
        <w:t xml:space="preserve"> who are told </w:t>
      </w:r>
      <w:r w:rsidR="00270808">
        <w:t>by the TIO that it cannot handle their complaint</w:t>
      </w:r>
      <w:r w:rsidR="00C9223B">
        <w:t xml:space="preserve">, even though </w:t>
      </w:r>
      <w:r w:rsidR="00783A01">
        <w:t>it</w:t>
      </w:r>
      <w:r w:rsidR="00270808">
        <w:t xml:space="preserve"> </w:t>
      </w:r>
      <w:r w:rsidR="005047DA">
        <w:t>appears to be</w:t>
      </w:r>
      <w:r w:rsidR="00270808">
        <w:t xml:space="preserve"> a legitimate complaint that the TIO </w:t>
      </w:r>
      <w:r w:rsidR="00783A01">
        <w:t>should</w:t>
      </w:r>
      <w:r w:rsidR="00270808">
        <w:t xml:space="preserve"> </w:t>
      </w:r>
      <w:r w:rsidR="008D7ABE">
        <w:t>handle</w:t>
      </w:r>
      <w:r w:rsidR="00270808">
        <w:t xml:space="preserve">. </w:t>
      </w:r>
      <w:r w:rsidR="008E0624">
        <w:t>In these instances, it appears that t</w:t>
      </w:r>
      <w:r w:rsidR="000846C7">
        <w:t xml:space="preserve">he TIO </w:t>
      </w:r>
      <w:r w:rsidR="008D7ABE">
        <w:t>has</w:t>
      </w:r>
      <w:r w:rsidR="000846C7">
        <w:t xml:space="preserve"> not </w:t>
      </w:r>
      <w:r w:rsidR="008E0624">
        <w:t>actively</w:t>
      </w:r>
      <w:r w:rsidR="000846C7">
        <w:t xml:space="preserve"> identif</w:t>
      </w:r>
      <w:r w:rsidR="008E0624">
        <w:t>ied a</w:t>
      </w:r>
      <w:r w:rsidR="000846C7">
        <w:t xml:space="preserve"> phone and internet complaint when </w:t>
      </w:r>
      <w:r w:rsidR="008D7ABE">
        <w:t xml:space="preserve">an issue is being </w:t>
      </w:r>
      <w:r w:rsidR="000846C7">
        <w:t xml:space="preserve">described by </w:t>
      </w:r>
      <w:r w:rsidR="00D1718D">
        <w:t>a person</w:t>
      </w:r>
      <w:r w:rsidR="000846C7">
        <w:t xml:space="preserve"> who may not </w:t>
      </w:r>
      <w:r w:rsidR="00D1718D">
        <w:t xml:space="preserve">have </w:t>
      </w:r>
      <w:r w:rsidR="000846C7">
        <w:t>use</w:t>
      </w:r>
      <w:r w:rsidR="00D1718D">
        <w:t>d</w:t>
      </w:r>
      <w:r w:rsidR="000846C7">
        <w:t xml:space="preserve"> ‘the right’ terms in their explanation</w:t>
      </w:r>
      <w:r w:rsidR="001856C4">
        <w:t xml:space="preserve">, or </w:t>
      </w:r>
      <w:r w:rsidR="00CA612D">
        <w:t xml:space="preserve">who </w:t>
      </w:r>
      <w:r w:rsidR="001856C4">
        <w:t>may not</w:t>
      </w:r>
      <w:r w:rsidR="00CA612D">
        <w:t xml:space="preserve"> have</w:t>
      </w:r>
      <w:r w:rsidR="001856C4">
        <w:t xml:space="preserve"> initially offer</w:t>
      </w:r>
      <w:r w:rsidR="008716D9">
        <w:t>ed</w:t>
      </w:r>
      <w:r w:rsidR="001856C4">
        <w:t xml:space="preserve"> all information required</w:t>
      </w:r>
      <w:r w:rsidR="008716D9">
        <w:t xml:space="preserve"> by the TIO</w:t>
      </w:r>
      <w:r w:rsidR="000846C7">
        <w:t xml:space="preserve">. </w:t>
      </w:r>
      <w:r w:rsidR="00E47698">
        <w:t xml:space="preserve">It is important </w:t>
      </w:r>
      <w:r w:rsidR="00D55229">
        <w:t xml:space="preserve">that, at the point of intake, the TIO works with consumers to identify and understand the root cause of </w:t>
      </w:r>
      <w:r w:rsidR="00425D56">
        <w:t>their</w:t>
      </w:r>
      <w:r w:rsidR="00D55229">
        <w:t xml:space="preserve"> complaint</w:t>
      </w:r>
      <w:r w:rsidR="008736A3">
        <w:t xml:space="preserve">. For example, </w:t>
      </w:r>
      <w:r w:rsidR="00460502">
        <w:t>a</w:t>
      </w:r>
      <w:r w:rsidR="007F4312">
        <w:t xml:space="preserve"> consumer </w:t>
      </w:r>
      <w:r w:rsidR="00AD769E">
        <w:t>could complain to the TIO</w:t>
      </w:r>
      <w:r w:rsidR="00143FDC">
        <w:t xml:space="preserve"> that they </w:t>
      </w:r>
      <w:r w:rsidR="007F4312">
        <w:t xml:space="preserve">cannot </w:t>
      </w:r>
      <w:r w:rsidR="00460502">
        <w:t>afford</w:t>
      </w:r>
      <w:r w:rsidR="007F4312">
        <w:t xml:space="preserve"> their bill, </w:t>
      </w:r>
      <w:r w:rsidR="00143FDC">
        <w:t xml:space="preserve">and their </w:t>
      </w:r>
      <w:r w:rsidR="00AC03C0">
        <w:t xml:space="preserve">telco </w:t>
      </w:r>
      <w:r w:rsidR="00143FDC">
        <w:t>won’</w:t>
      </w:r>
      <w:r w:rsidR="00AD769E">
        <w:t xml:space="preserve">t </w:t>
      </w:r>
      <w:r w:rsidR="00143FDC">
        <w:t xml:space="preserve">provide a </w:t>
      </w:r>
      <w:r w:rsidR="002539CE">
        <w:t xml:space="preserve">payment </w:t>
      </w:r>
      <w:r w:rsidR="00143FDC">
        <w:t>extension</w:t>
      </w:r>
      <w:r w:rsidR="00921559">
        <w:t>. This</w:t>
      </w:r>
      <w:r w:rsidR="00F83185">
        <w:t xml:space="preserve"> initially presents as a financial hardship complaint</w:t>
      </w:r>
      <w:r w:rsidR="00921559">
        <w:t>, but further questioning at the point of intake may reveal that the consumer was</w:t>
      </w:r>
      <w:r w:rsidR="003E3C54">
        <w:t xml:space="preserve"> </w:t>
      </w:r>
      <w:r w:rsidR="00BA24F7">
        <w:t>inappropriately sold services they couldn’t not afford</w:t>
      </w:r>
      <w:r w:rsidR="002D1D36">
        <w:t>, suggesting unconscionable conduct</w:t>
      </w:r>
      <w:r w:rsidR="0055382D">
        <w:t xml:space="preserve"> or failing to conduct an affordability assessment</w:t>
      </w:r>
      <w:r w:rsidR="00BA24F7">
        <w:t>.</w:t>
      </w:r>
      <w:r w:rsidR="000C2FD2" w:rsidRPr="000C2FD2">
        <w:t xml:space="preserve"> By delving deeper to understand the issues at the intake level</w:t>
      </w:r>
      <w:r w:rsidR="00EB69FC">
        <w:t>,</w:t>
      </w:r>
      <w:r w:rsidR="0055382D">
        <w:t xml:space="preserve"> and to help consumers articulate their complaints,</w:t>
      </w:r>
      <w:r w:rsidR="000C2FD2" w:rsidRPr="000C2FD2">
        <w:t xml:space="preserve"> the TIO may be able to identify more appropriate solutions for consumers</w:t>
      </w:r>
      <w:r w:rsidR="00EB69FC">
        <w:t xml:space="preserve">. </w:t>
      </w:r>
      <w:r w:rsidR="000C2FD2">
        <w:t xml:space="preserve"> </w:t>
      </w:r>
    </w:p>
    <w:p w14:paraId="217113E2" w14:textId="3742F643" w:rsidR="00D551B4" w:rsidRDefault="00620046" w:rsidP="008E4BF1">
      <w:r>
        <w:t xml:space="preserve">We also receive reports that </w:t>
      </w:r>
      <w:r w:rsidR="00CB0261">
        <w:t xml:space="preserve">the TIO does not always </w:t>
      </w:r>
      <w:r w:rsidR="008111A4">
        <w:t>consider a person’s vulnerability fairly when making decisions.</w:t>
      </w:r>
    </w:p>
    <w:p w14:paraId="60D58D59" w14:textId="3D4ABBD4" w:rsidR="008111A4" w:rsidRPr="0098223B" w:rsidRDefault="008111A4" w:rsidP="008111A4">
      <w:pPr>
        <w:pStyle w:val="Recommendation"/>
        <w:numPr>
          <w:ilvl w:val="0"/>
          <w:numId w:val="0"/>
        </w:numPr>
        <w:ind w:left="851"/>
        <w:rPr>
          <w:b/>
          <w:bCs/>
        </w:rPr>
      </w:pPr>
      <w:r w:rsidRPr="0098223B">
        <w:rPr>
          <w:b/>
          <w:bCs/>
        </w:rPr>
        <w:t xml:space="preserve">Case study: </w:t>
      </w:r>
      <w:r>
        <w:rPr>
          <w:b/>
          <w:bCs/>
        </w:rPr>
        <w:t xml:space="preserve">Consumer fleeing family violence </w:t>
      </w:r>
    </w:p>
    <w:p w14:paraId="3C24FB84" w14:textId="2DFE6958" w:rsidR="008111A4" w:rsidRDefault="006A7327" w:rsidP="008111A4">
      <w:pPr>
        <w:pStyle w:val="Recommendation"/>
        <w:numPr>
          <w:ilvl w:val="0"/>
          <w:numId w:val="0"/>
        </w:numPr>
        <w:ind w:left="851"/>
      </w:pPr>
      <w:r>
        <w:t>Rita</w:t>
      </w:r>
      <w:r w:rsidR="00C01341">
        <w:t xml:space="preserve"> (name changed)</w:t>
      </w:r>
      <w:r>
        <w:t xml:space="preserve"> had been experiencing </w:t>
      </w:r>
      <w:r w:rsidR="00D26352">
        <w:t xml:space="preserve">family violence over a long period of </w:t>
      </w:r>
      <w:proofErr w:type="gramStart"/>
      <w:r w:rsidR="00D26352">
        <w:t>time</w:t>
      </w:r>
      <w:r w:rsidR="007C2446">
        <w:t>, and</w:t>
      </w:r>
      <w:proofErr w:type="gramEnd"/>
      <w:r w:rsidR="007C2446">
        <w:t xml:space="preserve"> left her abusive partner</w:t>
      </w:r>
      <w:r w:rsidR="000078E3">
        <w:t xml:space="preserve"> in 2019</w:t>
      </w:r>
      <w:r w:rsidR="00D26352">
        <w:t xml:space="preserve">. She </w:t>
      </w:r>
      <w:r w:rsidR="004B2D87">
        <w:t>had</w:t>
      </w:r>
      <w:r w:rsidR="00D26352">
        <w:t xml:space="preserve"> significant trouble </w:t>
      </w:r>
      <w:r w:rsidR="000078E3">
        <w:t xml:space="preserve">cancelling her contract with </w:t>
      </w:r>
      <w:r w:rsidR="00D26352">
        <w:t>her telco a</w:t>
      </w:r>
      <w:r w:rsidR="000078E3">
        <w:t xml:space="preserve">fter leaving the relationship. The </w:t>
      </w:r>
      <w:r w:rsidR="004B2D87">
        <w:t>telco</w:t>
      </w:r>
      <w:r w:rsidR="006B4AED">
        <w:t xml:space="preserve"> insisted on receiving</w:t>
      </w:r>
      <w:r w:rsidR="000078E3">
        <w:t xml:space="preserve"> </w:t>
      </w:r>
      <w:r w:rsidR="006B4AED">
        <w:t xml:space="preserve">her </w:t>
      </w:r>
      <w:r w:rsidR="007678DE">
        <w:t xml:space="preserve">undamaged </w:t>
      </w:r>
      <w:r w:rsidR="006B4AED">
        <w:t xml:space="preserve">handset </w:t>
      </w:r>
      <w:r w:rsidR="000078E3">
        <w:t xml:space="preserve">before </w:t>
      </w:r>
      <w:r w:rsidR="007678DE">
        <w:t xml:space="preserve">allowing the </w:t>
      </w:r>
      <w:r w:rsidR="000078E3">
        <w:t>cancell</w:t>
      </w:r>
      <w:r w:rsidR="007678DE">
        <w:t>ation</w:t>
      </w:r>
      <w:r w:rsidR="006B4AED">
        <w:t>,</w:t>
      </w:r>
      <w:r w:rsidR="000078E3">
        <w:t xml:space="preserve"> but the phone </w:t>
      </w:r>
      <w:r w:rsidR="007678DE">
        <w:t>had been</w:t>
      </w:r>
      <w:r w:rsidR="000078E3">
        <w:t xml:space="preserve"> </w:t>
      </w:r>
      <w:r w:rsidR="006B4AED">
        <w:t>damaged</w:t>
      </w:r>
      <w:r w:rsidR="00A41086">
        <w:t>. The telco wasn’t complying with its own family violence policy</w:t>
      </w:r>
      <w:r w:rsidR="006B4AED">
        <w:t xml:space="preserve">, so Rita went to see a community lawyer. </w:t>
      </w:r>
      <w:r w:rsidR="00A769F2">
        <w:t xml:space="preserve">After months of </w:t>
      </w:r>
      <w:r w:rsidR="00F304E0">
        <w:t>negotiating</w:t>
      </w:r>
      <w:r w:rsidR="00A769F2">
        <w:t>, t</w:t>
      </w:r>
      <w:r w:rsidR="006B4AED">
        <w:t xml:space="preserve">he community lawyer </w:t>
      </w:r>
      <w:proofErr w:type="gramStart"/>
      <w:r w:rsidR="006B4AED">
        <w:t>wasn’t able to</w:t>
      </w:r>
      <w:proofErr w:type="gramEnd"/>
      <w:r w:rsidR="006B4AED">
        <w:t xml:space="preserve"> resolve </w:t>
      </w:r>
      <w:r w:rsidR="00A769F2">
        <w:t xml:space="preserve">the issue with the telco, so together she and Rita went to the TIO. </w:t>
      </w:r>
      <w:r w:rsidR="00972EC6">
        <w:t>The TIO referred the issue back to the telco for resolution</w:t>
      </w:r>
      <w:r w:rsidR="0049463F">
        <w:t>. The telco offered a small amount of compensation, which</w:t>
      </w:r>
      <w:r w:rsidR="00766F4E">
        <w:t xml:space="preserve"> Rita wasn’t happy with, because the telco didn’t acknowledge the hurt and </w:t>
      </w:r>
      <w:r w:rsidR="00766F4E">
        <w:lastRenderedPageBreak/>
        <w:t>distressed caused</w:t>
      </w:r>
      <w:r w:rsidR="00972EC6">
        <w:t>.</w:t>
      </w:r>
      <w:r w:rsidR="000D7CAB">
        <w:t xml:space="preserve"> The community lawyer raised the issue again with the TIO, but without investigating or escalating the complaint, the TIO said that </w:t>
      </w:r>
      <w:r w:rsidR="00766F4E">
        <w:t xml:space="preserve">the ‘deal’ offered by the telco was better than any recommended outcome </w:t>
      </w:r>
      <w:r w:rsidR="001760F8">
        <w:t>it would order</w:t>
      </w:r>
      <w:r w:rsidR="00D80E8E">
        <w:t xml:space="preserve"> if it continued to handle the complaint</w:t>
      </w:r>
      <w:r w:rsidR="001760F8">
        <w:t xml:space="preserve">. </w:t>
      </w:r>
      <w:r w:rsidR="00AA7941">
        <w:t xml:space="preserve">Rita and her lawyer continued to deal directly with the telco without the TIO’s </w:t>
      </w:r>
      <w:r w:rsidR="00995144">
        <w:t xml:space="preserve">assistance, and eventually negotiated a better outcome. </w:t>
      </w:r>
    </w:p>
    <w:p w14:paraId="5F675485" w14:textId="77777777" w:rsidR="003D4DC9" w:rsidRDefault="009952C3" w:rsidP="008E4BF1">
      <w:r>
        <w:t xml:space="preserve">The TIO’s response to consumer vulnerability fundamentally impacts </w:t>
      </w:r>
      <w:r w:rsidR="00CB3D1B">
        <w:t xml:space="preserve">the accessibility of the scheme to consumers experiencing vulnerability. </w:t>
      </w:r>
      <w:r w:rsidR="00E923BE">
        <w:t>S</w:t>
      </w:r>
      <w:r w:rsidR="00B11CD1">
        <w:t xml:space="preserve">ome </w:t>
      </w:r>
      <w:r w:rsidR="00E923BE">
        <w:t xml:space="preserve">consumer advocates </w:t>
      </w:r>
      <w:r w:rsidR="00B11CD1">
        <w:t xml:space="preserve">report </w:t>
      </w:r>
      <w:r w:rsidR="00393DE7">
        <w:t xml:space="preserve">that they actively avoid going to the TIO, because </w:t>
      </w:r>
      <w:r w:rsidR="00430F65">
        <w:t xml:space="preserve">it is too difficult </w:t>
      </w:r>
      <w:r w:rsidR="00C01341">
        <w:t xml:space="preserve">to </w:t>
      </w:r>
      <w:r w:rsidR="00430F65">
        <w:t>resolv</w:t>
      </w:r>
      <w:r w:rsidR="00C01341">
        <w:t>e</w:t>
      </w:r>
      <w:r w:rsidR="00430F65">
        <w:t xml:space="preserve"> complex complaints for vulnerable consumers, and telcos’ internal dispute resolution (</w:t>
      </w:r>
      <w:r w:rsidR="00430F65" w:rsidRPr="00430F65">
        <w:rPr>
          <w:b/>
          <w:bCs/>
        </w:rPr>
        <w:t>IDR</w:t>
      </w:r>
      <w:r w:rsidR="00430F65">
        <w:t xml:space="preserve">) </w:t>
      </w:r>
      <w:r w:rsidR="00772F04">
        <w:t xml:space="preserve">teams </w:t>
      </w:r>
      <w:r w:rsidR="00430F65">
        <w:t>have a better</w:t>
      </w:r>
      <w:r w:rsidR="00346CAF">
        <w:t xml:space="preserve"> and fairer</w:t>
      </w:r>
      <w:r w:rsidR="00430F65">
        <w:t xml:space="preserve"> understanding of consumer </w:t>
      </w:r>
      <w:r w:rsidR="00E923BE">
        <w:t>vulnerability</w:t>
      </w:r>
      <w:r w:rsidR="000846C7">
        <w:t xml:space="preserve">. The TIO should continue to improve </w:t>
      </w:r>
      <w:r w:rsidR="00C01341">
        <w:t xml:space="preserve">staff </w:t>
      </w:r>
      <w:r w:rsidR="000846C7">
        <w:t>awareness and understanding of vulnerability</w:t>
      </w:r>
      <w:r w:rsidR="00DE5FFF">
        <w:t>, as well as improving quality systems and processes to ensure that vulnerability is identified, and barriers faced by people experiencing vulnerability are removed. It could do this by developing a comprehensive Vulnerability Strategy, which meets or exceeds the recently completed international standard on inclusive service delivery.</w:t>
      </w:r>
      <w:r w:rsidR="00DE5FFF">
        <w:rPr>
          <w:rStyle w:val="FootnoteReference"/>
        </w:rPr>
        <w:footnoteReference w:id="9"/>
      </w:r>
      <w:r w:rsidR="000846C7">
        <w:t xml:space="preserve"> </w:t>
      </w:r>
    </w:p>
    <w:p w14:paraId="1617584F" w14:textId="6BEC32D7" w:rsidR="000846C7" w:rsidRDefault="000846C7" w:rsidP="008E4BF1">
      <w:r>
        <w:t>Additionally, the TIO should regularly upskill its staff in First Nations cultural competency</w:t>
      </w:r>
      <w:r w:rsidR="00CF5FF3">
        <w:t xml:space="preserve"> and disability awareness</w:t>
      </w:r>
      <w:r>
        <w:t xml:space="preserve"> </w:t>
      </w:r>
      <w:proofErr w:type="gramStart"/>
      <w:r>
        <w:t>in order to</w:t>
      </w:r>
      <w:proofErr w:type="gramEnd"/>
      <w:r>
        <w:t xml:space="preserve"> have a better organisational and individual competence when assisting </w:t>
      </w:r>
      <w:r w:rsidR="00CF5FF3">
        <w:t>consumers</w:t>
      </w:r>
      <w:r>
        <w:t xml:space="preserve">. </w:t>
      </w:r>
    </w:p>
    <w:p w14:paraId="6786C93A" w14:textId="3D6C72F6" w:rsidR="002D1DED" w:rsidRDefault="002D1DED" w:rsidP="00CB3D1B">
      <w:pPr>
        <w:pStyle w:val="Recommendation"/>
      </w:pPr>
      <w:r>
        <w:t xml:space="preserve">The TIO should ensure its intake processes </w:t>
      </w:r>
      <w:r w:rsidR="00746885">
        <w:t xml:space="preserve">thoroughly assess the root cause of the complaint, to </w:t>
      </w:r>
      <w:r w:rsidR="00F319E7">
        <w:t>promote access to the scheme on an equitable basis.</w:t>
      </w:r>
    </w:p>
    <w:p w14:paraId="4C0CE754" w14:textId="232F2C09" w:rsidR="00CB3D1B" w:rsidRDefault="00CB3D1B" w:rsidP="00CB3D1B">
      <w:pPr>
        <w:pStyle w:val="Recommendation"/>
      </w:pPr>
      <w:r>
        <w:t xml:space="preserve">The TIO should </w:t>
      </w:r>
      <w:r w:rsidR="003160D9">
        <w:t>place greater emphasis on consumer vulnerability when dealing with individual consumer complaints</w:t>
      </w:r>
      <w:r w:rsidR="007952C8">
        <w:t xml:space="preserve"> </w:t>
      </w:r>
      <w:r w:rsidR="003160D9">
        <w:t>and assessing members’ actions</w:t>
      </w:r>
      <w:r w:rsidR="00232DA3">
        <w:t xml:space="preserve"> and develop a comprehensive Vulnerability Strateg</w:t>
      </w:r>
      <w:r w:rsidR="0068241F">
        <w:t>y</w:t>
      </w:r>
      <w:r w:rsidR="003160D9">
        <w:t>.</w:t>
      </w:r>
    </w:p>
    <w:p w14:paraId="04666D62" w14:textId="28050AD0" w:rsidR="008E4BF1" w:rsidRPr="002A0959" w:rsidRDefault="002A0959" w:rsidP="005C4EDF">
      <w:pPr>
        <w:pStyle w:val="Heading2"/>
      </w:pPr>
      <w:r w:rsidRPr="002A0959">
        <w:t xml:space="preserve">The TIO should reopen </w:t>
      </w:r>
      <w:r w:rsidR="001F3735">
        <w:t xml:space="preserve">and fast-track </w:t>
      </w:r>
      <w:r w:rsidRPr="002A0959">
        <w:t xml:space="preserve">complaints that aren’t </w:t>
      </w:r>
      <w:r w:rsidR="009A33EC">
        <w:t>fully</w:t>
      </w:r>
      <w:r w:rsidRPr="002A0959">
        <w:t xml:space="preserve"> resolved</w:t>
      </w:r>
    </w:p>
    <w:p w14:paraId="6B2ADEFC" w14:textId="16A8E6CD" w:rsidR="00E751E9" w:rsidRDefault="00E751E9" w:rsidP="008E4BF1">
      <w:r>
        <w:t xml:space="preserve">Given the complexity, potential recurrence, and network access problems that telecommunications issues often involve, consumers should be able to reopen </w:t>
      </w:r>
      <w:r w:rsidR="006E294B">
        <w:t>and fast-track</w:t>
      </w:r>
      <w:r>
        <w:t xml:space="preserve"> a TIO complaint for an issue that was thought to be </w:t>
      </w:r>
      <w:proofErr w:type="gramStart"/>
      <w:r>
        <w:t>resolved,</w:t>
      </w:r>
      <w:r w:rsidR="005E30D0">
        <w:t xml:space="preserve"> </w:t>
      </w:r>
      <w:r>
        <w:t>but</w:t>
      </w:r>
      <w:proofErr w:type="gramEnd"/>
      <w:r>
        <w:t xml:space="preserve"> </w:t>
      </w:r>
      <w:r w:rsidR="008F0EB4">
        <w:t>was</w:t>
      </w:r>
      <w:r>
        <w:t>n’t.</w:t>
      </w:r>
    </w:p>
    <w:p w14:paraId="63D7392A" w14:textId="76E14122" w:rsidR="00396717" w:rsidRDefault="00E751E9" w:rsidP="008E4BF1">
      <w:r>
        <w:t>However, t</w:t>
      </w:r>
      <w:r w:rsidR="008E4BF1">
        <w:t xml:space="preserve">he TIO does not reopen complaints unless the consumer can demonstrate ‘exceptional </w:t>
      </w:r>
      <w:proofErr w:type="gramStart"/>
      <w:r w:rsidR="008E4BF1">
        <w:t>circumstances’</w:t>
      </w:r>
      <w:proofErr w:type="gramEnd"/>
      <w:r w:rsidR="008E4BF1">
        <w:t>.</w:t>
      </w:r>
      <w:r w:rsidR="00902557">
        <w:rPr>
          <w:rStyle w:val="FootnoteReference"/>
        </w:rPr>
        <w:footnoteReference w:id="10"/>
      </w:r>
      <w:r w:rsidR="008E4BF1">
        <w:t xml:space="preserve"> This means that if a consumer’s complaint about an issue has been resolved at the TIO level, but the issue persists after the complaint is closed, the consumer </w:t>
      </w:r>
      <w:r w:rsidR="00165FE1">
        <w:t xml:space="preserve">generally </w:t>
      </w:r>
      <w:r w:rsidR="008E4BF1">
        <w:t>must open a new complaint and return to the beginning of the TIO complaints handling process. This allows the provider another 10 business days to resolve the complaint once it is referred to them.</w:t>
      </w:r>
      <w:r w:rsidR="00657BA5">
        <w:t xml:space="preserve"> </w:t>
      </w:r>
      <w:r w:rsidR="00A876C6">
        <w:t>We hear reports</w:t>
      </w:r>
      <w:r w:rsidR="00190640">
        <w:t xml:space="preserve"> of instances where</w:t>
      </w:r>
      <w:r w:rsidR="00A876C6">
        <w:t xml:space="preserve"> the TIO has refused to reopen a complaint when the conduct has reoccurred or the resolution has not been acted upon, nor has it allowed the consumer to make a </w:t>
      </w:r>
      <w:r w:rsidR="00A876C6">
        <w:lastRenderedPageBreak/>
        <w:t xml:space="preserve">new complaint about the </w:t>
      </w:r>
      <w:r w:rsidR="004F7ED7">
        <w:t xml:space="preserve">evolving </w:t>
      </w:r>
      <w:r w:rsidR="00A876C6">
        <w:t>situation. This is problematic as it leaves the consumer with no option to have the issue resolved.</w:t>
      </w:r>
    </w:p>
    <w:p w14:paraId="57794332" w14:textId="4AB37578" w:rsidR="00D27EA0" w:rsidRDefault="00146029" w:rsidP="008E4BF1">
      <w:r>
        <w:t xml:space="preserve">This is </w:t>
      </w:r>
      <w:r w:rsidR="006D460D">
        <w:t xml:space="preserve">of </w:t>
      </w:r>
      <w:r>
        <w:t xml:space="preserve">particular </w:t>
      </w:r>
      <w:r w:rsidR="00F968D6">
        <w:t>concern</w:t>
      </w:r>
      <w:r w:rsidR="000239FF">
        <w:t xml:space="preserve"> </w:t>
      </w:r>
      <w:r w:rsidR="006D460D">
        <w:t xml:space="preserve">as </w:t>
      </w:r>
      <w:r w:rsidR="001B50EB">
        <w:t>consumer advocates sometimes report</w:t>
      </w:r>
      <w:r w:rsidR="000239FF">
        <w:t>ing</w:t>
      </w:r>
      <w:r w:rsidR="001B50EB">
        <w:t xml:space="preserve"> that</w:t>
      </w:r>
      <w:r w:rsidR="006D460D">
        <w:t xml:space="preserve"> the</w:t>
      </w:r>
      <w:r w:rsidR="00977DE7">
        <w:t xml:space="preserve"> TIO will propose short-term solutions</w:t>
      </w:r>
      <w:r w:rsidR="00D70125">
        <w:t xml:space="preserve"> as an </w:t>
      </w:r>
      <w:proofErr w:type="gramStart"/>
      <w:r w:rsidR="00D70125">
        <w:t>early stage</w:t>
      </w:r>
      <w:proofErr w:type="gramEnd"/>
      <w:r w:rsidR="00D70125">
        <w:t xml:space="preserve"> resolution</w:t>
      </w:r>
      <w:r w:rsidR="00977DE7">
        <w:t xml:space="preserve"> rather than addressing the underlying cause </w:t>
      </w:r>
      <w:r w:rsidR="00624E3F">
        <w:t xml:space="preserve">of </w:t>
      </w:r>
      <w:r w:rsidR="00977DE7">
        <w:t xml:space="preserve">a complaint – for example, </w:t>
      </w:r>
      <w:r w:rsidR="00396717">
        <w:t>recommending that</w:t>
      </w:r>
      <w:r w:rsidR="00977DE7">
        <w:t xml:space="preserve"> a provider </w:t>
      </w:r>
      <w:r w:rsidR="00396717">
        <w:t>credit the consumer’s account, rather than thoroughly investigate the issue.</w:t>
      </w:r>
      <w:r w:rsidR="008E4BF1">
        <w:t xml:space="preserve"> </w:t>
      </w:r>
    </w:p>
    <w:p w14:paraId="08C43604" w14:textId="5A6EA81F" w:rsidR="00D27EA0" w:rsidRDefault="00D27EA0" w:rsidP="008E4BF1">
      <w:r>
        <w:t xml:space="preserve">Some consumer advocates indicate that the TIO has refused to reopen a complaint when the conduct has </w:t>
      </w:r>
      <w:proofErr w:type="gramStart"/>
      <w:r>
        <w:t>re</w:t>
      </w:r>
      <w:r w:rsidR="00890CD1">
        <w:t>curred</w:t>
      </w:r>
      <w:proofErr w:type="gramEnd"/>
      <w:r w:rsidR="00890CD1">
        <w:t xml:space="preserve"> </w:t>
      </w:r>
      <w:r>
        <w:t xml:space="preserve">or the </w:t>
      </w:r>
      <w:r w:rsidR="005F68DC">
        <w:t>‘</w:t>
      </w:r>
      <w:r>
        <w:t xml:space="preserve">resolution’ has not </w:t>
      </w:r>
      <w:r w:rsidR="009225BB">
        <w:t xml:space="preserve">been </w:t>
      </w:r>
      <w:r>
        <w:t xml:space="preserve">actioned by the TIO member. </w:t>
      </w:r>
      <w:r w:rsidR="00434BFD">
        <w:t>C</w:t>
      </w:r>
      <w:r>
        <w:t xml:space="preserve">onsumer advocates have also reported </w:t>
      </w:r>
      <w:r w:rsidR="00434BFD">
        <w:t>circumstances where</w:t>
      </w:r>
      <w:r>
        <w:t xml:space="preserve"> the TIO has refused to allow the consumers to make a new complaint about the </w:t>
      </w:r>
      <w:r w:rsidR="00434BFD">
        <w:t>evolving</w:t>
      </w:r>
      <w:r>
        <w:t xml:space="preserve"> situation. This is problematic as it leaves the consumer with no option to have the issue resolved.</w:t>
      </w:r>
    </w:p>
    <w:p w14:paraId="3E6AB1A4" w14:textId="4A7DB7FE" w:rsidR="00343D9E" w:rsidRDefault="008E4BF1" w:rsidP="008E4BF1">
      <w:r>
        <w:t xml:space="preserve">We urge the TIO to introduce the ability to reopen </w:t>
      </w:r>
      <w:r w:rsidR="00BE7763">
        <w:t>and fast-track</w:t>
      </w:r>
      <w:r>
        <w:t xml:space="preserve"> </w:t>
      </w:r>
      <w:r w:rsidR="00D056AB">
        <w:t xml:space="preserve">complaints where a consumer indicates an issue is not truly resolved, where a resolution has not been honoured by the TIO member, and where </w:t>
      </w:r>
      <w:r>
        <w:t xml:space="preserve">an issue has recurred within </w:t>
      </w:r>
      <w:r w:rsidR="00190640">
        <w:t xml:space="preserve">at least </w:t>
      </w:r>
      <w:r>
        <w:t xml:space="preserve">6 months of the complaint closing. </w:t>
      </w:r>
    </w:p>
    <w:p w14:paraId="772C06C9" w14:textId="051D0046" w:rsidR="008E4BF1" w:rsidRPr="008E4BF1" w:rsidRDefault="008E4BF1" w:rsidP="00165FE1">
      <w:pPr>
        <w:pStyle w:val="Recommendation"/>
      </w:pPr>
      <w:r>
        <w:t xml:space="preserve"> </w:t>
      </w:r>
      <w:r w:rsidR="00502A8C">
        <w:t>The TIO should allow consumers to reopen</w:t>
      </w:r>
      <w:r w:rsidR="00BE7763">
        <w:t>,</w:t>
      </w:r>
      <w:r w:rsidR="009715C3">
        <w:t xml:space="preserve"> </w:t>
      </w:r>
      <w:r w:rsidR="00502A8C">
        <w:t xml:space="preserve">re-raise </w:t>
      </w:r>
      <w:r w:rsidR="00BE7763">
        <w:t>and fast-track</w:t>
      </w:r>
      <w:r w:rsidR="00502A8C">
        <w:t xml:space="preserve"> complaints w</w:t>
      </w:r>
      <w:r w:rsidR="00817A46">
        <w:t>h</w:t>
      </w:r>
      <w:r w:rsidR="00502A8C">
        <w:t>ere</w:t>
      </w:r>
      <w:r w:rsidR="00817A46">
        <w:t xml:space="preserve"> the issue </w:t>
      </w:r>
      <w:r w:rsidR="00190640">
        <w:t xml:space="preserve">is recurring or </w:t>
      </w:r>
      <w:r w:rsidR="00817A46">
        <w:t xml:space="preserve">has not been resolved in totality. </w:t>
      </w:r>
      <w:r w:rsidR="00502A8C">
        <w:t xml:space="preserve"> </w:t>
      </w:r>
    </w:p>
    <w:p w14:paraId="03DF4513" w14:textId="0E03C631" w:rsidR="00503090" w:rsidRDefault="00503090" w:rsidP="005C4EDF">
      <w:pPr>
        <w:pStyle w:val="Heading2"/>
        <w:rPr>
          <w:lang w:val="en-US" w:eastAsia="en-US"/>
        </w:rPr>
      </w:pPr>
      <w:r w:rsidRPr="00503090">
        <w:rPr>
          <w:lang w:val="en-US" w:eastAsia="en-US"/>
        </w:rPr>
        <w:t xml:space="preserve">The TIO </w:t>
      </w:r>
      <w:r w:rsidR="00624E3F">
        <w:rPr>
          <w:lang w:val="en-US" w:eastAsia="en-US"/>
        </w:rPr>
        <w:t>sh</w:t>
      </w:r>
      <w:r w:rsidRPr="00503090">
        <w:rPr>
          <w:lang w:val="en-US" w:eastAsia="en-US"/>
        </w:rPr>
        <w:t>ould expan</w:t>
      </w:r>
      <w:r>
        <w:rPr>
          <w:lang w:val="en-US" w:eastAsia="en-US"/>
        </w:rPr>
        <w:t>d</w:t>
      </w:r>
      <w:r w:rsidRPr="00503090">
        <w:rPr>
          <w:lang w:val="en-US" w:eastAsia="en-US"/>
        </w:rPr>
        <w:t xml:space="preserve"> its</w:t>
      </w:r>
      <w:r w:rsidR="000F6069">
        <w:rPr>
          <w:lang w:val="en-US" w:eastAsia="en-US"/>
        </w:rPr>
        <w:t xml:space="preserve"> complaint</w:t>
      </w:r>
      <w:r w:rsidRPr="00503090">
        <w:rPr>
          <w:lang w:val="en-US" w:eastAsia="en-US"/>
        </w:rPr>
        <w:t xml:space="preserve"> intake </w:t>
      </w:r>
      <w:r w:rsidR="007A7499">
        <w:rPr>
          <w:lang w:val="en-US" w:eastAsia="en-US"/>
        </w:rPr>
        <w:t>methods</w:t>
      </w:r>
    </w:p>
    <w:p w14:paraId="484E9C99" w14:textId="0C440FE9" w:rsidR="00636F50" w:rsidRDefault="00C82550" w:rsidP="004408EB">
      <w:pPr>
        <w:rPr>
          <w:lang w:val="en-US" w:eastAsia="en-US"/>
        </w:rPr>
      </w:pPr>
      <w:r>
        <w:rPr>
          <w:lang w:val="en-US" w:eastAsia="en-US"/>
        </w:rPr>
        <w:t>Consumers can make a complaint to and communicat</w:t>
      </w:r>
      <w:r w:rsidR="00D6525D">
        <w:rPr>
          <w:lang w:val="en-US" w:eastAsia="en-US"/>
        </w:rPr>
        <w:t>e</w:t>
      </w:r>
      <w:r>
        <w:rPr>
          <w:lang w:val="en-US" w:eastAsia="en-US"/>
        </w:rPr>
        <w:t xml:space="preserve"> with the TIO via two </w:t>
      </w:r>
      <w:r w:rsidR="00362968">
        <w:rPr>
          <w:lang w:val="en-US" w:eastAsia="en-US"/>
        </w:rPr>
        <w:t xml:space="preserve">main </w:t>
      </w:r>
      <w:r>
        <w:rPr>
          <w:lang w:val="en-US" w:eastAsia="en-US"/>
        </w:rPr>
        <w:t>channels: over the phone and via email.</w:t>
      </w:r>
      <w:r>
        <w:rPr>
          <w:rStyle w:val="FootnoteReference"/>
          <w:lang w:val="en-US" w:eastAsia="en-US"/>
        </w:rPr>
        <w:footnoteReference w:id="11"/>
      </w:r>
      <w:r w:rsidR="00D6525D">
        <w:rPr>
          <w:lang w:val="en-US" w:eastAsia="en-US"/>
        </w:rPr>
        <w:t xml:space="preserve"> </w:t>
      </w:r>
      <w:r w:rsidR="000F6069">
        <w:rPr>
          <w:lang w:val="en-US" w:eastAsia="en-US"/>
        </w:rPr>
        <w:t xml:space="preserve">There is an opportunity for the TIO to </w:t>
      </w:r>
      <w:proofErr w:type="spellStart"/>
      <w:r w:rsidR="003218FC">
        <w:rPr>
          <w:lang w:val="en-US" w:eastAsia="en-US"/>
        </w:rPr>
        <w:t>modernise</w:t>
      </w:r>
      <w:proofErr w:type="spellEnd"/>
      <w:r w:rsidR="003218FC">
        <w:rPr>
          <w:lang w:val="en-US" w:eastAsia="en-US"/>
        </w:rPr>
        <w:t xml:space="preserve"> </w:t>
      </w:r>
      <w:r w:rsidR="0057261C">
        <w:rPr>
          <w:lang w:val="en-US" w:eastAsia="en-US"/>
        </w:rPr>
        <w:t>further</w:t>
      </w:r>
      <w:r w:rsidR="00382ABC">
        <w:rPr>
          <w:lang w:val="en-US" w:eastAsia="en-US"/>
        </w:rPr>
        <w:t xml:space="preserve"> and ex</w:t>
      </w:r>
      <w:r w:rsidR="00636F50">
        <w:rPr>
          <w:lang w:val="en-US" w:eastAsia="en-US"/>
        </w:rPr>
        <w:t>p</w:t>
      </w:r>
      <w:r w:rsidR="00382ABC">
        <w:rPr>
          <w:lang w:val="en-US" w:eastAsia="en-US"/>
        </w:rPr>
        <w:t>and how it accepts complaints</w:t>
      </w:r>
      <w:r w:rsidR="0057261C">
        <w:rPr>
          <w:lang w:val="en-US" w:eastAsia="en-US"/>
        </w:rPr>
        <w:t>. F</w:t>
      </w:r>
      <w:r w:rsidR="00070092">
        <w:rPr>
          <w:lang w:val="en-US" w:eastAsia="en-US"/>
        </w:rPr>
        <w:t>or example,</w:t>
      </w:r>
      <w:r w:rsidR="0057261C">
        <w:rPr>
          <w:lang w:val="en-US" w:eastAsia="en-US"/>
        </w:rPr>
        <w:t xml:space="preserve"> the TIO could</w:t>
      </w:r>
      <w:r w:rsidR="00CA0091">
        <w:rPr>
          <w:lang w:val="en-US" w:eastAsia="en-US"/>
        </w:rPr>
        <w:t xml:space="preserve"> work to establish</w:t>
      </w:r>
      <w:r w:rsidR="005C6BE2">
        <w:rPr>
          <w:lang w:val="en-US" w:eastAsia="en-US"/>
        </w:rPr>
        <w:t xml:space="preserve"> a</w:t>
      </w:r>
      <w:r w:rsidR="00CA0091">
        <w:rPr>
          <w:lang w:val="en-US" w:eastAsia="en-US"/>
        </w:rPr>
        <w:t xml:space="preserve"> </w:t>
      </w:r>
      <w:r w:rsidR="00037D0A">
        <w:rPr>
          <w:lang w:val="en-US" w:eastAsia="en-US"/>
        </w:rPr>
        <w:t>mechanism</w:t>
      </w:r>
      <w:r w:rsidR="005C6BE2">
        <w:rPr>
          <w:lang w:val="en-US" w:eastAsia="en-US"/>
        </w:rPr>
        <w:t xml:space="preserve"> </w:t>
      </w:r>
      <w:r w:rsidR="00037D0A">
        <w:rPr>
          <w:lang w:val="en-US" w:eastAsia="en-US"/>
        </w:rPr>
        <w:t xml:space="preserve">to accept </w:t>
      </w:r>
      <w:r w:rsidR="00CA0091">
        <w:rPr>
          <w:lang w:val="en-US" w:eastAsia="en-US"/>
        </w:rPr>
        <w:t>complaints</w:t>
      </w:r>
      <w:r w:rsidR="00070092">
        <w:rPr>
          <w:lang w:val="en-US" w:eastAsia="en-US"/>
        </w:rPr>
        <w:t xml:space="preserve"> via SMS</w:t>
      </w:r>
      <w:r w:rsidR="00A218FC">
        <w:rPr>
          <w:lang w:val="en-US" w:eastAsia="en-US"/>
        </w:rPr>
        <w:t>,</w:t>
      </w:r>
      <w:r w:rsidR="00070092">
        <w:rPr>
          <w:lang w:val="en-US" w:eastAsia="en-US"/>
        </w:rPr>
        <w:t xml:space="preserve"> smartphone app</w:t>
      </w:r>
      <w:r w:rsidR="00232DA3">
        <w:rPr>
          <w:lang w:val="en-US" w:eastAsia="en-US"/>
        </w:rPr>
        <w:t xml:space="preserve"> or chat function</w:t>
      </w:r>
      <w:r w:rsidR="00070092">
        <w:rPr>
          <w:lang w:val="en-US" w:eastAsia="en-US"/>
        </w:rPr>
        <w:t>.</w:t>
      </w:r>
      <w:r w:rsidR="007B0475">
        <w:rPr>
          <w:lang w:val="en-US" w:eastAsia="en-US"/>
        </w:rPr>
        <w:t xml:space="preserve"> Consumers making complaints</w:t>
      </w:r>
      <w:r w:rsidR="006E02E6">
        <w:rPr>
          <w:lang w:val="en-US" w:eastAsia="en-US"/>
        </w:rPr>
        <w:t xml:space="preserve"> to the TIO</w:t>
      </w:r>
      <w:r w:rsidR="007B0475">
        <w:rPr>
          <w:lang w:val="en-US" w:eastAsia="en-US"/>
        </w:rPr>
        <w:t xml:space="preserve"> have </w:t>
      </w:r>
      <w:r w:rsidR="006E02E6">
        <w:rPr>
          <w:lang w:val="en-US" w:eastAsia="en-US"/>
        </w:rPr>
        <w:t>a variety of different</w:t>
      </w:r>
      <w:r w:rsidR="007B0475">
        <w:rPr>
          <w:lang w:val="en-US" w:eastAsia="en-US"/>
        </w:rPr>
        <w:t xml:space="preserve"> communications needs, preferences</w:t>
      </w:r>
      <w:r w:rsidR="00D91362">
        <w:rPr>
          <w:lang w:val="en-US" w:eastAsia="en-US"/>
        </w:rPr>
        <w:t>,</w:t>
      </w:r>
      <w:r w:rsidR="007B0475">
        <w:rPr>
          <w:lang w:val="en-US" w:eastAsia="en-US"/>
        </w:rPr>
        <w:t xml:space="preserve"> and availabilit</w:t>
      </w:r>
      <w:r w:rsidR="006E02E6">
        <w:rPr>
          <w:lang w:val="en-US" w:eastAsia="en-US"/>
        </w:rPr>
        <w:t>ies.</w:t>
      </w:r>
      <w:r w:rsidR="00070092">
        <w:rPr>
          <w:lang w:val="en-US" w:eastAsia="en-US"/>
        </w:rPr>
        <w:t xml:space="preserve"> </w:t>
      </w:r>
      <w:r w:rsidR="00C02735">
        <w:rPr>
          <w:lang w:val="en-US" w:eastAsia="en-US"/>
        </w:rPr>
        <w:t xml:space="preserve">For example, chat functions can be safer for family violence victim survivors. </w:t>
      </w:r>
      <w:r w:rsidR="007B0475">
        <w:rPr>
          <w:lang w:val="en-US" w:eastAsia="en-US"/>
        </w:rPr>
        <w:t>Introducing a broad range</w:t>
      </w:r>
      <w:r w:rsidR="006E02E6">
        <w:rPr>
          <w:lang w:val="en-US" w:eastAsia="en-US"/>
        </w:rPr>
        <w:t xml:space="preserve"> of communication channels</w:t>
      </w:r>
      <w:r w:rsidR="007B0475">
        <w:rPr>
          <w:lang w:val="en-US" w:eastAsia="en-US"/>
        </w:rPr>
        <w:t xml:space="preserve"> </w:t>
      </w:r>
      <w:r w:rsidR="003A2B4B">
        <w:rPr>
          <w:lang w:val="en-US" w:eastAsia="en-US"/>
        </w:rPr>
        <w:t xml:space="preserve">(while maintaining traditional methods) </w:t>
      </w:r>
      <w:r w:rsidR="00032308">
        <w:rPr>
          <w:lang w:val="en-US" w:eastAsia="en-US"/>
        </w:rPr>
        <w:t>will mean the scheme is more accessible</w:t>
      </w:r>
      <w:r w:rsidR="006E02E6">
        <w:rPr>
          <w:lang w:val="en-US" w:eastAsia="en-US"/>
        </w:rPr>
        <w:t xml:space="preserve"> to a greater number of people, particularly those who prefer or require mobile</w:t>
      </w:r>
      <w:r w:rsidR="00032308">
        <w:rPr>
          <w:lang w:val="en-US" w:eastAsia="en-US"/>
        </w:rPr>
        <w:t>, digital-only</w:t>
      </w:r>
      <w:r w:rsidR="006E02E6">
        <w:rPr>
          <w:lang w:val="en-US" w:eastAsia="en-US"/>
        </w:rPr>
        <w:t xml:space="preserve"> </w:t>
      </w:r>
      <w:r w:rsidR="00032308">
        <w:rPr>
          <w:lang w:val="en-US" w:eastAsia="en-US"/>
        </w:rPr>
        <w:t xml:space="preserve">communication alternatives. </w:t>
      </w:r>
      <w:r w:rsidR="007B0475">
        <w:rPr>
          <w:lang w:val="en-US" w:eastAsia="en-US"/>
        </w:rPr>
        <w:t xml:space="preserve"> </w:t>
      </w:r>
    </w:p>
    <w:p w14:paraId="13D3411E" w14:textId="3B0BD8D4" w:rsidR="00464582" w:rsidRPr="00503090" w:rsidRDefault="00464582" w:rsidP="00464582">
      <w:pPr>
        <w:rPr>
          <w:lang w:val="en-US" w:eastAsia="en-US"/>
        </w:rPr>
      </w:pPr>
      <w:r>
        <w:rPr>
          <w:lang w:val="en-US" w:eastAsia="en-US"/>
        </w:rPr>
        <w:t>Other EDR schemes are moving to introduce digital portals, where complainants can access all relevant information and documentation about their complaint in a secure environment as well as see the progress of their complaint without having to speak with anyone. While not all consumers can use such tools, these innovations are important accessib</w:t>
      </w:r>
      <w:r w:rsidR="00EF11C2">
        <w:rPr>
          <w:lang w:val="en-US" w:eastAsia="en-US"/>
        </w:rPr>
        <w:t>i</w:t>
      </w:r>
      <w:r>
        <w:rPr>
          <w:lang w:val="en-US" w:eastAsia="en-US"/>
        </w:rPr>
        <w:t xml:space="preserve">lity and efficiency initiatives which should, if implemented effectively, free up staff resources to spend more time supporting complainants who face barriers to accessing or engaging with </w:t>
      </w:r>
      <w:r w:rsidR="00E01AA0">
        <w:rPr>
          <w:lang w:val="en-US" w:eastAsia="en-US"/>
        </w:rPr>
        <w:t>schemes</w:t>
      </w:r>
      <w:r>
        <w:rPr>
          <w:lang w:val="en-US" w:eastAsia="en-US"/>
        </w:rPr>
        <w:t xml:space="preserve"> like the TIO. We recommend the TIO investigate and implement a digital portal, perhaps building on the work of other EDR schemes.</w:t>
      </w:r>
    </w:p>
    <w:p w14:paraId="22A57029" w14:textId="77777777" w:rsidR="00464582" w:rsidRPr="00503090" w:rsidRDefault="00464582" w:rsidP="004408EB">
      <w:pPr>
        <w:rPr>
          <w:lang w:val="en-US" w:eastAsia="en-US"/>
        </w:rPr>
      </w:pPr>
    </w:p>
    <w:p w14:paraId="4DD474FA" w14:textId="3A26F705" w:rsidR="00353C9D" w:rsidRDefault="00CA364B" w:rsidP="00CE4901">
      <w:pPr>
        <w:pStyle w:val="Heading1"/>
        <w:rPr>
          <w:lang w:val="en-US" w:eastAsia="en-US"/>
        </w:rPr>
      </w:pPr>
      <w:bookmarkStart w:id="9" w:name="_Toc103609598"/>
      <w:r w:rsidRPr="00CE4901">
        <w:rPr>
          <w:lang w:val="en-US" w:eastAsia="en-US"/>
        </w:rPr>
        <w:t>Industry Benchmark 2: Independence</w:t>
      </w:r>
      <w:bookmarkEnd w:id="9"/>
    </w:p>
    <w:p w14:paraId="5DE276EE" w14:textId="6D9CAE52" w:rsidR="00D068B7" w:rsidRPr="00517A20" w:rsidRDefault="00517A20" w:rsidP="005C4EDF">
      <w:pPr>
        <w:pStyle w:val="Heading2"/>
        <w:rPr>
          <w:lang w:val="en-US" w:eastAsia="en-US"/>
        </w:rPr>
      </w:pPr>
      <w:r w:rsidRPr="00517A20">
        <w:rPr>
          <w:lang w:val="en-US" w:eastAsia="en-US"/>
        </w:rPr>
        <w:t>Public commentary on declining complaints</w:t>
      </w:r>
    </w:p>
    <w:p w14:paraId="25491C07" w14:textId="70337E58" w:rsidR="00902557" w:rsidRPr="00902557" w:rsidRDefault="00902557" w:rsidP="00902557">
      <w:pPr>
        <w:rPr>
          <w:lang w:val="en-US" w:eastAsia="en-US"/>
        </w:rPr>
      </w:pPr>
      <w:proofErr w:type="gramStart"/>
      <w:r w:rsidRPr="00902557">
        <w:rPr>
          <w:lang w:val="en-US" w:eastAsia="en-US"/>
        </w:rPr>
        <w:t>Generally speaking, the</w:t>
      </w:r>
      <w:proofErr w:type="gramEnd"/>
      <w:r w:rsidRPr="00902557">
        <w:rPr>
          <w:lang w:val="en-US" w:eastAsia="en-US"/>
        </w:rPr>
        <w:t xml:space="preserve"> TIO is a trusted and independent dispute resolution service. We support its role in handling phone and internet complaints. However, at times, the TIO’s public communications suggest that periodic decreases in complaints numbers can be directly attributed to improvements in TIO member activities.</w:t>
      </w:r>
      <w:r w:rsidR="00A316FF">
        <w:rPr>
          <w:rStyle w:val="FootnoteReference"/>
          <w:lang w:val="en-US" w:eastAsia="en-US"/>
        </w:rPr>
        <w:footnoteReference w:id="12"/>
      </w:r>
      <w:r w:rsidRPr="00902557">
        <w:rPr>
          <w:lang w:val="en-US" w:eastAsia="en-US"/>
        </w:rPr>
        <w:t xml:space="preserve"> We suggest that drops in </w:t>
      </w:r>
      <w:r w:rsidR="00641DD0">
        <w:rPr>
          <w:lang w:val="en-US" w:eastAsia="en-US"/>
        </w:rPr>
        <w:t xml:space="preserve">TIO </w:t>
      </w:r>
      <w:r w:rsidRPr="00902557">
        <w:rPr>
          <w:lang w:val="en-US" w:eastAsia="en-US"/>
        </w:rPr>
        <w:t xml:space="preserve">complaints can be attributed to </w:t>
      </w:r>
      <w:proofErr w:type="gramStart"/>
      <w:r w:rsidRPr="00902557">
        <w:rPr>
          <w:lang w:val="en-US" w:eastAsia="en-US"/>
        </w:rPr>
        <w:t>a number of</w:t>
      </w:r>
      <w:proofErr w:type="gramEnd"/>
      <w:r w:rsidRPr="00902557">
        <w:rPr>
          <w:lang w:val="en-US" w:eastAsia="en-US"/>
        </w:rPr>
        <w:t xml:space="preserve"> factors including:  </w:t>
      </w:r>
    </w:p>
    <w:p w14:paraId="201A90E9" w14:textId="472FA03A" w:rsidR="00902557" w:rsidRPr="00902557" w:rsidRDefault="00902557" w:rsidP="00902557">
      <w:pPr>
        <w:pStyle w:val="ListParagraph"/>
        <w:numPr>
          <w:ilvl w:val="0"/>
          <w:numId w:val="33"/>
        </w:numPr>
        <w:rPr>
          <w:lang w:val="en-US" w:eastAsia="en-US"/>
        </w:rPr>
      </w:pPr>
      <w:r w:rsidRPr="00902557">
        <w:rPr>
          <w:lang w:val="en-US" w:eastAsia="en-US"/>
        </w:rPr>
        <w:t>The introduction of new phone and internet rules by the Australian Communications and Media Authority</w:t>
      </w:r>
      <w:r>
        <w:rPr>
          <w:lang w:val="en-US" w:eastAsia="en-US"/>
        </w:rPr>
        <w:t xml:space="preserve"> (</w:t>
      </w:r>
      <w:r w:rsidRPr="00902557">
        <w:rPr>
          <w:b/>
          <w:bCs/>
          <w:lang w:val="en-US" w:eastAsia="en-US"/>
        </w:rPr>
        <w:t>ACMA</w:t>
      </w:r>
      <w:proofErr w:type="gramStart"/>
      <w:r>
        <w:rPr>
          <w:lang w:val="en-US" w:eastAsia="en-US"/>
        </w:rPr>
        <w:t>)</w:t>
      </w:r>
      <w:r w:rsidRPr="00902557">
        <w:rPr>
          <w:lang w:val="en-US" w:eastAsia="en-US"/>
        </w:rPr>
        <w:t>;</w:t>
      </w:r>
      <w:proofErr w:type="gramEnd"/>
      <w:r w:rsidRPr="00902557">
        <w:rPr>
          <w:lang w:val="en-US" w:eastAsia="en-US"/>
        </w:rPr>
        <w:t xml:space="preserve"> </w:t>
      </w:r>
    </w:p>
    <w:p w14:paraId="4F6A0803" w14:textId="5B1675F0" w:rsidR="00902557" w:rsidRPr="00902557" w:rsidRDefault="00902557" w:rsidP="00902557">
      <w:pPr>
        <w:pStyle w:val="ListParagraph"/>
        <w:numPr>
          <w:ilvl w:val="0"/>
          <w:numId w:val="33"/>
        </w:numPr>
        <w:rPr>
          <w:lang w:val="en-US" w:eastAsia="en-US"/>
        </w:rPr>
      </w:pPr>
      <w:r w:rsidRPr="00902557">
        <w:rPr>
          <w:lang w:val="en-US" w:eastAsia="en-US"/>
        </w:rPr>
        <w:t xml:space="preserve">Consumers lacking awareness about the TIO and its </w:t>
      </w:r>
      <w:proofErr w:type="gramStart"/>
      <w:r w:rsidRPr="00902557">
        <w:rPr>
          <w:lang w:val="en-US" w:eastAsia="en-US"/>
        </w:rPr>
        <w:t>functions;</w:t>
      </w:r>
      <w:proofErr w:type="gramEnd"/>
      <w:r w:rsidRPr="00902557">
        <w:rPr>
          <w:lang w:val="en-US" w:eastAsia="en-US"/>
        </w:rPr>
        <w:t xml:space="preserve">  </w:t>
      </w:r>
    </w:p>
    <w:p w14:paraId="0450BB6F" w14:textId="41E31B23" w:rsidR="00D068B7" w:rsidRDefault="00902557" w:rsidP="00D068B7">
      <w:pPr>
        <w:pStyle w:val="ListParagraph"/>
        <w:numPr>
          <w:ilvl w:val="0"/>
          <w:numId w:val="33"/>
        </w:numPr>
        <w:rPr>
          <w:lang w:val="en-US" w:eastAsia="en-US"/>
        </w:rPr>
      </w:pPr>
      <w:r w:rsidRPr="00902557">
        <w:rPr>
          <w:lang w:val="en-US" w:eastAsia="en-US"/>
        </w:rPr>
        <w:t xml:space="preserve">The near-completed NBN rollout reducing </w:t>
      </w:r>
      <w:r w:rsidR="00D056AB">
        <w:rPr>
          <w:lang w:val="en-US" w:eastAsia="en-US"/>
        </w:rPr>
        <w:t>NBN</w:t>
      </w:r>
      <w:r w:rsidRPr="00902557">
        <w:rPr>
          <w:lang w:val="en-US" w:eastAsia="en-US"/>
        </w:rPr>
        <w:t xml:space="preserve"> installation complaints; </w:t>
      </w:r>
      <w:r w:rsidRPr="00D068B7">
        <w:rPr>
          <w:lang w:val="en-US" w:eastAsia="en-US"/>
        </w:rPr>
        <w:t>and</w:t>
      </w:r>
    </w:p>
    <w:p w14:paraId="060CA812" w14:textId="707858F4" w:rsidR="00902557" w:rsidRPr="00D068B7" w:rsidRDefault="00902557" w:rsidP="00D068B7">
      <w:pPr>
        <w:pStyle w:val="ListParagraph"/>
        <w:numPr>
          <w:ilvl w:val="0"/>
          <w:numId w:val="33"/>
        </w:numPr>
        <w:rPr>
          <w:lang w:val="en-US" w:eastAsia="en-US"/>
        </w:rPr>
      </w:pPr>
      <w:r w:rsidRPr="00D068B7">
        <w:rPr>
          <w:lang w:val="en-US" w:eastAsia="en-US"/>
        </w:rPr>
        <w:t xml:space="preserve">TIO members failing to treat consumer issues as </w:t>
      </w:r>
      <w:proofErr w:type="gramStart"/>
      <w:r w:rsidRPr="00D068B7">
        <w:rPr>
          <w:lang w:val="en-US" w:eastAsia="en-US"/>
        </w:rPr>
        <w:t>complaints, or</w:t>
      </w:r>
      <w:proofErr w:type="gramEnd"/>
      <w:r w:rsidR="00471A1A">
        <w:rPr>
          <w:lang w:val="en-US" w:eastAsia="en-US"/>
        </w:rPr>
        <w:t xml:space="preserve"> failing to</w:t>
      </w:r>
      <w:r w:rsidRPr="00D068B7">
        <w:rPr>
          <w:lang w:val="en-US" w:eastAsia="en-US"/>
        </w:rPr>
        <w:t xml:space="preserve"> inform consumers they are able to go to the TIO about their issue.</w:t>
      </w:r>
      <w:r w:rsidR="00A316FF">
        <w:rPr>
          <w:rStyle w:val="FootnoteReference"/>
          <w:lang w:val="en-US" w:eastAsia="en-US"/>
        </w:rPr>
        <w:footnoteReference w:id="13"/>
      </w:r>
    </w:p>
    <w:p w14:paraId="26FCA57F" w14:textId="67D4EA15" w:rsidR="00902557" w:rsidRDefault="00902557" w:rsidP="00D068B7">
      <w:pPr>
        <w:rPr>
          <w:lang w:val="en-US" w:eastAsia="en-US"/>
        </w:rPr>
      </w:pPr>
      <w:r w:rsidRPr="00D068B7">
        <w:rPr>
          <w:lang w:val="en-US" w:eastAsia="en-US"/>
        </w:rPr>
        <w:t xml:space="preserve">Without concrete evidence, dropping complaints numbers should not be solely attributed to broad improvements in industry practices.  </w:t>
      </w:r>
      <w:r w:rsidR="0024443C">
        <w:rPr>
          <w:lang w:val="en-US" w:eastAsia="en-US"/>
        </w:rPr>
        <w:t>Moreover, compared to other industries, it appears that telco complaints remain high which is a cause for concern.</w:t>
      </w:r>
    </w:p>
    <w:p w14:paraId="5A4853C4" w14:textId="77777777" w:rsidR="00CE4901" w:rsidRDefault="00CE4901" w:rsidP="00CE4901">
      <w:pPr>
        <w:pStyle w:val="Heading1"/>
      </w:pPr>
      <w:bookmarkStart w:id="10" w:name="_Toc103609599"/>
      <w:r w:rsidRPr="00CE4901">
        <w:t>Industry Benchmark 3: Fairness</w:t>
      </w:r>
      <w:bookmarkEnd w:id="10"/>
    </w:p>
    <w:p w14:paraId="51021F2C" w14:textId="5F2C386F" w:rsidR="001F62FB" w:rsidRPr="001F62FB" w:rsidRDefault="001F62FB" w:rsidP="005C4EDF">
      <w:pPr>
        <w:pStyle w:val="Heading2"/>
        <w:rPr>
          <w:sz w:val="22"/>
          <w:szCs w:val="22"/>
        </w:rPr>
      </w:pPr>
      <w:r w:rsidRPr="001F62FB">
        <w:t>Fairness</w:t>
      </w:r>
      <w:r w:rsidR="00C604CE" w:rsidRPr="00C604CE">
        <w:t xml:space="preserve"> </w:t>
      </w:r>
      <w:r w:rsidR="00C604CE">
        <w:t>needs to be articulated and measured</w:t>
      </w:r>
    </w:p>
    <w:p w14:paraId="40BB7054" w14:textId="77777777" w:rsidR="00C604CE" w:rsidRDefault="001F62FB" w:rsidP="001F62FB">
      <w:r w:rsidRPr="001F62FB">
        <w:t xml:space="preserve">We acknowledge the TIO’s ongoing work </w:t>
      </w:r>
      <w:r w:rsidR="00915BBD">
        <w:t xml:space="preserve">to develop </w:t>
      </w:r>
      <w:r w:rsidRPr="001F62FB">
        <w:t xml:space="preserve">a fairness metric to evaluate the fairness of the TIO’s processes. It is important for both consumers and industry that the TIO consults on, develops, and publishes its definition of fairness, as well as how it will measure it. </w:t>
      </w:r>
    </w:p>
    <w:p w14:paraId="66B0B218" w14:textId="4A95EB24" w:rsidR="001947FD" w:rsidRDefault="001947FD" w:rsidP="001947FD">
      <w:r>
        <w:t>It is simpler for an EDR scheme to measure its efforts in other areas (e.g., efficiency through timeliness of decision-making), but assessing metrics relating to fairness remain</w:t>
      </w:r>
      <w:r w:rsidR="00E81367">
        <w:t>s</w:t>
      </w:r>
      <w:r>
        <w:t xml:space="preserve"> a challenge. We urge the TIO to continue its development of a means to assess and monitor the fairness of outcomes achieved at all stages of the dispute resolution process, and to provide public information about this.</w:t>
      </w:r>
    </w:p>
    <w:p w14:paraId="23AD324A" w14:textId="77777777" w:rsidR="001947FD" w:rsidRDefault="001947FD" w:rsidP="005708B4">
      <w:pPr>
        <w:keepNext/>
      </w:pPr>
      <w:r>
        <w:lastRenderedPageBreak/>
        <w:t>We point to AFCA’s recent publication on its fairness jurisdiction.</w:t>
      </w:r>
      <w:r>
        <w:rPr>
          <w:rStyle w:val="FootnoteReference"/>
        </w:rPr>
        <w:footnoteReference w:id="14"/>
      </w:r>
      <w:r>
        <w:t xml:space="preserve"> This report articulates:</w:t>
      </w:r>
    </w:p>
    <w:p w14:paraId="466F061E" w14:textId="77777777" w:rsidR="001947FD" w:rsidRDefault="001947FD" w:rsidP="005708B4">
      <w:pPr>
        <w:pStyle w:val="ListParagraph"/>
        <w:keepNext/>
        <w:numPr>
          <w:ilvl w:val="0"/>
          <w:numId w:val="45"/>
        </w:numPr>
      </w:pPr>
      <w:r>
        <w:t>A Fairness Jurisdiction Tool which ensures AFCA can discuss important issues for resolution with the parties in plain English.</w:t>
      </w:r>
    </w:p>
    <w:p w14:paraId="2C4A8072" w14:textId="6B3E1904" w:rsidR="001947FD" w:rsidRDefault="001947FD" w:rsidP="005708B4">
      <w:pPr>
        <w:pStyle w:val="ListParagraph"/>
        <w:keepNext/>
        <w:numPr>
          <w:ilvl w:val="0"/>
          <w:numId w:val="45"/>
        </w:numPr>
      </w:pPr>
      <w:r>
        <w:t>Decision templates to clearly explain how AFCA has applied the fairness tests in its complaint handling and why decisions made are fair in all the circumsta</w:t>
      </w:r>
      <w:r w:rsidR="00E81367">
        <w:t>n</w:t>
      </w:r>
      <w:r>
        <w:t>ces.</w:t>
      </w:r>
    </w:p>
    <w:p w14:paraId="412E5D32" w14:textId="77777777" w:rsidR="001947FD" w:rsidRDefault="001947FD" w:rsidP="005708B4">
      <w:pPr>
        <w:pStyle w:val="ListParagraph"/>
        <w:keepNext/>
        <w:numPr>
          <w:ilvl w:val="0"/>
          <w:numId w:val="45"/>
        </w:numPr>
      </w:pPr>
      <w:r>
        <w:t>An apprehended bias policy to ensure AFCA’s people remain impartial when working with the parties to resolve complaints.</w:t>
      </w:r>
    </w:p>
    <w:p w14:paraId="2ABA2174" w14:textId="77777777" w:rsidR="001947FD" w:rsidRDefault="001947FD" w:rsidP="005708B4">
      <w:pPr>
        <w:pStyle w:val="ListParagraph"/>
        <w:keepNext/>
        <w:numPr>
          <w:ilvl w:val="0"/>
          <w:numId w:val="45"/>
        </w:numPr>
      </w:pPr>
      <w:r>
        <w:t>The AFCA Engagement Charter which clearly sets expectations of how parties should engage with each other and AFCA to ensure a fair process.</w:t>
      </w:r>
    </w:p>
    <w:p w14:paraId="6969815F" w14:textId="7DE07867" w:rsidR="00C604CE" w:rsidRDefault="001947FD" w:rsidP="005708B4">
      <w:pPr>
        <w:pStyle w:val="ListParagraph"/>
        <w:keepNext/>
        <w:numPr>
          <w:ilvl w:val="0"/>
          <w:numId w:val="45"/>
        </w:numPr>
      </w:pPr>
      <w:r>
        <w:t xml:space="preserve">A Revised AFCA Approach library providing members and complainants with easy-to-understand information about how </w:t>
      </w:r>
      <w:r w:rsidR="00E81367">
        <w:t>they</w:t>
      </w:r>
      <w:r>
        <w:t xml:space="preserve"> handle specific types of complaints.</w:t>
      </w:r>
    </w:p>
    <w:p w14:paraId="4CB7299C" w14:textId="6F5E35DB" w:rsidR="00B71B6F" w:rsidRDefault="00B71B6F" w:rsidP="00456B35">
      <w:pPr>
        <w:pStyle w:val="Heading2"/>
      </w:pPr>
      <w:r>
        <w:t>Fairness goes beyond equal compromise</w:t>
      </w:r>
    </w:p>
    <w:p w14:paraId="0C955822" w14:textId="3AFE66B6" w:rsidR="001F62FB" w:rsidRDefault="00915BBD" w:rsidP="001F62FB">
      <w:r>
        <w:t>S</w:t>
      </w:r>
      <w:r w:rsidR="001F62FB" w:rsidRPr="001F62FB">
        <w:t xml:space="preserve">ignificant power imbalances and information asymmetries underpin the relationship between an individual consumer making a TIO complaint, and a TIO member receiving that complaint. TIO members often </w:t>
      </w:r>
      <w:proofErr w:type="gramStart"/>
      <w:r w:rsidR="001F62FB" w:rsidRPr="001F62FB">
        <w:t>have the ability to</w:t>
      </w:r>
      <w:proofErr w:type="gramEnd"/>
      <w:r w:rsidR="001F62FB" w:rsidRPr="001F62FB">
        <w:t xml:space="preserve"> make decisions that fundamentally prevent or restrict a consumer from accessing essential phone and internet services. It is </w:t>
      </w:r>
      <w:r>
        <w:t xml:space="preserve">therefore </w:t>
      </w:r>
      <w:r w:rsidR="001F62FB" w:rsidRPr="001F62FB">
        <w:t xml:space="preserve">important that the TIO does not view fairness as an equal-footed compromise between the interests of consumers and TIO members. We receive feedback from some consumers that at times the TIO approaches matters in this way. Instead, the TIO should always consider whether the consumer has been treated fairly in accordance with good industry practice and all applicable rules and guidelines.  </w:t>
      </w:r>
    </w:p>
    <w:p w14:paraId="5515DDE4" w14:textId="77777777" w:rsidR="009A54B1" w:rsidRPr="0091661D" w:rsidRDefault="009A54B1" w:rsidP="005C4EDF">
      <w:pPr>
        <w:pStyle w:val="Heading2"/>
        <w:rPr>
          <w:lang w:val="en-US" w:eastAsia="en-US"/>
        </w:rPr>
      </w:pPr>
      <w:r w:rsidRPr="0091661D">
        <w:rPr>
          <w:lang w:val="en-US" w:eastAsia="en-US"/>
        </w:rPr>
        <w:t xml:space="preserve">Consumers need to be informed </w:t>
      </w:r>
      <w:r>
        <w:rPr>
          <w:lang w:val="en-US" w:eastAsia="en-US"/>
        </w:rPr>
        <w:t>that</w:t>
      </w:r>
      <w:r w:rsidRPr="0091661D">
        <w:rPr>
          <w:lang w:val="en-US" w:eastAsia="en-US"/>
        </w:rPr>
        <w:t xml:space="preserve"> they can review a TIO decision</w:t>
      </w:r>
    </w:p>
    <w:p w14:paraId="42EE5ADB" w14:textId="42334CEB" w:rsidR="009A54B1" w:rsidRDefault="009A54B1" w:rsidP="009A54B1">
      <w:pPr>
        <w:rPr>
          <w:lang w:val="en-US" w:eastAsia="en-US"/>
        </w:rPr>
      </w:pPr>
      <w:r w:rsidRPr="00902557">
        <w:rPr>
          <w:lang w:val="en-US" w:eastAsia="en-US"/>
        </w:rPr>
        <w:t>The TIO seeks to strike a balance between consumer and member interests; given the complexity of consumer complaints, it is inevitable that the TIO does not always get this balance right. In many instances consumers can request the TIO to review a decision it has made</w:t>
      </w:r>
      <w:r w:rsidR="00915BBD">
        <w:rPr>
          <w:lang w:val="en-US" w:eastAsia="en-US"/>
        </w:rPr>
        <w:t>.</w:t>
      </w:r>
      <w:r>
        <w:rPr>
          <w:rStyle w:val="FootnoteReference"/>
          <w:lang w:val="en-US" w:eastAsia="en-US"/>
        </w:rPr>
        <w:footnoteReference w:id="15"/>
      </w:r>
      <w:r>
        <w:rPr>
          <w:lang w:val="en-US" w:eastAsia="en-US"/>
        </w:rPr>
        <w:t xml:space="preserve"> However, reports from consumers indicate this is not always made clear</w:t>
      </w:r>
      <w:r w:rsidRPr="00902557">
        <w:rPr>
          <w:lang w:val="en-US" w:eastAsia="en-US"/>
        </w:rPr>
        <w:t xml:space="preserve">. ACCAN has been contacted by consumers who have disagreed with a TIO case manager’s recommended </w:t>
      </w:r>
      <w:proofErr w:type="gramStart"/>
      <w:r w:rsidRPr="00902557">
        <w:rPr>
          <w:lang w:val="en-US" w:eastAsia="en-US"/>
        </w:rPr>
        <w:t>outcome, and</w:t>
      </w:r>
      <w:proofErr w:type="gramEnd"/>
      <w:r w:rsidRPr="00902557">
        <w:rPr>
          <w:lang w:val="en-US" w:eastAsia="en-US"/>
        </w:rPr>
        <w:t xml:space="preserve"> are not sure where else to go.  Therefore, the TIO should be more </w:t>
      </w:r>
      <w:r>
        <w:rPr>
          <w:lang w:val="en-US" w:eastAsia="en-US"/>
        </w:rPr>
        <w:t>transparent</w:t>
      </w:r>
      <w:r w:rsidRPr="00902557">
        <w:rPr>
          <w:lang w:val="en-US" w:eastAsia="en-US"/>
        </w:rPr>
        <w:t xml:space="preserve"> about consumers’ ability to request a review of TIO decisions</w:t>
      </w:r>
      <w:r>
        <w:rPr>
          <w:lang w:val="en-US" w:eastAsia="en-US"/>
        </w:rPr>
        <w:t xml:space="preserve"> to address any information asymmetries between consumers</w:t>
      </w:r>
      <w:r w:rsidR="00CB25DB">
        <w:rPr>
          <w:lang w:val="en-US" w:eastAsia="en-US"/>
        </w:rPr>
        <w:t>,</w:t>
      </w:r>
      <w:r>
        <w:rPr>
          <w:lang w:val="en-US" w:eastAsia="en-US"/>
        </w:rPr>
        <w:t xml:space="preserve"> the TIO</w:t>
      </w:r>
      <w:r w:rsidR="00CB25DB">
        <w:rPr>
          <w:lang w:val="en-US" w:eastAsia="en-US"/>
        </w:rPr>
        <w:t>,</w:t>
      </w:r>
      <w:r>
        <w:rPr>
          <w:lang w:val="en-US" w:eastAsia="en-US"/>
        </w:rPr>
        <w:t xml:space="preserve"> and TIO member</w:t>
      </w:r>
      <w:r w:rsidR="00CB25DB">
        <w:rPr>
          <w:lang w:val="en-US" w:eastAsia="en-US"/>
        </w:rPr>
        <w:t>s</w:t>
      </w:r>
      <w:r w:rsidRPr="00902557">
        <w:rPr>
          <w:lang w:val="en-US" w:eastAsia="en-US"/>
        </w:rPr>
        <w:t xml:space="preserve">.  </w:t>
      </w:r>
    </w:p>
    <w:p w14:paraId="1FB3769E" w14:textId="77777777" w:rsidR="005708B4" w:rsidRDefault="005708B4" w:rsidP="009A54B1">
      <w:pPr>
        <w:rPr>
          <w:lang w:val="en-US" w:eastAsia="en-US"/>
        </w:rPr>
      </w:pPr>
    </w:p>
    <w:p w14:paraId="4E9BB025" w14:textId="77777777" w:rsidR="005708B4" w:rsidRDefault="005708B4" w:rsidP="009A54B1">
      <w:pPr>
        <w:rPr>
          <w:lang w:val="en-US" w:eastAsia="en-US"/>
        </w:rPr>
      </w:pPr>
    </w:p>
    <w:p w14:paraId="23594F32" w14:textId="77777777" w:rsidR="005708B4" w:rsidRDefault="005708B4" w:rsidP="009A54B1">
      <w:pPr>
        <w:rPr>
          <w:lang w:val="en-US" w:eastAsia="en-US"/>
        </w:rPr>
      </w:pPr>
    </w:p>
    <w:p w14:paraId="1397A937" w14:textId="77777777" w:rsidR="005708B4" w:rsidRDefault="005708B4" w:rsidP="009A54B1">
      <w:pPr>
        <w:rPr>
          <w:lang w:val="en-US" w:eastAsia="en-US"/>
        </w:rPr>
      </w:pPr>
    </w:p>
    <w:p w14:paraId="43797D21" w14:textId="5E458A64" w:rsidR="00EE34A1" w:rsidRPr="00781EBD" w:rsidRDefault="00EE34A1" w:rsidP="00781EBD">
      <w:pPr>
        <w:pStyle w:val="Recommendation"/>
        <w:numPr>
          <w:ilvl w:val="0"/>
          <w:numId w:val="0"/>
        </w:numPr>
        <w:ind w:left="851"/>
        <w:rPr>
          <w:b/>
          <w:bCs/>
        </w:rPr>
      </w:pPr>
      <w:r w:rsidRPr="00781EBD">
        <w:rPr>
          <w:b/>
          <w:bCs/>
        </w:rPr>
        <w:lastRenderedPageBreak/>
        <w:t xml:space="preserve">Case study: </w:t>
      </w:r>
      <w:r w:rsidR="00B309C5">
        <w:rPr>
          <w:b/>
          <w:bCs/>
        </w:rPr>
        <w:t xml:space="preserve">Consumer </w:t>
      </w:r>
      <w:r w:rsidR="00D769D5">
        <w:rPr>
          <w:b/>
          <w:bCs/>
        </w:rPr>
        <w:t xml:space="preserve">disagreeing with </w:t>
      </w:r>
      <w:r w:rsidR="00DC0B90">
        <w:rPr>
          <w:b/>
          <w:bCs/>
        </w:rPr>
        <w:t xml:space="preserve">the </w:t>
      </w:r>
      <w:r w:rsidR="00D769D5">
        <w:rPr>
          <w:b/>
          <w:bCs/>
        </w:rPr>
        <w:t>TIO’s</w:t>
      </w:r>
      <w:r w:rsidR="00DC0B90">
        <w:rPr>
          <w:b/>
          <w:bCs/>
        </w:rPr>
        <w:t xml:space="preserve"> decision</w:t>
      </w:r>
    </w:p>
    <w:p w14:paraId="058542C4" w14:textId="5D9056C9" w:rsidR="00EE34A1" w:rsidRPr="00781EBD" w:rsidRDefault="00EE34A1" w:rsidP="00781EBD">
      <w:pPr>
        <w:pStyle w:val="Recommendation"/>
        <w:numPr>
          <w:ilvl w:val="0"/>
          <w:numId w:val="0"/>
        </w:numPr>
        <w:ind w:left="851"/>
        <w:rPr>
          <w:rFonts w:asciiTheme="minorHAnsi" w:hAnsiTheme="minorHAnsi"/>
        </w:rPr>
      </w:pPr>
      <w:r w:rsidRPr="00781EBD">
        <w:t xml:space="preserve">Georgia (name changed) contacted Consumer Action’s legal advice line when she didn’t know where else to turn after a decision by a TIO adjudicator. Georgia told us the TIO decision included an order for compensation to her, but the TIO had made deductions from the compensation amount for equipment items Georgia had received from the </w:t>
      </w:r>
      <w:r w:rsidR="00F57F82">
        <w:t>telco</w:t>
      </w:r>
      <w:r w:rsidRPr="00781EBD">
        <w:t xml:space="preserve"> which she felt were unrelated to the issue, and therefore should not have been deducted from her compensation. Furthermore, Georgia said she didn’t agree with the TIO’s pricing of those items. Georgia said she had tried to raise this with the TIO case officer but felt the response she had received was quite rude.</w:t>
      </w:r>
    </w:p>
    <w:p w14:paraId="69F9B2B5" w14:textId="4940E7F5" w:rsidR="00EE34A1" w:rsidRPr="00781EBD" w:rsidRDefault="00EE34A1" w:rsidP="00781EBD">
      <w:pPr>
        <w:pStyle w:val="Recommendation"/>
        <w:numPr>
          <w:ilvl w:val="0"/>
          <w:numId w:val="0"/>
        </w:numPr>
        <w:ind w:left="851"/>
        <w:rPr>
          <w:i/>
          <w:iCs/>
          <w:lang w:val="en-US"/>
        </w:rPr>
      </w:pPr>
      <w:r w:rsidRPr="00781EBD">
        <w:rPr>
          <w:rFonts w:cs="Calibri"/>
          <w:i/>
          <w:iCs/>
        </w:rPr>
        <w:t>Case study provided by Consumer Action Law Centre.</w:t>
      </w:r>
    </w:p>
    <w:p w14:paraId="04200488" w14:textId="3FB0955E" w:rsidR="00195BC0" w:rsidRDefault="00FA04A8" w:rsidP="00EE34A1">
      <w:r>
        <w:t xml:space="preserve">Moreover, the process by which Preliminary Views may be rejected differs for consumers versus </w:t>
      </w:r>
      <w:r w:rsidR="002A436B">
        <w:t>TIO members</w:t>
      </w:r>
      <w:r>
        <w:t>.</w:t>
      </w:r>
      <w:r w:rsidRPr="000D3D12">
        <w:t xml:space="preserve"> </w:t>
      </w:r>
      <w:r w:rsidRPr="002C4615">
        <w:t xml:space="preserve">If a consumer rejects the </w:t>
      </w:r>
      <w:r>
        <w:t>P</w:t>
      </w:r>
      <w:r w:rsidRPr="002C4615">
        <w:t xml:space="preserve">reliminary </w:t>
      </w:r>
      <w:r>
        <w:t>V</w:t>
      </w:r>
      <w:r w:rsidRPr="002C4615">
        <w:t xml:space="preserve">iew, the complaint will simply be closed without binding the </w:t>
      </w:r>
      <w:r w:rsidR="00195BC0">
        <w:t>member</w:t>
      </w:r>
      <w:r w:rsidRPr="002C4615">
        <w:t>.</w:t>
      </w:r>
      <w:r>
        <w:rPr>
          <w:rStyle w:val="FootnoteReference"/>
        </w:rPr>
        <w:footnoteReference w:id="16"/>
      </w:r>
      <w:r w:rsidRPr="002C4615">
        <w:t xml:space="preserve"> If the </w:t>
      </w:r>
      <w:r w:rsidR="00195BC0">
        <w:t>member</w:t>
      </w:r>
      <w:r w:rsidRPr="002C4615">
        <w:t xml:space="preserve"> rejects the </w:t>
      </w:r>
      <w:r>
        <w:t>P</w:t>
      </w:r>
      <w:r w:rsidRPr="002C4615">
        <w:t xml:space="preserve">reliminary </w:t>
      </w:r>
      <w:r>
        <w:t>V</w:t>
      </w:r>
      <w:r w:rsidRPr="002C4615">
        <w:t>ie</w:t>
      </w:r>
      <w:r>
        <w:t>w, there will be a published D</w:t>
      </w:r>
      <w:r w:rsidRPr="002C4615">
        <w:t>ecision made</w:t>
      </w:r>
      <w:r>
        <w:t xml:space="preserve"> (which can take into account further information or investigation)</w:t>
      </w:r>
      <w:r w:rsidRPr="002C4615">
        <w:t xml:space="preserve">, binding the </w:t>
      </w:r>
      <w:r w:rsidR="00195BC0">
        <w:t>member</w:t>
      </w:r>
      <w:r w:rsidRPr="002C4615">
        <w:t>.</w:t>
      </w:r>
      <w:r>
        <w:rPr>
          <w:rStyle w:val="FootnoteReference"/>
        </w:rPr>
        <w:footnoteReference w:id="17"/>
      </w:r>
      <w:r>
        <w:t xml:space="preserve"> </w:t>
      </w:r>
      <w:r w:rsidR="00D20F0D">
        <w:t xml:space="preserve">Not only do we consider it unbalanced and unfair to provide an additional level of review to </w:t>
      </w:r>
      <w:r w:rsidR="00195BC0">
        <w:t>TIO members</w:t>
      </w:r>
      <w:r w:rsidR="00D20F0D">
        <w:t xml:space="preserve"> and not consumers, we are concerned that published TIO determinations will be unbalanced, as only the </w:t>
      </w:r>
      <w:r w:rsidR="00195BC0">
        <w:t>member</w:t>
      </w:r>
      <w:r w:rsidR="00D20F0D">
        <w:t xml:space="preserve">-requested Decisions are ever published. </w:t>
      </w:r>
    </w:p>
    <w:p w14:paraId="77D21922" w14:textId="55100B50" w:rsidR="00EE34A1" w:rsidRPr="007320C5" w:rsidRDefault="00D20F0D" w:rsidP="00EE34A1">
      <w:r w:rsidRPr="00781EBD">
        <w:t>This differs from other Ombudsman Schemes, such as the Energy and Water Ombudsman of Victoria</w:t>
      </w:r>
      <w:r w:rsidR="00360D66">
        <w:t xml:space="preserve"> (</w:t>
      </w:r>
      <w:r w:rsidR="00360D66" w:rsidRPr="00781EBD">
        <w:rPr>
          <w:b/>
          <w:bCs/>
        </w:rPr>
        <w:t>EWOV</w:t>
      </w:r>
      <w:r w:rsidR="00360D66">
        <w:t>)</w:t>
      </w:r>
      <w:r w:rsidRPr="00781EBD">
        <w:t>, where the energy provider is bound by a decision as soon as it is accepted by a consumer.</w:t>
      </w:r>
      <w:r w:rsidRPr="00781EBD">
        <w:rPr>
          <w:rStyle w:val="FootnoteReference"/>
        </w:rPr>
        <w:footnoteReference w:id="18"/>
      </w:r>
      <w:r w:rsidRPr="00781EBD">
        <w:t xml:space="preserve"> There is no additional, one-side</w:t>
      </w:r>
      <w:r w:rsidR="00B42D0F">
        <w:t>d</w:t>
      </w:r>
      <w:r w:rsidRPr="00781EBD">
        <w:t xml:space="preserve"> opportunity for an energy company to provide further information that the consumer does not get. </w:t>
      </w:r>
      <w:r w:rsidR="0077647B" w:rsidRPr="0077647B">
        <w:t>Comparatively</w:t>
      </w:r>
      <w:r w:rsidR="004F76D8" w:rsidRPr="00781EBD">
        <w:t xml:space="preserve">, </w:t>
      </w:r>
      <w:r w:rsidR="00051877">
        <w:t>the Australian Financial Complaints Authority (</w:t>
      </w:r>
      <w:r w:rsidRPr="002C13FD">
        <w:rPr>
          <w:b/>
          <w:bCs/>
        </w:rPr>
        <w:t>AFCA</w:t>
      </w:r>
      <w:r w:rsidR="00051877">
        <w:t>)</w:t>
      </w:r>
      <w:r w:rsidRPr="00781EBD">
        <w:t xml:space="preserve"> does use the process of ‘preliminary assessments’, </w:t>
      </w:r>
      <w:proofErr w:type="gramStart"/>
      <w:r w:rsidRPr="00781EBD">
        <w:t>similar to</w:t>
      </w:r>
      <w:proofErr w:type="gramEnd"/>
      <w:r w:rsidRPr="00781EBD">
        <w:t xml:space="preserve"> the TIO. However, both the consumer and </w:t>
      </w:r>
      <w:r w:rsidR="004F76D8" w:rsidRPr="00781EBD">
        <w:t>AFCA member</w:t>
      </w:r>
      <w:r w:rsidRPr="00781EBD">
        <w:t xml:space="preserve"> </w:t>
      </w:r>
      <w:proofErr w:type="gramStart"/>
      <w:r w:rsidRPr="00781EBD">
        <w:t>have the opportunity to</w:t>
      </w:r>
      <w:proofErr w:type="gramEnd"/>
      <w:r w:rsidRPr="00781EBD">
        <w:t xml:space="preserve"> request</w:t>
      </w:r>
      <w:r w:rsidR="0077647B" w:rsidRPr="00781EBD">
        <w:t xml:space="preserve"> that</w:t>
      </w:r>
      <w:r w:rsidRPr="00781EBD">
        <w:t xml:space="preserve"> the complaint proceeds to a final ‘determination’ and to provide reasons for disagreeing with the ‘preliminary assessment’.</w:t>
      </w:r>
      <w:r w:rsidRPr="007320C5">
        <w:rPr>
          <w:rStyle w:val="FootnoteReference"/>
        </w:rPr>
        <w:footnoteReference w:id="19"/>
      </w:r>
      <w:r>
        <w:t xml:space="preserve"> </w:t>
      </w:r>
    </w:p>
    <w:p w14:paraId="79F15B1B" w14:textId="77777777" w:rsidR="001653F0" w:rsidRDefault="009A54B1" w:rsidP="009A54B1">
      <w:pPr>
        <w:pStyle w:val="Recommendation"/>
        <w:numPr>
          <w:ilvl w:val="0"/>
          <w:numId w:val="39"/>
        </w:numPr>
        <w:rPr>
          <w:lang w:val="en-US"/>
        </w:rPr>
      </w:pPr>
      <w:r w:rsidRPr="009A54B1">
        <w:rPr>
          <w:lang w:val="en-US"/>
        </w:rPr>
        <w:t>The TIO should ensure that consumers making complaints are always aware of when and how they can request the TIO to review its decision</w:t>
      </w:r>
    </w:p>
    <w:p w14:paraId="78E52C77" w14:textId="7EB2841A" w:rsidR="009A54B1" w:rsidRPr="009A54B1" w:rsidRDefault="001653F0" w:rsidP="009A54B1">
      <w:pPr>
        <w:pStyle w:val="Recommendation"/>
        <w:numPr>
          <w:ilvl w:val="0"/>
          <w:numId w:val="39"/>
        </w:numPr>
        <w:rPr>
          <w:lang w:val="en-US"/>
        </w:rPr>
      </w:pPr>
      <w:r>
        <w:rPr>
          <w:lang w:val="en-US"/>
        </w:rPr>
        <w:t>The TIO should ensure that its complaints review process is completely equitable.</w:t>
      </w:r>
    </w:p>
    <w:p w14:paraId="3C968A90" w14:textId="31D00711" w:rsidR="00DF52EB" w:rsidRPr="00DF52EB" w:rsidRDefault="00DF52EB" w:rsidP="005C4EDF">
      <w:pPr>
        <w:pStyle w:val="Heading2"/>
      </w:pPr>
      <w:r w:rsidRPr="00DF52EB">
        <w:lastRenderedPageBreak/>
        <w:t>Specialist support for complex issues</w:t>
      </w:r>
      <w:r w:rsidR="005C4CEE">
        <w:t xml:space="preserve"> and vulnerability</w:t>
      </w:r>
    </w:p>
    <w:p w14:paraId="3733A556" w14:textId="77777777" w:rsidR="0082401E" w:rsidRDefault="00DF52EB" w:rsidP="00DF52EB">
      <w:r>
        <w:t xml:space="preserve">Some consumer advocates report that </w:t>
      </w:r>
      <w:r w:rsidR="00E81E34">
        <w:t xml:space="preserve">while </w:t>
      </w:r>
      <w:r w:rsidR="002E08BD">
        <w:t>TIO complaints</w:t>
      </w:r>
      <w:r w:rsidR="00E81E34">
        <w:t xml:space="preserve"> intake staff </w:t>
      </w:r>
      <w:r w:rsidR="002E08BD">
        <w:t xml:space="preserve">generally </w:t>
      </w:r>
      <w:r w:rsidR="00E81E34">
        <w:t xml:space="preserve">provide a good level of </w:t>
      </w:r>
      <w:r w:rsidR="002E08BD">
        <w:t>service</w:t>
      </w:r>
      <w:r w:rsidR="00E81E34">
        <w:t xml:space="preserve">, at times </w:t>
      </w:r>
      <w:r w:rsidR="002E08BD">
        <w:t>they</w:t>
      </w:r>
      <w:r w:rsidR="00E81E34">
        <w:t xml:space="preserve"> lack the specialist expertise to respond to</w:t>
      </w:r>
      <w:r w:rsidR="00D2202B">
        <w:t xml:space="preserve"> a</w:t>
      </w:r>
      <w:r w:rsidR="00E81E34">
        <w:t xml:space="preserve"> consumer</w:t>
      </w:r>
      <w:r w:rsidR="00D2202B">
        <w:t xml:space="preserve">’s complex </w:t>
      </w:r>
      <w:proofErr w:type="gramStart"/>
      <w:r w:rsidR="00D2202B">
        <w:t>circumstances</w:t>
      </w:r>
      <w:r w:rsidR="000F0361">
        <w:t>, and</w:t>
      </w:r>
      <w:proofErr w:type="gramEnd"/>
      <w:r w:rsidR="000B6315">
        <w:t xml:space="preserve"> may</w:t>
      </w:r>
      <w:r w:rsidR="000F0361">
        <w:t xml:space="preserve"> </w:t>
      </w:r>
      <w:r w:rsidR="00FC09BA">
        <w:t xml:space="preserve">handle a complaint in a way that is culturally or contextually </w:t>
      </w:r>
      <w:r w:rsidR="000B6315">
        <w:t>in</w:t>
      </w:r>
      <w:r w:rsidR="00FC09BA">
        <w:t>appropriate for the complainant</w:t>
      </w:r>
      <w:r w:rsidR="00D82A5D">
        <w:t>.</w:t>
      </w:r>
    </w:p>
    <w:p w14:paraId="32C79B93" w14:textId="4939530B" w:rsidR="005F68DC" w:rsidRDefault="00231E0F" w:rsidP="00DF52EB">
      <w:r>
        <w:t>F</w:t>
      </w:r>
      <w:r w:rsidR="005F68DC">
        <w:t xml:space="preserve">or example, </w:t>
      </w:r>
      <w:r w:rsidR="006C7130">
        <w:t xml:space="preserve">ACCAN is aware of a </w:t>
      </w:r>
      <w:r w:rsidR="003D3136">
        <w:t xml:space="preserve">case </w:t>
      </w:r>
      <w:r w:rsidR="00712CFC">
        <w:t>where</w:t>
      </w:r>
      <w:r w:rsidR="00D82A5D">
        <w:t xml:space="preserve"> a TIO</w:t>
      </w:r>
      <w:r w:rsidR="00712CFC">
        <w:t xml:space="preserve"> call centre worker</w:t>
      </w:r>
      <w:r w:rsidR="00D82A5D">
        <w:t xml:space="preserve"> </w:t>
      </w:r>
      <w:r w:rsidR="006C7130">
        <w:t>strongly encouraged a</w:t>
      </w:r>
      <w:r w:rsidR="00F67350">
        <w:t xml:space="preserve"> </w:t>
      </w:r>
      <w:r w:rsidR="00D82A5D">
        <w:t xml:space="preserve">consumer </w:t>
      </w:r>
      <w:r w:rsidR="00F67350">
        <w:t xml:space="preserve">living in a rural area </w:t>
      </w:r>
      <w:r w:rsidR="006C7130">
        <w:t>to visit their</w:t>
      </w:r>
      <w:r w:rsidR="00D82A5D">
        <w:t xml:space="preserve"> </w:t>
      </w:r>
      <w:proofErr w:type="gramStart"/>
      <w:r w:rsidR="00AC03C0">
        <w:t>telco’s</w:t>
      </w:r>
      <w:proofErr w:type="gramEnd"/>
      <w:r w:rsidR="00AC03C0">
        <w:t xml:space="preserve"> </w:t>
      </w:r>
      <w:r w:rsidR="006C7130">
        <w:t>nearest</w:t>
      </w:r>
      <w:r w:rsidR="00D82A5D">
        <w:t xml:space="preserve"> store </w:t>
      </w:r>
      <w:r w:rsidR="00F67350">
        <w:t xml:space="preserve">to </w:t>
      </w:r>
      <w:r w:rsidR="00A001FF">
        <w:t>resolve</w:t>
      </w:r>
      <w:r w:rsidR="00F67350">
        <w:t xml:space="preserve"> an issue, despite the fact that this would have </w:t>
      </w:r>
      <w:r w:rsidR="00955302">
        <w:t xml:space="preserve">been difficult due to the consumer’s availability and significant distance from </w:t>
      </w:r>
      <w:r w:rsidR="00840E11">
        <w:t>the store.</w:t>
      </w:r>
      <w:r w:rsidR="00712CFC">
        <w:t xml:space="preserve"> </w:t>
      </w:r>
      <w:r w:rsidR="008D3B8C">
        <w:t>We are also aware that EDR schemes often favour conciliation as a method of dispute resolutio</w:t>
      </w:r>
      <w:r w:rsidR="00BF19D0">
        <w:t xml:space="preserve">n, but this is </w:t>
      </w:r>
      <w:r w:rsidR="005C4CEE">
        <w:t>rarely</w:t>
      </w:r>
      <w:r w:rsidR="00BF19D0">
        <w:t xml:space="preserve"> </w:t>
      </w:r>
      <w:r w:rsidR="007C6B7E">
        <w:t xml:space="preserve">an appropriate </w:t>
      </w:r>
      <w:r w:rsidR="00D4454A">
        <w:t>dispute resolution method for consumers experiencing vulnerability</w:t>
      </w:r>
      <w:r w:rsidR="005C4CEE">
        <w:t xml:space="preserve"> due to power and information imbalances between the parties</w:t>
      </w:r>
      <w:r w:rsidR="00D4454A">
        <w:t xml:space="preserve">. </w:t>
      </w:r>
    </w:p>
    <w:p w14:paraId="5E8F762E" w14:textId="24E89DC5" w:rsidR="00DF52EB" w:rsidRDefault="00712CFC" w:rsidP="00DF52EB">
      <w:r>
        <w:t xml:space="preserve">We feel it </w:t>
      </w:r>
      <w:r w:rsidR="009E1162">
        <w:t>is</w:t>
      </w:r>
      <w:r>
        <w:t xml:space="preserve"> appropriate for the TIO to employ specialist </w:t>
      </w:r>
      <w:r w:rsidR="009E1162">
        <w:t xml:space="preserve">complaints intake </w:t>
      </w:r>
      <w:r w:rsidR="00F12D0B">
        <w:t>staff</w:t>
      </w:r>
      <w:r w:rsidR="009E1162">
        <w:t xml:space="preserve"> that </w:t>
      </w:r>
      <w:r w:rsidR="00F12D0B">
        <w:t>are</w:t>
      </w:r>
      <w:r>
        <w:t xml:space="preserve"> well-versed in </w:t>
      </w:r>
      <w:r w:rsidR="009E1162">
        <w:t>complex or vulnerable consumer circumstances</w:t>
      </w:r>
      <w:r w:rsidR="0073345B">
        <w:t>, to which consumers could be referred</w:t>
      </w:r>
      <w:r w:rsidR="00E04F31">
        <w:t xml:space="preserve"> if they indicate a </w:t>
      </w:r>
      <w:r w:rsidR="00EA6A16">
        <w:t xml:space="preserve">need </w:t>
      </w:r>
      <w:r w:rsidR="00E04F31">
        <w:t>for additional</w:t>
      </w:r>
      <w:r w:rsidR="00EA6A16">
        <w:t xml:space="preserve"> or specialised</w:t>
      </w:r>
      <w:r w:rsidR="00E04F31">
        <w:t xml:space="preserve"> support</w:t>
      </w:r>
      <w:r w:rsidR="009E1162">
        <w:t>.</w:t>
      </w:r>
      <w:r w:rsidR="000404F4">
        <w:t xml:space="preserve"> An alternative suitable approach would be for the TIO to flag complaints where it is clear a consumer is in a vulnerable or complex personal circumstance</w:t>
      </w:r>
      <w:r w:rsidR="002A20C4">
        <w:t xml:space="preserve">, and for those complaints to be immediately </w:t>
      </w:r>
      <w:r w:rsidR="000D4DA0">
        <w:t>referred to</w:t>
      </w:r>
      <w:r w:rsidR="00180BD3">
        <w:t xml:space="preserve"> a </w:t>
      </w:r>
      <w:r w:rsidR="003B10D9">
        <w:t>case manager</w:t>
      </w:r>
      <w:r w:rsidR="00E46137">
        <w:t xml:space="preserve"> for resolution</w:t>
      </w:r>
      <w:r w:rsidR="00180BD3">
        <w:t xml:space="preserve">. </w:t>
      </w:r>
    </w:p>
    <w:p w14:paraId="346ACACF" w14:textId="15C0603D" w:rsidR="00AD118C" w:rsidRDefault="00AD118C" w:rsidP="00AD118C">
      <w:pPr>
        <w:pStyle w:val="Recommendation"/>
      </w:pPr>
      <w:r>
        <w:t xml:space="preserve">The TIO should introduce a </w:t>
      </w:r>
      <w:r w:rsidR="00180BD3">
        <w:t xml:space="preserve">specialised process </w:t>
      </w:r>
      <w:r>
        <w:t xml:space="preserve">to deal with </w:t>
      </w:r>
      <w:r w:rsidR="006B160F">
        <w:t>consumers experiencing vulnerability or complex circumstances</w:t>
      </w:r>
      <w:r w:rsidR="005A1088">
        <w:t>,</w:t>
      </w:r>
      <w:r w:rsidR="006B160F">
        <w:t xml:space="preserve"> </w:t>
      </w:r>
      <w:r w:rsidR="00371FC6">
        <w:t>flagged</w:t>
      </w:r>
      <w:r w:rsidR="006B160F">
        <w:t xml:space="preserve"> at the point of initial complaint intake. </w:t>
      </w:r>
    </w:p>
    <w:p w14:paraId="23C26537" w14:textId="77777777" w:rsidR="00CE4901" w:rsidRDefault="00CE4901" w:rsidP="00CE4901">
      <w:pPr>
        <w:pStyle w:val="Heading1"/>
      </w:pPr>
      <w:bookmarkStart w:id="11" w:name="_Toc103609600"/>
      <w:r w:rsidRPr="00CE4901">
        <w:t>Industry Benchmark 4: Accountability</w:t>
      </w:r>
      <w:bookmarkEnd w:id="11"/>
    </w:p>
    <w:p w14:paraId="0CB6D5DF" w14:textId="2FC36217" w:rsidR="001E00FE" w:rsidRPr="005D4E85" w:rsidRDefault="005D4E85" w:rsidP="005C4EDF">
      <w:pPr>
        <w:pStyle w:val="Heading2"/>
      </w:pPr>
      <w:r w:rsidRPr="005D4E85">
        <w:t>Transparent and granular complaints data is key</w:t>
      </w:r>
      <w:r w:rsidR="001E00FE" w:rsidRPr="005D4E85">
        <w:t xml:space="preserve"> </w:t>
      </w:r>
    </w:p>
    <w:p w14:paraId="78012F34" w14:textId="6CB362E1" w:rsidR="001E00FE" w:rsidRDefault="00F51DC6" w:rsidP="001E00FE">
      <w:r>
        <w:t>The TIO’s existing reporting is highly valuable to consumer advocates and must be continued. However, we would welcome more detailed information in the TIO quarterly reports, with a particular focus on the number and types of complaints received by all TIO members, and their resolution rate. This would assist consumer advocates in identifying key industry issues in need of advocacy and reform. Furthermore, e</w:t>
      </w:r>
      <w:r w:rsidR="001E00FE">
        <w:t xml:space="preserve">nhancing TIO public reporting practices through increased transparency and granularity would support industry behavioural change and assist community organisations advocating on behalf of consumers. Public reporting practices drive change in EDR schemes because individual service providers are faced with the threat of reputational damage and, consequently, a decline in sales to consumers if they do not adequately deal with complaints. Reporting by </w:t>
      </w:r>
      <w:r w:rsidR="001E00FE" w:rsidRPr="007D3D7E">
        <w:t>AFCA</w:t>
      </w:r>
      <w:r w:rsidR="001E00FE">
        <w:t xml:space="preserve"> sets a useful precedent </w:t>
      </w:r>
      <w:r w:rsidR="00D224AF">
        <w:t>for</w:t>
      </w:r>
      <w:r w:rsidR="001E00FE">
        <w:t xml:space="preserve"> </w:t>
      </w:r>
      <w:r w:rsidR="00742E04">
        <w:t xml:space="preserve">EDR complaints reporting. AFCA </w:t>
      </w:r>
      <w:r w:rsidR="001E00FE">
        <w:t>identif</w:t>
      </w:r>
      <w:r w:rsidR="000A4653">
        <w:t>ies</w:t>
      </w:r>
      <w:r w:rsidR="001E00FE">
        <w:t xml:space="preserve"> the number of complaints received by AFCA by </w:t>
      </w:r>
      <w:r w:rsidR="00F41327">
        <w:t>each member</w:t>
      </w:r>
      <w:r w:rsidR="001E00FE">
        <w:t xml:space="preserve">, </w:t>
      </w:r>
      <w:r w:rsidR="00AD055B">
        <w:t xml:space="preserve">the </w:t>
      </w:r>
      <w:r w:rsidR="001E00FE">
        <w:t>level at which complaints were resolved, rate of resolution, and broad area of complaint.</w:t>
      </w:r>
      <w:r w:rsidR="007A4743">
        <w:rPr>
          <w:rStyle w:val="FootnoteReference"/>
        </w:rPr>
        <w:footnoteReference w:id="20"/>
      </w:r>
      <w:r w:rsidR="001E00FE">
        <w:t xml:space="preserve"> This level of granularity drives greater accountability by firms performing poorly, while at the same time showing which firms promptly resolve complaints at an early stage of the process. </w:t>
      </w:r>
    </w:p>
    <w:p w14:paraId="3D830B7A" w14:textId="2E5384ED" w:rsidR="001E00FE" w:rsidRDefault="001E00FE" w:rsidP="001E00FE">
      <w:r>
        <w:lastRenderedPageBreak/>
        <w:t xml:space="preserve">Consumers living in </w:t>
      </w:r>
      <w:r w:rsidR="00F51DC6">
        <w:t xml:space="preserve">regional, </w:t>
      </w:r>
      <w:proofErr w:type="gramStart"/>
      <w:r w:rsidR="00F51DC6">
        <w:t>rural</w:t>
      </w:r>
      <w:proofErr w:type="gramEnd"/>
      <w:r w:rsidR="00F51DC6">
        <w:t xml:space="preserve"> and remote </w:t>
      </w:r>
      <w:r>
        <w:t xml:space="preserve">areas are more likely to experience connectivity issues, and do not have the luxury of easily visiting their </w:t>
      </w:r>
      <w:r w:rsidR="00AC03C0">
        <w:t xml:space="preserve">telco </w:t>
      </w:r>
      <w:r>
        <w:t>in-store for assistance. Where possible, the TIO should capture and report data on the geographical location of the consumer complainant (</w:t>
      </w:r>
      <w:proofErr w:type="gramStart"/>
      <w:r>
        <w:t>e</w:t>
      </w:r>
      <w:r w:rsidR="00F51DC6">
        <w:t>.</w:t>
      </w:r>
      <w:r>
        <w:t>g.</w:t>
      </w:r>
      <w:proofErr w:type="gramEnd"/>
      <w:r>
        <w:t xml:space="preserve"> postcode or region) and the service technology type where applicable. This would provide more transparency around the unique communications challenges experienced by consumers living in regional, rural, and remote areas. It would also assist the advocacy or community organisations that </w:t>
      </w:r>
      <w:r w:rsidR="00F51DC6">
        <w:t xml:space="preserve">support </w:t>
      </w:r>
      <w:r>
        <w:t xml:space="preserve">these consumers.  </w:t>
      </w:r>
    </w:p>
    <w:p w14:paraId="24575639" w14:textId="422D463D" w:rsidR="006B160F" w:rsidRPr="001E00FE" w:rsidRDefault="006B160F" w:rsidP="00391FED">
      <w:pPr>
        <w:pStyle w:val="Recommendation"/>
      </w:pPr>
      <w:r>
        <w:t xml:space="preserve">The TIO should expand its public reporting </w:t>
      </w:r>
      <w:r w:rsidR="00391FED">
        <w:t xml:space="preserve">to provide greater detail about the technology types, geographical location, and TIO members involved in TIO complaints. </w:t>
      </w:r>
    </w:p>
    <w:p w14:paraId="6A69C837" w14:textId="17F8A9E4" w:rsidR="004F1D5C" w:rsidRDefault="00613EAA" w:rsidP="004F1D5C">
      <w:r>
        <w:t>When a consumer raises a matter with the TIO that it does not have jurisdiction to handle</w:t>
      </w:r>
      <w:r w:rsidR="00AE76FF">
        <w:t xml:space="preserve">, the matter is </w:t>
      </w:r>
      <w:r w:rsidR="008E17DA">
        <w:t>logged</w:t>
      </w:r>
      <w:r w:rsidR="00AE76FF">
        <w:t xml:space="preserve"> by the TIO as an Enquiry.</w:t>
      </w:r>
      <w:r w:rsidR="002E2EF9">
        <w:rPr>
          <w:rStyle w:val="FootnoteReference"/>
        </w:rPr>
        <w:footnoteReference w:id="21"/>
      </w:r>
      <w:r w:rsidR="0040584C">
        <w:t xml:space="preserve"> </w:t>
      </w:r>
      <w:r w:rsidR="002E2EF9">
        <w:t xml:space="preserve">Complaints that have not been raised with the </w:t>
      </w:r>
      <w:r w:rsidR="00AE0FFD">
        <w:t>TIO member</w:t>
      </w:r>
      <w:r w:rsidR="002E2EF9">
        <w:t xml:space="preserve"> before a </w:t>
      </w:r>
      <w:proofErr w:type="gramStart"/>
      <w:r w:rsidR="002E2EF9">
        <w:t>consumer contacts</w:t>
      </w:r>
      <w:proofErr w:type="gramEnd"/>
      <w:r w:rsidR="002E2EF9">
        <w:t xml:space="preserve"> </w:t>
      </w:r>
      <w:r w:rsidR="00BE05B9">
        <w:t xml:space="preserve">the </w:t>
      </w:r>
      <w:r w:rsidR="00AC4318">
        <w:t xml:space="preserve">TIO will be </w:t>
      </w:r>
      <w:r w:rsidR="00F507ED">
        <w:t>treated</w:t>
      </w:r>
      <w:r w:rsidR="00AC4318">
        <w:t xml:space="preserve"> as E</w:t>
      </w:r>
      <w:r w:rsidR="00F507ED">
        <w:t>n</w:t>
      </w:r>
      <w:r w:rsidR="00AC4318">
        <w:t>quiry Referral</w:t>
      </w:r>
      <w:r w:rsidR="00145F82">
        <w:t>s</w:t>
      </w:r>
      <w:r w:rsidR="00AC4318">
        <w:t>, where the TIO</w:t>
      </w:r>
      <w:r w:rsidR="002E2EF9">
        <w:t xml:space="preserve"> send</w:t>
      </w:r>
      <w:r w:rsidR="00AC4318">
        <w:t>s</w:t>
      </w:r>
      <w:r w:rsidR="002E2EF9">
        <w:t xml:space="preserve"> the complaint to </w:t>
      </w:r>
      <w:r w:rsidR="00BE05B9">
        <w:t xml:space="preserve">the </w:t>
      </w:r>
      <w:r w:rsidR="00AC4318">
        <w:t>TIO m</w:t>
      </w:r>
      <w:r w:rsidR="007168D7">
        <w:t>e</w:t>
      </w:r>
      <w:r w:rsidR="00AC4318">
        <w:t>mber,</w:t>
      </w:r>
      <w:r w:rsidR="002E2EF9">
        <w:t xml:space="preserve"> but</w:t>
      </w:r>
      <w:r w:rsidR="00AC4318">
        <w:t xml:space="preserve"> allows</w:t>
      </w:r>
      <w:r w:rsidR="002E2EF9">
        <w:t xml:space="preserve"> </w:t>
      </w:r>
      <w:r w:rsidR="00AC4318">
        <w:t>members</w:t>
      </w:r>
      <w:r w:rsidR="002E2EF9">
        <w:t xml:space="preserve"> a longer time </w:t>
      </w:r>
      <w:r w:rsidR="00AE0FFD">
        <w:t>for resolution</w:t>
      </w:r>
      <w:r w:rsidR="007168D7">
        <w:t xml:space="preserve">. The TIO tracks and reports on the number of Enquiries received </w:t>
      </w:r>
      <w:r w:rsidR="00F507ED">
        <w:t xml:space="preserve">– </w:t>
      </w:r>
      <w:r w:rsidR="00EA4F8A">
        <w:t>32,450</w:t>
      </w:r>
      <w:r w:rsidR="00F507ED">
        <w:t xml:space="preserve"> in the 2021-22 financial year.</w:t>
      </w:r>
      <w:r w:rsidR="00D62858">
        <w:rPr>
          <w:rStyle w:val="FootnoteReference"/>
        </w:rPr>
        <w:footnoteReference w:id="22"/>
      </w:r>
      <w:r w:rsidR="00F507ED">
        <w:t xml:space="preserve"> </w:t>
      </w:r>
      <w:r w:rsidR="008B00B4">
        <w:t>It would benefit consumers and their advocates greatly for t</w:t>
      </w:r>
      <w:r w:rsidR="00DE64F8">
        <w:t>he TIO</w:t>
      </w:r>
      <w:r w:rsidR="008B00B4">
        <w:t xml:space="preserve"> to</w:t>
      </w:r>
      <w:r w:rsidR="000D7B48">
        <w:t xml:space="preserve"> track and publicly report on </w:t>
      </w:r>
      <w:r w:rsidR="00D62858">
        <w:t xml:space="preserve">the </w:t>
      </w:r>
      <w:r w:rsidR="008B00B4">
        <w:t>issues present in Enquiries, particularly where a complaint falls outside the TIO’s jurisdiction.</w:t>
      </w:r>
      <w:r w:rsidR="00D44F8F">
        <w:t xml:space="preserve"> It is inevitable that some TIO Enquiries will not be relevant to the TIO’s</w:t>
      </w:r>
      <w:r w:rsidR="004F5050">
        <w:t xml:space="preserve"> core function</w:t>
      </w:r>
      <w:r w:rsidR="00B266EA">
        <w:t xml:space="preserve"> of </w:t>
      </w:r>
      <w:r w:rsidR="002E1078">
        <w:t>providing dispute resolution services</w:t>
      </w:r>
      <w:r w:rsidR="004F5050">
        <w:t>. However,</w:t>
      </w:r>
      <w:r w:rsidR="002E1078">
        <w:t xml:space="preserve"> to properly assess whether the TIO</w:t>
      </w:r>
      <w:r w:rsidR="000C69BC">
        <w:t>’s jurisdiction</w:t>
      </w:r>
      <w:r w:rsidR="00431066">
        <w:t xml:space="preserve"> and </w:t>
      </w:r>
      <w:r w:rsidR="0032232E">
        <w:t>services</w:t>
      </w:r>
      <w:r w:rsidR="002E1078">
        <w:t xml:space="preserve"> </w:t>
      </w:r>
      <w:r w:rsidR="00431066">
        <w:t>are</w:t>
      </w:r>
      <w:r w:rsidR="000C69BC">
        <w:t xml:space="preserve"> meeting the needs of communications consumers, it is important that there is public accountability and transparency over matters where the TIO did not provide dispute resolution services. </w:t>
      </w:r>
      <w:r w:rsidR="004F5050">
        <w:t xml:space="preserve"> </w:t>
      </w:r>
    </w:p>
    <w:p w14:paraId="6F1D746A" w14:textId="70219597" w:rsidR="00BD653F" w:rsidRPr="004F1D5C" w:rsidRDefault="00BD653F" w:rsidP="00E36395">
      <w:pPr>
        <w:pStyle w:val="Recommendation"/>
      </w:pPr>
      <w:r>
        <w:t>The TIO should capture and publicly report on the issues and reasons why it could not deal with a matter classified as an Enquiry.</w:t>
      </w:r>
    </w:p>
    <w:p w14:paraId="73B1AEBE" w14:textId="17BAFAE6" w:rsidR="00CE4901" w:rsidRDefault="00CE4901" w:rsidP="00CE4901">
      <w:pPr>
        <w:pStyle w:val="Heading1"/>
      </w:pPr>
      <w:bookmarkStart w:id="12" w:name="_Toc103609601"/>
      <w:r w:rsidRPr="00CE4901">
        <w:t>Industry Benchmark 5: Efficiency</w:t>
      </w:r>
      <w:bookmarkEnd w:id="12"/>
    </w:p>
    <w:p w14:paraId="0BEEDCBD" w14:textId="77777777" w:rsidR="00AC7297" w:rsidRPr="0089100A" w:rsidRDefault="00AC7297" w:rsidP="005C4EDF">
      <w:pPr>
        <w:pStyle w:val="Heading2"/>
        <w:rPr>
          <w:sz w:val="22"/>
          <w:szCs w:val="22"/>
        </w:rPr>
      </w:pPr>
      <w:r>
        <w:t>Complaints should be handled as quickly and efficiently as possible</w:t>
      </w:r>
    </w:p>
    <w:p w14:paraId="31E104BE" w14:textId="78F64C97" w:rsidR="00AC7297" w:rsidRDefault="00CB319E" w:rsidP="009B6684">
      <w:r>
        <w:t>Access to timely external dispute</w:t>
      </w:r>
      <w:r w:rsidR="004E4274">
        <w:t xml:space="preserve"> resolution</w:t>
      </w:r>
      <w:r>
        <w:t xml:space="preserve"> is fundamental to the provision of phone and internet services, which for most people are essential. This is because consumer complaints are often related to fundamental issues with a person’s service;</w:t>
      </w:r>
      <w:r w:rsidR="00AE043F">
        <w:rPr>
          <w:rStyle w:val="FootnoteReference"/>
        </w:rPr>
        <w:footnoteReference w:id="23"/>
      </w:r>
      <w:r>
        <w:t xml:space="preserve"> the longer dispute resolution takes, the longer a consumer may be left without a functioning service. </w:t>
      </w:r>
    </w:p>
    <w:p w14:paraId="65AC1C59" w14:textId="3BC902FD" w:rsidR="00AC7297" w:rsidRDefault="00AC7297" w:rsidP="00CB319E">
      <w:r>
        <w:t xml:space="preserve">For more straightforward complaints, we consider 10 business days too long as the maximum timeframe for TIO members to resolve complaints at the referral stage. The TIO could separate </w:t>
      </w:r>
      <w:r>
        <w:lastRenderedPageBreak/>
        <w:t xml:space="preserve">‘simple’ complaints (for example, those related to inaccurate billing or account access problems) from other </w:t>
      </w:r>
      <w:proofErr w:type="gramStart"/>
      <w:r>
        <w:t>complaints, and</w:t>
      </w:r>
      <w:proofErr w:type="gramEnd"/>
      <w:r>
        <w:t xml:space="preserve"> require the</w:t>
      </w:r>
      <w:r w:rsidR="00183CF9">
        <w:t xml:space="preserve"> former</w:t>
      </w:r>
      <w:r>
        <w:t xml:space="preserve"> to be resolved at referral in 5 business days.  </w:t>
      </w:r>
    </w:p>
    <w:p w14:paraId="55EB67EC" w14:textId="5DE783EE" w:rsidR="00AC7297" w:rsidRDefault="00AC7297" w:rsidP="00183CF9">
      <w:pPr>
        <w:pStyle w:val="Recommendation"/>
      </w:pPr>
      <w:r>
        <w:t xml:space="preserve">The TIO should differentiate </w:t>
      </w:r>
      <w:r w:rsidR="00BC51BB">
        <w:t xml:space="preserve">simple </w:t>
      </w:r>
      <w:r>
        <w:t xml:space="preserve">complaints </w:t>
      </w:r>
      <w:r w:rsidR="002B13C4">
        <w:t>that could reasonably be resolved within 5 business days</w:t>
      </w:r>
      <w:r w:rsidR="009E39DF">
        <w:t xml:space="preserve"> from </w:t>
      </w:r>
      <w:proofErr w:type="gramStart"/>
      <w:r w:rsidR="009E39DF">
        <w:t>referral</w:t>
      </w:r>
      <w:r w:rsidR="002B13C4">
        <w:t xml:space="preserve">, </w:t>
      </w:r>
      <w:r w:rsidR="009E39DF">
        <w:t>and</w:t>
      </w:r>
      <w:proofErr w:type="gramEnd"/>
      <w:r w:rsidR="009E39DF">
        <w:t xml:space="preserve"> amend the permitted response time accordingly. </w:t>
      </w:r>
    </w:p>
    <w:p w14:paraId="787E87FA" w14:textId="77B14148" w:rsidR="00FB0AFF" w:rsidRPr="002A0959" w:rsidRDefault="00FB0AFF" w:rsidP="005C4EDF">
      <w:pPr>
        <w:pStyle w:val="Heading2"/>
        <w:rPr>
          <w:sz w:val="22"/>
          <w:szCs w:val="22"/>
        </w:rPr>
      </w:pPr>
      <w:r w:rsidRPr="002A0959">
        <w:t>The TIO should follow up on complaint referrals</w:t>
      </w:r>
    </w:p>
    <w:p w14:paraId="32E2A730" w14:textId="77777777" w:rsidR="008927B8" w:rsidRDefault="00FB0AFF" w:rsidP="00A03465">
      <w:r>
        <w:t xml:space="preserve">A key area for process improvement is at the completion of Stage 1, or referral stage, of the TIO’s complaints process. Currently, when a consumer contacts the TIO with a complaint that it </w:t>
      </w:r>
      <w:proofErr w:type="gramStart"/>
      <w:r>
        <w:t>is able to</w:t>
      </w:r>
      <w:proofErr w:type="gramEnd"/>
      <w:r>
        <w:t xml:space="preserve"> handle, in most cases the complaint is referred back to the </w:t>
      </w:r>
      <w:r w:rsidR="00055A4C">
        <w:t>TIO member</w:t>
      </w:r>
      <w:r>
        <w:t xml:space="preserve"> for resolution within 10 business days.</w:t>
      </w:r>
      <w:r w:rsidR="00CC26EB">
        <w:t xml:space="preserve"> I</w:t>
      </w:r>
      <w:r>
        <w:t xml:space="preserve">f the consumer is unsatisfied with the </w:t>
      </w:r>
      <w:r w:rsidR="00055A4C">
        <w:t>member’s</w:t>
      </w:r>
      <w:r>
        <w:t xml:space="preserve"> response, the consumer must</w:t>
      </w:r>
      <w:r w:rsidR="00CC26EB">
        <w:t xml:space="preserve"> then</w:t>
      </w:r>
      <w:r>
        <w:t xml:space="preserve"> contact the TIO again to indicate that the complaint has not yet been resolved.</w:t>
      </w:r>
      <w:r>
        <w:rPr>
          <w:rStyle w:val="FootnoteReference"/>
        </w:rPr>
        <w:footnoteReference w:id="24"/>
      </w:r>
      <w:r>
        <w:t xml:space="preserve"> </w:t>
      </w:r>
    </w:p>
    <w:p w14:paraId="1C66FF9D" w14:textId="7EC36E77" w:rsidR="008927B8" w:rsidRDefault="00FB0AFF" w:rsidP="00A03465">
      <w:r>
        <w:t xml:space="preserve">The TIO should introduce a process by which it proactively follows up with consumers to assess whether the </w:t>
      </w:r>
      <w:r w:rsidR="00055A4C">
        <w:t>member</w:t>
      </w:r>
      <w:r>
        <w:t xml:space="preserve"> and consumer have resolved the complaint. It is important to acknowledge that when a consumer raises an issue to the TIO, the issue has often persisted for weeks or even months. Case studies and anecdotal feedback indicate that consumers can ‘slip through the gaps’ and cease to pursue a complaint after it has been referred to a</w:t>
      </w:r>
      <w:r w:rsidR="00055A4C">
        <w:t xml:space="preserve"> member</w:t>
      </w:r>
      <w:r w:rsidR="005F24FB">
        <w:t>,</w:t>
      </w:r>
      <w:r w:rsidR="00055A4C">
        <w:t xml:space="preserve"> </w:t>
      </w:r>
      <w:r>
        <w:t>and not resolved.</w:t>
      </w:r>
    </w:p>
    <w:p w14:paraId="35E9142A" w14:textId="3BAD2B1E" w:rsidR="004D3B16" w:rsidRDefault="008927B8" w:rsidP="00A03465">
      <w:r>
        <w:t xml:space="preserve">We are concerned </w:t>
      </w:r>
      <w:r w:rsidR="00596726">
        <w:t xml:space="preserve">that </w:t>
      </w:r>
      <w:r>
        <w:t>this lead</w:t>
      </w:r>
      <w:r w:rsidR="004502FF">
        <w:t>s</w:t>
      </w:r>
      <w:r>
        <w:t xml:space="preserve"> to a gap in the TIO’s data between those who have </w:t>
      </w:r>
      <w:proofErr w:type="gramStart"/>
      <w:r>
        <w:t>actually been</w:t>
      </w:r>
      <w:proofErr w:type="gramEnd"/>
      <w:r>
        <w:t xml:space="preserve"> able to resolve their complaint</w:t>
      </w:r>
      <w:r w:rsidR="004502FF">
        <w:t>,</w:t>
      </w:r>
      <w:r>
        <w:t xml:space="preserve"> and those who simply do not or are not able to follow-up with the TIO</w:t>
      </w:r>
      <w:r w:rsidR="004502FF">
        <w:t xml:space="preserve"> again</w:t>
      </w:r>
      <w:r>
        <w:t xml:space="preserve">. The TIO states on its website that </w:t>
      </w:r>
      <w:r w:rsidRPr="006D01D9">
        <w:t>‘</w:t>
      </w:r>
      <w:r w:rsidRPr="00AD055B">
        <w:t>almost 90% of complaints are resolved within 10 business days</w:t>
      </w:r>
      <w:r w:rsidRPr="006D01D9">
        <w:t>’</w:t>
      </w:r>
      <w:r>
        <w:t>.</w:t>
      </w:r>
      <w:r>
        <w:rPr>
          <w:rStyle w:val="FootnoteReference"/>
        </w:rPr>
        <w:footnoteReference w:id="25"/>
      </w:r>
      <w:r>
        <w:t xml:space="preserve"> However, we know from speaking to c</w:t>
      </w:r>
      <w:r w:rsidR="004D3B16">
        <w:t>onsumers</w:t>
      </w:r>
      <w:r>
        <w:t xml:space="preserve"> who are confused about whether their matter is still with the TIO, or who have never heard again from their provider, that this does not account for the percentage of people who make complaints to the TIO but do not proactively re-engage with the TIO. This can be due to confusion, complaint fatigue, or disengagement for many other valid and understandable reasons. </w:t>
      </w:r>
    </w:p>
    <w:p w14:paraId="79E7993A" w14:textId="2A1383B7" w:rsidR="00F040D7" w:rsidRDefault="008927B8" w:rsidP="00A03465">
      <w:r>
        <w:t>In contrast, AFCA requires</w:t>
      </w:r>
      <w:r w:rsidR="005B4D82">
        <w:t xml:space="preserve"> its</w:t>
      </w:r>
      <w:r>
        <w:t xml:space="preserve"> </w:t>
      </w:r>
      <w:r w:rsidR="004D3B16">
        <w:t>member</w:t>
      </w:r>
      <w:r w:rsidR="0037164B">
        <w:t>s</w:t>
      </w:r>
      <w:r w:rsidR="004D3B16">
        <w:t xml:space="preserve"> </w:t>
      </w:r>
      <w:r>
        <w:t xml:space="preserve">to provide </w:t>
      </w:r>
      <w:r w:rsidR="005B4D82">
        <w:t xml:space="preserve">it with </w:t>
      </w:r>
      <w:r>
        <w:t xml:space="preserve">a response to a complaint referred to them by AFCA. This then triggers a generic email from AFCA to the consumer, noting they understand the </w:t>
      </w:r>
      <w:r w:rsidR="005B4D82">
        <w:t>member</w:t>
      </w:r>
      <w:r>
        <w:t xml:space="preserve"> has responded, and notifying the consumer they can contact AFCA if the complaint has not been resolved. If the </w:t>
      </w:r>
      <w:r w:rsidR="00F040D7">
        <w:t>member</w:t>
      </w:r>
      <w:r>
        <w:t xml:space="preserve"> never contacts AFCA within the resolution timeframe, the matter is automatically progressed to AFCA Case Management.  </w:t>
      </w:r>
    </w:p>
    <w:p w14:paraId="43F003C8" w14:textId="15EB6143" w:rsidR="00040252" w:rsidRDefault="00C86A72" w:rsidP="00A03465">
      <w:r>
        <w:t>In many cases, t</w:t>
      </w:r>
      <w:r w:rsidRPr="002C4615">
        <w:t xml:space="preserve">he people who will be most disadvantaged by a lack of follow up by the TIO will </w:t>
      </w:r>
      <w:r w:rsidR="00AB198F">
        <w:t xml:space="preserve">also be those experiencing </w:t>
      </w:r>
      <w:r w:rsidR="00081991">
        <w:t xml:space="preserve">significant </w:t>
      </w:r>
      <w:r w:rsidR="00AB198F">
        <w:t>vulnerability</w:t>
      </w:r>
      <w:r w:rsidR="00081991">
        <w:t xml:space="preserve"> </w:t>
      </w:r>
      <w:r w:rsidRPr="002C4615">
        <w:t>–</w:t>
      </w:r>
      <w:r w:rsidR="00C33FC0">
        <w:t xml:space="preserve"> </w:t>
      </w:r>
      <w:r w:rsidRPr="002C4615">
        <w:t xml:space="preserve">people who are struggling with telecommunications </w:t>
      </w:r>
      <w:r>
        <w:t xml:space="preserve">or other stress-inducing debt, </w:t>
      </w:r>
      <w:r w:rsidR="00081991">
        <w:t xml:space="preserve">or people experiencing </w:t>
      </w:r>
      <w:r>
        <w:t xml:space="preserve">family violence, or homelessness, for example. </w:t>
      </w:r>
      <w:r w:rsidR="00040252">
        <w:t xml:space="preserve">The TIO should introduce a mechanism, either by phone call, </w:t>
      </w:r>
      <w:proofErr w:type="gramStart"/>
      <w:r w:rsidR="00040252">
        <w:t>email</w:t>
      </w:r>
      <w:proofErr w:type="gramEnd"/>
      <w:r w:rsidR="00040252">
        <w:t xml:space="preserve"> or SMS, to confirm with the consumer </w:t>
      </w:r>
      <w:r w:rsidR="009F5CF4">
        <w:t xml:space="preserve">whether a </w:t>
      </w:r>
      <w:r w:rsidR="00040252">
        <w:t>complaint has been resolved at the completion of the referral period. If the complaint has not been resolved at this stage, the TIO should continue to handle the complaint.</w:t>
      </w:r>
    </w:p>
    <w:p w14:paraId="586D3F1A" w14:textId="7C9DD19B" w:rsidR="00AD24A1" w:rsidRPr="00AD055B" w:rsidRDefault="00AD24A1" w:rsidP="00AD24A1">
      <w:pPr>
        <w:pStyle w:val="Recommendation"/>
        <w:numPr>
          <w:ilvl w:val="0"/>
          <w:numId w:val="0"/>
        </w:numPr>
        <w:ind w:left="851"/>
        <w:rPr>
          <w:b/>
          <w:bCs/>
        </w:rPr>
      </w:pPr>
      <w:r w:rsidRPr="00AD055B">
        <w:rPr>
          <w:b/>
          <w:bCs/>
        </w:rPr>
        <w:lastRenderedPageBreak/>
        <w:t xml:space="preserve">Case study: </w:t>
      </w:r>
      <w:r w:rsidR="00AD65AD">
        <w:rPr>
          <w:b/>
          <w:bCs/>
        </w:rPr>
        <w:t xml:space="preserve">Consumer </w:t>
      </w:r>
      <w:r w:rsidR="00993739">
        <w:rPr>
          <w:b/>
          <w:bCs/>
        </w:rPr>
        <w:t>struggling t</w:t>
      </w:r>
      <w:r w:rsidR="00F53420">
        <w:rPr>
          <w:b/>
          <w:bCs/>
        </w:rPr>
        <w:t>o secure telco responses</w:t>
      </w:r>
    </w:p>
    <w:p w14:paraId="1459975E" w14:textId="20901A2C" w:rsidR="00AD24A1" w:rsidRDefault="00AD24A1" w:rsidP="00AD24A1">
      <w:pPr>
        <w:pStyle w:val="Recommendation"/>
        <w:numPr>
          <w:ilvl w:val="0"/>
          <w:numId w:val="0"/>
        </w:numPr>
        <w:ind w:left="851"/>
      </w:pPr>
      <w:r>
        <w:t xml:space="preserve">David (name changed) is in his </w:t>
      </w:r>
      <w:proofErr w:type="gramStart"/>
      <w:r>
        <w:t>thirties, and</w:t>
      </w:r>
      <w:proofErr w:type="gramEnd"/>
      <w:r>
        <w:t xml:space="preserve"> called the National Debt Helpline (</w:t>
      </w:r>
      <w:r w:rsidRPr="00AD055B">
        <w:rPr>
          <w:b/>
          <w:bCs/>
        </w:rPr>
        <w:t>NDH</w:t>
      </w:r>
      <w:r>
        <w:t>) in late 2019 about multiple debts totalling more than $60,000. David told us he worked in catering and sometimes drove for a ride-share service, but he was struggling with an injured leg, which he thought may reduce his approximate $1600/fortnight salary. David said he was experiencing mental ill-health, with the overwhelm</w:t>
      </w:r>
      <w:r w:rsidR="00DD5513">
        <w:t>ing nature</w:t>
      </w:r>
      <w:r>
        <w:t xml:space="preserve"> of his debts adding to this.</w:t>
      </w:r>
    </w:p>
    <w:p w14:paraId="176E574B" w14:textId="073AAE48" w:rsidR="00AD24A1" w:rsidRDefault="00AD24A1" w:rsidP="00AD24A1">
      <w:pPr>
        <w:pStyle w:val="Recommendation"/>
        <w:numPr>
          <w:ilvl w:val="0"/>
          <w:numId w:val="0"/>
        </w:numPr>
        <w:ind w:left="851"/>
      </w:pPr>
      <w:r>
        <w:t xml:space="preserve">David told us that in 2018, he purchased an iPad at an electronics retailer, which also signed him up to a telco service. He was already in a contract with a different major telco provider. After he received the new </w:t>
      </w:r>
      <w:r w:rsidR="00414BCB">
        <w:t>SIM</w:t>
      </w:r>
      <w:r>
        <w:t xml:space="preserve"> card, the service was inconsistent; he couldn’t get incoming calls or make outgoing calls - sometimes </w:t>
      </w:r>
      <w:r w:rsidR="007E499A">
        <w:t xml:space="preserve">he had </w:t>
      </w:r>
      <w:r>
        <w:t>no signal.</w:t>
      </w:r>
    </w:p>
    <w:p w14:paraId="2834D676" w14:textId="7A845103" w:rsidR="00AD24A1" w:rsidRDefault="00AD24A1" w:rsidP="00AD24A1">
      <w:pPr>
        <w:pStyle w:val="Recommendation"/>
        <w:numPr>
          <w:ilvl w:val="0"/>
          <w:numId w:val="0"/>
        </w:numPr>
        <w:ind w:left="851"/>
      </w:pPr>
      <w:r>
        <w:t xml:space="preserve">David said he returned to the electronics retailer, and </w:t>
      </w:r>
      <w:r w:rsidR="00925089">
        <w:t xml:space="preserve">after </w:t>
      </w:r>
      <w:r>
        <w:t xml:space="preserve">they changed </w:t>
      </w:r>
      <w:r w:rsidR="00414BCB">
        <w:t>SIM</w:t>
      </w:r>
      <w:r>
        <w:t xml:space="preserve"> cards a few times, still it was not working. After two or three weeks, </w:t>
      </w:r>
      <w:r w:rsidR="00414BCB">
        <w:t>he</w:t>
      </w:r>
      <w:r>
        <w:t xml:space="preserve"> went to the telco’s retail </w:t>
      </w:r>
      <w:r w:rsidR="00414BCB">
        <w:t>store</w:t>
      </w:r>
      <w:r>
        <w:t xml:space="preserve">. David said he was told the telco needed to investigate the </w:t>
      </w:r>
      <w:r w:rsidR="00360A80">
        <w:t>SIM</w:t>
      </w:r>
      <w:r>
        <w:t xml:space="preserve"> card. David said he left them to investigate the </w:t>
      </w:r>
      <w:r w:rsidR="00360A80">
        <w:t>SIM</w:t>
      </w:r>
      <w:r>
        <w:t xml:space="preserve"> card for two </w:t>
      </w:r>
      <w:r w:rsidR="00360A80">
        <w:t>to</w:t>
      </w:r>
      <w:r>
        <w:t xml:space="preserve"> three weeks; after tha</w:t>
      </w:r>
      <w:r w:rsidR="00360A80">
        <w:t>t</w:t>
      </w:r>
      <w:r>
        <w:t xml:space="preserve"> he continued to have issues. David informed the telco he wanted to cancel</w:t>
      </w:r>
      <w:r w:rsidR="00360A80">
        <w:t xml:space="preserve"> his contr</w:t>
      </w:r>
      <w:r w:rsidR="00AA2AB7">
        <w:t>a</w:t>
      </w:r>
      <w:r w:rsidR="00360A80">
        <w:t>ct</w:t>
      </w:r>
      <w:r>
        <w:t>. David said he was advised he would then be required to pay cancellation fees.</w:t>
      </w:r>
    </w:p>
    <w:p w14:paraId="3E0BBC4C" w14:textId="4D07445C" w:rsidR="00AD24A1" w:rsidRDefault="00AD24A1" w:rsidP="00AD24A1">
      <w:pPr>
        <w:pStyle w:val="Recommendation"/>
        <w:numPr>
          <w:ilvl w:val="0"/>
          <w:numId w:val="0"/>
        </w:numPr>
        <w:ind w:left="851"/>
      </w:pPr>
      <w:r>
        <w:t xml:space="preserve">David said he went to the </w:t>
      </w:r>
      <w:r w:rsidR="00360A80">
        <w:t>TIO</w:t>
      </w:r>
      <w:r>
        <w:t xml:space="preserve">, who said they </w:t>
      </w:r>
      <w:r w:rsidR="00360A80">
        <w:t>would</w:t>
      </w:r>
      <w:r>
        <w:t xml:space="preserve"> contact the telco, and if he </w:t>
      </w:r>
      <w:r w:rsidR="000119D7">
        <w:t>did</w:t>
      </w:r>
      <w:r>
        <w:t xml:space="preserve"> not get a response</w:t>
      </w:r>
      <w:r w:rsidR="000119D7">
        <w:t>,</w:t>
      </w:r>
      <w:r>
        <w:t xml:space="preserve"> he should call </w:t>
      </w:r>
      <w:r w:rsidR="000119D7">
        <w:t>the TIO</w:t>
      </w:r>
      <w:r>
        <w:t xml:space="preserve"> back again. David said he went back to the telco, but still nothing happened, so he cancelled the contract to return to his old provider. David said he then received an invoice for approximately $500, and, at the time of his call to NDH, a letter stating legal action would be taken against him. </w:t>
      </w:r>
    </w:p>
    <w:p w14:paraId="2F37F40C" w14:textId="079625AD" w:rsidR="00AD24A1" w:rsidRPr="00AD055B" w:rsidRDefault="00AD24A1" w:rsidP="00C33FC0">
      <w:pPr>
        <w:pStyle w:val="Recommendation"/>
        <w:numPr>
          <w:ilvl w:val="0"/>
          <w:numId w:val="0"/>
        </w:numPr>
        <w:ind w:left="851"/>
        <w:rPr>
          <w:i/>
          <w:iCs/>
        </w:rPr>
      </w:pPr>
      <w:r w:rsidRPr="00AD055B">
        <w:rPr>
          <w:i/>
          <w:iCs/>
        </w:rPr>
        <w:t>Case study provided by Consumer Action Law Centre</w:t>
      </w:r>
      <w:r w:rsidR="00DA2C5B" w:rsidRPr="00AD055B">
        <w:rPr>
          <w:i/>
          <w:iCs/>
        </w:rPr>
        <w:t>.</w:t>
      </w:r>
    </w:p>
    <w:p w14:paraId="08E8316A" w14:textId="50BA23C0" w:rsidR="001055E5" w:rsidRDefault="00E619D8" w:rsidP="00FB0AFF">
      <w:r>
        <w:t xml:space="preserve">We note that the TIO supported Recommendation 7 of the 2017 Independent Review of the TIO, </w:t>
      </w:r>
      <w:r w:rsidR="006F1CAE">
        <w:t xml:space="preserve">which stated </w:t>
      </w:r>
      <w:r>
        <w:t xml:space="preserve">that </w:t>
      </w:r>
      <w:r w:rsidR="00726E5E">
        <w:t>‘t</w:t>
      </w:r>
      <w:r>
        <w:t>he TIO should undertake a limited exercise of periodic telephone surveying of a randomly selected group of consumers whose complaint does not return to the TIO as a conciliated (Level 2) complaint – to check that they were satisfied that their complaint was reasonably and fairly dealt with by the provider and, if not, why they did not pursue their complaint through the TIO.</w:t>
      </w:r>
      <w:r w:rsidR="00781113">
        <w:t>’</w:t>
      </w:r>
      <w:r w:rsidR="00257C04">
        <w:rPr>
          <w:rStyle w:val="FootnoteReference"/>
        </w:rPr>
        <w:footnoteReference w:id="26"/>
      </w:r>
      <w:r w:rsidR="00781113">
        <w:t xml:space="preserve"> </w:t>
      </w:r>
      <w:r w:rsidR="006F1CAE">
        <w:t>The TIO undertook this survey, and s</w:t>
      </w:r>
      <w:r w:rsidR="00781113">
        <w:t xml:space="preserve">ome high-level findings were included in the TIO’s </w:t>
      </w:r>
      <w:r w:rsidR="004F6322">
        <w:t xml:space="preserve">2019 </w:t>
      </w:r>
      <w:r w:rsidR="00781113">
        <w:t xml:space="preserve">submission </w:t>
      </w:r>
      <w:r w:rsidR="00D44845">
        <w:t xml:space="preserve">to the </w:t>
      </w:r>
      <w:r w:rsidR="00781113" w:rsidRPr="00C33FC0">
        <w:rPr>
          <w:i/>
          <w:iCs/>
        </w:rPr>
        <w:t>Consumer Safeguards Review Part A: Redress</w:t>
      </w:r>
      <w:r w:rsidR="00BA6AF1" w:rsidRPr="00C33FC0">
        <w:rPr>
          <w:i/>
          <w:iCs/>
        </w:rPr>
        <w:t xml:space="preserve"> and Complaint Handling</w:t>
      </w:r>
      <w:r w:rsidR="00BA6AF1">
        <w:t xml:space="preserve">. </w:t>
      </w:r>
      <w:r w:rsidR="00331F4B">
        <w:t>T</w:t>
      </w:r>
      <w:r w:rsidR="00BA6AF1">
        <w:t>h</w:t>
      </w:r>
      <w:r w:rsidR="007A4D30">
        <w:t xml:space="preserve">is </w:t>
      </w:r>
      <w:r w:rsidR="00FC18A6">
        <w:t xml:space="preserve">submission reports that </w:t>
      </w:r>
      <w:r w:rsidR="006F1CAE">
        <w:t>that</w:t>
      </w:r>
      <w:r w:rsidR="00BA6AF1">
        <w:t xml:space="preserve"> survey found </w:t>
      </w:r>
      <w:r w:rsidR="00331F4B">
        <w:t>91</w:t>
      </w:r>
      <w:r w:rsidR="00BA6AF1">
        <w:t>%</w:t>
      </w:r>
      <w:r w:rsidR="00331F4B">
        <w:t xml:space="preserve"> of providers </w:t>
      </w:r>
      <w:proofErr w:type="gramStart"/>
      <w:r w:rsidR="00331F4B">
        <w:t xml:space="preserve">made contact </w:t>
      </w:r>
      <w:r w:rsidR="006F1CAE">
        <w:t>with</w:t>
      </w:r>
      <w:proofErr w:type="gramEnd"/>
      <w:r w:rsidR="006F1CAE">
        <w:t xml:space="preserve"> </w:t>
      </w:r>
      <w:r w:rsidR="007A4D30">
        <w:t xml:space="preserve">the </w:t>
      </w:r>
      <w:r w:rsidR="00760B5E">
        <w:t>consumer complainant</w:t>
      </w:r>
      <w:r w:rsidR="006F1CAE">
        <w:t xml:space="preserve"> </w:t>
      </w:r>
      <w:r w:rsidR="00331F4B">
        <w:t xml:space="preserve">after referral, and </w:t>
      </w:r>
      <w:r w:rsidR="00A103DB">
        <w:t xml:space="preserve">81% </w:t>
      </w:r>
      <w:r w:rsidR="00FC18A6">
        <w:t xml:space="preserve">of </w:t>
      </w:r>
      <w:r w:rsidR="00EC0318">
        <w:t>consumers had their issue resolved through th</w:t>
      </w:r>
      <w:r w:rsidR="00760B5E">
        <w:t>is</w:t>
      </w:r>
      <w:r w:rsidR="00EC0318">
        <w:t xml:space="preserve"> referral process</w:t>
      </w:r>
      <w:r w:rsidR="00FC18A6">
        <w:t>.</w:t>
      </w:r>
      <w:r w:rsidR="005E5846">
        <w:rPr>
          <w:rStyle w:val="FootnoteReference"/>
        </w:rPr>
        <w:footnoteReference w:id="27"/>
      </w:r>
      <w:r w:rsidR="00FC18A6">
        <w:t xml:space="preserve"> </w:t>
      </w:r>
      <w:r w:rsidR="00AD088D">
        <w:t>The fact that 9% of consumers did not receive contact is a particularly concerning figure, and it is not clear whether their complaint progressed through the TIO. Furthermore</w:t>
      </w:r>
      <w:r w:rsidR="005E5846">
        <w:t xml:space="preserve">, it is unclear </w:t>
      </w:r>
      <w:r w:rsidR="004F6322">
        <w:lastRenderedPageBreak/>
        <w:t xml:space="preserve">when the </w:t>
      </w:r>
      <w:r w:rsidR="00884F5B">
        <w:t xml:space="preserve">TIO’s </w:t>
      </w:r>
      <w:r w:rsidR="004F6322">
        <w:t xml:space="preserve">survey took place, </w:t>
      </w:r>
      <w:r w:rsidR="006F1CAE">
        <w:t xml:space="preserve">how many consumers participated in the survey, whether the sample </w:t>
      </w:r>
      <w:r w:rsidR="00B5026F">
        <w:t>was diverse or representative</w:t>
      </w:r>
      <w:r w:rsidR="00F60742">
        <w:t>, or</w:t>
      </w:r>
      <w:r w:rsidR="00761C41">
        <w:t xml:space="preserve"> why complaints hadn’t been resolved</w:t>
      </w:r>
      <w:r w:rsidR="00F60742">
        <w:t xml:space="preserve"> </w:t>
      </w:r>
      <w:r w:rsidR="00761C41">
        <w:t>at the point of referral</w:t>
      </w:r>
      <w:r w:rsidR="00884F5B">
        <w:t xml:space="preserve">. </w:t>
      </w:r>
    </w:p>
    <w:p w14:paraId="662FBA24" w14:textId="1CFB2812" w:rsidR="00781113" w:rsidRDefault="00AD088D" w:rsidP="00FB0AFF">
      <w:r>
        <w:t>In addition</w:t>
      </w:r>
      <w:r w:rsidR="007A4D30">
        <w:t>, t</w:t>
      </w:r>
      <w:r w:rsidR="00884F5B">
        <w:t>he survey found that 70% of consumers</w:t>
      </w:r>
      <w:r w:rsidR="001055E5">
        <w:t xml:space="preserve"> whose complaints were </w:t>
      </w:r>
      <w:r w:rsidR="002D6D83">
        <w:t>referred</w:t>
      </w:r>
      <w:r w:rsidR="008C64D5">
        <w:t>,</w:t>
      </w:r>
      <w:r w:rsidR="001055E5">
        <w:t xml:space="preserve"> but didn’t return to the TIO</w:t>
      </w:r>
      <w:r w:rsidR="008C64D5">
        <w:t>,</w:t>
      </w:r>
      <w:r w:rsidR="00884F5B">
        <w:t xml:space="preserve"> felt frustrated</w:t>
      </w:r>
      <w:r w:rsidR="008C64D5">
        <w:t>.</w:t>
      </w:r>
      <w:r w:rsidR="00884F5B">
        <w:t xml:space="preserve"> </w:t>
      </w:r>
      <w:r w:rsidR="007A4D30">
        <w:t xml:space="preserve">In addition, </w:t>
      </w:r>
      <w:r w:rsidR="00884F5B">
        <w:t>57% felt angry, 56% felt annoyed, 51% felt stressed, and 47% felt powerless dealing with their telco.</w:t>
      </w:r>
      <w:r w:rsidR="001055E5">
        <w:t xml:space="preserve"> This is a significant concern, and further demonstrates that t</w:t>
      </w:r>
      <w:r w:rsidR="00761C41">
        <w:t>he current TIO complaint referral process is leav</w:t>
      </w:r>
      <w:r w:rsidR="007B4FC9">
        <w:t>ing</w:t>
      </w:r>
      <w:r w:rsidR="00761C41">
        <w:t xml:space="preserve"> too many consumers behind. </w:t>
      </w:r>
    </w:p>
    <w:p w14:paraId="1301FF8A" w14:textId="38D9BFB9" w:rsidR="00FB0AFF" w:rsidRDefault="00FB0AFF" w:rsidP="00CB319E">
      <w:pPr>
        <w:pStyle w:val="Recommendation"/>
        <w:numPr>
          <w:ilvl w:val="0"/>
          <w:numId w:val="41"/>
        </w:numPr>
      </w:pPr>
      <w:r>
        <w:t xml:space="preserve">Once a complaint has been referred to a TIO member, the TIO should follow up with the consumer to assess whether the complaint has been </w:t>
      </w:r>
      <w:proofErr w:type="gramStart"/>
      <w:r>
        <w:t>resolved, and</w:t>
      </w:r>
      <w:proofErr w:type="gramEnd"/>
      <w:r>
        <w:t xml:space="preserve"> </w:t>
      </w:r>
      <w:r w:rsidR="00B45DD6">
        <w:t>should continue handling the complaint if it hasn’t</w:t>
      </w:r>
      <w:r>
        <w:t xml:space="preserve">. </w:t>
      </w:r>
    </w:p>
    <w:p w14:paraId="366E318B" w14:textId="193B91EE" w:rsidR="00BD5A3B" w:rsidRDefault="00BD5A3B" w:rsidP="005C4EDF">
      <w:pPr>
        <w:pStyle w:val="Heading2"/>
      </w:pPr>
      <w:r w:rsidRPr="00C52E5C">
        <w:t>Working alongside consumer advocates</w:t>
      </w:r>
    </w:p>
    <w:p w14:paraId="4F104D62" w14:textId="425CA1ED" w:rsidR="006034A4" w:rsidRDefault="006034A4" w:rsidP="006034A4">
      <w:r>
        <w:t xml:space="preserve">There have been significant improvements in how the TIO engages with consumer advocates and community organisations in recent years, for which the TIO should be commended. </w:t>
      </w:r>
    </w:p>
    <w:p w14:paraId="279BC860" w14:textId="3022272C" w:rsidR="006034A4" w:rsidRDefault="00632F5F" w:rsidP="006034A4">
      <w:r>
        <w:t>However, t</w:t>
      </w:r>
      <w:r w:rsidR="00267506">
        <w:t>he TIO’s r</w:t>
      </w:r>
      <w:r w:rsidR="002F6067" w:rsidRPr="002F6067">
        <w:t>ecognition of documents from advocates</w:t>
      </w:r>
      <w:r w:rsidR="00FF275C">
        <w:t xml:space="preserve"> that establish their authority to </w:t>
      </w:r>
      <w:r w:rsidR="00267506">
        <w:t>deal on behalf of consumers</w:t>
      </w:r>
      <w:r w:rsidR="002F6067" w:rsidRPr="002F6067">
        <w:t xml:space="preserve"> continue</w:t>
      </w:r>
      <w:r w:rsidR="00267506">
        <w:t>s</w:t>
      </w:r>
      <w:r w:rsidR="002F6067" w:rsidRPr="002F6067">
        <w:t xml:space="preserve"> to be an issue that negatively impacts peoples’ access to justice. </w:t>
      </w:r>
      <w:r w:rsidR="003D5EBE">
        <w:t>Despite</w:t>
      </w:r>
      <w:r w:rsidR="00BB1B15">
        <w:t xml:space="preserve"> multiple COVID-19</w:t>
      </w:r>
      <w:r w:rsidR="003D5EBE">
        <w:t xml:space="preserve"> lockdowns </w:t>
      </w:r>
      <w:r w:rsidR="00BB1B15">
        <w:t>since 2020</w:t>
      </w:r>
      <w:r w:rsidR="002F6067" w:rsidRPr="002F6067">
        <w:t xml:space="preserve">, Consumer Action </w:t>
      </w:r>
      <w:r w:rsidR="00AD088D">
        <w:t>caseworkers have run</w:t>
      </w:r>
      <w:r w:rsidR="002F6067" w:rsidRPr="002F6067">
        <w:t xml:space="preserve"> into multiple hurdles in attempting to have the TIO recognise our community legal centre’s authority to act for the client. This included requirements for details to be handwritten</w:t>
      </w:r>
      <w:r w:rsidR="00267506">
        <w:t xml:space="preserve">, </w:t>
      </w:r>
      <w:r w:rsidR="002F6067" w:rsidRPr="002F6067">
        <w:t>despite state</w:t>
      </w:r>
      <w:r w:rsidR="00AD088D">
        <w:t>-mandated</w:t>
      </w:r>
      <w:r w:rsidR="002F6067" w:rsidRPr="002F6067">
        <w:t xml:space="preserve"> work from home orders that made this incredibly difficult. These burdens create stress for vulnerable clients and are incredibly inefficient and time consuming for consume</w:t>
      </w:r>
      <w:r w:rsidR="001C28F7">
        <w:t>r</w:t>
      </w:r>
      <w:r w:rsidR="002F6067" w:rsidRPr="002F6067">
        <w:t xml:space="preserve"> advocates</w:t>
      </w:r>
      <w:r w:rsidR="00267506">
        <w:t>. They e</w:t>
      </w:r>
      <w:r w:rsidR="002F6067" w:rsidRPr="002F6067">
        <w:t>ssentially reduc</w:t>
      </w:r>
      <w:r w:rsidR="00267506">
        <w:t xml:space="preserve">e </w:t>
      </w:r>
      <w:r w:rsidR="00C578FB">
        <w:t>the community sector’s</w:t>
      </w:r>
      <w:r w:rsidR="002F6067" w:rsidRPr="002F6067">
        <w:t xml:space="preserve"> capacity to assist</w:t>
      </w:r>
      <w:r w:rsidR="00C578FB">
        <w:t xml:space="preserve"> and provide services to</w:t>
      </w:r>
      <w:r w:rsidR="002F6067" w:rsidRPr="002F6067">
        <w:t xml:space="preserve"> </w:t>
      </w:r>
      <w:r w:rsidR="00267506">
        <w:t>consumers</w:t>
      </w:r>
      <w:r w:rsidR="002F6067" w:rsidRPr="002F6067">
        <w:t>. Recognition of</w:t>
      </w:r>
      <w:r w:rsidR="00C578FB">
        <w:t xml:space="preserve"> documents that establish a</w:t>
      </w:r>
      <w:r w:rsidR="002F6067" w:rsidRPr="002F6067">
        <w:t xml:space="preserve"> consumer advocate</w:t>
      </w:r>
      <w:r w:rsidR="00C578FB">
        <w:t>s’</w:t>
      </w:r>
      <w:r w:rsidR="002F6067" w:rsidRPr="002F6067">
        <w:t>, particularly legal representative</w:t>
      </w:r>
      <w:r w:rsidR="00C578FB">
        <w:t>s’</w:t>
      </w:r>
      <w:r w:rsidR="002F6067" w:rsidRPr="002F6067">
        <w:t>, authority to act ha</w:t>
      </w:r>
      <w:r w:rsidR="00C578FB">
        <w:t>s</w:t>
      </w:r>
      <w:r w:rsidR="002F6067" w:rsidRPr="002F6067">
        <w:t xml:space="preserve"> been a problem in the telco sector for years. If the TIO is unable to accept legal representative documents because their industry members refuse to accept them (despite guidance from the ACCC and ASIC)</w:t>
      </w:r>
      <w:r w:rsidR="00B6548A">
        <w:t>,</w:t>
      </w:r>
      <w:r w:rsidR="002F6067" w:rsidRPr="002F6067">
        <w:rPr>
          <w:rStyle w:val="FootnoteReference"/>
        </w:rPr>
        <w:footnoteReference w:id="28"/>
      </w:r>
      <w:r w:rsidR="002F6067" w:rsidRPr="002F6067">
        <w:t xml:space="preserve"> this not only affects the efficiency of the TIO but also undermines its independence</w:t>
      </w:r>
      <w:r w:rsidR="00666ACC">
        <w:t>,</w:t>
      </w:r>
      <w:r w:rsidR="002F6067" w:rsidRPr="002F6067">
        <w:t xml:space="preserve"> or perception of independence.</w:t>
      </w:r>
    </w:p>
    <w:p w14:paraId="0275A2D9" w14:textId="77777777" w:rsidR="00665BAE" w:rsidRPr="001C1637" w:rsidRDefault="00665BAE" w:rsidP="005C4EDF">
      <w:pPr>
        <w:pStyle w:val="Heading2"/>
      </w:pPr>
      <w:r w:rsidRPr="001C1637">
        <w:t>The TIO should be adequately resourced</w:t>
      </w:r>
    </w:p>
    <w:p w14:paraId="75F5105B" w14:textId="77777777" w:rsidR="00665BAE" w:rsidRDefault="00665BAE" w:rsidP="00665BAE">
      <w:r w:rsidRPr="00D8063B">
        <w:t xml:space="preserve">It is important that the TIO is adequately resourced to handle complaints in a timely and thorough manner. We commend the TIO’s significant efforts to improve the efficiency of its processes and triaging, particularly through the COVID-19 pandemic. In an environment where TIO complaints have been steadily decreasing, the financial sustainability of the TIO should be a priority to ensure adequate resourcing and prevent delays to complaints handling. If the current funding model cannot sustain timely and thorough dispute resolution as complaints decline, the funding model should be reconsidered.  </w:t>
      </w:r>
    </w:p>
    <w:p w14:paraId="558175BC" w14:textId="77777777" w:rsidR="00665BAE" w:rsidRPr="00797E32" w:rsidRDefault="00665BAE" w:rsidP="00665BAE">
      <w:r w:rsidRPr="00797E32">
        <w:lastRenderedPageBreak/>
        <w:t>A key component of effective Ombudsman scheme funding is a mix of both member-based and case-based funding. We recommend the TIO consult with AFCA and EWOV on its funding models and efficacy, noting AFCA is currently reviewing its funding with its industry members.</w:t>
      </w:r>
      <w:r w:rsidRPr="00797E32">
        <w:rPr>
          <w:rStyle w:val="FootnoteReference"/>
        </w:rPr>
        <w:footnoteReference w:id="29"/>
      </w:r>
      <w:r w:rsidRPr="00797E32">
        <w:t xml:space="preserve"> </w:t>
      </w:r>
    </w:p>
    <w:p w14:paraId="628E95D2" w14:textId="77777777" w:rsidR="00665BAE" w:rsidRPr="00797E32" w:rsidRDefault="00665BAE" w:rsidP="00665BAE">
      <w:r w:rsidRPr="00797E32">
        <w:t xml:space="preserve">We broadly support the following principles for the </w:t>
      </w:r>
      <w:r>
        <w:t xml:space="preserve">TIO’s </w:t>
      </w:r>
      <w:r w:rsidRPr="00797E32">
        <w:t xml:space="preserve">funding model: </w:t>
      </w:r>
    </w:p>
    <w:p w14:paraId="1316820B" w14:textId="23F6D32E" w:rsidR="00665BAE" w:rsidRPr="00797E32" w:rsidRDefault="00665BAE" w:rsidP="00665BAE">
      <w:pPr>
        <w:pStyle w:val="Bulletlist1"/>
      </w:pPr>
      <w:r w:rsidRPr="00797E32">
        <w:rPr>
          <w:b/>
          <w:bCs/>
        </w:rPr>
        <w:t xml:space="preserve">The overall resourcing level is sustainable and sufficient to ensure timely, </w:t>
      </w:r>
      <w:proofErr w:type="gramStart"/>
      <w:r w:rsidRPr="00797E32">
        <w:rPr>
          <w:b/>
          <w:bCs/>
        </w:rPr>
        <w:t>high quality</w:t>
      </w:r>
      <w:proofErr w:type="gramEnd"/>
      <w:r w:rsidRPr="00797E32">
        <w:rPr>
          <w:b/>
          <w:bCs/>
        </w:rPr>
        <w:t xml:space="preserve"> decision-making</w:t>
      </w:r>
      <w:r w:rsidRPr="00797E32">
        <w:t>: adequate resourcing is critical to ensure predictable, quality, and consistent outcomes</w:t>
      </w:r>
      <w:r>
        <w:t>.</w:t>
      </w:r>
    </w:p>
    <w:p w14:paraId="618790EC" w14:textId="2E0A3786" w:rsidR="00665BAE" w:rsidRPr="00797E32" w:rsidRDefault="00665BAE" w:rsidP="00665BAE">
      <w:pPr>
        <w:pStyle w:val="Bulletlist1"/>
      </w:pPr>
      <w:r w:rsidRPr="00797E32">
        <w:rPr>
          <w:b/>
          <w:bCs/>
        </w:rPr>
        <w:t>There is a user-pays element, with fees reflecting the frequency and length of complaints</w:t>
      </w:r>
      <w:r w:rsidRPr="00797E32">
        <w:t xml:space="preserve">: this reduces costs for telcos that do not cause complaints, and properly incentivises </w:t>
      </w:r>
      <w:r>
        <w:t>telcos</w:t>
      </w:r>
      <w:r w:rsidRPr="00797E32">
        <w:t xml:space="preserve"> to resolve disputes at </w:t>
      </w:r>
      <w:r>
        <w:t xml:space="preserve">the </w:t>
      </w:r>
      <w:r w:rsidRPr="00797E32">
        <w:t xml:space="preserve">IDR stage. </w:t>
      </w:r>
    </w:p>
    <w:p w14:paraId="28CF9F07" w14:textId="77777777" w:rsidR="00665BAE" w:rsidRPr="00797E32" w:rsidRDefault="00665BAE" w:rsidP="00665BAE">
      <w:pPr>
        <w:pStyle w:val="Bulletlist1"/>
      </w:pPr>
      <w:r w:rsidRPr="00797E32">
        <w:rPr>
          <w:b/>
          <w:bCs/>
        </w:rPr>
        <w:t>The funding model should not disincentivise or prevent a proper investigation of the consumer’s dispute or pressure consumers to close matters early</w:t>
      </w:r>
      <w:r w:rsidRPr="00797E32">
        <w:t xml:space="preserve">; and </w:t>
      </w:r>
    </w:p>
    <w:p w14:paraId="75AC8744" w14:textId="069E2824" w:rsidR="00665BAE" w:rsidRPr="002F6067" w:rsidRDefault="00665BAE" w:rsidP="006034A4">
      <w:pPr>
        <w:pStyle w:val="Bulletlist1"/>
      </w:pPr>
      <w:r w:rsidRPr="00797E32">
        <w:rPr>
          <w:b/>
          <w:bCs/>
        </w:rPr>
        <w:t xml:space="preserve">Critically, the TIO </w:t>
      </w:r>
      <w:r>
        <w:rPr>
          <w:b/>
          <w:bCs/>
        </w:rPr>
        <w:t xml:space="preserve">must </w:t>
      </w:r>
      <w:r w:rsidRPr="00797E32">
        <w:rPr>
          <w:b/>
          <w:bCs/>
        </w:rPr>
        <w:t>remain free to consumers</w:t>
      </w:r>
      <w:r w:rsidRPr="00797E32">
        <w:t xml:space="preserve">: Removing the cost barrier is one significant way in which </w:t>
      </w:r>
      <w:r>
        <w:t xml:space="preserve">the </w:t>
      </w:r>
      <w:r w:rsidRPr="00797E32">
        <w:t xml:space="preserve">TIO provides access to justice for any </w:t>
      </w:r>
      <w:r>
        <w:t>consumer</w:t>
      </w:r>
      <w:r w:rsidRPr="00797E32">
        <w:t xml:space="preserve"> with a complaint against their telco. While telcos may raise concerns about the </w:t>
      </w:r>
      <w:r w:rsidR="00797E32">
        <w:t>‘</w:t>
      </w:r>
      <w:r w:rsidRPr="00797E32">
        <w:t>costs</w:t>
      </w:r>
      <w:r w:rsidR="00797E32">
        <w:t>’</w:t>
      </w:r>
      <w:r w:rsidRPr="00797E32">
        <w:t xml:space="preserve"> of the TIO, we see the other side—the needless costs that arise from telcos failing to do the right thing in the first place, failing to respond appropriately in IDR, and even failing to respond to provide basic documents (such as the contract) within the legally prescribed timeframes. </w:t>
      </w:r>
    </w:p>
    <w:p w14:paraId="02899EF8" w14:textId="77777777" w:rsidR="00CE4901" w:rsidRDefault="00CE4901" w:rsidP="00CE4901">
      <w:pPr>
        <w:pStyle w:val="Heading1"/>
      </w:pPr>
      <w:bookmarkStart w:id="13" w:name="_Toc103609602"/>
      <w:r w:rsidRPr="00CE4901">
        <w:t>Industry Benchmark 6: Effectiveness</w:t>
      </w:r>
      <w:bookmarkEnd w:id="13"/>
    </w:p>
    <w:p w14:paraId="724CC93D" w14:textId="2E5BAC8F" w:rsidR="00215CF0" w:rsidRPr="00693241" w:rsidRDefault="000204D1" w:rsidP="005C4EDF">
      <w:pPr>
        <w:pStyle w:val="Heading2"/>
        <w:rPr>
          <w:sz w:val="22"/>
          <w:szCs w:val="22"/>
        </w:rPr>
      </w:pPr>
      <w:r>
        <w:t>S</w:t>
      </w:r>
      <w:r w:rsidR="00215CF0" w:rsidRPr="00693241">
        <w:t>mall business complaints</w:t>
      </w:r>
    </w:p>
    <w:p w14:paraId="2A18F8FA" w14:textId="77777777" w:rsidR="00E67017" w:rsidRDefault="00E67017" w:rsidP="0089100A">
      <w:r>
        <w:t xml:space="preserve">We are pleased that the TIO has recently focused on the unique communications problems that small businesses </w:t>
      </w:r>
      <w:proofErr w:type="gramStart"/>
      <w:r>
        <w:t>experience, and</w:t>
      </w:r>
      <w:proofErr w:type="gramEnd"/>
      <w:r>
        <w:t xml:space="preserve"> has invested in addressing and reporting on those complaints.</w:t>
      </w:r>
      <w:r>
        <w:rPr>
          <w:rStyle w:val="FootnoteReference"/>
        </w:rPr>
        <w:footnoteReference w:id="30"/>
      </w:r>
      <w:r>
        <w:t xml:space="preserve"> </w:t>
      </w:r>
    </w:p>
    <w:p w14:paraId="1589F2FD" w14:textId="697437F0" w:rsidR="00B02E15" w:rsidRDefault="0089100A" w:rsidP="0089100A">
      <w:r>
        <w:t>The TIO is permitted to deal with complaints from small businesses, and advises ‘that generally, a small business or not-for-profit consumer has up to $3,000,000 annual turnover and no more than 20 full-time employees’.</w:t>
      </w:r>
      <w:r w:rsidR="00693241">
        <w:rPr>
          <w:rStyle w:val="FootnoteReference"/>
        </w:rPr>
        <w:footnoteReference w:id="31"/>
      </w:r>
      <w:r w:rsidR="00E67017">
        <w:t xml:space="preserve"> </w:t>
      </w:r>
      <w:r w:rsidR="00536175">
        <w:t xml:space="preserve">The TIO Board </w:t>
      </w:r>
      <w:r w:rsidR="00B02E15">
        <w:t>decided not to change its definition of small business</w:t>
      </w:r>
      <w:r w:rsidR="00E67017">
        <w:t xml:space="preserve"> when modernising the TIO’s Terms of Reference</w:t>
      </w:r>
      <w:r w:rsidR="00166EF3">
        <w:t xml:space="preserve"> </w:t>
      </w:r>
      <w:r w:rsidR="00CF4F1B">
        <w:t>(</w:t>
      </w:r>
      <w:proofErr w:type="spellStart"/>
      <w:r w:rsidR="00CF4F1B" w:rsidRPr="00CF4F1B">
        <w:rPr>
          <w:b/>
          <w:bCs/>
        </w:rPr>
        <w:t>ToR</w:t>
      </w:r>
      <w:proofErr w:type="spellEnd"/>
      <w:r w:rsidR="00CF4F1B">
        <w:t xml:space="preserve">) </w:t>
      </w:r>
      <w:r w:rsidR="00166EF3">
        <w:t>in 2020</w:t>
      </w:r>
      <w:r w:rsidR="00E67017">
        <w:t>.</w:t>
      </w:r>
      <w:r w:rsidR="00E67017">
        <w:rPr>
          <w:rStyle w:val="FootnoteReference"/>
        </w:rPr>
        <w:footnoteReference w:id="32"/>
      </w:r>
      <w:r w:rsidR="00E67017">
        <w:t xml:space="preserve"> </w:t>
      </w:r>
      <w:r w:rsidR="00C21130">
        <w:t>The TIO’s current definition of small business</w:t>
      </w:r>
      <w:r w:rsidR="001932F7">
        <w:t xml:space="preserve"> has proved restrictive</w:t>
      </w:r>
      <w:r w:rsidR="00750575">
        <w:t xml:space="preserve"> and undermines the effectiveness of the scheme,</w:t>
      </w:r>
      <w:r w:rsidR="001932F7">
        <w:t xml:space="preserve"> </w:t>
      </w:r>
      <w:r w:rsidR="00750575">
        <w:t>because it</w:t>
      </w:r>
      <w:r w:rsidR="00C21130">
        <w:t xml:space="preserve"> limits</w:t>
      </w:r>
      <w:r w:rsidR="00750575">
        <w:t xml:space="preserve"> access to EDR for</w:t>
      </w:r>
      <w:r w:rsidR="001932F7">
        <w:t xml:space="preserve"> many businesses</w:t>
      </w:r>
      <w:r w:rsidR="00750575">
        <w:t xml:space="preserve"> that would legally be considered small under the Australian Consumer Law</w:t>
      </w:r>
      <w:r w:rsidR="001932F7">
        <w:t>.</w:t>
      </w:r>
      <w:r w:rsidR="0024634A">
        <w:rPr>
          <w:rStyle w:val="FootnoteReference"/>
        </w:rPr>
        <w:footnoteReference w:id="33"/>
      </w:r>
      <w:r w:rsidR="001932F7">
        <w:t xml:space="preserve"> ACCAN is regularly contacted </w:t>
      </w:r>
      <w:r w:rsidR="0069679A">
        <w:t xml:space="preserve">for assistance </w:t>
      </w:r>
      <w:r w:rsidR="001932F7">
        <w:t xml:space="preserve">by small businesses with low profit </w:t>
      </w:r>
      <w:r w:rsidR="001932F7">
        <w:lastRenderedPageBreak/>
        <w:t xml:space="preserve">margins </w:t>
      </w:r>
      <w:r w:rsidR="004D7E57">
        <w:t xml:space="preserve">that exceed </w:t>
      </w:r>
      <w:r w:rsidR="0069679A">
        <w:t>the TIO’s threshold</w:t>
      </w:r>
      <w:r w:rsidR="002E6B0D">
        <w:t>, for whom pursuing dispute resolution through the courts is not financially possible</w:t>
      </w:r>
      <w:r w:rsidR="0069679A">
        <w:t>.</w:t>
      </w:r>
    </w:p>
    <w:p w14:paraId="39E7F642" w14:textId="77777777" w:rsidR="0098223B" w:rsidRPr="0098223B" w:rsidRDefault="0098223B" w:rsidP="0098223B">
      <w:pPr>
        <w:pStyle w:val="Recommendation"/>
        <w:numPr>
          <w:ilvl w:val="0"/>
          <w:numId w:val="0"/>
        </w:numPr>
        <w:ind w:left="851"/>
        <w:rPr>
          <w:b/>
          <w:bCs/>
        </w:rPr>
      </w:pPr>
      <w:r w:rsidRPr="0098223B">
        <w:rPr>
          <w:b/>
          <w:bCs/>
        </w:rPr>
        <w:t xml:space="preserve">Case study: </w:t>
      </w:r>
      <w:proofErr w:type="gramStart"/>
      <w:r w:rsidRPr="0098223B">
        <w:rPr>
          <w:b/>
          <w:bCs/>
        </w:rPr>
        <w:t>Small</w:t>
      </w:r>
      <w:proofErr w:type="gramEnd"/>
      <w:r w:rsidRPr="0098223B">
        <w:rPr>
          <w:b/>
          <w:bCs/>
        </w:rPr>
        <w:t xml:space="preserve"> business faces significant delays</w:t>
      </w:r>
    </w:p>
    <w:p w14:paraId="1D02EB9E" w14:textId="77777777" w:rsidR="008D1A4F" w:rsidRDefault="007C01BD" w:rsidP="008D1A4F">
      <w:pPr>
        <w:pStyle w:val="Recommendation"/>
        <w:numPr>
          <w:ilvl w:val="0"/>
          <w:numId w:val="0"/>
        </w:numPr>
        <w:ind w:left="851"/>
      </w:pPr>
      <w:r>
        <w:t>Salim</w:t>
      </w:r>
      <w:r w:rsidR="004929A3">
        <w:t>’s (name changed)</w:t>
      </w:r>
      <w:r>
        <w:t xml:space="preserve"> </w:t>
      </w:r>
      <w:r w:rsidR="004929A3">
        <w:t>small business operates</w:t>
      </w:r>
      <w:r w:rsidR="003D0BEE">
        <w:t xml:space="preserve"> </w:t>
      </w:r>
      <w:r w:rsidR="004929A3">
        <w:t>two pharmacies. His telco</w:t>
      </w:r>
      <w:r w:rsidR="003C2B85">
        <w:t xml:space="preserve"> sold him a PABX </w:t>
      </w:r>
      <w:r w:rsidR="002F5AEB">
        <w:t xml:space="preserve">phone system to service both </w:t>
      </w:r>
      <w:proofErr w:type="gramStart"/>
      <w:r w:rsidR="002F5AEB">
        <w:t>pharmacies</w:t>
      </w:r>
      <w:r w:rsidR="00DC316B">
        <w:t>, and</w:t>
      </w:r>
      <w:proofErr w:type="gramEnd"/>
      <w:r w:rsidR="00DC316B">
        <w:t xml:space="preserve"> promised it would be able to do </w:t>
      </w:r>
      <w:r w:rsidR="00E86322">
        <w:t xml:space="preserve">things like </w:t>
      </w:r>
      <w:r w:rsidR="00EC2E32">
        <w:t xml:space="preserve">transfer calls between </w:t>
      </w:r>
      <w:r w:rsidR="00C93A4F">
        <w:t>sites</w:t>
      </w:r>
      <w:r w:rsidR="003D0BEE">
        <w:t>.</w:t>
      </w:r>
      <w:r w:rsidR="00EC2E32">
        <w:t xml:space="preserve"> However, Salim’s</w:t>
      </w:r>
      <w:r w:rsidR="003D0BEE">
        <w:t xml:space="preserve"> phone system hasn’t been working </w:t>
      </w:r>
      <w:r w:rsidR="00E86322">
        <w:t>as promised for 18 months</w:t>
      </w:r>
      <w:r w:rsidR="00A44F75">
        <w:t xml:space="preserve">, and his telco </w:t>
      </w:r>
      <w:r w:rsidR="00870E11">
        <w:t xml:space="preserve">wasn’t offering a </w:t>
      </w:r>
      <w:r w:rsidR="006E6BC3">
        <w:t>proper</w:t>
      </w:r>
      <w:r w:rsidR="00870E11">
        <w:t xml:space="preserve"> solution</w:t>
      </w:r>
      <w:r w:rsidR="00A44F75">
        <w:t xml:space="preserve">. </w:t>
      </w:r>
      <w:r w:rsidR="00225293">
        <w:t>Salim made contact with the TIO who</w:t>
      </w:r>
      <w:r w:rsidR="00145E56">
        <w:t xml:space="preserve"> treated his issue as a </w:t>
      </w:r>
      <w:proofErr w:type="gramStart"/>
      <w:r w:rsidR="00145E56">
        <w:t>referral, and</w:t>
      </w:r>
      <w:proofErr w:type="gramEnd"/>
      <w:r w:rsidR="00145E56">
        <w:t xml:space="preserve"> </w:t>
      </w:r>
      <w:r w:rsidR="006E6BC3">
        <w:t>sent</w:t>
      </w:r>
      <w:r w:rsidR="00145E56">
        <w:t xml:space="preserve"> the complaint back to the </w:t>
      </w:r>
      <w:r w:rsidR="006E6BC3">
        <w:t>telco</w:t>
      </w:r>
      <w:r w:rsidR="00145E56">
        <w:t xml:space="preserve"> for resolution. </w:t>
      </w:r>
    </w:p>
    <w:p w14:paraId="7F6657BE" w14:textId="0FBF0A0D" w:rsidR="00C04077" w:rsidRDefault="00145E56" w:rsidP="00B46CA5">
      <w:pPr>
        <w:pStyle w:val="Recommendation"/>
        <w:numPr>
          <w:ilvl w:val="0"/>
          <w:numId w:val="0"/>
        </w:numPr>
        <w:ind w:left="851"/>
      </w:pPr>
      <w:r>
        <w:t>O</w:t>
      </w:r>
      <w:r w:rsidR="000457FF">
        <w:t xml:space="preserve">ver </w:t>
      </w:r>
      <w:r w:rsidR="006A3FF3">
        <w:t xml:space="preserve">the next </w:t>
      </w:r>
      <w:r w:rsidR="000457FF">
        <w:t xml:space="preserve">2 months, Salim </w:t>
      </w:r>
      <w:r w:rsidR="006A3FF3">
        <w:t>was in contact</w:t>
      </w:r>
      <w:r w:rsidR="000457FF">
        <w:t xml:space="preserve"> with </w:t>
      </w:r>
      <w:r w:rsidR="006A3FF3">
        <w:t xml:space="preserve">both </w:t>
      </w:r>
      <w:r w:rsidR="000457FF">
        <w:t xml:space="preserve">the TIO and </w:t>
      </w:r>
      <w:r w:rsidR="009B3CB2">
        <w:t>his telco</w:t>
      </w:r>
      <w:r w:rsidR="000457FF">
        <w:t xml:space="preserve"> t</w:t>
      </w:r>
      <w:r w:rsidR="003B0CDE">
        <w:t>o</w:t>
      </w:r>
      <w:r w:rsidR="00923A5D">
        <w:t xml:space="preserve"> try and come to an a</w:t>
      </w:r>
      <w:r w:rsidR="003B0CDE">
        <w:t xml:space="preserve">greed </w:t>
      </w:r>
      <w:r w:rsidR="008D1A4F">
        <w:t>solution</w:t>
      </w:r>
      <w:r w:rsidR="00923A5D">
        <w:t xml:space="preserve">. </w:t>
      </w:r>
      <w:r w:rsidR="003B0CDE">
        <w:t>The TIO then sent Salim a form to fill out</w:t>
      </w:r>
      <w:r w:rsidR="006E6BC3">
        <w:t xml:space="preserve"> before proceeding </w:t>
      </w:r>
      <w:r w:rsidR="00A829E0">
        <w:t xml:space="preserve">to the next stage of </w:t>
      </w:r>
      <w:r w:rsidR="008D1A4F">
        <w:t>dispute resolution</w:t>
      </w:r>
      <w:r w:rsidR="00A829E0">
        <w:t>. The form</w:t>
      </w:r>
      <w:r w:rsidR="003B0CDE">
        <w:t xml:space="preserve"> asked for an annual turnover estimation</w:t>
      </w:r>
      <w:r w:rsidR="00A829E0">
        <w:t>, which was a</w:t>
      </w:r>
      <w:r w:rsidR="003B0CDE">
        <w:t xml:space="preserve"> little over</w:t>
      </w:r>
      <w:r w:rsidR="0098223B" w:rsidRPr="0098223B">
        <w:t xml:space="preserve"> $5 million</w:t>
      </w:r>
      <w:r w:rsidR="00A829E0">
        <w:t xml:space="preserve"> for Salim</w:t>
      </w:r>
      <w:r w:rsidR="003B0CDE">
        <w:t>.</w:t>
      </w:r>
      <w:r w:rsidR="00A829E0">
        <w:t xml:space="preserve"> He</w:t>
      </w:r>
      <w:r w:rsidR="00F90628">
        <w:t xml:space="preserve"> didn’t hear back from the TIO after he submitted the form. When he called to follow up, the TIO informed him that they couldn’t help him anymore, because his annual revenue was over </w:t>
      </w:r>
      <w:r w:rsidR="00741F13">
        <w:t xml:space="preserve">their threshold of $3 million. </w:t>
      </w:r>
      <w:r w:rsidR="00633388">
        <w:t xml:space="preserve">Salim’s pharmacies run off a small profit margin due to the wholesale cost of </w:t>
      </w:r>
      <w:r w:rsidR="007C25AC">
        <w:t>medicine</w:t>
      </w:r>
      <w:r w:rsidR="007479CE">
        <w:t xml:space="preserve">. </w:t>
      </w:r>
      <w:r w:rsidR="00397635">
        <w:t>Salim</w:t>
      </w:r>
      <w:r w:rsidR="00833175">
        <w:t xml:space="preserve"> spent another month disputing </w:t>
      </w:r>
      <w:r w:rsidR="00397635">
        <w:t>the</w:t>
      </w:r>
      <w:r w:rsidR="00833175">
        <w:t xml:space="preserve"> issue with his </w:t>
      </w:r>
      <w:r w:rsidR="00397635">
        <w:t>telco</w:t>
      </w:r>
      <w:r w:rsidR="00833175">
        <w:t xml:space="preserve"> on his own before</w:t>
      </w:r>
      <w:r w:rsidR="00397635">
        <w:t xml:space="preserve"> finally</w:t>
      </w:r>
      <w:r w:rsidR="00833175">
        <w:t xml:space="preserve"> coming to an agreed resolution.</w:t>
      </w:r>
    </w:p>
    <w:p w14:paraId="070611A7" w14:textId="24741125" w:rsidR="00897790" w:rsidRDefault="00897790" w:rsidP="00897790">
      <w:r>
        <w:t>It is important that the TIO always checks whether a small business seeking to make a complaint is eligible to do so at the outset. We understand that often the TIO does this</w:t>
      </w:r>
      <w:r w:rsidR="00C21130">
        <w:t>, h</w:t>
      </w:r>
      <w:r>
        <w:t xml:space="preserve">owever </w:t>
      </w:r>
      <w:r w:rsidR="00310874">
        <w:t>as this case study demonstrat</w:t>
      </w:r>
      <w:r w:rsidR="00C21130">
        <w:t>es</w:t>
      </w:r>
      <w:r w:rsidR="00310874">
        <w:t xml:space="preserve">, we </w:t>
      </w:r>
      <w:r>
        <w:t xml:space="preserve">are aware of cases where a business consumer has not understood why the TIO could not handle its complaint, or only found out it was ineligible to make a complaint after the complaint was accepted by the TIO.  </w:t>
      </w:r>
    </w:p>
    <w:p w14:paraId="09F49508" w14:textId="445CBC15" w:rsidR="00897790" w:rsidRDefault="00897790" w:rsidP="00897790">
      <w:pPr>
        <w:pStyle w:val="Recommendation"/>
      </w:pPr>
      <w:r>
        <w:t>The TIO should</w:t>
      </w:r>
      <w:r w:rsidR="00842A2D">
        <w:t xml:space="preserve"> reconsider</w:t>
      </w:r>
      <w:r>
        <w:t xml:space="preserve"> the suitability of its definition of small </w:t>
      </w:r>
      <w:proofErr w:type="gramStart"/>
      <w:r>
        <w:t>business</w:t>
      </w:r>
      <w:r w:rsidR="00310874">
        <w:t>,</w:t>
      </w:r>
      <w:r>
        <w:t xml:space="preserve"> </w:t>
      </w:r>
      <w:r w:rsidR="00750575">
        <w:t>and</w:t>
      </w:r>
      <w:proofErr w:type="gramEnd"/>
      <w:r w:rsidR="00750575">
        <w:t xml:space="preserve"> </w:t>
      </w:r>
      <w:r w:rsidR="00310874">
        <w:t xml:space="preserve">ensure that it triages small business complaints effectively. </w:t>
      </w:r>
    </w:p>
    <w:p w14:paraId="14C5BDB1" w14:textId="78C5883D" w:rsidR="0089100A" w:rsidRPr="00693241" w:rsidRDefault="000204D1" w:rsidP="005C4EDF">
      <w:pPr>
        <w:pStyle w:val="Heading2"/>
      </w:pPr>
      <w:r>
        <w:t>D</w:t>
      </w:r>
      <w:r w:rsidR="00693241" w:rsidRPr="00693241">
        <w:t>evice and equipment complaints</w:t>
      </w:r>
    </w:p>
    <w:p w14:paraId="0C4A9F42" w14:textId="5EA5396C" w:rsidR="0089100A" w:rsidRDefault="0089100A" w:rsidP="0089100A">
      <w:r>
        <w:t xml:space="preserve">We have engaged extensively with the TIO on the matter of its jurisdiction to handle device and equipment complaints. As it stands under the modernised </w:t>
      </w:r>
      <w:proofErr w:type="spellStart"/>
      <w:r w:rsidR="00CF4F1B">
        <w:t>ToR</w:t>
      </w:r>
      <w:proofErr w:type="spellEnd"/>
      <w:r>
        <w:t>, the TIO can handle complaints involving a problem with telecommunications equipment supplied by a member, or with a member’s network infrastructure, that affects the consumer’s access to a telecommunications service supplied or offered by a member.</w:t>
      </w:r>
      <w:r w:rsidR="00044AC5">
        <w:rPr>
          <w:rStyle w:val="FootnoteReference"/>
        </w:rPr>
        <w:footnoteReference w:id="34"/>
      </w:r>
      <w:r>
        <w:t xml:space="preserve"> Our position is that the TIO should consider all complaints regarding devices or equipment sold by a TIO member, regardless of whether the device or equipment is linked to a service, or the nature of the consumer complaint. It is not in consumers’ </w:t>
      </w:r>
      <w:bookmarkStart w:id="14" w:name="_Hlk103254842"/>
      <w:r>
        <w:t xml:space="preserve">interest </w:t>
      </w:r>
      <w:bookmarkEnd w:id="14"/>
      <w:r>
        <w:t xml:space="preserve">that there are only certain device or equipment matters that the TIO can consider, due to the risk of </w:t>
      </w:r>
      <w:r>
        <w:lastRenderedPageBreak/>
        <w:t xml:space="preserve">creating consumer confusion, further inconvenience, and delays in resolving disputes. Again, we urge the TIO </w:t>
      </w:r>
      <w:r w:rsidR="006653EA">
        <w:t xml:space="preserve">to </w:t>
      </w:r>
      <w:r>
        <w:t xml:space="preserve">consider extending its jurisdiction to handle all complaints about device and equipment sold by its members.  </w:t>
      </w:r>
    </w:p>
    <w:p w14:paraId="11DD77BF" w14:textId="49255388" w:rsidR="00B17DA9" w:rsidRPr="0089100A" w:rsidRDefault="00B17DA9" w:rsidP="0089100A">
      <w:pPr>
        <w:pStyle w:val="Recommendation"/>
        <w:numPr>
          <w:ilvl w:val="0"/>
          <w:numId w:val="36"/>
        </w:numPr>
      </w:pPr>
      <w:r>
        <w:t xml:space="preserve">The TIO should </w:t>
      </w:r>
      <w:r w:rsidR="00842A2D">
        <w:t>reconsider how it handles device and equipment complaints</w:t>
      </w:r>
      <w:r w:rsidR="00E23375">
        <w:t xml:space="preserve"> to ensure the scheme is addressing complaints effectively</w:t>
      </w:r>
      <w:r>
        <w:t xml:space="preserve">. </w:t>
      </w:r>
    </w:p>
    <w:p w14:paraId="33F73CBA" w14:textId="33E2F12C" w:rsidR="00360D66" w:rsidRPr="00797E32" w:rsidRDefault="00360D66" w:rsidP="005C4EDF">
      <w:pPr>
        <w:pStyle w:val="Heading2"/>
        <w:rPr>
          <w:lang w:val="en-US"/>
        </w:rPr>
      </w:pPr>
      <w:r w:rsidRPr="00797E32">
        <w:rPr>
          <w:lang w:val="en-US"/>
        </w:rPr>
        <w:t>Lack of jurisdiction to consider a complaint where a legal proceeding has been initiated</w:t>
      </w:r>
    </w:p>
    <w:p w14:paraId="2EE179A6" w14:textId="1D302B96" w:rsidR="00360D66" w:rsidRDefault="00360D66" w:rsidP="00360D66">
      <w:pPr>
        <w:rPr>
          <w:lang w:val="en-US"/>
        </w:rPr>
      </w:pPr>
      <w:r>
        <w:rPr>
          <w:lang w:val="en-US"/>
        </w:rPr>
        <w:t xml:space="preserve">We suggest that, as a matter of effectiveness and appropriate scheme coverage, the TIO should seek to expand its jurisdiction to consider complaints in circumstances where a legal proceeding has been initiated. Such a position would align the TIO with the jurisdiction of AFCA and </w:t>
      </w:r>
      <w:r w:rsidR="0084677A">
        <w:rPr>
          <w:lang w:val="en-US"/>
        </w:rPr>
        <w:t>EWOV</w:t>
      </w:r>
      <w:r>
        <w:rPr>
          <w:lang w:val="en-US"/>
        </w:rPr>
        <w:t xml:space="preserve"> in relation to such matters. </w:t>
      </w:r>
    </w:p>
    <w:p w14:paraId="515CB33C" w14:textId="77777777" w:rsidR="009E3733" w:rsidRDefault="00360D66" w:rsidP="00360D66">
      <w:pPr>
        <w:rPr>
          <w:lang w:val="en-US"/>
        </w:rPr>
      </w:pPr>
      <w:r>
        <w:rPr>
          <w:lang w:val="en-US"/>
        </w:rPr>
        <w:t>I</w:t>
      </w:r>
      <w:r w:rsidRPr="00EA7FF0">
        <w:rPr>
          <w:lang w:val="en-US"/>
        </w:rPr>
        <w:t xml:space="preserve">t is too often the case that consumers </w:t>
      </w:r>
      <w:r w:rsidR="00873052">
        <w:rPr>
          <w:lang w:val="en-US"/>
        </w:rPr>
        <w:t xml:space="preserve">experiencing vulnerability </w:t>
      </w:r>
      <w:r w:rsidR="00BF48E6">
        <w:rPr>
          <w:lang w:val="en-US"/>
        </w:rPr>
        <w:t>are</w:t>
      </w:r>
      <w:r w:rsidRPr="00EA7FF0">
        <w:rPr>
          <w:lang w:val="en-US"/>
        </w:rPr>
        <w:t xml:space="preserve"> not</w:t>
      </w:r>
      <w:r w:rsidR="00BF48E6">
        <w:rPr>
          <w:lang w:val="en-US"/>
        </w:rPr>
        <w:t xml:space="preserve"> able to</w:t>
      </w:r>
      <w:r w:rsidRPr="00EA7FF0">
        <w:rPr>
          <w:lang w:val="en-US"/>
        </w:rPr>
        <w:t xml:space="preserve"> </w:t>
      </w:r>
      <w:r>
        <w:rPr>
          <w:lang w:val="en-US"/>
        </w:rPr>
        <w:t>seek</w:t>
      </w:r>
      <w:r w:rsidRPr="00EA7FF0">
        <w:rPr>
          <w:lang w:val="en-US"/>
        </w:rPr>
        <w:t xml:space="preserve"> help until a ‘crisis point’ is reached. </w:t>
      </w:r>
      <w:r w:rsidR="00D77760">
        <w:rPr>
          <w:lang w:val="en-US"/>
        </w:rPr>
        <w:t>Sometimes</w:t>
      </w:r>
      <w:r>
        <w:rPr>
          <w:lang w:val="en-US"/>
        </w:rPr>
        <w:t xml:space="preserve"> people experiencing disadvantage or vulnerability only present to a community legal centre or financial counsellor </w:t>
      </w:r>
      <w:r w:rsidR="00D77760">
        <w:rPr>
          <w:lang w:val="en-US"/>
        </w:rPr>
        <w:t xml:space="preserve">after </w:t>
      </w:r>
      <w:r>
        <w:rPr>
          <w:lang w:val="en-US"/>
        </w:rPr>
        <w:t>been served a Magistrates’ Court Complaint in relation to an alleged debt</w:t>
      </w:r>
      <w:r w:rsidR="000744AB">
        <w:rPr>
          <w:lang w:val="en-US"/>
        </w:rPr>
        <w:t xml:space="preserve">, including </w:t>
      </w:r>
      <w:r w:rsidR="004D24AD">
        <w:rPr>
          <w:lang w:val="en-US"/>
        </w:rPr>
        <w:t>telco</w:t>
      </w:r>
      <w:r w:rsidR="000744AB">
        <w:rPr>
          <w:lang w:val="en-US"/>
        </w:rPr>
        <w:t xml:space="preserve"> debt.</w:t>
      </w:r>
    </w:p>
    <w:p w14:paraId="198CE07C" w14:textId="30310169" w:rsidR="00360D66" w:rsidRDefault="000744AB" w:rsidP="00B46486">
      <w:pPr>
        <w:rPr>
          <w:lang w:val="en-US"/>
        </w:rPr>
      </w:pPr>
      <w:r>
        <w:rPr>
          <w:lang w:val="en-US"/>
        </w:rPr>
        <w:t>P</w:t>
      </w:r>
      <w:r w:rsidR="00360D66">
        <w:rPr>
          <w:lang w:val="en-US"/>
        </w:rPr>
        <w:t>roceedings are usually initiated by a debt buyer</w:t>
      </w:r>
      <w:r>
        <w:rPr>
          <w:lang w:val="en-US"/>
        </w:rPr>
        <w:t xml:space="preserve"> or </w:t>
      </w:r>
      <w:r w:rsidR="002A6E2A">
        <w:rPr>
          <w:lang w:val="en-US"/>
        </w:rPr>
        <w:t xml:space="preserve">by a </w:t>
      </w:r>
      <w:r>
        <w:rPr>
          <w:lang w:val="en-US"/>
        </w:rPr>
        <w:t xml:space="preserve">debt </w:t>
      </w:r>
      <w:r w:rsidR="00360D66">
        <w:rPr>
          <w:lang w:val="en-US"/>
        </w:rPr>
        <w:t xml:space="preserve">collector acting as the </w:t>
      </w:r>
      <w:r w:rsidR="00470256">
        <w:rPr>
          <w:lang w:val="en-US"/>
        </w:rPr>
        <w:t xml:space="preserve">TIO </w:t>
      </w:r>
      <w:r w:rsidR="00360D66">
        <w:rPr>
          <w:lang w:val="en-US"/>
        </w:rPr>
        <w:t xml:space="preserve">member’s agent. Sometimes consumers, when </w:t>
      </w:r>
      <w:r w:rsidR="00A455C8">
        <w:rPr>
          <w:lang w:val="en-US"/>
        </w:rPr>
        <w:t xml:space="preserve">talking to their </w:t>
      </w:r>
      <w:r w:rsidR="00360D66">
        <w:rPr>
          <w:lang w:val="en-US"/>
        </w:rPr>
        <w:t xml:space="preserve">lawyer or financial counsellor, </w:t>
      </w:r>
      <w:r w:rsidR="00E50627">
        <w:rPr>
          <w:lang w:val="en-US"/>
        </w:rPr>
        <w:t>indicate</w:t>
      </w:r>
      <w:r w:rsidR="00360D66">
        <w:rPr>
          <w:lang w:val="en-US"/>
        </w:rPr>
        <w:t xml:space="preserve"> they </w:t>
      </w:r>
      <w:r w:rsidR="00A455C8">
        <w:rPr>
          <w:lang w:val="en-US"/>
        </w:rPr>
        <w:t xml:space="preserve">weren’t aware </w:t>
      </w:r>
      <w:r w:rsidR="00360D66">
        <w:rPr>
          <w:lang w:val="en-US"/>
        </w:rPr>
        <w:t>any alleged debt was owed</w:t>
      </w:r>
      <w:r w:rsidR="00C90692">
        <w:rPr>
          <w:lang w:val="en-US"/>
        </w:rPr>
        <w:t xml:space="preserve">. </w:t>
      </w:r>
      <w:r w:rsidR="00B32D57">
        <w:rPr>
          <w:lang w:val="en-US"/>
        </w:rPr>
        <w:t>T</w:t>
      </w:r>
      <w:r w:rsidR="00DB1E2C">
        <w:rPr>
          <w:lang w:val="en-US"/>
        </w:rPr>
        <w:t xml:space="preserve">hey might </w:t>
      </w:r>
      <w:r w:rsidR="00A455C8">
        <w:rPr>
          <w:lang w:val="en-US"/>
        </w:rPr>
        <w:t>describe</w:t>
      </w:r>
      <w:r w:rsidR="00B32D57">
        <w:rPr>
          <w:lang w:val="en-US"/>
        </w:rPr>
        <w:t xml:space="preserve"> </w:t>
      </w:r>
      <w:r w:rsidR="00B46486">
        <w:rPr>
          <w:lang w:val="en-US"/>
        </w:rPr>
        <w:t>circumstances</w:t>
      </w:r>
      <w:r w:rsidR="00B32D57">
        <w:rPr>
          <w:lang w:val="en-US"/>
        </w:rPr>
        <w:t xml:space="preserve"> of the alleged debt</w:t>
      </w:r>
      <w:r w:rsidR="00B46486">
        <w:rPr>
          <w:lang w:val="en-US"/>
        </w:rPr>
        <w:t xml:space="preserve"> </w:t>
      </w:r>
      <w:r w:rsidR="002A6E2A">
        <w:rPr>
          <w:lang w:val="en-US"/>
        </w:rPr>
        <w:t xml:space="preserve">that indicate that </w:t>
      </w:r>
      <w:r w:rsidR="00285038">
        <w:rPr>
          <w:lang w:val="en-US"/>
        </w:rPr>
        <w:t xml:space="preserve">it is likely the </w:t>
      </w:r>
      <w:r w:rsidR="00B46486">
        <w:rPr>
          <w:lang w:val="en-US"/>
        </w:rPr>
        <w:t>TIO member</w:t>
      </w:r>
      <w:r w:rsidR="00285038">
        <w:rPr>
          <w:lang w:val="en-US"/>
        </w:rPr>
        <w:t xml:space="preserve"> has not complied with its regulatory </w:t>
      </w:r>
      <w:proofErr w:type="gramStart"/>
      <w:r w:rsidR="00285038">
        <w:rPr>
          <w:lang w:val="en-US"/>
        </w:rPr>
        <w:t>obligations</w:t>
      </w:r>
      <w:r w:rsidR="004E5986">
        <w:rPr>
          <w:lang w:val="en-US"/>
        </w:rPr>
        <w:t>, or</w:t>
      </w:r>
      <w:proofErr w:type="gramEnd"/>
      <w:r w:rsidR="004E5986">
        <w:rPr>
          <w:lang w:val="en-US"/>
        </w:rPr>
        <w:t xml:space="preserve"> </w:t>
      </w:r>
      <w:r w:rsidR="00B32D57">
        <w:rPr>
          <w:lang w:val="en-US"/>
        </w:rPr>
        <w:t>has not followed good industry practice</w:t>
      </w:r>
      <w:r w:rsidR="00B46486">
        <w:rPr>
          <w:lang w:val="en-US"/>
        </w:rPr>
        <w:t>.</w:t>
      </w:r>
    </w:p>
    <w:p w14:paraId="4C8CAED1" w14:textId="77777777" w:rsidR="00360D66" w:rsidRDefault="00360D66" w:rsidP="00360D66">
      <w:pPr>
        <w:rPr>
          <w:lang w:val="en-US"/>
        </w:rPr>
      </w:pPr>
      <w:r>
        <w:rPr>
          <w:lang w:val="en-US"/>
        </w:rPr>
        <w:t xml:space="preserve">By way of example, in Victoria, once served with a Complaint, a consumer has only 21 days in which they can file a </w:t>
      </w:r>
      <w:proofErr w:type="spellStart"/>
      <w:r>
        <w:rPr>
          <w:lang w:val="en-US"/>
        </w:rPr>
        <w:t>Defence</w:t>
      </w:r>
      <w:proofErr w:type="spellEnd"/>
      <w:r>
        <w:rPr>
          <w:lang w:val="en-US"/>
        </w:rPr>
        <w:t xml:space="preserve"> to avoid summary judgment being entered against them. However, even where legal assistance is sought and available within time, and a lawyer assesses the consumer may have </w:t>
      </w:r>
      <w:proofErr w:type="spellStart"/>
      <w:r>
        <w:rPr>
          <w:lang w:val="en-US"/>
        </w:rPr>
        <w:t>defences</w:t>
      </w:r>
      <w:proofErr w:type="spellEnd"/>
      <w:r>
        <w:rPr>
          <w:lang w:val="en-US"/>
        </w:rPr>
        <w:t xml:space="preserve"> open to them, </w:t>
      </w:r>
      <w:proofErr w:type="gramStart"/>
      <w:r>
        <w:rPr>
          <w:lang w:val="en-US"/>
        </w:rPr>
        <w:t>actually filing</w:t>
      </w:r>
      <w:proofErr w:type="gramEnd"/>
      <w:r>
        <w:rPr>
          <w:lang w:val="en-US"/>
        </w:rPr>
        <w:t xml:space="preserve"> a </w:t>
      </w:r>
      <w:proofErr w:type="spellStart"/>
      <w:r>
        <w:rPr>
          <w:lang w:val="en-US"/>
        </w:rPr>
        <w:t>Defence</w:t>
      </w:r>
      <w:proofErr w:type="spellEnd"/>
      <w:r>
        <w:rPr>
          <w:lang w:val="en-US"/>
        </w:rPr>
        <w:t xml:space="preserve"> is a high-risk path, as having the matter proceed to a contested hearing attracts significant costs risks (in the range of thousands of dollars) in the event the consumer is ultimately unsuccessful in defending the claim. </w:t>
      </w:r>
    </w:p>
    <w:p w14:paraId="4C1B637D" w14:textId="0F0895B9" w:rsidR="00360D66" w:rsidRDefault="00360D66" w:rsidP="00360D66">
      <w:pPr>
        <w:rPr>
          <w:lang w:val="en-US"/>
        </w:rPr>
      </w:pPr>
      <w:r>
        <w:rPr>
          <w:lang w:val="en-US"/>
        </w:rPr>
        <w:t>The TIO</w:t>
      </w:r>
      <w:r w:rsidR="000057A7">
        <w:rPr>
          <w:lang w:val="en-US"/>
        </w:rPr>
        <w:t>’</w:t>
      </w:r>
      <w:r>
        <w:rPr>
          <w:lang w:val="en-US"/>
        </w:rPr>
        <w:t xml:space="preserve">s </w:t>
      </w:r>
      <w:proofErr w:type="spellStart"/>
      <w:r w:rsidR="00CF4F1B">
        <w:rPr>
          <w:lang w:val="en-US"/>
        </w:rPr>
        <w:t>ToR</w:t>
      </w:r>
      <w:proofErr w:type="spellEnd"/>
      <w:r>
        <w:rPr>
          <w:lang w:val="en-US"/>
        </w:rPr>
        <w:t xml:space="preserve"> currently preclude a consumer in such circumstances from bringing a TIO complaint about liability for the debt (in circumstances where a proceeding has been initiated by a judgment order not yet made), or financial hardship in relation to making </w:t>
      </w:r>
      <w:r w:rsidR="002A6E2A">
        <w:rPr>
          <w:lang w:val="en-US"/>
        </w:rPr>
        <w:t xml:space="preserve">payments towards </w:t>
      </w:r>
      <w:r>
        <w:rPr>
          <w:lang w:val="en-US"/>
        </w:rPr>
        <w:t xml:space="preserve">the debt: this is </w:t>
      </w:r>
      <w:r w:rsidRPr="00A25173">
        <w:rPr>
          <w:lang w:val="en-US"/>
        </w:rPr>
        <w:t>a position we consider unfair.</w:t>
      </w:r>
    </w:p>
    <w:p w14:paraId="51C48AE6" w14:textId="43A5BDB4" w:rsidR="00360D66" w:rsidRPr="00F23428" w:rsidRDefault="004E5986" w:rsidP="00360D66">
      <w:pPr>
        <w:pStyle w:val="CommentText"/>
        <w:rPr>
          <w:sz w:val="22"/>
        </w:rPr>
      </w:pPr>
      <w:r>
        <w:rPr>
          <w:sz w:val="22"/>
        </w:rPr>
        <w:t>EDR</w:t>
      </w:r>
      <w:r w:rsidR="00360D66" w:rsidRPr="00F23428">
        <w:rPr>
          <w:sz w:val="22"/>
        </w:rPr>
        <w:t xml:space="preserve"> forums such as TIO are far more accessible to consumers than th</w:t>
      </w:r>
      <w:r w:rsidR="00360D66">
        <w:rPr>
          <w:sz w:val="22"/>
        </w:rPr>
        <w:t>e court system.</w:t>
      </w:r>
      <w:r w:rsidR="00360D66" w:rsidRPr="00F23428">
        <w:rPr>
          <w:sz w:val="22"/>
        </w:rPr>
        <w:t xml:space="preserve"> Processes are less formal, </w:t>
      </w:r>
      <w:r w:rsidR="00360D66">
        <w:rPr>
          <w:sz w:val="22"/>
        </w:rPr>
        <w:t xml:space="preserve">and </w:t>
      </w:r>
      <w:r w:rsidR="00360D66" w:rsidRPr="00F23428">
        <w:rPr>
          <w:sz w:val="22"/>
        </w:rPr>
        <w:t xml:space="preserve">the TIO (like other </w:t>
      </w:r>
      <w:r w:rsidR="00360D66">
        <w:rPr>
          <w:sz w:val="22"/>
        </w:rPr>
        <w:t>EDR</w:t>
      </w:r>
      <w:r w:rsidR="00360D66" w:rsidRPr="00F23428">
        <w:rPr>
          <w:sz w:val="22"/>
        </w:rPr>
        <w:t xml:space="preserve"> schemes) </w:t>
      </w:r>
      <w:proofErr w:type="gramStart"/>
      <w:r w:rsidR="00360D66" w:rsidRPr="00F23428">
        <w:rPr>
          <w:sz w:val="22"/>
        </w:rPr>
        <w:t>is able to</w:t>
      </w:r>
      <w:proofErr w:type="gramEnd"/>
      <w:r w:rsidR="00360D66" w:rsidRPr="00F23428">
        <w:rPr>
          <w:sz w:val="22"/>
        </w:rPr>
        <w:t xml:space="preserve"> </w:t>
      </w:r>
      <w:r w:rsidR="00360D66">
        <w:rPr>
          <w:sz w:val="22"/>
        </w:rPr>
        <w:t>consider</w:t>
      </w:r>
      <w:r w:rsidR="00360D66" w:rsidRPr="00F23428">
        <w:rPr>
          <w:sz w:val="22"/>
        </w:rPr>
        <w:t xml:space="preserve"> what is fair and reasonable in all the </w:t>
      </w:r>
      <w:r w:rsidR="00360D66">
        <w:rPr>
          <w:sz w:val="22"/>
        </w:rPr>
        <w:t>circumstances and good practice.</w:t>
      </w:r>
      <w:r w:rsidR="00360D66" w:rsidRPr="00F23428">
        <w:rPr>
          <w:sz w:val="22"/>
        </w:rPr>
        <w:t xml:space="preserve"> </w:t>
      </w:r>
      <w:r w:rsidR="00360D66">
        <w:rPr>
          <w:sz w:val="22"/>
        </w:rPr>
        <w:t xml:space="preserve">Moreover, </w:t>
      </w:r>
      <w:r w:rsidR="00360D66" w:rsidRPr="00F23428">
        <w:rPr>
          <w:sz w:val="22"/>
        </w:rPr>
        <w:t xml:space="preserve">EDR </w:t>
      </w:r>
      <w:r w:rsidR="00360D66">
        <w:rPr>
          <w:sz w:val="22"/>
        </w:rPr>
        <w:t xml:space="preserve">schemes </w:t>
      </w:r>
      <w:r w:rsidR="00360D66" w:rsidRPr="00F23428">
        <w:rPr>
          <w:sz w:val="22"/>
        </w:rPr>
        <w:t xml:space="preserve">avoid </w:t>
      </w:r>
      <w:r w:rsidR="00360D66">
        <w:rPr>
          <w:sz w:val="22"/>
        </w:rPr>
        <w:t>the</w:t>
      </w:r>
      <w:r w:rsidR="00360D66" w:rsidRPr="00F23428">
        <w:rPr>
          <w:sz w:val="22"/>
        </w:rPr>
        <w:t xml:space="preserve"> significant cost risks </w:t>
      </w:r>
      <w:r w:rsidR="00360D66">
        <w:rPr>
          <w:sz w:val="22"/>
        </w:rPr>
        <w:t xml:space="preserve">described above, </w:t>
      </w:r>
      <w:r w:rsidR="00360D66" w:rsidRPr="00F23428">
        <w:rPr>
          <w:sz w:val="22"/>
        </w:rPr>
        <w:t>which create an imbalance</w:t>
      </w:r>
      <w:r w:rsidR="00360D66">
        <w:rPr>
          <w:sz w:val="22"/>
        </w:rPr>
        <w:t xml:space="preserve"> of power</w:t>
      </w:r>
      <w:r w:rsidR="00360D66" w:rsidRPr="00F23428">
        <w:rPr>
          <w:sz w:val="22"/>
        </w:rPr>
        <w:t xml:space="preserve"> between consumers and large </w:t>
      </w:r>
      <w:r w:rsidR="00360D66">
        <w:rPr>
          <w:sz w:val="22"/>
        </w:rPr>
        <w:t>member and debt buyer</w:t>
      </w:r>
      <w:r w:rsidR="00360D66" w:rsidRPr="00F23428">
        <w:rPr>
          <w:sz w:val="22"/>
        </w:rPr>
        <w:t xml:space="preserve"> companies. </w:t>
      </w:r>
    </w:p>
    <w:p w14:paraId="7C11873F" w14:textId="77777777" w:rsidR="00360D66" w:rsidRDefault="00360D66" w:rsidP="00360D66">
      <w:pPr>
        <w:pStyle w:val="CommentText"/>
        <w:rPr>
          <w:sz w:val="22"/>
        </w:rPr>
      </w:pPr>
      <w:r>
        <w:rPr>
          <w:sz w:val="22"/>
        </w:rPr>
        <w:t>The</w:t>
      </w:r>
      <w:r w:rsidRPr="00F23428">
        <w:rPr>
          <w:sz w:val="22"/>
        </w:rPr>
        <w:t xml:space="preserve"> TIO’s </w:t>
      </w:r>
      <w:r>
        <w:rPr>
          <w:sz w:val="22"/>
        </w:rPr>
        <w:t>refusal</w:t>
      </w:r>
      <w:r w:rsidRPr="00F23428">
        <w:rPr>
          <w:sz w:val="22"/>
        </w:rPr>
        <w:t xml:space="preserve"> to handle a complaint where </w:t>
      </w:r>
      <w:r>
        <w:rPr>
          <w:sz w:val="22"/>
        </w:rPr>
        <w:t>a</w:t>
      </w:r>
      <w:r w:rsidRPr="00F23428">
        <w:rPr>
          <w:sz w:val="22"/>
        </w:rPr>
        <w:t xml:space="preserve"> party has commenced proceedings in a court or tribunal result</w:t>
      </w:r>
      <w:r>
        <w:rPr>
          <w:sz w:val="22"/>
        </w:rPr>
        <w:t>s</w:t>
      </w:r>
      <w:r w:rsidRPr="00F23428">
        <w:rPr>
          <w:sz w:val="22"/>
        </w:rPr>
        <w:t xml:space="preserve"> in consumers </w:t>
      </w:r>
      <w:r>
        <w:rPr>
          <w:sz w:val="22"/>
        </w:rPr>
        <w:t xml:space="preserve">being unable </w:t>
      </w:r>
      <w:r w:rsidRPr="00F23428">
        <w:rPr>
          <w:sz w:val="22"/>
        </w:rPr>
        <w:t>to access this scheme</w:t>
      </w:r>
      <w:r>
        <w:rPr>
          <w:sz w:val="22"/>
        </w:rPr>
        <w:t xml:space="preserve"> in circumstances as described above, even where there is significant material to suggest that a member </w:t>
      </w:r>
      <w:r w:rsidRPr="00F23428">
        <w:rPr>
          <w:sz w:val="22"/>
        </w:rPr>
        <w:t xml:space="preserve">has not acted fairly or in line with good industry practice. </w:t>
      </w:r>
    </w:p>
    <w:p w14:paraId="477E7917" w14:textId="77777777" w:rsidR="00360D66" w:rsidRDefault="00360D66" w:rsidP="00360D66">
      <w:pPr>
        <w:pStyle w:val="CommentText"/>
        <w:rPr>
          <w:sz w:val="22"/>
        </w:rPr>
      </w:pPr>
      <w:r>
        <w:rPr>
          <w:sz w:val="22"/>
        </w:rPr>
        <w:lastRenderedPageBreak/>
        <w:t>In our view, t</w:t>
      </w:r>
      <w:r w:rsidRPr="00F23428">
        <w:rPr>
          <w:sz w:val="22"/>
        </w:rPr>
        <w:t>his significantly limit</w:t>
      </w:r>
      <w:r>
        <w:rPr>
          <w:sz w:val="22"/>
        </w:rPr>
        <w:t>s access to justice for consumers, and could result in devastating outcomes for consumers who are denied fair and accessible EDR to challenge alleged debts.</w:t>
      </w:r>
    </w:p>
    <w:p w14:paraId="59F85546" w14:textId="77777777" w:rsidR="00360D66" w:rsidRDefault="00360D66" w:rsidP="00360D66">
      <w:pPr>
        <w:rPr>
          <w:lang w:val="en-US"/>
        </w:rPr>
      </w:pPr>
      <w:r>
        <w:rPr>
          <w:lang w:val="en-US"/>
        </w:rPr>
        <w:t>We recommend that the TIO adopt the below approach taken by AFCA in relation to initiated proceedings.</w:t>
      </w:r>
    </w:p>
    <w:p w14:paraId="26EC4A2E" w14:textId="5C1262DD" w:rsidR="00360D66" w:rsidRPr="00CA5C78" w:rsidRDefault="00360D66" w:rsidP="00360D66">
      <w:pPr>
        <w:rPr>
          <w:b/>
          <w:bCs/>
          <w:lang w:val="en-US"/>
        </w:rPr>
      </w:pPr>
      <w:r w:rsidRPr="00CA5C78">
        <w:rPr>
          <w:b/>
          <w:bCs/>
          <w:lang w:val="en-US"/>
        </w:rPr>
        <w:t>AFCA rule A.7.1:</w:t>
      </w:r>
    </w:p>
    <w:p w14:paraId="7202A4D8" w14:textId="2E4785BF" w:rsidR="00ED4224" w:rsidRDefault="00ED4224" w:rsidP="00ED4224">
      <w:r>
        <w:t>While AFCA is considering a complaint, the Financial Firm is subject to the following restrictions:</w:t>
      </w:r>
    </w:p>
    <w:p w14:paraId="6A7AE123" w14:textId="77777777" w:rsidR="00ED4224" w:rsidRDefault="00ED4224" w:rsidP="00ED4224">
      <w:pPr>
        <w:pStyle w:val="ListParagraph"/>
        <w:numPr>
          <w:ilvl w:val="0"/>
          <w:numId w:val="42"/>
        </w:numPr>
        <w:spacing w:after="0" w:line="240" w:lineRule="auto"/>
      </w:pPr>
      <w:r>
        <w:t xml:space="preserve">The Financial Firm must not begin legal proceedings against the Complainant, anyone else joined as a party to the complaint or Other Affected Party about any aspect of the subject matter of the complaint; </w:t>
      </w:r>
      <w:r w:rsidRPr="00CD65C7">
        <w:rPr>
          <w:b/>
        </w:rPr>
        <w:t>and</w:t>
      </w:r>
    </w:p>
    <w:p w14:paraId="38AA9E59" w14:textId="5A553401" w:rsidR="00ED4224" w:rsidRDefault="00ED4224" w:rsidP="00CA5C78">
      <w:pPr>
        <w:pStyle w:val="ListParagraph"/>
        <w:numPr>
          <w:ilvl w:val="0"/>
          <w:numId w:val="42"/>
        </w:numPr>
      </w:pPr>
      <w:r w:rsidRPr="00CD4A0E">
        <w:t xml:space="preserve">The Financial Firm must not seek judgment </w:t>
      </w:r>
      <w:r w:rsidRPr="00CD65C7">
        <w:rPr>
          <w:b/>
        </w:rPr>
        <w:t>or take other action to pursue debt recovery legal proceedings that the Financial Firm began before the Complainant submitted the complaint to AFCA</w:t>
      </w:r>
      <w:r w:rsidRPr="00CD4A0E">
        <w:t>, other than to the minimum extent necessary to preserve the Financial Firm’s legal rights.</w:t>
      </w:r>
      <w:r w:rsidR="00CD65C7">
        <w:rPr>
          <w:rStyle w:val="FootnoteReference"/>
        </w:rPr>
        <w:footnoteReference w:id="35"/>
      </w:r>
    </w:p>
    <w:p w14:paraId="6433E3E5" w14:textId="77777777" w:rsidR="002A6E2A" w:rsidRDefault="002A6E2A" w:rsidP="002A6E2A">
      <w:r>
        <w:t xml:space="preserve">We are also concerned that the exclusion of jurisdiction set out in 2.8 and 2.44(c) of the TIO’s current </w:t>
      </w:r>
      <w:proofErr w:type="spellStart"/>
      <w:r>
        <w:t>ToR</w:t>
      </w:r>
      <w:proofErr w:type="spellEnd"/>
      <w:r>
        <w:t xml:space="preserve"> may significantly disadvantage consumers who are attempting to settle a family law property </w:t>
      </w:r>
      <w:proofErr w:type="gramStart"/>
      <w:r>
        <w:t>matter, or</w:t>
      </w:r>
      <w:proofErr w:type="gramEnd"/>
      <w:r>
        <w:t xml:space="preserve"> have already settled such a matter. In family contexts, it is not uncommon for one party to have liability for debts for which they received no benefit, including telco debts. This is particularly the case where family violence and economic abuse are involved. Such instances often also raise questions about the appropriateness of initial contracting by the telecommunications provider, and indicate possible liability claims against the TIO member by the alleged debtor. </w:t>
      </w:r>
    </w:p>
    <w:p w14:paraId="35BAB8F6" w14:textId="77777777" w:rsidR="002A6E2A" w:rsidRDefault="002A6E2A" w:rsidP="002A6E2A">
      <w:r>
        <w:t>A family law property order effectively deals with all assets and liabilities to a relationship. As such, any debt alleged prior to the settlement is effectively ‘dealt’ with by that legal proceeding. At the same time, it would generally be inappropriate to delay family law property settlements until a telecommunications dispute is resolved through the TIO.</w:t>
      </w:r>
    </w:p>
    <w:p w14:paraId="2C839767" w14:textId="57567701" w:rsidR="002A6E2A" w:rsidRPr="00CA5C78" w:rsidRDefault="002A6E2A" w:rsidP="002A6E2A">
      <w:r>
        <w:t>We suggest that the TIO clarify that, where a TIO member is not involved in the property proceeding, the TIO is not excluded from considering a dispute with a provider about a telecommunications debt that existed prior to the property proceeding’s initiation.</w:t>
      </w:r>
    </w:p>
    <w:p w14:paraId="49A5CB88" w14:textId="58B1A844" w:rsidR="00CA364B" w:rsidRPr="00CA364B" w:rsidRDefault="00CE4901" w:rsidP="003877CF">
      <w:pPr>
        <w:pStyle w:val="Heading1"/>
        <w:rPr>
          <w:lang w:val="en-US" w:eastAsia="en-US"/>
        </w:rPr>
      </w:pPr>
      <w:bookmarkStart w:id="15" w:name="_Toc103609603"/>
      <w:r>
        <w:rPr>
          <w:lang w:val="en-US" w:eastAsia="en-US"/>
        </w:rPr>
        <w:t>Additional issues</w:t>
      </w:r>
      <w:bookmarkEnd w:id="15"/>
    </w:p>
    <w:p w14:paraId="328A0180" w14:textId="60C2477D" w:rsidR="00CA364B" w:rsidRPr="003A087E" w:rsidRDefault="0056692B" w:rsidP="005C4EDF">
      <w:pPr>
        <w:pStyle w:val="Heading2"/>
      </w:pPr>
      <w:r w:rsidRPr="003A087E">
        <w:t>Revised Terms of Reference</w:t>
      </w:r>
    </w:p>
    <w:p w14:paraId="33794A25" w14:textId="0EAA2317" w:rsidR="00CF4F1B" w:rsidRPr="00CA5C78" w:rsidRDefault="00430063" w:rsidP="00CF4F1B">
      <w:r>
        <w:t xml:space="preserve">In addition to </w:t>
      </w:r>
      <w:r w:rsidR="006653EA">
        <w:t xml:space="preserve">our </w:t>
      </w:r>
      <w:r>
        <w:t xml:space="preserve">feedback on the TIO’s revised </w:t>
      </w:r>
      <w:proofErr w:type="spellStart"/>
      <w:r w:rsidR="00CF4F1B">
        <w:t>ToR</w:t>
      </w:r>
      <w:proofErr w:type="spellEnd"/>
      <w:r w:rsidR="006653EA">
        <w:t xml:space="preserve"> provided </w:t>
      </w:r>
      <w:r>
        <w:t>above, w</w:t>
      </w:r>
      <w:r w:rsidR="00220C1C">
        <w:t>e</w:t>
      </w:r>
      <w:r>
        <w:t xml:space="preserve"> </w:t>
      </w:r>
      <w:r w:rsidR="00B047D3">
        <w:t>strongly</w:t>
      </w:r>
      <w:r w:rsidR="00220C1C">
        <w:t xml:space="preserve"> support the TIO’s ability to award </w:t>
      </w:r>
      <w:r w:rsidR="00D842C5">
        <w:t>compensation for</w:t>
      </w:r>
      <w:r w:rsidR="00220C1C">
        <w:t xml:space="preserve"> non-financ</w:t>
      </w:r>
      <w:r w:rsidR="006653EA">
        <w:t>i</w:t>
      </w:r>
      <w:r w:rsidR="00220C1C">
        <w:t>al loss that is not related to privacy issues.</w:t>
      </w:r>
      <w:r w:rsidR="006E54F2">
        <w:rPr>
          <w:rStyle w:val="FootnoteReference"/>
        </w:rPr>
        <w:footnoteReference w:id="36"/>
      </w:r>
      <w:r w:rsidR="00220C1C">
        <w:t xml:space="preserve"> While this is a welcome improvement, we consider that the TIO’s approach to </w:t>
      </w:r>
      <w:r w:rsidR="00D842C5">
        <w:t xml:space="preserve">awarding </w:t>
      </w:r>
      <w:r w:rsidR="00220C1C">
        <w:t xml:space="preserve">non-financial loss </w:t>
      </w:r>
      <w:r w:rsidR="00220C1C">
        <w:lastRenderedPageBreak/>
        <w:t xml:space="preserve">should resemble that of </w:t>
      </w:r>
      <w:r w:rsidR="006653EA">
        <w:t>AFCA</w:t>
      </w:r>
      <w:r w:rsidR="00AD088D">
        <w:t>, at a minimum</w:t>
      </w:r>
      <w:r w:rsidR="00220C1C">
        <w:t>.</w:t>
      </w:r>
      <w:r w:rsidR="006D6BFE">
        <w:rPr>
          <w:rStyle w:val="FootnoteReference"/>
        </w:rPr>
        <w:footnoteReference w:id="37"/>
      </w:r>
      <w:r w:rsidR="00220C1C">
        <w:t xml:space="preserve"> This would involve a maximum compensation amount of $5,400 per claim</w:t>
      </w:r>
      <w:r w:rsidR="00ED3F37">
        <w:t xml:space="preserve"> – which is still significantly lower than the $100,000 maximum compensation the TIO can award for privacy complaints. Furthermore, non-financial loss complaints should not be specifically capped, as they would already fall within the overall cap on compensation</w:t>
      </w:r>
      <w:r w:rsidR="00220C1C">
        <w:t xml:space="preserve">. It is important that </w:t>
      </w:r>
      <w:r w:rsidR="000F32C9">
        <w:t xml:space="preserve">the TIO’s </w:t>
      </w:r>
      <w:r w:rsidR="00220C1C">
        <w:t xml:space="preserve">compensation amounts both for financial and non-financial loss are periodically reviewed. </w:t>
      </w:r>
    </w:p>
    <w:p w14:paraId="638B87C3" w14:textId="0DF25508" w:rsidR="00CF4F1B" w:rsidRDefault="00CF4F1B" w:rsidP="00BA4E11">
      <w:pPr>
        <w:pStyle w:val="Recommendation"/>
      </w:pPr>
      <w:r>
        <w:t xml:space="preserve">The TIO should review its approach to awarding compensation for non-financial loss, ensuring consistency with other major EDR schemes. </w:t>
      </w:r>
    </w:p>
    <w:p w14:paraId="1BD49DEF" w14:textId="46BBA74D" w:rsidR="00EA6B17" w:rsidRPr="005C4EDF" w:rsidRDefault="00EA6B17" w:rsidP="005C4EDF">
      <w:pPr>
        <w:pStyle w:val="Heading2"/>
      </w:pPr>
      <w:r w:rsidRPr="005C4EDF">
        <w:t>Systemic investigations</w:t>
      </w:r>
    </w:p>
    <w:p w14:paraId="5346951B" w14:textId="7FDE3F7F" w:rsidR="00792693" w:rsidRDefault="008C137D" w:rsidP="009E46E4">
      <w:r>
        <w:t xml:space="preserve">A </w:t>
      </w:r>
      <w:r w:rsidR="000204D1">
        <w:t xml:space="preserve">focus on </w:t>
      </w:r>
      <w:r>
        <w:t xml:space="preserve">systemic issues should be at the core of </w:t>
      </w:r>
      <w:r w:rsidR="00EE4121">
        <w:t xml:space="preserve">any ombudsman </w:t>
      </w:r>
      <w:proofErr w:type="gramStart"/>
      <w:r w:rsidR="00EE4121">
        <w:t>scheme</w:t>
      </w:r>
      <w:r w:rsidR="004E7C86">
        <w:t>, and</w:t>
      </w:r>
      <w:proofErr w:type="gramEnd"/>
      <w:r w:rsidR="004E7C86">
        <w:t xml:space="preserve"> is a critical aspect of </w:t>
      </w:r>
      <w:r w:rsidR="008A73AD">
        <w:t xml:space="preserve">the TIO meeting </w:t>
      </w:r>
      <w:r w:rsidR="004E7C86">
        <w:t>Industry Benchmark 4: Accountability</w:t>
      </w:r>
      <w:r w:rsidR="00554D1A" w:rsidRPr="00B15DD9">
        <w:t>.</w:t>
      </w:r>
      <w:r w:rsidR="00554D1A" w:rsidRPr="00B15DD9">
        <w:rPr>
          <w:rStyle w:val="FootnoteReference"/>
        </w:rPr>
        <w:footnoteReference w:id="38"/>
      </w:r>
      <w:r w:rsidR="00B15DD9" w:rsidRPr="00E2312F">
        <w:t xml:space="preserve"> The TIO’s systemic issues function can provide solutions for individual disputes, and can also help solve bigger problems at their source via contributing to improvements in industry practice over time</w:t>
      </w:r>
      <w:r w:rsidR="00B15DD9" w:rsidRPr="00B15DD9">
        <w:t>.</w:t>
      </w:r>
      <w:r w:rsidR="00CD1359">
        <w:t xml:space="preserve"> </w:t>
      </w:r>
      <w:r w:rsidR="004E3E03">
        <w:t xml:space="preserve">The TIO’s engagement on </w:t>
      </w:r>
      <w:r w:rsidR="005E6E31">
        <w:t xml:space="preserve">policy issues, </w:t>
      </w:r>
      <w:r w:rsidR="008A5AE0">
        <w:t>by making policy</w:t>
      </w:r>
      <w:r w:rsidR="005E6E31">
        <w:t xml:space="preserve"> su</w:t>
      </w:r>
      <w:r w:rsidR="005C4EDF">
        <w:t>bmission</w:t>
      </w:r>
      <w:r w:rsidR="008A5AE0">
        <w:t xml:space="preserve">s </w:t>
      </w:r>
      <w:r w:rsidR="005C4EDF">
        <w:t>and participating in consultations</w:t>
      </w:r>
      <w:r w:rsidR="009B22A7">
        <w:t xml:space="preserve"> </w:t>
      </w:r>
      <w:r w:rsidR="003218FC">
        <w:t>for exampl</w:t>
      </w:r>
      <w:r w:rsidR="009B22A7">
        <w:t>e</w:t>
      </w:r>
      <w:r w:rsidR="003218FC">
        <w:t>,</w:t>
      </w:r>
      <w:r w:rsidR="009B22A7">
        <w:t xml:space="preserve"> make</w:t>
      </w:r>
      <w:r w:rsidR="0075391A">
        <w:t>s</w:t>
      </w:r>
      <w:r w:rsidR="009B22A7">
        <w:t xml:space="preserve"> an important contribution </w:t>
      </w:r>
      <w:r w:rsidR="000810CA">
        <w:t>to the development of communications policy</w:t>
      </w:r>
      <w:r w:rsidR="00C8348A">
        <w:t>. The TIO</w:t>
      </w:r>
      <w:r w:rsidR="00C8348A" w:rsidRPr="00C8348A">
        <w:t xml:space="preserve"> should be appropriately resourced to continue this important engagemen</w:t>
      </w:r>
      <w:r w:rsidR="00C8348A">
        <w:t>t</w:t>
      </w:r>
      <w:r w:rsidR="000810CA">
        <w:t xml:space="preserve">. </w:t>
      </w:r>
    </w:p>
    <w:p w14:paraId="03A747AB" w14:textId="0C36E234" w:rsidR="0029656E" w:rsidRPr="006D3D01" w:rsidRDefault="0029656E" w:rsidP="0029656E">
      <w:pPr>
        <w:rPr>
          <w:b/>
          <w:bCs/>
          <w:sz w:val="18"/>
          <w:szCs w:val="18"/>
        </w:rPr>
      </w:pPr>
      <w:r>
        <w:rPr>
          <w:noProof/>
        </w:rPr>
        <w:drawing>
          <wp:anchor distT="0" distB="0" distL="114300" distR="114300" simplePos="0" relativeHeight="251659776" behindDoc="0" locked="0" layoutInCell="1" allowOverlap="1" wp14:anchorId="5979A9E9" wp14:editId="447ACAD0">
            <wp:simplePos x="0" y="0"/>
            <wp:positionH relativeFrom="column">
              <wp:posOffset>10160</wp:posOffset>
            </wp:positionH>
            <wp:positionV relativeFrom="paragraph">
              <wp:posOffset>188331</wp:posOffset>
            </wp:positionV>
            <wp:extent cx="5666105" cy="2977117"/>
            <wp:effectExtent l="0" t="0" r="0" b="0"/>
            <wp:wrapSquare wrapText="bothSides"/>
            <wp:docPr id="7" name="Picture 7" descr="Triangular Tiered Diagram&#10;&#10;Role 1 at the point: Resolving individual complaints. Role 2 at the middle: Identifying issues in individual companies and making recommendations. Role 3 at the bottom: identifying systemic industry wide issues and making recommendations or referring them to the appropriate bod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riangular Tiered Diagram&#10;&#10;Role 1 at the point: Resolving individual complaints. Role 2 at the middle: Identifying issues in individual companies and making recommendations. Role 3 at the bottom: identifying systemic industry wide issues and making recommendations or referring them to the appropriate body.&#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6105" cy="2977117"/>
                    </a:xfrm>
                    <a:prstGeom prst="rect">
                      <a:avLst/>
                    </a:prstGeom>
                    <a:noFill/>
                    <a:ln>
                      <a:noFill/>
                    </a:ln>
                  </pic:spPr>
                </pic:pic>
              </a:graphicData>
            </a:graphic>
            <wp14:sizeRelH relativeFrom="page">
              <wp14:pctWidth>0</wp14:pctWidth>
            </wp14:sizeRelH>
            <wp14:sizeRelV relativeFrom="page">
              <wp14:pctHeight>0</wp14:pctHeight>
            </wp14:sizeRelV>
          </wp:anchor>
        </w:drawing>
      </w:r>
      <w:r w:rsidR="00CD1359">
        <w:t xml:space="preserve">We consider the role of EDR </w:t>
      </w:r>
      <w:r w:rsidR="00706579">
        <w:t>scheme</w:t>
      </w:r>
      <w:r w:rsidR="006E10BC">
        <w:t>s</w:t>
      </w:r>
      <w:r w:rsidR="00706579">
        <w:t xml:space="preserve"> t</w:t>
      </w:r>
      <w:r w:rsidR="00CD1359">
        <w:t>o be threefold</w:t>
      </w:r>
      <w:r w:rsidR="0078689F">
        <w:t>, expressed in the diagram below.</w:t>
      </w:r>
      <w:r w:rsidRPr="0029656E">
        <w:rPr>
          <w:rStyle w:val="FootnoteReference"/>
          <w:b/>
          <w:bCs/>
          <w:sz w:val="18"/>
          <w:szCs w:val="18"/>
        </w:rPr>
        <w:t xml:space="preserve"> </w:t>
      </w:r>
      <w:r w:rsidRPr="0029656E">
        <w:rPr>
          <w:rStyle w:val="FootnoteReference"/>
        </w:rPr>
        <w:footnoteReference w:id="39"/>
      </w:r>
    </w:p>
    <w:p w14:paraId="7D48B056" w14:textId="546FBA72" w:rsidR="009E46E4" w:rsidRDefault="009E46E4" w:rsidP="009E46E4">
      <w:r w:rsidRPr="009E46E4">
        <w:lastRenderedPageBreak/>
        <w:t>It is essential that the TIO continues its work investigating</w:t>
      </w:r>
      <w:r w:rsidR="000F32C9">
        <w:t xml:space="preserve"> and</w:t>
      </w:r>
      <w:r w:rsidRPr="009E46E4">
        <w:t xml:space="preserve"> escalating</w:t>
      </w:r>
      <w:r w:rsidR="000F32C9">
        <w:t xml:space="preserve"> </w:t>
      </w:r>
      <w:r w:rsidRPr="009E46E4">
        <w:t>systemic issues facing phone and internet consumers</w:t>
      </w:r>
      <w:r w:rsidR="000F32C9">
        <w:t>, and importantly, publishing these reports</w:t>
      </w:r>
      <w:r w:rsidRPr="009E46E4">
        <w:t xml:space="preserve">. </w:t>
      </w:r>
      <w:proofErr w:type="gramStart"/>
      <w:r w:rsidRPr="009E46E4">
        <w:t>Similarly</w:t>
      </w:r>
      <w:proofErr w:type="gramEnd"/>
      <w:r w:rsidRPr="009E46E4">
        <w:t xml:space="preserve"> to its quarterly complaints reports, the TIO’s systemic issues reports inform consumer advocates’ work and provide a factual and quantitative evidence base for advocacy. It also supports transparency and TIO member accountability. Some consumer advocates feel that, when raising individual consumer complaints to the TIO, it can be difficult to convince the TIO that an individual consumer complaint is potentially a systemic issue.</w:t>
      </w:r>
      <w:r w:rsidR="00EE4121">
        <w:rPr>
          <w:rStyle w:val="FootnoteReference"/>
        </w:rPr>
        <w:footnoteReference w:id="40"/>
      </w:r>
      <w:r w:rsidRPr="009E46E4">
        <w:t xml:space="preserve"> This was highlighted as a concern by advocates responding to telcos mis-selling to First Nations customers in remote areas. The TIO should continue its focus on identifying and reporting on systemic issues. </w:t>
      </w:r>
      <w:proofErr w:type="gramStart"/>
      <w:r w:rsidRPr="009E46E4">
        <w:t>In order to</w:t>
      </w:r>
      <w:proofErr w:type="gramEnd"/>
      <w:r w:rsidRPr="009E46E4">
        <w:t xml:space="preserve"> do this effectively, it should ensure it has mechanisms in place to analyse complaints data for emerging trends, as it already does, and it should always consider feedback from advocates indicating a consumer issue may be systemic. The TIO has established a dedicated phoneline for consumer advocates to use when dealing with TIO complaints, which is a welcome improvement.</w:t>
      </w:r>
    </w:p>
    <w:p w14:paraId="62A07129" w14:textId="3281E712" w:rsidR="00B047D3" w:rsidRDefault="00082625" w:rsidP="00B047D3">
      <w:pPr>
        <w:pStyle w:val="Recommendation"/>
      </w:pPr>
      <w:r>
        <w:t>The TIO should continue to refine its processes identifying and reporting on systemic issues facing phone and internet con</w:t>
      </w:r>
      <w:r w:rsidR="000F32C9">
        <w:t>s</w:t>
      </w:r>
      <w:r>
        <w:t>umers.</w:t>
      </w:r>
    </w:p>
    <w:p w14:paraId="4F8399AC" w14:textId="7D0B44AE" w:rsidR="00654ACE" w:rsidRPr="009E46E4" w:rsidRDefault="00654ACE" w:rsidP="00B047D3">
      <w:pPr>
        <w:pStyle w:val="Recommendation"/>
      </w:pPr>
      <w:r>
        <w:t xml:space="preserve">That the TIO continues to </w:t>
      </w:r>
      <w:r w:rsidR="00C72C32" w:rsidRPr="00C72C32">
        <w:t xml:space="preserve">engage in </w:t>
      </w:r>
      <w:r w:rsidR="00C72C32">
        <w:t xml:space="preserve">communications </w:t>
      </w:r>
      <w:r w:rsidR="00C72C32" w:rsidRPr="00C72C32">
        <w:t>policy work and is adequately resourced to do so</w:t>
      </w:r>
      <w:r w:rsidR="00C72C32">
        <w:t>.</w:t>
      </w:r>
    </w:p>
    <w:p w14:paraId="2BD19BED" w14:textId="2357A752" w:rsidR="008F2FE9" w:rsidRPr="00627B62" w:rsidRDefault="008F2FE9" w:rsidP="005C4EDF">
      <w:pPr>
        <w:pStyle w:val="Heading2"/>
      </w:pPr>
      <w:r w:rsidRPr="00627B62">
        <w:t>Government and regulator engagement</w:t>
      </w:r>
    </w:p>
    <w:p w14:paraId="2C0B8EC3" w14:textId="1E523CA6" w:rsidR="00645EC9" w:rsidRDefault="00E9545F" w:rsidP="00645EC9">
      <w:r>
        <w:t>Point</w:t>
      </w:r>
      <w:r w:rsidR="000F2DEB">
        <w:t xml:space="preserve"> 6.4</w:t>
      </w:r>
      <w:r>
        <w:t xml:space="preserve"> in the </w:t>
      </w:r>
      <w:r w:rsidRPr="003E27F4">
        <w:rPr>
          <w:i/>
          <w:iCs/>
        </w:rPr>
        <w:t xml:space="preserve">Key Practices </w:t>
      </w:r>
      <w:r w:rsidR="008B17A7" w:rsidRPr="003E27F4">
        <w:rPr>
          <w:i/>
          <w:iCs/>
        </w:rPr>
        <w:t xml:space="preserve">for Industry-based Customer Dispute </w:t>
      </w:r>
      <w:r w:rsidR="001F0E95" w:rsidRPr="003E27F4">
        <w:rPr>
          <w:i/>
          <w:iCs/>
        </w:rPr>
        <w:t>Resolution</w:t>
      </w:r>
      <w:r w:rsidR="008B17A7">
        <w:t xml:space="preserve"> </w:t>
      </w:r>
      <w:r w:rsidR="00E90314">
        <w:t xml:space="preserve">guidance stipulates </w:t>
      </w:r>
      <w:proofErr w:type="gramStart"/>
      <w:r w:rsidR="00E90314">
        <w:t xml:space="preserve">that </w:t>
      </w:r>
      <w:r w:rsidR="005B422A">
        <w:t>schemes</w:t>
      </w:r>
      <w:proofErr w:type="gramEnd"/>
      <w:r w:rsidR="005B422A">
        <w:t xml:space="preserve"> should have</w:t>
      </w:r>
      <w:r w:rsidR="000F2DEB">
        <w:t xml:space="preserve"> mechanisms for referring systemic industry problems</w:t>
      </w:r>
      <w:r w:rsidR="003E27F4" w:rsidRPr="003E27F4">
        <w:t xml:space="preserve"> </w:t>
      </w:r>
      <w:r w:rsidR="003E27F4">
        <w:t>to an appropriate regulator for action if required</w:t>
      </w:r>
      <w:r w:rsidR="005B422A">
        <w:t>.</w:t>
      </w:r>
      <w:r w:rsidR="005B422A">
        <w:rPr>
          <w:rStyle w:val="FootnoteReference"/>
        </w:rPr>
        <w:footnoteReference w:id="41"/>
      </w:r>
      <w:r w:rsidR="000F2DEB">
        <w:t xml:space="preserve"> </w:t>
      </w:r>
      <w:r w:rsidR="00645EC9">
        <w:t xml:space="preserve">As the TIO is at the </w:t>
      </w:r>
      <w:r w:rsidR="00150003">
        <w:t xml:space="preserve">forefront </w:t>
      </w:r>
      <w:r w:rsidR="00DF0621">
        <w:t>of</w:t>
      </w:r>
      <w:r w:rsidR="00645EC9">
        <w:t xml:space="preserve"> consumers’ </w:t>
      </w:r>
      <w:r w:rsidR="00DF0621">
        <w:t>issues</w:t>
      </w:r>
      <w:r w:rsidR="00645EC9">
        <w:t xml:space="preserve"> with their </w:t>
      </w:r>
      <w:r w:rsidR="005F24FB">
        <w:t>telcos</w:t>
      </w:r>
      <w:r w:rsidR="00645EC9">
        <w:t xml:space="preserve">, the TIO is in a </w:t>
      </w:r>
      <w:r w:rsidR="0093735E">
        <w:t>privileged</w:t>
      </w:r>
      <w:r w:rsidR="00645EC9">
        <w:t xml:space="preserve"> position to be able to identify and refer </w:t>
      </w:r>
      <w:r w:rsidR="0093735E">
        <w:t>member non-compliance</w:t>
      </w:r>
      <w:r w:rsidR="00645EC9">
        <w:t xml:space="preserve"> </w:t>
      </w:r>
      <w:r w:rsidR="00DF0621">
        <w:t xml:space="preserve">early. </w:t>
      </w:r>
      <w:r w:rsidR="008F3A3E">
        <w:t>It is essential</w:t>
      </w:r>
      <w:r w:rsidR="000F32C9">
        <w:t xml:space="preserve"> that</w:t>
      </w:r>
      <w:r w:rsidR="008F3A3E">
        <w:t xml:space="preserve"> the TIO does this whenever </w:t>
      </w:r>
      <w:r w:rsidR="00E37433">
        <w:t>a possible rule breach is</w:t>
      </w:r>
      <w:r w:rsidR="00E4258B">
        <w:t xml:space="preserve"> uncovered, especially where this may have caused any level of consumer harm</w:t>
      </w:r>
      <w:r w:rsidR="008F3A3E">
        <w:t>.</w:t>
      </w:r>
      <w:r w:rsidR="00150003">
        <w:t xml:space="preserve"> If the TIO</w:t>
      </w:r>
      <w:r w:rsidR="008F3A3E">
        <w:t xml:space="preserve"> </w:t>
      </w:r>
      <w:r w:rsidR="00150003">
        <w:t>t</w:t>
      </w:r>
      <w:r w:rsidR="00720A40">
        <w:t>ak</w:t>
      </w:r>
      <w:r w:rsidR="00150003">
        <w:t>es</w:t>
      </w:r>
      <w:r w:rsidR="00720A40">
        <w:t xml:space="preserve"> a soft-handed approach</w:t>
      </w:r>
      <w:r w:rsidR="00B45774">
        <w:t xml:space="preserve"> </w:t>
      </w:r>
      <w:r w:rsidR="00140F92">
        <w:t>to telco non-compliance</w:t>
      </w:r>
      <w:r w:rsidR="00B45774">
        <w:t>,</w:t>
      </w:r>
      <w:r w:rsidR="00140F92">
        <w:t xml:space="preserve"> for example, by</w:t>
      </w:r>
      <w:r w:rsidR="00627B62">
        <w:t xml:space="preserve"> only</w:t>
      </w:r>
      <w:r w:rsidR="00140F92">
        <w:t xml:space="preserve"> suggesting improvements </w:t>
      </w:r>
      <w:r w:rsidR="00B36D39">
        <w:t xml:space="preserve">to a telco’s processes to prevent future </w:t>
      </w:r>
      <w:r w:rsidR="00E37433">
        <w:t>breaches</w:t>
      </w:r>
      <w:r w:rsidR="00150003">
        <w:t xml:space="preserve"> rather than</w:t>
      </w:r>
      <w:r w:rsidR="0040460A">
        <w:t xml:space="preserve"> also</w:t>
      </w:r>
      <w:r w:rsidR="00150003">
        <w:t xml:space="preserve"> informing</w:t>
      </w:r>
      <w:r w:rsidR="0040460A">
        <w:t xml:space="preserve"> the</w:t>
      </w:r>
      <w:r w:rsidR="00150003">
        <w:t xml:space="preserve"> regulator</w:t>
      </w:r>
      <w:r w:rsidR="00B36D39">
        <w:t>,</w:t>
      </w:r>
      <w:r w:rsidR="00150003">
        <w:t xml:space="preserve"> it</w:t>
      </w:r>
      <w:r w:rsidR="00B36D39">
        <w:t xml:space="preserve"> denies justice to any consumer already affected by</w:t>
      </w:r>
      <w:r w:rsidR="00150003">
        <w:t xml:space="preserve"> that</w:t>
      </w:r>
      <w:r w:rsidR="00B36D39">
        <w:t xml:space="preserve"> non-compliance. </w:t>
      </w:r>
      <w:r w:rsidR="00B82BE6">
        <w:t>I</w:t>
      </w:r>
      <w:r w:rsidR="00B36D39">
        <w:t xml:space="preserve">t is the regulator that must decide whether a </w:t>
      </w:r>
      <w:r w:rsidR="00E37433">
        <w:t>consumer rule breach</w:t>
      </w:r>
      <w:r w:rsidR="00B36D39">
        <w:t xml:space="preserve"> is worth enforcing, not the TIO. </w:t>
      </w:r>
      <w:r w:rsidR="00E4258B">
        <w:t xml:space="preserve"> </w:t>
      </w:r>
      <w:r w:rsidR="00B45774">
        <w:t xml:space="preserve"> </w:t>
      </w:r>
    </w:p>
    <w:p w14:paraId="47755CB2" w14:textId="03C7807F" w:rsidR="002043F8" w:rsidRPr="00645EC9" w:rsidRDefault="00FC6080" w:rsidP="002043F8">
      <w:pPr>
        <w:pStyle w:val="Recommendation"/>
      </w:pPr>
      <w:r>
        <w:t>T</w:t>
      </w:r>
      <w:r w:rsidR="002043F8">
        <w:t xml:space="preserve">he TIO should refer </w:t>
      </w:r>
      <w:r w:rsidR="00E37433">
        <w:t xml:space="preserve">suspected member non-compliance to the relevant regulator. </w:t>
      </w:r>
      <w:r w:rsidR="002043F8">
        <w:t xml:space="preserve"> </w:t>
      </w:r>
    </w:p>
    <w:p w14:paraId="1D0A8E52" w14:textId="3902A2ED" w:rsidR="004E1BE1" w:rsidRPr="00627B62" w:rsidRDefault="004E1BE1" w:rsidP="005C4EDF">
      <w:pPr>
        <w:pStyle w:val="Heading2"/>
      </w:pPr>
      <w:r w:rsidRPr="00627B62">
        <w:t>Governance and authorising environment</w:t>
      </w:r>
    </w:p>
    <w:p w14:paraId="6CCD9A9F" w14:textId="1101F050" w:rsidR="00120664" w:rsidRDefault="005A2D17" w:rsidP="00120664">
      <w:r>
        <w:t>It is essential that the TIO continues</w:t>
      </w:r>
      <w:r w:rsidR="00FC6080">
        <w:t xml:space="preserve"> to evolve </w:t>
      </w:r>
      <w:r w:rsidR="00706579">
        <w:t>in line with changes to the communications landscape</w:t>
      </w:r>
      <w:r w:rsidR="00B72F00">
        <w:t xml:space="preserve">, which involves constant assessment of </w:t>
      </w:r>
      <w:r w:rsidR="00F06D56">
        <w:t>the TIO’s functions and jurisdiction</w:t>
      </w:r>
      <w:r w:rsidR="00706579">
        <w:t xml:space="preserve">. </w:t>
      </w:r>
      <w:r>
        <w:t xml:space="preserve"> </w:t>
      </w:r>
      <w:r w:rsidR="00120664" w:rsidRPr="00120664">
        <w:t xml:space="preserve">In its fourth interim </w:t>
      </w:r>
      <w:r w:rsidR="00120664" w:rsidRPr="00120664">
        <w:lastRenderedPageBreak/>
        <w:t xml:space="preserve">Digital Platform Service Inquiry report, </w:t>
      </w:r>
      <w:r w:rsidR="00CB16EE">
        <w:t>t</w:t>
      </w:r>
      <w:r w:rsidR="00120664" w:rsidRPr="00120664">
        <w:t xml:space="preserve">he Australian </w:t>
      </w:r>
      <w:r w:rsidR="0040460A">
        <w:t>Competition</w:t>
      </w:r>
      <w:r w:rsidR="0040460A" w:rsidRPr="00120664">
        <w:t xml:space="preserve"> </w:t>
      </w:r>
      <w:r w:rsidR="00120664" w:rsidRPr="00120664">
        <w:t>and Consumer Commission</w:t>
      </w:r>
      <w:r w:rsidR="0040460A">
        <w:t xml:space="preserve"> (ACCC)</w:t>
      </w:r>
      <w:r w:rsidR="00120664" w:rsidRPr="00120664">
        <w:t xml:space="preserve"> has reiterated its support for the </w:t>
      </w:r>
      <w:r w:rsidR="00AB3BE1" w:rsidRPr="00120664">
        <w:t>establishment</w:t>
      </w:r>
      <w:r w:rsidR="00120664" w:rsidRPr="00120664">
        <w:t xml:space="preserve"> of an ombudsman scheme to handle consumer complaints related to digital platforms and online marketplaces.</w:t>
      </w:r>
      <w:r w:rsidR="00F307A8">
        <w:rPr>
          <w:rStyle w:val="FootnoteReference"/>
        </w:rPr>
        <w:footnoteReference w:id="42"/>
      </w:r>
      <w:r w:rsidR="00120664" w:rsidRPr="00120664">
        <w:t xml:space="preserve"> </w:t>
      </w:r>
      <w:r w:rsidR="00F307A8">
        <w:rPr>
          <w:rStyle w:val="FootnoteReference"/>
        </w:rPr>
        <w:footnoteReference w:id="43"/>
      </w:r>
      <w:r w:rsidR="00120664" w:rsidRPr="00120664">
        <w:t xml:space="preserve"> We consider the TIO a suitable and well-equipped scheme that could handle digital platforms complaints with the right resourcing and authorisation.</w:t>
      </w:r>
    </w:p>
    <w:p w14:paraId="4A64A4CF" w14:textId="6656358D" w:rsidR="009F4537" w:rsidRDefault="009679D3" w:rsidP="00120664">
      <w:r>
        <w:t>We have concerns about how t</w:t>
      </w:r>
      <w:r w:rsidR="00306133">
        <w:t xml:space="preserve">he convergence of </w:t>
      </w:r>
      <w:r w:rsidR="00AE5782">
        <w:t xml:space="preserve">the </w:t>
      </w:r>
      <w:r w:rsidR="00306133">
        <w:t>telecommunications and energy sectors</w:t>
      </w:r>
      <w:r>
        <w:t xml:space="preserve"> will impact EDR. </w:t>
      </w:r>
      <w:proofErr w:type="gramStart"/>
      <w:r>
        <w:t>A number of</w:t>
      </w:r>
      <w:proofErr w:type="gramEnd"/>
      <w:r>
        <w:t xml:space="preserve"> retailers, including Telstra, AGL and Origin, are expanding into joint communications and energy service provision. Under this model, a consumer can bundle their energy service with a home broadband service under the same account.</w:t>
      </w:r>
      <w:r w:rsidR="00F2332C">
        <w:t xml:space="preserve"> It is unclear how the</w:t>
      </w:r>
      <w:r>
        <w:t xml:space="preserve"> telecommunications </w:t>
      </w:r>
      <w:r w:rsidR="004D35E7">
        <w:t>regulatory</w:t>
      </w:r>
      <w:r>
        <w:t xml:space="preserve"> framework will apply</w:t>
      </w:r>
      <w:r w:rsidR="004D35E7">
        <w:t xml:space="preserve"> to converged services</w:t>
      </w:r>
      <w:r w:rsidR="00F2332C">
        <w:t>, and what this will mean for effective</w:t>
      </w:r>
      <w:r w:rsidR="00E71491">
        <w:t xml:space="preserve"> and timely</w:t>
      </w:r>
      <w:r w:rsidR="00F2332C">
        <w:t xml:space="preserve"> complaints handling. The TIO should consider its role </w:t>
      </w:r>
      <w:r w:rsidR="00F44477">
        <w:t xml:space="preserve">in </w:t>
      </w:r>
      <w:r w:rsidR="00F2332C">
        <w:t xml:space="preserve">dealing with converged </w:t>
      </w:r>
      <w:r w:rsidR="003600B9">
        <w:t xml:space="preserve">energy and telco services, </w:t>
      </w:r>
      <w:r w:rsidR="001C4499">
        <w:t xml:space="preserve">and </w:t>
      </w:r>
      <w:r w:rsidR="003600B9">
        <w:t xml:space="preserve">ensure it has strong </w:t>
      </w:r>
      <w:r w:rsidR="001C4499">
        <w:t xml:space="preserve">relationships with </w:t>
      </w:r>
      <w:r w:rsidR="00CD7274">
        <w:t xml:space="preserve">and referral mechanisms to </w:t>
      </w:r>
      <w:r w:rsidR="001C4499">
        <w:t>state-based energy EDR schemes</w:t>
      </w:r>
      <w:r w:rsidR="003600B9">
        <w:t xml:space="preserve">. </w:t>
      </w:r>
    </w:p>
    <w:p w14:paraId="0B2ED0A2" w14:textId="368336BE" w:rsidR="005441D8" w:rsidRDefault="005441D8" w:rsidP="00120664">
      <w:r>
        <w:t xml:space="preserve">In 2019, </w:t>
      </w:r>
      <w:r w:rsidR="00F42809">
        <w:t>ACCAN made a submission on possible amendments to the TIO</w:t>
      </w:r>
      <w:r>
        <w:t xml:space="preserve"> Constitution which would improve the balance of Directors with consumer and industry experience.</w:t>
      </w:r>
      <w:r>
        <w:rPr>
          <w:rStyle w:val="FootnoteReference"/>
        </w:rPr>
        <w:footnoteReference w:id="44"/>
      </w:r>
      <w:r>
        <w:t xml:space="preserve"> </w:t>
      </w:r>
      <w:r w:rsidR="00A81D2F">
        <w:t xml:space="preserve">Greater balance could be achieved on the TIO board through </w:t>
      </w:r>
      <w:r w:rsidR="0040460A">
        <w:t xml:space="preserve">a </w:t>
      </w:r>
      <w:r w:rsidR="009C661C">
        <w:t>‘pure stakeholder</w:t>
      </w:r>
      <w:r w:rsidR="00A81D2F">
        <w:t>’</w:t>
      </w:r>
      <w:r w:rsidR="009C661C">
        <w:t xml:space="preserve"> mode</w:t>
      </w:r>
      <w:r w:rsidR="00A81D2F">
        <w:t xml:space="preserve"> of </w:t>
      </w:r>
      <w:r w:rsidR="009C661C">
        <w:t>governance</w:t>
      </w:r>
      <w:r w:rsidR="00A81D2F">
        <w:t xml:space="preserve">. Under this model, there would be </w:t>
      </w:r>
      <w:r w:rsidR="00360660">
        <w:t>four directors with consumer experience, four directors with industry experience, and one independent chair</w:t>
      </w:r>
      <w:r w:rsidR="00A81D2F">
        <w:t xml:space="preserve">. </w:t>
      </w:r>
      <w:r w:rsidR="00B161D7">
        <w:t xml:space="preserve">This would align the board model with other EDR schemes, including AFCA whose governance model has been endorsed by the Federal Government. </w:t>
      </w:r>
      <w:r w:rsidR="00B161D7">
        <w:rPr>
          <w:rStyle w:val="FootnoteReference"/>
        </w:rPr>
        <w:footnoteReference w:id="45"/>
      </w:r>
      <w:r w:rsidR="00A81D2F">
        <w:t xml:space="preserve">Currently there are </w:t>
      </w:r>
      <w:r w:rsidR="00EE2BD7">
        <w:t>three</w:t>
      </w:r>
      <w:r w:rsidR="00A81D2F">
        <w:t xml:space="preserve"> directors with consumer experience, </w:t>
      </w:r>
      <w:r w:rsidR="00EE2BD7">
        <w:t>three</w:t>
      </w:r>
      <w:r w:rsidR="00A81D2F">
        <w:t xml:space="preserve"> with industry experience, two independent directors and an independent Chair.</w:t>
      </w:r>
    </w:p>
    <w:p w14:paraId="08A5ADE1" w14:textId="570C3347" w:rsidR="003365A7" w:rsidRPr="00AF5303" w:rsidRDefault="003365A7" w:rsidP="005C4EDF">
      <w:pPr>
        <w:pStyle w:val="Heading2"/>
      </w:pPr>
      <w:r w:rsidRPr="00AF5303">
        <w:t>Member and stakeholder engagement and outreach activities</w:t>
      </w:r>
    </w:p>
    <w:p w14:paraId="4D46A72B" w14:textId="6AB9D4CA" w:rsidR="00A45E61" w:rsidRDefault="00A45E61" w:rsidP="00A45E61">
      <w:r>
        <w:t>We acknowledge that the COVID-19 pandemic has impacted the TIO’s ability to do face-to-face outreach, and that the TIO has continued t</w:t>
      </w:r>
      <w:r w:rsidR="0040460A">
        <w:t>o</w:t>
      </w:r>
      <w:r>
        <w:t xml:space="preserve"> pursue outreach opportunities in this environment. Feedback from community groups indicates that the TIO should introduce a bold, targeted advertising and</w:t>
      </w:r>
      <w:r w:rsidR="00150C87">
        <w:t xml:space="preserve"> interstate</w:t>
      </w:r>
      <w:r>
        <w:t xml:space="preserve"> outreach agenda, with a focus on consumers in regional and remote areas, First Nations consumers, and consumers experiencing vulnerability. Suggestions for improving consumer awareness of the TIO are listed </w:t>
      </w:r>
      <w:r w:rsidR="00BB31BC">
        <w:t xml:space="preserve">under our response to Industry Benchmark 1: Accessibility. </w:t>
      </w:r>
      <w:r>
        <w:t xml:space="preserve"> </w:t>
      </w:r>
    </w:p>
    <w:p w14:paraId="3BED2B37" w14:textId="226EA2C6" w:rsidR="00A45E61" w:rsidRDefault="00A45E61" w:rsidP="00A45E61">
      <w:r>
        <w:t xml:space="preserve">In 2019, the TIO established a TIO Consumer Panel to provide it with feedback and advice on a range of issues. Feedback from some members of the Panel indicate that this has been a meaningful </w:t>
      </w:r>
      <w:r>
        <w:lastRenderedPageBreak/>
        <w:t xml:space="preserve">method of engaging with the community. One member stated that the TIO Consumer Panel embodied a ‘culture of inclusiveness’, and we encourage this to continue. </w:t>
      </w:r>
    </w:p>
    <w:p w14:paraId="6A9CE981" w14:textId="1CB489A4" w:rsidR="00A45E61" w:rsidRDefault="00656F28" w:rsidP="00A45E61">
      <w:r>
        <w:t xml:space="preserve">In its Good Practice Principles </w:t>
      </w:r>
      <w:r w:rsidR="004B6383">
        <w:t>for industry codes and EDR scheme</w:t>
      </w:r>
      <w:r w:rsidR="006D38C3">
        <w:t>s</w:t>
      </w:r>
      <w:r w:rsidR="004B6383">
        <w:t>, t</w:t>
      </w:r>
      <w:r>
        <w:t>he Consumers</w:t>
      </w:r>
      <w:r w:rsidR="00423CA0">
        <w:t>’</w:t>
      </w:r>
      <w:r>
        <w:t xml:space="preserve"> Federation of Australia</w:t>
      </w:r>
      <w:r w:rsidR="004B6383">
        <w:t xml:space="preserve"> (</w:t>
      </w:r>
      <w:r w:rsidR="004B6383" w:rsidRPr="007D4342">
        <w:rPr>
          <w:b/>
          <w:bCs/>
        </w:rPr>
        <w:t>CFA</w:t>
      </w:r>
      <w:r w:rsidR="004B6383">
        <w:t xml:space="preserve">) </w:t>
      </w:r>
      <w:r w:rsidR="006D38C3">
        <w:t>indicates that consultation processes should not be rushed, and 6 week</w:t>
      </w:r>
      <w:r w:rsidR="007D4342">
        <w:t>s</w:t>
      </w:r>
      <w:r w:rsidR="006D38C3">
        <w:t xml:space="preserve"> is generally a</w:t>
      </w:r>
      <w:r w:rsidR="007D4342">
        <w:t xml:space="preserve"> reasonable </w:t>
      </w:r>
      <w:r w:rsidR="006D38C3">
        <w:t>minimum period to respond to a call for submissions.</w:t>
      </w:r>
      <w:r w:rsidR="0031453A">
        <w:rPr>
          <w:rStyle w:val="FootnoteReference"/>
        </w:rPr>
        <w:footnoteReference w:id="46"/>
      </w:r>
      <w:r w:rsidR="006D38C3">
        <w:t xml:space="preserve"> </w:t>
      </w:r>
      <w:r w:rsidR="0031453A">
        <w:t xml:space="preserve">For larger consultations, the TIO </w:t>
      </w:r>
      <w:r w:rsidR="00423CA0">
        <w:t xml:space="preserve">typically </w:t>
      </w:r>
      <w:r w:rsidR="0031453A">
        <w:t xml:space="preserve">allows ample time for responses. However, </w:t>
      </w:r>
      <w:r w:rsidR="007D4342">
        <w:t>when seeking feedback</w:t>
      </w:r>
      <w:r w:rsidR="005340FD">
        <w:t xml:space="preserve"> on targeted issues</w:t>
      </w:r>
      <w:r w:rsidR="007D4342">
        <w:t>,</w:t>
      </w:r>
      <w:r w:rsidR="00A45E61">
        <w:t xml:space="preserve"> </w:t>
      </w:r>
      <w:r w:rsidR="005340FD">
        <w:t xml:space="preserve">occasionally </w:t>
      </w:r>
      <w:r w:rsidR="00A45E61">
        <w:t xml:space="preserve">the TIO seeks </w:t>
      </w:r>
      <w:r w:rsidR="007D4342">
        <w:t>responses</w:t>
      </w:r>
      <w:r w:rsidR="00A45E61">
        <w:t xml:space="preserve"> with a </w:t>
      </w:r>
      <w:r w:rsidR="005340FD">
        <w:t>very tight turnaround</w:t>
      </w:r>
      <w:r w:rsidR="00A45E61">
        <w:t xml:space="preserve">. Community organisations and consumer advocates generally work in resource-stretched environments, and therefore ample notice and feedback windows are </w:t>
      </w:r>
      <w:r w:rsidR="005340FD">
        <w:t xml:space="preserve">always </w:t>
      </w:r>
      <w:r w:rsidR="00A45E61">
        <w:t xml:space="preserve">important to ensure engagement is effective and fair.  </w:t>
      </w:r>
    </w:p>
    <w:p w14:paraId="7445EF82" w14:textId="6DA5AE78" w:rsidR="00E87389" w:rsidRPr="00B363A5" w:rsidRDefault="00AB3BE1" w:rsidP="00B363A5">
      <w:pPr>
        <w:pStyle w:val="Recommendation"/>
      </w:pPr>
      <w:r>
        <w:t xml:space="preserve">The TIO should continue </w:t>
      </w:r>
      <w:r w:rsidR="00D23A26">
        <w:t xml:space="preserve">pursuing meaningful stakeholder engagement to ensure better strategic outcomes for phone and internet consumers. </w:t>
      </w:r>
    </w:p>
    <w:p w14:paraId="656410BC" w14:textId="77777777" w:rsidR="00FE5F00" w:rsidRDefault="00FE5F00">
      <w:pPr>
        <w:rPr>
          <w:rFonts w:cstheme="minorHAnsi"/>
          <w:sz w:val="48"/>
          <w:szCs w:val="48"/>
          <w:lang w:val="en-US"/>
        </w:rPr>
      </w:pPr>
      <w:r>
        <w:rPr>
          <w:sz w:val="48"/>
          <w:szCs w:val="48"/>
          <w:lang w:val="en-US"/>
        </w:rPr>
        <w:br w:type="page"/>
      </w:r>
    </w:p>
    <w:p w14:paraId="75414990" w14:textId="4D94ED65" w:rsidR="0040460A" w:rsidRPr="0083338D" w:rsidRDefault="00E87389" w:rsidP="00E87389">
      <w:pPr>
        <w:pStyle w:val="Heading1"/>
        <w:rPr>
          <w:sz w:val="48"/>
          <w:szCs w:val="48"/>
          <w:lang w:val="en-US"/>
        </w:rPr>
      </w:pPr>
      <w:bookmarkStart w:id="16" w:name="_Toc103609604"/>
      <w:r w:rsidRPr="0083338D">
        <w:rPr>
          <w:sz w:val="48"/>
          <w:szCs w:val="48"/>
          <w:lang w:val="en-US"/>
        </w:rPr>
        <w:lastRenderedPageBreak/>
        <w:t>Appendix</w:t>
      </w:r>
      <w:bookmarkEnd w:id="16"/>
    </w:p>
    <w:p w14:paraId="77A9F50D" w14:textId="766FCB6F" w:rsidR="00C65226" w:rsidRPr="00EA48F0" w:rsidRDefault="00C65226" w:rsidP="005C4EDF">
      <w:pPr>
        <w:pStyle w:val="Heading2"/>
      </w:pPr>
      <w:r w:rsidRPr="00EA48F0">
        <w:t xml:space="preserve">Findings from Ipsos Omnibus Survey </w:t>
      </w:r>
      <w:r w:rsidR="00F76FA5">
        <w:t xml:space="preserve">(n=1000) </w:t>
      </w:r>
      <w:r w:rsidRPr="00EA48F0">
        <w:t xml:space="preserve">commissioned by ACCAN, </w:t>
      </w:r>
      <w:r w:rsidR="00BA05E4" w:rsidRPr="00EA48F0">
        <w:t>April 2022</w:t>
      </w:r>
    </w:p>
    <w:tbl>
      <w:tblPr>
        <w:tblW w:w="908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7"/>
        <w:gridCol w:w="1153"/>
        <w:gridCol w:w="216"/>
        <w:gridCol w:w="48"/>
        <w:gridCol w:w="894"/>
        <w:gridCol w:w="29"/>
        <w:gridCol w:w="26"/>
        <w:gridCol w:w="55"/>
      </w:tblGrid>
      <w:tr w:rsidR="00CF4AD5" w:rsidRPr="00804C02" w14:paraId="5DFA553B" w14:textId="77777777" w:rsidTr="00CC57F8">
        <w:trPr>
          <w:gridAfter w:val="3"/>
          <w:wAfter w:w="110" w:type="dxa"/>
          <w:trHeight w:val="304"/>
        </w:trPr>
        <w:tc>
          <w:tcPr>
            <w:tcW w:w="6667" w:type="dxa"/>
            <w:shd w:val="clear" w:color="auto" w:fill="auto"/>
            <w:noWrap/>
            <w:vAlign w:val="bottom"/>
            <w:hideMark/>
          </w:tcPr>
          <w:p w14:paraId="514ADAF6" w14:textId="09ADE5DB" w:rsidR="00A12A9F" w:rsidRPr="00804C02" w:rsidRDefault="00A12A9F" w:rsidP="00A12A9F">
            <w:pPr>
              <w:spacing w:after="0" w:line="240" w:lineRule="auto"/>
              <w:rPr>
                <w:rFonts w:ascii="Calibri" w:eastAsia="Times New Roman" w:hAnsi="Calibri" w:cs="Calibri"/>
                <w:b/>
                <w:bCs/>
                <w:color w:val="000000"/>
              </w:rPr>
            </w:pPr>
            <w:r w:rsidRPr="00804C02">
              <w:rPr>
                <w:rFonts w:ascii="Calibri" w:eastAsia="Times New Roman" w:hAnsi="Calibri" w:cs="Calibri"/>
                <w:b/>
                <w:bCs/>
                <w:color w:val="000000"/>
              </w:rPr>
              <w:t>I am aware of</w:t>
            </w:r>
            <w:r w:rsidR="0074076F">
              <w:rPr>
                <w:rFonts w:ascii="Calibri" w:eastAsia="Times New Roman" w:hAnsi="Calibri" w:cs="Calibri"/>
                <w:b/>
                <w:bCs/>
                <w:color w:val="000000"/>
              </w:rPr>
              <w:t xml:space="preserve"> </w:t>
            </w:r>
            <w:r w:rsidRPr="00804C02">
              <w:rPr>
                <w:rFonts w:ascii="Calibri" w:eastAsia="Times New Roman" w:hAnsi="Calibri" w:cs="Calibri"/>
                <w:b/>
                <w:bCs/>
                <w:color w:val="000000"/>
              </w:rPr>
              <w:t>the Telecommunications Industry Ombudsman</w:t>
            </w:r>
          </w:p>
        </w:tc>
        <w:tc>
          <w:tcPr>
            <w:tcW w:w="1153" w:type="dxa"/>
            <w:shd w:val="clear" w:color="auto" w:fill="auto"/>
            <w:noWrap/>
            <w:vAlign w:val="bottom"/>
            <w:hideMark/>
          </w:tcPr>
          <w:p w14:paraId="3FBEFA84"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n=</w:t>
            </w:r>
          </w:p>
        </w:tc>
        <w:tc>
          <w:tcPr>
            <w:tcW w:w="1158" w:type="dxa"/>
            <w:gridSpan w:val="3"/>
            <w:shd w:val="clear" w:color="auto" w:fill="auto"/>
            <w:noWrap/>
            <w:vAlign w:val="bottom"/>
            <w:hideMark/>
          </w:tcPr>
          <w:p w14:paraId="1C9D6A0E"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w:t>
            </w:r>
          </w:p>
        </w:tc>
      </w:tr>
      <w:tr w:rsidR="00CF4AD5" w:rsidRPr="00804C02" w14:paraId="77354219" w14:textId="77777777" w:rsidTr="00CC57F8">
        <w:trPr>
          <w:gridAfter w:val="3"/>
          <w:wAfter w:w="110" w:type="dxa"/>
          <w:trHeight w:val="304"/>
        </w:trPr>
        <w:tc>
          <w:tcPr>
            <w:tcW w:w="6667" w:type="dxa"/>
            <w:shd w:val="clear" w:color="auto" w:fill="auto"/>
            <w:noWrap/>
            <w:vAlign w:val="bottom"/>
            <w:hideMark/>
          </w:tcPr>
          <w:p w14:paraId="67A49079"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Strongly disagree</w:t>
            </w:r>
          </w:p>
        </w:tc>
        <w:tc>
          <w:tcPr>
            <w:tcW w:w="1153" w:type="dxa"/>
            <w:shd w:val="clear" w:color="auto" w:fill="auto"/>
            <w:noWrap/>
            <w:vAlign w:val="bottom"/>
            <w:hideMark/>
          </w:tcPr>
          <w:p w14:paraId="2F475C35"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85</w:t>
            </w:r>
          </w:p>
        </w:tc>
        <w:tc>
          <w:tcPr>
            <w:tcW w:w="1158" w:type="dxa"/>
            <w:gridSpan w:val="3"/>
            <w:shd w:val="clear" w:color="auto" w:fill="auto"/>
            <w:noWrap/>
            <w:vAlign w:val="bottom"/>
            <w:hideMark/>
          </w:tcPr>
          <w:p w14:paraId="5FA92675"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9%</w:t>
            </w:r>
          </w:p>
        </w:tc>
      </w:tr>
      <w:tr w:rsidR="00CF4AD5" w:rsidRPr="00804C02" w14:paraId="6161FAE2" w14:textId="77777777" w:rsidTr="00CC57F8">
        <w:trPr>
          <w:gridAfter w:val="3"/>
          <w:wAfter w:w="110" w:type="dxa"/>
          <w:trHeight w:val="304"/>
        </w:trPr>
        <w:tc>
          <w:tcPr>
            <w:tcW w:w="6667" w:type="dxa"/>
            <w:shd w:val="clear" w:color="auto" w:fill="auto"/>
            <w:noWrap/>
            <w:vAlign w:val="bottom"/>
            <w:hideMark/>
          </w:tcPr>
          <w:p w14:paraId="5135B2FD"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Disagree</w:t>
            </w:r>
          </w:p>
        </w:tc>
        <w:tc>
          <w:tcPr>
            <w:tcW w:w="1153" w:type="dxa"/>
            <w:shd w:val="clear" w:color="auto" w:fill="auto"/>
            <w:noWrap/>
            <w:vAlign w:val="bottom"/>
            <w:hideMark/>
          </w:tcPr>
          <w:p w14:paraId="14208222"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84</w:t>
            </w:r>
          </w:p>
        </w:tc>
        <w:tc>
          <w:tcPr>
            <w:tcW w:w="1158" w:type="dxa"/>
            <w:gridSpan w:val="3"/>
            <w:shd w:val="clear" w:color="auto" w:fill="auto"/>
            <w:noWrap/>
            <w:vAlign w:val="bottom"/>
            <w:hideMark/>
          </w:tcPr>
          <w:p w14:paraId="3E2D0D3F"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8%</w:t>
            </w:r>
          </w:p>
        </w:tc>
      </w:tr>
      <w:tr w:rsidR="00CF4AD5" w:rsidRPr="00804C02" w14:paraId="46F5EA02" w14:textId="77777777" w:rsidTr="00CC57F8">
        <w:trPr>
          <w:gridAfter w:val="3"/>
          <w:wAfter w:w="110" w:type="dxa"/>
          <w:trHeight w:val="304"/>
        </w:trPr>
        <w:tc>
          <w:tcPr>
            <w:tcW w:w="6667" w:type="dxa"/>
            <w:shd w:val="clear" w:color="auto" w:fill="auto"/>
            <w:noWrap/>
            <w:vAlign w:val="bottom"/>
            <w:hideMark/>
          </w:tcPr>
          <w:p w14:paraId="06E29782"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Somewhat disagree</w:t>
            </w:r>
          </w:p>
        </w:tc>
        <w:tc>
          <w:tcPr>
            <w:tcW w:w="1153" w:type="dxa"/>
            <w:shd w:val="clear" w:color="auto" w:fill="auto"/>
            <w:noWrap/>
            <w:vAlign w:val="bottom"/>
            <w:hideMark/>
          </w:tcPr>
          <w:p w14:paraId="3DDAFCD1"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82</w:t>
            </w:r>
          </w:p>
        </w:tc>
        <w:tc>
          <w:tcPr>
            <w:tcW w:w="1158" w:type="dxa"/>
            <w:gridSpan w:val="3"/>
            <w:shd w:val="clear" w:color="auto" w:fill="auto"/>
            <w:noWrap/>
            <w:vAlign w:val="bottom"/>
            <w:hideMark/>
          </w:tcPr>
          <w:p w14:paraId="1521A64F"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8%</w:t>
            </w:r>
          </w:p>
        </w:tc>
      </w:tr>
      <w:tr w:rsidR="00CF4AD5" w:rsidRPr="00804C02" w14:paraId="76AC2041" w14:textId="77777777" w:rsidTr="00CC57F8">
        <w:trPr>
          <w:gridAfter w:val="3"/>
          <w:wAfter w:w="110" w:type="dxa"/>
          <w:trHeight w:val="304"/>
        </w:trPr>
        <w:tc>
          <w:tcPr>
            <w:tcW w:w="6667" w:type="dxa"/>
            <w:shd w:val="clear" w:color="auto" w:fill="auto"/>
            <w:noWrap/>
            <w:vAlign w:val="bottom"/>
            <w:hideMark/>
          </w:tcPr>
          <w:p w14:paraId="631F293D"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Somewhat agree</w:t>
            </w:r>
          </w:p>
        </w:tc>
        <w:tc>
          <w:tcPr>
            <w:tcW w:w="1153" w:type="dxa"/>
            <w:shd w:val="clear" w:color="auto" w:fill="auto"/>
            <w:noWrap/>
            <w:vAlign w:val="bottom"/>
            <w:hideMark/>
          </w:tcPr>
          <w:p w14:paraId="3D7DF32F"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202</w:t>
            </w:r>
          </w:p>
        </w:tc>
        <w:tc>
          <w:tcPr>
            <w:tcW w:w="1158" w:type="dxa"/>
            <w:gridSpan w:val="3"/>
            <w:shd w:val="clear" w:color="auto" w:fill="auto"/>
            <w:noWrap/>
            <w:vAlign w:val="bottom"/>
            <w:hideMark/>
          </w:tcPr>
          <w:p w14:paraId="23E72CBD"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20%</w:t>
            </w:r>
          </w:p>
        </w:tc>
      </w:tr>
      <w:tr w:rsidR="00CF4AD5" w:rsidRPr="00804C02" w14:paraId="3E1054C2" w14:textId="77777777" w:rsidTr="00CC57F8">
        <w:trPr>
          <w:gridAfter w:val="3"/>
          <w:wAfter w:w="110" w:type="dxa"/>
          <w:trHeight w:val="304"/>
        </w:trPr>
        <w:tc>
          <w:tcPr>
            <w:tcW w:w="6667" w:type="dxa"/>
            <w:shd w:val="clear" w:color="auto" w:fill="auto"/>
            <w:noWrap/>
            <w:vAlign w:val="bottom"/>
            <w:hideMark/>
          </w:tcPr>
          <w:p w14:paraId="445E5666"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Agree</w:t>
            </w:r>
          </w:p>
        </w:tc>
        <w:tc>
          <w:tcPr>
            <w:tcW w:w="1153" w:type="dxa"/>
            <w:shd w:val="clear" w:color="auto" w:fill="auto"/>
            <w:noWrap/>
            <w:vAlign w:val="bottom"/>
            <w:hideMark/>
          </w:tcPr>
          <w:p w14:paraId="72255966"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277</w:t>
            </w:r>
          </w:p>
        </w:tc>
        <w:tc>
          <w:tcPr>
            <w:tcW w:w="1158" w:type="dxa"/>
            <w:gridSpan w:val="3"/>
            <w:shd w:val="clear" w:color="auto" w:fill="auto"/>
            <w:noWrap/>
            <w:vAlign w:val="bottom"/>
            <w:hideMark/>
          </w:tcPr>
          <w:p w14:paraId="1DE38FCC"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28%</w:t>
            </w:r>
          </w:p>
        </w:tc>
      </w:tr>
      <w:tr w:rsidR="00CF4AD5" w:rsidRPr="00804C02" w14:paraId="7C532DE6" w14:textId="77777777" w:rsidTr="00CC57F8">
        <w:trPr>
          <w:gridAfter w:val="3"/>
          <w:wAfter w:w="110" w:type="dxa"/>
          <w:trHeight w:val="304"/>
        </w:trPr>
        <w:tc>
          <w:tcPr>
            <w:tcW w:w="6667" w:type="dxa"/>
            <w:shd w:val="clear" w:color="auto" w:fill="auto"/>
            <w:noWrap/>
            <w:vAlign w:val="bottom"/>
            <w:hideMark/>
          </w:tcPr>
          <w:p w14:paraId="1390738A"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Strongly agree</w:t>
            </w:r>
          </w:p>
        </w:tc>
        <w:tc>
          <w:tcPr>
            <w:tcW w:w="1153" w:type="dxa"/>
            <w:shd w:val="clear" w:color="auto" w:fill="auto"/>
            <w:noWrap/>
            <w:vAlign w:val="bottom"/>
            <w:hideMark/>
          </w:tcPr>
          <w:p w14:paraId="27AD3F8A"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144</w:t>
            </w:r>
          </w:p>
        </w:tc>
        <w:tc>
          <w:tcPr>
            <w:tcW w:w="1158" w:type="dxa"/>
            <w:gridSpan w:val="3"/>
            <w:shd w:val="clear" w:color="auto" w:fill="auto"/>
            <w:noWrap/>
            <w:vAlign w:val="bottom"/>
            <w:hideMark/>
          </w:tcPr>
          <w:p w14:paraId="3C6B52C5"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14%</w:t>
            </w:r>
          </w:p>
        </w:tc>
      </w:tr>
      <w:tr w:rsidR="00CF4AD5" w:rsidRPr="00804C02" w14:paraId="21214287" w14:textId="77777777" w:rsidTr="00CC57F8">
        <w:trPr>
          <w:gridAfter w:val="3"/>
          <w:wAfter w:w="110" w:type="dxa"/>
          <w:trHeight w:val="304"/>
        </w:trPr>
        <w:tc>
          <w:tcPr>
            <w:tcW w:w="6667" w:type="dxa"/>
            <w:shd w:val="clear" w:color="auto" w:fill="auto"/>
            <w:noWrap/>
            <w:vAlign w:val="bottom"/>
            <w:hideMark/>
          </w:tcPr>
          <w:p w14:paraId="1E14C4B2"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Unsure/don’t know</w:t>
            </w:r>
          </w:p>
        </w:tc>
        <w:tc>
          <w:tcPr>
            <w:tcW w:w="1153" w:type="dxa"/>
            <w:shd w:val="clear" w:color="auto" w:fill="auto"/>
            <w:noWrap/>
            <w:vAlign w:val="bottom"/>
            <w:hideMark/>
          </w:tcPr>
          <w:p w14:paraId="1DCAA91F"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124</w:t>
            </w:r>
          </w:p>
        </w:tc>
        <w:tc>
          <w:tcPr>
            <w:tcW w:w="1158" w:type="dxa"/>
            <w:gridSpan w:val="3"/>
            <w:shd w:val="clear" w:color="auto" w:fill="auto"/>
            <w:noWrap/>
            <w:vAlign w:val="bottom"/>
            <w:hideMark/>
          </w:tcPr>
          <w:p w14:paraId="02C6D68B"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12%</w:t>
            </w:r>
          </w:p>
        </w:tc>
      </w:tr>
      <w:tr w:rsidR="00CF4AD5" w:rsidRPr="00804C02" w14:paraId="30CFE772" w14:textId="77777777" w:rsidTr="00CC57F8">
        <w:trPr>
          <w:gridAfter w:val="3"/>
          <w:wAfter w:w="110" w:type="dxa"/>
          <w:trHeight w:val="304"/>
        </w:trPr>
        <w:tc>
          <w:tcPr>
            <w:tcW w:w="6667" w:type="dxa"/>
            <w:shd w:val="clear" w:color="auto" w:fill="auto"/>
            <w:noWrap/>
            <w:vAlign w:val="bottom"/>
            <w:hideMark/>
          </w:tcPr>
          <w:p w14:paraId="1401F915" w14:textId="77777777" w:rsidR="00A12A9F" w:rsidRPr="00804C02" w:rsidRDefault="00A12A9F" w:rsidP="00A12A9F">
            <w:pPr>
              <w:spacing w:after="0" w:line="240" w:lineRule="auto"/>
              <w:rPr>
                <w:rFonts w:ascii="Calibri" w:eastAsia="Times New Roman" w:hAnsi="Calibri" w:cs="Calibri"/>
                <w:color w:val="000000"/>
              </w:rPr>
            </w:pPr>
            <w:r w:rsidRPr="00804C02">
              <w:rPr>
                <w:rFonts w:ascii="Calibri" w:eastAsia="Times New Roman" w:hAnsi="Calibri" w:cs="Calibri"/>
                <w:color w:val="000000"/>
              </w:rPr>
              <w:t>Total</w:t>
            </w:r>
          </w:p>
        </w:tc>
        <w:tc>
          <w:tcPr>
            <w:tcW w:w="1153" w:type="dxa"/>
            <w:shd w:val="clear" w:color="auto" w:fill="auto"/>
            <w:noWrap/>
            <w:vAlign w:val="bottom"/>
            <w:hideMark/>
          </w:tcPr>
          <w:p w14:paraId="2ABD6269"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998</w:t>
            </w:r>
          </w:p>
        </w:tc>
        <w:tc>
          <w:tcPr>
            <w:tcW w:w="1158" w:type="dxa"/>
            <w:gridSpan w:val="3"/>
            <w:shd w:val="clear" w:color="auto" w:fill="auto"/>
            <w:noWrap/>
            <w:vAlign w:val="bottom"/>
            <w:hideMark/>
          </w:tcPr>
          <w:p w14:paraId="3E75306F" w14:textId="77777777" w:rsidR="00A12A9F" w:rsidRPr="00804C02" w:rsidRDefault="00A12A9F" w:rsidP="00A12A9F">
            <w:pPr>
              <w:spacing w:after="0" w:line="240" w:lineRule="auto"/>
              <w:jc w:val="right"/>
              <w:rPr>
                <w:rFonts w:ascii="Calibri" w:eastAsia="Times New Roman" w:hAnsi="Calibri" w:cs="Calibri"/>
                <w:color w:val="000000"/>
              </w:rPr>
            </w:pPr>
            <w:r w:rsidRPr="00804C02">
              <w:rPr>
                <w:rFonts w:ascii="Calibri" w:eastAsia="Times New Roman" w:hAnsi="Calibri" w:cs="Calibri"/>
                <w:color w:val="000000"/>
              </w:rPr>
              <w:t>100%</w:t>
            </w:r>
          </w:p>
        </w:tc>
      </w:tr>
      <w:tr w:rsidR="00A12A9F" w:rsidRPr="00A12A9F" w14:paraId="6AAEB0B9"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9007" w:type="dxa"/>
            <w:gridSpan w:val="6"/>
            <w:tcBorders>
              <w:top w:val="nil"/>
              <w:left w:val="nil"/>
              <w:bottom w:val="nil"/>
              <w:right w:val="nil"/>
            </w:tcBorders>
            <w:shd w:val="clear" w:color="auto" w:fill="auto"/>
            <w:noWrap/>
            <w:vAlign w:val="bottom"/>
          </w:tcPr>
          <w:p w14:paraId="44F0F332" w14:textId="3796FDD7" w:rsidR="00A12A9F" w:rsidRPr="00A12A9F" w:rsidRDefault="00A12A9F" w:rsidP="00A12A9F">
            <w:pPr>
              <w:spacing w:after="0" w:line="240" w:lineRule="auto"/>
              <w:rPr>
                <w:rFonts w:ascii="Calibri" w:eastAsia="Times New Roman" w:hAnsi="Calibri" w:cs="Calibri"/>
                <w:color w:val="000000"/>
              </w:rPr>
            </w:pPr>
          </w:p>
        </w:tc>
      </w:tr>
      <w:tr w:rsidR="00A12A9F" w:rsidRPr="00A12A9F" w14:paraId="516E542E"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E8C69" w14:textId="56363C24" w:rsidR="00A12A9F" w:rsidRPr="00A12A9F" w:rsidRDefault="00A12A9F" w:rsidP="00A12A9F">
            <w:pPr>
              <w:spacing w:after="0" w:line="240" w:lineRule="auto"/>
              <w:rPr>
                <w:rFonts w:ascii="Calibri" w:eastAsia="Times New Roman" w:hAnsi="Calibri" w:cs="Calibri"/>
                <w:b/>
                <w:bCs/>
                <w:color w:val="000000"/>
              </w:rPr>
            </w:pPr>
            <w:r w:rsidRPr="00A12A9F">
              <w:rPr>
                <w:rFonts w:ascii="Calibri" w:eastAsia="Times New Roman" w:hAnsi="Calibri" w:cs="Calibri"/>
                <w:b/>
                <w:bCs/>
                <w:color w:val="000000"/>
              </w:rPr>
              <w:t>I am aware of what the Telecommunications Industry Ombudsman</w:t>
            </w:r>
            <w:r w:rsidR="0074076F">
              <w:rPr>
                <w:rFonts w:ascii="Calibri" w:eastAsia="Times New Roman" w:hAnsi="Calibri" w:cs="Calibri"/>
                <w:b/>
                <w:bCs/>
                <w:color w:val="000000"/>
              </w:rPr>
              <w:t xml:space="preserve"> </w:t>
            </w:r>
            <w:r w:rsidRPr="00A12A9F">
              <w:rPr>
                <w:rFonts w:ascii="Calibri" w:eastAsia="Times New Roman" w:hAnsi="Calibri" w:cs="Calibri"/>
                <w:b/>
                <w:bCs/>
                <w:color w:val="000000"/>
              </w:rPr>
              <w:t>can do if I have difficulty resolving a complaint with my phone or internet provider</w:t>
            </w:r>
          </w:p>
        </w:tc>
        <w:tc>
          <w:tcPr>
            <w:tcW w:w="13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0B1D84DE"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n=</w:t>
            </w:r>
          </w:p>
        </w:tc>
        <w:tc>
          <w:tcPr>
            <w:tcW w:w="971" w:type="dxa"/>
            <w:gridSpan w:val="3"/>
            <w:tcBorders>
              <w:top w:val="single" w:sz="4" w:space="0" w:color="auto"/>
              <w:left w:val="nil"/>
              <w:bottom w:val="single" w:sz="4" w:space="0" w:color="auto"/>
              <w:right w:val="single" w:sz="4" w:space="0" w:color="auto"/>
            </w:tcBorders>
            <w:shd w:val="clear" w:color="auto" w:fill="auto"/>
            <w:noWrap/>
            <w:vAlign w:val="bottom"/>
            <w:hideMark/>
          </w:tcPr>
          <w:p w14:paraId="067F01A2"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w:t>
            </w:r>
          </w:p>
        </w:tc>
      </w:tr>
      <w:tr w:rsidR="00A12A9F" w:rsidRPr="00A12A9F" w14:paraId="5EA910ED"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10A0489F"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Strongly disagree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700EC26B"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90</w:t>
            </w:r>
          </w:p>
        </w:tc>
        <w:tc>
          <w:tcPr>
            <w:tcW w:w="971" w:type="dxa"/>
            <w:gridSpan w:val="3"/>
            <w:tcBorders>
              <w:top w:val="nil"/>
              <w:left w:val="nil"/>
              <w:bottom w:val="single" w:sz="4" w:space="0" w:color="auto"/>
              <w:right w:val="single" w:sz="4" w:space="0" w:color="auto"/>
            </w:tcBorders>
            <w:shd w:val="clear" w:color="auto" w:fill="auto"/>
            <w:noWrap/>
            <w:vAlign w:val="bottom"/>
            <w:hideMark/>
          </w:tcPr>
          <w:p w14:paraId="014567BB"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9%</w:t>
            </w:r>
          </w:p>
        </w:tc>
      </w:tr>
      <w:tr w:rsidR="00A12A9F" w:rsidRPr="00A12A9F" w14:paraId="3C6BD4C1"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16FB4372"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Disagree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40572835"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123</w:t>
            </w:r>
          </w:p>
        </w:tc>
        <w:tc>
          <w:tcPr>
            <w:tcW w:w="971" w:type="dxa"/>
            <w:gridSpan w:val="3"/>
            <w:tcBorders>
              <w:top w:val="nil"/>
              <w:left w:val="nil"/>
              <w:bottom w:val="single" w:sz="4" w:space="0" w:color="auto"/>
              <w:right w:val="single" w:sz="4" w:space="0" w:color="auto"/>
            </w:tcBorders>
            <w:shd w:val="clear" w:color="auto" w:fill="auto"/>
            <w:noWrap/>
            <w:vAlign w:val="bottom"/>
            <w:hideMark/>
          </w:tcPr>
          <w:p w14:paraId="6AAE5124"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12%</w:t>
            </w:r>
          </w:p>
        </w:tc>
      </w:tr>
      <w:tr w:rsidR="00A12A9F" w:rsidRPr="00A12A9F" w14:paraId="5DB1B6A8"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0FCDC190"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Somewhat disagree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638775CC"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127</w:t>
            </w:r>
          </w:p>
        </w:tc>
        <w:tc>
          <w:tcPr>
            <w:tcW w:w="971" w:type="dxa"/>
            <w:gridSpan w:val="3"/>
            <w:tcBorders>
              <w:top w:val="nil"/>
              <w:left w:val="nil"/>
              <w:bottom w:val="single" w:sz="4" w:space="0" w:color="auto"/>
              <w:right w:val="single" w:sz="4" w:space="0" w:color="auto"/>
            </w:tcBorders>
            <w:shd w:val="clear" w:color="auto" w:fill="auto"/>
            <w:noWrap/>
            <w:vAlign w:val="bottom"/>
            <w:hideMark/>
          </w:tcPr>
          <w:p w14:paraId="5EBEEDB2"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13%</w:t>
            </w:r>
          </w:p>
        </w:tc>
      </w:tr>
      <w:tr w:rsidR="00A12A9F" w:rsidRPr="00A12A9F" w14:paraId="5E486308"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05B92194"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Somewhat 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2A49D660"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216</w:t>
            </w:r>
          </w:p>
        </w:tc>
        <w:tc>
          <w:tcPr>
            <w:tcW w:w="971" w:type="dxa"/>
            <w:gridSpan w:val="3"/>
            <w:tcBorders>
              <w:top w:val="nil"/>
              <w:left w:val="nil"/>
              <w:bottom w:val="single" w:sz="4" w:space="0" w:color="auto"/>
              <w:right w:val="single" w:sz="4" w:space="0" w:color="auto"/>
            </w:tcBorders>
            <w:shd w:val="clear" w:color="auto" w:fill="auto"/>
            <w:noWrap/>
            <w:vAlign w:val="bottom"/>
            <w:hideMark/>
          </w:tcPr>
          <w:p w14:paraId="6DB1EFC6"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22%</w:t>
            </w:r>
          </w:p>
        </w:tc>
      </w:tr>
      <w:tr w:rsidR="00A12A9F" w:rsidRPr="00A12A9F" w14:paraId="344F4C15"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1A0C1D86"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5DD55B92"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202</w:t>
            </w:r>
          </w:p>
        </w:tc>
        <w:tc>
          <w:tcPr>
            <w:tcW w:w="971" w:type="dxa"/>
            <w:gridSpan w:val="3"/>
            <w:tcBorders>
              <w:top w:val="nil"/>
              <w:left w:val="nil"/>
              <w:bottom w:val="single" w:sz="4" w:space="0" w:color="auto"/>
              <w:right w:val="single" w:sz="4" w:space="0" w:color="auto"/>
            </w:tcBorders>
            <w:shd w:val="clear" w:color="auto" w:fill="auto"/>
            <w:noWrap/>
            <w:vAlign w:val="bottom"/>
            <w:hideMark/>
          </w:tcPr>
          <w:p w14:paraId="5D26CB3A"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20%</w:t>
            </w:r>
          </w:p>
        </w:tc>
      </w:tr>
      <w:tr w:rsidR="00A12A9F" w:rsidRPr="00A12A9F" w14:paraId="05A4CAA0"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61269D90"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Strongly 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217798A6"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97</w:t>
            </w:r>
          </w:p>
        </w:tc>
        <w:tc>
          <w:tcPr>
            <w:tcW w:w="971" w:type="dxa"/>
            <w:gridSpan w:val="3"/>
            <w:tcBorders>
              <w:top w:val="nil"/>
              <w:left w:val="nil"/>
              <w:bottom w:val="single" w:sz="4" w:space="0" w:color="auto"/>
              <w:right w:val="single" w:sz="4" w:space="0" w:color="auto"/>
            </w:tcBorders>
            <w:shd w:val="clear" w:color="auto" w:fill="auto"/>
            <w:noWrap/>
            <w:vAlign w:val="bottom"/>
            <w:hideMark/>
          </w:tcPr>
          <w:p w14:paraId="0427CB09"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10%</w:t>
            </w:r>
          </w:p>
        </w:tc>
      </w:tr>
      <w:tr w:rsidR="00A12A9F" w:rsidRPr="00A12A9F" w14:paraId="65CBE018"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1DFE1200"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Unsure/don’t know</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3705547B"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142</w:t>
            </w:r>
          </w:p>
        </w:tc>
        <w:tc>
          <w:tcPr>
            <w:tcW w:w="971" w:type="dxa"/>
            <w:gridSpan w:val="3"/>
            <w:tcBorders>
              <w:top w:val="nil"/>
              <w:left w:val="nil"/>
              <w:bottom w:val="single" w:sz="4" w:space="0" w:color="auto"/>
              <w:right w:val="single" w:sz="4" w:space="0" w:color="auto"/>
            </w:tcBorders>
            <w:shd w:val="clear" w:color="auto" w:fill="auto"/>
            <w:noWrap/>
            <w:vAlign w:val="bottom"/>
            <w:hideMark/>
          </w:tcPr>
          <w:p w14:paraId="6286BB4A"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14%</w:t>
            </w:r>
          </w:p>
        </w:tc>
      </w:tr>
      <w:tr w:rsidR="00A12A9F" w:rsidRPr="00A12A9F" w14:paraId="0F8D98A8"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81" w:type="dxa"/>
          <w:trHeight w:val="298"/>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5960ED3B" w14:textId="77777777" w:rsidR="00A12A9F" w:rsidRPr="00A12A9F" w:rsidRDefault="00A12A9F" w:rsidP="00A12A9F">
            <w:pPr>
              <w:spacing w:after="0" w:line="240" w:lineRule="auto"/>
              <w:rPr>
                <w:rFonts w:ascii="Calibri" w:eastAsia="Times New Roman" w:hAnsi="Calibri" w:cs="Calibri"/>
                <w:color w:val="000000"/>
              </w:rPr>
            </w:pPr>
            <w:r w:rsidRPr="00A12A9F">
              <w:rPr>
                <w:rFonts w:ascii="Calibri" w:eastAsia="Times New Roman" w:hAnsi="Calibri" w:cs="Calibri"/>
                <w:color w:val="000000"/>
              </w:rPr>
              <w:t>Total</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7679DB94"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997</w:t>
            </w:r>
          </w:p>
        </w:tc>
        <w:tc>
          <w:tcPr>
            <w:tcW w:w="971" w:type="dxa"/>
            <w:gridSpan w:val="3"/>
            <w:tcBorders>
              <w:top w:val="nil"/>
              <w:left w:val="nil"/>
              <w:bottom w:val="single" w:sz="4" w:space="0" w:color="auto"/>
              <w:right w:val="single" w:sz="4" w:space="0" w:color="auto"/>
            </w:tcBorders>
            <w:shd w:val="clear" w:color="auto" w:fill="auto"/>
            <w:noWrap/>
            <w:vAlign w:val="bottom"/>
            <w:hideMark/>
          </w:tcPr>
          <w:p w14:paraId="3BE9B33A" w14:textId="77777777" w:rsidR="00A12A9F" w:rsidRPr="00A12A9F" w:rsidRDefault="00A12A9F" w:rsidP="00A12A9F">
            <w:pPr>
              <w:spacing w:after="0" w:line="240" w:lineRule="auto"/>
              <w:jc w:val="right"/>
              <w:rPr>
                <w:rFonts w:ascii="Calibri" w:eastAsia="Times New Roman" w:hAnsi="Calibri" w:cs="Calibri"/>
                <w:color w:val="000000"/>
              </w:rPr>
            </w:pPr>
            <w:r w:rsidRPr="00A12A9F">
              <w:rPr>
                <w:rFonts w:ascii="Calibri" w:eastAsia="Times New Roman" w:hAnsi="Calibri" w:cs="Calibri"/>
                <w:color w:val="000000"/>
              </w:rPr>
              <w:t>100%</w:t>
            </w:r>
          </w:p>
        </w:tc>
      </w:tr>
      <w:tr w:rsidR="004D76A9" w:rsidRPr="004D76A9" w14:paraId="29E84252"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9033" w:type="dxa"/>
            <w:gridSpan w:val="7"/>
            <w:tcBorders>
              <w:top w:val="nil"/>
              <w:left w:val="nil"/>
              <w:bottom w:val="nil"/>
              <w:right w:val="nil"/>
            </w:tcBorders>
            <w:shd w:val="clear" w:color="auto" w:fill="auto"/>
            <w:noWrap/>
            <w:vAlign w:val="bottom"/>
          </w:tcPr>
          <w:p w14:paraId="795AC298" w14:textId="0B7D5102" w:rsidR="004D76A9" w:rsidRPr="004D76A9" w:rsidRDefault="004D76A9" w:rsidP="004D76A9">
            <w:pPr>
              <w:spacing w:after="0" w:line="240" w:lineRule="auto"/>
              <w:rPr>
                <w:rFonts w:ascii="Calibri" w:eastAsia="Times New Roman" w:hAnsi="Calibri" w:cs="Calibri"/>
                <w:color w:val="000000"/>
              </w:rPr>
            </w:pPr>
          </w:p>
        </w:tc>
      </w:tr>
      <w:tr w:rsidR="004D76A9" w:rsidRPr="004D76A9" w14:paraId="1F9A9481"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51C6E" w14:textId="39EA2B0D" w:rsidR="004D76A9" w:rsidRPr="004D76A9" w:rsidRDefault="004D76A9" w:rsidP="004D76A9">
            <w:pPr>
              <w:spacing w:after="0" w:line="240" w:lineRule="auto"/>
              <w:rPr>
                <w:rFonts w:ascii="Calibri" w:eastAsia="Times New Roman" w:hAnsi="Calibri" w:cs="Calibri"/>
                <w:b/>
                <w:bCs/>
                <w:color w:val="000000"/>
              </w:rPr>
            </w:pPr>
            <w:r w:rsidRPr="004D76A9">
              <w:rPr>
                <w:rFonts w:ascii="Calibri" w:eastAsia="Times New Roman" w:hAnsi="Calibri" w:cs="Calibri"/>
                <w:b/>
                <w:bCs/>
                <w:color w:val="000000"/>
              </w:rPr>
              <w:t>If I can’t resolve a complaint with my phone or internet provider, I know where I can go next</w:t>
            </w:r>
          </w:p>
        </w:tc>
        <w:tc>
          <w:tcPr>
            <w:tcW w:w="1369" w:type="dxa"/>
            <w:gridSpan w:val="2"/>
            <w:tcBorders>
              <w:top w:val="single" w:sz="4" w:space="0" w:color="auto"/>
              <w:left w:val="nil"/>
              <w:bottom w:val="single" w:sz="4" w:space="0" w:color="auto"/>
              <w:right w:val="single" w:sz="4" w:space="0" w:color="auto"/>
            </w:tcBorders>
            <w:shd w:val="clear" w:color="auto" w:fill="auto"/>
            <w:noWrap/>
            <w:vAlign w:val="bottom"/>
            <w:hideMark/>
          </w:tcPr>
          <w:p w14:paraId="4C607D3B"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n=</w:t>
            </w:r>
          </w:p>
        </w:tc>
        <w:tc>
          <w:tcPr>
            <w:tcW w:w="997" w:type="dxa"/>
            <w:gridSpan w:val="4"/>
            <w:tcBorders>
              <w:top w:val="single" w:sz="4" w:space="0" w:color="auto"/>
              <w:left w:val="nil"/>
              <w:bottom w:val="single" w:sz="4" w:space="0" w:color="auto"/>
              <w:right w:val="single" w:sz="4" w:space="0" w:color="auto"/>
            </w:tcBorders>
            <w:shd w:val="clear" w:color="auto" w:fill="auto"/>
            <w:noWrap/>
            <w:vAlign w:val="bottom"/>
            <w:hideMark/>
          </w:tcPr>
          <w:p w14:paraId="2CB10F09"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w:t>
            </w:r>
          </w:p>
        </w:tc>
      </w:tr>
      <w:tr w:rsidR="004D76A9" w:rsidRPr="004D76A9" w14:paraId="02457BD9"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083FD03D"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Strongly disagree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1324708E"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66</w:t>
            </w:r>
          </w:p>
        </w:tc>
        <w:tc>
          <w:tcPr>
            <w:tcW w:w="997" w:type="dxa"/>
            <w:gridSpan w:val="4"/>
            <w:tcBorders>
              <w:top w:val="nil"/>
              <w:left w:val="nil"/>
              <w:bottom w:val="single" w:sz="4" w:space="0" w:color="auto"/>
              <w:right w:val="single" w:sz="4" w:space="0" w:color="auto"/>
            </w:tcBorders>
            <w:shd w:val="clear" w:color="auto" w:fill="auto"/>
            <w:noWrap/>
            <w:vAlign w:val="bottom"/>
            <w:hideMark/>
          </w:tcPr>
          <w:p w14:paraId="77FEBA7E"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5%</w:t>
            </w:r>
          </w:p>
        </w:tc>
      </w:tr>
      <w:tr w:rsidR="004D76A9" w:rsidRPr="004D76A9" w14:paraId="145C61D8"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3EACE1EA"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Disagree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09639CB0"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111</w:t>
            </w:r>
          </w:p>
        </w:tc>
        <w:tc>
          <w:tcPr>
            <w:tcW w:w="997" w:type="dxa"/>
            <w:gridSpan w:val="4"/>
            <w:tcBorders>
              <w:top w:val="nil"/>
              <w:left w:val="nil"/>
              <w:bottom w:val="single" w:sz="4" w:space="0" w:color="auto"/>
              <w:right w:val="single" w:sz="4" w:space="0" w:color="auto"/>
            </w:tcBorders>
            <w:shd w:val="clear" w:color="auto" w:fill="auto"/>
            <w:noWrap/>
            <w:vAlign w:val="bottom"/>
            <w:hideMark/>
          </w:tcPr>
          <w:p w14:paraId="4D7ECBC7"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11%</w:t>
            </w:r>
          </w:p>
        </w:tc>
      </w:tr>
      <w:tr w:rsidR="004D76A9" w:rsidRPr="004D76A9" w14:paraId="5E3A21B3"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37225910"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Somewhat disagree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3BBF7A21"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100</w:t>
            </w:r>
          </w:p>
        </w:tc>
        <w:tc>
          <w:tcPr>
            <w:tcW w:w="997" w:type="dxa"/>
            <w:gridSpan w:val="4"/>
            <w:tcBorders>
              <w:top w:val="nil"/>
              <w:left w:val="nil"/>
              <w:bottom w:val="single" w:sz="4" w:space="0" w:color="auto"/>
              <w:right w:val="single" w:sz="4" w:space="0" w:color="auto"/>
            </w:tcBorders>
            <w:shd w:val="clear" w:color="auto" w:fill="auto"/>
            <w:noWrap/>
            <w:vAlign w:val="bottom"/>
            <w:hideMark/>
          </w:tcPr>
          <w:p w14:paraId="3BBD0A1F"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10%</w:t>
            </w:r>
          </w:p>
        </w:tc>
      </w:tr>
      <w:tr w:rsidR="004D76A9" w:rsidRPr="004D76A9" w14:paraId="466465BF"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772BB314"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Somewhat 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62820B69"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224</w:t>
            </w:r>
          </w:p>
        </w:tc>
        <w:tc>
          <w:tcPr>
            <w:tcW w:w="997" w:type="dxa"/>
            <w:gridSpan w:val="4"/>
            <w:tcBorders>
              <w:top w:val="nil"/>
              <w:left w:val="nil"/>
              <w:bottom w:val="single" w:sz="4" w:space="0" w:color="auto"/>
              <w:right w:val="single" w:sz="4" w:space="0" w:color="auto"/>
            </w:tcBorders>
            <w:shd w:val="clear" w:color="auto" w:fill="auto"/>
            <w:noWrap/>
            <w:vAlign w:val="bottom"/>
            <w:hideMark/>
          </w:tcPr>
          <w:p w14:paraId="31FCB2CE"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22%</w:t>
            </w:r>
          </w:p>
        </w:tc>
      </w:tr>
      <w:tr w:rsidR="004D76A9" w:rsidRPr="004D76A9" w14:paraId="6FDEF710"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14A03338"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60D9B539"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252</w:t>
            </w:r>
          </w:p>
        </w:tc>
        <w:tc>
          <w:tcPr>
            <w:tcW w:w="997" w:type="dxa"/>
            <w:gridSpan w:val="4"/>
            <w:tcBorders>
              <w:top w:val="nil"/>
              <w:left w:val="nil"/>
              <w:bottom w:val="single" w:sz="4" w:space="0" w:color="auto"/>
              <w:right w:val="single" w:sz="4" w:space="0" w:color="auto"/>
            </w:tcBorders>
            <w:shd w:val="clear" w:color="auto" w:fill="auto"/>
            <w:noWrap/>
            <w:vAlign w:val="bottom"/>
            <w:hideMark/>
          </w:tcPr>
          <w:p w14:paraId="1B0A294C"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25%</w:t>
            </w:r>
          </w:p>
        </w:tc>
      </w:tr>
      <w:tr w:rsidR="004D76A9" w:rsidRPr="004D76A9" w14:paraId="7CBB02F9"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57B91254"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Strongly agree</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7201018C"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123</w:t>
            </w:r>
          </w:p>
        </w:tc>
        <w:tc>
          <w:tcPr>
            <w:tcW w:w="997" w:type="dxa"/>
            <w:gridSpan w:val="4"/>
            <w:tcBorders>
              <w:top w:val="nil"/>
              <w:left w:val="nil"/>
              <w:bottom w:val="single" w:sz="4" w:space="0" w:color="auto"/>
              <w:right w:val="single" w:sz="4" w:space="0" w:color="auto"/>
            </w:tcBorders>
            <w:shd w:val="clear" w:color="auto" w:fill="auto"/>
            <w:noWrap/>
            <w:vAlign w:val="bottom"/>
            <w:hideMark/>
          </w:tcPr>
          <w:p w14:paraId="2BA53A51"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12%</w:t>
            </w:r>
          </w:p>
        </w:tc>
      </w:tr>
      <w:tr w:rsidR="004D76A9" w:rsidRPr="004D76A9" w14:paraId="4032FCA1"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2D6E0A96"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Unsure/don’t know</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7198E758"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122</w:t>
            </w:r>
          </w:p>
        </w:tc>
        <w:tc>
          <w:tcPr>
            <w:tcW w:w="997" w:type="dxa"/>
            <w:gridSpan w:val="4"/>
            <w:tcBorders>
              <w:top w:val="nil"/>
              <w:left w:val="nil"/>
              <w:bottom w:val="single" w:sz="4" w:space="0" w:color="auto"/>
              <w:right w:val="single" w:sz="4" w:space="0" w:color="auto"/>
            </w:tcBorders>
            <w:shd w:val="clear" w:color="auto" w:fill="auto"/>
            <w:noWrap/>
            <w:vAlign w:val="bottom"/>
            <w:hideMark/>
          </w:tcPr>
          <w:p w14:paraId="11F0066B"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12%</w:t>
            </w:r>
          </w:p>
        </w:tc>
      </w:tr>
      <w:tr w:rsidR="004D76A9" w:rsidRPr="004D76A9" w14:paraId="271F9644"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275"/>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7F128A72" w14:textId="77777777" w:rsidR="004D76A9" w:rsidRPr="004D76A9" w:rsidRDefault="004D76A9" w:rsidP="004D76A9">
            <w:pPr>
              <w:spacing w:after="0" w:line="240" w:lineRule="auto"/>
              <w:rPr>
                <w:rFonts w:ascii="Calibri" w:eastAsia="Times New Roman" w:hAnsi="Calibri" w:cs="Calibri"/>
                <w:color w:val="000000"/>
              </w:rPr>
            </w:pPr>
            <w:r w:rsidRPr="004D76A9">
              <w:rPr>
                <w:rFonts w:ascii="Calibri" w:eastAsia="Times New Roman" w:hAnsi="Calibri" w:cs="Calibri"/>
                <w:color w:val="000000"/>
              </w:rPr>
              <w:t>Total</w:t>
            </w:r>
          </w:p>
        </w:tc>
        <w:tc>
          <w:tcPr>
            <w:tcW w:w="1369" w:type="dxa"/>
            <w:gridSpan w:val="2"/>
            <w:tcBorders>
              <w:top w:val="nil"/>
              <w:left w:val="nil"/>
              <w:bottom w:val="single" w:sz="4" w:space="0" w:color="auto"/>
              <w:right w:val="single" w:sz="4" w:space="0" w:color="auto"/>
            </w:tcBorders>
            <w:shd w:val="clear" w:color="auto" w:fill="auto"/>
            <w:noWrap/>
            <w:vAlign w:val="bottom"/>
            <w:hideMark/>
          </w:tcPr>
          <w:p w14:paraId="05562F14"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998</w:t>
            </w:r>
          </w:p>
        </w:tc>
        <w:tc>
          <w:tcPr>
            <w:tcW w:w="997" w:type="dxa"/>
            <w:gridSpan w:val="4"/>
            <w:tcBorders>
              <w:top w:val="nil"/>
              <w:left w:val="nil"/>
              <w:bottom w:val="single" w:sz="4" w:space="0" w:color="auto"/>
              <w:right w:val="single" w:sz="4" w:space="0" w:color="auto"/>
            </w:tcBorders>
            <w:shd w:val="clear" w:color="auto" w:fill="auto"/>
            <w:noWrap/>
            <w:vAlign w:val="bottom"/>
            <w:hideMark/>
          </w:tcPr>
          <w:p w14:paraId="5658C8E3" w14:textId="77777777" w:rsidR="004D76A9" w:rsidRPr="004D76A9" w:rsidRDefault="004D76A9" w:rsidP="004D76A9">
            <w:pPr>
              <w:spacing w:after="0" w:line="240" w:lineRule="auto"/>
              <w:jc w:val="right"/>
              <w:rPr>
                <w:rFonts w:ascii="Calibri" w:eastAsia="Times New Roman" w:hAnsi="Calibri" w:cs="Calibri"/>
                <w:color w:val="000000"/>
              </w:rPr>
            </w:pPr>
            <w:r w:rsidRPr="004D76A9">
              <w:rPr>
                <w:rFonts w:ascii="Calibri" w:eastAsia="Times New Roman" w:hAnsi="Calibri" w:cs="Calibri"/>
                <w:color w:val="000000"/>
              </w:rPr>
              <w:t>93%</w:t>
            </w:r>
          </w:p>
        </w:tc>
      </w:tr>
      <w:tr w:rsidR="004D76A9" w:rsidRPr="004D76A9" w14:paraId="5229691C"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5" w:type="dxa"/>
          <w:trHeight w:val="554"/>
        </w:trPr>
        <w:tc>
          <w:tcPr>
            <w:tcW w:w="9033" w:type="dxa"/>
            <w:gridSpan w:val="7"/>
            <w:tcBorders>
              <w:top w:val="nil"/>
              <w:left w:val="nil"/>
              <w:bottom w:val="nil"/>
              <w:right w:val="nil"/>
            </w:tcBorders>
            <w:shd w:val="clear" w:color="auto" w:fill="auto"/>
            <w:noWrap/>
            <w:vAlign w:val="bottom"/>
          </w:tcPr>
          <w:p w14:paraId="42A51528" w14:textId="5A03676F" w:rsidR="00EA48F0" w:rsidRPr="004D76A9" w:rsidRDefault="00EA48F0" w:rsidP="004D76A9">
            <w:pPr>
              <w:spacing w:after="0" w:line="240" w:lineRule="auto"/>
              <w:rPr>
                <w:rFonts w:ascii="Calibri" w:eastAsia="Times New Roman" w:hAnsi="Calibri" w:cs="Calibri"/>
                <w:color w:val="000000"/>
              </w:rPr>
            </w:pPr>
          </w:p>
        </w:tc>
      </w:tr>
      <w:tr w:rsidR="00D57520" w:rsidRPr="00D57520" w14:paraId="6A384711"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7DA4B4" w14:textId="02E9A29E" w:rsidR="00D57520" w:rsidRPr="00D57520" w:rsidRDefault="00CF4AD5" w:rsidP="00D57520">
            <w:pPr>
              <w:spacing w:after="0" w:line="240" w:lineRule="auto"/>
              <w:rPr>
                <w:rFonts w:ascii="Calibri" w:eastAsia="Times New Roman" w:hAnsi="Calibri" w:cs="Calibri"/>
                <w:b/>
                <w:bCs/>
                <w:color w:val="000000"/>
              </w:rPr>
            </w:pPr>
            <w:r w:rsidRPr="00CF4AD5">
              <w:rPr>
                <w:rFonts w:ascii="Calibri" w:eastAsia="Times New Roman" w:hAnsi="Calibri" w:cs="Calibri"/>
                <w:b/>
                <w:bCs/>
                <w:color w:val="000000"/>
              </w:rPr>
              <w:t>If I couldn’t resolve a complaint with my phone or internet provider, I would take my complaint to the Telecommunications Industry Ombudsman</w:t>
            </w:r>
          </w:p>
        </w:tc>
        <w:tc>
          <w:tcPr>
            <w:tcW w:w="1417" w:type="dxa"/>
            <w:gridSpan w:val="3"/>
            <w:tcBorders>
              <w:top w:val="single" w:sz="4" w:space="0" w:color="auto"/>
              <w:left w:val="nil"/>
              <w:bottom w:val="single" w:sz="4" w:space="0" w:color="auto"/>
              <w:right w:val="single" w:sz="4" w:space="0" w:color="auto"/>
            </w:tcBorders>
            <w:shd w:val="clear" w:color="auto" w:fill="auto"/>
            <w:noWrap/>
            <w:vAlign w:val="bottom"/>
            <w:hideMark/>
          </w:tcPr>
          <w:p w14:paraId="65248D84"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n=</w:t>
            </w:r>
          </w:p>
        </w:tc>
        <w:tc>
          <w:tcPr>
            <w:tcW w:w="1004" w:type="dxa"/>
            <w:gridSpan w:val="4"/>
            <w:tcBorders>
              <w:top w:val="single" w:sz="4" w:space="0" w:color="auto"/>
              <w:left w:val="nil"/>
              <w:bottom w:val="single" w:sz="4" w:space="0" w:color="auto"/>
              <w:right w:val="single" w:sz="4" w:space="0" w:color="auto"/>
            </w:tcBorders>
            <w:shd w:val="clear" w:color="auto" w:fill="auto"/>
            <w:noWrap/>
            <w:vAlign w:val="bottom"/>
            <w:hideMark/>
          </w:tcPr>
          <w:p w14:paraId="4655F22B"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w:t>
            </w:r>
          </w:p>
        </w:tc>
      </w:tr>
      <w:tr w:rsidR="00D57520" w:rsidRPr="00D57520" w14:paraId="052021C0"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0C0B4327"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Strongly disagree</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271BD8D4"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51</w:t>
            </w:r>
          </w:p>
        </w:tc>
        <w:tc>
          <w:tcPr>
            <w:tcW w:w="1004" w:type="dxa"/>
            <w:gridSpan w:val="4"/>
            <w:tcBorders>
              <w:top w:val="nil"/>
              <w:left w:val="nil"/>
              <w:bottom w:val="single" w:sz="4" w:space="0" w:color="auto"/>
              <w:right w:val="single" w:sz="4" w:space="0" w:color="auto"/>
            </w:tcBorders>
            <w:shd w:val="clear" w:color="auto" w:fill="auto"/>
            <w:noWrap/>
            <w:vAlign w:val="bottom"/>
            <w:hideMark/>
          </w:tcPr>
          <w:p w14:paraId="725A168D"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5%</w:t>
            </w:r>
          </w:p>
        </w:tc>
      </w:tr>
      <w:tr w:rsidR="00D57520" w:rsidRPr="00D57520" w14:paraId="6C658687"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3CBB8669"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Disagree</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012044D0"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49</w:t>
            </w:r>
          </w:p>
        </w:tc>
        <w:tc>
          <w:tcPr>
            <w:tcW w:w="1004" w:type="dxa"/>
            <w:gridSpan w:val="4"/>
            <w:tcBorders>
              <w:top w:val="nil"/>
              <w:left w:val="nil"/>
              <w:bottom w:val="single" w:sz="4" w:space="0" w:color="auto"/>
              <w:right w:val="single" w:sz="4" w:space="0" w:color="auto"/>
            </w:tcBorders>
            <w:shd w:val="clear" w:color="auto" w:fill="auto"/>
            <w:noWrap/>
            <w:vAlign w:val="bottom"/>
            <w:hideMark/>
          </w:tcPr>
          <w:p w14:paraId="4DFC8ACC"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5%</w:t>
            </w:r>
          </w:p>
        </w:tc>
      </w:tr>
      <w:tr w:rsidR="00D57520" w:rsidRPr="00D57520" w14:paraId="63A29CBA"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0DE6ED38"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Somewhat disagree</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6F2740B4"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50</w:t>
            </w:r>
          </w:p>
        </w:tc>
        <w:tc>
          <w:tcPr>
            <w:tcW w:w="1004" w:type="dxa"/>
            <w:gridSpan w:val="4"/>
            <w:tcBorders>
              <w:top w:val="nil"/>
              <w:left w:val="nil"/>
              <w:bottom w:val="single" w:sz="4" w:space="0" w:color="auto"/>
              <w:right w:val="single" w:sz="4" w:space="0" w:color="auto"/>
            </w:tcBorders>
            <w:shd w:val="clear" w:color="auto" w:fill="auto"/>
            <w:noWrap/>
            <w:vAlign w:val="bottom"/>
            <w:hideMark/>
          </w:tcPr>
          <w:p w14:paraId="4FEA1E8B"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5%</w:t>
            </w:r>
          </w:p>
        </w:tc>
      </w:tr>
      <w:tr w:rsidR="00D57520" w:rsidRPr="00D57520" w14:paraId="0DDF1C1C"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70636A6D"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Somewhat agree</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30F6D627"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204</w:t>
            </w:r>
          </w:p>
        </w:tc>
        <w:tc>
          <w:tcPr>
            <w:tcW w:w="1004" w:type="dxa"/>
            <w:gridSpan w:val="4"/>
            <w:tcBorders>
              <w:top w:val="nil"/>
              <w:left w:val="nil"/>
              <w:bottom w:val="single" w:sz="4" w:space="0" w:color="auto"/>
              <w:right w:val="single" w:sz="4" w:space="0" w:color="auto"/>
            </w:tcBorders>
            <w:shd w:val="clear" w:color="auto" w:fill="auto"/>
            <w:noWrap/>
            <w:vAlign w:val="bottom"/>
            <w:hideMark/>
          </w:tcPr>
          <w:p w14:paraId="08826811"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20%</w:t>
            </w:r>
          </w:p>
        </w:tc>
      </w:tr>
      <w:tr w:rsidR="00D57520" w:rsidRPr="00D57520" w14:paraId="31636ADA"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43462009"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lastRenderedPageBreak/>
              <w:t>Agree</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7447C625"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279</w:t>
            </w:r>
          </w:p>
        </w:tc>
        <w:tc>
          <w:tcPr>
            <w:tcW w:w="1004" w:type="dxa"/>
            <w:gridSpan w:val="4"/>
            <w:tcBorders>
              <w:top w:val="nil"/>
              <w:left w:val="nil"/>
              <w:bottom w:val="single" w:sz="4" w:space="0" w:color="auto"/>
              <w:right w:val="single" w:sz="4" w:space="0" w:color="auto"/>
            </w:tcBorders>
            <w:shd w:val="clear" w:color="auto" w:fill="auto"/>
            <w:noWrap/>
            <w:vAlign w:val="bottom"/>
            <w:hideMark/>
          </w:tcPr>
          <w:p w14:paraId="00896139"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28%</w:t>
            </w:r>
          </w:p>
        </w:tc>
      </w:tr>
      <w:tr w:rsidR="00D57520" w:rsidRPr="00D57520" w14:paraId="58BE50EE"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4E06E7F1"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Strongly agree</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79FCD71C"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181</w:t>
            </w:r>
          </w:p>
        </w:tc>
        <w:tc>
          <w:tcPr>
            <w:tcW w:w="1004" w:type="dxa"/>
            <w:gridSpan w:val="4"/>
            <w:tcBorders>
              <w:top w:val="nil"/>
              <w:left w:val="nil"/>
              <w:bottom w:val="single" w:sz="4" w:space="0" w:color="auto"/>
              <w:right w:val="single" w:sz="4" w:space="0" w:color="auto"/>
            </w:tcBorders>
            <w:shd w:val="clear" w:color="auto" w:fill="auto"/>
            <w:noWrap/>
            <w:vAlign w:val="bottom"/>
            <w:hideMark/>
          </w:tcPr>
          <w:p w14:paraId="73D54B80"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18%</w:t>
            </w:r>
          </w:p>
        </w:tc>
      </w:tr>
      <w:tr w:rsidR="00D57520" w:rsidRPr="00D57520" w14:paraId="34788D29"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183395CD"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Unsure/don’t know</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0E069D10"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183</w:t>
            </w:r>
          </w:p>
        </w:tc>
        <w:tc>
          <w:tcPr>
            <w:tcW w:w="1004" w:type="dxa"/>
            <w:gridSpan w:val="4"/>
            <w:tcBorders>
              <w:top w:val="nil"/>
              <w:left w:val="nil"/>
              <w:bottom w:val="single" w:sz="4" w:space="0" w:color="auto"/>
              <w:right w:val="single" w:sz="4" w:space="0" w:color="auto"/>
            </w:tcBorders>
            <w:shd w:val="clear" w:color="auto" w:fill="auto"/>
            <w:noWrap/>
            <w:vAlign w:val="bottom"/>
            <w:hideMark/>
          </w:tcPr>
          <w:p w14:paraId="2EC41C25"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18%</w:t>
            </w:r>
          </w:p>
        </w:tc>
      </w:tr>
      <w:tr w:rsidR="00D57520" w:rsidRPr="00D57520" w14:paraId="19A89D30" w14:textId="77777777" w:rsidTr="00CC57F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90"/>
        </w:trPr>
        <w:tc>
          <w:tcPr>
            <w:tcW w:w="6667" w:type="dxa"/>
            <w:tcBorders>
              <w:top w:val="nil"/>
              <w:left w:val="single" w:sz="4" w:space="0" w:color="auto"/>
              <w:bottom w:val="single" w:sz="4" w:space="0" w:color="auto"/>
              <w:right w:val="single" w:sz="4" w:space="0" w:color="auto"/>
            </w:tcBorders>
            <w:shd w:val="clear" w:color="auto" w:fill="auto"/>
            <w:noWrap/>
            <w:vAlign w:val="bottom"/>
            <w:hideMark/>
          </w:tcPr>
          <w:p w14:paraId="0FCC2FF2" w14:textId="77777777" w:rsidR="00D57520" w:rsidRPr="00D57520" w:rsidRDefault="00D57520" w:rsidP="00D57520">
            <w:pPr>
              <w:spacing w:after="0" w:line="240" w:lineRule="auto"/>
              <w:rPr>
                <w:rFonts w:ascii="Calibri" w:eastAsia="Times New Roman" w:hAnsi="Calibri" w:cs="Calibri"/>
                <w:color w:val="000000"/>
              </w:rPr>
            </w:pPr>
            <w:r w:rsidRPr="00D57520">
              <w:rPr>
                <w:rFonts w:ascii="Calibri" w:eastAsia="Times New Roman" w:hAnsi="Calibri" w:cs="Calibri"/>
                <w:color w:val="000000"/>
              </w:rPr>
              <w:t>Total</w:t>
            </w:r>
          </w:p>
        </w:tc>
        <w:tc>
          <w:tcPr>
            <w:tcW w:w="1417" w:type="dxa"/>
            <w:gridSpan w:val="3"/>
            <w:tcBorders>
              <w:top w:val="nil"/>
              <w:left w:val="nil"/>
              <w:bottom w:val="single" w:sz="4" w:space="0" w:color="auto"/>
              <w:right w:val="single" w:sz="4" w:space="0" w:color="auto"/>
            </w:tcBorders>
            <w:shd w:val="clear" w:color="auto" w:fill="auto"/>
            <w:noWrap/>
            <w:vAlign w:val="bottom"/>
            <w:hideMark/>
          </w:tcPr>
          <w:p w14:paraId="2758066C"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997</w:t>
            </w:r>
          </w:p>
        </w:tc>
        <w:tc>
          <w:tcPr>
            <w:tcW w:w="1004" w:type="dxa"/>
            <w:gridSpan w:val="4"/>
            <w:tcBorders>
              <w:top w:val="nil"/>
              <w:left w:val="nil"/>
              <w:bottom w:val="single" w:sz="4" w:space="0" w:color="auto"/>
              <w:right w:val="single" w:sz="4" w:space="0" w:color="auto"/>
            </w:tcBorders>
            <w:shd w:val="clear" w:color="auto" w:fill="auto"/>
            <w:noWrap/>
            <w:vAlign w:val="bottom"/>
            <w:hideMark/>
          </w:tcPr>
          <w:p w14:paraId="76FB16DA" w14:textId="77777777" w:rsidR="00D57520" w:rsidRPr="00D57520" w:rsidRDefault="00D57520" w:rsidP="00D57520">
            <w:pPr>
              <w:spacing w:after="0" w:line="240" w:lineRule="auto"/>
              <w:jc w:val="right"/>
              <w:rPr>
                <w:rFonts w:ascii="Calibri" w:eastAsia="Times New Roman" w:hAnsi="Calibri" w:cs="Calibri"/>
                <w:color w:val="000000"/>
              </w:rPr>
            </w:pPr>
            <w:r w:rsidRPr="00D57520">
              <w:rPr>
                <w:rFonts w:ascii="Calibri" w:eastAsia="Times New Roman" w:hAnsi="Calibri" w:cs="Calibri"/>
                <w:color w:val="000000"/>
              </w:rPr>
              <w:t>100%</w:t>
            </w:r>
          </w:p>
        </w:tc>
      </w:tr>
    </w:tbl>
    <w:p w14:paraId="46DEF429" w14:textId="77777777" w:rsidR="00EB5FDB" w:rsidRDefault="00EB5FDB" w:rsidP="00E87389"/>
    <w:tbl>
      <w:tblPr>
        <w:tblW w:w="9069" w:type="dxa"/>
        <w:tblLook w:val="04A0" w:firstRow="1" w:lastRow="0" w:firstColumn="1" w:lastColumn="0" w:noHBand="0" w:noVBand="1"/>
      </w:tblPr>
      <w:tblGrid>
        <w:gridCol w:w="7478"/>
        <w:gridCol w:w="1591"/>
      </w:tblGrid>
      <w:tr w:rsidR="008A6E7E" w:rsidRPr="008A6E7E" w14:paraId="567D1F3B" w14:textId="77777777" w:rsidTr="00D93FB8">
        <w:trPr>
          <w:trHeight w:val="211"/>
        </w:trPr>
        <w:tc>
          <w:tcPr>
            <w:tcW w:w="747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0DBDE2" w14:textId="1FD53730" w:rsidR="008A6E7E" w:rsidRPr="008A6E7E" w:rsidRDefault="008A6E7E" w:rsidP="008A6E7E">
            <w:pPr>
              <w:spacing w:after="0" w:line="240" w:lineRule="auto"/>
              <w:rPr>
                <w:rFonts w:ascii="Calibri" w:eastAsia="Times New Roman" w:hAnsi="Calibri" w:cs="Calibri"/>
                <w:b/>
                <w:bCs/>
                <w:color w:val="000000"/>
              </w:rPr>
            </w:pPr>
            <w:r w:rsidRPr="008A6E7E">
              <w:rPr>
                <w:rFonts w:ascii="Calibri" w:eastAsia="Times New Roman" w:hAnsi="Calibri" w:cs="Calibri"/>
                <w:b/>
                <w:bCs/>
                <w:color w:val="000000"/>
              </w:rPr>
              <w:t> If you had an issue with your phone or internet service that you couldn’t resolve with your provider, would you complain to the TIO (Telecommunications Industry Ombudsman)?</w:t>
            </w:r>
            <w:r w:rsidR="003E688E">
              <w:rPr>
                <w:rFonts w:ascii="Calibri" w:eastAsia="Times New Roman" w:hAnsi="Calibri" w:cs="Calibri"/>
                <w:b/>
                <w:bCs/>
                <w:color w:val="000000"/>
              </w:rPr>
              <w:t xml:space="preserve"> </w:t>
            </w:r>
            <w:r w:rsidRPr="008A6E7E">
              <w:rPr>
                <w:rFonts w:ascii="Calibri" w:eastAsia="Times New Roman" w:hAnsi="Calibri" w:cs="Calibri"/>
                <w:b/>
                <w:bCs/>
                <w:color w:val="000000"/>
              </w:rPr>
              <w:t>(Please select all that apply)</w:t>
            </w:r>
          </w:p>
        </w:tc>
        <w:tc>
          <w:tcPr>
            <w:tcW w:w="1591" w:type="dxa"/>
            <w:tcBorders>
              <w:top w:val="single" w:sz="4" w:space="0" w:color="auto"/>
              <w:left w:val="nil"/>
              <w:bottom w:val="single" w:sz="4" w:space="0" w:color="auto"/>
              <w:right w:val="single" w:sz="4" w:space="0" w:color="auto"/>
            </w:tcBorders>
            <w:shd w:val="clear" w:color="auto" w:fill="auto"/>
            <w:noWrap/>
            <w:vAlign w:val="bottom"/>
            <w:hideMark/>
          </w:tcPr>
          <w:p w14:paraId="7F3A7AF0"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n=</w:t>
            </w:r>
          </w:p>
        </w:tc>
      </w:tr>
      <w:tr w:rsidR="008A6E7E" w:rsidRPr="008A6E7E" w14:paraId="3455E605" w14:textId="77777777" w:rsidTr="00D93FB8">
        <w:trPr>
          <w:trHeight w:val="211"/>
        </w:trPr>
        <w:tc>
          <w:tcPr>
            <w:tcW w:w="7478" w:type="dxa"/>
            <w:tcBorders>
              <w:top w:val="nil"/>
              <w:left w:val="single" w:sz="4" w:space="0" w:color="auto"/>
              <w:bottom w:val="single" w:sz="4" w:space="0" w:color="auto"/>
              <w:right w:val="single" w:sz="4" w:space="0" w:color="auto"/>
            </w:tcBorders>
            <w:shd w:val="clear" w:color="auto" w:fill="auto"/>
            <w:vAlign w:val="bottom"/>
            <w:hideMark/>
          </w:tcPr>
          <w:p w14:paraId="1923FE8B"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Yes, I would, and I have done so before</w:t>
            </w:r>
          </w:p>
        </w:tc>
        <w:tc>
          <w:tcPr>
            <w:tcW w:w="1591" w:type="dxa"/>
            <w:tcBorders>
              <w:top w:val="nil"/>
              <w:left w:val="nil"/>
              <w:bottom w:val="single" w:sz="4" w:space="0" w:color="auto"/>
              <w:right w:val="single" w:sz="4" w:space="0" w:color="auto"/>
            </w:tcBorders>
            <w:shd w:val="clear" w:color="auto" w:fill="auto"/>
            <w:noWrap/>
            <w:vAlign w:val="bottom"/>
            <w:hideMark/>
          </w:tcPr>
          <w:p w14:paraId="14E8CCDA"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118</w:t>
            </w:r>
          </w:p>
        </w:tc>
      </w:tr>
      <w:tr w:rsidR="008A6E7E" w:rsidRPr="008A6E7E" w14:paraId="160F333F" w14:textId="77777777" w:rsidTr="00D93FB8">
        <w:trPr>
          <w:trHeight w:val="423"/>
        </w:trPr>
        <w:tc>
          <w:tcPr>
            <w:tcW w:w="7478" w:type="dxa"/>
            <w:tcBorders>
              <w:top w:val="nil"/>
              <w:left w:val="single" w:sz="4" w:space="0" w:color="auto"/>
              <w:bottom w:val="single" w:sz="4" w:space="0" w:color="auto"/>
              <w:right w:val="single" w:sz="4" w:space="0" w:color="auto"/>
            </w:tcBorders>
            <w:shd w:val="clear" w:color="auto" w:fill="auto"/>
            <w:vAlign w:val="bottom"/>
            <w:hideMark/>
          </w:tcPr>
          <w:p w14:paraId="5E66166C"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Yes, I would, but I have never done so before</w:t>
            </w:r>
          </w:p>
        </w:tc>
        <w:tc>
          <w:tcPr>
            <w:tcW w:w="1591" w:type="dxa"/>
            <w:tcBorders>
              <w:top w:val="nil"/>
              <w:left w:val="nil"/>
              <w:bottom w:val="single" w:sz="4" w:space="0" w:color="auto"/>
              <w:right w:val="single" w:sz="4" w:space="0" w:color="auto"/>
            </w:tcBorders>
            <w:shd w:val="clear" w:color="auto" w:fill="auto"/>
            <w:noWrap/>
            <w:vAlign w:val="bottom"/>
            <w:hideMark/>
          </w:tcPr>
          <w:p w14:paraId="0D770774"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465</w:t>
            </w:r>
          </w:p>
        </w:tc>
      </w:tr>
      <w:tr w:rsidR="008A6E7E" w:rsidRPr="008A6E7E" w14:paraId="6A78E9DF" w14:textId="77777777" w:rsidTr="00D93FB8">
        <w:trPr>
          <w:trHeight w:val="211"/>
        </w:trPr>
        <w:tc>
          <w:tcPr>
            <w:tcW w:w="7478" w:type="dxa"/>
            <w:tcBorders>
              <w:top w:val="nil"/>
              <w:left w:val="single" w:sz="4" w:space="0" w:color="auto"/>
              <w:bottom w:val="single" w:sz="4" w:space="0" w:color="auto"/>
              <w:right w:val="single" w:sz="4" w:space="0" w:color="auto"/>
            </w:tcBorders>
            <w:shd w:val="clear" w:color="auto" w:fill="auto"/>
            <w:vAlign w:val="bottom"/>
            <w:hideMark/>
          </w:tcPr>
          <w:p w14:paraId="602DC7FC"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No, I wouldn’t, as I don’t know how</w:t>
            </w:r>
          </w:p>
        </w:tc>
        <w:tc>
          <w:tcPr>
            <w:tcW w:w="1591" w:type="dxa"/>
            <w:tcBorders>
              <w:top w:val="nil"/>
              <w:left w:val="nil"/>
              <w:bottom w:val="single" w:sz="4" w:space="0" w:color="auto"/>
              <w:right w:val="single" w:sz="4" w:space="0" w:color="auto"/>
            </w:tcBorders>
            <w:shd w:val="clear" w:color="auto" w:fill="auto"/>
            <w:noWrap/>
            <w:vAlign w:val="bottom"/>
            <w:hideMark/>
          </w:tcPr>
          <w:p w14:paraId="575DEF0E"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87</w:t>
            </w:r>
          </w:p>
        </w:tc>
      </w:tr>
      <w:tr w:rsidR="008A6E7E" w:rsidRPr="008A6E7E" w14:paraId="6A74F7A8" w14:textId="77777777" w:rsidTr="00D93FB8">
        <w:trPr>
          <w:trHeight w:val="423"/>
        </w:trPr>
        <w:tc>
          <w:tcPr>
            <w:tcW w:w="7478" w:type="dxa"/>
            <w:tcBorders>
              <w:top w:val="nil"/>
              <w:left w:val="single" w:sz="4" w:space="0" w:color="auto"/>
              <w:bottom w:val="single" w:sz="4" w:space="0" w:color="auto"/>
              <w:right w:val="single" w:sz="4" w:space="0" w:color="auto"/>
            </w:tcBorders>
            <w:shd w:val="clear" w:color="auto" w:fill="auto"/>
            <w:vAlign w:val="bottom"/>
            <w:hideMark/>
          </w:tcPr>
          <w:p w14:paraId="3BB0FF95"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No, I wouldn’t, as I’m not familiar with them</w:t>
            </w:r>
          </w:p>
        </w:tc>
        <w:tc>
          <w:tcPr>
            <w:tcW w:w="1591" w:type="dxa"/>
            <w:tcBorders>
              <w:top w:val="nil"/>
              <w:left w:val="nil"/>
              <w:bottom w:val="single" w:sz="4" w:space="0" w:color="auto"/>
              <w:right w:val="single" w:sz="4" w:space="0" w:color="auto"/>
            </w:tcBorders>
            <w:shd w:val="clear" w:color="auto" w:fill="auto"/>
            <w:noWrap/>
            <w:vAlign w:val="bottom"/>
            <w:hideMark/>
          </w:tcPr>
          <w:p w14:paraId="1049BC5E"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104</w:t>
            </w:r>
          </w:p>
        </w:tc>
      </w:tr>
      <w:tr w:rsidR="008A6E7E" w:rsidRPr="008A6E7E" w14:paraId="3CF82665" w14:textId="77777777" w:rsidTr="00D93FB8">
        <w:trPr>
          <w:trHeight w:val="211"/>
        </w:trPr>
        <w:tc>
          <w:tcPr>
            <w:tcW w:w="7478" w:type="dxa"/>
            <w:tcBorders>
              <w:top w:val="nil"/>
              <w:left w:val="single" w:sz="4" w:space="0" w:color="auto"/>
              <w:bottom w:val="single" w:sz="4" w:space="0" w:color="auto"/>
              <w:right w:val="single" w:sz="4" w:space="0" w:color="auto"/>
            </w:tcBorders>
            <w:shd w:val="clear" w:color="auto" w:fill="auto"/>
            <w:vAlign w:val="bottom"/>
            <w:hideMark/>
          </w:tcPr>
          <w:p w14:paraId="244DE8D6"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No, I wouldn’t, as it’s too difficult</w:t>
            </w:r>
          </w:p>
        </w:tc>
        <w:tc>
          <w:tcPr>
            <w:tcW w:w="1591" w:type="dxa"/>
            <w:tcBorders>
              <w:top w:val="nil"/>
              <w:left w:val="nil"/>
              <w:bottom w:val="single" w:sz="4" w:space="0" w:color="auto"/>
              <w:right w:val="single" w:sz="4" w:space="0" w:color="auto"/>
            </w:tcBorders>
            <w:shd w:val="clear" w:color="auto" w:fill="auto"/>
            <w:noWrap/>
            <w:vAlign w:val="bottom"/>
            <w:hideMark/>
          </w:tcPr>
          <w:p w14:paraId="5BEA166F"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49</w:t>
            </w:r>
          </w:p>
        </w:tc>
      </w:tr>
      <w:tr w:rsidR="008A6E7E" w:rsidRPr="008A6E7E" w14:paraId="717C25B6" w14:textId="77777777" w:rsidTr="00D93FB8">
        <w:trPr>
          <w:trHeight w:val="423"/>
        </w:trPr>
        <w:tc>
          <w:tcPr>
            <w:tcW w:w="7478" w:type="dxa"/>
            <w:tcBorders>
              <w:top w:val="nil"/>
              <w:left w:val="single" w:sz="4" w:space="0" w:color="auto"/>
              <w:bottom w:val="single" w:sz="4" w:space="0" w:color="auto"/>
              <w:right w:val="single" w:sz="4" w:space="0" w:color="auto"/>
            </w:tcBorders>
            <w:shd w:val="clear" w:color="auto" w:fill="auto"/>
            <w:vAlign w:val="bottom"/>
            <w:hideMark/>
          </w:tcPr>
          <w:p w14:paraId="16E5C6A3"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No, I wouldn’t, as I had a bad experience with the TIO in the past</w:t>
            </w:r>
          </w:p>
        </w:tc>
        <w:tc>
          <w:tcPr>
            <w:tcW w:w="1591" w:type="dxa"/>
            <w:tcBorders>
              <w:top w:val="nil"/>
              <w:left w:val="nil"/>
              <w:bottom w:val="single" w:sz="4" w:space="0" w:color="auto"/>
              <w:right w:val="single" w:sz="4" w:space="0" w:color="auto"/>
            </w:tcBorders>
            <w:shd w:val="clear" w:color="auto" w:fill="auto"/>
            <w:noWrap/>
            <w:vAlign w:val="bottom"/>
            <w:hideMark/>
          </w:tcPr>
          <w:p w14:paraId="08021BCF"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18</w:t>
            </w:r>
          </w:p>
        </w:tc>
      </w:tr>
      <w:tr w:rsidR="008A6E7E" w:rsidRPr="008A6E7E" w14:paraId="5F610C73" w14:textId="77777777" w:rsidTr="00D93FB8">
        <w:trPr>
          <w:trHeight w:val="423"/>
        </w:trPr>
        <w:tc>
          <w:tcPr>
            <w:tcW w:w="7478" w:type="dxa"/>
            <w:tcBorders>
              <w:top w:val="nil"/>
              <w:left w:val="single" w:sz="4" w:space="0" w:color="auto"/>
              <w:bottom w:val="single" w:sz="4" w:space="0" w:color="auto"/>
              <w:right w:val="single" w:sz="4" w:space="0" w:color="auto"/>
            </w:tcBorders>
            <w:shd w:val="clear" w:color="auto" w:fill="auto"/>
            <w:vAlign w:val="bottom"/>
            <w:hideMark/>
          </w:tcPr>
          <w:p w14:paraId="42BFA08B"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No, I wouldn’t, as I don’t believe it would help</w:t>
            </w:r>
          </w:p>
        </w:tc>
        <w:tc>
          <w:tcPr>
            <w:tcW w:w="1591" w:type="dxa"/>
            <w:tcBorders>
              <w:top w:val="nil"/>
              <w:left w:val="nil"/>
              <w:bottom w:val="single" w:sz="4" w:space="0" w:color="auto"/>
              <w:right w:val="single" w:sz="4" w:space="0" w:color="auto"/>
            </w:tcBorders>
            <w:shd w:val="clear" w:color="auto" w:fill="auto"/>
            <w:noWrap/>
            <w:vAlign w:val="bottom"/>
            <w:hideMark/>
          </w:tcPr>
          <w:p w14:paraId="4C7EBDDA"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44</w:t>
            </w:r>
          </w:p>
        </w:tc>
      </w:tr>
      <w:tr w:rsidR="008A6E7E" w:rsidRPr="008A6E7E" w14:paraId="20B3ECD1" w14:textId="77777777" w:rsidTr="00D93FB8">
        <w:trPr>
          <w:trHeight w:val="211"/>
        </w:trPr>
        <w:tc>
          <w:tcPr>
            <w:tcW w:w="7478" w:type="dxa"/>
            <w:tcBorders>
              <w:top w:val="nil"/>
              <w:left w:val="single" w:sz="4" w:space="0" w:color="auto"/>
              <w:bottom w:val="single" w:sz="4" w:space="0" w:color="auto"/>
              <w:right w:val="single" w:sz="4" w:space="0" w:color="auto"/>
            </w:tcBorders>
            <w:shd w:val="clear" w:color="auto" w:fill="auto"/>
            <w:vAlign w:val="bottom"/>
            <w:hideMark/>
          </w:tcPr>
          <w:p w14:paraId="292786AC"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No, I wouldn’t (other reason)</w:t>
            </w:r>
          </w:p>
        </w:tc>
        <w:tc>
          <w:tcPr>
            <w:tcW w:w="1591" w:type="dxa"/>
            <w:tcBorders>
              <w:top w:val="nil"/>
              <w:left w:val="nil"/>
              <w:bottom w:val="single" w:sz="4" w:space="0" w:color="auto"/>
              <w:right w:val="single" w:sz="4" w:space="0" w:color="auto"/>
            </w:tcBorders>
            <w:shd w:val="clear" w:color="auto" w:fill="auto"/>
            <w:noWrap/>
            <w:vAlign w:val="bottom"/>
            <w:hideMark/>
          </w:tcPr>
          <w:p w14:paraId="6C6647BA"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1</w:t>
            </w:r>
          </w:p>
        </w:tc>
      </w:tr>
      <w:tr w:rsidR="008A6E7E" w:rsidRPr="008A6E7E" w14:paraId="74B2BF7E" w14:textId="77777777" w:rsidTr="00D93FB8">
        <w:trPr>
          <w:trHeight w:val="211"/>
        </w:trPr>
        <w:tc>
          <w:tcPr>
            <w:tcW w:w="7478" w:type="dxa"/>
            <w:tcBorders>
              <w:top w:val="nil"/>
              <w:left w:val="single" w:sz="4" w:space="0" w:color="auto"/>
              <w:bottom w:val="single" w:sz="4" w:space="0" w:color="auto"/>
              <w:right w:val="single" w:sz="4" w:space="0" w:color="auto"/>
            </w:tcBorders>
            <w:shd w:val="clear" w:color="auto" w:fill="auto"/>
            <w:noWrap/>
            <w:vAlign w:val="bottom"/>
            <w:hideMark/>
          </w:tcPr>
          <w:p w14:paraId="3190C91F"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Unsure</w:t>
            </w:r>
          </w:p>
        </w:tc>
        <w:tc>
          <w:tcPr>
            <w:tcW w:w="1591" w:type="dxa"/>
            <w:tcBorders>
              <w:top w:val="nil"/>
              <w:left w:val="nil"/>
              <w:bottom w:val="single" w:sz="4" w:space="0" w:color="auto"/>
              <w:right w:val="single" w:sz="4" w:space="0" w:color="auto"/>
            </w:tcBorders>
            <w:shd w:val="clear" w:color="auto" w:fill="auto"/>
            <w:noWrap/>
            <w:vAlign w:val="bottom"/>
            <w:hideMark/>
          </w:tcPr>
          <w:p w14:paraId="1A8070C6"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149</w:t>
            </w:r>
          </w:p>
        </w:tc>
      </w:tr>
      <w:tr w:rsidR="008A6E7E" w:rsidRPr="008A6E7E" w14:paraId="58DA3AB7" w14:textId="77777777" w:rsidTr="00D93FB8">
        <w:trPr>
          <w:trHeight w:val="211"/>
        </w:trPr>
        <w:tc>
          <w:tcPr>
            <w:tcW w:w="7478" w:type="dxa"/>
            <w:tcBorders>
              <w:top w:val="nil"/>
              <w:left w:val="single" w:sz="4" w:space="0" w:color="auto"/>
              <w:bottom w:val="single" w:sz="4" w:space="0" w:color="auto"/>
              <w:right w:val="single" w:sz="4" w:space="0" w:color="auto"/>
            </w:tcBorders>
            <w:shd w:val="clear" w:color="auto" w:fill="auto"/>
            <w:noWrap/>
            <w:vAlign w:val="bottom"/>
            <w:hideMark/>
          </w:tcPr>
          <w:p w14:paraId="08694BCC" w14:textId="77777777" w:rsidR="008A6E7E" w:rsidRPr="008A6E7E" w:rsidRDefault="008A6E7E" w:rsidP="008A6E7E">
            <w:pPr>
              <w:spacing w:after="0" w:line="240" w:lineRule="auto"/>
              <w:rPr>
                <w:rFonts w:ascii="Calibri" w:eastAsia="Times New Roman" w:hAnsi="Calibri" w:cs="Calibri"/>
                <w:color w:val="000000"/>
              </w:rPr>
            </w:pPr>
            <w:r w:rsidRPr="008A6E7E">
              <w:rPr>
                <w:rFonts w:ascii="Calibri" w:eastAsia="Times New Roman" w:hAnsi="Calibri" w:cs="Calibri"/>
                <w:color w:val="000000"/>
              </w:rPr>
              <w:t>Total</w:t>
            </w:r>
          </w:p>
        </w:tc>
        <w:tc>
          <w:tcPr>
            <w:tcW w:w="1591" w:type="dxa"/>
            <w:tcBorders>
              <w:top w:val="nil"/>
              <w:left w:val="nil"/>
              <w:bottom w:val="single" w:sz="4" w:space="0" w:color="auto"/>
              <w:right w:val="single" w:sz="4" w:space="0" w:color="auto"/>
            </w:tcBorders>
            <w:shd w:val="clear" w:color="auto" w:fill="auto"/>
            <w:noWrap/>
            <w:vAlign w:val="bottom"/>
            <w:hideMark/>
          </w:tcPr>
          <w:p w14:paraId="4A8D90DF" w14:textId="77777777" w:rsidR="008A6E7E" w:rsidRPr="008A6E7E" w:rsidRDefault="008A6E7E" w:rsidP="008A6E7E">
            <w:pPr>
              <w:spacing w:after="0" w:line="240" w:lineRule="auto"/>
              <w:jc w:val="right"/>
              <w:rPr>
                <w:rFonts w:ascii="Calibri" w:eastAsia="Times New Roman" w:hAnsi="Calibri" w:cs="Calibri"/>
                <w:color w:val="000000"/>
              </w:rPr>
            </w:pPr>
            <w:r w:rsidRPr="008A6E7E">
              <w:rPr>
                <w:rFonts w:ascii="Calibri" w:eastAsia="Times New Roman" w:hAnsi="Calibri" w:cs="Calibri"/>
                <w:color w:val="000000"/>
              </w:rPr>
              <w:t>1035</w:t>
            </w:r>
          </w:p>
        </w:tc>
      </w:tr>
    </w:tbl>
    <w:p w14:paraId="0E6E0D5B" w14:textId="77777777" w:rsidR="008A6E7E" w:rsidRDefault="008A6E7E" w:rsidP="00E87389"/>
    <w:p w14:paraId="595949B3" w14:textId="77777777" w:rsidR="000B2833" w:rsidRDefault="000B2833" w:rsidP="00E87389"/>
    <w:p w14:paraId="2A10A1F3" w14:textId="77777777" w:rsidR="000B2833" w:rsidRDefault="000B2833" w:rsidP="00E87389"/>
    <w:p w14:paraId="7C2C63A6" w14:textId="77777777" w:rsidR="00FE5F00" w:rsidRDefault="00FE5F00" w:rsidP="00E87389"/>
    <w:p w14:paraId="387DC31D" w14:textId="77777777" w:rsidR="00FE5F00" w:rsidRDefault="00FE5F00" w:rsidP="00E87389"/>
    <w:p w14:paraId="2E8F98A5" w14:textId="77777777" w:rsidR="00FE5F00" w:rsidRDefault="00FE5F00" w:rsidP="00E87389"/>
    <w:p w14:paraId="01359BE6" w14:textId="77777777" w:rsidR="00FE5F00" w:rsidRDefault="00FE5F00" w:rsidP="00E87389"/>
    <w:p w14:paraId="2709F73A" w14:textId="77777777" w:rsidR="00FE5F00" w:rsidRDefault="00FE5F00" w:rsidP="00E87389"/>
    <w:p w14:paraId="6EAB71E3" w14:textId="77777777" w:rsidR="00FE5F00" w:rsidRDefault="00FE5F00" w:rsidP="00E87389"/>
    <w:p w14:paraId="380D2AA3" w14:textId="77777777" w:rsidR="00FE5F00" w:rsidRDefault="00FE5F00" w:rsidP="00E87389"/>
    <w:p w14:paraId="0D0EF735" w14:textId="77777777" w:rsidR="00FE5F00" w:rsidRDefault="00FE5F00" w:rsidP="00E87389"/>
    <w:p w14:paraId="16B12AE7" w14:textId="77777777" w:rsidR="00FE5F00" w:rsidRPr="00E87389" w:rsidRDefault="00FE5F00" w:rsidP="00E87389"/>
    <w:p w14:paraId="4F369CD9" w14:textId="6F6FB35C" w:rsidR="002F209F" w:rsidRPr="002F209F" w:rsidRDefault="00353C9D" w:rsidP="00F43260">
      <w:pPr>
        <w:pStyle w:val="FundingAcknowledgement"/>
      </w:pPr>
      <w:r w:rsidRPr="006C7432">
        <w:t xml:space="preserve">The Australian Communications Consumer </w:t>
      </w:r>
      <w:r w:rsidRPr="00A44854">
        <w:t>Action</w:t>
      </w:r>
      <w:r w:rsidRPr="006C7432">
        <w:t xml:space="preserve"> Network (ACCAN) is Australia’s peak communication consumer organisation. The operation of ACCAN is made possible by funding </w:t>
      </w:r>
      <w:r w:rsidRPr="00A44854">
        <w:t>provided</w:t>
      </w:r>
      <w:r w:rsidRPr="006C7432">
        <w:t xml:space="preserve"> by the Commonwealth of Australia under section 593 of the Telecommunications Act 1997. This funding is recovered from charges on telecommunications carriers.</w:t>
      </w:r>
    </w:p>
    <w:sectPr w:rsidR="002F209F" w:rsidRPr="002F209F" w:rsidSect="00472A35">
      <w:headerReference w:type="default" r:id="rId28"/>
      <w:footerReference w:type="default" r:id="rId29"/>
      <w:footerReference w:type="first" r:id="rId30"/>
      <w:pgSz w:w="11906" w:h="16838"/>
      <w:pgMar w:top="1418" w:right="1440" w:bottom="709" w:left="1440" w:header="454"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571BD3" w14:textId="77777777" w:rsidR="00320283" w:rsidRDefault="00320283">
      <w:pPr>
        <w:spacing w:after="0" w:line="240" w:lineRule="auto"/>
      </w:pPr>
      <w:r>
        <w:separator/>
      </w:r>
    </w:p>
    <w:p w14:paraId="4ED34A43" w14:textId="77777777" w:rsidR="00320283" w:rsidRDefault="00320283"/>
  </w:endnote>
  <w:endnote w:type="continuationSeparator" w:id="0">
    <w:p w14:paraId="72AF02C1" w14:textId="77777777" w:rsidR="00320283" w:rsidRDefault="00320283">
      <w:pPr>
        <w:spacing w:after="0" w:line="240" w:lineRule="auto"/>
      </w:pPr>
      <w:r>
        <w:continuationSeparator/>
      </w:r>
    </w:p>
    <w:p w14:paraId="3F09A890" w14:textId="77777777" w:rsidR="00320283" w:rsidRDefault="00320283"/>
  </w:endnote>
  <w:endnote w:type="continuationNotice" w:id="1">
    <w:p w14:paraId="0BE43811" w14:textId="77777777" w:rsidR="00320283" w:rsidRDefault="00320283">
      <w:pPr>
        <w:spacing w:after="0" w:line="240" w:lineRule="auto"/>
      </w:pPr>
    </w:p>
    <w:p w14:paraId="4D479328" w14:textId="77777777" w:rsidR="00320283" w:rsidRDefault="003202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64CCE8-F349-4B39-A17B-2E1D723B8F7D}"/>
    <w:embedBold r:id="rId2" w:fontKey="{A436A740-790E-4F1A-B7F2-00007010CA11}"/>
    <w:embedItalic r:id="rId3" w:fontKey="{29D0E894-D010-4ED0-803D-508540B75C93}"/>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10D5F154-2BAB-4A3E-B206-68CCE8E01A51}"/>
    <w:embedItalic r:id="rId5" w:fontKey="{DDD66619-CA95-4A2A-B6ED-B1A377E140E1}"/>
  </w:font>
  <w:font w:name="Tahoma">
    <w:panose1 w:val="020B0604030504040204"/>
    <w:charset w:val="00"/>
    <w:family w:val="swiss"/>
    <w:pitch w:val="variable"/>
    <w:sig w:usb0="E1002EFF" w:usb1="C000605B" w:usb2="00000029" w:usb3="00000000" w:csb0="000101FF" w:csb1="00000000"/>
    <w:embedRegular r:id="rId6" w:fontKey="{92854AC0-F111-4A95-886A-344CA5A5405A}"/>
  </w:font>
  <w:font w:name="Gotham">
    <w:panose1 w:val="02000604040000020004"/>
    <w:charset w:val="00"/>
    <w:family w:val="auto"/>
    <w:pitch w:val="variable"/>
    <w:sig w:usb0="800000A7" w:usb1="00000000" w:usb2="00000000" w:usb3="00000000" w:csb0="00000009" w:csb1="00000000"/>
    <w:embedBold r:id="rId7" w:fontKey="{DFF76E22-7CAE-46B1-BD3E-80404FEB5C87}"/>
    <w:embedBoldItalic r:id="rId8" w:fontKey="{690F5CAF-2C66-4744-976E-9097A6DD3082}"/>
  </w:font>
  <w:font w:name="Trebuchet MS">
    <w:panose1 w:val="020B0603020202020204"/>
    <w:charset w:val="00"/>
    <w:family w:val="swiss"/>
    <w:pitch w:val="variable"/>
    <w:sig w:usb0="00000687" w:usb1="00000000" w:usb2="00000000" w:usb3="00000000" w:csb0="0000009F" w:csb1="00000000"/>
    <w:embedRegular r:id="rId9" w:fontKey="{D24CE934-C85D-4722-B2B5-E1856DE36A02}"/>
  </w:font>
  <w:font w:name="Gotham Black">
    <w:panose1 w:val="02000603040000020004"/>
    <w:charset w:val="00"/>
    <w:family w:val="auto"/>
    <w:pitch w:val="variable"/>
    <w:sig w:usb0="A00000AF" w:usb1="40000048" w:usb2="00000000" w:usb3="00000000" w:csb0="00000111" w:csb1="00000000"/>
    <w:embedRegular r:id="rId10" w:fontKey="{870FA1AE-36C9-4253-AAE8-476E88D25F8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otham" w:hAnsi="Gotham"/>
        <w:b/>
        <w:bCs/>
        <w:sz w:val="20"/>
        <w:szCs w:val="20"/>
      </w:rPr>
      <w:id w:val="-1113674512"/>
      <w:docPartObj>
        <w:docPartGallery w:val="Page Numbers (Bottom of Page)"/>
        <w:docPartUnique/>
      </w:docPartObj>
    </w:sdtPr>
    <w:sdtEndPr>
      <w:rPr>
        <w:rStyle w:val="Letterhead1Char"/>
        <w:spacing w:val="8"/>
      </w:rPr>
    </w:sdtEndPr>
    <w:sdtContent>
      <w:p w14:paraId="5DB35C0F" w14:textId="77777777" w:rsidR="00200982" w:rsidRPr="00962372" w:rsidRDefault="0088720C" w:rsidP="0088720C">
        <w:pPr>
          <w:jc w:val="right"/>
          <w:rPr>
            <w:rStyle w:val="Letterhead1Char"/>
          </w:rPr>
        </w:pPr>
        <w:r w:rsidRPr="00962372">
          <w:rPr>
            <w:rStyle w:val="Letterhead1Char"/>
          </w:rPr>
          <w:fldChar w:fldCharType="begin"/>
        </w:r>
        <w:r w:rsidRPr="00962372">
          <w:rPr>
            <w:rStyle w:val="Letterhead1Char"/>
          </w:rPr>
          <w:instrText xml:space="preserve"> PAGE   \* MERGEFORMAT </w:instrText>
        </w:r>
        <w:r w:rsidRPr="00962372">
          <w:rPr>
            <w:rStyle w:val="Letterhead1Char"/>
          </w:rPr>
          <w:fldChar w:fldCharType="separate"/>
        </w:r>
        <w:r w:rsidRPr="00962372">
          <w:rPr>
            <w:rStyle w:val="Letterhead1Char"/>
          </w:rPr>
          <w:t>1</w:t>
        </w:r>
        <w:r w:rsidRPr="00962372">
          <w:rPr>
            <w:rStyle w:val="Letterhead1Char"/>
          </w:rPr>
          <w:fldChar w:fldCharType="end"/>
        </w:r>
      </w:p>
    </w:sdtContent>
  </w:sdt>
  <w:p w14:paraId="44DF989F" w14:textId="77777777" w:rsidR="00A75493" w:rsidRDefault="00A7549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2536057"/>
      <w:docPartObj>
        <w:docPartGallery w:val="Page Numbers (Bottom of Page)"/>
        <w:docPartUnique/>
      </w:docPartObj>
    </w:sdtPr>
    <w:sdtEndPr>
      <w:rPr>
        <w:noProof/>
      </w:rPr>
    </w:sdtEndPr>
    <w:sdtContent>
      <w:p w14:paraId="75E88DC3" w14:textId="77777777" w:rsidR="00D560F9" w:rsidRPr="0088720C" w:rsidRDefault="00D560F9" w:rsidP="00962372">
        <w:pPr>
          <w:pStyle w:val="Letterhead1"/>
        </w:pPr>
        <w:r w:rsidRPr="0088720C">
          <w:fldChar w:fldCharType="begin"/>
        </w:r>
        <w:r w:rsidRPr="0088720C">
          <w:instrText xml:space="preserve"> PAGE   \* MERGEFORMAT </w:instrText>
        </w:r>
        <w:r w:rsidRPr="0088720C">
          <w:fldChar w:fldCharType="separate"/>
        </w:r>
        <w:r w:rsidRPr="0088720C">
          <w:rPr>
            <w:noProof/>
          </w:rPr>
          <w:t>2</w:t>
        </w:r>
        <w:r w:rsidRPr="0088720C">
          <w:rPr>
            <w:noProof/>
          </w:rPr>
          <w:fldChar w:fldCharType="end"/>
        </w:r>
      </w:p>
    </w:sdtContent>
  </w:sdt>
  <w:p w14:paraId="75937A5B" w14:textId="77777777" w:rsidR="00A75493" w:rsidRDefault="00A7549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BDB5FF" w14:textId="77777777" w:rsidR="00320283" w:rsidRDefault="00320283">
      <w:pPr>
        <w:spacing w:after="0" w:line="240" w:lineRule="auto"/>
      </w:pPr>
      <w:r>
        <w:separator/>
      </w:r>
    </w:p>
    <w:p w14:paraId="43FC0195" w14:textId="77777777" w:rsidR="00320283" w:rsidRDefault="00320283"/>
  </w:footnote>
  <w:footnote w:type="continuationSeparator" w:id="0">
    <w:p w14:paraId="5C411DC4" w14:textId="77777777" w:rsidR="00320283" w:rsidRDefault="00320283">
      <w:pPr>
        <w:spacing w:after="0" w:line="240" w:lineRule="auto"/>
      </w:pPr>
      <w:r>
        <w:continuationSeparator/>
      </w:r>
    </w:p>
    <w:p w14:paraId="491FC198" w14:textId="77777777" w:rsidR="00320283" w:rsidRDefault="00320283"/>
  </w:footnote>
  <w:footnote w:type="continuationNotice" w:id="1">
    <w:p w14:paraId="19948B2B" w14:textId="77777777" w:rsidR="00320283" w:rsidRDefault="00320283">
      <w:pPr>
        <w:spacing w:after="0" w:line="240" w:lineRule="auto"/>
      </w:pPr>
    </w:p>
    <w:p w14:paraId="72ABBC98" w14:textId="77777777" w:rsidR="00320283" w:rsidRDefault="00320283"/>
  </w:footnote>
  <w:footnote w:id="2">
    <w:p w14:paraId="40387C7E" w14:textId="170D15D9" w:rsidR="00366066" w:rsidRPr="00366066" w:rsidRDefault="00366066">
      <w:pPr>
        <w:pStyle w:val="FootnoteText"/>
        <w:rPr>
          <w:b/>
          <w:bCs/>
          <w:lang w:val="en-US"/>
        </w:rPr>
      </w:pPr>
      <w:r>
        <w:rPr>
          <w:rStyle w:val="FootnoteReference"/>
        </w:rPr>
        <w:footnoteRef/>
      </w:r>
      <w:r w:rsidR="001E654C">
        <w:t xml:space="preserve"> ACCAN 2020, </w:t>
      </w:r>
      <w:r w:rsidR="001E654C" w:rsidRPr="00BD36DD">
        <w:rPr>
          <w:i/>
          <w:iCs/>
        </w:rPr>
        <w:t>Consumer Safeguards Review Part C</w:t>
      </w:r>
      <w:r w:rsidR="001E654C">
        <w:t xml:space="preserve">, </w:t>
      </w:r>
      <w:r w:rsidR="008D2435" w:rsidRPr="001E654C">
        <w:t>https://accan.org.au/files/Submissions/2020/ACCAN%20Submission%20to%20Consumer%20Safeguards%20Review%20Part%20C%20V.1.1.pdf</w:t>
      </w:r>
      <w:r>
        <w:t xml:space="preserve">, p. </w:t>
      </w:r>
      <w:r w:rsidR="00EB2AA7">
        <w:t>14-15</w:t>
      </w:r>
    </w:p>
  </w:footnote>
  <w:footnote w:id="3">
    <w:p w14:paraId="7CCC25CF" w14:textId="46CF14EC" w:rsidR="0095118F" w:rsidRPr="0095118F" w:rsidRDefault="0095118F" w:rsidP="0095118F">
      <w:pPr>
        <w:pStyle w:val="FootnoteText"/>
        <w:rPr>
          <w:lang w:val="en-US"/>
        </w:rPr>
      </w:pPr>
      <w:r>
        <w:rPr>
          <w:rStyle w:val="FootnoteReference"/>
        </w:rPr>
        <w:footnoteRef/>
      </w:r>
      <w:r>
        <w:t xml:space="preserve"> </w:t>
      </w:r>
      <w:r w:rsidR="00BD36DD">
        <w:t xml:space="preserve">ACCAN 2020, </w:t>
      </w:r>
      <w:r w:rsidR="00BD36DD" w:rsidRPr="00BD36DD">
        <w:rPr>
          <w:i/>
          <w:iCs/>
        </w:rPr>
        <w:t>Still Waiting … The cost of customer service</w:t>
      </w:r>
      <w:r w:rsidR="00BD36DD">
        <w:t xml:space="preserve">, </w:t>
      </w:r>
      <w:r w:rsidRPr="0095118F">
        <w:t>https://accan.org.au/media-centre/hot-issues-blog/1825-still-waiting-the-cost-of-customer-service</w:t>
      </w:r>
    </w:p>
  </w:footnote>
  <w:footnote w:id="4">
    <w:p w14:paraId="74C6D490" w14:textId="19209928" w:rsidR="002C61B9" w:rsidRPr="0061544A" w:rsidRDefault="002C61B9" w:rsidP="002C61B9">
      <w:pPr>
        <w:pStyle w:val="FootnoteText"/>
        <w:rPr>
          <w:lang w:val="en-US"/>
        </w:rPr>
      </w:pPr>
      <w:r>
        <w:rPr>
          <w:rStyle w:val="FootnoteReference"/>
        </w:rPr>
        <w:footnoteRef/>
      </w:r>
      <w:r>
        <w:t xml:space="preserve"> </w:t>
      </w:r>
      <w:r w:rsidR="00F76ED6">
        <w:t xml:space="preserve">TIO 2021, </w:t>
      </w:r>
      <w:r w:rsidR="00F76ED6" w:rsidRPr="009A33EC">
        <w:rPr>
          <w:i/>
          <w:iCs/>
        </w:rPr>
        <w:t>Annual Report 2020-21</w:t>
      </w:r>
      <w:r w:rsidR="00F76ED6">
        <w:t xml:space="preserve">, </w:t>
      </w:r>
      <w:r w:rsidRPr="0061544A">
        <w:t>https://www.tio.com.au/reports/annual-report-2020-21</w:t>
      </w:r>
    </w:p>
  </w:footnote>
  <w:footnote w:id="5">
    <w:p w14:paraId="18786A09" w14:textId="309D36E2" w:rsidR="000919D5" w:rsidRPr="009A33EC" w:rsidRDefault="000919D5" w:rsidP="009A33EC">
      <w:pPr>
        <w:pStyle w:val="FootnoteText"/>
      </w:pPr>
      <w:r>
        <w:rPr>
          <w:rStyle w:val="FootnoteReference"/>
        </w:rPr>
        <w:footnoteRef/>
      </w:r>
      <w:r>
        <w:t xml:space="preserve"> </w:t>
      </w:r>
      <w:r w:rsidR="00F76ED6">
        <w:t>Treasury,</w:t>
      </w:r>
      <w:r w:rsidR="009A33EC" w:rsidRPr="009A33EC">
        <w:t xml:space="preserve"> </w:t>
      </w:r>
      <w:r w:rsidR="009A33EC" w:rsidRPr="009A33EC">
        <w:rPr>
          <w:i/>
          <w:iCs/>
        </w:rPr>
        <w:t>Benchmarks for Industry-based Customer Dispute Resolution</w:t>
      </w:r>
      <w:r w:rsidR="009A33EC">
        <w:t xml:space="preserve">, </w:t>
      </w:r>
      <w:r w:rsidRPr="000919D5">
        <w:t>https://treasury.gov.au/sites/default/files/2019-03/benchmarks_ind_cust_dispute_reso.pdf</w:t>
      </w:r>
    </w:p>
  </w:footnote>
  <w:footnote w:id="6">
    <w:p w14:paraId="3E75A5CB" w14:textId="2FFBFDEC" w:rsidR="00820E3B" w:rsidRPr="00820E3B" w:rsidRDefault="00820E3B">
      <w:pPr>
        <w:pStyle w:val="FootnoteText"/>
        <w:rPr>
          <w:lang w:val="en-US"/>
        </w:rPr>
      </w:pPr>
      <w:r>
        <w:rPr>
          <w:rStyle w:val="FootnoteReference"/>
        </w:rPr>
        <w:footnoteRef/>
      </w:r>
      <w:r>
        <w:t xml:space="preserve"> </w:t>
      </w:r>
      <w:r>
        <w:rPr>
          <w:lang w:val="en-US"/>
        </w:rPr>
        <w:t>See appendix</w:t>
      </w:r>
      <w:r w:rsidR="002F209F">
        <w:rPr>
          <w:lang w:val="en-US"/>
        </w:rPr>
        <w:t xml:space="preserve"> 1</w:t>
      </w:r>
      <w:r w:rsidR="00B420C9">
        <w:rPr>
          <w:lang w:val="en-US"/>
        </w:rPr>
        <w:t xml:space="preserve"> for detailed results.</w:t>
      </w:r>
    </w:p>
  </w:footnote>
  <w:footnote w:id="7">
    <w:p w14:paraId="313A9B00" w14:textId="0EB83824" w:rsidR="002A0959" w:rsidRPr="002A0959" w:rsidRDefault="002A0959">
      <w:pPr>
        <w:pStyle w:val="FootnoteText"/>
        <w:rPr>
          <w:lang w:val="en-US"/>
        </w:rPr>
      </w:pPr>
      <w:r>
        <w:rPr>
          <w:rStyle w:val="FootnoteReference"/>
        </w:rPr>
        <w:footnoteRef/>
      </w:r>
      <w:r>
        <w:t xml:space="preserve"> </w:t>
      </w:r>
      <w:r w:rsidRPr="002A0959">
        <w:t>ACMA Complaints Handling Standard 2018 (Cth), https://www.legislation.gov.au/Details/F2021C00265</w:t>
      </w:r>
    </w:p>
  </w:footnote>
  <w:footnote w:id="8">
    <w:p w14:paraId="4CA8D4D4" w14:textId="1CB5CA42" w:rsidR="00276737" w:rsidRPr="00E36395" w:rsidRDefault="00276737">
      <w:pPr>
        <w:pStyle w:val="FootnoteText"/>
        <w:rPr>
          <w:lang w:val="en-US"/>
        </w:rPr>
      </w:pPr>
      <w:r>
        <w:rPr>
          <w:rStyle w:val="FootnoteReference"/>
        </w:rPr>
        <w:footnoteRef/>
      </w:r>
      <w:r>
        <w:t xml:space="preserve"> </w:t>
      </w:r>
      <w:r w:rsidR="009715C3">
        <w:t xml:space="preserve">ACCAN 2020, </w:t>
      </w:r>
      <w:r w:rsidR="009715C3" w:rsidRPr="009715C3">
        <w:rPr>
          <w:i/>
          <w:iCs/>
        </w:rPr>
        <w:t>Consumer Safeguards Review Part C</w:t>
      </w:r>
      <w:r w:rsidR="009715C3">
        <w:t xml:space="preserve">, </w:t>
      </w:r>
      <w:r w:rsidRPr="00276737">
        <w:t>https://accan.org.au/files/Submissions/2020/ACCAN%20Submission%20to%20Consumer%20Safeguards%20Review%20Part%20C%20V.1.1.pdf</w:t>
      </w:r>
    </w:p>
  </w:footnote>
  <w:footnote w:id="9">
    <w:p w14:paraId="0ED8352E" w14:textId="7DC79301" w:rsidR="00DE5FFF" w:rsidRDefault="00DE5FFF" w:rsidP="00DE5FFF">
      <w:pPr>
        <w:pStyle w:val="FootnoteText"/>
      </w:pPr>
      <w:r>
        <w:rPr>
          <w:rStyle w:val="FootnoteReference"/>
        </w:rPr>
        <w:footnoteRef/>
      </w:r>
      <w:r>
        <w:t xml:space="preserve"> </w:t>
      </w:r>
      <w:r w:rsidR="003D4DC9">
        <w:t xml:space="preserve">ISO 22458:2022, </w:t>
      </w:r>
      <w:r w:rsidR="003D4DC9" w:rsidRPr="009F5252">
        <w:rPr>
          <w:i/>
          <w:iCs/>
        </w:rPr>
        <w:t>Consumer vulnerability — Requirements and guidelines for the design and delivery of inclusive service</w:t>
      </w:r>
      <w:r w:rsidR="003D4DC9">
        <w:t xml:space="preserve">, </w:t>
      </w:r>
      <w:r w:rsidR="003D4DC9" w:rsidRPr="005E30D0">
        <w:t>https://www.iso.org/standard/73261.html</w:t>
      </w:r>
    </w:p>
  </w:footnote>
  <w:footnote w:id="10">
    <w:p w14:paraId="59E65029" w14:textId="6D0DE2C0" w:rsidR="00902557" w:rsidRPr="00902557" w:rsidRDefault="00902557">
      <w:pPr>
        <w:pStyle w:val="FootnoteText"/>
        <w:rPr>
          <w:lang w:val="en-US"/>
        </w:rPr>
      </w:pPr>
      <w:r>
        <w:rPr>
          <w:rStyle w:val="FootnoteReference"/>
        </w:rPr>
        <w:footnoteRef/>
      </w:r>
      <w:r>
        <w:t xml:space="preserve"> </w:t>
      </w:r>
      <w:r w:rsidR="0075391A">
        <w:t xml:space="preserve">TIO, </w:t>
      </w:r>
      <w:r w:rsidRPr="00902557">
        <w:t>https://www.tio.com.au/about-us/policies-and-procedures</w:t>
      </w:r>
    </w:p>
  </w:footnote>
  <w:footnote w:id="11">
    <w:p w14:paraId="2225C69F" w14:textId="0C1AD530" w:rsidR="00C82550" w:rsidRPr="00C82550" w:rsidRDefault="00C82550">
      <w:pPr>
        <w:pStyle w:val="FootnoteText"/>
        <w:rPr>
          <w:lang w:val="en-US"/>
        </w:rPr>
      </w:pPr>
      <w:r>
        <w:rPr>
          <w:rStyle w:val="FootnoteReference"/>
        </w:rPr>
        <w:footnoteRef/>
      </w:r>
      <w:r>
        <w:t xml:space="preserve"> </w:t>
      </w:r>
      <w:r>
        <w:rPr>
          <w:lang w:val="en-US"/>
        </w:rPr>
        <w:t xml:space="preserve">Noting that email correspondence is preceded by the consumer filling out an online form on the TIO’s website. </w:t>
      </w:r>
      <w:r w:rsidR="00362968">
        <w:rPr>
          <w:lang w:val="en-US"/>
        </w:rPr>
        <w:t>Consumers may also</w:t>
      </w:r>
      <w:r w:rsidR="00BD74BC">
        <w:rPr>
          <w:lang w:val="en-US"/>
        </w:rPr>
        <w:t xml:space="preserve"> fax the </w:t>
      </w:r>
      <w:proofErr w:type="gramStart"/>
      <w:r w:rsidR="00BD74BC">
        <w:rPr>
          <w:lang w:val="en-US"/>
        </w:rPr>
        <w:t>TIO, or</w:t>
      </w:r>
      <w:proofErr w:type="gramEnd"/>
      <w:r w:rsidR="00BD74BC">
        <w:rPr>
          <w:lang w:val="en-US"/>
        </w:rPr>
        <w:t xml:space="preserve"> contact it via post. </w:t>
      </w:r>
    </w:p>
  </w:footnote>
  <w:footnote w:id="12">
    <w:p w14:paraId="79C8D985" w14:textId="798168F9" w:rsidR="00A316FF" w:rsidRPr="00A316FF" w:rsidRDefault="00A316FF">
      <w:pPr>
        <w:pStyle w:val="FootnoteText"/>
        <w:rPr>
          <w:lang w:val="en-US"/>
        </w:rPr>
      </w:pPr>
      <w:r>
        <w:rPr>
          <w:rStyle w:val="FootnoteReference"/>
        </w:rPr>
        <w:footnoteRef/>
      </w:r>
      <w:r>
        <w:t xml:space="preserve"> </w:t>
      </w:r>
      <w:r w:rsidR="009F034E">
        <w:t xml:space="preserve">TIO 2022, </w:t>
      </w:r>
      <w:r w:rsidR="00160DA7" w:rsidRPr="00160DA7">
        <w:rPr>
          <w:i/>
          <w:iCs/>
        </w:rPr>
        <w:t>Phone and internet complaints decline for fifth consecutive period</w:t>
      </w:r>
      <w:r w:rsidR="00160DA7">
        <w:t xml:space="preserve">, </w:t>
      </w:r>
      <w:r w:rsidRPr="00A316FF">
        <w:t>https://www.tio.com.au/news/phone-and-internet-complaints-decline-fifth-consecutive-period</w:t>
      </w:r>
    </w:p>
  </w:footnote>
  <w:footnote w:id="13">
    <w:p w14:paraId="69CA2DBD" w14:textId="4BD71965" w:rsidR="00A316FF" w:rsidRPr="00A316FF" w:rsidRDefault="00A316FF">
      <w:pPr>
        <w:pStyle w:val="FootnoteText"/>
        <w:rPr>
          <w:lang w:val="en-US"/>
        </w:rPr>
      </w:pPr>
      <w:r>
        <w:rPr>
          <w:rStyle w:val="FootnoteReference"/>
        </w:rPr>
        <w:footnoteRef/>
      </w:r>
      <w:r w:rsidR="00B8622B">
        <w:t xml:space="preserve"> ACCAN </w:t>
      </w:r>
      <w:r w:rsidR="008D3D1F">
        <w:t xml:space="preserve">2020, </w:t>
      </w:r>
      <w:r w:rsidR="008D3D1F" w:rsidRPr="0075391A">
        <w:rPr>
          <w:i/>
          <w:iCs/>
        </w:rPr>
        <w:t>Consumer Safeguards Review</w:t>
      </w:r>
      <w:r w:rsidR="00677167" w:rsidRPr="0075391A">
        <w:rPr>
          <w:i/>
          <w:iCs/>
        </w:rPr>
        <w:t xml:space="preserve"> Part C</w:t>
      </w:r>
      <w:r w:rsidR="00677167">
        <w:t xml:space="preserve">, </w:t>
      </w:r>
      <w:r w:rsidRPr="00A316FF">
        <w:t>https://accan.org.au/files/Submissions/2020/ACCAN%20Submission%20to%20Consumer%20Safeguards%20Review%20Part%20C%20V.1.1.pdf</w:t>
      </w:r>
    </w:p>
  </w:footnote>
  <w:footnote w:id="14">
    <w:p w14:paraId="06BBAF02" w14:textId="3DDE981E" w:rsidR="001947FD" w:rsidRDefault="001947FD" w:rsidP="001947FD">
      <w:pPr>
        <w:pStyle w:val="FootnoteText"/>
      </w:pPr>
      <w:r>
        <w:rPr>
          <w:rStyle w:val="FootnoteReference"/>
        </w:rPr>
        <w:footnoteRef/>
      </w:r>
      <w:r>
        <w:t xml:space="preserve"> </w:t>
      </w:r>
      <w:r w:rsidR="00387E6E">
        <w:t xml:space="preserve">AFCA 2022, </w:t>
      </w:r>
      <w:r w:rsidR="00387E6E" w:rsidRPr="009F5252">
        <w:rPr>
          <w:i/>
          <w:iCs/>
        </w:rPr>
        <w:t>AFCA publishes Fairness Jurisdiction Project outcomes report</w:t>
      </w:r>
      <w:r w:rsidR="00387E6E">
        <w:t xml:space="preserve">, </w:t>
      </w:r>
      <w:r w:rsidR="00387E6E" w:rsidRPr="00973D14">
        <w:t>https://www.afca.org.au/news/latest-news/afca-publishes-fairness-jurisdiction-project-outcomes-report</w:t>
      </w:r>
    </w:p>
  </w:footnote>
  <w:footnote w:id="15">
    <w:p w14:paraId="1DEA7BA1" w14:textId="6C831893" w:rsidR="009A54B1" w:rsidRPr="004642DD" w:rsidRDefault="009A54B1" w:rsidP="009A54B1">
      <w:pPr>
        <w:pStyle w:val="FootnoteText"/>
        <w:rPr>
          <w:lang w:val="en-US"/>
        </w:rPr>
      </w:pPr>
      <w:r>
        <w:rPr>
          <w:rStyle w:val="FootnoteReference"/>
        </w:rPr>
        <w:footnoteRef/>
      </w:r>
      <w:r>
        <w:t xml:space="preserve"> </w:t>
      </w:r>
      <w:r w:rsidR="00216DB8">
        <w:t xml:space="preserve">TIO, </w:t>
      </w:r>
      <w:proofErr w:type="gramStart"/>
      <w:r w:rsidR="00216DB8" w:rsidRPr="0075391A">
        <w:rPr>
          <w:i/>
          <w:iCs/>
        </w:rPr>
        <w:t>What</w:t>
      </w:r>
      <w:proofErr w:type="gramEnd"/>
      <w:r w:rsidR="00216DB8" w:rsidRPr="0075391A">
        <w:rPr>
          <w:i/>
          <w:iCs/>
        </w:rPr>
        <w:t xml:space="preserve"> to expect</w:t>
      </w:r>
      <w:r w:rsidR="00216DB8">
        <w:t xml:space="preserve">, </w:t>
      </w:r>
      <w:r w:rsidRPr="00C161FB">
        <w:t>https://www.tio.com.au/complaints/what-expect</w:t>
      </w:r>
    </w:p>
  </w:footnote>
  <w:footnote w:id="16">
    <w:p w14:paraId="42563007" w14:textId="77777777" w:rsidR="00FA04A8" w:rsidRPr="002E0FD9" w:rsidRDefault="00FA04A8" w:rsidP="00FA04A8">
      <w:pPr>
        <w:pStyle w:val="FootnoteText"/>
        <w:rPr>
          <w:lang w:val="en-US"/>
        </w:rPr>
      </w:pPr>
      <w:r>
        <w:rPr>
          <w:rStyle w:val="FootnoteReference"/>
        </w:rPr>
        <w:footnoteRef/>
      </w:r>
      <w:r>
        <w:t xml:space="preserve"> </w:t>
      </w:r>
      <w:r>
        <w:rPr>
          <w:lang w:val="en-US"/>
        </w:rPr>
        <w:t xml:space="preserve">TIO, “Complaint Handling Procedures” (1 July 2020) cl. 5.3.1.2, available at: </w:t>
      </w:r>
      <w:r w:rsidRPr="00EE4592">
        <w:rPr>
          <w:lang w:val="en-US"/>
        </w:rPr>
        <w:t>https://www.tio.com.au/about-us/policies-and-procedures#pt5</w:t>
      </w:r>
      <w:r>
        <w:rPr>
          <w:lang w:val="en-US"/>
        </w:rPr>
        <w:t>.</w:t>
      </w:r>
    </w:p>
  </w:footnote>
  <w:footnote w:id="17">
    <w:p w14:paraId="7F7D5BC6" w14:textId="77777777" w:rsidR="00FA04A8" w:rsidRPr="002F4A81" w:rsidRDefault="00FA04A8" w:rsidP="00FA04A8">
      <w:pPr>
        <w:pStyle w:val="FootnoteText"/>
        <w:rPr>
          <w:lang w:val="en-US"/>
        </w:rPr>
      </w:pPr>
      <w:r>
        <w:rPr>
          <w:rStyle w:val="FootnoteReference"/>
        </w:rPr>
        <w:footnoteRef/>
      </w:r>
      <w:r>
        <w:t xml:space="preserve"> TIO, “Complaint Handling Procedures” (1 July 2020) cl. 5.3.1.3 and 5.3.2.</w:t>
      </w:r>
    </w:p>
  </w:footnote>
  <w:footnote w:id="18">
    <w:p w14:paraId="06A1A8DF" w14:textId="0CD6A5AA" w:rsidR="00D20F0D" w:rsidRDefault="00D20F0D" w:rsidP="00D20F0D">
      <w:pPr>
        <w:pStyle w:val="FootnoteText"/>
      </w:pPr>
      <w:r>
        <w:rPr>
          <w:rStyle w:val="FootnoteReference"/>
        </w:rPr>
        <w:footnoteRef/>
      </w:r>
      <w:r>
        <w:t xml:space="preserve"> EWOV Charter, (14 March 2018), clauses 3.11, 3.12, 3.13, 3.16 – 3.18 </w:t>
      </w:r>
      <w:r w:rsidRPr="00B32416">
        <w:t>https://www.ewov.com.au/uploads/main/ewov_charter.pdf</w:t>
      </w:r>
      <w:r>
        <w:t xml:space="preserve"> </w:t>
      </w:r>
    </w:p>
  </w:footnote>
  <w:footnote w:id="19">
    <w:p w14:paraId="02D82285" w14:textId="4D13B5CA" w:rsidR="00D20F0D" w:rsidRDefault="00D20F0D" w:rsidP="00D20F0D">
      <w:pPr>
        <w:pStyle w:val="FootnoteText"/>
      </w:pPr>
      <w:r>
        <w:rPr>
          <w:rStyle w:val="FootnoteReference"/>
        </w:rPr>
        <w:footnoteRef/>
      </w:r>
      <w:r>
        <w:t xml:space="preserve"> AFCA Rules and AFCA Operational Guidelines to the Rules (1 April 2022) A.12.2 and A.12.3 (p 62- 64), </w:t>
      </w:r>
      <w:r w:rsidRPr="00B32416">
        <w:t>https://www.afca.org.au/about-afca/rules-and-guidelines/afcas-operational-guidelines</w:t>
      </w:r>
      <w:r>
        <w:t xml:space="preserve">. </w:t>
      </w:r>
    </w:p>
  </w:footnote>
  <w:footnote w:id="20">
    <w:p w14:paraId="58B08008" w14:textId="3E9A2896" w:rsidR="007A4743" w:rsidRPr="007A4743" w:rsidRDefault="007A4743">
      <w:pPr>
        <w:pStyle w:val="FootnoteText"/>
        <w:rPr>
          <w:lang w:val="en-US"/>
        </w:rPr>
      </w:pPr>
      <w:r>
        <w:rPr>
          <w:rStyle w:val="FootnoteReference"/>
        </w:rPr>
        <w:footnoteRef/>
      </w:r>
      <w:r>
        <w:t xml:space="preserve"> </w:t>
      </w:r>
      <w:r w:rsidR="00B64C22">
        <w:t xml:space="preserve">AFCA, </w:t>
      </w:r>
      <w:r w:rsidR="00B64C22" w:rsidRPr="0075391A">
        <w:rPr>
          <w:i/>
          <w:iCs/>
        </w:rPr>
        <w:t>Complaints by firm</w:t>
      </w:r>
      <w:r w:rsidR="00B64C22">
        <w:t xml:space="preserve">, </w:t>
      </w:r>
      <w:r w:rsidRPr="007A4743">
        <w:t>https://data.afca.org.au/complaints-by-firm/</w:t>
      </w:r>
    </w:p>
  </w:footnote>
  <w:footnote w:id="21">
    <w:p w14:paraId="5E30A117" w14:textId="58B9B5A7" w:rsidR="002E2EF9" w:rsidRPr="00E36395" w:rsidRDefault="002E2EF9">
      <w:pPr>
        <w:pStyle w:val="FootnoteText"/>
        <w:rPr>
          <w:lang w:val="en-US"/>
        </w:rPr>
      </w:pPr>
      <w:r>
        <w:rPr>
          <w:rStyle w:val="FootnoteReference"/>
        </w:rPr>
        <w:footnoteRef/>
      </w:r>
      <w:r>
        <w:t xml:space="preserve"> </w:t>
      </w:r>
      <w:r w:rsidR="003251D9">
        <w:t>TIO</w:t>
      </w:r>
      <w:r w:rsidR="00596E6D">
        <w:t>,</w:t>
      </w:r>
      <w:r w:rsidR="003251D9">
        <w:t xml:space="preserve"> </w:t>
      </w:r>
      <w:r w:rsidR="003251D9" w:rsidRPr="0075391A">
        <w:rPr>
          <w:i/>
          <w:iCs/>
        </w:rPr>
        <w:t>Complaint Handling Procedure</w:t>
      </w:r>
      <w:r w:rsidR="00596E6D">
        <w:t xml:space="preserve">, </w:t>
      </w:r>
      <w:r w:rsidRPr="002E2EF9">
        <w:t>https://www.tio.com.au/about-us/policies-and-procedures</w:t>
      </w:r>
    </w:p>
  </w:footnote>
  <w:footnote w:id="22">
    <w:p w14:paraId="1B4B05C0" w14:textId="4D8F4E1D" w:rsidR="00D62858" w:rsidRPr="00E36395" w:rsidRDefault="00D62858">
      <w:pPr>
        <w:pStyle w:val="FootnoteText"/>
        <w:rPr>
          <w:lang w:val="en-US"/>
        </w:rPr>
      </w:pPr>
      <w:r>
        <w:rPr>
          <w:rStyle w:val="FootnoteReference"/>
        </w:rPr>
        <w:footnoteRef/>
      </w:r>
      <w:r>
        <w:t xml:space="preserve"> </w:t>
      </w:r>
      <w:r w:rsidR="00500AAA">
        <w:t xml:space="preserve">TIO </w:t>
      </w:r>
      <w:r w:rsidR="007C7855">
        <w:t xml:space="preserve">2021, </w:t>
      </w:r>
      <w:r w:rsidR="007C7855" w:rsidRPr="0075391A">
        <w:rPr>
          <w:i/>
          <w:iCs/>
        </w:rPr>
        <w:t>TIO Annual Report 2020-21</w:t>
      </w:r>
      <w:r w:rsidR="007C7855">
        <w:t xml:space="preserve">, </w:t>
      </w:r>
      <w:r w:rsidRPr="00D62858">
        <w:t>https://www.tio.com.au/sites/default/files/2021-09/TIO_AR_Accessible_LR.pdf</w:t>
      </w:r>
    </w:p>
  </w:footnote>
  <w:footnote w:id="23">
    <w:p w14:paraId="5066680A" w14:textId="0852E016" w:rsidR="00AE043F" w:rsidRPr="00E2312F" w:rsidRDefault="00AE043F">
      <w:pPr>
        <w:pStyle w:val="FootnoteText"/>
        <w:rPr>
          <w:lang w:val="en-US"/>
        </w:rPr>
      </w:pPr>
      <w:r>
        <w:rPr>
          <w:rStyle w:val="FootnoteReference"/>
        </w:rPr>
        <w:footnoteRef/>
      </w:r>
      <w:r w:rsidR="00F56524">
        <w:t xml:space="preserve"> </w:t>
      </w:r>
      <w:r w:rsidR="009574C4">
        <w:t xml:space="preserve">TIO </w:t>
      </w:r>
      <w:r w:rsidR="00F56524">
        <w:t xml:space="preserve">2022, </w:t>
      </w:r>
      <w:r w:rsidR="00F56524" w:rsidRPr="0075391A">
        <w:rPr>
          <w:i/>
          <w:iCs/>
        </w:rPr>
        <w:t>TIO Quarterly Report</w:t>
      </w:r>
      <w:r w:rsidR="00F56524">
        <w:t>,</w:t>
      </w:r>
      <w:r>
        <w:t xml:space="preserve"> </w:t>
      </w:r>
      <w:r w:rsidRPr="00AE043F">
        <w:t>https://www.tio.com.au/sites/default/files/2022-02/TIO%202022%20Q2%20Report_03.pdf</w:t>
      </w:r>
    </w:p>
  </w:footnote>
  <w:footnote w:id="24">
    <w:p w14:paraId="0CCEDCBE" w14:textId="498A6AB6" w:rsidR="00FB0AFF" w:rsidRPr="00AC7E10" w:rsidRDefault="00FB0AFF" w:rsidP="00FB0AFF">
      <w:pPr>
        <w:pStyle w:val="FootnoteText"/>
        <w:rPr>
          <w:lang w:val="en-US"/>
        </w:rPr>
      </w:pPr>
      <w:r>
        <w:rPr>
          <w:rStyle w:val="FootnoteReference"/>
        </w:rPr>
        <w:footnoteRef/>
      </w:r>
      <w:r>
        <w:t xml:space="preserve"> </w:t>
      </w:r>
      <w:r w:rsidR="009574C4">
        <w:t xml:space="preserve">TIO, </w:t>
      </w:r>
      <w:r w:rsidR="009574C4" w:rsidRPr="0075391A">
        <w:rPr>
          <w:i/>
          <w:iCs/>
        </w:rPr>
        <w:t>Complaint Handling Procedures</w:t>
      </w:r>
      <w:r w:rsidR="009574C4">
        <w:t xml:space="preserve">, </w:t>
      </w:r>
      <w:r w:rsidRPr="00AC7E10">
        <w:t>https://www.tio.com.au/about-us/policies-and-procedures</w:t>
      </w:r>
    </w:p>
  </w:footnote>
  <w:footnote w:id="25">
    <w:p w14:paraId="243EB595" w14:textId="5F8216FF" w:rsidR="008927B8" w:rsidRPr="00753397" w:rsidRDefault="008927B8" w:rsidP="008927B8">
      <w:pPr>
        <w:pStyle w:val="FootnoteText"/>
        <w:rPr>
          <w:lang w:val="en-US"/>
        </w:rPr>
      </w:pPr>
      <w:r>
        <w:rPr>
          <w:rStyle w:val="FootnoteReference"/>
        </w:rPr>
        <w:footnoteRef/>
      </w:r>
      <w:r>
        <w:t xml:space="preserve"> </w:t>
      </w:r>
      <w:r w:rsidR="009574C4">
        <w:t>TIO</w:t>
      </w:r>
      <w:r w:rsidR="00FF7B8E">
        <w:t xml:space="preserve"> website, </w:t>
      </w:r>
      <w:r w:rsidRPr="0028430A">
        <w:rPr>
          <w:lang w:val="en-US"/>
        </w:rPr>
        <w:t>https://www.tio.com.au/</w:t>
      </w:r>
    </w:p>
  </w:footnote>
  <w:footnote w:id="26">
    <w:p w14:paraId="03EBCD61" w14:textId="09245499" w:rsidR="00257C04" w:rsidRPr="000B2833" w:rsidRDefault="00257C04">
      <w:pPr>
        <w:pStyle w:val="FootnoteText"/>
        <w:rPr>
          <w:lang w:val="en-US"/>
        </w:rPr>
      </w:pPr>
      <w:r>
        <w:rPr>
          <w:rStyle w:val="FootnoteReference"/>
        </w:rPr>
        <w:footnoteRef/>
      </w:r>
      <w:r>
        <w:t xml:space="preserve"> </w:t>
      </w:r>
      <w:r w:rsidR="00972373">
        <w:t>Cameron Ralph Khoury</w:t>
      </w:r>
      <w:r w:rsidR="0054014B">
        <w:t xml:space="preserve"> 2017</w:t>
      </w:r>
      <w:r w:rsidR="00972373">
        <w:t xml:space="preserve">, </w:t>
      </w:r>
      <w:r w:rsidR="0054014B" w:rsidRPr="0075391A">
        <w:rPr>
          <w:i/>
          <w:iCs/>
        </w:rPr>
        <w:t>Telecommunications Industry Ombudsman Independent Review Report</w:t>
      </w:r>
      <w:r w:rsidR="0054014B">
        <w:t xml:space="preserve">, </w:t>
      </w:r>
      <w:r w:rsidRPr="00257C04">
        <w:t>https://www.tio.com.au/sites/default/files/2019-05/2017_0929-TIO-Report-Final_0.pdf</w:t>
      </w:r>
    </w:p>
  </w:footnote>
  <w:footnote w:id="27">
    <w:p w14:paraId="3AAE7350" w14:textId="5CEAE6A2" w:rsidR="005E5846" w:rsidRPr="000B2833" w:rsidRDefault="005E5846">
      <w:pPr>
        <w:pStyle w:val="FootnoteText"/>
        <w:rPr>
          <w:lang w:val="en-US"/>
        </w:rPr>
      </w:pPr>
      <w:r>
        <w:rPr>
          <w:rStyle w:val="FootnoteReference"/>
        </w:rPr>
        <w:footnoteRef/>
      </w:r>
      <w:r w:rsidR="00B855A0">
        <w:t xml:space="preserve"> </w:t>
      </w:r>
      <w:r w:rsidR="00086160">
        <w:t xml:space="preserve">TIO </w:t>
      </w:r>
      <w:r w:rsidR="004637C4">
        <w:t>2018,</w:t>
      </w:r>
      <w:r>
        <w:t xml:space="preserve"> </w:t>
      </w:r>
      <w:r w:rsidR="00987564" w:rsidRPr="0075391A">
        <w:rPr>
          <w:i/>
          <w:iCs/>
        </w:rPr>
        <w:t>Submission to Consumer Safeguards Review Part A Redress and Complaint Handling</w:t>
      </w:r>
      <w:r w:rsidR="00987564">
        <w:t xml:space="preserve">, </w:t>
      </w:r>
      <w:r w:rsidRPr="005E5846">
        <w:t>https://www.tio.com.au/sites/default/files/2019-05/Consumer-Safeguards-Review-TIO-submission_0.PDF</w:t>
      </w:r>
    </w:p>
  </w:footnote>
  <w:footnote w:id="28">
    <w:p w14:paraId="288BCE08" w14:textId="178D66D8" w:rsidR="002F6067" w:rsidRDefault="002F6067" w:rsidP="002F6067">
      <w:pPr>
        <w:pStyle w:val="FootnoteText"/>
      </w:pPr>
      <w:r>
        <w:rPr>
          <w:rStyle w:val="FootnoteReference"/>
        </w:rPr>
        <w:footnoteRef/>
      </w:r>
      <w:r>
        <w:t xml:space="preserve"> ACCC and ASIC Debt Collection Guidelines, (April 2021) ch 9 p 20. </w:t>
      </w:r>
      <w:r w:rsidRPr="00C8348A">
        <w:t>https://www.accc.gov.au/publications/debt-collection-guideline-for-collectors-creditors</w:t>
      </w:r>
      <w:r>
        <w:t xml:space="preserve"> </w:t>
      </w:r>
    </w:p>
  </w:footnote>
  <w:footnote w:id="29">
    <w:p w14:paraId="0B0119C2" w14:textId="2AD05167" w:rsidR="00665BAE" w:rsidRDefault="00665BAE" w:rsidP="00665BAE">
      <w:pPr>
        <w:pStyle w:val="FootnoteText"/>
      </w:pPr>
      <w:r>
        <w:rPr>
          <w:rStyle w:val="FootnoteReference"/>
        </w:rPr>
        <w:footnoteRef/>
      </w:r>
      <w:r>
        <w:t xml:space="preserve"> “AFCA consults on proposed funding model” (10 March 2022) available at: </w:t>
      </w:r>
      <w:r w:rsidRPr="00C8348A">
        <w:t>https://www.afca.org.au/news/media-releases/afca-consults-on-proposed-funding-model</w:t>
      </w:r>
      <w:r>
        <w:t xml:space="preserve">. </w:t>
      </w:r>
    </w:p>
  </w:footnote>
  <w:footnote w:id="30">
    <w:p w14:paraId="7B889C5C" w14:textId="14CFA0C1" w:rsidR="00E67017" w:rsidRPr="0048211C" w:rsidRDefault="00E67017" w:rsidP="00E67017">
      <w:pPr>
        <w:pStyle w:val="FootnoteText"/>
        <w:rPr>
          <w:lang w:val="en-US"/>
        </w:rPr>
      </w:pPr>
      <w:r>
        <w:rPr>
          <w:rStyle w:val="FootnoteReference"/>
        </w:rPr>
        <w:footnoteRef/>
      </w:r>
      <w:r w:rsidR="00C6265D">
        <w:t xml:space="preserve"> TIO 2020, </w:t>
      </w:r>
      <w:r w:rsidR="00044077" w:rsidRPr="0075391A">
        <w:rPr>
          <w:i/>
          <w:iCs/>
        </w:rPr>
        <w:t>Addressing the causes of small business complaints</w:t>
      </w:r>
      <w:r w:rsidR="00044077">
        <w:t xml:space="preserve">, </w:t>
      </w:r>
      <w:r w:rsidRPr="0075391A">
        <w:t>https://www.tio.com.au/sites/default/files/2020-06/TIO%20Addressing%20the%20causes%20of%20small%20business%20complaints%20-%20Systemic%20Investigation%20Report%20June%202020_4.pdf</w:t>
      </w:r>
      <w:r>
        <w:t xml:space="preserve"> </w:t>
      </w:r>
    </w:p>
  </w:footnote>
  <w:footnote w:id="31">
    <w:p w14:paraId="120C7385" w14:textId="038AEE37" w:rsidR="00693241" w:rsidRPr="00693241" w:rsidRDefault="00693241">
      <w:pPr>
        <w:pStyle w:val="FootnoteText"/>
        <w:rPr>
          <w:lang w:val="en-US"/>
        </w:rPr>
      </w:pPr>
      <w:r>
        <w:rPr>
          <w:rStyle w:val="FootnoteReference"/>
        </w:rPr>
        <w:footnoteRef/>
      </w:r>
      <w:r w:rsidR="00800701">
        <w:t xml:space="preserve"> TIO, </w:t>
      </w:r>
      <w:proofErr w:type="gramStart"/>
      <w:r w:rsidR="00800701" w:rsidRPr="0075391A">
        <w:rPr>
          <w:i/>
          <w:iCs/>
        </w:rPr>
        <w:t>Who</w:t>
      </w:r>
      <w:proofErr w:type="gramEnd"/>
      <w:r w:rsidR="00800701" w:rsidRPr="0075391A">
        <w:rPr>
          <w:i/>
          <w:iCs/>
        </w:rPr>
        <w:t xml:space="preserve"> we can help</w:t>
      </w:r>
      <w:r w:rsidR="00800701">
        <w:t>,</w:t>
      </w:r>
      <w:r>
        <w:t xml:space="preserve"> </w:t>
      </w:r>
      <w:r w:rsidR="0024634A" w:rsidRPr="0075391A">
        <w:t>https://www.tio.com.au/complaints/who-we-can-help</w:t>
      </w:r>
      <w:r w:rsidR="0024634A">
        <w:t xml:space="preserve"> </w:t>
      </w:r>
    </w:p>
  </w:footnote>
  <w:footnote w:id="32">
    <w:p w14:paraId="215D3672" w14:textId="7E30512D" w:rsidR="00E67017" w:rsidRPr="00E67017" w:rsidRDefault="00E67017">
      <w:pPr>
        <w:pStyle w:val="FootnoteText"/>
        <w:rPr>
          <w:lang w:val="en-US"/>
        </w:rPr>
      </w:pPr>
      <w:r>
        <w:rPr>
          <w:rStyle w:val="FootnoteReference"/>
        </w:rPr>
        <w:footnoteRef/>
      </w:r>
      <w:r>
        <w:t xml:space="preserve"> </w:t>
      </w:r>
      <w:r w:rsidR="003536BA">
        <w:t>TIO</w:t>
      </w:r>
      <w:r w:rsidR="00453B8B">
        <w:t xml:space="preserve">, </w:t>
      </w:r>
      <w:r w:rsidR="000824EE" w:rsidRPr="0075391A">
        <w:rPr>
          <w:i/>
          <w:iCs/>
        </w:rPr>
        <w:t>2020 Terms of Reference Modernisation</w:t>
      </w:r>
      <w:r w:rsidR="000824EE">
        <w:t xml:space="preserve">, </w:t>
      </w:r>
      <w:r w:rsidR="000824EE" w:rsidRPr="0075391A">
        <w:t>https://www.tio.com.au/news/2020-terms-reference-modernisation</w:t>
      </w:r>
      <w:r w:rsidR="0024634A">
        <w:t xml:space="preserve"> </w:t>
      </w:r>
    </w:p>
  </w:footnote>
  <w:footnote w:id="33">
    <w:p w14:paraId="15B1A407" w14:textId="23879FB9" w:rsidR="0024634A" w:rsidRPr="0024634A" w:rsidRDefault="0024634A">
      <w:pPr>
        <w:pStyle w:val="FootnoteText"/>
        <w:rPr>
          <w:lang w:val="en-US"/>
        </w:rPr>
      </w:pPr>
      <w:r>
        <w:rPr>
          <w:rStyle w:val="FootnoteReference"/>
        </w:rPr>
        <w:footnoteRef/>
      </w:r>
      <w:r w:rsidR="00F406C6">
        <w:t xml:space="preserve"> Joint consumer submission 2020, </w:t>
      </w:r>
      <w:r w:rsidR="00F406C6" w:rsidRPr="0075391A">
        <w:rPr>
          <w:i/>
          <w:iCs/>
        </w:rPr>
        <w:t>Consultation – Modernising the TIO Terms of Reference</w:t>
      </w:r>
      <w:r w:rsidR="00F406C6">
        <w:t>,</w:t>
      </w:r>
      <w:r>
        <w:t xml:space="preserve"> </w:t>
      </w:r>
      <w:r w:rsidRPr="0075391A">
        <w:t>https://financialrights.org.au/wp-content/uploads/2020/09/Submission-to-the-TIO-Terms-of-Reference-Review.pdf</w:t>
      </w:r>
      <w:r>
        <w:t xml:space="preserve"> </w:t>
      </w:r>
    </w:p>
  </w:footnote>
  <w:footnote w:id="34">
    <w:p w14:paraId="2C70F353" w14:textId="638690D3" w:rsidR="00044AC5" w:rsidRPr="00044AC5" w:rsidRDefault="00044AC5">
      <w:pPr>
        <w:pStyle w:val="FootnoteText"/>
        <w:rPr>
          <w:lang w:val="en-US"/>
        </w:rPr>
      </w:pPr>
      <w:r>
        <w:rPr>
          <w:rStyle w:val="FootnoteReference"/>
        </w:rPr>
        <w:footnoteRef/>
      </w:r>
      <w:r>
        <w:t xml:space="preserve"> </w:t>
      </w:r>
      <w:r w:rsidR="0010712C">
        <w:t xml:space="preserve">TIO Terms of Reference, </w:t>
      </w:r>
      <w:r w:rsidRPr="00044AC5">
        <w:t>https://www.tio.com.au/sites/default/files/2021-08/TIO%202021%20Modernised%20Terms%20of%20Reference%20FINAL.pdf</w:t>
      </w:r>
    </w:p>
  </w:footnote>
  <w:footnote w:id="35">
    <w:p w14:paraId="11B902B4" w14:textId="2AC6AA13" w:rsidR="00CD65C7" w:rsidRPr="00CD65C7" w:rsidRDefault="00CD65C7">
      <w:pPr>
        <w:pStyle w:val="FootnoteText"/>
        <w:rPr>
          <w:lang w:val="en-US"/>
        </w:rPr>
      </w:pPr>
      <w:r>
        <w:rPr>
          <w:rStyle w:val="FootnoteReference"/>
        </w:rPr>
        <w:footnoteRef/>
      </w:r>
      <w:r>
        <w:t xml:space="preserve"> </w:t>
      </w:r>
      <w:r w:rsidR="000A141D">
        <w:t xml:space="preserve">AFCA, </w:t>
      </w:r>
      <w:r w:rsidR="000A141D" w:rsidRPr="0075391A">
        <w:rPr>
          <w:i/>
          <w:iCs/>
        </w:rPr>
        <w:t>Complaint Resolution Scheme Rules</w:t>
      </w:r>
      <w:r w:rsidR="000A141D">
        <w:t>,</w:t>
      </w:r>
      <w:r w:rsidR="00C8348A">
        <w:t xml:space="preserve"> </w:t>
      </w:r>
      <w:r w:rsidR="000A141D" w:rsidRPr="0075391A">
        <w:t>https://www.afca.org.au/media/1111/download#:~:text=complaint-,A.,subject%20matter%20of%20the%20complaint</w:t>
      </w:r>
      <w:r w:rsidRPr="00CD65C7">
        <w:t>.</w:t>
      </w:r>
      <w:r>
        <w:t xml:space="preserve"> </w:t>
      </w:r>
    </w:p>
  </w:footnote>
  <w:footnote w:id="36">
    <w:p w14:paraId="1B2D3F50" w14:textId="00ECB946" w:rsidR="006E54F2" w:rsidRPr="006E54F2" w:rsidRDefault="006E54F2">
      <w:pPr>
        <w:pStyle w:val="FootnoteText"/>
        <w:rPr>
          <w:lang w:val="en-US"/>
        </w:rPr>
      </w:pPr>
      <w:r>
        <w:rPr>
          <w:rStyle w:val="FootnoteReference"/>
        </w:rPr>
        <w:footnoteRef/>
      </w:r>
      <w:r>
        <w:t xml:space="preserve"> </w:t>
      </w:r>
      <w:r w:rsidR="009E1377">
        <w:t xml:space="preserve">TIO Terms of Reference, </w:t>
      </w:r>
      <w:r w:rsidR="009E1377" w:rsidRPr="0075391A">
        <w:t>https://www.tio.com.au/sites/default/files/2021-08/TIO%202021%20Modernised%20Terms%20of%20Reference%20FINAL.pdf</w:t>
      </w:r>
      <w:r w:rsidR="00F307A8">
        <w:t xml:space="preserve"> </w:t>
      </w:r>
    </w:p>
  </w:footnote>
  <w:footnote w:id="37">
    <w:p w14:paraId="43C233E1" w14:textId="35286859" w:rsidR="006D6BFE" w:rsidRPr="006D6BFE" w:rsidRDefault="006D6BFE">
      <w:pPr>
        <w:pStyle w:val="FootnoteText"/>
        <w:rPr>
          <w:lang w:val="en-US"/>
        </w:rPr>
      </w:pPr>
      <w:r>
        <w:rPr>
          <w:rStyle w:val="FootnoteReference"/>
        </w:rPr>
        <w:footnoteRef/>
      </w:r>
      <w:r w:rsidR="006C531D">
        <w:t xml:space="preserve"> AFCA, </w:t>
      </w:r>
      <w:r w:rsidR="006C531D" w:rsidRPr="0075391A">
        <w:rPr>
          <w:i/>
          <w:iCs/>
        </w:rPr>
        <w:t>The AFCA approach to non-financial loss claims</w:t>
      </w:r>
      <w:r w:rsidR="006C531D">
        <w:t xml:space="preserve">, </w:t>
      </w:r>
      <w:r w:rsidR="006C531D" w:rsidRPr="0075391A">
        <w:t>https://www.afca.org.au/media/335/download#:~:text=AFCA%20will%20only%20award%20compensation,enjoyment%20or%20peace%20of%20mind.&amp;text=compensate%20non%2Dfinancial%20loss%20in%20superannuation%20complaints</w:t>
      </w:r>
      <w:r w:rsidRPr="006D6BFE">
        <w:t>.</w:t>
      </w:r>
      <w:r w:rsidR="00F307A8">
        <w:t xml:space="preserve"> </w:t>
      </w:r>
    </w:p>
  </w:footnote>
  <w:footnote w:id="38">
    <w:p w14:paraId="573FBF03" w14:textId="03C39E76" w:rsidR="00554D1A" w:rsidRPr="0075391A" w:rsidRDefault="00554D1A" w:rsidP="000C44CC">
      <w:pPr>
        <w:pStyle w:val="FootnoteText"/>
      </w:pPr>
      <w:r>
        <w:rPr>
          <w:rStyle w:val="FootnoteReference"/>
        </w:rPr>
        <w:footnoteRef/>
      </w:r>
      <w:r>
        <w:t xml:space="preserve"> </w:t>
      </w:r>
      <w:r w:rsidR="008C69EA">
        <w:t xml:space="preserve">Treasury, </w:t>
      </w:r>
      <w:r w:rsidR="000C44CC" w:rsidRPr="0075391A">
        <w:rPr>
          <w:i/>
          <w:iCs/>
        </w:rPr>
        <w:t>Benchmarks for Industry-based Customer Dispute Resolution</w:t>
      </w:r>
      <w:r w:rsidR="000C44CC">
        <w:t xml:space="preserve">, </w:t>
      </w:r>
      <w:r w:rsidRPr="00554D1A">
        <w:t>https://treasury.gov.au/sites/default/files/2019-03/benchmarks_ind_cust_dispute_reso.pdf</w:t>
      </w:r>
    </w:p>
  </w:footnote>
  <w:footnote w:id="39">
    <w:p w14:paraId="7E65EDC9" w14:textId="77777777" w:rsidR="0029656E" w:rsidRPr="006D3D01" w:rsidRDefault="0029656E" w:rsidP="0029656E">
      <w:pPr>
        <w:pStyle w:val="FootnoteText"/>
        <w:rPr>
          <w:lang w:val="en-US"/>
        </w:rPr>
      </w:pPr>
      <w:r>
        <w:rPr>
          <w:rStyle w:val="FootnoteReference"/>
        </w:rPr>
        <w:footnoteRef/>
      </w:r>
      <w:r>
        <w:t xml:space="preserve"> </w:t>
      </w:r>
      <w:proofErr w:type="spellStart"/>
      <w:r>
        <w:t>Lucerna</w:t>
      </w:r>
      <w:proofErr w:type="spellEnd"/>
      <w:r>
        <w:t xml:space="preserve"> Partners 2015, </w:t>
      </w:r>
      <w:r w:rsidRPr="0075391A">
        <w:rPr>
          <w:i/>
          <w:iCs/>
        </w:rPr>
        <w:t>Review of Ombudsman Services: A report for Ofgem</w:t>
      </w:r>
      <w:r>
        <w:t xml:space="preserve">, </w:t>
      </w:r>
      <w:r w:rsidRPr="0075391A">
        <w:t>https://www.ofgem.gov.uk/sites/default/files/docs/2015/09/review_of_ombudsman_services_energy_2.pdf</w:t>
      </w:r>
      <w:r>
        <w:t xml:space="preserve"> </w:t>
      </w:r>
    </w:p>
  </w:footnote>
  <w:footnote w:id="40">
    <w:p w14:paraId="4AD18D03" w14:textId="4B6105A4" w:rsidR="00EE4121" w:rsidRPr="00EE4121" w:rsidRDefault="00EE4121">
      <w:pPr>
        <w:pStyle w:val="FootnoteText"/>
        <w:rPr>
          <w:lang w:val="en-US"/>
        </w:rPr>
      </w:pPr>
      <w:r>
        <w:rPr>
          <w:rStyle w:val="FootnoteReference"/>
        </w:rPr>
        <w:footnoteRef/>
      </w:r>
      <w:r>
        <w:t xml:space="preserve"> </w:t>
      </w:r>
      <w:r w:rsidR="00F13886">
        <w:t xml:space="preserve">Cartwright, C and McAuliffe, C 2020, </w:t>
      </w:r>
      <w:r w:rsidR="00F13886" w:rsidRPr="0075391A">
        <w:rPr>
          <w:i/>
          <w:iCs/>
        </w:rPr>
        <w:t>Telecommunications Debt in Rural and Remote Indigenous Central Australian Communities</w:t>
      </w:r>
      <w:r w:rsidR="00F13886">
        <w:t>,</w:t>
      </w:r>
      <w:r>
        <w:rPr>
          <w:rStyle w:val="normaltextrun"/>
          <w:rFonts w:ascii="Calibri" w:hAnsi="Calibri" w:cs="Calibri"/>
          <w:color w:val="000000"/>
          <w:shd w:val="clear" w:color="auto" w:fill="FFFFFF"/>
        </w:rPr>
        <w:t> </w:t>
      </w:r>
      <w:r w:rsidRPr="0075391A">
        <w:rPr>
          <w:rFonts w:ascii="Calibri" w:hAnsi="Calibri" w:cs="Calibri"/>
          <w:shd w:val="clear" w:color="auto" w:fill="FFFFFF"/>
        </w:rPr>
        <w:t>https://accan.org.au/MoneyMob%20Telco%20Report.pdf</w:t>
      </w:r>
      <w:r>
        <w:rPr>
          <w:rStyle w:val="normaltextrun"/>
          <w:rFonts w:ascii="Calibri" w:hAnsi="Calibri" w:cs="Calibri"/>
          <w:color w:val="000000"/>
          <w:shd w:val="clear" w:color="auto" w:fill="FFFFFF"/>
        </w:rPr>
        <w:t xml:space="preserve"> </w:t>
      </w:r>
    </w:p>
  </w:footnote>
  <w:footnote w:id="41">
    <w:p w14:paraId="17F60287" w14:textId="628C68DB" w:rsidR="005B422A" w:rsidRPr="005B422A" w:rsidRDefault="005B422A">
      <w:pPr>
        <w:pStyle w:val="FootnoteText"/>
        <w:rPr>
          <w:lang w:val="en-US"/>
        </w:rPr>
      </w:pPr>
      <w:r>
        <w:rPr>
          <w:rStyle w:val="FootnoteReference"/>
        </w:rPr>
        <w:footnoteRef/>
      </w:r>
      <w:r>
        <w:t xml:space="preserve"> </w:t>
      </w:r>
      <w:r w:rsidR="00AC4564">
        <w:t xml:space="preserve">Treasury, </w:t>
      </w:r>
      <w:r w:rsidR="00F5024F" w:rsidRPr="0075391A">
        <w:rPr>
          <w:i/>
          <w:iCs/>
        </w:rPr>
        <w:t>Key Practices for Industry</w:t>
      </w:r>
      <w:r w:rsidR="00F5024F" w:rsidRPr="0075391A">
        <w:rPr>
          <w:i/>
          <w:iCs/>
        </w:rPr>
        <w:noBreakHyphen/>
        <w:t>based Customer Dispute Resolution</w:t>
      </w:r>
      <w:r w:rsidR="00F5024F">
        <w:t xml:space="preserve">, </w:t>
      </w:r>
      <w:r w:rsidRPr="005B422A">
        <w:t>https://treasury.gov.au/sites/default/files/2019-03/key_pract_ind_cust_dispute_resol.pdf</w:t>
      </w:r>
    </w:p>
  </w:footnote>
  <w:footnote w:id="42">
    <w:p w14:paraId="0F22C8F6" w14:textId="34CC6B3D" w:rsidR="00F307A8" w:rsidRPr="00F307A8" w:rsidRDefault="00F307A8">
      <w:pPr>
        <w:pStyle w:val="FootnoteText"/>
        <w:rPr>
          <w:lang w:val="en-US"/>
        </w:rPr>
      </w:pPr>
      <w:r>
        <w:rPr>
          <w:rStyle w:val="FootnoteReference"/>
        </w:rPr>
        <w:footnoteRef/>
      </w:r>
      <w:r>
        <w:t xml:space="preserve"> </w:t>
      </w:r>
      <w:r w:rsidR="000D2D38">
        <w:t xml:space="preserve">ACCC 2022, </w:t>
      </w:r>
      <w:r w:rsidR="000D2D38" w:rsidRPr="0075391A">
        <w:rPr>
          <w:i/>
          <w:iCs/>
        </w:rPr>
        <w:t xml:space="preserve">Digital </w:t>
      </w:r>
      <w:r w:rsidR="00FC46BF" w:rsidRPr="0075391A">
        <w:rPr>
          <w:i/>
          <w:iCs/>
        </w:rPr>
        <w:t>P</w:t>
      </w:r>
      <w:r w:rsidR="000D2D38" w:rsidRPr="0075391A">
        <w:rPr>
          <w:i/>
          <w:iCs/>
        </w:rPr>
        <w:t xml:space="preserve">latform </w:t>
      </w:r>
      <w:r w:rsidR="00FC46BF" w:rsidRPr="0075391A">
        <w:rPr>
          <w:i/>
          <w:iCs/>
        </w:rPr>
        <w:t>S</w:t>
      </w:r>
      <w:r w:rsidR="000D2D38" w:rsidRPr="0075391A">
        <w:rPr>
          <w:i/>
          <w:iCs/>
        </w:rPr>
        <w:t xml:space="preserve">ervices </w:t>
      </w:r>
      <w:r w:rsidR="00FC46BF" w:rsidRPr="0075391A">
        <w:rPr>
          <w:i/>
          <w:iCs/>
        </w:rPr>
        <w:t>I</w:t>
      </w:r>
      <w:r w:rsidR="000D2D38" w:rsidRPr="0075391A">
        <w:rPr>
          <w:i/>
          <w:iCs/>
        </w:rPr>
        <w:t>nquiry</w:t>
      </w:r>
      <w:r w:rsidR="00FC46BF" w:rsidRPr="0075391A">
        <w:rPr>
          <w:i/>
          <w:iCs/>
        </w:rPr>
        <w:t xml:space="preserve"> Interim Report No. 4 – General online retail marketplaces</w:t>
      </w:r>
      <w:r w:rsidR="00FC46BF">
        <w:t>,</w:t>
      </w:r>
      <w:r w:rsidR="00F95376">
        <w:t xml:space="preserve"> </w:t>
      </w:r>
      <w:r>
        <w:rPr>
          <w:rStyle w:val="normaltextrun"/>
          <w:rFonts w:ascii="Calibri" w:hAnsi="Calibri" w:cs="Calibri"/>
          <w:color w:val="000000"/>
          <w:bdr w:val="none" w:sz="0" w:space="0" w:color="auto" w:frame="1"/>
        </w:rPr>
        <w:t>https://www.accc.gov.au/system/files/DPB%20-%20DPSI%20-%20March%202022%20-%20Full%20interim%20report%20-%2031%20March%202022.pdf</w:t>
      </w:r>
    </w:p>
  </w:footnote>
  <w:footnote w:id="43">
    <w:p w14:paraId="3DAB7789" w14:textId="5C86A07B" w:rsidR="00F307A8" w:rsidRPr="00F307A8" w:rsidRDefault="00F307A8">
      <w:pPr>
        <w:pStyle w:val="FootnoteText"/>
        <w:rPr>
          <w:lang w:val="en-US"/>
        </w:rPr>
      </w:pPr>
      <w:r>
        <w:rPr>
          <w:rStyle w:val="FootnoteReference"/>
        </w:rPr>
        <w:footnoteRef/>
      </w:r>
      <w:r>
        <w:t xml:space="preserve"> </w:t>
      </w:r>
      <w:r w:rsidR="00D97935">
        <w:t>ACCC 2019,</w:t>
      </w:r>
      <w:r w:rsidR="00A91E11">
        <w:t xml:space="preserve"> </w:t>
      </w:r>
      <w:r w:rsidR="00A91E11" w:rsidRPr="0075391A">
        <w:rPr>
          <w:i/>
          <w:iCs/>
        </w:rPr>
        <w:t>Digital Platforms Inquiry Final Report</w:t>
      </w:r>
      <w:r w:rsidR="00A91E11">
        <w:t xml:space="preserve">, </w:t>
      </w:r>
      <w:r w:rsidR="00A91E11" w:rsidRPr="0075391A">
        <w:rPr>
          <w:rFonts w:ascii="Calibri" w:hAnsi="Calibri" w:cs="Calibri"/>
          <w:bdr w:val="none" w:sz="0" w:space="0" w:color="auto" w:frame="1"/>
        </w:rPr>
        <w:t>https://www.accc.gov.au/system/files/Digital%20Platforms%20Inquiry%20-%20Final%20report%20-%20part%201.pdf</w:t>
      </w:r>
      <w:r>
        <w:rPr>
          <w:rStyle w:val="normaltextrun"/>
          <w:rFonts w:ascii="Calibri" w:hAnsi="Calibri" w:cs="Calibri"/>
          <w:color w:val="000000"/>
          <w:bdr w:val="none" w:sz="0" w:space="0" w:color="auto" w:frame="1"/>
        </w:rPr>
        <w:t xml:space="preserve"> </w:t>
      </w:r>
    </w:p>
  </w:footnote>
  <w:footnote w:id="44">
    <w:p w14:paraId="6DB91CAA" w14:textId="06C07A80" w:rsidR="005441D8" w:rsidRPr="005441D8" w:rsidRDefault="005441D8">
      <w:pPr>
        <w:pStyle w:val="FootnoteText"/>
        <w:rPr>
          <w:lang w:val="en-US"/>
        </w:rPr>
      </w:pPr>
      <w:r>
        <w:rPr>
          <w:rStyle w:val="FootnoteReference"/>
        </w:rPr>
        <w:footnoteRef/>
      </w:r>
      <w:r>
        <w:t xml:space="preserve"> </w:t>
      </w:r>
      <w:r w:rsidR="00160069">
        <w:t xml:space="preserve">ACCAN 2019, </w:t>
      </w:r>
      <w:r w:rsidR="00E6164B" w:rsidRPr="00160069">
        <w:rPr>
          <w:i/>
          <w:iCs/>
        </w:rPr>
        <w:t>Response to TIO Options Paper: Possible Amendments to Constitution</w:t>
      </w:r>
      <w:r w:rsidR="00160069">
        <w:t>,</w:t>
      </w:r>
      <w:r w:rsidR="00E6164B">
        <w:t xml:space="preserve"> </w:t>
      </w:r>
      <w:r w:rsidRPr="00160069">
        <w:t>https://accan.org.au/files/Submissions/TIO%20Constitution%20Changes_Submission.pdf</w:t>
      </w:r>
      <w:r>
        <w:t xml:space="preserve"> </w:t>
      </w:r>
    </w:p>
  </w:footnote>
  <w:footnote w:id="45">
    <w:p w14:paraId="62D7D955" w14:textId="569BF269" w:rsidR="00B161D7" w:rsidRPr="00456B35" w:rsidRDefault="00B161D7">
      <w:pPr>
        <w:pStyle w:val="FootnoteText"/>
        <w:rPr>
          <w:lang w:val="en-US"/>
        </w:rPr>
      </w:pPr>
      <w:r>
        <w:rPr>
          <w:rStyle w:val="FootnoteReference"/>
        </w:rPr>
        <w:footnoteRef/>
      </w:r>
      <w:r>
        <w:t xml:space="preserve"> </w:t>
      </w:r>
      <w:r w:rsidRPr="00B161D7">
        <w:t>Treasury Laws Amendment (Putting Consumers First—Establishment of the Australian Financial Complaints Authority) Act 2018 (</w:t>
      </w:r>
      <w:proofErr w:type="spellStart"/>
      <w:r w:rsidRPr="00B161D7">
        <w:t>Cth</w:t>
      </w:r>
      <w:proofErr w:type="spellEnd"/>
      <w:r w:rsidRPr="00B161D7">
        <w:t>), section 1051(3)</w:t>
      </w:r>
    </w:p>
  </w:footnote>
  <w:footnote w:id="46">
    <w:p w14:paraId="689D73D8" w14:textId="4E6A818E" w:rsidR="0031453A" w:rsidRPr="0031453A" w:rsidRDefault="0031453A">
      <w:pPr>
        <w:pStyle w:val="FootnoteText"/>
        <w:rPr>
          <w:lang w:val="en-US"/>
        </w:rPr>
      </w:pPr>
      <w:r>
        <w:rPr>
          <w:rStyle w:val="FootnoteReference"/>
        </w:rPr>
        <w:footnoteRef/>
      </w:r>
      <w:r w:rsidR="00160069">
        <w:t xml:space="preserve"> Consumers’ Federation of Australia 2018, </w:t>
      </w:r>
      <w:r w:rsidR="00160069" w:rsidRPr="00160069">
        <w:rPr>
          <w:i/>
          <w:iCs/>
        </w:rPr>
        <w:t>Good Practice Principles</w:t>
      </w:r>
      <w:r w:rsidR="00160069">
        <w:t>,</w:t>
      </w:r>
      <w:r>
        <w:t xml:space="preserve"> </w:t>
      </w:r>
      <w:r w:rsidRPr="00160069">
        <w:t>http://consumersfederation.org.au/wp-content/uploads/2018/05/Guidelines-Codes-EDR-Schemes.pdf</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078F7" w14:textId="05003D89" w:rsidR="00A75493" w:rsidRDefault="00AD3EFC" w:rsidP="00E42CDF">
    <w:pPr>
      <w:tabs>
        <w:tab w:val="left" w:pos="1843"/>
      </w:tabs>
      <w:ind w:hanging="851"/>
    </w:pPr>
    <w:r>
      <w:rPr>
        <w:noProof/>
      </w:rPr>
      <w:drawing>
        <wp:anchor distT="0" distB="0" distL="114300" distR="114300" simplePos="0" relativeHeight="251656704" behindDoc="0" locked="0" layoutInCell="1" allowOverlap="1" wp14:anchorId="20DE87FA" wp14:editId="141342F0">
          <wp:simplePos x="0" y="0"/>
          <wp:positionH relativeFrom="column">
            <wp:posOffset>-4445</wp:posOffset>
          </wp:positionH>
          <wp:positionV relativeFrom="page">
            <wp:posOffset>224790</wp:posOffset>
          </wp:positionV>
          <wp:extent cx="777240" cy="335915"/>
          <wp:effectExtent l="0" t="0" r="3810" b="6985"/>
          <wp:wrapSquare wrapText="bothSides"/>
          <wp:docPr id="12" name="Picture 12" descr="ACCAN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7" descr="ACCAN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 cy="335915"/>
                  </a:xfrm>
                  <a:prstGeom prst="rect">
                    <a:avLst/>
                  </a:prstGeom>
                  <a:noFill/>
                </pic:spPr>
              </pic:pic>
            </a:graphicData>
          </a:graphic>
          <wp14:sizeRelH relativeFrom="margin">
            <wp14:pctWidth>0</wp14:pctWidth>
          </wp14:sizeRelH>
          <wp14:sizeRelV relativeFrom="margin">
            <wp14:pctHeight>0</wp14:pctHeight>
          </wp14:sizeRelV>
        </wp:anchor>
      </w:drawing>
    </w:r>
    <w:r>
      <w:rPr>
        <w:rFonts w:ascii="Gotham" w:hAnsi="Gotham"/>
        <w:b/>
        <w:bCs/>
        <w:i/>
        <w:iCs/>
      </w:rPr>
      <w:t xml:space="preserve">   </w:t>
    </w:r>
    <w:r>
      <w:rPr>
        <w:rFonts w:ascii="Gotham" w:hAnsi="Gotham"/>
        <w:b/>
        <w:bCs/>
        <w:i/>
        <w:iCs/>
        <w:color w:val="43C7F4" w:themeColor="accent1"/>
      </w:rPr>
      <w:t xml:space="preserve">Your </w:t>
    </w:r>
    <w:r w:rsidRPr="00962372">
      <w:rPr>
        <w:rStyle w:val="Letterhead2Char"/>
      </w:rPr>
      <w:t>consumer</w:t>
    </w:r>
    <w:r>
      <w:rPr>
        <w:rFonts w:ascii="Gotham" w:hAnsi="Gotham"/>
        <w:b/>
        <w:bCs/>
        <w:i/>
        <w:iCs/>
        <w:color w:val="43C7F4" w:themeColor="accent1"/>
      </w:rPr>
      <w:t xml:space="preserve"> voice on phones and internet</w:t>
    </w:r>
    <w:r>
      <w:rPr>
        <w:noProof/>
      </w:rPr>
      <mc:AlternateContent>
        <mc:Choice Requires="wps">
          <w:drawing>
            <wp:anchor distT="0" distB="0" distL="114300" distR="114300" simplePos="0" relativeHeight="251657728" behindDoc="1" locked="0" layoutInCell="1" allowOverlap="1" wp14:anchorId="41FB9EBE" wp14:editId="6D05C9A5">
              <wp:simplePos x="0" y="0"/>
              <wp:positionH relativeFrom="column">
                <wp:posOffset>-574675</wp:posOffset>
              </wp:positionH>
              <wp:positionV relativeFrom="page">
                <wp:posOffset>694055</wp:posOffset>
              </wp:positionV>
              <wp:extent cx="6894195" cy="46990"/>
              <wp:effectExtent l="0" t="0" r="1905" b="0"/>
              <wp:wrapNone/>
              <wp:docPr id="1" name="Rectangle 1"/>
              <wp:cNvGraphicFramePr/>
              <a:graphic xmlns:a="http://schemas.openxmlformats.org/drawingml/2006/main">
                <a:graphicData uri="http://schemas.microsoft.com/office/word/2010/wordprocessingShape">
                  <wps:wsp>
                    <wps:cNvSpPr/>
                    <wps:spPr>
                      <a:xfrm>
                        <a:off x="0" y="0"/>
                        <a:ext cx="6893560" cy="46355"/>
                      </a:xfrm>
                      <a:prstGeom prst="rect">
                        <a:avLst/>
                      </a:prstGeom>
                      <a:solidFill>
                        <a:srgbClr val="43C7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4232FB57" id="Rectangle 1" o:spid="_x0000_s1026" style="position:absolute;margin-left:-45.25pt;margin-top:54.65pt;width:542.85pt;height:3.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" fillcolor="#43c7f4" stroked="f" strokeweight="2pt">
              <w10:wrap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CC6C58"/>
    <w:multiLevelType w:val="hybridMultilevel"/>
    <w:tmpl w:val="5CA829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076E63"/>
    <w:multiLevelType w:val="hybridMultilevel"/>
    <w:tmpl w:val="58AAEA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CF048DE"/>
    <w:multiLevelType w:val="hybridMultilevel"/>
    <w:tmpl w:val="66D2F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52956BD"/>
    <w:multiLevelType w:val="hybridMultilevel"/>
    <w:tmpl w:val="CD245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89F11C6"/>
    <w:multiLevelType w:val="hybridMultilevel"/>
    <w:tmpl w:val="33A83DC6"/>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5" w15:restartNumberingAfterBreak="0">
    <w:nsid w:val="2C4F0862"/>
    <w:multiLevelType w:val="multilevel"/>
    <w:tmpl w:val="6AFEEB4C"/>
    <w:styleLink w:val="Bullets"/>
    <w:lvl w:ilvl="0">
      <w:start w:val="1"/>
      <w:numFmt w:val="bullet"/>
      <w:pStyle w:val="Bulletlist1"/>
      <w:lvlText w:val=""/>
      <w:lvlJc w:val="left"/>
      <w:pPr>
        <w:ind w:left="851" w:hanging="284"/>
      </w:pPr>
      <w:rPr>
        <w:rFonts w:ascii="Symbol" w:hAnsi="Symbol" w:hint="default"/>
      </w:rPr>
    </w:lvl>
    <w:lvl w:ilvl="1">
      <w:start w:val="1"/>
      <w:numFmt w:val="bullet"/>
      <w:pStyle w:val="Bulletlist2"/>
      <w:lvlText w:val=""/>
      <w:lvlJc w:val="left"/>
      <w:pPr>
        <w:ind w:left="1418" w:hanging="284"/>
      </w:pPr>
      <w:rPr>
        <w:rFonts w:ascii="Symbol" w:hAnsi="Symbol" w:hint="default"/>
      </w:rPr>
    </w:lvl>
    <w:lvl w:ilvl="2">
      <w:start w:val="1"/>
      <w:numFmt w:val="bullet"/>
      <w:pStyle w:val="Bulletlist3"/>
      <w:lvlText w:val=""/>
      <w:lvlJc w:val="left"/>
      <w:pPr>
        <w:ind w:left="1985" w:hanging="284"/>
      </w:pPr>
      <w:rPr>
        <w:rFonts w:ascii="Symbol" w:hAnsi="Symbol" w:hint="default"/>
        <w:color w:val="auto"/>
      </w:rPr>
    </w:lvl>
    <w:lvl w:ilvl="3">
      <w:start w:val="1"/>
      <w:numFmt w:val="bullet"/>
      <w:lvlText w:val=""/>
      <w:lvlJc w:val="left"/>
      <w:pPr>
        <w:ind w:left="2552" w:hanging="284"/>
      </w:pPr>
      <w:rPr>
        <w:rFonts w:ascii="Symbol" w:hAnsi="Symbol" w:hint="default"/>
      </w:rPr>
    </w:lvl>
    <w:lvl w:ilvl="4">
      <w:start w:val="1"/>
      <w:numFmt w:val="bullet"/>
      <w:lvlText w:val=""/>
      <w:lvlJc w:val="left"/>
      <w:pPr>
        <w:ind w:left="3119" w:hanging="284"/>
      </w:pPr>
      <w:rPr>
        <w:rFonts w:ascii="Symbol" w:hAnsi="Symbol" w:hint="default"/>
      </w:rPr>
    </w:lvl>
    <w:lvl w:ilvl="5">
      <w:start w:val="1"/>
      <w:numFmt w:val="bullet"/>
      <w:lvlText w:val=""/>
      <w:lvlJc w:val="left"/>
      <w:pPr>
        <w:ind w:left="3686" w:hanging="284"/>
      </w:pPr>
      <w:rPr>
        <w:rFonts w:ascii="Symbol" w:hAnsi="Symbol" w:hint="default"/>
      </w:rPr>
    </w:lvl>
    <w:lvl w:ilvl="6">
      <w:start w:val="1"/>
      <w:numFmt w:val="bullet"/>
      <w:lvlText w:val=""/>
      <w:lvlJc w:val="left"/>
      <w:pPr>
        <w:ind w:left="4253" w:hanging="284"/>
      </w:pPr>
      <w:rPr>
        <w:rFonts w:ascii="Symbol" w:hAnsi="Symbol" w:hint="default"/>
      </w:rPr>
    </w:lvl>
    <w:lvl w:ilvl="7">
      <w:start w:val="1"/>
      <w:numFmt w:val="bullet"/>
      <w:lvlText w:val=""/>
      <w:lvlJc w:val="left"/>
      <w:pPr>
        <w:ind w:left="4820" w:hanging="284"/>
      </w:pPr>
      <w:rPr>
        <w:rFonts w:ascii="Symbol" w:hAnsi="Symbol" w:hint="default"/>
      </w:rPr>
    </w:lvl>
    <w:lvl w:ilvl="8">
      <w:start w:val="1"/>
      <w:numFmt w:val="bullet"/>
      <w:lvlText w:val=""/>
      <w:lvlJc w:val="left"/>
      <w:pPr>
        <w:ind w:left="5387" w:hanging="284"/>
      </w:pPr>
      <w:rPr>
        <w:rFonts w:ascii="Symbol" w:hAnsi="Symbol" w:hint="default"/>
      </w:rPr>
    </w:lvl>
  </w:abstractNum>
  <w:abstractNum w:abstractNumId="6" w15:restartNumberingAfterBreak="0">
    <w:nsid w:val="2E3979FB"/>
    <w:multiLevelType w:val="hybridMultilevel"/>
    <w:tmpl w:val="E2FEC1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37C5FB2"/>
    <w:multiLevelType w:val="multilevel"/>
    <w:tmpl w:val="6AFEEB4C"/>
    <w:numStyleLink w:val="Bullets"/>
  </w:abstractNum>
  <w:abstractNum w:abstractNumId="8" w15:restartNumberingAfterBreak="0">
    <w:nsid w:val="35F41370"/>
    <w:multiLevelType w:val="multilevel"/>
    <w:tmpl w:val="6026F808"/>
    <w:styleLink w:val="Recommendations"/>
    <w:lvl w:ilvl="0">
      <w:start w:val="1"/>
      <w:numFmt w:val="decimal"/>
      <w:pStyle w:val="Recommendation"/>
      <w:lvlText w:val="Recommendation %1:"/>
      <w:lvlJc w:val="left"/>
      <w:pPr>
        <w:ind w:left="851" w:firstLine="0"/>
      </w:pPr>
      <w:rPr>
        <w:rFonts w:hint="default"/>
      </w:rPr>
    </w:lvl>
    <w:lvl w:ilvl="1">
      <w:start w:val="1"/>
      <w:numFmt w:val="none"/>
      <w:lvlText w:val=""/>
      <w:lvlJc w:val="left"/>
      <w:pPr>
        <w:ind w:left="851" w:hanging="851"/>
      </w:pPr>
      <w:rPr>
        <w:rFonts w:hint="default"/>
      </w:rPr>
    </w:lvl>
    <w:lvl w:ilvl="2">
      <w:start w:val="1"/>
      <w:numFmt w:val="none"/>
      <w:lvlText w:val=""/>
      <w:lvlJc w:val="left"/>
      <w:pPr>
        <w:ind w:left="851" w:hanging="851"/>
      </w:pPr>
      <w:rPr>
        <w:rFonts w:hint="default"/>
      </w:rPr>
    </w:lvl>
    <w:lvl w:ilvl="3">
      <w:start w:val="1"/>
      <w:numFmt w:val="none"/>
      <w:lvlText w:val=""/>
      <w:lvlJc w:val="left"/>
      <w:pPr>
        <w:ind w:left="851" w:hanging="851"/>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abstractNum w:abstractNumId="9" w15:restartNumberingAfterBreak="0">
    <w:nsid w:val="3A784907"/>
    <w:multiLevelType w:val="hybridMultilevel"/>
    <w:tmpl w:val="BDFCECFE"/>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E857923"/>
    <w:multiLevelType w:val="multilevel"/>
    <w:tmpl w:val="989E8E90"/>
    <w:styleLink w:val="Appendices"/>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1" w15:restartNumberingAfterBreak="0">
    <w:nsid w:val="5A467144"/>
    <w:multiLevelType w:val="multilevel"/>
    <w:tmpl w:val="3FD07300"/>
    <w:lvl w:ilvl="0">
      <w:start w:val="1"/>
      <w:numFmt w:val="upperLetter"/>
      <w:lvlText w:val="Appendix %1."/>
      <w:lvlJc w:val="left"/>
      <w:pPr>
        <w:ind w:left="0" w:firstLine="0"/>
      </w:pPr>
      <w:rPr>
        <w:rFonts w:hint="default"/>
      </w:rPr>
    </w:lvl>
    <w:lvl w:ilvl="1">
      <w:start w:val="1"/>
      <w:numFmt w:val="lowerRoman"/>
      <w:lvlText w:val="%1.%2"/>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2" w15:restartNumberingAfterBreak="0">
    <w:nsid w:val="5E1D4DF7"/>
    <w:multiLevelType w:val="hybridMultilevel"/>
    <w:tmpl w:val="92E8501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688F7F0B"/>
    <w:multiLevelType w:val="hybridMultilevel"/>
    <w:tmpl w:val="60783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CAA0FE4"/>
    <w:multiLevelType w:val="multilevel"/>
    <w:tmpl w:val="E2F45A98"/>
    <w:styleLink w:val="Blockquotebullets"/>
    <w:lvl w:ilvl="0">
      <w:start w:val="1"/>
      <w:numFmt w:val="bullet"/>
      <w:lvlText w:val=""/>
      <w:lvlJc w:val="left"/>
      <w:pPr>
        <w:ind w:left="1701" w:hanging="283"/>
      </w:pPr>
      <w:rPr>
        <w:rFonts w:ascii="Symbol" w:hAnsi="Symbol"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77FF45ED"/>
    <w:multiLevelType w:val="multilevel"/>
    <w:tmpl w:val="A7920A6E"/>
    <w:styleLink w:val="Heading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none"/>
      <w:suff w:val="nothing"/>
      <w:lvlText w:val=""/>
      <w:lvlJc w:val="left"/>
      <w:pPr>
        <w:ind w:left="0" w:firstLine="0"/>
      </w:pPr>
      <w:rPr>
        <w:rFonts w:hint="default"/>
      </w:rPr>
    </w:lvl>
    <w:lvl w:ilvl="4">
      <w:start w:val="1"/>
      <w:numFmt w:val="none"/>
      <w:lvlText w:val=""/>
      <w:lvlJc w:val="left"/>
      <w:pPr>
        <w:ind w:left="851" w:hanging="851"/>
      </w:pPr>
      <w:rPr>
        <w:rFonts w:hint="default"/>
      </w:rPr>
    </w:lvl>
    <w:lvl w:ilvl="5">
      <w:start w:val="1"/>
      <w:numFmt w:val="none"/>
      <w:lvlText w:val=""/>
      <w:lvlJc w:val="left"/>
      <w:pPr>
        <w:ind w:left="851" w:hanging="851"/>
      </w:pPr>
      <w:rPr>
        <w:rFonts w:hint="default"/>
      </w:rPr>
    </w:lvl>
    <w:lvl w:ilvl="6">
      <w:start w:val="1"/>
      <w:numFmt w:val="none"/>
      <w:lvlText w:val=""/>
      <w:lvlJc w:val="left"/>
      <w:pPr>
        <w:ind w:left="851" w:hanging="851"/>
      </w:pPr>
      <w:rPr>
        <w:rFonts w:hint="default"/>
      </w:rPr>
    </w:lvl>
    <w:lvl w:ilvl="7">
      <w:start w:val="1"/>
      <w:numFmt w:val="none"/>
      <w:lvlText w:val=""/>
      <w:lvlJc w:val="left"/>
      <w:pPr>
        <w:ind w:left="851" w:hanging="851"/>
      </w:pPr>
      <w:rPr>
        <w:rFonts w:hint="default"/>
      </w:rPr>
    </w:lvl>
    <w:lvl w:ilvl="8">
      <w:start w:val="1"/>
      <w:numFmt w:val="none"/>
      <w:lvlText w:val=""/>
      <w:lvlJc w:val="left"/>
      <w:pPr>
        <w:ind w:left="851" w:hanging="851"/>
      </w:pPr>
      <w:rPr>
        <w:rFonts w:hint="default"/>
      </w:rPr>
    </w:lvl>
  </w:abstractNum>
  <w:num w:numId="1" w16cid:durableId="1572037082">
    <w:abstractNumId w:val="15"/>
  </w:num>
  <w:num w:numId="2" w16cid:durableId="432474946">
    <w:abstractNumId w:val="5"/>
  </w:num>
  <w:num w:numId="3" w16cid:durableId="1224683495">
    <w:abstractNumId w:val="7"/>
  </w:num>
  <w:num w:numId="4" w16cid:durableId="1132165798">
    <w:abstractNumId w:val="10"/>
  </w:num>
  <w:num w:numId="5" w16cid:durableId="1171020225">
    <w:abstractNumId w:val="11"/>
  </w:num>
  <w:num w:numId="6" w16cid:durableId="671227">
    <w:abstractNumId w:val="14"/>
  </w:num>
  <w:num w:numId="7" w16cid:durableId="367413144">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8" w16cid:durableId="1867600657">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9" w16cid:durableId="313729236">
    <w:abstractNumId w:val="13"/>
  </w:num>
  <w:num w:numId="10" w16cid:durableId="1509759729">
    <w:abstractNumId w:val="0"/>
  </w:num>
  <w:num w:numId="11" w16cid:durableId="1072309346">
    <w:abstractNumId w:val="9"/>
  </w:num>
  <w:num w:numId="12" w16cid:durableId="810364806">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3" w16cid:durableId="1844663340">
    <w:abstractNumId w:val="8"/>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14" w16cid:durableId="2090424979">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5" w16cid:durableId="2141916877">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6" w16cid:durableId="2119565755">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7" w16cid:durableId="1090809510">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8" w16cid:durableId="1912232019">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19" w16cid:durableId="774058698">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0" w16cid:durableId="1158770200">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1" w16cid:durableId="381249190">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2" w16cid:durableId="1140656652">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3" w16cid:durableId="1002853049">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4" w16cid:durableId="1469009992">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5" w16cid:durableId="1148788633">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6" w16cid:durableId="2112387065">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7" w16cid:durableId="492186319">
    <w:abstractNumId w:val="8"/>
    <w:lvlOverride w:ilvl="0">
      <w:lvl w:ilvl="0">
        <w:start w:val="1"/>
        <w:numFmt w:val="decimal"/>
        <w:pStyle w:val="Recommendation"/>
        <w:lvlText w:val="Recommendation %1:"/>
        <w:lvlJc w:val="left"/>
        <w:pPr>
          <w:ind w:left="851" w:firstLine="0"/>
        </w:pPr>
        <w:rPr>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8" w16cid:durableId="991526398">
    <w:abstractNumId w:val="8"/>
    <w:lvlOverride w:ilvl="0">
      <w:lvl w:ilvl="0">
        <w:start w:val="1"/>
        <w:numFmt w:val="decimal"/>
        <w:pStyle w:val="Recommendation"/>
        <w:lvlText w:val="Recommendation %1:"/>
        <w:lvlJc w:val="left"/>
        <w:pPr>
          <w:ind w:left="851" w:firstLine="0"/>
        </w:pPr>
        <w:rPr>
          <w:rFonts w:hint="default"/>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29" w16cid:durableId="2010330835">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0" w16cid:durableId="589044174">
    <w:abstractNumId w:val="8"/>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31" w16cid:durableId="1742212573">
    <w:abstractNumId w:val="1"/>
  </w:num>
  <w:num w:numId="32" w16cid:durableId="600723315">
    <w:abstractNumId w:val="6"/>
  </w:num>
  <w:num w:numId="33" w16cid:durableId="140661422">
    <w:abstractNumId w:val="2"/>
  </w:num>
  <w:num w:numId="34" w16cid:durableId="445278325">
    <w:abstractNumId w:val="3"/>
  </w:num>
  <w:num w:numId="35" w16cid:durableId="494808428">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6" w16cid:durableId="1657218698">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7" w16cid:durableId="1237745052">
    <w:abstractNumId w:val="8"/>
    <w:lvlOverride w:ilvl="0">
      <w:lvl w:ilvl="0">
        <w:start w:val="1"/>
        <w:numFmt w:val="decimal"/>
        <w:pStyle w:val="Recommendation"/>
        <w:lvlText w:val="Recommendation %1:"/>
        <w:lvlJc w:val="left"/>
        <w:pPr>
          <w:ind w:left="851" w:firstLine="0"/>
        </w:pPr>
        <w:rPr>
          <w:rFonts w:hint="default"/>
          <w:b/>
          <w:bCs/>
        </w:rPr>
      </w:lvl>
    </w:lvlOverride>
  </w:num>
  <w:num w:numId="38" w16cid:durableId="1581013983">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39" w16cid:durableId="570965098">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40" w16cid:durableId="2064477982">
    <w:abstractNumId w:val="8"/>
  </w:num>
  <w:num w:numId="41" w16cid:durableId="1779132736">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42" w16cid:durableId="1337731618">
    <w:abstractNumId w:val="12"/>
  </w:num>
  <w:num w:numId="43" w16cid:durableId="1012076112">
    <w:abstractNumId w:val="8"/>
    <w:lvlOverride w:ilvl="0">
      <w:lvl w:ilvl="0">
        <w:start w:val="1"/>
        <w:numFmt w:val="decimal"/>
        <w:pStyle w:val="Recommendation"/>
        <w:lvlText w:val="Recommendation %1:"/>
        <w:lvlJc w:val="left"/>
        <w:pPr>
          <w:ind w:left="851" w:firstLine="0"/>
        </w:pPr>
        <w:rPr>
          <w:rFonts w:hint="default"/>
          <w:b/>
          <w:bCs/>
        </w:rPr>
      </w:lvl>
    </w:lvlOverride>
    <w:lvlOverride w:ilvl="1">
      <w:lvl w:ilvl="1">
        <w:start w:val="1"/>
        <w:numFmt w:val="none"/>
        <w:lvlText w:val=""/>
        <w:lvlJc w:val="left"/>
        <w:pPr>
          <w:ind w:left="851" w:hanging="851"/>
        </w:pPr>
        <w:rPr>
          <w:rFonts w:hint="default"/>
        </w:rPr>
      </w:lvl>
    </w:lvlOverride>
    <w:lvlOverride w:ilvl="2">
      <w:lvl w:ilvl="2">
        <w:start w:val="1"/>
        <w:numFmt w:val="none"/>
        <w:lvlText w:val=""/>
        <w:lvlJc w:val="left"/>
        <w:pPr>
          <w:ind w:left="851" w:hanging="851"/>
        </w:pPr>
        <w:rPr>
          <w:rFonts w:hint="default"/>
        </w:rPr>
      </w:lvl>
    </w:lvlOverride>
    <w:lvlOverride w:ilvl="3">
      <w:lvl w:ilvl="3">
        <w:start w:val="1"/>
        <w:numFmt w:val="none"/>
        <w:lvlText w:val=""/>
        <w:lvlJc w:val="left"/>
        <w:pPr>
          <w:ind w:left="851" w:hanging="851"/>
        </w:pPr>
        <w:rPr>
          <w:rFonts w:hint="default"/>
        </w:rPr>
      </w:lvl>
    </w:lvlOverride>
    <w:lvlOverride w:ilvl="4">
      <w:lvl w:ilvl="4">
        <w:start w:val="1"/>
        <w:numFmt w:val="none"/>
        <w:lvlText w:val=""/>
        <w:lvlJc w:val="left"/>
        <w:pPr>
          <w:ind w:left="851" w:hanging="851"/>
        </w:pPr>
        <w:rPr>
          <w:rFonts w:hint="default"/>
        </w:rPr>
      </w:lvl>
    </w:lvlOverride>
    <w:lvlOverride w:ilvl="5">
      <w:lvl w:ilvl="5">
        <w:start w:val="1"/>
        <w:numFmt w:val="none"/>
        <w:lvlText w:val=""/>
        <w:lvlJc w:val="left"/>
        <w:pPr>
          <w:ind w:left="851" w:hanging="851"/>
        </w:pPr>
        <w:rPr>
          <w:rFonts w:hint="default"/>
        </w:rPr>
      </w:lvl>
    </w:lvlOverride>
    <w:lvlOverride w:ilvl="6">
      <w:lvl w:ilvl="6">
        <w:start w:val="1"/>
        <w:numFmt w:val="none"/>
        <w:lvlText w:val=""/>
        <w:lvlJc w:val="left"/>
        <w:pPr>
          <w:ind w:left="851" w:hanging="851"/>
        </w:pPr>
        <w:rPr>
          <w:rFonts w:hint="default"/>
        </w:rPr>
      </w:lvl>
    </w:lvlOverride>
    <w:lvlOverride w:ilvl="7">
      <w:lvl w:ilvl="7">
        <w:start w:val="1"/>
        <w:numFmt w:val="none"/>
        <w:lvlText w:val=""/>
        <w:lvlJc w:val="left"/>
        <w:pPr>
          <w:ind w:left="851" w:hanging="851"/>
        </w:pPr>
        <w:rPr>
          <w:rFonts w:hint="default"/>
        </w:rPr>
      </w:lvl>
    </w:lvlOverride>
    <w:lvlOverride w:ilvl="8">
      <w:lvl w:ilvl="8">
        <w:start w:val="1"/>
        <w:numFmt w:val="none"/>
        <w:lvlText w:val=""/>
        <w:lvlJc w:val="left"/>
        <w:pPr>
          <w:ind w:left="851" w:hanging="851"/>
        </w:pPr>
        <w:rPr>
          <w:rFonts w:hint="default"/>
        </w:rPr>
      </w:lvl>
    </w:lvlOverride>
  </w:num>
  <w:num w:numId="44" w16cid:durableId="1119379370">
    <w:abstractNumId w:val="8"/>
    <w:lvlOverride w:ilvl="0">
      <w:startOverride w:val="1"/>
      <w:lvl w:ilvl="0">
        <w:start w:val="1"/>
        <w:numFmt w:val="decimal"/>
        <w:pStyle w:val="Recommendation"/>
        <w:lvlText w:val="Recommendation %1:"/>
        <w:lvlJc w:val="left"/>
        <w:pPr>
          <w:ind w:left="851" w:firstLine="0"/>
        </w:pPr>
        <w:rPr>
          <w:rFonts w:hint="default"/>
          <w:b/>
          <w:bCs/>
        </w:rPr>
      </w:lvl>
    </w:lvlOverride>
    <w:lvlOverride w:ilvl="1">
      <w:startOverride w:val="1"/>
      <w:lvl w:ilvl="1">
        <w:start w:val="1"/>
        <w:numFmt w:val="none"/>
        <w:lvlText w:val=""/>
        <w:lvlJc w:val="left"/>
        <w:pPr>
          <w:ind w:left="851" w:hanging="851"/>
        </w:pPr>
        <w:rPr>
          <w:rFonts w:hint="default"/>
        </w:rPr>
      </w:lvl>
    </w:lvlOverride>
    <w:lvlOverride w:ilvl="2">
      <w:startOverride w:val="1"/>
      <w:lvl w:ilvl="2">
        <w:start w:val="1"/>
        <w:numFmt w:val="none"/>
        <w:lvlText w:val=""/>
        <w:lvlJc w:val="left"/>
        <w:pPr>
          <w:ind w:left="851" w:hanging="851"/>
        </w:pPr>
        <w:rPr>
          <w:rFonts w:hint="default"/>
        </w:rPr>
      </w:lvl>
    </w:lvlOverride>
    <w:lvlOverride w:ilvl="3">
      <w:startOverride w:val="1"/>
      <w:lvl w:ilvl="3">
        <w:start w:val="1"/>
        <w:numFmt w:val="none"/>
        <w:lvlText w:val=""/>
        <w:lvlJc w:val="left"/>
        <w:pPr>
          <w:ind w:left="851" w:hanging="851"/>
        </w:pPr>
        <w:rPr>
          <w:rFonts w:hint="default"/>
        </w:rPr>
      </w:lvl>
    </w:lvlOverride>
    <w:lvlOverride w:ilvl="4">
      <w:startOverride w:val="1"/>
      <w:lvl w:ilvl="4">
        <w:start w:val="1"/>
        <w:numFmt w:val="none"/>
        <w:lvlText w:val=""/>
        <w:lvlJc w:val="left"/>
        <w:pPr>
          <w:ind w:left="851" w:hanging="851"/>
        </w:pPr>
        <w:rPr>
          <w:rFonts w:hint="default"/>
        </w:rPr>
      </w:lvl>
    </w:lvlOverride>
    <w:lvlOverride w:ilvl="5">
      <w:startOverride w:val="1"/>
      <w:lvl w:ilvl="5">
        <w:start w:val="1"/>
        <w:numFmt w:val="none"/>
        <w:lvlText w:val=""/>
        <w:lvlJc w:val="left"/>
        <w:pPr>
          <w:ind w:left="851" w:hanging="851"/>
        </w:pPr>
        <w:rPr>
          <w:rFonts w:hint="default"/>
        </w:rPr>
      </w:lvl>
    </w:lvlOverride>
    <w:lvlOverride w:ilvl="6">
      <w:startOverride w:val="1"/>
      <w:lvl w:ilvl="6">
        <w:start w:val="1"/>
        <w:numFmt w:val="none"/>
        <w:lvlText w:val=""/>
        <w:lvlJc w:val="left"/>
        <w:pPr>
          <w:ind w:left="851" w:hanging="851"/>
        </w:pPr>
        <w:rPr>
          <w:rFonts w:hint="default"/>
        </w:rPr>
      </w:lvl>
    </w:lvlOverride>
    <w:lvlOverride w:ilvl="7">
      <w:startOverride w:val="1"/>
      <w:lvl w:ilvl="7">
        <w:start w:val="1"/>
        <w:numFmt w:val="none"/>
        <w:lvlText w:val=""/>
        <w:lvlJc w:val="left"/>
        <w:pPr>
          <w:ind w:left="851" w:hanging="851"/>
        </w:pPr>
        <w:rPr>
          <w:rFonts w:hint="default"/>
        </w:rPr>
      </w:lvl>
    </w:lvlOverride>
    <w:lvlOverride w:ilvl="8">
      <w:startOverride w:val="1"/>
      <w:lvl w:ilvl="8">
        <w:start w:val="1"/>
        <w:numFmt w:val="none"/>
        <w:lvlText w:val=""/>
        <w:lvlJc w:val="left"/>
        <w:pPr>
          <w:ind w:left="851" w:hanging="851"/>
        </w:pPr>
        <w:rPr>
          <w:rFonts w:hint="default"/>
        </w:rPr>
      </w:lvl>
    </w:lvlOverride>
  </w:num>
  <w:num w:numId="45" w16cid:durableId="1895853892">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A00"/>
    <w:rsid w:val="00000331"/>
    <w:rsid w:val="00001246"/>
    <w:rsid w:val="00001455"/>
    <w:rsid w:val="00002592"/>
    <w:rsid w:val="00002A84"/>
    <w:rsid w:val="00003782"/>
    <w:rsid w:val="000039D9"/>
    <w:rsid w:val="00004037"/>
    <w:rsid w:val="00004F01"/>
    <w:rsid w:val="000057A7"/>
    <w:rsid w:val="00006309"/>
    <w:rsid w:val="00006849"/>
    <w:rsid w:val="00006C00"/>
    <w:rsid w:val="000078E3"/>
    <w:rsid w:val="00007EEF"/>
    <w:rsid w:val="000119D7"/>
    <w:rsid w:val="000130E1"/>
    <w:rsid w:val="00014E08"/>
    <w:rsid w:val="00014F05"/>
    <w:rsid w:val="0001751C"/>
    <w:rsid w:val="00017FF5"/>
    <w:rsid w:val="00020140"/>
    <w:rsid w:val="000204D1"/>
    <w:rsid w:val="0002144A"/>
    <w:rsid w:val="0002178D"/>
    <w:rsid w:val="00021EEE"/>
    <w:rsid w:val="00022392"/>
    <w:rsid w:val="00022D35"/>
    <w:rsid w:val="00023907"/>
    <w:rsid w:val="000239FF"/>
    <w:rsid w:val="00023BBD"/>
    <w:rsid w:val="000249E2"/>
    <w:rsid w:val="00024E5A"/>
    <w:rsid w:val="00025032"/>
    <w:rsid w:val="00025FC3"/>
    <w:rsid w:val="000266F6"/>
    <w:rsid w:val="0003080C"/>
    <w:rsid w:val="0003116D"/>
    <w:rsid w:val="00031DE1"/>
    <w:rsid w:val="00032308"/>
    <w:rsid w:val="00032441"/>
    <w:rsid w:val="00033400"/>
    <w:rsid w:val="00033545"/>
    <w:rsid w:val="00034122"/>
    <w:rsid w:val="000341DA"/>
    <w:rsid w:val="000345B4"/>
    <w:rsid w:val="000362DE"/>
    <w:rsid w:val="00037D0A"/>
    <w:rsid w:val="00040073"/>
    <w:rsid w:val="00040252"/>
    <w:rsid w:val="000404F4"/>
    <w:rsid w:val="00044077"/>
    <w:rsid w:val="00044434"/>
    <w:rsid w:val="00044A9F"/>
    <w:rsid w:val="00044AC5"/>
    <w:rsid w:val="000457FF"/>
    <w:rsid w:val="00046165"/>
    <w:rsid w:val="00047413"/>
    <w:rsid w:val="00051877"/>
    <w:rsid w:val="00051902"/>
    <w:rsid w:val="00051A74"/>
    <w:rsid w:val="00051D23"/>
    <w:rsid w:val="00052737"/>
    <w:rsid w:val="00052D56"/>
    <w:rsid w:val="000530BA"/>
    <w:rsid w:val="000547D7"/>
    <w:rsid w:val="00055A4C"/>
    <w:rsid w:val="00056D71"/>
    <w:rsid w:val="000576D9"/>
    <w:rsid w:val="00057A92"/>
    <w:rsid w:val="00060E7B"/>
    <w:rsid w:val="00061D64"/>
    <w:rsid w:val="00062A46"/>
    <w:rsid w:val="00063DD0"/>
    <w:rsid w:val="00066C0D"/>
    <w:rsid w:val="00066C39"/>
    <w:rsid w:val="00066CD4"/>
    <w:rsid w:val="00070092"/>
    <w:rsid w:val="00071E8F"/>
    <w:rsid w:val="00071F03"/>
    <w:rsid w:val="00072BF8"/>
    <w:rsid w:val="00072C5D"/>
    <w:rsid w:val="000744AB"/>
    <w:rsid w:val="00074521"/>
    <w:rsid w:val="00075C32"/>
    <w:rsid w:val="0007636B"/>
    <w:rsid w:val="00077240"/>
    <w:rsid w:val="0008068C"/>
    <w:rsid w:val="000806D0"/>
    <w:rsid w:val="000810CA"/>
    <w:rsid w:val="00081423"/>
    <w:rsid w:val="00081991"/>
    <w:rsid w:val="000824EE"/>
    <w:rsid w:val="00082625"/>
    <w:rsid w:val="000840C2"/>
    <w:rsid w:val="000846C7"/>
    <w:rsid w:val="000846F2"/>
    <w:rsid w:val="0008502E"/>
    <w:rsid w:val="00086136"/>
    <w:rsid w:val="00086160"/>
    <w:rsid w:val="00086378"/>
    <w:rsid w:val="00086E6C"/>
    <w:rsid w:val="00090606"/>
    <w:rsid w:val="000919D5"/>
    <w:rsid w:val="0009245D"/>
    <w:rsid w:val="000932DC"/>
    <w:rsid w:val="00094884"/>
    <w:rsid w:val="0009596E"/>
    <w:rsid w:val="00096E7C"/>
    <w:rsid w:val="000A0DE3"/>
    <w:rsid w:val="000A141D"/>
    <w:rsid w:val="000A2BF2"/>
    <w:rsid w:val="000A3806"/>
    <w:rsid w:val="000A3FBC"/>
    <w:rsid w:val="000A41A1"/>
    <w:rsid w:val="000A4520"/>
    <w:rsid w:val="000A4653"/>
    <w:rsid w:val="000A55EE"/>
    <w:rsid w:val="000B046B"/>
    <w:rsid w:val="000B11EF"/>
    <w:rsid w:val="000B2023"/>
    <w:rsid w:val="000B2833"/>
    <w:rsid w:val="000B2C45"/>
    <w:rsid w:val="000B2CAA"/>
    <w:rsid w:val="000B3E38"/>
    <w:rsid w:val="000B6315"/>
    <w:rsid w:val="000B7682"/>
    <w:rsid w:val="000B7906"/>
    <w:rsid w:val="000C1AB5"/>
    <w:rsid w:val="000C1FE4"/>
    <w:rsid w:val="000C231C"/>
    <w:rsid w:val="000C2FD2"/>
    <w:rsid w:val="000C44CC"/>
    <w:rsid w:val="000C463F"/>
    <w:rsid w:val="000C49EA"/>
    <w:rsid w:val="000C5BAA"/>
    <w:rsid w:val="000C69BC"/>
    <w:rsid w:val="000C7431"/>
    <w:rsid w:val="000D05B2"/>
    <w:rsid w:val="000D0D3C"/>
    <w:rsid w:val="000D17E4"/>
    <w:rsid w:val="000D18A2"/>
    <w:rsid w:val="000D2D38"/>
    <w:rsid w:val="000D2D5A"/>
    <w:rsid w:val="000D3021"/>
    <w:rsid w:val="000D3F85"/>
    <w:rsid w:val="000D4DA0"/>
    <w:rsid w:val="000D5870"/>
    <w:rsid w:val="000D6C9F"/>
    <w:rsid w:val="000D7090"/>
    <w:rsid w:val="000D7B48"/>
    <w:rsid w:val="000D7CAB"/>
    <w:rsid w:val="000E041D"/>
    <w:rsid w:val="000E0A5E"/>
    <w:rsid w:val="000E1593"/>
    <w:rsid w:val="000E2A17"/>
    <w:rsid w:val="000E5CAE"/>
    <w:rsid w:val="000E624D"/>
    <w:rsid w:val="000E6261"/>
    <w:rsid w:val="000E7451"/>
    <w:rsid w:val="000E7C9D"/>
    <w:rsid w:val="000F0361"/>
    <w:rsid w:val="000F0991"/>
    <w:rsid w:val="000F13FA"/>
    <w:rsid w:val="000F21D4"/>
    <w:rsid w:val="000F2DEB"/>
    <w:rsid w:val="000F32C9"/>
    <w:rsid w:val="000F3856"/>
    <w:rsid w:val="000F5644"/>
    <w:rsid w:val="000F6069"/>
    <w:rsid w:val="000F6195"/>
    <w:rsid w:val="000F6BF1"/>
    <w:rsid w:val="000F764C"/>
    <w:rsid w:val="00103999"/>
    <w:rsid w:val="00103DAC"/>
    <w:rsid w:val="00104DAD"/>
    <w:rsid w:val="001055E5"/>
    <w:rsid w:val="00105F1E"/>
    <w:rsid w:val="00106AEC"/>
    <w:rsid w:val="0010712C"/>
    <w:rsid w:val="00111F02"/>
    <w:rsid w:val="00113444"/>
    <w:rsid w:val="00113465"/>
    <w:rsid w:val="00113AE0"/>
    <w:rsid w:val="00116B2A"/>
    <w:rsid w:val="00117751"/>
    <w:rsid w:val="00120664"/>
    <w:rsid w:val="00120846"/>
    <w:rsid w:val="001208E7"/>
    <w:rsid w:val="001217E2"/>
    <w:rsid w:val="001217FD"/>
    <w:rsid w:val="00121D47"/>
    <w:rsid w:val="0012289C"/>
    <w:rsid w:val="00122DD1"/>
    <w:rsid w:val="00124033"/>
    <w:rsid w:val="00124AEF"/>
    <w:rsid w:val="00125060"/>
    <w:rsid w:val="0012556A"/>
    <w:rsid w:val="00126183"/>
    <w:rsid w:val="001261F8"/>
    <w:rsid w:val="0012636E"/>
    <w:rsid w:val="0012663D"/>
    <w:rsid w:val="001270D6"/>
    <w:rsid w:val="001275E7"/>
    <w:rsid w:val="00130E70"/>
    <w:rsid w:val="00132232"/>
    <w:rsid w:val="00132365"/>
    <w:rsid w:val="00134BAC"/>
    <w:rsid w:val="00135C01"/>
    <w:rsid w:val="0013666B"/>
    <w:rsid w:val="00136E66"/>
    <w:rsid w:val="00137C51"/>
    <w:rsid w:val="00140F92"/>
    <w:rsid w:val="00141A60"/>
    <w:rsid w:val="00143FDC"/>
    <w:rsid w:val="00145394"/>
    <w:rsid w:val="00145E56"/>
    <w:rsid w:val="00145F82"/>
    <w:rsid w:val="00146029"/>
    <w:rsid w:val="00146C40"/>
    <w:rsid w:val="00150003"/>
    <w:rsid w:val="00150873"/>
    <w:rsid w:val="00150C87"/>
    <w:rsid w:val="001514F8"/>
    <w:rsid w:val="0015159F"/>
    <w:rsid w:val="00151EAB"/>
    <w:rsid w:val="00153085"/>
    <w:rsid w:val="001531E7"/>
    <w:rsid w:val="001537A7"/>
    <w:rsid w:val="00160069"/>
    <w:rsid w:val="001605C9"/>
    <w:rsid w:val="00160DA7"/>
    <w:rsid w:val="00161467"/>
    <w:rsid w:val="00161824"/>
    <w:rsid w:val="00161B2B"/>
    <w:rsid w:val="001623E5"/>
    <w:rsid w:val="00163200"/>
    <w:rsid w:val="00163B56"/>
    <w:rsid w:val="001653F0"/>
    <w:rsid w:val="00165FE1"/>
    <w:rsid w:val="00166EF3"/>
    <w:rsid w:val="00167714"/>
    <w:rsid w:val="00167ACB"/>
    <w:rsid w:val="0017083D"/>
    <w:rsid w:val="00171821"/>
    <w:rsid w:val="00171E8F"/>
    <w:rsid w:val="001730E0"/>
    <w:rsid w:val="0017456B"/>
    <w:rsid w:val="001754ED"/>
    <w:rsid w:val="001760F8"/>
    <w:rsid w:val="001766A1"/>
    <w:rsid w:val="00176E77"/>
    <w:rsid w:val="0018065D"/>
    <w:rsid w:val="00180BD3"/>
    <w:rsid w:val="001828D8"/>
    <w:rsid w:val="00182BDE"/>
    <w:rsid w:val="00182C6F"/>
    <w:rsid w:val="00183CF9"/>
    <w:rsid w:val="00185442"/>
    <w:rsid w:val="001856C4"/>
    <w:rsid w:val="00190640"/>
    <w:rsid w:val="001924D4"/>
    <w:rsid w:val="001932F7"/>
    <w:rsid w:val="0019340F"/>
    <w:rsid w:val="00193DB9"/>
    <w:rsid w:val="0019461C"/>
    <w:rsid w:val="001947FD"/>
    <w:rsid w:val="0019567C"/>
    <w:rsid w:val="00195BC0"/>
    <w:rsid w:val="001961C1"/>
    <w:rsid w:val="00196747"/>
    <w:rsid w:val="00196FE2"/>
    <w:rsid w:val="001A0171"/>
    <w:rsid w:val="001A2736"/>
    <w:rsid w:val="001A2BA5"/>
    <w:rsid w:val="001A3380"/>
    <w:rsid w:val="001A380A"/>
    <w:rsid w:val="001A5738"/>
    <w:rsid w:val="001A60E4"/>
    <w:rsid w:val="001A772D"/>
    <w:rsid w:val="001B03AA"/>
    <w:rsid w:val="001B0DED"/>
    <w:rsid w:val="001B1EC0"/>
    <w:rsid w:val="001B2A2A"/>
    <w:rsid w:val="001B4F92"/>
    <w:rsid w:val="001B50EB"/>
    <w:rsid w:val="001B55B3"/>
    <w:rsid w:val="001B5856"/>
    <w:rsid w:val="001B5FB2"/>
    <w:rsid w:val="001B63DD"/>
    <w:rsid w:val="001B6438"/>
    <w:rsid w:val="001B66FF"/>
    <w:rsid w:val="001C1637"/>
    <w:rsid w:val="001C28F7"/>
    <w:rsid w:val="001C40D8"/>
    <w:rsid w:val="001C4264"/>
    <w:rsid w:val="001C4499"/>
    <w:rsid w:val="001C5B99"/>
    <w:rsid w:val="001C672F"/>
    <w:rsid w:val="001D2405"/>
    <w:rsid w:val="001D4FF2"/>
    <w:rsid w:val="001D5C22"/>
    <w:rsid w:val="001D6F9E"/>
    <w:rsid w:val="001D7A1B"/>
    <w:rsid w:val="001D7FCD"/>
    <w:rsid w:val="001E00FE"/>
    <w:rsid w:val="001E0C7A"/>
    <w:rsid w:val="001E16AF"/>
    <w:rsid w:val="001E1AE7"/>
    <w:rsid w:val="001E3CC3"/>
    <w:rsid w:val="001E654C"/>
    <w:rsid w:val="001E7889"/>
    <w:rsid w:val="001F013B"/>
    <w:rsid w:val="001F0252"/>
    <w:rsid w:val="001F036D"/>
    <w:rsid w:val="001F0E95"/>
    <w:rsid w:val="001F2CBA"/>
    <w:rsid w:val="001F3735"/>
    <w:rsid w:val="001F3911"/>
    <w:rsid w:val="001F4905"/>
    <w:rsid w:val="001F49FB"/>
    <w:rsid w:val="001F59D4"/>
    <w:rsid w:val="001F62FB"/>
    <w:rsid w:val="001F7374"/>
    <w:rsid w:val="001F77F6"/>
    <w:rsid w:val="0020057F"/>
    <w:rsid w:val="00200982"/>
    <w:rsid w:val="002043F8"/>
    <w:rsid w:val="002047E7"/>
    <w:rsid w:val="002078DA"/>
    <w:rsid w:val="00207BED"/>
    <w:rsid w:val="00207EC8"/>
    <w:rsid w:val="00211174"/>
    <w:rsid w:val="002118F3"/>
    <w:rsid w:val="00213029"/>
    <w:rsid w:val="002140FC"/>
    <w:rsid w:val="0021413E"/>
    <w:rsid w:val="0021558D"/>
    <w:rsid w:val="0021583E"/>
    <w:rsid w:val="00215CF0"/>
    <w:rsid w:val="00215D55"/>
    <w:rsid w:val="00216DB8"/>
    <w:rsid w:val="00220C1C"/>
    <w:rsid w:val="0022120C"/>
    <w:rsid w:val="002223E4"/>
    <w:rsid w:val="00222465"/>
    <w:rsid w:val="0022455D"/>
    <w:rsid w:val="00225293"/>
    <w:rsid w:val="00231E0F"/>
    <w:rsid w:val="00232DA3"/>
    <w:rsid w:val="0023422F"/>
    <w:rsid w:val="0023499C"/>
    <w:rsid w:val="002366E4"/>
    <w:rsid w:val="002379B9"/>
    <w:rsid w:val="002417EF"/>
    <w:rsid w:val="0024443C"/>
    <w:rsid w:val="002446C1"/>
    <w:rsid w:val="002446C4"/>
    <w:rsid w:val="00244FE0"/>
    <w:rsid w:val="0024511F"/>
    <w:rsid w:val="00245265"/>
    <w:rsid w:val="0024566D"/>
    <w:rsid w:val="00245C97"/>
    <w:rsid w:val="0024634A"/>
    <w:rsid w:val="00247D67"/>
    <w:rsid w:val="00251782"/>
    <w:rsid w:val="00252148"/>
    <w:rsid w:val="002539CE"/>
    <w:rsid w:val="00253EC8"/>
    <w:rsid w:val="00255FF9"/>
    <w:rsid w:val="002567BC"/>
    <w:rsid w:val="00257C04"/>
    <w:rsid w:val="0026030A"/>
    <w:rsid w:val="00260397"/>
    <w:rsid w:val="00261BA9"/>
    <w:rsid w:val="0026420E"/>
    <w:rsid w:val="0026647C"/>
    <w:rsid w:val="0026652F"/>
    <w:rsid w:val="00267506"/>
    <w:rsid w:val="00270808"/>
    <w:rsid w:val="0027168A"/>
    <w:rsid w:val="002718A5"/>
    <w:rsid w:val="00272512"/>
    <w:rsid w:val="00274126"/>
    <w:rsid w:val="00274E04"/>
    <w:rsid w:val="00275C4E"/>
    <w:rsid w:val="00276737"/>
    <w:rsid w:val="002767A3"/>
    <w:rsid w:val="00276F66"/>
    <w:rsid w:val="00277BA3"/>
    <w:rsid w:val="002801B4"/>
    <w:rsid w:val="00280451"/>
    <w:rsid w:val="00281129"/>
    <w:rsid w:val="00281259"/>
    <w:rsid w:val="00281CE2"/>
    <w:rsid w:val="00281FF9"/>
    <w:rsid w:val="00282808"/>
    <w:rsid w:val="002837DC"/>
    <w:rsid w:val="00285038"/>
    <w:rsid w:val="00293E90"/>
    <w:rsid w:val="002944D2"/>
    <w:rsid w:val="0029656E"/>
    <w:rsid w:val="00296FA3"/>
    <w:rsid w:val="002A0959"/>
    <w:rsid w:val="002A0E6D"/>
    <w:rsid w:val="002A1728"/>
    <w:rsid w:val="002A20C4"/>
    <w:rsid w:val="002A24BD"/>
    <w:rsid w:val="002A436B"/>
    <w:rsid w:val="002A6483"/>
    <w:rsid w:val="002A6BA3"/>
    <w:rsid w:val="002A6E2A"/>
    <w:rsid w:val="002B0920"/>
    <w:rsid w:val="002B0A6B"/>
    <w:rsid w:val="002B13C4"/>
    <w:rsid w:val="002B2A56"/>
    <w:rsid w:val="002B2DE0"/>
    <w:rsid w:val="002B429F"/>
    <w:rsid w:val="002C13FD"/>
    <w:rsid w:val="002C1F22"/>
    <w:rsid w:val="002C21D2"/>
    <w:rsid w:val="002C30D3"/>
    <w:rsid w:val="002C403A"/>
    <w:rsid w:val="002C58B8"/>
    <w:rsid w:val="002C58D7"/>
    <w:rsid w:val="002C61B9"/>
    <w:rsid w:val="002C7F9B"/>
    <w:rsid w:val="002D004C"/>
    <w:rsid w:val="002D0309"/>
    <w:rsid w:val="002D0E21"/>
    <w:rsid w:val="002D1707"/>
    <w:rsid w:val="002D18C5"/>
    <w:rsid w:val="002D1D36"/>
    <w:rsid w:val="002D1DED"/>
    <w:rsid w:val="002D374C"/>
    <w:rsid w:val="002D4B8C"/>
    <w:rsid w:val="002D5BBD"/>
    <w:rsid w:val="002D67DC"/>
    <w:rsid w:val="002D6D83"/>
    <w:rsid w:val="002D7ACE"/>
    <w:rsid w:val="002E03C5"/>
    <w:rsid w:val="002E08BD"/>
    <w:rsid w:val="002E1078"/>
    <w:rsid w:val="002E225B"/>
    <w:rsid w:val="002E2EF9"/>
    <w:rsid w:val="002E34BA"/>
    <w:rsid w:val="002E5AFB"/>
    <w:rsid w:val="002E5E11"/>
    <w:rsid w:val="002E6B0D"/>
    <w:rsid w:val="002F1EFA"/>
    <w:rsid w:val="002F209F"/>
    <w:rsid w:val="002F292E"/>
    <w:rsid w:val="002F2ADF"/>
    <w:rsid w:val="002F3210"/>
    <w:rsid w:val="002F41A6"/>
    <w:rsid w:val="002F48F3"/>
    <w:rsid w:val="002F497B"/>
    <w:rsid w:val="002F5AEB"/>
    <w:rsid w:val="002F6067"/>
    <w:rsid w:val="00301A71"/>
    <w:rsid w:val="00301D3A"/>
    <w:rsid w:val="003025AF"/>
    <w:rsid w:val="00302D3C"/>
    <w:rsid w:val="00305B41"/>
    <w:rsid w:val="00306133"/>
    <w:rsid w:val="003065DD"/>
    <w:rsid w:val="00310874"/>
    <w:rsid w:val="00310CBD"/>
    <w:rsid w:val="00312A86"/>
    <w:rsid w:val="00313176"/>
    <w:rsid w:val="003134D9"/>
    <w:rsid w:val="0031453A"/>
    <w:rsid w:val="003160D9"/>
    <w:rsid w:val="0031654A"/>
    <w:rsid w:val="00316688"/>
    <w:rsid w:val="00317611"/>
    <w:rsid w:val="00317E1B"/>
    <w:rsid w:val="00320283"/>
    <w:rsid w:val="0032136A"/>
    <w:rsid w:val="003218FC"/>
    <w:rsid w:val="0032206F"/>
    <w:rsid w:val="0032232E"/>
    <w:rsid w:val="00323453"/>
    <w:rsid w:val="00323949"/>
    <w:rsid w:val="003251D9"/>
    <w:rsid w:val="003260F5"/>
    <w:rsid w:val="00326D69"/>
    <w:rsid w:val="003312EA"/>
    <w:rsid w:val="003317EB"/>
    <w:rsid w:val="00331F4B"/>
    <w:rsid w:val="003336B2"/>
    <w:rsid w:val="00333AC9"/>
    <w:rsid w:val="003365A7"/>
    <w:rsid w:val="003367F5"/>
    <w:rsid w:val="00336BC3"/>
    <w:rsid w:val="00336F1E"/>
    <w:rsid w:val="003403FD"/>
    <w:rsid w:val="003437B0"/>
    <w:rsid w:val="00343CDD"/>
    <w:rsid w:val="00343D9E"/>
    <w:rsid w:val="003444A4"/>
    <w:rsid w:val="00345569"/>
    <w:rsid w:val="003456BA"/>
    <w:rsid w:val="0034629C"/>
    <w:rsid w:val="00346CAF"/>
    <w:rsid w:val="00351C15"/>
    <w:rsid w:val="003521C8"/>
    <w:rsid w:val="003532F3"/>
    <w:rsid w:val="003536BA"/>
    <w:rsid w:val="00353C9D"/>
    <w:rsid w:val="003548A2"/>
    <w:rsid w:val="0035708D"/>
    <w:rsid w:val="003573DB"/>
    <w:rsid w:val="0035788D"/>
    <w:rsid w:val="00357970"/>
    <w:rsid w:val="003600B9"/>
    <w:rsid w:val="00360559"/>
    <w:rsid w:val="00360660"/>
    <w:rsid w:val="00360987"/>
    <w:rsid w:val="00360A80"/>
    <w:rsid w:val="00360BC5"/>
    <w:rsid w:val="00360D66"/>
    <w:rsid w:val="00361399"/>
    <w:rsid w:val="00362968"/>
    <w:rsid w:val="00364A72"/>
    <w:rsid w:val="00366066"/>
    <w:rsid w:val="003667B4"/>
    <w:rsid w:val="00370BF8"/>
    <w:rsid w:val="0037164B"/>
    <w:rsid w:val="00371FC6"/>
    <w:rsid w:val="00372F65"/>
    <w:rsid w:val="0037355D"/>
    <w:rsid w:val="00373D32"/>
    <w:rsid w:val="003742A1"/>
    <w:rsid w:val="003753FF"/>
    <w:rsid w:val="00381C48"/>
    <w:rsid w:val="00382ABC"/>
    <w:rsid w:val="00383369"/>
    <w:rsid w:val="00385DD4"/>
    <w:rsid w:val="0038637E"/>
    <w:rsid w:val="00386C98"/>
    <w:rsid w:val="003877CF"/>
    <w:rsid w:val="00387E6E"/>
    <w:rsid w:val="00391FED"/>
    <w:rsid w:val="003922AA"/>
    <w:rsid w:val="00392F1B"/>
    <w:rsid w:val="00393497"/>
    <w:rsid w:val="00393DE7"/>
    <w:rsid w:val="0039416E"/>
    <w:rsid w:val="003941BB"/>
    <w:rsid w:val="00396717"/>
    <w:rsid w:val="00397635"/>
    <w:rsid w:val="003A0471"/>
    <w:rsid w:val="003A087E"/>
    <w:rsid w:val="003A11DE"/>
    <w:rsid w:val="003A2485"/>
    <w:rsid w:val="003A2A61"/>
    <w:rsid w:val="003A2B4B"/>
    <w:rsid w:val="003A504A"/>
    <w:rsid w:val="003A7B86"/>
    <w:rsid w:val="003B0198"/>
    <w:rsid w:val="003B0CDE"/>
    <w:rsid w:val="003B10D9"/>
    <w:rsid w:val="003B399E"/>
    <w:rsid w:val="003B4C23"/>
    <w:rsid w:val="003B4F26"/>
    <w:rsid w:val="003B4F60"/>
    <w:rsid w:val="003C03E8"/>
    <w:rsid w:val="003C1118"/>
    <w:rsid w:val="003C2B85"/>
    <w:rsid w:val="003C3084"/>
    <w:rsid w:val="003C3577"/>
    <w:rsid w:val="003C473E"/>
    <w:rsid w:val="003C5EC1"/>
    <w:rsid w:val="003C6711"/>
    <w:rsid w:val="003C789C"/>
    <w:rsid w:val="003D0BEE"/>
    <w:rsid w:val="003D3136"/>
    <w:rsid w:val="003D4DC9"/>
    <w:rsid w:val="003D5727"/>
    <w:rsid w:val="003D5EA5"/>
    <w:rsid w:val="003D5EBE"/>
    <w:rsid w:val="003D7C36"/>
    <w:rsid w:val="003D7DCC"/>
    <w:rsid w:val="003E27F4"/>
    <w:rsid w:val="003E2DAA"/>
    <w:rsid w:val="003E3C54"/>
    <w:rsid w:val="003E3D2C"/>
    <w:rsid w:val="003E57DE"/>
    <w:rsid w:val="003E688E"/>
    <w:rsid w:val="003F0FC3"/>
    <w:rsid w:val="003F3FBD"/>
    <w:rsid w:val="003F74E3"/>
    <w:rsid w:val="00401C2C"/>
    <w:rsid w:val="0040204B"/>
    <w:rsid w:val="004028D8"/>
    <w:rsid w:val="00403105"/>
    <w:rsid w:val="00403BCF"/>
    <w:rsid w:val="0040460A"/>
    <w:rsid w:val="00405151"/>
    <w:rsid w:val="0040544A"/>
    <w:rsid w:val="0040553A"/>
    <w:rsid w:val="0040584C"/>
    <w:rsid w:val="004112F5"/>
    <w:rsid w:val="004136D5"/>
    <w:rsid w:val="004138F9"/>
    <w:rsid w:val="00414BCB"/>
    <w:rsid w:val="0041534A"/>
    <w:rsid w:val="004165EA"/>
    <w:rsid w:val="00416DD7"/>
    <w:rsid w:val="004203E8"/>
    <w:rsid w:val="004205D1"/>
    <w:rsid w:val="0042240F"/>
    <w:rsid w:val="004229B7"/>
    <w:rsid w:val="00423BC9"/>
    <w:rsid w:val="00423CA0"/>
    <w:rsid w:val="00425D56"/>
    <w:rsid w:val="00425D5D"/>
    <w:rsid w:val="00426E45"/>
    <w:rsid w:val="00430063"/>
    <w:rsid w:val="00430F65"/>
    <w:rsid w:val="00431066"/>
    <w:rsid w:val="00431B23"/>
    <w:rsid w:val="00431DB3"/>
    <w:rsid w:val="00432BAF"/>
    <w:rsid w:val="0043310D"/>
    <w:rsid w:val="0043408E"/>
    <w:rsid w:val="00434911"/>
    <w:rsid w:val="00434BFD"/>
    <w:rsid w:val="00434C0C"/>
    <w:rsid w:val="0043525B"/>
    <w:rsid w:val="004365B4"/>
    <w:rsid w:val="004405D5"/>
    <w:rsid w:val="004408EB"/>
    <w:rsid w:val="00441073"/>
    <w:rsid w:val="004420FA"/>
    <w:rsid w:val="004431B1"/>
    <w:rsid w:val="00443273"/>
    <w:rsid w:val="00443D19"/>
    <w:rsid w:val="004459D2"/>
    <w:rsid w:val="00445BB7"/>
    <w:rsid w:val="00445D76"/>
    <w:rsid w:val="004502FF"/>
    <w:rsid w:val="00451585"/>
    <w:rsid w:val="004523A4"/>
    <w:rsid w:val="004528C4"/>
    <w:rsid w:val="00453B8B"/>
    <w:rsid w:val="00453DC0"/>
    <w:rsid w:val="00455428"/>
    <w:rsid w:val="00456AD4"/>
    <w:rsid w:val="00456B35"/>
    <w:rsid w:val="00456C63"/>
    <w:rsid w:val="00456C80"/>
    <w:rsid w:val="004572B8"/>
    <w:rsid w:val="00457A53"/>
    <w:rsid w:val="00460502"/>
    <w:rsid w:val="00460AB8"/>
    <w:rsid w:val="00461876"/>
    <w:rsid w:val="00461AA6"/>
    <w:rsid w:val="00462898"/>
    <w:rsid w:val="004637C4"/>
    <w:rsid w:val="004642DD"/>
    <w:rsid w:val="00464408"/>
    <w:rsid w:val="00464582"/>
    <w:rsid w:val="004652AC"/>
    <w:rsid w:val="0046612A"/>
    <w:rsid w:val="0046650C"/>
    <w:rsid w:val="0046697C"/>
    <w:rsid w:val="00470256"/>
    <w:rsid w:val="00470338"/>
    <w:rsid w:val="00470B4F"/>
    <w:rsid w:val="0047163E"/>
    <w:rsid w:val="00471A1A"/>
    <w:rsid w:val="00472A35"/>
    <w:rsid w:val="00472FC6"/>
    <w:rsid w:val="00475073"/>
    <w:rsid w:val="00475497"/>
    <w:rsid w:val="00476C99"/>
    <w:rsid w:val="004771F2"/>
    <w:rsid w:val="0048163E"/>
    <w:rsid w:val="0048211C"/>
    <w:rsid w:val="00482E60"/>
    <w:rsid w:val="00484120"/>
    <w:rsid w:val="00487E7D"/>
    <w:rsid w:val="00487EC4"/>
    <w:rsid w:val="00490D52"/>
    <w:rsid w:val="00491F05"/>
    <w:rsid w:val="00492475"/>
    <w:rsid w:val="004929A3"/>
    <w:rsid w:val="00492DA2"/>
    <w:rsid w:val="00493666"/>
    <w:rsid w:val="0049434C"/>
    <w:rsid w:val="0049463F"/>
    <w:rsid w:val="0049502E"/>
    <w:rsid w:val="0049741A"/>
    <w:rsid w:val="00497F47"/>
    <w:rsid w:val="004A3908"/>
    <w:rsid w:val="004A4B15"/>
    <w:rsid w:val="004A5421"/>
    <w:rsid w:val="004A59D4"/>
    <w:rsid w:val="004A5E82"/>
    <w:rsid w:val="004A631E"/>
    <w:rsid w:val="004A6815"/>
    <w:rsid w:val="004A6866"/>
    <w:rsid w:val="004A6F23"/>
    <w:rsid w:val="004A70E3"/>
    <w:rsid w:val="004B0612"/>
    <w:rsid w:val="004B0BBF"/>
    <w:rsid w:val="004B2773"/>
    <w:rsid w:val="004B2D87"/>
    <w:rsid w:val="004B6383"/>
    <w:rsid w:val="004B7A5E"/>
    <w:rsid w:val="004C04CB"/>
    <w:rsid w:val="004C09B2"/>
    <w:rsid w:val="004C175A"/>
    <w:rsid w:val="004C31DC"/>
    <w:rsid w:val="004C33E4"/>
    <w:rsid w:val="004C49E2"/>
    <w:rsid w:val="004C4CCD"/>
    <w:rsid w:val="004C52F2"/>
    <w:rsid w:val="004C6001"/>
    <w:rsid w:val="004C644B"/>
    <w:rsid w:val="004D01B3"/>
    <w:rsid w:val="004D1CC9"/>
    <w:rsid w:val="004D1EC9"/>
    <w:rsid w:val="004D24AD"/>
    <w:rsid w:val="004D34AA"/>
    <w:rsid w:val="004D35E7"/>
    <w:rsid w:val="004D39C5"/>
    <w:rsid w:val="004D3B16"/>
    <w:rsid w:val="004D4D1C"/>
    <w:rsid w:val="004D4D32"/>
    <w:rsid w:val="004D4D8A"/>
    <w:rsid w:val="004D5579"/>
    <w:rsid w:val="004D7058"/>
    <w:rsid w:val="004D76A9"/>
    <w:rsid w:val="004D7D8D"/>
    <w:rsid w:val="004D7E57"/>
    <w:rsid w:val="004E144C"/>
    <w:rsid w:val="004E1BE1"/>
    <w:rsid w:val="004E2FD7"/>
    <w:rsid w:val="004E3B0F"/>
    <w:rsid w:val="004E3E03"/>
    <w:rsid w:val="004E4274"/>
    <w:rsid w:val="004E5143"/>
    <w:rsid w:val="004E54E8"/>
    <w:rsid w:val="004E5986"/>
    <w:rsid w:val="004E7C86"/>
    <w:rsid w:val="004F0512"/>
    <w:rsid w:val="004F1608"/>
    <w:rsid w:val="004F16E4"/>
    <w:rsid w:val="004F1D5C"/>
    <w:rsid w:val="004F3E36"/>
    <w:rsid w:val="004F4554"/>
    <w:rsid w:val="004F4BCB"/>
    <w:rsid w:val="004F4E15"/>
    <w:rsid w:val="004F5050"/>
    <w:rsid w:val="004F53E8"/>
    <w:rsid w:val="004F6322"/>
    <w:rsid w:val="004F7233"/>
    <w:rsid w:val="004F757D"/>
    <w:rsid w:val="004F76D8"/>
    <w:rsid w:val="004F7BF1"/>
    <w:rsid w:val="004F7ED7"/>
    <w:rsid w:val="00500AAA"/>
    <w:rsid w:val="00500C39"/>
    <w:rsid w:val="00502A8C"/>
    <w:rsid w:val="00502BAE"/>
    <w:rsid w:val="00503090"/>
    <w:rsid w:val="0050401D"/>
    <w:rsid w:val="005047DA"/>
    <w:rsid w:val="00506473"/>
    <w:rsid w:val="00507159"/>
    <w:rsid w:val="00510D4B"/>
    <w:rsid w:val="005111FE"/>
    <w:rsid w:val="00511326"/>
    <w:rsid w:val="00511465"/>
    <w:rsid w:val="0051223B"/>
    <w:rsid w:val="0051227E"/>
    <w:rsid w:val="00512C16"/>
    <w:rsid w:val="0051315D"/>
    <w:rsid w:val="00513B07"/>
    <w:rsid w:val="00514C57"/>
    <w:rsid w:val="005172A4"/>
    <w:rsid w:val="00517A20"/>
    <w:rsid w:val="005207A0"/>
    <w:rsid w:val="005207E9"/>
    <w:rsid w:val="00522D76"/>
    <w:rsid w:val="0052363A"/>
    <w:rsid w:val="00523A77"/>
    <w:rsid w:val="00523D12"/>
    <w:rsid w:val="00525E09"/>
    <w:rsid w:val="00526BB7"/>
    <w:rsid w:val="00527943"/>
    <w:rsid w:val="00531161"/>
    <w:rsid w:val="005322C3"/>
    <w:rsid w:val="00532E91"/>
    <w:rsid w:val="00533CCD"/>
    <w:rsid w:val="005340FD"/>
    <w:rsid w:val="00536175"/>
    <w:rsid w:val="0054014B"/>
    <w:rsid w:val="005401FE"/>
    <w:rsid w:val="00540A91"/>
    <w:rsid w:val="00540AA1"/>
    <w:rsid w:val="005415AD"/>
    <w:rsid w:val="00542492"/>
    <w:rsid w:val="005424F9"/>
    <w:rsid w:val="00542774"/>
    <w:rsid w:val="005428CD"/>
    <w:rsid w:val="005441D8"/>
    <w:rsid w:val="00544CE4"/>
    <w:rsid w:val="0054584B"/>
    <w:rsid w:val="00545CB4"/>
    <w:rsid w:val="005471EB"/>
    <w:rsid w:val="00547A33"/>
    <w:rsid w:val="0055201B"/>
    <w:rsid w:val="005526CB"/>
    <w:rsid w:val="00552B60"/>
    <w:rsid w:val="005537B6"/>
    <w:rsid w:val="0055382D"/>
    <w:rsid w:val="00554D1A"/>
    <w:rsid w:val="00554E89"/>
    <w:rsid w:val="005559F4"/>
    <w:rsid w:val="00555DA9"/>
    <w:rsid w:val="0055680D"/>
    <w:rsid w:val="00557D9A"/>
    <w:rsid w:val="0056134B"/>
    <w:rsid w:val="005623FF"/>
    <w:rsid w:val="00563CD6"/>
    <w:rsid w:val="00565E28"/>
    <w:rsid w:val="0056692B"/>
    <w:rsid w:val="00566EB6"/>
    <w:rsid w:val="00567464"/>
    <w:rsid w:val="005708B4"/>
    <w:rsid w:val="00571665"/>
    <w:rsid w:val="00571A94"/>
    <w:rsid w:val="0057261C"/>
    <w:rsid w:val="00574AFF"/>
    <w:rsid w:val="00575BB4"/>
    <w:rsid w:val="00576D4A"/>
    <w:rsid w:val="005770BF"/>
    <w:rsid w:val="00577AC5"/>
    <w:rsid w:val="005800F1"/>
    <w:rsid w:val="0058019C"/>
    <w:rsid w:val="00582931"/>
    <w:rsid w:val="0058434A"/>
    <w:rsid w:val="00584AE0"/>
    <w:rsid w:val="00587E39"/>
    <w:rsid w:val="00592B22"/>
    <w:rsid w:val="00593AF7"/>
    <w:rsid w:val="005946B9"/>
    <w:rsid w:val="005948E8"/>
    <w:rsid w:val="00594C44"/>
    <w:rsid w:val="00596726"/>
    <w:rsid w:val="00596E6D"/>
    <w:rsid w:val="005974DB"/>
    <w:rsid w:val="00597531"/>
    <w:rsid w:val="005A1088"/>
    <w:rsid w:val="005A1CDC"/>
    <w:rsid w:val="005A23CC"/>
    <w:rsid w:val="005A2642"/>
    <w:rsid w:val="005A2D17"/>
    <w:rsid w:val="005A36A5"/>
    <w:rsid w:val="005A5745"/>
    <w:rsid w:val="005A6986"/>
    <w:rsid w:val="005A79F6"/>
    <w:rsid w:val="005A7E55"/>
    <w:rsid w:val="005B091B"/>
    <w:rsid w:val="005B0A64"/>
    <w:rsid w:val="005B1D55"/>
    <w:rsid w:val="005B2EDD"/>
    <w:rsid w:val="005B3823"/>
    <w:rsid w:val="005B3B34"/>
    <w:rsid w:val="005B3D95"/>
    <w:rsid w:val="005B422A"/>
    <w:rsid w:val="005B4D82"/>
    <w:rsid w:val="005B7A51"/>
    <w:rsid w:val="005B7B2B"/>
    <w:rsid w:val="005C24C0"/>
    <w:rsid w:val="005C3340"/>
    <w:rsid w:val="005C33DB"/>
    <w:rsid w:val="005C44CB"/>
    <w:rsid w:val="005C4CEE"/>
    <w:rsid w:val="005C4EDF"/>
    <w:rsid w:val="005C5F15"/>
    <w:rsid w:val="005C6417"/>
    <w:rsid w:val="005C6875"/>
    <w:rsid w:val="005C6BE2"/>
    <w:rsid w:val="005D02B3"/>
    <w:rsid w:val="005D0532"/>
    <w:rsid w:val="005D3A52"/>
    <w:rsid w:val="005D4E85"/>
    <w:rsid w:val="005E0929"/>
    <w:rsid w:val="005E1D01"/>
    <w:rsid w:val="005E2537"/>
    <w:rsid w:val="005E30D0"/>
    <w:rsid w:val="005E3777"/>
    <w:rsid w:val="005E5413"/>
    <w:rsid w:val="005E57B7"/>
    <w:rsid w:val="005E5846"/>
    <w:rsid w:val="005E6E31"/>
    <w:rsid w:val="005F1F2E"/>
    <w:rsid w:val="005F24FB"/>
    <w:rsid w:val="005F68DC"/>
    <w:rsid w:val="005F75C1"/>
    <w:rsid w:val="005F7AF4"/>
    <w:rsid w:val="005F7DF4"/>
    <w:rsid w:val="0060129D"/>
    <w:rsid w:val="00601791"/>
    <w:rsid w:val="00603334"/>
    <w:rsid w:val="006034A4"/>
    <w:rsid w:val="00604233"/>
    <w:rsid w:val="006059A8"/>
    <w:rsid w:val="0060609A"/>
    <w:rsid w:val="006104FE"/>
    <w:rsid w:val="00610888"/>
    <w:rsid w:val="006116A6"/>
    <w:rsid w:val="00612473"/>
    <w:rsid w:val="00612652"/>
    <w:rsid w:val="00613EAA"/>
    <w:rsid w:val="0061544A"/>
    <w:rsid w:val="0061685B"/>
    <w:rsid w:val="00616D29"/>
    <w:rsid w:val="00616D2F"/>
    <w:rsid w:val="00620046"/>
    <w:rsid w:val="00620D0F"/>
    <w:rsid w:val="0062243E"/>
    <w:rsid w:val="00622BA8"/>
    <w:rsid w:val="00624307"/>
    <w:rsid w:val="00624E3F"/>
    <w:rsid w:val="0062687E"/>
    <w:rsid w:val="00626BB2"/>
    <w:rsid w:val="0062761A"/>
    <w:rsid w:val="00627B62"/>
    <w:rsid w:val="00631ADA"/>
    <w:rsid w:val="00632076"/>
    <w:rsid w:val="00632978"/>
    <w:rsid w:val="00632F5F"/>
    <w:rsid w:val="006331D4"/>
    <w:rsid w:val="00633388"/>
    <w:rsid w:val="00633D9E"/>
    <w:rsid w:val="0063541B"/>
    <w:rsid w:val="00636CB2"/>
    <w:rsid w:val="00636F50"/>
    <w:rsid w:val="0063714D"/>
    <w:rsid w:val="00637267"/>
    <w:rsid w:val="006375D5"/>
    <w:rsid w:val="0064170A"/>
    <w:rsid w:val="006417CE"/>
    <w:rsid w:val="00641978"/>
    <w:rsid w:val="00641DD0"/>
    <w:rsid w:val="006422C6"/>
    <w:rsid w:val="00642A68"/>
    <w:rsid w:val="0064428D"/>
    <w:rsid w:val="0064568C"/>
    <w:rsid w:val="00645696"/>
    <w:rsid w:val="00645EC9"/>
    <w:rsid w:val="00646957"/>
    <w:rsid w:val="006501BE"/>
    <w:rsid w:val="006505C6"/>
    <w:rsid w:val="006523FB"/>
    <w:rsid w:val="0065393B"/>
    <w:rsid w:val="006545DD"/>
    <w:rsid w:val="00654ACE"/>
    <w:rsid w:val="00654DC5"/>
    <w:rsid w:val="00655941"/>
    <w:rsid w:val="00655A6F"/>
    <w:rsid w:val="00656F28"/>
    <w:rsid w:val="0065761B"/>
    <w:rsid w:val="00657BA5"/>
    <w:rsid w:val="00657EAA"/>
    <w:rsid w:val="006608AE"/>
    <w:rsid w:val="00662263"/>
    <w:rsid w:val="006628BD"/>
    <w:rsid w:val="00665366"/>
    <w:rsid w:val="006653EA"/>
    <w:rsid w:val="00665BAE"/>
    <w:rsid w:val="0066651C"/>
    <w:rsid w:val="006665F4"/>
    <w:rsid w:val="00666ACC"/>
    <w:rsid w:val="00667345"/>
    <w:rsid w:val="0066764F"/>
    <w:rsid w:val="006702C9"/>
    <w:rsid w:val="00670DF1"/>
    <w:rsid w:val="006714A9"/>
    <w:rsid w:val="00671DFD"/>
    <w:rsid w:val="00672604"/>
    <w:rsid w:val="00672B90"/>
    <w:rsid w:val="006747FE"/>
    <w:rsid w:val="00677167"/>
    <w:rsid w:val="0068241F"/>
    <w:rsid w:val="00685681"/>
    <w:rsid w:val="0068607D"/>
    <w:rsid w:val="006860F1"/>
    <w:rsid w:val="00691F58"/>
    <w:rsid w:val="00692275"/>
    <w:rsid w:val="00693241"/>
    <w:rsid w:val="00693CC5"/>
    <w:rsid w:val="0069456D"/>
    <w:rsid w:val="0069548A"/>
    <w:rsid w:val="0069679A"/>
    <w:rsid w:val="00696D38"/>
    <w:rsid w:val="0069798D"/>
    <w:rsid w:val="006A03A2"/>
    <w:rsid w:val="006A0DFB"/>
    <w:rsid w:val="006A1876"/>
    <w:rsid w:val="006A1E4D"/>
    <w:rsid w:val="006A2265"/>
    <w:rsid w:val="006A2DB2"/>
    <w:rsid w:val="006A30FD"/>
    <w:rsid w:val="006A3FF3"/>
    <w:rsid w:val="006A4555"/>
    <w:rsid w:val="006A46CD"/>
    <w:rsid w:val="006A4B35"/>
    <w:rsid w:val="006A4D2B"/>
    <w:rsid w:val="006A5C89"/>
    <w:rsid w:val="006A64C5"/>
    <w:rsid w:val="006A7027"/>
    <w:rsid w:val="006A7327"/>
    <w:rsid w:val="006B160F"/>
    <w:rsid w:val="006B1AE9"/>
    <w:rsid w:val="006B1AEB"/>
    <w:rsid w:val="006B1CBA"/>
    <w:rsid w:val="006B2A52"/>
    <w:rsid w:val="006B4AED"/>
    <w:rsid w:val="006B514F"/>
    <w:rsid w:val="006B6387"/>
    <w:rsid w:val="006B7377"/>
    <w:rsid w:val="006B738C"/>
    <w:rsid w:val="006C00A4"/>
    <w:rsid w:val="006C0196"/>
    <w:rsid w:val="006C0815"/>
    <w:rsid w:val="006C2547"/>
    <w:rsid w:val="006C531D"/>
    <w:rsid w:val="006C5BBE"/>
    <w:rsid w:val="006C7130"/>
    <w:rsid w:val="006C74DF"/>
    <w:rsid w:val="006D01D9"/>
    <w:rsid w:val="006D38C3"/>
    <w:rsid w:val="006D3D01"/>
    <w:rsid w:val="006D460D"/>
    <w:rsid w:val="006D5F32"/>
    <w:rsid w:val="006D6A6A"/>
    <w:rsid w:val="006D6BFE"/>
    <w:rsid w:val="006D6F63"/>
    <w:rsid w:val="006D70FC"/>
    <w:rsid w:val="006D75E8"/>
    <w:rsid w:val="006E02E6"/>
    <w:rsid w:val="006E0712"/>
    <w:rsid w:val="006E08E3"/>
    <w:rsid w:val="006E10BC"/>
    <w:rsid w:val="006E191F"/>
    <w:rsid w:val="006E23C6"/>
    <w:rsid w:val="006E294B"/>
    <w:rsid w:val="006E2DE3"/>
    <w:rsid w:val="006E54F2"/>
    <w:rsid w:val="006E5C2B"/>
    <w:rsid w:val="006E66C8"/>
    <w:rsid w:val="006E6BC3"/>
    <w:rsid w:val="006E6D56"/>
    <w:rsid w:val="006F13AE"/>
    <w:rsid w:val="006F1465"/>
    <w:rsid w:val="006F1CAE"/>
    <w:rsid w:val="006F2221"/>
    <w:rsid w:val="006F26D3"/>
    <w:rsid w:val="006F27D4"/>
    <w:rsid w:val="00702153"/>
    <w:rsid w:val="007039D9"/>
    <w:rsid w:val="00704288"/>
    <w:rsid w:val="00705139"/>
    <w:rsid w:val="00705164"/>
    <w:rsid w:val="00706579"/>
    <w:rsid w:val="0070771B"/>
    <w:rsid w:val="007122C9"/>
    <w:rsid w:val="0071236E"/>
    <w:rsid w:val="00712CFC"/>
    <w:rsid w:val="00714300"/>
    <w:rsid w:val="007144DE"/>
    <w:rsid w:val="0071501B"/>
    <w:rsid w:val="00715A62"/>
    <w:rsid w:val="007168D7"/>
    <w:rsid w:val="007170D3"/>
    <w:rsid w:val="00717B54"/>
    <w:rsid w:val="00717E2E"/>
    <w:rsid w:val="00720A40"/>
    <w:rsid w:val="00720AE7"/>
    <w:rsid w:val="0072184D"/>
    <w:rsid w:val="00721E19"/>
    <w:rsid w:val="00724199"/>
    <w:rsid w:val="00725A14"/>
    <w:rsid w:val="00726E5E"/>
    <w:rsid w:val="00727AC1"/>
    <w:rsid w:val="007318C0"/>
    <w:rsid w:val="007320C5"/>
    <w:rsid w:val="0073267F"/>
    <w:rsid w:val="0073345B"/>
    <w:rsid w:val="00733536"/>
    <w:rsid w:val="00735194"/>
    <w:rsid w:val="00735EB8"/>
    <w:rsid w:val="00736FBA"/>
    <w:rsid w:val="0074076F"/>
    <w:rsid w:val="00740C71"/>
    <w:rsid w:val="00741E8F"/>
    <w:rsid w:val="00741F13"/>
    <w:rsid w:val="00742E04"/>
    <w:rsid w:val="00743E4F"/>
    <w:rsid w:val="00744315"/>
    <w:rsid w:val="0074488D"/>
    <w:rsid w:val="00744DFF"/>
    <w:rsid w:val="0074570E"/>
    <w:rsid w:val="00745C7F"/>
    <w:rsid w:val="0074602B"/>
    <w:rsid w:val="00746385"/>
    <w:rsid w:val="00746885"/>
    <w:rsid w:val="007479CE"/>
    <w:rsid w:val="00750575"/>
    <w:rsid w:val="0075391A"/>
    <w:rsid w:val="00753C18"/>
    <w:rsid w:val="00753E9F"/>
    <w:rsid w:val="00756D28"/>
    <w:rsid w:val="00756F51"/>
    <w:rsid w:val="00757E4A"/>
    <w:rsid w:val="00760B5E"/>
    <w:rsid w:val="007613E7"/>
    <w:rsid w:val="00761C41"/>
    <w:rsid w:val="0076578C"/>
    <w:rsid w:val="0076606E"/>
    <w:rsid w:val="00766091"/>
    <w:rsid w:val="007665E0"/>
    <w:rsid w:val="00766F4E"/>
    <w:rsid w:val="007672E7"/>
    <w:rsid w:val="007678DE"/>
    <w:rsid w:val="00767F5D"/>
    <w:rsid w:val="00771AA7"/>
    <w:rsid w:val="00771E83"/>
    <w:rsid w:val="00772F04"/>
    <w:rsid w:val="00773DEE"/>
    <w:rsid w:val="00774119"/>
    <w:rsid w:val="00774248"/>
    <w:rsid w:val="00774BCF"/>
    <w:rsid w:val="007758AC"/>
    <w:rsid w:val="00775B87"/>
    <w:rsid w:val="0077647B"/>
    <w:rsid w:val="007766CF"/>
    <w:rsid w:val="00776A68"/>
    <w:rsid w:val="00777C19"/>
    <w:rsid w:val="0078075A"/>
    <w:rsid w:val="00781113"/>
    <w:rsid w:val="00781EBD"/>
    <w:rsid w:val="0078296B"/>
    <w:rsid w:val="007835A6"/>
    <w:rsid w:val="0078393C"/>
    <w:rsid w:val="007839AA"/>
    <w:rsid w:val="00783A01"/>
    <w:rsid w:val="00783EB8"/>
    <w:rsid w:val="00784215"/>
    <w:rsid w:val="00785A4C"/>
    <w:rsid w:val="0078689F"/>
    <w:rsid w:val="007879CC"/>
    <w:rsid w:val="007908C5"/>
    <w:rsid w:val="007908C9"/>
    <w:rsid w:val="00792693"/>
    <w:rsid w:val="00792D73"/>
    <w:rsid w:val="00793530"/>
    <w:rsid w:val="007944BC"/>
    <w:rsid w:val="007952C8"/>
    <w:rsid w:val="007952E5"/>
    <w:rsid w:val="00795D5B"/>
    <w:rsid w:val="007972D1"/>
    <w:rsid w:val="00797E32"/>
    <w:rsid w:val="007A009C"/>
    <w:rsid w:val="007A061F"/>
    <w:rsid w:val="007A1BEB"/>
    <w:rsid w:val="007A1C9E"/>
    <w:rsid w:val="007A1FE1"/>
    <w:rsid w:val="007A2591"/>
    <w:rsid w:val="007A27F8"/>
    <w:rsid w:val="007A32A1"/>
    <w:rsid w:val="007A4743"/>
    <w:rsid w:val="007A4B52"/>
    <w:rsid w:val="007A4D30"/>
    <w:rsid w:val="007A5D36"/>
    <w:rsid w:val="007A68A1"/>
    <w:rsid w:val="007A7499"/>
    <w:rsid w:val="007A77F8"/>
    <w:rsid w:val="007B0475"/>
    <w:rsid w:val="007B119C"/>
    <w:rsid w:val="007B1E9D"/>
    <w:rsid w:val="007B33BA"/>
    <w:rsid w:val="007B3B7B"/>
    <w:rsid w:val="007B3F7D"/>
    <w:rsid w:val="007B4709"/>
    <w:rsid w:val="007B4FC9"/>
    <w:rsid w:val="007B538B"/>
    <w:rsid w:val="007B64DB"/>
    <w:rsid w:val="007B66E2"/>
    <w:rsid w:val="007C01BD"/>
    <w:rsid w:val="007C03F1"/>
    <w:rsid w:val="007C0B67"/>
    <w:rsid w:val="007C1AE7"/>
    <w:rsid w:val="007C1BB5"/>
    <w:rsid w:val="007C2446"/>
    <w:rsid w:val="007C25AC"/>
    <w:rsid w:val="007C4901"/>
    <w:rsid w:val="007C495F"/>
    <w:rsid w:val="007C5991"/>
    <w:rsid w:val="007C641C"/>
    <w:rsid w:val="007C6B7E"/>
    <w:rsid w:val="007C6C91"/>
    <w:rsid w:val="007C7855"/>
    <w:rsid w:val="007C7B9D"/>
    <w:rsid w:val="007C7E27"/>
    <w:rsid w:val="007D0600"/>
    <w:rsid w:val="007D11ED"/>
    <w:rsid w:val="007D16B8"/>
    <w:rsid w:val="007D3D7E"/>
    <w:rsid w:val="007D4342"/>
    <w:rsid w:val="007D4CC8"/>
    <w:rsid w:val="007D5DEF"/>
    <w:rsid w:val="007D608B"/>
    <w:rsid w:val="007D63F6"/>
    <w:rsid w:val="007D6B96"/>
    <w:rsid w:val="007E0105"/>
    <w:rsid w:val="007E015B"/>
    <w:rsid w:val="007E0E9D"/>
    <w:rsid w:val="007E1806"/>
    <w:rsid w:val="007E1925"/>
    <w:rsid w:val="007E24B6"/>
    <w:rsid w:val="007E499A"/>
    <w:rsid w:val="007E4A9C"/>
    <w:rsid w:val="007E52CD"/>
    <w:rsid w:val="007E5469"/>
    <w:rsid w:val="007E5542"/>
    <w:rsid w:val="007E56E3"/>
    <w:rsid w:val="007E59C4"/>
    <w:rsid w:val="007E63FD"/>
    <w:rsid w:val="007F03EE"/>
    <w:rsid w:val="007F2DE0"/>
    <w:rsid w:val="007F4312"/>
    <w:rsid w:val="007F4E7A"/>
    <w:rsid w:val="007F5806"/>
    <w:rsid w:val="007F7E51"/>
    <w:rsid w:val="00800701"/>
    <w:rsid w:val="0080211C"/>
    <w:rsid w:val="00802234"/>
    <w:rsid w:val="00802F48"/>
    <w:rsid w:val="0080352B"/>
    <w:rsid w:val="0080486A"/>
    <w:rsid w:val="00804C02"/>
    <w:rsid w:val="008052C7"/>
    <w:rsid w:val="008101F0"/>
    <w:rsid w:val="00810E6A"/>
    <w:rsid w:val="008111A4"/>
    <w:rsid w:val="00812754"/>
    <w:rsid w:val="00814BC9"/>
    <w:rsid w:val="00815D7F"/>
    <w:rsid w:val="0081707B"/>
    <w:rsid w:val="00817A46"/>
    <w:rsid w:val="00820E3B"/>
    <w:rsid w:val="008227D4"/>
    <w:rsid w:val="00822A16"/>
    <w:rsid w:val="0082401E"/>
    <w:rsid w:val="00824D07"/>
    <w:rsid w:val="008264FA"/>
    <w:rsid w:val="00826E14"/>
    <w:rsid w:val="008303C1"/>
    <w:rsid w:val="008303F2"/>
    <w:rsid w:val="00832250"/>
    <w:rsid w:val="00832E35"/>
    <w:rsid w:val="00833175"/>
    <w:rsid w:val="0083338D"/>
    <w:rsid w:val="00833ECB"/>
    <w:rsid w:val="00834584"/>
    <w:rsid w:val="00834A8D"/>
    <w:rsid w:val="00836216"/>
    <w:rsid w:val="008375E6"/>
    <w:rsid w:val="00840080"/>
    <w:rsid w:val="00840BDC"/>
    <w:rsid w:val="00840E11"/>
    <w:rsid w:val="00841B6E"/>
    <w:rsid w:val="00841C1A"/>
    <w:rsid w:val="00842A2D"/>
    <w:rsid w:val="0084428D"/>
    <w:rsid w:val="0084677A"/>
    <w:rsid w:val="00851529"/>
    <w:rsid w:val="008515B6"/>
    <w:rsid w:val="00853438"/>
    <w:rsid w:val="00853807"/>
    <w:rsid w:val="00853DCF"/>
    <w:rsid w:val="008547DB"/>
    <w:rsid w:val="00855F03"/>
    <w:rsid w:val="00856867"/>
    <w:rsid w:val="00856F7D"/>
    <w:rsid w:val="00861923"/>
    <w:rsid w:val="0086232B"/>
    <w:rsid w:val="00862505"/>
    <w:rsid w:val="00862C0A"/>
    <w:rsid w:val="008633A2"/>
    <w:rsid w:val="0086493C"/>
    <w:rsid w:val="00865249"/>
    <w:rsid w:val="008660C3"/>
    <w:rsid w:val="0086638F"/>
    <w:rsid w:val="008667DF"/>
    <w:rsid w:val="008671AB"/>
    <w:rsid w:val="00867840"/>
    <w:rsid w:val="008700D3"/>
    <w:rsid w:val="00870E11"/>
    <w:rsid w:val="008716D9"/>
    <w:rsid w:val="00873052"/>
    <w:rsid w:val="008731C0"/>
    <w:rsid w:val="00873492"/>
    <w:rsid w:val="008736A3"/>
    <w:rsid w:val="00873CE8"/>
    <w:rsid w:val="00873F0D"/>
    <w:rsid w:val="00874291"/>
    <w:rsid w:val="00874C05"/>
    <w:rsid w:val="00876875"/>
    <w:rsid w:val="0087697B"/>
    <w:rsid w:val="00876AD1"/>
    <w:rsid w:val="00876F1D"/>
    <w:rsid w:val="00877DE4"/>
    <w:rsid w:val="0088088B"/>
    <w:rsid w:val="00880915"/>
    <w:rsid w:val="008822D6"/>
    <w:rsid w:val="00882492"/>
    <w:rsid w:val="00882A26"/>
    <w:rsid w:val="00883444"/>
    <w:rsid w:val="0088458A"/>
    <w:rsid w:val="00884979"/>
    <w:rsid w:val="00884F5B"/>
    <w:rsid w:val="00885E9F"/>
    <w:rsid w:val="00886F38"/>
    <w:rsid w:val="0088720C"/>
    <w:rsid w:val="00890CD1"/>
    <w:rsid w:val="00890F30"/>
    <w:rsid w:val="0089100A"/>
    <w:rsid w:val="008912FE"/>
    <w:rsid w:val="0089249B"/>
    <w:rsid w:val="008927B8"/>
    <w:rsid w:val="008952EF"/>
    <w:rsid w:val="00895FE5"/>
    <w:rsid w:val="00897497"/>
    <w:rsid w:val="0089767D"/>
    <w:rsid w:val="00897790"/>
    <w:rsid w:val="008A0F15"/>
    <w:rsid w:val="008A2443"/>
    <w:rsid w:val="008A2B09"/>
    <w:rsid w:val="008A32D2"/>
    <w:rsid w:val="008A470A"/>
    <w:rsid w:val="008A5AE0"/>
    <w:rsid w:val="008A6E7E"/>
    <w:rsid w:val="008A73AD"/>
    <w:rsid w:val="008A7DB4"/>
    <w:rsid w:val="008B00B4"/>
    <w:rsid w:val="008B0D8F"/>
    <w:rsid w:val="008B11E4"/>
    <w:rsid w:val="008B17A7"/>
    <w:rsid w:val="008B18F2"/>
    <w:rsid w:val="008B1C8C"/>
    <w:rsid w:val="008B2446"/>
    <w:rsid w:val="008B2703"/>
    <w:rsid w:val="008B6761"/>
    <w:rsid w:val="008B68DD"/>
    <w:rsid w:val="008B6A77"/>
    <w:rsid w:val="008C051E"/>
    <w:rsid w:val="008C137D"/>
    <w:rsid w:val="008C1C8C"/>
    <w:rsid w:val="008C1EF7"/>
    <w:rsid w:val="008C64D5"/>
    <w:rsid w:val="008C69EA"/>
    <w:rsid w:val="008D1A4F"/>
    <w:rsid w:val="008D1CCE"/>
    <w:rsid w:val="008D2435"/>
    <w:rsid w:val="008D28EA"/>
    <w:rsid w:val="008D3059"/>
    <w:rsid w:val="008D3281"/>
    <w:rsid w:val="008D3323"/>
    <w:rsid w:val="008D3B8C"/>
    <w:rsid w:val="008D3D1F"/>
    <w:rsid w:val="008D411E"/>
    <w:rsid w:val="008D4538"/>
    <w:rsid w:val="008D5AB3"/>
    <w:rsid w:val="008D6210"/>
    <w:rsid w:val="008D7360"/>
    <w:rsid w:val="008D7ABE"/>
    <w:rsid w:val="008D7F5F"/>
    <w:rsid w:val="008E0624"/>
    <w:rsid w:val="008E09E6"/>
    <w:rsid w:val="008E1725"/>
    <w:rsid w:val="008E17DA"/>
    <w:rsid w:val="008E1EBD"/>
    <w:rsid w:val="008E4BF1"/>
    <w:rsid w:val="008E6279"/>
    <w:rsid w:val="008E77D0"/>
    <w:rsid w:val="008F05C4"/>
    <w:rsid w:val="008F0EB4"/>
    <w:rsid w:val="008F13EC"/>
    <w:rsid w:val="008F2FE9"/>
    <w:rsid w:val="008F3659"/>
    <w:rsid w:val="008F3A3E"/>
    <w:rsid w:val="008F4F57"/>
    <w:rsid w:val="008F56F4"/>
    <w:rsid w:val="008F5831"/>
    <w:rsid w:val="008F6775"/>
    <w:rsid w:val="008F6CB6"/>
    <w:rsid w:val="008F6CBC"/>
    <w:rsid w:val="008F71A8"/>
    <w:rsid w:val="008F7808"/>
    <w:rsid w:val="008F78DC"/>
    <w:rsid w:val="008F7F74"/>
    <w:rsid w:val="009010D2"/>
    <w:rsid w:val="00902557"/>
    <w:rsid w:val="00902638"/>
    <w:rsid w:val="00902659"/>
    <w:rsid w:val="00905305"/>
    <w:rsid w:val="009107B6"/>
    <w:rsid w:val="00912373"/>
    <w:rsid w:val="009125F2"/>
    <w:rsid w:val="00915B73"/>
    <w:rsid w:val="00915BBD"/>
    <w:rsid w:val="00916399"/>
    <w:rsid w:val="0091661D"/>
    <w:rsid w:val="009168E5"/>
    <w:rsid w:val="00916AA4"/>
    <w:rsid w:val="00916BAD"/>
    <w:rsid w:val="00921559"/>
    <w:rsid w:val="00921CCF"/>
    <w:rsid w:val="009225BB"/>
    <w:rsid w:val="009235EF"/>
    <w:rsid w:val="00923A5D"/>
    <w:rsid w:val="00923CA6"/>
    <w:rsid w:val="00923CC1"/>
    <w:rsid w:val="00924089"/>
    <w:rsid w:val="009244DE"/>
    <w:rsid w:val="0092461E"/>
    <w:rsid w:val="009249BD"/>
    <w:rsid w:val="00924C5F"/>
    <w:rsid w:val="00925089"/>
    <w:rsid w:val="009311E3"/>
    <w:rsid w:val="0093282D"/>
    <w:rsid w:val="009331C6"/>
    <w:rsid w:val="009334CB"/>
    <w:rsid w:val="0093361E"/>
    <w:rsid w:val="0093372D"/>
    <w:rsid w:val="00934D3C"/>
    <w:rsid w:val="00937200"/>
    <w:rsid w:val="0093735E"/>
    <w:rsid w:val="00940879"/>
    <w:rsid w:val="00940B5C"/>
    <w:rsid w:val="00940C92"/>
    <w:rsid w:val="00941F84"/>
    <w:rsid w:val="00944218"/>
    <w:rsid w:val="00944C57"/>
    <w:rsid w:val="00947F30"/>
    <w:rsid w:val="0095118F"/>
    <w:rsid w:val="00951474"/>
    <w:rsid w:val="009518F7"/>
    <w:rsid w:val="00951DFC"/>
    <w:rsid w:val="00952FAD"/>
    <w:rsid w:val="00953837"/>
    <w:rsid w:val="00953E57"/>
    <w:rsid w:val="00953F56"/>
    <w:rsid w:val="0095410F"/>
    <w:rsid w:val="00955302"/>
    <w:rsid w:val="00955677"/>
    <w:rsid w:val="009574C4"/>
    <w:rsid w:val="00957A90"/>
    <w:rsid w:val="0096083B"/>
    <w:rsid w:val="00962372"/>
    <w:rsid w:val="0096305E"/>
    <w:rsid w:val="00964685"/>
    <w:rsid w:val="0096714F"/>
    <w:rsid w:val="0096736B"/>
    <w:rsid w:val="009679D3"/>
    <w:rsid w:val="00970429"/>
    <w:rsid w:val="009715C3"/>
    <w:rsid w:val="00971B59"/>
    <w:rsid w:val="00972373"/>
    <w:rsid w:val="00972EC6"/>
    <w:rsid w:val="00973D14"/>
    <w:rsid w:val="009762A1"/>
    <w:rsid w:val="00976CF0"/>
    <w:rsid w:val="009774D0"/>
    <w:rsid w:val="00977753"/>
    <w:rsid w:val="00977DE7"/>
    <w:rsid w:val="009819B7"/>
    <w:rsid w:val="00981F3D"/>
    <w:rsid w:val="0098223B"/>
    <w:rsid w:val="00983D15"/>
    <w:rsid w:val="00985CFE"/>
    <w:rsid w:val="00987564"/>
    <w:rsid w:val="00990C25"/>
    <w:rsid w:val="00990D9C"/>
    <w:rsid w:val="00991452"/>
    <w:rsid w:val="00992D64"/>
    <w:rsid w:val="00992E2A"/>
    <w:rsid w:val="0099331F"/>
    <w:rsid w:val="00993739"/>
    <w:rsid w:val="00995144"/>
    <w:rsid w:val="009952C3"/>
    <w:rsid w:val="00995B6D"/>
    <w:rsid w:val="009973E4"/>
    <w:rsid w:val="00997551"/>
    <w:rsid w:val="00997D9E"/>
    <w:rsid w:val="009A33EC"/>
    <w:rsid w:val="009A466E"/>
    <w:rsid w:val="009A54B1"/>
    <w:rsid w:val="009A54BB"/>
    <w:rsid w:val="009A7891"/>
    <w:rsid w:val="009B0CD4"/>
    <w:rsid w:val="009B2032"/>
    <w:rsid w:val="009B22A7"/>
    <w:rsid w:val="009B22CC"/>
    <w:rsid w:val="009B2B83"/>
    <w:rsid w:val="009B3CB2"/>
    <w:rsid w:val="009B3FAC"/>
    <w:rsid w:val="009B4C71"/>
    <w:rsid w:val="009B6684"/>
    <w:rsid w:val="009C094B"/>
    <w:rsid w:val="009C0C6D"/>
    <w:rsid w:val="009C385D"/>
    <w:rsid w:val="009C3F77"/>
    <w:rsid w:val="009C661C"/>
    <w:rsid w:val="009C6CCE"/>
    <w:rsid w:val="009D1AE9"/>
    <w:rsid w:val="009D2296"/>
    <w:rsid w:val="009D3283"/>
    <w:rsid w:val="009D3634"/>
    <w:rsid w:val="009D7555"/>
    <w:rsid w:val="009E1162"/>
    <w:rsid w:val="009E1377"/>
    <w:rsid w:val="009E14B7"/>
    <w:rsid w:val="009E22EE"/>
    <w:rsid w:val="009E2F5F"/>
    <w:rsid w:val="009E3037"/>
    <w:rsid w:val="009E3733"/>
    <w:rsid w:val="009E39DF"/>
    <w:rsid w:val="009E46E4"/>
    <w:rsid w:val="009E7802"/>
    <w:rsid w:val="009F034E"/>
    <w:rsid w:val="009F111A"/>
    <w:rsid w:val="009F2C91"/>
    <w:rsid w:val="009F34AB"/>
    <w:rsid w:val="009F396B"/>
    <w:rsid w:val="009F4086"/>
    <w:rsid w:val="009F4537"/>
    <w:rsid w:val="009F48A5"/>
    <w:rsid w:val="009F4F86"/>
    <w:rsid w:val="009F524B"/>
    <w:rsid w:val="009F5CF4"/>
    <w:rsid w:val="009F5E7B"/>
    <w:rsid w:val="009F624D"/>
    <w:rsid w:val="009F729E"/>
    <w:rsid w:val="00A001FF"/>
    <w:rsid w:val="00A0060F"/>
    <w:rsid w:val="00A03465"/>
    <w:rsid w:val="00A03B0E"/>
    <w:rsid w:val="00A04187"/>
    <w:rsid w:val="00A04CDF"/>
    <w:rsid w:val="00A05AF5"/>
    <w:rsid w:val="00A06EAC"/>
    <w:rsid w:val="00A0796F"/>
    <w:rsid w:val="00A07A13"/>
    <w:rsid w:val="00A103DB"/>
    <w:rsid w:val="00A10851"/>
    <w:rsid w:val="00A10C55"/>
    <w:rsid w:val="00A11A2A"/>
    <w:rsid w:val="00A12A9F"/>
    <w:rsid w:val="00A13212"/>
    <w:rsid w:val="00A13884"/>
    <w:rsid w:val="00A166FF"/>
    <w:rsid w:val="00A16AA4"/>
    <w:rsid w:val="00A2058A"/>
    <w:rsid w:val="00A218FC"/>
    <w:rsid w:val="00A25492"/>
    <w:rsid w:val="00A268B1"/>
    <w:rsid w:val="00A278B5"/>
    <w:rsid w:val="00A30BF5"/>
    <w:rsid w:val="00A316FF"/>
    <w:rsid w:val="00A323BF"/>
    <w:rsid w:val="00A32ACE"/>
    <w:rsid w:val="00A33D37"/>
    <w:rsid w:val="00A362CD"/>
    <w:rsid w:val="00A369C3"/>
    <w:rsid w:val="00A36CF4"/>
    <w:rsid w:val="00A376FC"/>
    <w:rsid w:val="00A4056F"/>
    <w:rsid w:val="00A40FEC"/>
    <w:rsid w:val="00A41086"/>
    <w:rsid w:val="00A42142"/>
    <w:rsid w:val="00A4228A"/>
    <w:rsid w:val="00A43E3D"/>
    <w:rsid w:val="00A44F75"/>
    <w:rsid w:val="00A455C8"/>
    <w:rsid w:val="00A45E61"/>
    <w:rsid w:val="00A506AA"/>
    <w:rsid w:val="00A513D7"/>
    <w:rsid w:val="00A53835"/>
    <w:rsid w:val="00A55728"/>
    <w:rsid w:val="00A563C1"/>
    <w:rsid w:val="00A564A7"/>
    <w:rsid w:val="00A60E31"/>
    <w:rsid w:val="00A62CEC"/>
    <w:rsid w:val="00A62E89"/>
    <w:rsid w:val="00A63027"/>
    <w:rsid w:val="00A64D8D"/>
    <w:rsid w:val="00A66D21"/>
    <w:rsid w:val="00A71490"/>
    <w:rsid w:val="00A723E8"/>
    <w:rsid w:val="00A729C2"/>
    <w:rsid w:val="00A73092"/>
    <w:rsid w:val="00A7334C"/>
    <w:rsid w:val="00A73C9E"/>
    <w:rsid w:val="00A753EA"/>
    <w:rsid w:val="00A75493"/>
    <w:rsid w:val="00A761CF"/>
    <w:rsid w:val="00A769F2"/>
    <w:rsid w:val="00A8069C"/>
    <w:rsid w:val="00A8138B"/>
    <w:rsid w:val="00A816AC"/>
    <w:rsid w:val="00A8197A"/>
    <w:rsid w:val="00A81D2F"/>
    <w:rsid w:val="00A829E0"/>
    <w:rsid w:val="00A8332A"/>
    <w:rsid w:val="00A83589"/>
    <w:rsid w:val="00A83D72"/>
    <w:rsid w:val="00A8493E"/>
    <w:rsid w:val="00A8659F"/>
    <w:rsid w:val="00A86828"/>
    <w:rsid w:val="00A876C6"/>
    <w:rsid w:val="00A909BD"/>
    <w:rsid w:val="00A91E11"/>
    <w:rsid w:val="00A91F46"/>
    <w:rsid w:val="00A924B7"/>
    <w:rsid w:val="00A92C32"/>
    <w:rsid w:val="00A95CC8"/>
    <w:rsid w:val="00A95E91"/>
    <w:rsid w:val="00A97440"/>
    <w:rsid w:val="00AA1622"/>
    <w:rsid w:val="00AA2AB7"/>
    <w:rsid w:val="00AA321A"/>
    <w:rsid w:val="00AA7049"/>
    <w:rsid w:val="00AA778F"/>
    <w:rsid w:val="00AA7941"/>
    <w:rsid w:val="00AA7A8D"/>
    <w:rsid w:val="00AB0507"/>
    <w:rsid w:val="00AB0D15"/>
    <w:rsid w:val="00AB1620"/>
    <w:rsid w:val="00AB198F"/>
    <w:rsid w:val="00AB21DE"/>
    <w:rsid w:val="00AB2331"/>
    <w:rsid w:val="00AB2EB2"/>
    <w:rsid w:val="00AB3578"/>
    <w:rsid w:val="00AB36FD"/>
    <w:rsid w:val="00AB3BE1"/>
    <w:rsid w:val="00AB4466"/>
    <w:rsid w:val="00AB4A1F"/>
    <w:rsid w:val="00AB73D2"/>
    <w:rsid w:val="00AC03C0"/>
    <w:rsid w:val="00AC0EE0"/>
    <w:rsid w:val="00AC1C2D"/>
    <w:rsid w:val="00AC205F"/>
    <w:rsid w:val="00AC4318"/>
    <w:rsid w:val="00AC4564"/>
    <w:rsid w:val="00AC5617"/>
    <w:rsid w:val="00AC601E"/>
    <w:rsid w:val="00AC7297"/>
    <w:rsid w:val="00AC7448"/>
    <w:rsid w:val="00AC7484"/>
    <w:rsid w:val="00AC7E10"/>
    <w:rsid w:val="00AD0275"/>
    <w:rsid w:val="00AD055B"/>
    <w:rsid w:val="00AD088D"/>
    <w:rsid w:val="00AD118C"/>
    <w:rsid w:val="00AD1349"/>
    <w:rsid w:val="00AD24A1"/>
    <w:rsid w:val="00AD2DC0"/>
    <w:rsid w:val="00AD3EFC"/>
    <w:rsid w:val="00AD4710"/>
    <w:rsid w:val="00AD4DA4"/>
    <w:rsid w:val="00AD65AD"/>
    <w:rsid w:val="00AD6D60"/>
    <w:rsid w:val="00AD7546"/>
    <w:rsid w:val="00AD769E"/>
    <w:rsid w:val="00AE02B9"/>
    <w:rsid w:val="00AE043F"/>
    <w:rsid w:val="00AE0FFD"/>
    <w:rsid w:val="00AE24A6"/>
    <w:rsid w:val="00AE36DE"/>
    <w:rsid w:val="00AE3A9B"/>
    <w:rsid w:val="00AE466D"/>
    <w:rsid w:val="00AE4F32"/>
    <w:rsid w:val="00AE5782"/>
    <w:rsid w:val="00AE604B"/>
    <w:rsid w:val="00AE6859"/>
    <w:rsid w:val="00AE75D5"/>
    <w:rsid w:val="00AE76CB"/>
    <w:rsid w:val="00AE76FF"/>
    <w:rsid w:val="00AF1F4C"/>
    <w:rsid w:val="00AF24BE"/>
    <w:rsid w:val="00AF2E24"/>
    <w:rsid w:val="00AF49BE"/>
    <w:rsid w:val="00AF5303"/>
    <w:rsid w:val="00AF53F1"/>
    <w:rsid w:val="00AF675C"/>
    <w:rsid w:val="00AF77E5"/>
    <w:rsid w:val="00AF78FA"/>
    <w:rsid w:val="00B003CF"/>
    <w:rsid w:val="00B014D0"/>
    <w:rsid w:val="00B02E15"/>
    <w:rsid w:val="00B032D0"/>
    <w:rsid w:val="00B03442"/>
    <w:rsid w:val="00B042CB"/>
    <w:rsid w:val="00B047D3"/>
    <w:rsid w:val="00B04EBB"/>
    <w:rsid w:val="00B05CAC"/>
    <w:rsid w:val="00B0759E"/>
    <w:rsid w:val="00B10751"/>
    <w:rsid w:val="00B11940"/>
    <w:rsid w:val="00B11CD1"/>
    <w:rsid w:val="00B15DD9"/>
    <w:rsid w:val="00B160DF"/>
    <w:rsid w:val="00B161D7"/>
    <w:rsid w:val="00B17DA9"/>
    <w:rsid w:val="00B2146E"/>
    <w:rsid w:val="00B21EFE"/>
    <w:rsid w:val="00B21FC8"/>
    <w:rsid w:val="00B2547C"/>
    <w:rsid w:val="00B266EA"/>
    <w:rsid w:val="00B309C5"/>
    <w:rsid w:val="00B30C5E"/>
    <w:rsid w:val="00B30CC2"/>
    <w:rsid w:val="00B31ABF"/>
    <w:rsid w:val="00B32416"/>
    <w:rsid w:val="00B3271C"/>
    <w:rsid w:val="00B32D57"/>
    <w:rsid w:val="00B35454"/>
    <w:rsid w:val="00B356F6"/>
    <w:rsid w:val="00B363A5"/>
    <w:rsid w:val="00B36D39"/>
    <w:rsid w:val="00B41256"/>
    <w:rsid w:val="00B415B3"/>
    <w:rsid w:val="00B419BC"/>
    <w:rsid w:val="00B41CA8"/>
    <w:rsid w:val="00B41D81"/>
    <w:rsid w:val="00B420C9"/>
    <w:rsid w:val="00B42D0F"/>
    <w:rsid w:val="00B4329B"/>
    <w:rsid w:val="00B441AE"/>
    <w:rsid w:val="00B45774"/>
    <w:rsid w:val="00B45BE3"/>
    <w:rsid w:val="00B45DD6"/>
    <w:rsid w:val="00B46486"/>
    <w:rsid w:val="00B46C24"/>
    <w:rsid w:val="00B46CA5"/>
    <w:rsid w:val="00B46FFB"/>
    <w:rsid w:val="00B47285"/>
    <w:rsid w:val="00B47575"/>
    <w:rsid w:val="00B47D72"/>
    <w:rsid w:val="00B5026F"/>
    <w:rsid w:val="00B503BF"/>
    <w:rsid w:val="00B50593"/>
    <w:rsid w:val="00B50C43"/>
    <w:rsid w:val="00B516F8"/>
    <w:rsid w:val="00B520F1"/>
    <w:rsid w:val="00B53F54"/>
    <w:rsid w:val="00B54CC3"/>
    <w:rsid w:val="00B60F07"/>
    <w:rsid w:val="00B610A5"/>
    <w:rsid w:val="00B633E6"/>
    <w:rsid w:val="00B640FC"/>
    <w:rsid w:val="00B64A95"/>
    <w:rsid w:val="00B64C22"/>
    <w:rsid w:val="00B6548A"/>
    <w:rsid w:val="00B65ADE"/>
    <w:rsid w:val="00B67B32"/>
    <w:rsid w:val="00B70D87"/>
    <w:rsid w:val="00B718F9"/>
    <w:rsid w:val="00B71B6F"/>
    <w:rsid w:val="00B72F00"/>
    <w:rsid w:val="00B7305C"/>
    <w:rsid w:val="00B73665"/>
    <w:rsid w:val="00B73C34"/>
    <w:rsid w:val="00B73EF4"/>
    <w:rsid w:val="00B74A42"/>
    <w:rsid w:val="00B756A9"/>
    <w:rsid w:val="00B75C7D"/>
    <w:rsid w:val="00B76659"/>
    <w:rsid w:val="00B773F7"/>
    <w:rsid w:val="00B777AA"/>
    <w:rsid w:val="00B77DFA"/>
    <w:rsid w:val="00B81824"/>
    <w:rsid w:val="00B828ED"/>
    <w:rsid w:val="00B82BE6"/>
    <w:rsid w:val="00B8347A"/>
    <w:rsid w:val="00B835E2"/>
    <w:rsid w:val="00B84A64"/>
    <w:rsid w:val="00B84A76"/>
    <w:rsid w:val="00B8555F"/>
    <w:rsid w:val="00B855A0"/>
    <w:rsid w:val="00B85F6D"/>
    <w:rsid w:val="00B8622B"/>
    <w:rsid w:val="00B86830"/>
    <w:rsid w:val="00B86A00"/>
    <w:rsid w:val="00B9041F"/>
    <w:rsid w:val="00B9178F"/>
    <w:rsid w:val="00B91FBC"/>
    <w:rsid w:val="00B9341A"/>
    <w:rsid w:val="00B934ED"/>
    <w:rsid w:val="00B97128"/>
    <w:rsid w:val="00B97867"/>
    <w:rsid w:val="00B97972"/>
    <w:rsid w:val="00BA05E4"/>
    <w:rsid w:val="00BA156D"/>
    <w:rsid w:val="00BA24F7"/>
    <w:rsid w:val="00BA35C0"/>
    <w:rsid w:val="00BA4E11"/>
    <w:rsid w:val="00BA5D8D"/>
    <w:rsid w:val="00BA639E"/>
    <w:rsid w:val="00BA6AF1"/>
    <w:rsid w:val="00BA7DA2"/>
    <w:rsid w:val="00BB1641"/>
    <w:rsid w:val="00BB1B15"/>
    <w:rsid w:val="00BB2A36"/>
    <w:rsid w:val="00BB31BC"/>
    <w:rsid w:val="00BB3EC8"/>
    <w:rsid w:val="00BB552E"/>
    <w:rsid w:val="00BB5F15"/>
    <w:rsid w:val="00BB6921"/>
    <w:rsid w:val="00BB6B5F"/>
    <w:rsid w:val="00BB7650"/>
    <w:rsid w:val="00BB7670"/>
    <w:rsid w:val="00BC1E7F"/>
    <w:rsid w:val="00BC253D"/>
    <w:rsid w:val="00BC36F9"/>
    <w:rsid w:val="00BC38F7"/>
    <w:rsid w:val="00BC4FA2"/>
    <w:rsid w:val="00BC51BB"/>
    <w:rsid w:val="00BC5BEE"/>
    <w:rsid w:val="00BC5E7A"/>
    <w:rsid w:val="00BC7A92"/>
    <w:rsid w:val="00BD04D5"/>
    <w:rsid w:val="00BD0A4E"/>
    <w:rsid w:val="00BD15C1"/>
    <w:rsid w:val="00BD345F"/>
    <w:rsid w:val="00BD36DD"/>
    <w:rsid w:val="00BD3FB9"/>
    <w:rsid w:val="00BD42C5"/>
    <w:rsid w:val="00BD4329"/>
    <w:rsid w:val="00BD5A3B"/>
    <w:rsid w:val="00BD653F"/>
    <w:rsid w:val="00BD6672"/>
    <w:rsid w:val="00BD6678"/>
    <w:rsid w:val="00BD71A1"/>
    <w:rsid w:val="00BD74BC"/>
    <w:rsid w:val="00BE05B9"/>
    <w:rsid w:val="00BE0ED3"/>
    <w:rsid w:val="00BE0F60"/>
    <w:rsid w:val="00BE109F"/>
    <w:rsid w:val="00BE1D4A"/>
    <w:rsid w:val="00BE2D70"/>
    <w:rsid w:val="00BE4682"/>
    <w:rsid w:val="00BE4AA1"/>
    <w:rsid w:val="00BE515B"/>
    <w:rsid w:val="00BE57BB"/>
    <w:rsid w:val="00BE5EF2"/>
    <w:rsid w:val="00BE6833"/>
    <w:rsid w:val="00BE6CE4"/>
    <w:rsid w:val="00BE7763"/>
    <w:rsid w:val="00BF16A8"/>
    <w:rsid w:val="00BF19D0"/>
    <w:rsid w:val="00BF1DD0"/>
    <w:rsid w:val="00BF39A8"/>
    <w:rsid w:val="00BF48E6"/>
    <w:rsid w:val="00BF4E73"/>
    <w:rsid w:val="00BF53B6"/>
    <w:rsid w:val="00BF6213"/>
    <w:rsid w:val="00BF6D6F"/>
    <w:rsid w:val="00BF7077"/>
    <w:rsid w:val="00BF79E2"/>
    <w:rsid w:val="00C01341"/>
    <w:rsid w:val="00C02735"/>
    <w:rsid w:val="00C04077"/>
    <w:rsid w:val="00C041A3"/>
    <w:rsid w:val="00C05032"/>
    <w:rsid w:val="00C05D9C"/>
    <w:rsid w:val="00C078EA"/>
    <w:rsid w:val="00C10249"/>
    <w:rsid w:val="00C10481"/>
    <w:rsid w:val="00C1217A"/>
    <w:rsid w:val="00C121EA"/>
    <w:rsid w:val="00C12544"/>
    <w:rsid w:val="00C132A5"/>
    <w:rsid w:val="00C14CA4"/>
    <w:rsid w:val="00C14CE3"/>
    <w:rsid w:val="00C14EDF"/>
    <w:rsid w:val="00C155FA"/>
    <w:rsid w:val="00C15AA7"/>
    <w:rsid w:val="00C161FB"/>
    <w:rsid w:val="00C169E4"/>
    <w:rsid w:val="00C175CA"/>
    <w:rsid w:val="00C1798D"/>
    <w:rsid w:val="00C204F8"/>
    <w:rsid w:val="00C20AC1"/>
    <w:rsid w:val="00C21130"/>
    <w:rsid w:val="00C21391"/>
    <w:rsid w:val="00C216CB"/>
    <w:rsid w:val="00C22682"/>
    <w:rsid w:val="00C22CAE"/>
    <w:rsid w:val="00C23144"/>
    <w:rsid w:val="00C24A8E"/>
    <w:rsid w:val="00C24D98"/>
    <w:rsid w:val="00C24F4F"/>
    <w:rsid w:val="00C26EDD"/>
    <w:rsid w:val="00C278BD"/>
    <w:rsid w:val="00C27F92"/>
    <w:rsid w:val="00C30A52"/>
    <w:rsid w:val="00C30B67"/>
    <w:rsid w:val="00C32E09"/>
    <w:rsid w:val="00C33115"/>
    <w:rsid w:val="00C33B58"/>
    <w:rsid w:val="00C33FC0"/>
    <w:rsid w:val="00C378D2"/>
    <w:rsid w:val="00C41CCA"/>
    <w:rsid w:val="00C4427A"/>
    <w:rsid w:val="00C44CFA"/>
    <w:rsid w:val="00C47AAF"/>
    <w:rsid w:val="00C47BB2"/>
    <w:rsid w:val="00C512C8"/>
    <w:rsid w:val="00C513C2"/>
    <w:rsid w:val="00C51C1A"/>
    <w:rsid w:val="00C52CDF"/>
    <w:rsid w:val="00C52E5C"/>
    <w:rsid w:val="00C54340"/>
    <w:rsid w:val="00C578FB"/>
    <w:rsid w:val="00C604CE"/>
    <w:rsid w:val="00C609FE"/>
    <w:rsid w:val="00C60E0A"/>
    <w:rsid w:val="00C61DE3"/>
    <w:rsid w:val="00C6265D"/>
    <w:rsid w:val="00C64250"/>
    <w:rsid w:val="00C647A6"/>
    <w:rsid w:val="00C64AAC"/>
    <w:rsid w:val="00C64C9B"/>
    <w:rsid w:val="00C65226"/>
    <w:rsid w:val="00C668A5"/>
    <w:rsid w:val="00C676B2"/>
    <w:rsid w:val="00C6785C"/>
    <w:rsid w:val="00C67B4D"/>
    <w:rsid w:val="00C70BD6"/>
    <w:rsid w:val="00C7201F"/>
    <w:rsid w:val="00C72A64"/>
    <w:rsid w:val="00C72C32"/>
    <w:rsid w:val="00C73ADC"/>
    <w:rsid w:val="00C7435F"/>
    <w:rsid w:val="00C74D4D"/>
    <w:rsid w:val="00C80AB6"/>
    <w:rsid w:val="00C81175"/>
    <w:rsid w:val="00C82550"/>
    <w:rsid w:val="00C8348A"/>
    <w:rsid w:val="00C86A72"/>
    <w:rsid w:val="00C90692"/>
    <w:rsid w:val="00C90987"/>
    <w:rsid w:val="00C92155"/>
    <w:rsid w:val="00C9223B"/>
    <w:rsid w:val="00C92313"/>
    <w:rsid w:val="00C923D4"/>
    <w:rsid w:val="00C9358A"/>
    <w:rsid w:val="00C93A4F"/>
    <w:rsid w:val="00C94D36"/>
    <w:rsid w:val="00C965A4"/>
    <w:rsid w:val="00C967DE"/>
    <w:rsid w:val="00C97A68"/>
    <w:rsid w:val="00CA0091"/>
    <w:rsid w:val="00CA2853"/>
    <w:rsid w:val="00CA364B"/>
    <w:rsid w:val="00CA4583"/>
    <w:rsid w:val="00CA5C78"/>
    <w:rsid w:val="00CA612D"/>
    <w:rsid w:val="00CA6773"/>
    <w:rsid w:val="00CB0261"/>
    <w:rsid w:val="00CB04D9"/>
    <w:rsid w:val="00CB0C3A"/>
    <w:rsid w:val="00CB10C2"/>
    <w:rsid w:val="00CB1342"/>
    <w:rsid w:val="00CB16EE"/>
    <w:rsid w:val="00CB1EDF"/>
    <w:rsid w:val="00CB25DB"/>
    <w:rsid w:val="00CB2FCD"/>
    <w:rsid w:val="00CB319E"/>
    <w:rsid w:val="00CB3D1B"/>
    <w:rsid w:val="00CB529E"/>
    <w:rsid w:val="00CB63A2"/>
    <w:rsid w:val="00CB6F86"/>
    <w:rsid w:val="00CB7C02"/>
    <w:rsid w:val="00CC01BC"/>
    <w:rsid w:val="00CC1B72"/>
    <w:rsid w:val="00CC26EB"/>
    <w:rsid w:val="00CC283B"/>
    <w:rsid w:val="00CC330B"/>
    <w:rsid w:val="00CC3862"/>
    <w:rsid w:val="00CC43BA"/>
    <w:rsid w:val="00CC5390"/>
    <w:rsid w:val="00CC57F8"/>
    <w:rsid w:val="00CC73A0"/>
    <w:rsid w:val="00CC7F94"/>
    <w:rsid w:val="00CD034D"/>
    <w:rsid w:val="00CD0D19"/>
    <w:rsid w:val="00CD1359"/>
    <w:rsid w:val="00CD151E"/>
    <w:rsid w:val="00CD466A"/>
    <w:rsid w:val="00CD56D3"/>
    <w:rsid w:val="00CD65C7"/>
    <w:rsid w:val="00CD6D13"/>
    <w:rsid w:val="00CD7274"/>
    <w:rsid w:val="00CD7FB3"/>
    <w:rsid w:val="00CE0303"/>
    <w:rsid w:val="00CE1E3D"/>
    <w:rsid w:val="00CE20A7"/>
    <w:rsid w:val="00CE3002"/>
    <w:rsid w:val="00CE4901"/>
    <w:rsid w:val="00CE4EF2"/>
    <w:rsid w:val="00CE644F"/>
    <w:rsid w:val="00CE79B2"/>
    <w:rsid w:val="00CF1822"/>
    <w:rsid w:val="00CF4AD5"/>
    <w:rsid w:val="00CF4D98"/>
    <w:rsid w:val="00CF4F1B"/>
    <w:rsid w:val="00CF4F23"/>
    <w:rsid w:val="00CF5FF3"/>
    <w:rsid w:val="00CF6428"/>
    <w:rsid w:val="00CF6E51"/>
    <w:rsid w:val="00CF7985"/>
    <w:rsid w:val="00D02EBC"/>
    <w:rsid w:val="00D0323E"/>
    <w:rsid w:val="00D03902"/>
    <w:rsid w:val="00D056AB"/>
    <w:rsid w:val="00D0588B"/>
    <w:rsid w:val="00D06041"/>
    <w:rsid w:val="00D06365"/>
    <w:rsid w:val="00D063A3"/>
    <w:rsid w:val="00D068B7"/>
    <w:rsid w:val="00D07AC9"/>
    <w:rsid w:val="00D10D7E"/>
    <w:rsid w:val="00D1125C"/>
    <w:rsid w:val="00D12815"/>
    <w:rsid w:val="00D128D1"/>
    <w:rsid w:val="00D13843"/>
    <w:rsid w:val="00D15B26"/>
    <w:rsid w:val="00D15F20"/>
    <w:rsid w:val="00D1718D"/>
    <w:rsid w:val="00D20F0D"/>
    <w:rsid w:val="00D2202B"/>
    <w:rsid w:val="00D224AF"/>
    <w:rsid w:val="00D2295D"/>
    <w:rsid w:val="00D23195"/>
    <w:rsid w:val="00D236A1"/>
    <w:rsid w:val="00D23A26"/>
    <w:rsid w:val="00D2499E"/>
    <w:rsid w:val="00D24D52"/>
    <w:rsid w:val="00D24EFB"/>
    <w:rsid w:val="00D25A7D"/>
    <w:rsid w:val="00D25C28"/>
    <w:rsid w:val="00D26352"/>
    <w:rsid w:val="00D275C3"/>
    <w:rsid w:val="00D27EA0"/>
    <w:rsid w:val="00D31906"/>
    <w:rsid w:val="00D328E5"/>
    <w:rsid w:val="00D33692"/>
    <w:rsid w:val="00D340C3"/>
    <w:rsid w:val="00D3584B"/>
    <w:rsid w:val="00D377AC"/>
    <w:rsid w:val="00D37F2D"/>
    <w:rsid w:val="00D40603"/>
    <w:rsid w:val="00D4079C"/>
    <w:rsid w:val="00D417CC"/>
    <w:rsid w:val="00D418F0"/>
    <w:rsid w:val="00D4454A"/>
    <w:rsid w:val="00D44845"/>
    <w:rsid w:val="00D449CF"/>
    <w:rsid w:val="00D44B2A"/>
    <w:rsid w:val="00D44F8F"/>
    <w:rsid w:val="00D46488"/>
    <w:rsid w:val="00D466ED"/>
    <w:rsid w:val="00D50777"/>
    <w:rsid w:val="00D512B7"/>
    <w:rsid w:val="00D551B4"/>
    <w:rsid w:val="00D55229"/>
    <w:rsid w:val="00D560F9"/>
    <w:rsid w:val="00D5651E"/>
    <w:rsid w:val="00D57128"/>
    <w:rsid w:val="00D573EA"/>
    <w:rsid w:val="00D57520"/>
    <w:rsid w:val="00D57BE7"/>
    <w:rsid w:val="00D611C0"/>
    <w:rsid w:val="00D61427"/>
    <w:rsid w:val="00D61F75"/>
    <w:rsid w:val="00D62858"/>
    <w:rsid w:val="00D632FE"/>
    <w:rsid w:val="00D63325"/>
    <w:rsid w:val="00D63E2F"/>
    <w:rsid w:val="00D65181"/>
    <w:rsid w:val="00D6525D"/>
    <w:rsid w:val="00D70125"/>
    <w:rsid w:val="00D72AD7"/>
    <w:rsid w:val="00D7340C"/>
    <w:rsid w:val="00D747CD"/>
    <w:rsid w:val="00D74943"/>
    <w:rsid w:val="00D769D5"/>
    <w:rsid w:val="00D76E6D"/>
    <w:rsid w:val="00D77760"/>
    <w:rsid w:val="00D77D43"/>
    <w:rsid w:val="00D8063B"/>
    <w:rsid w:val="00D80B77"/>
    <w:rsid w:val="00D80E8E"/>
    <w:rsid w:val="00D81165"/>
    <w:rsid w:val="00D81B83"/>
    <w:rsid w:val="00D82A5D"/>
    <w:rsid w:val="00D842C5"/>
    <w:rsid w:val="00D85024"/>
    <w:rsid w:val="00D868E7"/>
    <w:rsid w:val="00D870AE"/>
    <w:rsid w:val="00D876D2"/>
    <w:rsid w:val="00D90774"/>
    <w:rsid w:val="00D91362"/>
    <w:rsid w:val="00D9136A"/>
    <w:rsid w:val="00D93A19"/>
    <w:rsid w:val="00D93FB8"/>
    <w:rsid w:val="00D949D5"/>
    <w:rsid w:val="00D951B6"/>
    <w:rsid w:val="00D95B0C"/>
    <w:rsid w:val="00D96114"/>
    <w:rsid w:val="00D97344"/>
    <w:rsid w:val="00D97935"/>
    <w:rsid w:val="00DA0352"/>
    <w:rsid w:val="00DA1129"/>
    <w:rsid w:val="00DA13E7"/>
    <w:rsid w:val="00DA1A7B"/>
    <w:rsid w:val="00DA23F0"/>
    <w:rsid w:val="00DA2614"/>
    <w:rsid w:val="00DA2BA1"/>
    <w:rsid w:val="00DA2C5B"/>
    <w:rsid w:val="00DA7FA9"/>
    <w:rsid w:val="00DB1E2C"/>
    <w:rsid w:val="00DB2F7F"/>
    <w:rsid w:val="00DB3700"/>
    <w:rsid w:val="00DB43C7"/>
    <w:rsid w:val="00DB4F7A"/>
    <w:rsid w:val="00DB7E65"/>
    <w:rsid w:val="00DC00C7"/>
    <w:rsid w:val="00DC0B90"/>
    <w:rsid w:val="00DC0E05"/>
    <w:rsid w:val="00DC14D5"/>
    <w:rsid w:val="00DC27A8"/>
    <w:rsid w:val="00DC316B"/>
    <w:rsid w:val="00DC33DC"/>
    <w:rsid w:val="00DC5330"/>
    <w:rsid w:val="00DC775D"/>
    <w:rsid w:val="00DC7933"/>
    <w:rsid w:val="00DC7A00"/>
    <w:rsid w:val="00DD316E"/>
    <w:rsid w:val="00DD318B"/>
    <w:rsid w:val="00DD33C5"/>
    <w:rsid w:val="00DD3656"/>
    <w:rsid w:val="00DD3895"/>
    <w:rsid w:val="00DD3E93"/>
    <w:rsid w:val="00DD4E1A"/>
    <w:rsid w:val="00DD5513"/>
    <w:rsid w:val="00DD5568"/>
    <w:rsid w:val="00DD6989"/>
    <w:rsid w:val="00DD7ECE"/>
    <w:rsid w:val="00DE1615"/>
    <w:rsid w:val="00DE173B"/>
    <w:rsid w:val="00DE24E9"/>
    <w:rsid w:val="00DE3565"/>
    <w:rsid w:val="00DE3D95"/>
    <w:rsid w:val="00DE4B13"/>
    <w:rsid w:val="00DE4C7C"/>
    <w:rsid w:val="00DE5FFF"/>
    <w:rsid w:val="00DE64F8"/>
    <w:rsid w:val="00DF0621"/>
    <w:rsid w:val="00DF10B3"/>
    <w:rsid w:val="00DF270C"/>
    <w:rsid w:val="00DF2903"/>
    <w:rsid w:val="00DF40EF"/>
    <w:rsid w:val="00DF4638"/>
    <w:rsid w:val="00DF52EB"/>
    <w:rsid w:val="00DF553B"/>
    <w:rsid w:val="00DF6CA7"/>
    <w:rsid w:val="00DF70EB"/>
    <w:rsid w:val="00DF7833"/>
    <w:rsid w:val="00E003A6"/>
    <w:rsid w:val="00E005ED"/>
    <w:rsid w:val="00E01AA0"/>
    <w:rsid w:val="00E022A6"/>
    <w:rsid w:val="00E02515"/>
    <w:rsid w:val="00E02886"/>
    <w:rsid w:val="00E02B15"/>
    <w:rsid w:val="00E03C26"/>
    <w:rsid w:val="00E0457B"/>
    <w:rsid w:val="00E04F31"/>
    <w:rsid w:val="00E05439"/>
    <w:rsid w:val="00E071C0"/>
    <w:rsid w:val="00E1199D"/>
    <w:rsid w:val="00E12419"/>
    <w:rsid w:val="00E12907"/>
    <w:rsid w:val="00E146A8"/>
    <w:rsid w:val="00E14DFF"/>
    <w:rsid w:val="00E17269"/>
    <w:rsid w:val="00E17BDA"/>
    <w:rsid w:val="00E17DAA"/>
    <w:rsid w:val="00E21213"/>
    <w:rsid w:val="00E217A3"/>
    <w:rsid w:val="00E21CE0"/>
    <w:rsid w:val="00E2312F"/>
    <w:rsid w:val="00E232A4"/>
    <w:rsid w:val="00E23375"/>
    <w:rsid w:val="00E25467"/>
    <w:rsid w:val="00E25A9C"/>
    <w:rsid w:val="00E261B9"/>
    <w:rsid w:val="00E312DB"/>
    <w:rsid w:val="00E31D87"/>
    <w:rsid w:val="00E32D59"/>
    <w:rsid w:val="00E33098"/>
    <w:rsid w:val="00E35BA2"/>
    <w:rsid w:val="00E36395"/>
    <w:rsid w:val="00E37433"/>
    <w:rsid w:val="00E37A55"/>
    <w:rsid w:val="00E40C2C"/>
    <w:rsid w:val="00E413C8"/>
    <w:rsid w:val="00E4258B"/>
    <w:rsid w:val="00E42799"/>
    <w:rsid w:val="00E42CDF"/>
    <w:rsid w:val="00E43A98"/>
    <w:rsid w:val="00E45A30"/>
    <w:rsid w:val="00E46137"/>
    <w:rsid w:val="00E46C64"/>
    <w:rsid w:val="00E47698"/>
    <w:rsid w:val="00E50627"/>
    <w:rsid w:val="00E50CD0"/>
    <w:rsid w:val="00E513B8"/>
    <w:rsid w:val="00E515FF"/>
    <w:rsid w:val="00E524BD"/>
    <w:rsid w:val="00E53F99"/>
    <w:rsid w:val="00E546A4"/>
    <w:rsid w:val="00E55AF0"/>
    <w:rsid w:val="00E56259"/>
    <w:rsid w:val="00E56349"/>
    <w:rsid w:val="00E5719C"/>
    <w:rsid w:val="00E6164B"/>
    <w:rsid w:val="00E619D8"/>
    <w:rsid w:val="00E62487"/>
    <w:rsid w:val="00E6285D"/>
    <w:rsid w:val="00E62DFF"/>
    <w:rsid w:val="00E63612"/>
    <w:rsid w:val="00E63E1F"/>
    <w:rsid w:val="00E65DC5"/>
    <w:rsid w:val="00E67017"/>
    <w:rsid w:val="00E679A7"/>
    <w:rsid w:val="00E70AEE"/>
    <w:rsid w:val="00E71183"/>
    <w:rsid w:val="00E71491"/>
    <w:rsid w:val="00E7255A"/>
    <w:rsid w:val="00E73295"/>
    <w:rsid w:val="00E7474B"/>
    <w:rsid w:val="00E751E9"/>
    <w:rsid w:val="00E754AA"/>
    <w:rsid w:val="00E762D0"/>
    <w:rsid w:val="00E763B1"/>
    <w:rsid w:val="00E81349"/>
    <w:rsid w:val="00E81367"/>
    <w:rsid w:val="00E81E34"/>
    <w:rsid w:val="00E8317B"/>
    <w:rsid w:val="00E83D27"/>
    <w:rsid w:val="00E84BEE"/>
    <w:rsid w:val="00E84FF3"/>
    <w:rsid w:val="00E86322"/>
    <w:rsid w:val="00E87389"/>
    <w:rsid w:val="00E8765E"/>
    <w:rsid w:val="00E90314"/>
    <w:rsid w:val="00E9075C"/>
    <w:rsid w:val="00E91CBC"/>
    <w:rsid w:val="00E91F56"/>
    <w:rsid w:val="00E92252"/>
    <w:rsid w:val="00E923BE"/>
    <w:rsid w:val="00E944A1"/>
    <w:rsid w:val="00E9545F"/>
    <w:rsid w:val="00E95BD5"/>
    <w:rsid w:val="00E95EF3"/>
    <w:rsid w:val="00E9787B"/>
    <w:rsid w:val="00EA09E0"/>
    <w:rsid w:val="00EA0CDC"/>
    <w:rsid w:val="00EA111F"/>
    <w:rsid w:val="00EA3214"/>
    <w:rsid w:val="00EA3885"/>
    <w:rsid w:val="00EA3A0D"/>
    <w:rsid w:val="00EA48DA"/>
    <w:rsid w:val="00EA48F0"/>
    <w:rsid w:val="00EA4F8A"/>
    <w:rsid w:val="00EA592F"/>
    <w:rsid w:val="00EA593D"/>
    <w:rsid w:val="00EA65CE"/>
    <w:rsid w:val="00EA691A"/>
    <w:rsid w:val="00EA6A16"/>
    <w:rsid w:val="00EA6B17"/>
    <w:rsid w:val="00EA7A79"/>
    <w:rsid w:val="00EB0736"/>
    <w:rsid w:val="00EB0B3D"/>
    <w:rsid w:val="00EB0FB9"/>
    <w:rsid w:val="00EB2AA7"/>
    <w:rsid w:val="00EB32C1"/>
    <w:rsid w:val="00EB344B"/>
    <w:rsid w:val="00EB44F4"/>
    <w:rsid w:val="00EB483C"/>
    <w:rsid w:val="00EB4D3D"/>
    <w:rsid w:val="00EB5FDB"/>
    <w:rsid w:val="00EB69FC"/>
    <w:rsid w:val="00EB6D04"/>
    <w:rsid w:val="00EB7C7A"/>
    <w:rsid w:val="00EC0318"/>
    <w:rsid w:val="00EC236A"/>
    <w:rsid w:val="00EC2E32"/>
    <w:rsid w:val="00EC34BC"/>
    <w:rsid w:val="00EC450B"/>
    <w:rsid w:val="00EC491C"/>
    <w:rsid w:val="00EC4CC7"/>
    <w:rsid w:val="00EC4EBF"/>
    <w:rsid w:val="00EC7219"/>
    <w:rsid w:val="00EC7AD7"/>
    <w:rsid w:val="00ED03E7"/>
    <w:rsid w:val="00ED1973"/>
    <w:rsid w:val="00ED3F37"/>
    <w:rsid w:val="00ED4224"/>
    <w:rsid w:val="00ED528F"/>
    <w:rsid w:val="00ED607C"/>
    <w:rsid w:val="00ED66DB"/>
    <w:rsid w:val="00ED7F0F"/>
    <w:rsid w:val="00EE1653"/>
    <w:rsid w:val="00EE1941"/>
    <w:rsid w:val="00EE233B"/>
    <w:rsid w:val="00EE28B1"/>
    <w:rsid w:val="00EE2AC2"/>
    <w:rsid w:val="00EE2BD7"/>
    <w:rsid w:val="00EE34A1"/>
    <w:rsid w:val="00EE37D7"/>
    <w:rsid w:val="00EE4121"/>
    <w:rsid w:val="00EE650E"/>
    <w:rsid w:val="00EE709B"/>
    <w:rsid w:val="00EF11C2"/>
    <w:rsid w:val="00EF1554"/>
    <w:rsid w:val="00EF1D98"/>
    <w:rsid w:val="00EF1E11"/>
    <w:rsid w:val="00EF255F"/>
    <w:rsid w:val="00EF2B1E"/>
    <w:rsid w:val="00EF3A6D"/>
    <w:rsid w:val="00EF54D8"/>
    <w:rsid w:val="00EF57AC"/>
    <w:rsid w:val="00EF5BCF"/>
    <w:rsid w:val="00EF7A5E"/>
    <w:rsid w:val="00EF7B2A"/>
    <w:rsid w:val="00F040D7"/>
    <w:rsid w:val="00F052E2"/>
    <w:rsid w:val="00F05F7D"/>
    <w:rsid w:val="00F0681B"/>
    <w:rsid w:val="00F06869"/>
    <w:rsid w:val="00F06D56"/>
    <w:rsid w:val="00F12D0B"/>
    <w:rsid w:val="00F13886"/>
    <w:rsid w:val="00F13CEA"/>
    <w:rsid w:val="00F155C9"/>
    <w:rsid w:val="00F15AA3"/>
    <w:rsid w:val="00F17485"/>
    <w:rsid w:val="00F17A6A"/>
    <w:rsid w:val="00F20209"/>
    <w:rsid w:val="00F20AE5"/>
    <w:rsid w:val="00F20D1C"/>
    <w:rsid w:val="00F2110A"/>
    <w:rsid w:val="00F22D09"/>
    <w:rsid w:val="00F230DD"/>
    <w:rsid w:val="00F2313C"/>
    <w:rsid w:val="00F2332C"/>
    <w:rsid w:val="00F23629"/>
    <w:rsid w:val="00F24947"/>
    <w:rsid w:val="00F274A3"/>
    <w:rsid w:val="00F27564"/>
    <w:rsid w:val="00F304E0"/>
    <w:rsid w:val="00F307A8"/>
    <w:rsid w:val="00F319BF"/>
    <w:rsid w:val="00F319E7"/>
    <w:rsid w:val="00F322F0"/>
    <w:rsid w:val="00F3257F"/>
    <w:rsid w:val="00F32E57"/>
    <w:rsid w:val="00F406C6"/>
    <w:rsid w:val="00F41327"/>
    <w:rsid w:val="00F42809"/>
    <w:rsid w:val="00F42AEB"/>
    <w:rsid w:val="00F42FC4"/>
    <w:rsid w:val="00F43260"/>
    <w:rsid w:val="00F441BE"/>
    <w:rsid w:val="00F44477"/>
    <w:rsid w:val="00F45BDC"/>
    <w:rsid w:val="00F460C6"/>
    <w:rsid w:val="00F47A31"/>
    <w:rsid w:val="00F47FC4"/>
    <w:rsid w:val="00F5024F"/>
    <w:rsid w:val="00F507ED"/>
    <w:rsid w:val="00F51DC6"/>
    <w:rsid w:val="00F53420"/>
    <w:rsid w:val="00F540C7"/>
    <w:rsid w:val="00F55BD4"/>
    <w:rsid w:val="00F56524"/>
    <w:rsid w:val="00F573FD"/>
    <w:rsid w:val="00F57F82"/>
    <w:rsid w:val="00F601BE"/>
    <w:rsid w:val="00F60742"/>
    <w:rsid w:val="00F614F4"/>
    <w:rsid w:val="00F64C59"/>
    <w:rsid w:val="00F67350"/>
    <w:rsid w:val="00F67E22"/>
    <w:rsid w:val="00F71C7C"/>
    <w:rsid w:val="00F720C5"/>
    <w:rsid w:val="00F72970"/>
    <w:rsid w:val="00F72F52"/>
    <w:rsid w:val="00F72F58"/>
    <w:rsid w:val="00F74A49"/>
    <w:rsid w:val="00F76ED6"/>
    <w:rsid w:val="00F76FA5"/>
    <w:rsid w:val="00F80474"/>
    <w:rsid w:val="00F8307D"/>
    <w:rsid w:val="00F83185"/>
    <w:rsid w:val="00F8422E"/>
    <w:rsid w:val="00F84AEB"/>
    <w:rsid w:val="00F84BFF"/>
    <w:rsid w:val="00F84D57"/>
    <w:rsid w:val="00F86B82"/>
    <w:rsid w:val="00F90628"/>
    <w:rsid w:val="00F9170F"/>
    <w:rsid w:val="00F9410B"/>
    <w:rsid w:val="00F9507F"/>
    <w:rsid w:val="00F95376"/>
    <w:rsid w:val="00F968D6"/>
    <w:rsid w:val="00FA04A8"/>
    <w:rsid w:val="00FA10E6"/>
    <w:rsid w:val="00FA17B2"/>
    <w:rsid w:val="00FA34CC"/>
    <w:rsid w:val="00FA392E"/>
    <w:rsid w:val="00FA3F50"/>
    <w:rsid w:val="00FA4D6A"/>
    <w:rsid w:val="00FA56B3"/>
    <w:rsid w:val="00FA5CF6"/>
    <w:rsid w:val="00FA5F00"/>
    <w:rsid w:val="00FA686F"/>
    <w:rsid w:val="00FB0AFF"/>
    <w:rsid w:val="00FB2211"/>
    <w:rsid w:val="00FB36FD"/>
    <w:rsid w:val="00FB3F07"/>
    <w:rsid w:val="00FB3FB5"/>
    <w:rsid w:val="00FB5676"/>
    <w:rsid w:val="00FB5979"/>
    <w:rsid w:val="00FB5A5C"/>
    <w:rsid w:val="00FB61EF"/>
    <w:rsid w:val="00FB6FA8"/>
    <w:rsid w:val="00FC09BA"/>
    <w:rsid w:val="00FC18A6"/>
    <w:rsid w:val="00FC2226"/>
    <w:rsid w:val="00FC255F"/>
    <w:rsid w:val="00FC2678"/>
    <w:rsid w:val="00FC2C4B"/>
    <w:rsid w:val="00FC46BF"/>
    <w:rsid w:val="00FC501F"/>
    <w:rsid w:val="00FC6080"/>
    <w:rsid w:val="00FC6EE1"/>
    <w:rsid w:val="00FD18B2"/>
    <w:rsid w:val="00FD3AF2"/>
    <w:rsid w:val="00FD606C"/>
    <w:rsid w:val="00FD7D0C"/>
    <w:rsid w:val="00FE0879"/>
    <w:rsid w:val="00FE0B33"/>
    <w:rsid w:val="00FE2A3B"/>
    <w:rsid w:val="00FE2A44"/>
    <w:rsid w:val="00FE2BB4"/>
    <w:rsid w:val="00FE2F7F"/>
    <w:rsid w:val="00FE3CC6"/>
    <w:rsid w:val="00FE5691"/>
    <w:rsid w:val="00FE5F00"/>
    <w:rsid w:val="00FE6928"/>
    <w:rsid w:val="00FF12E6"/>
    <w:rsid w:val="00FF275C"/>
    <w:rsid w:val="00FF2A83"/>
    <w:rsid w:val="00FF2DDD"/>
    <w:rsid w:val="00FF3B9D"/>
    <w:rsid w:val="00FF4FE2"/>
    <w:rsid w:val="00FF5DD5"/>
    <w:rsid w:val="00FF602E"/>
    <w:rsid w:val="00FF688C"/>
    <w:rsid w:val="00FF7819"/>
    <w:rsid w:val="00FF7B8E"/>
    <w:rsid w:val="00FF7EE4"/>
    <w:rsid w:val="01FDD292"/>
    <w:rsid w:val="03343D49"/>
    <w:rsid w:val="03ABFBC1"/>
    <w:rsid w:val="03FB6761"/>
    <w:rsid w:val="04A842DD"/>
    <w:rsid w:val="07A5CA34"/>
    <w:rsid w:val="0879D5AE"/>
    <w:rsid w:val="08C96EF0"/>
    <w:rsid w:val="0B20F9A4"/>
    <w:rsid w:val="0CD6C8E2"/>
    <w:rsid w:val="0D1B25FC"/>
    <w:rsid w:val="0D458C1C"/>
    <w:rsid w:val="0E0CDA7D"/>
    <w:rsid w:val="0EF774F8"/>
    <w:rsid w:val="10B9CCE1"/>
    <w:rsid w:val="118E25D2"/>
    <w:rsid w:val="14B88DC5"/>
    <w:rsid w:val="153FD142"/>
    <w:rsid w:val="16400262"/>
    <w:rsid w:val="168BB1CA"/>
    <w:rsid w:val="16DD5E9A"/>
    <w:rsid w:val="190D0892"/>
    <w:rsid w:val="1985E77A"/>
    <w:rsid w:val="1A9E3202"/>
    <w:rsid w:val="1D415E47"/>
    <w:rsid w:val="1D9EDDA9"/>
    <w:rsid w:val="1F86CAFA"/>
    <w:rsid w:val="214B9DC9"/>
    <w:rsid w:val="2302CB33"/>
    <w:rsid w:val="240ED094"/>
    <w:rsid w:val="246FF141"/>
    <w:rsid w:val="26A87E29"/>
    <w:rsid w:val="270BE237"/>
    <w:rsid w:val="289D53CC"/>
    <w:rsid w:val="292F0F01"/>
    <w:rsid w:val="299E2144"/>
    <w:rsid w:val="2A81308F"/>
    <w:rsid w:val="2AE38681"/>
    <w:rsid w:val="2B081428"/>
    <w:rsid w:val="2B3B09B8"/>
    <w:rsid w:val="2B9EEE33"/>
    <w:rsid w:val="2BFBABBE"/>
    <w:rsid w:val="2CF1DEE6"/>
    <w:rsid w:val="2CF63441"/>
    <w:rsid w:val="2D960BA9"/>
    <w:rsid w:val="300921B9"/>
    <w:rsid w:val="3014E9D1"/>
    <w:rsid w:val="30DC9912"/>
    <w:rsid w:val="3152AA26"/>
    <w:rsid w:val="31987144"/>
    <w:rsid w:val="320C096E"/>
    <w:rsid w:val="3345A429"/>
    <w:rsid w:val="3365DF7D"/>
    <w:rsid w:val="338AD733"/>
    <w:rsid w:val="348624F1"/>
    <w:rsid w:val="369DDED0"/>
    <w:rsid w:val="371064C4"/>
    <w:rsid w:val="39788F36"/>
    <w:rsid w:val="3BEFD102"/>
    <w:rsid w:val="3D31C50C"/>
    <w:rsid w:val="40B91A68"/>
    <w:rsid w:val="40FA4FF1"/>
    <w:rsid w:val="42A044BE"/>
    <w:rsid w:val="42E39FD1"/>
    <w:rsid w:val="43FBFF56"/>
    <w:rsid w:val="43FFB094"/>
    <w:rsid w:val="44A4249E"/>
    <w:rsid w:val="45101BF9"/>
    <w:rsid w:val="464B9401"/>
    <w:rsid w:val="4CC560BF"/>
    <w:rsid w:val="4D04151A"/>
    <w:rsid w:val="4D54D746"/>
    <w:rsid w:val="4E0EF0D1"/>
    <w:rsid w:val="4E412C67"/>
    <w:rsid w:val="4F4DC1C5"/>
    <w:rsid w:val="4F5D6062"/>
    <w:rsid w:val="4FF5D099"/>
    <w:rsid w:val="5348577F"/>
    <w:rsid w:val="5441D815"/>
    <w:rsid w:val="575579AB"/>
    <w:rsid w:val="58679F10"/>
    <w:rsid w:val="59C908CE"/>
    <w:rsid w:val="5B6B783E"/>
    <w:rsid w:val="5BCA9AF6"/>
    <w:rsid w:val="5DDEE69A"/>
    <w:rsid w:val="5EE16208"/>
    <w:rsid w:val="5FB826F7"/>
    <w:rsid w:val="601A1D0B"/>
    <w:rsid w:val="63232560"/>
    <w:rsid w:val="6339AB16"/>
    <w:rsid w:val="63F757F1"/>
    <w:rsid w:val="64551E2C"/>
    <w:rsid w:val="6495636B"/>
    <w:rsid w:val="679146BB"/>
    <w:rsid w:val="686C4CBA"/>
    <w:rsid w:val="6A310B7F"/>
    <w:rsid w:val="6A5C6F67"/>
    <w:rsid w:val="6A61E10E"/>
    <w:rsid w:val="6C9DD8CB"/>
    <w:rsid w:val="6CB88AED"/>
    <w:rsid w:val="6D249D3F"/>
    <w:rsid w:val="6E9F620F"/>
    <w:rsid w:val="6F99D76B"/>
    <w:rsid w:val="703110F8"/>
    <w:rsid w:val="70DB41FD"/>
    <w:rsid w:val="70DE2D26"/>
    <w:rsid w:val="712F303C"/>
    <w:rsid w:val="72B7E760"/>
    <w:rsid w:val="73AD4C73"/>
    <w:rsid w:val="73DAC2B2"/>
    <w:rsid w:val="7601EEAE"/>
    <w:rsid w:val="7633D172"/>
    <w:rsid w:val="775121DD"/>
    <w:rsid w:val="77FD9B55"/>
    <w:rsid w:val="79C8B336"/>
    <w:rsid w:val="79D4427B"/>
    <w:rsid w:val="7BD595DF"/>
    <w:rsid w:val="7D2F853A"/>
    <w:rsid w:val="7E4413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4D830D"/>
  <w15:docId w15:val="{2EC8D35B-6D33-4771-A125-AB2A009AD3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41A"/>
    <w:rPr>
      <w:rFonts w:eastAsiaTheme="minorEastAsia"/>
      <w:lang w:eastAsia="en-AU"/>
    </w:rPr>
  </w:style>
  <w:style w:type="paragraph" w:styleId="Heading1">
    <w:name w:val="heading 1"/>
    <w:basedOn w:val="Normal"/>
    <w:next w:val="Normal"/>
    <w:link w:val="Heading1Char"/>
    <w:uiPriority w:val="9"/>
    <w:qFormat/>
    <w:rsid w:val="00E6285D"/>
    <w:pPr>
      <w:outlineLvl w:val="0"/>
    </w:pPr>
    <w:rPr>
      <w:rFonts w:cstheme="minorHAnsi"/>
      <w:sz w:val="32"/>
      <w:szCs w:val="32"/>
    </w:rPr>
  </w:style>
  <w:style w:type="paragraph" w:styleId="Heading2">
    <w:name w:val="heading 2"/>
    <w:basedOn w:val="Normal"/>
    <w:next w:val="Normal"/>
    <w:link w:val="Heading2Char"/>
    <w:unhideWhenUsed/>
    <w:qFormat/>
    <w:rsid w:val="005C4EDF"/>
    <w:pPr>
      <w:keepNext/>
      <w:outlineLvl w:val="1"/>
    </w:pPr>
    <w:rPr>
      <w:rFonts w:cstheme="minorHAnsi"/>
      <w:b/>
      <w:bCs/>
      <w:sz w:val="28"/>
      <w:szCs w:val="28"/>
    </w:rPr>
  </w:style>
  <w:style w:type="paragraph" w:styleId="Heading3">
    <w:name w:val="heading 3"/>
    <w:basedOn w:val="Normal"/>
    <w:next w:val="Normal"/>
    <w:link w:val="Heading3Char"/>
    <w:unhideWhenUsed/>
    <w:qFormat/>
    <w:rsid w:val="004C4CCD"/>
    <w:pPr>
      <w:keepNext/>
      <w:keepLines/>
      <w:spacing w:before="100" w:beforeAutospacing="1" w:after="240" w:line="240" w:lineRule="auto"/>
      <w:outlineLvl w:val="2"/>
    </w:pPr>
    <w:rPr>
      <w:rFonts w:ascii="Calibri" w:eastAsia="MS Gothic" w:hAnsi="Calibri" w:cs="Times New Roman"/>
      <w:bCs/>
      <w:i/>
      <w:iCs/>
      <w:sz w:val="24"/>
      <w:lang w:val="en-US" w:eastAsia="en-US"/>
    </w:rPr>
  </w:style>
  <w:style w:type="paragraph" w:styleId="Heading4">
    <w:name w:val="heading 4"/>
    <w:basedOn w:val="Normal"/>
    <w:next w:val="Normal"/>
    <w:link w:val="Heading4Char"/>
    <w:uiPriority w:val="9"/>
    <w:unhideWhenUsed/>
    <w:qFormat/>
    <w:rsid w:val="006C0815"/>
    <w:pPr>
      <w:keepNext/>
      <w:keepLines/>
      <w:spacing w:before="100" w:beforeAutospacing="1" w:after="240" w:line="240" w:lineRule="auto"/>
      <w:outlineLvl w:val="3"/>
    </w:pPr>
    <w:rPr>
      <w:rFonts w:ascii="Calibri" w:eastAsia="MS Gothic" w:hAnsi="Calibri" w:cs="Times New Roman"/>
      <w:bCs/>
      <w:i/>
      <w:iCs/>
      <w:color w:val="086F93" w:themeColor="accent1" w:themeShade="80"/>
      <w:sz w:val="24"/>
      <w:lang w:val="en-US" w:eastAsia="en-US"/>
    </w:rPr>
  </w:style>
  <w:style w:type="paragraph" w:styleId="Heading5">
    <w:name w:val="heading 5"/>
    <w:basedOn w:val="Normal"/>
    <w:next w:val="Normal"/>
    <w:link w:val="Heading5Char"/>
    <w:uiPriority w:val="9"/>
    <w:unhideWhenUsed/>
    <w:rsid w:val="006C0815"/>
    <w:pPr>
      <w:keepNext/>
      <w:keepLines/>
      <w:spacing w:before="100" w:beforeAutospacing="1" w:after="240" w:line="240" w:lineRule="auto"/>
      <w:outlineLvl w:val="4"/>
    </w:pPr>
    <w:rPr>
      <w:rFonts w:ascii="Calibri" w:eastAsia="MS Gothic" w:hAnsi="Calibri" w:cs="Times New Roman"/>
      <w:bCs/>
      <w:i/>
      <w:iCs/>
      <w:color w:val="086F93" w:themeColor="accent1" w:themeShade="80"/>
      <w:sz w:val="24"/>
      <w:lang w:val="en-US" w:eastAsia="en-US"/>
    </w:rPr>
  </w:style>
  <w:style w:type="paragraph" w:styleId="Heading6">
    <w:name w:val="heading 6"/>
    <w:basedOn w:val="Normal"/>
    <w:next w:val="Normal"/>
    <w:link w:val="Heading6Char"/>
    <w:uiPriority w:val="9"/>
    <w:semiHidden/>
    <w:unhideWhenUsed/>
    <w:qFormat/>
    <w:rsid w:val="00B41CA8"/>
    <w:pPr>
      <w:keepNext/>
      <w:keepLines/>
      <w:spacing w:before="40" w:after="0"/>
      <w:outlineLvl w:val="5"/>
    </w:pPr>
    <w:rPr>
      <w:rFonts w:ascii="Calibri" w:eastAsia="MS Gothic" w:hAnsi="Calibri" w:cs="Times New Roman"/>
      <w:i/>
      <w:iCs/>
      <w:sz w:val="23"/>
      <w:lang w:eastAsia="en-US"/>
    </w:rPr>
  </w:style>
  <w:style w:type="paragraph" w:styleId="Heading7">
    <w:name w:val="heading 7"/>
    <w:basedOn w:val="Normal"/>
    <w:next w:val="Normal"/>
    <w:link w:val="Heading7Char"/>
    <w:uiPriority w:val="9"/>
    <w:semiHidden/>
    <w:unhideWhenUsed/>
    <w:qFormat/>
    <w:rsid w:val="00B41CA8"/>
    <w:pPr>
      <w:keepNext/>
      <w:keepLines/>
      <w:spacing w:before="40" w:after="0"/>
      <w:outlineLvl w:val="6"/>
    </w:pPr>
    <w:rPr>
      <w:rFonts w:ascii="Cambria" w:eastAsia="MS Gothic" w:hAnsi="Cambria" w:cs="Times New Roman"/>
      <w:i/>
      <w:iCs/>
      <w:color w:val="404040"/>
      <w:sz w:val="23"/>
    </w:rPr>
  </w:style>
  <w:style w:type="paragraph" w:styleId="Heading8">
    <w:name w:val="heading 8"/>
    <w:basedOn w:val="Normal"/>
    <w:next w:val="Normal"/>
    <w:link w:val="Heading8Char"/>
    <w:uiPriority w:val="9"/>
    <w:semiHidden/>
    <w:unhideWhenUsed/>
    <w:qFormat/>
    <w:rsid w:val="00B41CA8"/>
    <w:pPr>
      <w:keepNext/>
      <w:keepLines/>
      <w:spacing w:before="40" w:after="0"/>
      <w:outlineLvl w:val="7"/>
    </w:pPr>
    <w:rPr>
      <w:rFonts w:ascii="Cambria" w:eastAsia="MS Gothic" w:hAnsi="Cambria" w:cs="Times New Roman"/>
      <w:color w:val="404040"/>
      <w:sz w:val="20"/>
      <w:szCs w:val="20"/>
    </w:rPr>
  </w:style>
  <w:style w:type="paragraph" w:styleId="Heading9">
    <w:name w:val="heading 9"/>
    <w:basedOn w:val="Normal"/>
    <w:next w:val="Normal"/>
    <w:link w:val="Heading9Char"/>
    <w:uiPriority w:val="9"/>
    <w:semiHidden/>
    <w:unhideWhenUsed/>
    <w:qFormat/>
    <w:rsid w:val="00B41CA8"/>
    <w:pPr>
      <w:keepNext/>
      <w:keepLines/>
      <w:spacing w:before="40" w:after="0"/>
      <w:outlineLvl w:val="8"/>
    </w:pPr>
    <w:rPr>
      <w:rFonts w:ascii="Cambria" w:eastAsia="MS Gothic"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otnotes">
    <w:name w:val="Footnotes"/>
    <w:basedOn w:val="Normal"/>
    <w:link w:val="FootnotesChar"/>
    <w:qFormat/>
    <w:rsid w:val="001F59D4"/>
    <w:rPr>
      <w:sz w:val="20"/>
      <w:szCs w:val="20"/>
    </w:rPr>
  </w:style>
  <w:style w:type="character" w:customStyle="1" w:styleId="FootnotesChar">
    <w:name w:val="Footnotes Char"/>
    <w:basedOn w:val="DefaultParagraphFont"/>
    <w:link w:val="Footnotes"/>
    <w:rsid w:val="001F59D4"/>
    <w:rPr>
      <w:rFonts w:eastAsiaTheme="minorEastAsia"/>
      <w:sz w:val="20"/>
      <w:szCs w:val="20"/>
      <w:lang w:eastAsia="en-AU"/>
    </w:rPr>
  </w:style>
  <w:style w:type="character" w:styleId="Hyperlink">
    <w:name w:val="Hyperlink"/>
    <w:basedOn w:val="DefaultParagraphFont"/>
    <w:uiPriority w:val="99"/>
    <w:unhideWhenUsed/>
    <w:rsid w:val="007A5D36"/>
    <w:rPr>
      <w:color w:val="0000FF" w:themeColor="hyperlink"/>
      <w:u w:val="single"/>
    </w:rPr>
  </w:style>
  <w:style w:type="paragraph" w:styleId="Title">
    <w:name w:val="Title"/>
    <w:basedOn w:val="Normal"/>
    <w:next w:val="Normal"/>
    <w:link w:val="TitleChar"/>
    <w:rsid w:val="00C81175"/>
    <w:pPr>
      <w:outlineLvl w:val="0"/>
    </w:pPr>
    <w:rPr>
      <w:rFonts w:cstheme="minorHAnsi"/>
      <w:sz w:val="48"/>
      <w:szCs w:val="48"/>
      <w:lang w:val="en-US"/>
    </w:rPr>
  </w:style>
  <w:style w:type="paragraph" w:styleId="ListParagraph">
    <w:name w:val="List Paragraph"/>
    <w:basedOn w:val="Normal"/>
    <w:uiPriority w:val="34"/>
    <w:qFormat/>
    <w:rsid w:val="00BD42C5"/>
    <w:pPr>
      <w:ind w:left="720"/>
      <w:contextualSpacing/>
    </w:pPr>
  </w:style>
  <w:style w:type="paragraph" w:styleId="Subtitle">
    <w:name w:val="Subtitle"/>
    <w:basedOn w:val="Normal"/>
    <w:next w:val="Normal"/>
    <w:link w:val="SubtitleChar"/>
    <w:uiPriority w:val="11"/>
    <w:qFormat/>
    <w:rsid w:val="003C3084"/>
    <w:pPr>
      <w:numPr>
        <w:ilvl w:val="1"/>
      </w:numPr>
    </w:pPr>
    <w:rPr>
      <w:rFonts w:asciiTheme="majorHAnsi" w:eastAsiaTheme="majorEastAsia" w:hAnsiTheme="majorHAnsi" w:cstheme="majorBidi"/>
      <w:i/>
      <w:iCs/>
      <w:color w:val="43C7F4" w:themeColor="accent1"/>
      <w:spacing w:val="15"/>
      <w:sz w:val="24"/>
      <w:szCs w:val="24"/>
    </w:rPr>
  </w:style>
  <w:style w:type="character" w:customStyle="1" w:styleId="SubtitleChar">
    <w:name w:val="Subtitle Char"/>
    <w:basedOn w:val="DefaultParagraphFont"/>
    <w:link w:val="Subtitle"/>
    <w:uiPriority w:val="11"/>
    <w:rsid w:val="003C3084"/>
    <w:rPr>
      <w:rFonts w:asciiTheme="majorHAnsi" w:eastAsiaTheme="majorEastAsia" w:hAnsiTheme="majorHAnsi" w:cstheme="majorBidi"/>
      <w:i/>
      <w:iCs/>
      <w:color w:val="43C7F4" w:themeColor="accent1"/>
      <w:spacing w:val="15"/>
      <w:sz w:val="24"/>
      <w:szCs w:val="24"/>
      <w:lang w:eastAsia="en-AU"/>
    </w:rPr>
  </w:style>
  <w:style w:type="character" w:customStyle="1" w:styleId="Heading1Char">
    <w:name w:val="Heading 1 Char"/>
    <w:basedOn w:val="DefaultParagraphFont"/>
    <w:link w:val="Heading1"/>
    <w:uiPriority w:val="9"/>
    <w:rsid w:val="00E6285D"/>
    <w:rPr>
      <w:rFonts w:eastAsiaTheme="minorEastAsia" w:cstheme="minorHAnsi"/>
      <w:sz w:val="32"/>
      <w:szCs w:val="32"/>
      <w:lang w:eastAsia="en-AU"/>
    </w:rPr>
  </w:style>
  <w:style w:type="character" w:styleId="FootnoteReference">
    <w:name w:val="footnote reference"/>
    <w:basedOn w:val="DefaultParagraphFont"/>
    <w:uiPriority w:val="99"/>
    <w:unhideWhenUsed/>
    <w:rsid w:val="00EA3214"/>
    <w:rPr>
      <w:vertAlign w:val="superscript"/>
    </w:rPr>
  </w:style>
  <w:style w:type="character" w:styleId="CommentReference">
    <w:name w:val="annotation reference"/>
    <w:basedOn w:val="DefaultParagraphFont"/>
    <w:uiPriority w:val="99"/>
    <w:semiHidden/>
    <w:unhideWhenUsed/>
    <w:rsid w:val="00EA3214"/>
    <w:rPr>
      <w:sz w:val="16"/>
      <w:szCs w:val="16"/>
    </w:rPr>
  </w:style>
  <w:style w:type="paragraph" w:styleId="CommentSubject">
    <w:name w:val="annotation subject"/>
    <w:basedOn w:val="Normal"/>
    <w:next w:val="Normal"/>
    <w:link w:val="CommentSubjectChar"/>
    <w:uiPriority w:val="99"/>
    <w:semiHidden/>
    <w:unhideWhenUsed/>
    <w:rsid w:val="007B1E9D"/>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7B1E9D"/>
    <w:rPr>
      <w:rFonts w:eastAsiaTheme="minorEastAsia"/>
      <w:b/>
      <w:bCs/>
      <w:sz w:val="20"/>
      <w:szCs w:val="20"/>
      <w:lang w:eastAsia="en-AU"/>
    </w:rPr>
  </w:style>
  <w:style w:type="paragraph" w:styleId="BalloonText">
    <w:name w:val="Balloon Text"/>
    <w:basedOn w:val="Normal"/>
    <w:link w:val="BalloonTextChar"/>
    <w:uiPriority w:val="99"/>
    <w:semiHidden/>
    <w:unhideWhenUsed/>
    <w:rsid w:val="00EA32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214"/>
    <w:rPr>
      <w:rFonts w:ascii="Tahoma" w:eastAsiaTheme="minorEastAsia" w:hAnsi="Tahoma" w:cs="Tahoma"/>
      <w:sz w:val="16"/>
      <w:szCs w:val="16"/>
      <w:lang w:eastAsia="en-AU"/>
    </w:rPr>
  </w:style>
  <w:style w:type="character" w:customStyle="1" w:styleId="Heading2Char">
    <w:name w:val="Heading 2 Char"/>
    <w:basedOn w:val="DefaultParagraphFont"/>
    <w:link w:val="Heading2"/>
    <w:rsid w:val="005C4EDF"/>
    <w:rPr>
      <w:rFonts w:eastAsiaTheme="minorEastAsia" w:cstheme="minorHAnsi"/>
      <w:b/>
      <w:bCs/>
      <w:sz w:val="28"/>
      <w:szCs w:val="28"/>
      <w:lang w:eastAsia="en-AU"/>
    </w:rPr>
  </w:style>
  <w:style w:type="character" w:customStyle="1" w:styleId="Heading3Char">
    <w:name w:val="Heading 3 Char"/>
    <w:basedOn w:val="DefaultParagraphFont"/>
    <w:link w:val="Heading3"/>
    <w:rsid w:val="004C4CCD"/>
    <w:rPr>
      <w:rFonts w:ascii="Calibri" w:eastAsia="MS Gothic" w:hAnsi="Calibri" w:cs="Times New Roman"/>
      <w:bCs/>
      <w:i/>
      <w:iCs/>
      <w:sz w:val="24"/>
      <w:lang w:val="en-US"/>
    </w:rPr>
  </w:style>
  <w:style w:type="character" w:styleId="UnresolvedMention">
    <w:name w:val="Unresolved Mention"/>
    <w:basedOn w:val="DefaultParagraphFont"/>
    <w:uiPriority w:val="99"/>
    <w:semiHidden/>
    <w:unhideWhenUsed/>
    <w:rsid w:val="00A0796F"/>
    <w:rPr>
      <w:color w:val="605E5C"/>
      <w:shd w:val="clear" w:color="auto" w:fill="E1DFDD"/>
    </w:rPr>
  </w:style>
  <w:style w:type="character" w:customStyle="1" w:styleId="TitleChar">
    <w:name w:val="Title Char"/>
    <w:basedOn w:val="DefaultParagraphFont"/>
    <w:link w:val="Title"/>
    <w:rsid w:val="00C81175"/>
    <w:rPr>
      <w:rFonts w:eastAsiaTheme="minorEastAsia" w:cstheme="minorHAnsi"/>
      <w:sz w:val="48"/>
      <w:szCs w:val="48"/>
      <w:lang w:val="en-US" w:eastAsia="en-AU"/>
    </w:rPr>
  </w:style>
  <w:style w:type="character" w:styleId="FollowedHyperlink">
    <w:name w:val="FollowedHyperlink"/>
    <w:basedOn w:val="DefaultParagraphFont"/>
    <w:uiPriority w:val="99"/>
    <w:semiHidden/>
    <w:unhideWhenUsed/>
    <w:rsid w:val="00136E66"/>
    <w:rPr>
      <w:color w:val="800080" w:themeColor="followedHyperlink"/>
      <w:u w:val="single"/>
    </w:rPr>
  </w:style>
  <w:style w:type="paragraph" w:styleId="Revision">
    <w:name w:val="Revision"/>
    <w:hidden/>
    <w:uiPriority w:val="99"/>
    <w:semiHidden/>
    <w:rsid w:val="00D65181"/>
    <w:pPr>
      <w:spacing w:after="0" w:line="240" w:lineRule="auto"/>
    </w:pPr>
    <w:rPr>
      <w:rFonts w:eastAsiaTheme="minorEastAsia"/>
      <w:lang w:eastAsia="en-AU"/>
    </w:rPr>
  </w:style>
  <w:style w:type="paragraph" w:customStyle="1" w:styleId="FundingAcknowledgement">
    <w:name w:val="Funding Acknowledgement"/>
    <w:basedOn w:val="IntenseQuote"/>
    <w:autoRedefine/>
    <w:qFormat/>
    <w:rsid w:val="00767F5D"/>
    <w:pPr>
      <w:pBdr>
        <w:top w:val="single" w:sz="36" w:space="10" w:color="43C7F4" w:themeColor="accent1"/>
        <w:bottom w:val="single" w:sz="36" w:space="10" w:color="43C7F4" w:themeColor="accent1"/>
      </w:pBdr>
      <w:ind w:left="0" w:right="-46"/>
      <w:jc w:val="left"/>
    </w:pPr>
    <w:rPr>
      <w:rFonts w:ascii="Gotham" w:hAnsi="Gotham"/>
      <w:b/>
      <w:color w:val="auto"/>
      <w:sz w:val="16"/>
      <w:lang w:val="en-US"/>
    </w:rPr>
  </w:style>
  <w:style w:type="paragraph" w:styleId="IntenseQuote">
    <w:name w:val="Intense Quote"/>
    <w:basedOn w:val="Normal"/>
    <w:next w:val="Normal"/>
    <w:link w:val="IntenseQuoteChar"/>
    <w:uiPriority w:val="30"/>
    <w:qFormat/>
    <w:rsid w:val="001531E7"/>
    <w:pPr>
      <w:pBdr>
        <w:top w:val="single" w:sz="4" w:space="10" w:color="43C7F4" w:themeColor="accent1"/>
        <w:bottom w:val="single" w:sz="4" w:space="10" w:color="43C7F4" w:themeColor="accent1"/>
      </w:pBdr>
      <w:spacing w:before="360" w:after="360"/>
      <w:ind w:left="864" w:right="864"/>
      <w:jc w:val="center"/>
    </w:pPr>
    <w:rPr>
      <w:i/>
      <w:iCs/>
      <w:color w:val="43C7F4" w:themeColor="accent1"/>
    </w:rPr>
  </w:style>
  <w:style w:type="character" w:customStyle="1" w:styleId="IntenseQuoteChar">
    <w:name w:val="Intense Quote Char"/>
    <w:basedOn w:val="DefaultParagraphFont"/>
    <w:link w:val="IntenseQuote"/>
    <w:uiPriority w:val="30"/>
    <w:rsid w:val="001531E7"/>
    <w:rPr>
      <w:rFonts w:eastAsiaTheme="minorEastAsia"/>
      <w:i/>
      <w:iCs/>
      <w:color w:val="43C7F4" w:themeColor="accent1"/>
      <w:lang w:eastAsia="en-AU"/>
    </w:rPr>
  </w:style>
  <w:style w:type="character" w:customStyle="1" w:styleId="Heading4Char">
    <w:name w:val="Heading 4 Char"/>
    <w:basedOn w:val="DefaultParagraphFont"/>
    <w:link w:val="Heading4"/>
    <w:uiPriority w:val="9"/>
    <w:rsid w:val="006C0815"/>
    <w:rPr>
      <w:rFonts w:ascii="Calibri" w:eastAsia="MS Gothic" w:hAnsi="Calibri" w:cs="Times New Roman"/>
      <w:bCs/>
      <w:i/>
      <w:iCs/>
      <w:color w:val="086F93" w:themeColor="accent1" w:themeShade="80"/>
      <w:sz w:val="24"/>
      <w:lang w:val="en-US"/>
    </w:rPr>
  </w:style>
  <w:style w:type="paragraph" w:customStyle="1" w:styleId="Heading71">
    <w:name w:val="Heading 71"/>
    <w:next w:val="Normal"/>
    <w:uiPriority w:val="9"/>
    <w:semiHidden/>
    <w:unhideWhenUsed/>
    <w:rsid w:val="00B41CA8"/>
    <w:pPr>
      <w:keepNext/>
      <w:keepLines/>
      <w:spacing w:before="200" w:after="0" w:line="240" w:lineRule="auto"/>
      <w:outlineLvl w:val="6"/>
    </w:pPr>
    <w:rPr>
      <w:rFonts w:ascii="Cambria" w:eastAsia="MS Gothic" w:hAnsi="Cambria" w:cs="Times New Roman"/>
      <w:i/>
      <w:iCs/>
      <w:color w:val="404040"/>
      <w:sz w:val="23"/>
      <w:lang w:eastAsia="en-AU"/>
    </w:rPr>
  </w:style>
  <w:style w:type="paragraph" w:customStyle="1" w:styleId="Heading81">
    <w:name w:val="Heading 81"/>
    <w:basedOn w:val="Normal"/>
    <w:next w:val="Normal"/>
    <w:uiPriority w:val="9"/>
    <w:semiHidden/>
    <w:unhideWhenUsed/>
    <w:qFormat/>
    <w:rsid w:val="00B41CA8"/>
    <w:pPr>
      <w:keepNext/>
      <w:keepLines/>
      <w:spacing w:before="200" w:beforeAutospacing="1" w:after="0" w:afterAutospacing="1" w:line="240" w:lineRule="auto"/>
      <w:outlineLvl w:val="7"/>
    </w:pPr>
    <w:rPr>
      <w:rFonts w:ascii="Cambria" w:eastAsia="MS Gothic" w:hAnsi="Cambria" w:cs="Times New Roman"/>
      <w:color w:val="404040"/>
      <w:sz w:val="20"/>
      <w:szCs w:val="20"/>
    </w:rPr>
  </w:style>
  <w:style w:type="paragraph" w:customStyle="1" w:styleId="Heading91">
    <w:name w:val="Heading 91"/>
    <w:basedOn w:val="Normal"/>
    <w:next w:val="Normal"/>
    <w:uiPriority w:val="9"/>
    <w:semiHidden/>
    <w:unhideWhenUsed/>
    <w:qFormat/>
    <w:rsid w:val="00B41CA8"/>
    <w:pPr>
      <w:keepNext/>
      <w:keepLines/>
      <w:spacing w:before="200" w:beforeAutospacing="1" w:after="0" w:afterAutospacing="1" w:line="240" w:lineRule="auto"/>
      <w:outlineLvl w:val="8"/>
    </w:pPr>
    <w:rPr>
      <w:rFonts w:ascii="Cambria" w:eastAsia="MS Gothic" w:hAnsi="Cambria" w:cs="Times New Roman"/>
      <w:i/>
      <w:iCs/>
      <w:color w:val="404040"/>
      <w:sz w:val="20"/>
      <w:szCs w:val="20"/>
    </w:rPr>
  </w:style>
  <w:style w:type="character" w:customStyle="1" w:styleId="Heading5Char">
    <w:name w:val="Heading 5 Char"/>
    <w:basedOn w:val="DefaultParagraphFont"/>
    <w:link w:val="Heading5"/>
    <w:uiPriority w:val="9"/>
    <w:rsid w:val="006C0815"/>
    <w:rPr>
      <w:rFonts w:ascii="Calibri" w:eastAsia="MS Gothic" w:hAnsi="Calibri" w:cs="Times New Roman"/>
      <w:bCs/>
      <w:i/>
      <w:iCs/>
      <w:color w:val="086F93" w:themeColor="accent1" w:themeShade="80"/>
      <w:sz w:val="24"/>
      <w:lang w:val="en-US"/>
    </w:rPr>
  </w:style>
  <w:style w:type="character" w:customStyle="1" w:styleId="Heading6Char">
    <w:name w:val="Heading 6 Char"/>
    <w:basedOn w:val="DefaultParagraphFont"/>
    <w:link w:val="Heading6"/>
    <w:uiPriority w:val="9"/>
    <w:rsid w:val="00B41CA8"/>
    <w:rPr>
      <w:rFonts w:ascii="Calibri" w:eastAsia="MS Gothic" w:hAnsi="Calibri" w:cs="Times New Roman"/>
      <w:i/>
      <w:iCs/>
      <w:sz w:val="23"/>
    </w:rPr>
  </w:style>
  <w:style w:type="numbering" w:customStyle="1" w:styleId="Appendices">
    <w:name w:val="Appendices"/>
    <w:uiPriority w:val="99"/>
    <w:rsid w:val="00B41CA8"/>
    <w:pPr>
      <w:numPr>
        <w:numId w:val="4"/>
      </w:numPr>
    </w:pPr>
  </w:style>
  <w:style w:type="character" w:styleId="EndnoteReference">
    <w:name w:val="endnote reference"/>
    <w:basedOn w:val="DefaultParagraphFont"/>
    <w:uiPriority w:val="99"/>
    <w:semiHidden/>
    <w:unhideWhenUsed/>
    <w:rsid w:val="00B41CA8"/>
    <w:rPr>
      <w:vertAlign w:val="superscript"/>
    </w:rPr>
  </w:style>
  <w:style w:type="paragraph" w:customStyle="1" w:styleId="EndnoteText1">
    <w:name w:val="Endnote Text1"/>
    <w:basedOn w:val="Normal"/>
    <w:next w:val="EndnoteText"/>
    <w:link w:val="EndnoteTextChar"/>
    <w:uiPriority w:val="99"/>
    <w:semiHidden/>
    <w:unhideWhenUsed/>
    <w:rsid w:val="00B41CA8"/>
    <w:pPr>
      <w:spacing w:before="100" w:beforeAutospacing="1" w:after="100" w:afterAutospacing="1" w:line="240" w:lineRule="auto"/>
    </w:pPr>
    <w:rPr>
      <w:rFonts w:eastAsiaTheme="minorHAnsi"/>
      <w:sz w:val="20"/>
      <w:szCs w:val="20"/>
      <w:lang w:val="en-GB" w:eastAsia="en-US"/>
    </w:rPr>
  </w:style>
  <w:style w:type="character" w:customStyle="1" w:styleId="EndnoteTextChar">
    <w:name w:val="Endnote Text Char"/>
    <w:basedOn w:val="DefaultParagraphFont"/>
    <w:link w:val="EndnoteText1"/>
    <w:uiPriority w:val="99"/>
    <w:semiHidden/>
    <w:rsid w:val="00B41CA8"/>
    <w:rPr>
      <w:sz w:val="20"/>
      <w:szCs w:val="20"/>
      <w:lang w:val="en-GB"/>
    </w:rPr>
  </w:style>
  <w:style w:type="character" w:styleId="Strong">
    <w:name w:val="Strong"/>
    <w:basedOn w:val="DefaultParagraphFont"/>
    <w:uiPriority w:val="22"/>
    <w:rsid w:val="00B41CA8"/>
    <w:rPr>
      <w:b/>
      <w:bCs/>
    </w:rPr>
  </w:style>
  <w:style w:type="paragraph" w:styleId="NormalWeb">
    <w:name w:val="Normal (Web)"/>
    <w:basedOn w:val="Normal"/>
    <w:uiPriority w:val="99"/>
    <w:semiHidden/>
    <w:unhideWhenUsed/>
    <w:rsid w:val="00B41CA8"/>
    <w:pPr>
      <w:spacing w:before="140" w:beforeAutospacing="1" w:after="140" w:afterAutospacing="1" w:line="240" w:lineRule="auto"/>
    </w:pPr>
    <w:rPr>
      <w:rFonts w:ascii="Trebuchet MS" w:eastAsia="Times New Roman" w:hAnsi="Trebuchet MS" w:cs="Times New Roman"/>
      <w:sz w:val="24"/>
      <w:szCs w:val="24"/>
    </w:rPr>
  </w:style>
  <w:style w:type="table" w:styleId="TableGrid">
    <w:name w:val="Table Grid"/>
    <w:basedOn w:val="TableNormal"/>
    <w:uiPriority w:val="59"/>
    <w:rsid w:val="00B41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CCANtable">
    <w:name w:val="ACCAN table"/>
    <w:basedOn w:val="TableNormal"/>
    <w:uiPriority w:val="99"/>
    <w:rsid w:val="00B41CA8"/>
    <w:pPr>
      <w:spacing w:after="0" w:line="240" w:lineRule="auto"/>
    </w:pPr>
    <w:tblPr>
      <w:jc w:val="center"/>
      <w:tblBorders>
        <w:top w:val="single" w:sz="4" w:space="0" w:color="44C8F5"/>
        <w:bottom w:val="single" w:sz="4" w:space="0" w:color="44C8F5"/>
        <w:insideH w:val="single" w:sz="4" w:space="0" w:color="44C8F5"/>
      </w:tblBorders>
      <w:tblCellMar>
        <w:top w:w="108" w:type="dxa"/>
        <w:bottom w:w="108" w:type="dxa"/>
      </w:tblCellMar>
    </w:tblPr>
    <w:trPr>
      <w:jc w:val="center"/>
    </w:trPr>
    <w:tblStylePr w:type="firstRow">
      <w:pPr>
        <w:jc w:val="left"/>
      </w:pPr>
      <w:rPr>
        <w:rFonts w:ascii="Calibri" w:hAnsi="Calibri"/>
        <w:b/>
        <w:color w:val="auto"/>
        <w:sz w:val="22"/>
      </w:rPr>
      <w:tblPr/>
      <w:tcPr>
        <w:shd w:val="clear" w:color="auto" w:fill="44C8F5"/>
      </w:tcPr>
    </w:tblStylePr>
    <w:tblStylePr w:type="lastRow">
      <w:pPr>
        <w:jc w:val="left"/>
      </w:pPr>
    </w:tblStylePr>
  </w:style>
  <w:style w:type="character" w:customStyle="1" w:styleId="Heading7Char">
    <w:name w:val="Heading 7 Char"/>
    <w:basedOn w:val="DefaultParagraphFont"/>
    <w:link w:val="Heading7"/>
    <w:uiPriority w:val="9"/>
    <w:semiHidden/>
    <w:rsid w:val="00B41CA8"/>
    <w:rPr>
      <w:rFonts w:ascii="Cambria" w:eastAsia="MS Gothic" w:hAnsi="Cambria" w:cs="Times New Roman"/>
      <w:i/>
      <w:iCs/>
      <w:color w:val="404040"/>
      <w:sz w:val="23"/>
      <w:lang w:eastAsia="en-AU"/>
    </w:rPr>
  </w:style>
  <w:style w:type="paragraph" w:customStyle="1" w:styleId="Recommendation">
    <w:name w:val="Recommendation"/>
    <w:basedOn w:val="Normal"/>
    <w:link w:val="RecommendationChar"/>
    <w:qFormat/>
    <w:rsid w:val="006A30FD"/>
    <w:pPr>
      <w:numPr>
        <w:numId w:val="44"/>
      </w:numPr>
      <w:pBdr>
        <w:top w:val="single" w:sz="18" w:space="6" w:color="44C8F5"/>
        <w:left w:val="single" w:sz="18" w:space="5" w:color="44C8F5"/>
        <w:bottom w:val="single" w:sz="18" w:space="6" w:color="44C8F5"/>
        <w:right w:val="single" w:sz="18" w:space="5" w:color="44C8F5"/>
      </w:pBdr>
      <w:spacing w:before="100" w:beforeAutospacing="1" w:after="100" w:afterAutospacing="1" w:line="240" w:lineRule="auto"/>
      <w:ind w:right="851"/>
    </w:pPr>
    <w:rPr>
      <w:rFonts w:ascii="Calibri" w:hAnsi="Calibri"/>
      <w:lang w:eastAsia="en-US"/>
    </w:rPr>
  </w:style>
  <w:style w:type="table" w:customStyle="1" w:styleId="LightShading-Accent11">
    <w:name w:val="Light Shading - Accent 11"/>
    <w:basedOn w:val="TableNormal"/>
    <w:next w:val="LightShading-Accent1"/>
    <w:uiPriority w:val="60"/>
    <w:rsid w:val="00B41CA8"/>
    <w:pPr>
      <w:spacing w:after="0" w:line="240" w:lineRule="auto"/>
    </w:pPr>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RecommendationChar">
    <w:name w:val="Recommendation Char"/>
    <w:basedOn w:val="DefaultParagraphFont"/>
    <w:link w:val="Recommendation"/>
    <w:rsid w:val="006A30FD"/>
    <w:rPr>
      <w:rFonts w:ascii="Calibri" w:eastAsiaTheme="minorEastAsia" w:hAnsi="Calibri"/>
    </w:rPr>
  </w:style>
  <w:style w:type="numbering" w:customStyle="1" w:styleId="Headings">
    <w:name w:val="Headings"/>
    <w:uiPriority w:val="99"/>
    <w:rsid w:val="00B41CA8"/>
    <w:pPr>
      <w:numPr>
        <w:numId w:val="1"/>
      </w:numPr>
    </w:pPr>
  </w:style>
  <w:style w:type="numbering" w:customStyle="1" w:styleId="Bullets">
    <w:name w:val="Bullets"/>
    <w:uiPriority w:val="99"/>
    <w:rsid w:val="00B41CA8"/>
    <w:pPr>
      <w:numPr>
        <w:numId w:val="2"/>
      </w:numPr>
    </w:pPr>
  </w:style>
  <w:style w:type="character" w:customStyle="1" w:styleId="Heading8Char">
    <w:name w:val="Heading 8 Char"/>
    <w:basedOn w:val="DefaultParagraphFont"/>
    <w:link w:val="Heading8"/>
    <w:uiPriority w:val="9"/>
    <w:semiHidden/>
    <w:rsid w:val="00B41CA8"/>
    <w:rPr>
      <w:rFonts w:ascii="Cambria" w:eastAsia="MS Gothic" w:hAnsi="Cambria" w:cs="Times New Roman"/>
      <w:color w:val="404040"/>
      <w:sz w:val="20"/>
      <w:szCs w:val="20"/>
      <w:lang w:eastAsia="en-AU"/>
    </w:rPr>
  </w:style>
  <w:style w:type="character" w:customStyle="1" w:styleId="Heading9Char">
    <w:name w:val="Heading 9 Char"/>
    <w:basedOn w:val="DefaultParagraphFont"/>
    <w:link w:val="Heading9"/>
    <w:uiPriority w:val="9"/>
    <w:semiHidden/>
    <w:rsid w:val="00B41CA8"/>
    <w:rPr>
      <w:rFonts w:ascii="Cambria" w:eastAsia="MS Gothic" w:hAnsi="Cambria" w:cs="Times New Roman"/>
      <w:i/>
      <w:iCs/>
      <w:color w:val="404040"/>
      <w:sz w:val="20"/>
      <w:szCs w:val="20"/>
      <w:lang w:eastAsia="en-AU"/>
    </w:rPr>
  </w:style>
  <w:style w:type="paragraph" w:customStyle="1" w:styleId="Bulletlist1">
    <w:name w:val="Bullet list 1"/>
    <w:basedOn w:val="Normal"/>
    <w:link w:val="Bulletlist1Char"/>
    <w:qFormat/>
    <w:rsid w:val="00B41CA8"/>
    <w:pPr>
      <w:numPr>
        <w:numId w:val="3"/>
      </w:numPr>
      <w:spacing w:before="100" w:beforeAutospacing="1" w:after="100" w:afterAutospacing="1" w:line="240" w:lineRule="auto"/>
    </w:pPr>
    <w:rPr>
      <w:rFonts w:ascii="Calibri" w:hAnsi="Calibri"/>
    </w:rPr>
  </w:style>
  <w:style w:type="paragraph" w:customStyle="1" w:styleId="Bulletlist2">
    <w:name w:val="Bullet list 2"/>
    <w:basedOn w:val="Bulletlist1"/>
    <w:link w:val="Bulletlist2Char"/>
    <w:qFormat/>
    <w:rsid w:val="00B41CA8"/>
    <w:pPr>
      <w:numPr>
        <w:ilvl w:val="1"/>
      </w:numPr>
    </w:pPr>
  </w:style>
  <w:style w:type="character" w:customStyle="1" w:styleId="Bulletlist1Char">
    <w:name w:val="Bullet list 1 Char"/>
    <w:basedOn w:val="DefaultParagraphFont"/>
    <w:link w:val="Bulletlist1"/>
    <w:rsid w:val="00B41CA8"/>
    <w:rPr>
      <w:rFonts w:ascii="Calibri" w:eastAsiaTheme="minorEastAsia" w:hAnsi="Calibri"/>
      <w:lang w:eastAsia="en-AU"/>
    </w:rPr>
  </w:style>
  <w:style w:type="paragraph" w:customStyle="1" w:styleId="Bulletlist3">
    <w:name w:val="Bullet list 3"/>
    <w:basedOn w:val="Bulletlist2"/>
    <w:link w:val="Bulletlist3Char"/>
    <w:qFormat/>
    <w:rsid w:val="00B41CA8"/>
    <w:pPr>
      <w:numPr>
        <w:ilvl w:val="2"/>
      </w:numPr>
    </w:pPr>
  </w:style>
  <w:style w:type="character" w:customStyle="1" w:styleId="Bulletlist2Char">
    <w:name w:val="Bullet list 2 Char"/>
    <w:basedOn w:val="Bulletlist1Char"/>
    <w:link w:val="Bulletlist2"/>
    <w:rsid w:val="00B41CA8"/>
    <w:rPr>
      <w:rFonts w:ascii="Calibri" w:eastAsiaTheme="minorEastAsia" w:hAnsi="Calibri"/>
      <w:lang w:eastAsia="en-AU"/>
    </w:rPr>
  </w:style>
  <w:style w:type="character" w:customStyle="1" w:styleId="Bulletlist3Char">
    <w:name w:val="Bullet list 3 Char"/>
    <w:basedOn w:val="Bulletlist2Char"/>
    <w:link w:val="Bulletlist3"/>
    <w:rsid w:val="00B41CA8"/>
    <w:rPr>
      <w:rFonts w:ascii="Calibri" w:eastAsiaTheme="minorEastAsia" w:hAnsi="Calibri"/>
      <w:lang w:eastAsia="en-AU"/>
    </w:rPr>
  </w:style>
  <w:style w:type="numbering" w:customStyle="1" w:styleId="Blockquotebullets">
    <w:name w:val="Blockquote bullets"/>
    <w:uiPriority w:val="99"/>
    <w:rsid w:val="00B41CA8"/>
    <w:pPr>
      <w:numPr>
        <w:numId w:val="6"/>
      </w:numPr>
    </w:pPr>
  </w:style>
  <w:style w:type="paragraph" w:customStyle="1" w:styleId="Casestudyheading">
    <w:name w:val="Case study heading"/>
    <w:basedOn w:val="Normal"/>
    <w:next w:val="Normal"/>
    <w:link w:val="CasestudyheadingChar"/>
    <w:rsid w:val="00B41CA8"/>
    <w:pPr>
      <w:keepNext/>
      <w:spacing w:before="100" w:beforeAutospacing="1" w:after="100" w:afterAutospacing="1" w:line="240" w:lineRule="auto"/>
      <w:ind w:left="851" w:right="851"/>
    </w:pPr>
    <w:rPr>
      <w:rFonts w:ascii="Calibri" w:hAnsi="Calibri"/>
      <w:b/>
      <w:lang w:eastAsia="en-US"/>
    </w:rPr>
  </w:style>
  <w:style w:type="character" w:customStyle="1" w:styleId="CasestudyheadingChar">
    <w:name w:val="Case study heading Char"/>
    <w:basedOn w:val="DefaultParagraphFont"/>
    <w:link w:val="Casestudyheading"/>
    <w:rsid w:val="00B41CA8"/>
    <w:rPr>
      <w:rFonts w:ascii="Calibri" w:eastAsiaTheme="minorEastAsia" w:hAnsi="Calibri"/>
      <w:b/>
    </w:rPr>
  </w:style>
  <w:style w:type="paragraph" w:customStyle="1" w:styleId="Casestudy">
    <w:name w:val="Case study"/>
    <w:basedOn w:val="Casestudyheading"/>
    <w:link w:val="CasestudyChar"/>
    <w:rsid w:val="00B41CA8"/>
    <w:pPr>
      <w:keepNext w:val="0"/>
    </w:pPr>
    <w:rPr>
      <w:b w:val="0"/>
    </w:rPr>
  </w:style>
  <w:style w:type="character" w:customStyle="1" w:styleId="CasestudyChar">
    <w:name w:val="Case study Char"/>
    <w:basedOn w:val="CasestudyheadingChar"/>
    <w:link w:val="Casestudy"/>
    <w:rsid w:val="00B41CA8"/>
    <w:rPr>
      <w:rFonts w:ascii="Calibri" w:eastAsiaTheme="minorEastAsia" w:hAnsi="Calibri"/>
      <w:b w:val="0"/>
    </w:rPr>
  </w:style>
  <w:style w:type="paragraph" w:customStyle="1" w:styleId="Casestudyquote">
    <w:name w:val="Case study quote"/>
    <w:basedOn w:val="Casestudy"/>
    <w:link w:val="CasestudyquoteChar"/>
    <w:rsid w:val="00B41CA8"/>
    <w:pPr>
      <w:ind w:left="1418" w:right="1418"/>
    </w:pPr>
  </w:style>
  <w:style w:type="character" w:customStyle="1" w:styleId="CasestudyquoteChar">
    <w:name w:val="Case study quote Char"/>
    <w:basedOn w:val="CasestudyChar"/>
    <w:link w:val="Casestudyquote"/>
    <w:rsid w:val="00B41CA8"/>
    <w:rPr>
      <w:rFonts w:ascii="Calibri" w:eastAsiaTheme="minorEastAsia" w:hAnsi="Calibri"/>
      <w:b w:val="0"/>
    </w:rPr>
  </w:style>
  <w:style w:type="numbering" w:customStyle="1" w:styleId="Recommendations">
    <w:name w:val="Recommendations"/>
    <w:uiPriority w:val="99"/>
    <w:rsid w:val="00B41CA8"/>
    <w:pPr>
      <w:numPr>
        <w:numId w:val="40"/>
      </w:numPr>
    </w:pPr>
  </w:style>
  <w:style w:type="character" w:customStyle="1" w:styleId="Heading5Char1">
    <w:name w:val="Heading 5 Char1"/>
    <w:basedOn w:val="DefaultParagraphFont"/>
    <w:uiPriority w:val="9"/>
    <w:semiHidden/>
    <w:rsid w:val="00B41CA8"/>
    <w:rPr>
      <w:rFonts w:asciiTheme="majorHAnsi" w:eastAsiaTheme="majorEastAsia" w:hAnsiTheme="majorHAnsi" w:cstheme="majorBidi"/>
      <w:color w:val="0DA6DB" w:themeColor="accent1" w:themeShade="BF"/>
      <w:lang w:eastAsia="en-AU"/>
    </w:rPr>
  </w:style>
  <w:style w:type="character" w:customStyle="1" w:styleId="Heading6Char1">
    <w:name w:val="Heading 6 Char1"/>
    <w:basedOn w:val="DefaultParagraphFont"/>
    <w:uiPriority w:val="9"/>
    <w:semiHidden/>
    <w:rsid w:val="00B41CA8"/>
    <w:rPr>
      <w:rFonts w:asciiTheme="majorHAnsi" w:eastAsiaTheme="majorEastAsia" w:hAnsiTheme="majorHAnsi" w:cstheme="majorBidi"/>
      <w:color w:val="086E92" w:themeColor="accent1" w:themeShade="7F"/>
      <w:lang w:eastAsia="en-AU"/>
    </w:rPr>
  </w:style>
  <w:style w:type="paragraph" w:styleId="EndnoteText">
    <w:name w:val="endnote text"/>
    <w:basedOn w:val="Normal"/>
    <w:link w:val="EndnoteTextChar1"/>
    <w:uiPriority w:val="99"/>
    <w:semiHidden/>
    <w:unhideWhenUsed/>
    <w:rsid w:val="00B41CA8"/>
    <w:pPr>
      <w:spacing w:after="0" w:line="240" w:lineRule="auto"/>
    </w:pPr>
    <w:rPr>
      <w:sz w:val="20"/>
      <w:szCs w:val="20"/>
    </w:rPr>
  </w:style>
  <w:style w:type="character" w:customStyle="1" w:styleId="EndnoteTextChar1">
    <w:name w:val="Endnote Text Char1"/>
    <w:basedOn w:val="DefaultParagraphFont"/>
    <w:link w:val="EndnoteText"/>
    <w:uiPriority w:val="99"/>
    <w:semiHidden/>
    <w:rsid w:val="00B41CA8"/>
    <w:rPr>
      <w:rFonts w:eastAsiaTheme="minorEastAsia"/>
      <w:sz w:val="20"/>
      <w:szCs w:val="20"/>
      <w:lang w:eastAsia="en-AU"/>
    </w:rPr>
  </w:style>
  <w:style w:type="paragraph" w:styleId="NoSpacing">
    <w:name w:val="No Spacing"/>
    <w:uiPriority w:val="1"/>
    <w:qFormat/>
    <w:rsid w:val="00B41CA8"/>
    <w:pPr>
      <w:spacing w:after="0" w:line="240" w:lineRule="auto"/>
    </w:pPr>
    <w:rPr>
      <w:rFonts w:eastAsiaTheme="minorEastAsia"/>
      <w:lang w:eastAsia="en-AU"/>
    </w:rPr>
  </w:style>
  <w:style w:type="character" w:customStyle="1" w:styleId="Heading7Char1">
    <w:name w:val="Heading 7 Char1"/>
    <w:basedOn w:val="DefaultParagraphFont"/>
    <w:uiPriority w:val="9"/>
    <w:semiHidden/>
    <w:rsid w:val="00B41CA8"/>
    <w:rPr>
      <w:rFonts w:asciiTheme="majorHAnsi" w:eastAsiaTheme="majorEastAsia" w:hAnsiTheme="majorHAnsi" w:cstheme="majorBidi"/>
      <w:i/>
      <w:iCs/>
      <w:color w:val="086E92" w:themeColor="accent1" w:themeShade="7F"/>
      <w:lang w:eastAsia="en-AU"/>
    </w:rPr>
  </w:style>
  <w:style w:type="table" w:styleId="LightShading-Accent1">
    <w:name w:val="Light Shading Accent 1"/>
    <w:basedOn w:val="TableNormal"/>
    <w:uiPriority w:val="60"/>
    <w:semiHidden/>
    <w:unhideWhenUsed/>
    <w:rsid w:val="00B41CA8"/>
    <w:pPr>
      <w:spacing w:after="0" w:line="240" w:lineRule="auto"/>
    </w:pPr>
    <w:rPr>
      <w:color w:val="0DA6DB" w:themeColor="accent1" w:themeShade="BF"/>
    </w:rPr>
    <w:tblPr>
      <w:tblStyleRowBandSize w:val="1"/>
      <w:tblStyleColBandSize w:val="1"/>
      <w:tblBorders>
        <w:top w:val="single" w:sz="8" w:space="0" w:color="43C7F4" w:themeColor="accent1"/>
        <w:bottom w:val="single" w:sz="8" w:space="0" w:color="43C7F4" w:themeColor="accent1"/>
      </w:tblBorders>
    </w:tblPr>
    <w:tblStylePr w:type="fir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lastRow">
      <w:pPr>
        <w:spacing w:before="0" w:after="0" w:line="240" w:lineRule="auto"/>
      </w:pPr>
      <w:rPr>
        <w:b/>
        <w:bCs/>
      </w:rPr>
      <w:tblPr/>
      <w:tcPr>
        <w:tcBorders>
          <w:top w:val="single" w:sz="8" w:space="0" w:color="43C7F4" w:themeColor="accent1"/>
          <w:left w:val="nil"/>
          <w:bottom w:val="single" w:sz="8" w:space="0" w:color="43C7F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F1FC" w:themeFill="accent1" w:themeFillTint="3F"/>
      </w:tcPr>
    </w:tblStylePr>
    <w:tblStylePr w:type="band1Horz">
      <w:tblPr/>
      <w:tcPr>
        <w:tcBorders>
          <w:left w:val="nil"/>
          <w:right w:val="nil"/>
          <w:insideH w:val="nil"/>
          <w:insideV w:val="nil"/>
        </w:tcBorders>
        <w:shd w:val="clear" w:color="auto" w:fill="D0F1FC" w:themeFill="accent1" w:themeFillTint="3F"/>
      </w:tcPr>
    </w:tblStylePr>
  </w:style>
  <w:style w:type="character" w:customStyle="1" w:styleId="Heading8Char1">
    <w:name w:val="Heading 8 Char1"/>
    <w:basedOn w:val="DefaultParagraphFont"/>
    <w:uiPriority w:val="9"/>
    <w:semiHidden/>
    <w:rsid w:val="00B41CA8"/>
    <w:rPr>
      <w:rFonts w:asciiTheme="majorHAnsi" w:eastAsiaTheme="majorEastAsia" w:hAnsiTheme="majorHAnsi" w:cstheme="majorBidi"/>
      <w:color w:val="272727" w:themeColor="text1" w:themeTint="D8"/>
      <w:sz w:val="21"/>
      <w:szCs w:val="21"/>
      <w:lang w:eastAsia="en-AU"/>
    </w:rPr>
  </w:style>
  <w:style w:type="character" w:customStyle="1" w:styleId="Heading9Char1">
    <w:name w:val="Heading 9 Char1"/>
    <w:basedOn w:val="DefaultParagraphFont"/>
    <w:uiPriority w:val="9"/>
    <w:semiHidden/>
    <w:rsid w:val="00B41CA8"/>
    <w:rPr>
      <w:rFonts w:asciiTheme="majorHAnsi" w:eastAsiaTheme="majorEastAsia" w:hAnsiTheme="majorHAnsi" w:cstheme="majorBidi"/>
      <w:i/>
      <w:iCs/>
      <w:color w:val="272727" w:themeColor="text1" w:themeTint="D8"/>
      <w:sz w:val="21"/>
      <w:szCs w:val="21"/>
      <w:lang w:eastAsia="en-AU"/>
    </w:rPr>
  </w:style>
  <w:style w:type="table" w:styleId="GridTable1Light-Accent1">
    <w:name w:val="Grid Table 1 Light Accent 1"/>
    <w:basedOn w:val="TableNormal"/>
    <w:uiPriority w:val="46"/>
    <w:rsid w:val="00040073"/>
    <w:pPr>
      <w:spacing w:after="0" w:line="240" w:lineRule="auto"/>
    </w:pPr>
    <w:tblPr>
      <w:tblStyleRowBandSize w:val="1"/>
      <w:tblStyleColBandSize w:val="1"/>
      <w:tblBorders>
        <w:top w:val="single" w:sz="4" w:space="0" w:color="B3E8FA" w:themeColor="accent1" w:themeTint="66"/>
        <w:left w:val="single" w:sz="4" w:space="0" w:color="B3E8FA" w:themeColor="accent1" w:themeTint="66"/>
        <w:bottom w:val="single" w:sz="4" w:space="0" w:color="B3E8FA" w:themeColor="accent1" w:themeTint="66"/>
        <w:right w:val="single" w:sz="4" w:space="0" w:color="B3E8FA" w:themeColor="accent1" w:themeTint="66"/>
        <w:insideH w:val="single" w:sz="4" w:space="0" w:color="B3E8FA" w:themeColor="accent1" w:themeTint="66"/>
        <w:insideV w:val="single" w:sz="4" w:space="0" w:color="B3E8FA" w:themeColor="accent1" w:themeTint="66"/>
      </w:tblBorders>
    </w:tblPr>
    <w:tblStylePr w:type="firstRow">
      <w:rPr>
        <w:b/>
        <w:bCs/>
      </w:rPr>
      <w:tblPr/>
      <w:tcPr>
        <w:tcBorders>
          <w:bottom w:val="single" w:sz="12" w:space="0" w:color="8DDDF8" w:themeColor="accent1" w:themeTint="99"/>
        </w:tcBorders>
      </w:tcPr>
    </w:tblStylePr>
    <w:tblStylePr w:type="lastRow">
      <w:rPr>
        <w:b/>
        <w:bCs/>
      </w:rPr>
      <w:tblPr/>
      <w:tcPr>
        <w:tcBorders>
          <w:top w:val="double" w:sz="2" w:space="0" w:color="8DDDF8" w:themeColor="accent1" w:themeTint="99"/>
        </w:tcBorders>
      </w:tcPr>
    </w:tblStylePr>
    <w:tblStylePr w:type="firstCol">
      <w:rPr>
        <w:b/>
        <w:bCs/>
      </w:rPr>
    </w:tblStylePr>
    <w:tblStylePr w:type="lastCol">
      <w:rPr>
        <w:b/>
        <w:bCs/>
      </w:rPr>
    </w:tblStylePr>
  </w:style>
  <w:style w:type="paragraph" w:customStyle="1" w:styleId="DocLabel">
    <w:name w:val="Doc Label"/>
    <w:basedOn w:val="Normal"/>
    <w:link w:val="DocLabelChar"/>
    <w:qFormat/>
    <w:rsid w:val="006505C6"/>
    <w:pPr>
      <w:tabs>
        <w:tab w:val="right" w:pos="9026"/>
      </w:tabs>
    </w:pPr>
    <w:rPr>
      <w:rFonts w:ascii="Gotham Black" w:hAnsi="Gotham Black"/>
      <w:color w:val="43C7F4" w:themeColor="accent1"/>
      <w:sz w:val="36"/>
      <w:szCs w:val="36"/>
    </w:rPr>
  </w:style>
  <w:style w:type="character" w:customStyle="1" w:styleId="DocLabelChar">
    <w:name w:val="Doc Label Char"/>
    <w:basedOn w:val="DefaultParagraphFont"/>
    <w:link w:val="DocLabel"/>
    <w:rsid w:val="006505C6"/>
    <w:rPr>
      <w:rFonts w:ascii="Gotham Black" w:eastAsiaTheme="minorEastAsia" w:hAnsi="Gotham Black"/>
      <w:color w:val="43C7F4" w:themeColor="accent1"/>
      <w:sz w:val="36"/>
      <w:szCs w:val="36"/>
      <w:lang w:eastAsia="en-AU"/>
    </w:rPr>
  </w:style>
  <w:style w:type="paragraph" w:customStyle="1" w:styleId="Letterhead1">
    <w:name w:val="Letterhead 1"/>
    <w:basedOn w:val="Normal"/>
    <w:link w:val="Letterhead1Char"/>
    <w:qFormat/>
    <w:rsid w:val="007B1E9D"/>
    <w:pPr>
      <w:tabs>
        <w:tab w:val="left" w:pos="3855"/>
        <w:tab w:val="center" w:pos="4513"/>
        <w:tab w:val="right" w:pos="9026"/>
      </w:tabs>
      <w:spacing w:after="0"/>
      <w:jc w:val="right"/>
    </w:pPr>
    <w:rPr>
      <w:rFonts w:ascii="Gotham" w:hAnsi="Gotham"/>
      <w:b/>
      <w:bCs/>
      <w:spacing w:val="8"/>
      <w:sz w:val="20"/>
      <w:szCs w:val="20"/>
    </w:rPr>
  </w:style>
  <w:style w:type="paragraph" w:customStyle="1" w:styleId="Letterhead2">
    <w:name w:val="Letterhead 2"/>
    <w:basedOn w:val="Normal"/>
    <w:link w:val="Letterhead2Char"/>
    <w:qFormat/>
    <w:rsid w:val="007B1E9D"/>
    <w:pPr>
      <w:tabs>
        <w:tab w:val="left" w:pos="1843"/>
        <w:tab w:val="center" w:pos="4513"/>
        <w:tab w:val="right" w:pos="9026"/>
      </w:tabs>
      <w:spacing w:after="0" w:line="240" w:lineRule="auto"/>
      <w:ind w:hanging="851"/>
    </w:pPr>
    <w:rPr>
      <w:rFonts w:ascii="Gotham" w:hAnsi="Gotham"/>
      <w:b/>
      <w:bCs/>
      <w:i/>
      <w:iCs/>
      <w:color w:val="43C7F4" w:themeColor="accent1"/>
    </w:rPr>
  </w:style>
  <w:style w:type="character" w:customStyle="1" w:styleId="Letterhead1Char">
    <w:name w:val="Letterhead 1 Char"/>
    <w:basedOn w:val="DefaultParagraphFont"/>
    <w:link w:val="Letterhead1"/>
    <w:rsid w:val="007B1E9D"/>
    <w:rPr>
      <w:rFonts w:ascii="Gotham" w:eastAsiaTheme="minorEastAsia" w:hAnsi="Gotham"/>
      <w:b/>
      <w:bCs/>
      <w:spacing w:val="8"/>
      <w:sz w:val="20"/>
      <w:szCs w:val="20"/>
      <w:lang w:eastAsia="en-AU"/>
    </w:rPr>
  </w:style>
  <w:style w:type="paragraph" w:customStyle="1" w:styleId="DocDate">
    <w:name w:val="Doc Date"/>
    <w:basedOn w:val="Normal"/>
    <w:link w:val="DocDateChar"/>
    <w:qFormat/>
    <w:rsid w:val="00962372"/>
    <w:pPr>
      <w:tabs>
        <w:tab w:val="right" w:pos="9026"/>
      </w:tabs>
    </w:pPr>
    <w:rPr>
      <w:rFonts w:ascii="Gotham" w:hAnsi="Gotham"/>
      <w:b/>
      <w:bCs/>
    </w:rPr>
  </w:style>
  <w:style w:type="character" w:customStyle="1" w:styleId="Letterhead2Char">
    <w:name w:val="Letterhead 2 Char"/>
    <w:basedOn w:val="DefaultParagraphFont"/>
    <w:link w:val="Letterhead2"/>
    <w:rsid w:val="007B1E9D"/>
    <w:rPr>
      <w:rFonts w:ascii="Gotham" w:eastAsiaTheme="minorEastAsia" w:hAnsi="Gotham"/>
      <w:b/>
      <w:bCs/>
      <w:i/>
      <w:iCs/>
      <w:color w:val="43C7F4" w:themeColor="accent1"/>
      <w:lang w:eastAsia="en-AU"/>
    </w:rPr>
  </w:style>
  <w:style w:type="character" w:customStyle="1" w:styleId="DocDateChar">
    <w:name w:val="Doc Date Char"/>
    <w:basedOn w:val="DefaultParagraphFont"/>
    <w:link w:val="DocDate"/>
    <w:rsid w:val="00962372"/>
    <w:rPr>
      <w:rFonts w:ascii="Gotham" w:eastAsiaTheme="minorEastAsia" w:hAnsi="Gotham"/>
      <w:b/>
      <w:bCs/>
      <w:lang w:eastAsia="en-AU"/>
    </w:rPr>
  </w:style>
  <w:style w:type="paragraph" w:styleId="TOC1">
    <w:name w:val="toc 1"/>
    <w:basedOn w:val="Normal"/>
    <w:next w:val="Normal"/>
    <w:autoRedefine/>
    <w:uiPriority w:val="39"/>
    <w:unhideWhenUsed/>
    <w:rsid w:val="00873F0D"/>
    <w:pPr>
      <w:tabs>
        <w:tab w:val="right" w:leader="dot" w:pos="9016"/>
      </w:tabs>
      <w:spacing w:after="100"/>
    </w:pPr>
  </w:style>
  <w:style w:type="paragraph" w:styleId="TOCHeading">
    <w:name w:val="TOC Heading"/>
    <w:basedOn w:val="Heading1"/>
    <w:next w:val="Normal"/>
    <w:uiPriority w:val="39"/>
    <w:unhideWhenUsed/>
    <w:qFormat/>
    <w:rsid w:val="003877CF"/>
    <w:pPr>
      <w:keepNext/>
      <w:keepLines/>
      <w:spacing w:before="240" w:after="0" w:line="259" w:lineRule="auto"/>
      <w:outlineLvl w:val="9"/>
    </w:pPr>
    <w:rPr>
      <w:rFonts w:asciiTheme="majorHAnsi" w:eastAsiaTheme="majorEastAsia" w:hAnsiTheme="majorHAnsi" w:cstheme="majorBidi"/>
      <w:color w:val="0DA6DB" w:themeColor="accent1" w:themeShade="BF"/>
      <w:lang w:val="en-US" w:eastAsia="en-US"/>
    </w:rPr>
  </w:style>
  <w:style w:type="paragraph" w:styleId="TOC2">
    <w:name w:val="toc 2"/>
    <w:basedOn w:val="Normal"/>
    <w:next w:val="Normal"/>
    <w:autoRedefine/>
    <w:uiPriority w:val="39"/>
    <w:unhideWhenUsed/>
    <w:rsid w:val="003877CF"/>
    <w:pPr>
      <w:spacing w:after="100"/>
      <w:ind w:left="220"/>
    </w:pPr>
  </w:style>
  <w:style w:type="paragraph" w:styleId="FootnoteText">
    <w:name w:val="footnote text"/>
    <w:basedOn w:val="Normal"/>
    <w:link w:val="FootnoteTextChar"/>
    <w:uiPriority w:val="99"/>
    <w:unhideWhenUsed/>
    <w:rsid w:val="002A0959"/>
    <w:pPr>
      <w:spacing w:after="0" w:line="240" w:lineRule="auto"/>
    </w:pPr>
    <w:rPr>
      <w:sz w:val="20"/>
      <w:szCs w:val="20"/>
    </w:rPr>
  </w:style>
  <w:style w:type="character" w:customStyle="1" w:styleId="FootnoteTextChar">
    <w:name w:val="Footnote Text Char"/>
    <w:basedOn w:val="DefaultParagraphFont"/>
    <w:link w:val="FootnoteText"/>
    <w:uiPriority w:val="99"/>
    <w:rsid w:val="002A0959"/>
    <w:rPr>
      <w:rFonts w:eastAsiaTheme="minorEastAsia"/>
      <w:sz w:val="20"/>
      <w:szCs w:val="20"/>
      <w:lang w:eastAsia="en-AU"/>
    </w:rPr>
  </w:style>
  <w:style w:type="character" w:customStyle="1" w:styleId="normaltextrun">
    <w:name w:val="normaltextrun"/>
    <w:basedOn w:val="DefaultParagraphFont"/>
    <w:rsid w:val="00EE4121"/>
  </w:style>
  <w:style w:type="paragraph" w:styleId="Header">
    <w:name w:val="header"/>
    <w:basedOn w:val="Normal"/>
    <w:link w:val="HeaderChar"/>
    <w:uiPriority w:val="99"/>
    <w:unhideWhenUsed/>
    <w:rsid w:val="004669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697C"/>
    <w:rPr>
      <w:rFonts w:eastAsiaTheme="minorEastAsia"/>
      <w:lang w:eastAsia="en-AU"/>
    </w:rPr>
  </w:style>
  <w:style w:type="paragraph" w:styleId="Footer">
    <w:name w:val="footer"/>
    <w:basedOn w:val="Normal"/>
    <w:link w:val="FooterChar"/>
    <w:uiPriority w:val="99"/>
    <w:unhideWhenUsed/>
    <w:rsid w:val="004669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697C"/>
    <w:rPr>
      <w:rFonts w:eastAsiaTheme="minorEastAsia"/>
      <w:lang w:eastAsia="en-AU"/>
    </w:rPr>
  </w:style>
  <w:style w:type="paragraph" w:styleId="CommentText">
    <w:name w:val="annotation text"/>
    <w:basedOn w:val="Normal"/>
    <w:link w:val="CommentTextChar"/>
    <w:uiPriority w:val="99"/>
    <w:unhideWhenUsed/>
    <w:rsid w:val="000846C7"/>
    <w:pPr>
      <w:spacing w:line="240" w:lineRule="auto"/>
    </w:pPr>
    <w:rPr>
      <w:sz w:val="20"/>
      <w:szCs w:val="20"/>
    </w:rPr>
  </w:style>
  <w:style w:type="character" w:customStyle="1" w:styleId="CommentTextChar">
    <w:name w:val="Comment Text Char"/>
    <w:basedOn w:val="DefaultParagraphFont"/>
    <w:link w:val="CommentText"/>
    <w:uiPriority w:val="99"/>
    <w:rsid w:val="000846C7"/>
    <w:rPr>
      <w:rFonts w:eastAsiaTheme="minorEastAsia"/>
      <w:sz w:val="20"/>
      <w:szCs w:val="20"/>
      <w:lang w:eastAsia="en-AU"/>
    </w:rPr>
  </w:style>
  <w:style w:type="character" w:styleId="Mention">
    <w:name w:val="Mention"/>
    <w:basedOn w:val="DefaultParagraphFont"/>
    <w:uiPriority w:val="99"/>
    <w:unhideWhenUsed/>
    <w:rsid w:val="00C86A72"/>
    <w:rPr>
      <w:color w:val="2B579A"/>
      <w:shd w:val="clear" w:color="auto" w:fill="E1DFDD"/>
    </w:rPr>
  </w:style>
  <w:style w:type="character" w:styleId="Emphasis">
    <w:name w:val="Emphasis"/>
    <w:basedOn w:val="DefaultParagraphFont"/>
    <w:uiPriority w:val="20"/>
    <w:qFormat/>
    <w:rsid w:val="00B161D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564180">
      <w:bodyDiv w:val="1"/>
      <w:marLeft w:val="0"/>
      <w:marRight w:val="0"/>
      <w:marTop w:val="0"/>
      <w:marBottom w:val="0"/>
      <w:divBdr>
        <w:top w:val="none" w:sz="0" w:space="0" w:color="auto"/>
        <w:left w:val="none" w:sz="0" w:space="0" w:color="auto"/>
        <w:bottom w:val="none" w:sz="0" w:space="0" w:color="auto"/>
        <w:right w:val="none" w:sz="0" w:space="0" w:color="auto"/>
      </w:divBdr>
    </w:div>
    <w:div w:id="118572333">
      <w:bodyDiv w:val="1"/>
      <w:marLeft w:val="0"/>
      <w:marRight w:val="0"/>
      <w:marTop w:val="0"/>
      <w:marBottom w:val="0"/>
      <w:divBdr>
        <w:top w:val="none" w:sz="0" w:space="0" w:color="auto"/>
        <w:left w:val="none" w:sz="0" w:space="0" w:color="auto"/>
        <w:bottom w:val="none" w:sz="0" w:space="0" w:color="auto"/>
        <w:right w:val="none" w:sz="0" w:space="0" w:color="auto"/>
      </w:divBdr>
    </w:div>
    <w:div w:id="177932950">
      <w:bodyDiv w:val="1"/>
      <w:marLeft w:val="0"/>
      <w:marRight w:val="0"/>
      <w:marTop w:val="0"/>
      <w:marBottom w:val="0"/>
      <w:divBdr>
        <w:top w:val="none" w:sz="0" w:space="0" w:color="auto"/>
        <w:left w:val="none" w:sz="0" w:space="0" w:color="auto"/>
        <w:bottom w:val="none" w:sz="0" w:space="0" w:color="auto"/>
        <w:right w:val="none" w:sz="0" w:space="0" w:color="auto"/>
      </w:divBdr>
    </w:div>
    <w:div w:id="220598667">
      <w:bodyDiv w:val="1"/>
      <w:marLeft w:val="0"/>
      <w:marRight w:val="0"/>
      <w:marTop w:val="0"/>
      <w:marBottom w:val="0"/>
      <w:divBdr>
        <w:top w:val="none" w:sz="0" w:space="0" w:color="auto"/>
        <w:left w:val="none" w:sz="0" w:space="0" w:color="auto"/>
        <w:bottom w:val="none" w:sz="0" w:space="0" w:color="auto"/>
        <w:right w:val="none" w:sz="0" w:space="0" w:color="auto"/>
      </w:divBdr>
    </w:div>
    <w:div w:id="240140262">
      <w:bodyDiv w:val="1"/>
      <w:marLeft w:val="0"/>
      <w:marRight w:val="0"/>
      <w:marTop w:val="0"/>
      <w:marBottom w:val="0"/>
      <w:divBdr>
        <w:top w:val="none" w:sz="0" w:space="0" w:color="auto"/>
        <w:left w:val="none" w:sz="0" w:space="0" w:color="auto"/>
        <w:bottom w:val="none" w:sz="0" w:space="0" w:color="auto"/>
        <w:right w:val="none" w:sz="0" w:space="0" w:color="auto"/>
      </w:divBdr>
    </w:div>
    <w:div w:id="284888464">
      <w:bodyDiv w:val="1"/>
      <w:marLeft w:val="0"/>
      <w:marRight w:val="0"/>
      <w:marTop w:val="0"/>
      <w:marBottom w:val="0"/>
      <w:divBdr>
        <w:top w:val="none" w:sz="0" w:space="0" w:color="auto"/>
        <w:left w:val="none" w:sz="0" w:space="0" w:color="auto"/>
        <w:bottom w:val="none" w:sz="0" w:space="0" w:color="auto"/>
        <w:right w:val="none" w:sz="0" w:space="0" w:color="auto"/>
      </w:divBdr>
    </w:div>
    <w:div w:id="334694125">
      <w:bodyDiv w:val="1"/>
      <w:marLeft w:val="0"/>
      <w:marRight w:val="0"/>
      <w:marTop w:val="0"/>
      <w:marBottom w:val="0"/>
      <w:divBdr>
        <w:top w:val="none" w:sz="0" w:space="0" w:color="auto"/>
        <w:left w:val="none" w:sz="0" w:space="0" w:color="auto"/>
        <w:bottom w:val="none" w:sz="0" w:space="0" w:color="auto"/>
        <w:right w:val="none" w:sz="0" w:space="0" w:color="auto"/>
      </w:divBdr>
    </w:div>
    <w:div w:id="363602251">
      <w:bodyDiv w:val="1"/>
      <w:marLeft w:val="0"/>
      <w:marRight w:val="0"/>
      <w:marTop w:val="0"/>
      <w:marBottom w:val="0"/>
      <w:divBdr>
        <w:top w:val="none" w:sz="0" w:space="0" w:color="auto"/>
        <w:left w:val="none" w:sz="0" w:space="0" w:color="auto"/>
        <w:bottom w:val="none" w:sz="0" w:space="0" w:color="auto"/>
        <w:right w:val="none" w:sz="0" w:space="0" w:color="auto"/>
      </w:divBdr>
    </w:div>
    <w:div w:id="419060012">
      <w:bodyDiv w:val="1"/>
      <w:marLeft w:val="0"/>
      <w:marRight w:val="0"/>
      <w:marTop w:val="0"/>
      <w:marBottom w:val="0"/>
      <w:divBdr>
        <w:top w:val="none" w:sz="0" w:space="0" w:color="auto"/>
        <w:left w:val="none" w:sz="0" w:space="0" w:color="auto"/>
        <w:bottom w:val="none" w:sz="0" w:space="0" w:color="auto"/>
        <w:right w:val="none" w:sz="0" w:space="0" w:color="auto"/>
      </w:divBdr>
    </w:div>
    <w:div w:id="491289358">
      <w:bodyDiv w:val="1"/>
      <w:marLeft w:val="0"/>
      <w:marRight w:val="0"/>
      <w:marTop w:val="0"/>
      <w:marBottom w:val="0"/>
      <w:divBdr>
        <w:top w:val="none" w:sz="0" w:space="0" w:color="auto"/>
        <w:left w:val="none" w:sz="0" w:space="0" w:color="auto"/>
        <w:bottom w:val="none" w:sz="0" w:space="0" w:color="auto"/>
        <w:right w:val="none" w:sz="0" w:space="0" w:color="auto"/>
      </w:divBdr>
    </w:div>
    <w:div w:id="515076801">
      <w:bodyDiv w:val="1"/>
      <w:marLeft w:val="0"/>
      <w:marRight w:val="0"/>
      <w:marTop w:val="0"/>
      <w:marBottom w:val="0"/>
      <w:divBdr>
        <w:top w:val="none" w:sz="0" w:space="0" w:color="auto"/>
        <w:left w:val="none" w:sz="0" w:space="0" w:color="auto"/>
        <w:bottom w:val="none" w:sz="0" w:space="0" w:color="auto"/>
        <w:right w:val="none" w:sz="0" w:space="0" w:color="auto"/>
      </w:divBdr>
    </w:div>
    <w:div w:id="557860583">
      <w:bodyDiv w:val="1"/>
      <w:marLeft w:val="0"/>
      <w:marRight w:val="0"/>
      <w:marTop w:val="0"/>
      <w:marBottom w:val="0"/>
      <w:divBdr>
        <w:top w:val="none" w:sz="0" w:space="0" w:color="auto"/>
        <w:left w:val="none" w:sz="0" w:space="0" w:color="auto"/>
        <w:bottom w:val="none" w:sz="0" w:space="0" w:color="auto"/>
        <w:right w:val="none" w:sz="0" w:space="0" w:color="auto"/>
      </w:divBdr>
    </w:div>
    <w:div w:id="558976667">
      <w:bodyDiv w:val="1"/>
      <w:marLeft w:val="0"/>
      <w:marRight w:val="0"/>
      <w:marTop w:val="0"/>
      <w:marBottom w:val="0"/>
      <w:divBdr>
        <w:top w:val="none" w:sz="0" w:space="0" w:color="auto"/>
        <w:left w:val="none" w:sz="0" w:space="0" w:color="auto"/>
        <w:bottom w:val="none" w:sz="0" w:space="0" w:color="auto"/>
        <w:right w:val="none" w:sz="0" w:space="0" w:color="auto"/>
      </w:divBdr>
    </w:div>
    <w:div w:id="583995982">
      <w:bodyDiv w:val="1"/>
      <w:marLeft w:val="0"/>
      <w:marRight w:val="0"/>
      <w:marTop w:val="0"/>
      <w:marBottom w:val="0"/>
      <w:divBdr>
        <w:top w:val="none" w:sz="0" w:space="0" w:color="auto"/>
        <w:left w:val="none" w:sz="0" w:space="0" w:color="auto"/>
        <w:bottom w:val="none" w:sz="0" w:space="0" w:color="auto"/>
        <w:right w:val="none" w:sz="0" w:space="0" w:color="auto"/>
      </w:divBdr>
      <w:divsChild>
        <w:div w:id="808012486">
          <w:marLeft w:val="0"/>
          <w:marRight w:val="0"/>
          <w:marTop w:val="0"/>
          <w:marBottom w:val="0"/>
          <w:divBdr>
            <w:top w:val="none" w:sz="0" w:space="0" w:color="auto"/>
            <w:left w:val="none" w:sz="0" w:space="0" w:color="auto"/>
            <w:bottom w:val="none" w:sz="0" w:space="0" w:color="auto"/>
            <w:right w:val="none" w:sz="0" w:space="0" w:color="auto"/>
          </w:divBdr>
        </w:div>
        <w:div w:id="876968968">
          <w:marLeft w:val="0"/>
          <w:marRight w:val="0"/>
          <w:marTop w:val="0"/>
          <w:marBottom w:val="0"/>
          <w:divBdr>
            <w:top w:val="none" w:sz="0" w:space="0" w:color="auto"/>
            <w:left w:val="none" w:sz="0" w:space="0" w:color="auto"/>
            <w:bottom w:val="none" w:sz="0" w:space="0" w:color="auto"/>
            <w:right w:val="none" w:sz="0" w:space="0" w:color="auto"/>
          </w:divBdr>
        </w:div>
        <w:div w:id="1868255547">
          <w:marLeft w:val="0"/>
          <w:marRight w:val="0"/>
          <w:marTop w:val="0"/>
          <w:marBottom w:val="0"/>
          <w:divBdr>
            <w:top w:val="none" w:sz="0" w:space="0" w:color="auto"/>
            <w:left w:val="none" w:sz="0" w:space="0" w:color="auto"/>
            <w:bottom w:val="none" w:sz="0" w:space="0" w:color="auto"/>
            <w:right w:val="none" w:sz="0" w:space="0" w:color="auto"/>
          </w:divBdr>
        </w:div>
        <w:div w:id="1956936433">
          <w:marLeft w:val="0"/>
          <w:marRight w:val="0"/>
          <w:marTop w:val="0"/>
          <w:marBottom w:val="0"/>
          <w:divBdr>
            <w:top w:val="none" w:sz="0" w:space="0" w:color="auto"/>
            <w:left w:val="none" w:sz="0" w:space="0" w:color="auto"/>
            <w:bottom w:val="none" w:sz="0" w:space="0" w:color="auto"/>
            <w:right w:val="none" w:sz="0" w:space="0" w:color="auto"/>
          </w:divBdr>
        </w:div>
      </w:divsChild>
    </w:div>
    <w:div w:id="589773135">
      <w:bodyDiv w:val="1"/>
      <w:marLeft w:val="0"/>
      <w:marRight w:val="0"/>
      <w:marTop w:val="0"/>
      <w:marBottom w:val="0"/>
      <w:divBdr>
        <w:top w:val="none" w:sz="0" w:space="0" w:color="auto"/>
        <w:left w:val="none" w:sz="0" w:space="0" w:color="auto"/>
        <w:bottom w:val="none" w:sz="0" w:space="0" w:color="auto"/>
        <w:right w:val="none" w:sz="0" w:space="0" w:color="auto"/>
      </w:divBdr>
    </w:div>
    <w:div w:id="612790912">
      <w:bodyDiv w:val="1"/>
      <w:marLeft w:val="0"/>
      <w:marRight w:val="0"/>
      <w:marTop w:val="0"/>
      <w:marBottom w:val="0"/>
      <w:divBdr>
        <w:top w:val="none" w:sz="0" w:space="0" w:color="auto"/>
        <w:left w:val="none" w:sz="0" w:space="0" w:color="auto"/>
        <w:bottom w:val="none" w:sz="0" w:space="0" w:color="auto"/>
        <w:right w:val="none" w:sz="0" w:space="0" w:color="auto"/>
      </w:divBdr>
    </w:div>
    <w:div w:id="690570478">
      <w:bodyDiv w:val="1"/>
      <w:marLeft w:val="0"/>
      <w:marRight w:val="0"/>
      <w:marTop w:val="0"/>
      <w:marBottom w:val="0"/>
      <w:divBdr>
        <w:top w:val="none" w:sz="0" w:space="0" w:color="auto"/>
        <w:left w:val="none" w:sz="0" w:space="0" w:color="auto"/>
        <w:bottom w:val="none" w:sz="0" w:space="0" w:color="auto"/>
        <w:right w:val="none" w:sz="0" w:space="0" w:color="auto"/>
      </w:divBdr>
    </w:div>
    <w:div w:id="692655905">
      <w:bodyDiv w:val="1"/>
      <w:marLeft w:val="0"/>
      <w:marRight w:val="0"/>
      <w:marTop w:val="0"/>
      <w:marBottom w:val="0"/>
      <w:divBdr>
        <w:top w:val="none" w:sz="0" w:space="0" w:color="auto"/>
        <w:left w:val="none" w:sz="0" w:space="0" w:color="auto"/>
        <w:bottom w:val="none" w:sz="0" w:space="0" w:color="auto"/>
        <w:right w:val="none" w:sz="0" w:space="0" w:color="auto"/>
      </w:divBdr>
    </w:div>
    <w:div w:id="748692367">
      <w:bodyDiv w:val="1"/>
      <w:marLeft w:val="0"/>
      <w:marRight w:val="0"/>
      <w:marTop w:val="0"/>
      <w:marBottom w:val="0"/>
      <w:divBdr>
        <w:top w:val="none" w:sz="0" w:space="0" w:color="auto"/>
        <w:left w:val="none" w:sz="0" w:space="0" w:color="auto"/>
        <w:bottom w:val="none" w:sz="0" w:space="0" w:color="auto"/>
        <w:right w:val="none" w:sz="0" w:space="0" w:color="auto"/>
      </w:divBdr>
    </w:div>
    <w:div w:id="859511582">
      <w:bodyDiv w:val="1"/>
      <w:marLeft w:val="0"/>
      <w:marRight w:val="0"/>
      <w:marTop w:val="0"/>
      <w:marBottom w:val="0"/>
      <w:divBdr>
        <w:top w:val="none" w:sz="0" w:space="0" w:color="auto"/>
        <w:left w:val="none" w:sz="0" w:space="0" w:color="auto"/>
        <w:bottom w:val="none" w:sz="0" w:space="0" w:color="auto"/>
        <w:right w:val="none" w:sz="0" w:space="0" w:color="auto"/>
      </w:divBdr>
    </w:div>
    <w:div w:id="918519613">
      <w:bodyDiv w:val="1"/>
      <w:marLeft w:val="0"/>
      <w:marRight w:val="0"/>
      <w:marTop w:val="0"/>
      <w:marBottom w:val="0"/>
      <w:divBdr>
        <w:top w:val="none" w:sz="0" w:space="0" w:color="auto"/>
        <w:left w:val="none" w:sz="0" w:space="0" w:color="auto"/>
        <w:bottom w:val="none" w:sz="0" w:space="0" w:color="auto"/>
        <w:right w:val="none" w:sz="0" w:space="0" w:color="auto"/>
      </w:divBdr>
    </w:div>
    <w:div w:id="937909959">
      <w:bodyDiv w:val="1"/>
      <w:marLeft w:val="0"/>
      <w:marRight w:val="0"/>
      <w:marTop w:val="0"/>
      <w:marBottom w:val="0"/>
      <w:divBdr>
        <w:top w:val="none" w:sz="0" w:space="0" w:color="auto"/>
        <w:left w:val="none" w:sz="0" w:space="0" w:color="auto"/>
        <w:bottom w:val="none" w:sz="0" w:space="0" w:color="auto"/>
        <w:right w:val="none" w:sz="0" w:space="0" w:color="auto"/>
      </w:divBdr>
    </w:div>
    <w:div w:id="1045372483">
      <w:bodyDiv w:val="1"/>
      <w:marLeft w:val="0"/>
      <w:marRight w:val="0"/>
      <w:marTop w:val="0"/>
      <w:marBottom w:val="0"/>
      <w:divBdr>
        <w:top w:val="none" w:sz="0" w:space="0" w:color="auto"/>
        <w:left w:val="none" w:sz="0" w:space="0" w:color="auto"/>
        <w:bottom w:val="none" w:sz="0" w:space="0" w:color="auto"/>
        <w:right w:val="none" w:sz="0" w:space="0" w:color="auto"/>
      </w:divBdr>
    </w:div>
    <w:div w:id="1081373373">
      <w:bodyDiv w:val="1"/>
      <w:marLeft w:val="0"/>
      <w:marRight w:val="0"/>
      <w:marTop w:val="0"/>
      <w:marBottom w:val="0"/>
      <w:divBdr>
        <w:top w:val="none" w:sz="0" w:space="0" w:color="auto"/>
        <w:left w:val="none" w:sz="0" w:space="0" w:color="auto"/>
        <w:bottom w:val="none" w:sz="0" w:space="0" w:color="auto"/>
        <w:right w:val="none" w:sz="0" w:space="0" w:color="auto"/>
      </w:divBdr>
    </w:div>
    <w:div w:id="1098136885">
      <w:bodyDiv w:val="1"/>
      <w:marLeft w:val="0"/>
      <w:marRight w:val="0"/>
      <w:marTop w:val="0"/>
      <w:marBottom w:val="0"/>
      <w:divBdr>
        <w:top w:val="none" w:sz="0" w:space="0" w:color="auto"/>
        <w:left w:val="none" w:sz="0" w:space="0" w:color="auto"/>
        <w:bottom w:val="none" w:sz="0" w:space="0" w:color="auto"/>
        <w:right w:val="none" w:sz="0" w:space="0" w:color="auto"/>
      </w:divBdr>
    </w:div>
    <w:div w:id="1212111848">
      <w:bodyDiv w:val="1"/>
      <w:marLeft w:val="0"/>
      <w:marRight w:val="0"/>
      <w:marTop w:val="0"/>
      <w:marBottom w:val="0"/>
      <w:divBdr>
        <w:top w:val="none" w:sz="0" w:space="0" w:color="auto"/>
        <w:left w:val="none" w:sz="0" w:space="0" w:color="auto"/>
        <w:bottom w:val="none" w:sz="0" w:space="0" w:color="auto"/>
        <w:right w:val="none" w:sz="0" w:space="0" w:color="auto"/>
      </w:divBdr>
    </w:div>
    <w:div w:id="1285768301">
      <w:bodyDiv w:val="1"/>
      <w:marLeft w:val="0"/>
      <w:marRight w:val="0"/>
      <w:marTop w:val="0"/>
      <w:marBottom w:val="0"/>
      <w:divBdr>
        <w:top w:val="none" w:sz="0" w:space="0" w:color="auto"/>
        <w:left w:val="none" w:sz="0" w:space="0" w:color="auto"/>
        <w:bottom w:val="none" w:sz="0" w:space="0" w:color="auto"/>
        <w:right w:val="none" w:sz="0" w:space="0" w:color="auto"/>
      </w:divBdr>
    </w:div>
    <w:div w:id="1302999721">
      <w:bodyDiv w:val="1"/>
      <w:marLeft w:val="0"/>
      <w:marRight w:val="0"/>
      <w:marTop w:val="0"/>
      <w:marBottom w:val="0"/>
      <w:divBdr>
        <w:top w:val="none" w:sz="0" w:space="0" w:color="auto"/>
        <w:left w:val="none" w:sz="0" w:space="0" w:color="auto"/>
        <w:bottom w:val="none" w:sz="0" w:space="0" w:color="auto"/>
        <w:right w:val="none" w:sz="0" w:space="0" w:color="auto"/>
      </w:divBdr>
    </w:div>
    <w:div w:id="1328095389">
      <w:bodyDiv w:val="1"/>
      <w:marLeft w:val="0"/>
      <w:marRight w:val="0"/>
      <w:marTop w:val="0"/>
      <w:marBottom w:val="0"/>
      <w:divBdr>
        <w:top w:val="none" w:sz="0" w:space="0" w:color="auto"/>
        <w:left w:val="none" w:sz="0" w:space="0" w:color="auto"/>
        <w:bottom w:val="none" w:sz="0" w:space="0" w:color="auto"/>
        <w:right w:val="none" w:sz="0" w:space="0" w:color="auto"/>
      </w:divBdr>
    </w:div>
    <w:div w:id="1419717282">
      <w:bodyDiv w:val="1"/>
      <w:marLeft w:val="0"/>
      <w:marRight w:val="0"/>
      <w:marTop w:val="0"/>
      <w:marBottom w:val="0"/>
      <w:divBdr>
        <w:top w:val="none" w:sz="0" w:space="0" w:color="auto"/>
        <w:left w:val="none" w:sz="0" w:space="0" w:color="auto"/>
        <w:bottom w:val="none" w:sz="0" w:space="0" w:color="auto"/>
        <w:right w:val="none" w:sz="0" w:space="0" w:color="auto"/>
      </w:divBdr>
    </w:div>
    <w:div w:id="1457063765">
      <w:bodyDiv w:val="1"/>
      <w:marLeft w:val="0"/>
      <w:marRight w:val="0"/>
      <w:marTop w:val="0"/>
      <w:marBottom w:val="0"/>
      <w:divBdr>
        <w:top w:val="none" w:sz="0" w:space="0" w:color="auto"/>
        <w:left w:val="none" w:sz="0" w:space="0" w:color="auto"/>
        <w:bottom w:val="none" w:sz="0" w:space="0" w:color="auto"/>
        <w:right w:val="none" w:sz="0" w:space="0" w:color="auto"/>
      </w:divBdr>
    </w:div>
    <w:div w:id="1488981361">
      <w:bodyDiv w:val="1"/>
      <w:marLeft w:val="0"/>
      <w:marRight w:val="0"/>
      <w:marTop w:val="0"/>
      <w:marBottom w:val="0"/>
      <w:divBdr>
        <w:top w:val="none" w:sz="0" w:space="0" w:color="auto"/>
        <w:left w:val="none" w:sz="0" w:space="0" w:color="auto"/>
        <w:bottom w:val="none" w:sz="0" w:space="0" w:color="auto"/>
        <w:right w:val="none" w:sz="0" w:space="0" w:color="auto"/>
      </w:divBdr>
      <w:divsChild>
        <w:div w:id="382599302">
          <w:marLeft w:val="0"/>
          <w:marRight w:val="0"/>
          <w:marTop w:val="0"/>
          <w:marBottom w:val="0"/>
          <w:divBdr>
            <w:top w:val="none" w:sz="0" w:space="0" w:color="auto"/>
            <w:left w:val="none" w:sz="0" w:space="0" w:color="auto"/>
            <w:bottom w:val="none" w:sz="0" w:space="0" w:color="auto"/>
            <w:right w:val="none" w:sz="0" w:space="0" w:color="auto"/>
          </w:divBdr>
        </w:div>
        <w:div w:id="1928071531">
          <w:marLeft w:val="0"/>
          <w:marRight w:val="0"/>
          <w:marTop w:val="0"/>
          <w:marBottom w:val="0"/>
          <w:divBdr>
            <w:top w:val="none" w:sz="0" w:space="0" w:color="auto"/>
            <w:left w:val="none" w:sz="0" w:space="0" w:color="auto"/>
            <w:bottom w:val="none" w:sz="0" w:space="0" w:color="auto"/>
            <w:right w:val="none" w:sz="0" w:space="0" w:color="auto"/>
          </w:divBdr>
        </w:div>
      </w:divsChild>
    </w:div>
    <w:div w:id="1534539415">
      <w:bodyDiv w:val="1"/>
      <w:marLeft w:val="0"/>
      <w:marRight w:val="0"/>
      <w:marTop w:val="0"/>
      <w:marBottom w:val="0"/>
      <w:divBdr>
        <w:top w:val="none" w:sz="0" w:space="0" w:color="auto"/>
        <w:left w:val="none" w:sz="0" w:space="0" w:color="auto"/>
        <w:bottom w:val="none" w:sz="0" w:space="0" w:color="auto"/>
        <w:right w:val="none" w:sz="0" w:space="0" w:color="auto"/>
      </w:divBdr>
    </w:div>
    <w:div w:id="1536698264">
      <w:bodyDiv w:val="1"/>
      <w:marLeft w:val="0"/>
      <w:marRight w:val="0"/>
      <w:marTop w:val="0"/>
      <w:marBottom w:val="0"/>
      <w:divBdr>
        <w:top w:val="none" w:sz="0" w:space="0" w:color="auto"/>
        <w:left w:val="none" w:sz="0" w:space="0" w:color="auto"/>
        <w:bottom w:val="none" w:sz="0" w:space="0" w:color="auto"/>
        <w:right w:val="none" w:sz="0" w:space="0" w:color="auto"/>
      </w:divBdr>
    </w:div>
    <w:div w:id="1539900652">
      <w:bodyDiv w:val="1"/>
      <w:marLeft w:val="0"/>
      <w:marRight w:val="0"/>
      <w:marTop w:val="0"/>
      <w:marBottom w:val="0"/>
      <w:divBdr>
        <w:top w:val="none" w:sz="0" w:space="0" w:color="auto"/>
        <w:left w:val="none" w:sz="0" w:space="0" w:color="auto"/>
        <w:bottom w:val="none" w:sz="0" w:space="0" w:color="auto"/>
        <w:right w:val="none" w:sz="0" w:space="0" w:color="auto"/>
      </w:divBdr>
    </w:div>
    <w:div w:id="1543522191">
      <w:bodyDiv w:val="1"/>
      <w:marLeft w:val="0"/>
      <w:marRight w:val="0"/>
      <w:marTop w:val="0"/>
      <w:marBottom w:val="0"/>
      <w:divBdr>
        <w:top w:val="none" w:sz="0" w:space="0" w:color="auto"/>
        <w:left w:val="none" w:sz="0" w:space="0" w:color="auto"/>
        <w:bottom w:val="none" w:sz="0" w:space="0" w:color="auto"/>
        <w:right w:val="none" w:sz="0" w:space="0" w:color="auto"/>
      </w:divBdr>
    </w:div>
    <w:div w:id="1559777881">
      <w:bodyDiv w:val="1"/>
      <w:marLeft w:val="0"/>
      <w:marRight w:val="0"/>
      <w:marTop w:val="0"/>
      <w:marBottom w:val="0"/>
      <w:divBdr>
        <w:top w:val="none" w:sz="0" w:space="0" w:color="auto"/>
        <w:left w:val="none" w:sz="0" w:space="0" w:color="auto"/>
        <w:bottom w:val="none" w:sz="0" w:space="0" w:color="auto"/>
        <w:right w:val="none" w:sz="0" w:space="0" w:color="auto"/>
      </w:divBdr>
      <w:divsChild>
        <w:div w:id="1006904912">
          <w:marLeft w:val="0"/>
          <w:marRight w:val="0"/>
          <w:marTop w:val="0"/>
          <w:marBottom w:val="0"/>
          <w:divBdr>
            <w:top w:val="none" w:sz="0" w:space="0" w:color="auto"/>
            <w:left w:val="none" w:sz="0" w:space="0" w:color="auto"/>
            <w:bottom w:val="none" w:sz="0" w:space="0" w:color="auto"/>
            <w:right w:val="none" w:sz="0" w:space="0" w:color="auto"/>
          </w:divBdr>
        </w:div>
      </w:divsChild>
    </w:div>
    <w:div w:id="1613631364">
      <w:bodyDiv w:val="1"/>
      <w:marLeft w:val="0"/>
      <w:marRight w:val="0"/>
      <w:marTop w:val="0"/>
      <w:marBottom w:val="0"/>
      <w:divBdr>
        <w:top w:val="none" w:sz="0" w:space="0" w:color="auto"/>
        <w:left w:val="none" w:sz="0" w:space="0" w:color="auto"/>
        <w:bottom w:val="none" w:sz="0" w:space="0" w:color="auto"/>
        <w:right w:val="none" w:sz="0" w:space="0" w:color="auto"/>
      </w:divBdr>
    </w:div>
    <w:div w:id="1647851659">
      <w:bodyDiv w:val="1"/>
      <w:marLeft w:val="0"/>
      <w:marRight w:val="0"/>
      <w:marTop w:val="0"/>
      <w:marBottom w:val="0"/>
      <w:divBdr>
        <w:top w:val="none" w:sz="0" w:space="0" w:color="auto"/>
        <w:left w:val="none" w:sz="0" w:space="0" w:color="auto"/>
        <w:bottom w:val="none" w:sz="0" w:space="0" w:color="auto"/>
        <w:right w:val="none" w:sz="0" w:space="0" w:color="auto"/>
      </w:divBdr>
    </w:div>
    <w:div w:id="1699894979">
      <w:bodyDiv w:val="1"/>
      <w:marLeft w:val="0"/>
      <w:marRight w:val="0"/>
      <w:marTop w:val="0"/>
      <w:marBottom w:val="0"/>
      <w:divBdr>
        <w:top w:val="none" w:sz="0" w:space="0" w:color="auto"/>
        <w:left w:val="none" w:sz="0" w:space="0" w:color="auto"/>
        <w:bottom w:val="none" w:sz="0" w:space="0" w:color="auto"/>
        <w:right w:val="none" w:sz="0" w:space="0" w:color="auto"/>
      </w:divBdr>
    </w:div>
    <w:div w:id="1709377364">
      <w:bodyDiv w:val="1"/>
      <w:marLeft w:val="0"/>
      <w:marRight w:val="0"/>
      <w:marTop w:val="0"/>
      <w:marBottom w:val="0"/>
      <w:divBdr>
        <w:top w:val="none" w:sz="0" w:space="0" w:color="auto"/>
        <w:left w:val="none" w:sz="0" w:space="0" w:color="auto"/>
        <w:bottom w:val="none" w:sz="0" w:space="0" w:color="auto"/>
        <w:right w:val="none" w:sz="0" w:space="0" w:color="auto"/>
      </w:divBdr>
    </w:div>
    <w:div w:id="1712992693">
      <w:bodyDiv w:val="1"/>
      <w:marLeft w:val="0"/>
      <w:marRight w:val="0"/>
      <w:marTop w:val="0"/>
      <w:marBottom w:val="0"/>
      <w:divBdr>
        <w:top w:val="none" w:sz="0" w:space="0" w:color="auto"/>
        <w:left w:val="none" w:sz="0" w:space="0" w:color="auto"/>
        <w:bottom w:val="none" w:sz="0" w:space="0" w:color="auto"/>
        <w:right w:val="none" w:sz="0" w:space="0" w:color="auto"/>
      </w:divBdr>
    </w:div>
    <w:div w:id="1728800082">
      <w:bodyDiv w:val="1"/>
      <w:marLeft w:val="0"/>
      <w:marRight w:val="0"/>
      <w:marTop w:val="0"/>
      <w:marBottom w:val="0"/>
      <w:divBdr>
        <w:top w:val="none" w:sz="0" w:space="0" w:color="auto"/>
        <w:left w:val="none" w:sz="0" w:space="0" w:color="auto"/>
        <w:bottom w:val="none" w:sz="0" w:space="0" w:color="auto"/>
        <w:right w:val="none" w:sz="0" w:space="0" w:color="auto"/>
      </w:divBdr>
    </w:div>
    <w:div w:id="1738438704">
      <w:bodyDiv w:val="1"/>
      <w:marLeft w:val="0"/>
      <w:marRight w:val="0"/>
      <w:marTop w:val="0"/>
      <w:marBottom w:val="0"/>
      <w:divBdr>
        <w:top w:val="none" w:sz="0" w:space="0" w:color="auto"/>
        <w:left w:val="none" w:sz="0" w:space="0" w:color="auto"/>
        <w:bottom w:val="none" w:sz="0" w:space="0" w:color="auto"/>
        <w:right w:val="none" w:sz="0" w:space="0" w:color="auto"/>
      </w:divBdr>
    </w:div>
    <w:div w:id="1753508579">
      <w:bodyDiv w:val="1"/>
      <w:marLeft w:val="0"/>
      <w:marRight w:val="0"/>
      <w:marTop w:val="0"/>
      <w:marBottom w:val="0"/>
      <w:divBdr>
        <w:top w:val="none" w:sz="0" w:space="0" w:color="auto"/>
        <w:left w:val="none" w:sz="0" w:space="0" w:color="auto"/>
        <w:bottom w:val="none" w:sz="0" w:space="0" w:color="auto"/>
        <w:right w:val="none" w:sz="0" w:space="0" w:color="auto"/>
      </w:divBdr>
    </w:div>
    <w:div w:id="1787962491">
      <w:bodyDiv w:val="1"/>
      <w:marLeft w:val="0"/>
      <w:marRight w:val="0"/>
      <w:marTop w:val="0"/>
      <w:marBottom w:val="0"/>
      <w:divBdr>
        <w:top w:val="none" w:sz="0" w:space="0" w:color="auto"/>
        <w:left w:val="none" w:sz="0" w:space="0" w:color="auto"/>
        <w:bottom w:val="none" w:sz="0" w:space="0" w:color="auto"/>
        <w:right w:val="none" w:sz="0" w:space="0" w:color="auto"/>
      </w:divBdr>
    </w:div>
    <w:div w:id="1831024203">
      <w:bodyDiv w:val="1"/>
      <w:marLeft w:val="0"/>
      <w:marRight w:val="0"/>
      <w:marTop w:val="0"/>
      <w:marBottom w:val="0"/>
      <w:divBdr>
        <w:top w:val="none" w:sz="0" w:space="0" w:color="auto"/>
        <w:left w:val="none" w:sz="0" w:space="0" w:color="auto"/>
        <w:bottom w:val="none" w:sz="0" w:space="0" w:color="auto"/>
        <w:right w:val="none" w:sz="0" w:space="0" w:color="auto"/>
      </w:divBdr>
    </w:div>
    <w:div w:id="1831289955">
      <w:bodyDiv w:val="1"/>
      <w:marLeft w:val="0"/>
      <w:marRight w:val="0"/>
      <w:marTop w:val="0"/>
      <w:marBottom w:val="0"/>
      <w:divBdr>
        <w:top w:val="none" w:sz="0" w:space="0" w:color="auto"/>
        <w:left w:val="none" w:sz="0" w:space="0" w:color="auto"/>
        <w:bottom w:val="none" w:sz="0" w:space="0" w:color="auto"/>
        <w:right w:val="none" w:sz="0" w:space="0" w:color="auto"/>
      </w:divBdr>
    </w:div>
    <w:div w:id="1864202242">
      <w:bodyDiv w:val="1"/>
      <w:marLeft w:val="0"/>
      <w:marRight w:val="0"/>
      <w:marTop w:val="0"/>
      <w:marBottom w:val="0"/>
      <w:divBdr>
        <w:top w:val="none" w:sz="0" w:space="0" w:color="auto"/>
        <w:left w:val="none" w:sz="0" w:space="0" w:color="auto"/>
        <w:bottom w:val="none" w:sz="0" w:space="0" w:color="auto"/>
        <w:right w:val="none" w:sz="0" w:space="0" w:color="auto"/>
      </w:divBdr>
    </w:div>
    <w:div w:id="1999917830">
      <w:bodyDiv w:val="1"/>
      <w:marLeft w:val="0"/>
      <w:marRight w:val="0"/>
      <w:marTop w:val="0"/>
      <w:marBottom w:val="0"/>
      <w:divBdr>
        <w:top w:val="none" w:sz="0" w:space="0" w:color="auto"/>
        <w:left w:val="none" w:sz="0" w:space="0" w:color="auto"/>
        <w:bottom w:val="none" w:sz="0" w:space="0" w:color="auto"/>
        <w:right w:val="none" w:sz="0" w:space="0" w:color="auto"/>
      </w:divBdr>
    </w:div>
    <w:div w:id="2075857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facebook.com/accanau" TargetMode="External"/><Relationship Id="rId18" Type="http://schemas.openxmlformats.org/officeDocument/2006/relationships/image" Target="media/image4.jpeg"/><Relationship Id="rId26" Type="http://schemas.openxmlformats.org/officeDocument/2006/relationships/hyperlink" Target="http://relayservice.gov.au/"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https://www.instagram.com/accan_au" TargetMode="External"/><Relationship Id="rId25" Type="http://schemas.openxmlformats.org/officeDocument/2006/relationships/hyperlink" Target="mailto:info@accan.org.au" TargetMode="Externa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witter.com/ACCAN_AU" TargetMode="External"/><Relationship Id="rId24" Type="http://schemas.openxmlformats.org/officeDocument/2006/relationships/image" Target="media/image8.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linkedin.com/company/accanau" TargetMode="External"/><Relationship Id="rId23" Type="http://schemas.openxmlformats.org/officeDocument/2006/relationships/image" Target="cid:image001.png@01D866C1.0AF1CE10"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http://www.accan.org.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hyperlink" Target="http://www.accan.org.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ebekah.Sarkoezy\ACCAN\ACCAN%20-%20ACCAN%20Docs\Policy%20&amp;%20Campaigns\Submissions\2022\TIO%20Independent%20Review\Joint%20Submission%20to%20Independent%20TIO%20Review%20-%20formatted%20document.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3C7F4"/>
      </a:accent1>
      <a:accent2>
        <a:srgbClr val="3E79A3"/>
      </a:accent2>
      <a:accent3>
        <a:srgbClr val="F05E5E"/>
      </a:accent3>
      <a:accent4>
        <a:srgbClr val="E5BB47"/>
      </a:accent4>
      <a:accent5>
        <a:srgbClr val="4FC2C1"/>
      </a:accent5>
      <a:accent6>
        <a:srgbClr val="757FB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2afa1a33-c191-48ee-b288-192490d33fec">
      <UserInfo>
        <DisplayName>Rebekah Sarkoezy</DisplayName>
        <AccountId>16</AccountId>
        <AccountType/>
      </UserInfo>
      <UserInfo>
        <DisplayName>Meredith Lea</DisplayName>
        <AccountId>27</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B3E4A5C17F963D4A81626FBA9D0C3C6E" ma:contentTypeVersion="6" ma:contentTypeDescription="Create a new document." ma:contentTypeScope="" ma:versionID="ea7b058ea57afb665b00310e88cfb963">
  <xsd:schema xmlns:xsd="http://www.w3.org/2001/XMLSchema" xmlns:xs="http://www.w3.org/2001/XMLSchema" xmlns:p="http://schemas.microsoft.com/office/2006/metadata/properties" xmlns:ns2="25af2f0e-673d-4721-b64c-73e7c4e9e0c5" xmlns:ns3="2afa1a33-c191-48ee-b288-192490d33fec" targetNamespace="http://schemas.microsoft.com/office/2006/metadata/properties" ma:root="true" ma:fieldsID="aaf83de09e21ac40c367696fbb363d37" ns2:_="" ns3:_="">
    <xsd:import namespace="25af2f0e-673d-4721-b64c-73e7c4e9e0c5"/>
    <xsd:import namespace="2afa1a33-c191-48ee-b288-192490d33fe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f2f0e-673d-4721-b64c-73e7c4e9e0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fa1a33-c191-48ee-b288-192490d33fe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22F4F94-1AF4-4521-991E-7AE5BA2A5212}">
  <ds:schemaRefs>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2d8fb88f-3a1f-4799-a700-b6f357ce1403"/>
    <ds:schemaRef ds:uri="2afa1a33-c191-48ee-b288-192490d33fec"/>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C6C21FB9-1321-4B4B-A22E-45DA56E9FF65}">
  <ds:schemaRefs>
    <ds:schemaRef ds:uri="http://schemas.microsoft.com/sharepoint/v3/contenttype/forms"/>
  </ds:schemaRefs>
</ds:datastoreItem>
</file>

<file path=customXml/itemProps3.xml><?xml version="1.0" encoding="utf-8"?>
<ds:datastoreItem xmlns:ds="http://schemas.openxmlformats.org/officeDocument/2006/customXml" ds:itemID="{7780EADF-B74E-4262-8D85-D9588AD9FF44}">
  <ds:schemaRefs>
    <ds:schemaRef ds:uri="http://schemas.openxmlformats.org/officeDocument/2006/bibliography"/>
  </ds:schemaRefs>
</ds:datastoreItem>
</file>

<file path=customXml/itemProps4.xml><?xml version="1.0" encoding="utf-8"?>
<ds:datastoreItem xmlns:ds="http://schemas.openxmlformats.org/officeDocument/2006/customXml" ds:itemID="{F3B0FB2A-E413-4B95-849B-8B00E3A57577}"/>
</file>

<file path=docProps/app.xml><?xml version="1.0" encoding="utf-8"?>
<Properties xmlns="http://schemas.openxmlformats.org/officeDocument/2006/extended-properties" xmlns:vt="http://schemas.openxmlformats.org/officeDocument/2006/docPropsVTypes">
  <Template>Joint Submission to Independent TIO Review - formatted document</Template>
  <TotalTime>0</TotalTime>
  <Pages>28</Pages>
  <Words>9455</Words>
  <Characters>53895</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63224</CharactersWithSpaces>
  <SharedDoc>false</SharedDoc>
  <HLinks>
    <vt:vector size="72" baseType="variant">
      <vt:variant>
        <vt:i4>1572916</vt:i4>
      </vt:variant>
      <vt:variant>
        <vt:i4>62</vt:i4>
      </vt:variant>
      <vt:variant>
        <vt:i4>0</vt:i4>
      </vt:variant>
      <vt:variant>
        <vt:i4>5</vt:i4>
      </vt:variant>
      <vt:variant>
        <vt:lpwstr/>
      </vt:variant>
      <vt:variant>
        <vt:lpwstr>_Toc103609604</vt:lpwstr>
      </vt:variant>
      <vt:variant>
        <vt:i4>1572916</vt:i4>
      </vt:variant>
      <vt:variant>
        <vt:i4>56</vt:i4>
      </vt:variant>
      <vt:variant>
        <vt:i4>0</vt:i4>
      </vt:variant>
      <vt:variant>
        <vt:i4>5</vt:i4>
      </vt:variant>
      <vt:variant>
        <vt:lpwstr/>
      </vt:variant>
      <vt:variant>
        <vt:lpwstr>_Toc103609603</vt:lpwstr>
      </vt:variant>
      <vt:variant>
        <vt:i4>1572916</vt:i4>
      </vt:variant>
      <vt:variant>
        <vt:i4>50</vt:i4>
      </vt:variant>
      <vt:variant>
        <vt:i4>0</vt:i4>
      </vt:variant>
      <vt:variant>
        <vt:i4>5</vt:i4>
      </vt:variant>
      <vt:variant>
        <vt:lpwstr/>
      </vt:variant>
      <vt:variant>
        <vt:lpwstr>_Toc103609602</vt:lpwstr>
      </vt:variant>
      <vt:variant>
        <vt:i4>1572916</vt:i4>
      </vt:variant>
      <vt:variant>
        <vt:i4>44</vt:i4>
      </vt:variant>
      <vt:variant>
        <vt:i4>0</vt:i4>
      </vt:variant>
      <vt:variant>
        <vt:i4>5</vt:i4>
      </vt:variant>
      <vt:variant>
        <vt:lpwstr/>
      </vt:variant>
      <vt:variant>
        <vt:lpwstr>_Toc103609601</vt:lpwstr>
      </vt:variant>
      <vt:variant>
        <vt:i4>1572916</vt:i4>
      </vt:variant>
      <vt:variant>
        <vt:i4>38</vt:i4>
      </vt:variant>
      <vt:variant>
        <vt:i4>0</vt:i4>
      </vt:variant>
      <vt:variant>
        <vt:i4>5</vt:i4>
      </vt:variant>
      <vt:variant>
        <vt:lpwstr/>
      </vt:variant>
      <vt:variant>
        <vt:lpwstr>_Toc103609600</vt:lpwstr>
      </vt:variant>
      <vt:variant>
        <vt:i4>1114167</vt:i4>
      </vt:variant>
      <vt:variant>
        <vt:i4>32</vt:i4>
      </vt:variant>
      <vt:variant>
        <vt:i4>0</vt:i4>
      </vt:variant>
      <vt:variant>
        <vt:i4>5</vt:i4>
      </vt:variant>
      <vt:variant>
        <vt:lpwstr/>
      </vt:variant>
      <vt:variant>
        <vt:lpwstr>_Toc103609599</vt:lpwstr>
      </vt:variant>
      <vt:variant>
        <vt:i4>1114167</vt:i4>
      </vt:variant>
      <vt:variant>
        <vt:i4>26</vt:i4>
      </vt:variant>
      <vt:variant>
        <vt:i4>0</vt:i4>
      </vt:variant>
      <vt:variant>
        <vt:i4>5</vt:i4>
      </vt:variant>
      <vt:variant>
        <vt:lpwstr/>
      </vt:variant>
      <vt:variant>
        <vt:lpwstr>_Toc103609598</vt:lpwstr>
      </vt:variant>
      <vt:variant>
        <vt:i4>1114167</vt:i4>
      </vt:variant>
      <vt:variant>
        <vt:i4>20</vt:i4>
      </vt:variant>
      <vt:variant>
        <vt:i4>0</vt:i4>
      </vt:variant>
      <vt:variant>
        <vt:i4>5</vt:i4>
      </vt:variant>
      <vt:variant>
        <vt:lpwstr/>
      </vt:variant>
      <vt:variant>
        <vt:lpwstr>_Toc103609597</vt:lpwstr>
      </vt:variant>
      <vt:variant>
        <vt:i4>1114167</vt:i4>
      </vt:variant>
      <vt:variant>
        <vt:i4>14</vt:i4>
      </vt:variant>
      <vt:variant>
        <vt:i4>0</vt:i4>
      </vt:variant>
      <vt:variant>
        <vt:i4>5</vt:i4>
      </vt:variant>
      <vt:variant>
        <vt:lpwstr/>
      </vt:variant>
      <vt:variant>
        <vt:lpwstr>_Toc103609596</vt:lpwstr>
      </vt:variant>
      <vt:variant>
        <vt:i4>1114167</vt:i4>
      </vt:variant>
      <vt:variant>
        <vt:i4>8</vt:i4>
      </vt:variant>
      <vt:variant>
        <vt:i4>0</vt:i4>
      </vt:variant>
      <vt:variant>
        <vt:i4>5</vt:i4>
      </vt:variant>
      <vt:variant>
        <vt:lpwstr/>
      </vt:variant>
      <vt:variant>
        <vt:lpwstr>_Toc103609595</vt:lpwstr>
      </vt:variant>
      <vt:variant>
        <vt:i4>2490480</vt:i4>
      </vt:variant>
      <vt:variant>
        <vt:i4>3</vt:i4>
      </vt:variant>
      <vt:variant>
        <vt:i4>0</vt:i4>
      </vt:variant>
      <vt:variant>
        <vt:i4>5</vt:i4>
      </vt:variant>
      <vt:variant>
        <vt:lpwstr>http://relayservice.gov.au/</vt:lpwstr>
      </vt:variant>
      <vt:variant>
        <vt:lpwstr/>
      </vt:variant>
      <vt:variant>
        <vt:i4>2621518</vt:i4>
      </vt:variant>
      <vt:variant>
        <vt:i4>0</vt:i4>
      </vt:variant>
      <vt:variant>
        <vt:i4>0</vt:i4>
      </vt:variant>
      <vt:variant>
        <vt:i4>5</vt:i4>
      </vt:variant>
      <vt:variant>
        <vt:lpwstr>mailto:info@accan.org.au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Rebekah Sarkoezy</dc:creator>
  <cp:keywords/>
  <cp:lastModifiedBy>Rebekah Sarkoezy</cp:lastModifiedBy>
  <cp:revision>2</cp:revision>
  <cp:lastPrinted>2022-05-16T06:12:00Z</cp:lastPrinted>
  <dcterms:created xsi:type="dcterms:W3CDTF">2022-05-16T06:17:00Z</dcterms:created>
  <dcterms:modified xsi:type="dcterms:W3CDTF">2022-05-16T06:17:00Z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0x010100B3E4A5C17F963D4A81626FBA9D0C3C6E</vt:lpwstr>
  </property>
</Properties>
</file>