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586F" w14:textId="4FB773E4" w:rsidR="00C7127B" w:rsidRDefault="00972BFA" w:rsidP="00806C4F">
      <w:r w:rsidRPr="005A7691">
        <w:t>25</w:t>
      </w:r>
      <w:r w:rsidRPr="005A7691">
        <w:rPr>
          <w:vertAlign w:val="superscript"/>
        </w:rPr>
        <w:t>th</w:t>
      </w:r>
      <w:r w:rsidRPr="005A7691">
        <w:t xml:space="preserve"> February 2022</w:t>
      </w:r>
    </w:p>
    <w:p w14:paraId="5AFDEBEC" w14:textId="5FD8A93B" w:rsidR="00C7127B" w:rsidRDefault="00972BFA" w:rsidP="00806C4F">
      <w:pPr>
        <w:pStyle w:val="NoSpacing"/>
      </w:pPr>
      <w:r>
        <w:t>Australian Competition and Consumer Commission</w:t>
      </w:r>
    </w:p>
    <w:p w14:paraId="3BB9889F" w14:textId="6087C3A3" w:rsidR="00C7127B" w:rsidRDefault="00C7127B" w:rsidP="00806C4F">
      <w:pPr>
        <w:pStyle w:val="NoSpacing"/>
      </w:pPr>
      <w:r>
        <w:t>Via</w:t>
      </w:r>
      <w:r w:rsidR="00972BFA">
        <w:t>:</w:t>
      </w:r>
      <w:r>
        <w:t xml:space="preserve"> </w:t>
      </w:r>
      <w:hyperlink r:id="rId11" w:history="1">
        <w:r w:rsidR="00972BFA" w:rsidRPr="00972BFA">
          <w:rPr>
            <w:rStyle w:val="Hyperlink"/>
            <w:sz w:val="23"/>
            <w:szCs w:val="23"/>
          </w:rPr>
          <w:t>Consultation Hub</w:t>
        </w:r>
      </w:hyperlink>
    </w:p>
    <w:p w14:paraId="57BB20D7" w14:textId="6FCA1961" w:rsidR="00C7127B" w:rsidRDefault="00C7127B" w:rsidP="00806C4F">
      <w:pPr>
        <w:rPr>
          <w:rFonts w:cstheme="minorHAnsi"/>
        </w:rPr>
      </w:pPr>
    </w:p>
    <w:p w14:paraId="373C8ACF" w14:textId="26DC93B3" w:rsidR="00806C4F" w:rsidRPr="00806C4F" w:rsidRDefault="00806C4F" w:rsidP="00823365">
      <w:pPr>
        <w:jc w:val="center"/>
        <w:rPr>
          <w:rFonts w:cstheme="minorHAnsi"/>
          <w:b/>
          <w:bCs/>
        </w:rPr>
      </w:pPr>
      <w:r>
        <w:rPr>
          <w:rFonts w:cstheme="minorHAnsi"/>
          <w:b/>
          <w:bCs/>
        </w:rPr>
        <w:t>Re: Consultation on revising the Broadband Speeds Claims – Industry Guidance</w:t>
      </w:r>
    </w:p>
    <w:p w14:paraId="5A326B18" w14:textId="49537BD4" w:rsidR="00972BFA" w:rsidRDefault="00972BFA" w:rsidP="00C72F5F">
      <w:pPr>
        <w:jc w:val="both"/>
      </w:pPr>
      <w:r>
        <w:t>ACCAN would like to thank the ACCC for the opportunity to comment on the consultation on revising the Broadband Speeds Claims – Industry Guidance. Broadband speed claims and performance has historically been an issue for many internet consumers.</w:t>
      </w:r>
      <w:r w:rsidR="00806C4F">
        <w:t xml:space="preserve"> </w:t>
      </w:r>
      <w:r w:rsidR="00161B10">
        <w:t>Despite th</w:t>
      </w:r>
      <w:r w:rsidR="00161B10" w:rsidRPr="000B18D2">
        <w:t xml:space="preserve">e TIO </w:t>
      </w:r>
      <w:r w:rsidR="00161B10">
        <w:t>recording</w:t>
      </w:r>
      <w:r w:rsidR="00161B10" w:rsidRPr="000B18D2">
        <w:t xml:space="preserve"> a 21% reduction in complaints regarding slow speeds between 2020 and 202</w:t>
      </w:r>
      <w:r w:rsidR="00161B10">
        <w:t>1,</w:t>
      </w:r>
      <w:r w:rsidR="00161B10" w:rsidRPr="00161B10">
        <w:rPr>
          <w:rStyle w:val="FootnoteReference"/>
        </w:rPr>
        <w:t xml:space="preserve"> </w:t>
      </w:r>
      <w:r w:rsidR="00161B10">
        <w:rPr>
          <w:rStyle w:val="FootnoteReference"/>
        </w:rPr>
        <w:footnoteReference w:id="2"/>
      </w:r>
      <w:r w:rsidR="00161B10">
        <w:t xml:space="preserve"> </w:t>
      </w:r>
      <w:r w:rsidR="00161B10" w:rsidRPr="000B18D2">
        <w:t>slow speeds continue to be an issue</w:t>
      </w:r>
      <w:r w:rsidR="00161B10">
        <w:t xml:space="preserve"> for communications consumers. Indeed, recent</w:t>
      </w:r>
      <w:r w:rsidR="00161B10" w:rsidRPr="000B18D2">
        <w:t xml:space="preserve"> data from the TIO show</w:t>
      </w:r>
      <w:r w:rsidR="00161B10">
        <w:t>s</w:t>
      </w:r>
      <w:r w:rsidR="00161B10" w:rsidRPr="000B18D2">
        <w:t xml:space="preserve"> that 17% of </w:t>
      </w:r>
      <w:r w:rsidR="00161B10">
        <w:t xml:space="preserve">the </w:t>
      </w:r>
      <w:r w:rsidR="00161B10" w:rsidRPr="000B18D2">
        <w:t>complaints it receives relate to slow internet speeds.</w:t>
      </w:r>
      <w:r w:rsidR="00161B10" w:rsidRPr="00161B10">
        <w:rPr>
          <w:rStyle w:val="FootnoteReference"/>
        </w:rPr>
        <w:t xml:space="preserve"> </w:t>
      </w:r>
      <w:r w:rsidR="00161B10">
        <w:rPr>
          <w:rStyle w:val="FootnoteReference"/>
        </w:rPr>
        <w:footnoteReference w:id="3"/>
      </w:r>
    </w:p>
    <w:p w14:paraId="40E7B338" w14:textId="13991794" w:rsidR="00C7127B" w:rsidRDefault="00972BFA" w:rsidP="00C72F5F">
      <w:pPr>
        <w:jc w:val="both"/>
      </w:pPr>
      <w:r>
        <w:t>The</w:t>
      </w:r>
      <w:r w:rsidR="0076317E">
        <w:t xml:space="preserve"> </w:t>
      </w:r>
      <w:r w:rsidR="00A21F86">
        <w:t>B</w:t>
      </w:r>
      <w:r w:rsidR="0076317E">
        <w:t xml:space="preserve">roadband </w:t>
      </w:r>
      <w:r w:rsidR="00A21F86">
        <w:t>S</w:t>
      </w:r>
      <w:r w:rsidR="0076317E">
        <w:t>peed</w:t>
      </w:r>
      <w:r w:rsidR="00A21F86">
        <w:t>s</w:t>
      </w:r>
      <w:r w:rsidR="0076317E">
        <w:t xml:space="preserve"> </w:t>
      </w:r>
      <w:r w:rsidR="00A21F86">
        <w:t>C</w:t>
      </w:r>
      <w:r w:rsidR="0076317E">
        <w:t>laims</w:t>
      </w:r>
      <w:r>
        <w:t xml:space="preserve"> </w:t>
      </w:r>
      <w:r w:rsidR="00A21F86">
        <w:t>I</w:t>
      </w:r>
      <w:r>
        <w:t xml:space="preserve">ndustry </w:t>
      </w:r>
      <w:r w:rsidR="00A21F86">
        <w:t>G</w:t>
      </w:r>
      <w:r>
        <w:t>uidance (the Guidance)</w:t>
      </w:r>
      <w:r w:rsidR="0076317E">
        <w:t xml:space="preserve"> plays a</w:t>
      </w:r>
      <w:r w:rsidR="0084347C">
        <w:t>n</w:t>
      </w:r>
      <w:r w:rsidR="0076317E">
        <w:t xml:space="preserve"> important role in ensuring consumers are accurately informed</w:t>
      </w:r>
      <w:r w:rsidR="0084347C">
        <w:t xml:space="preserve"> prior to purchasing a service. This allows consumers to not only compare products prior to sale, but enable fault diagnosis when problems occur, and seek recourse if the service doesn’t meet their expectations.</w:t>
      </w:r>
      <w:r w:rsidR="00847358">
        <w:t xml:space="preserve"> As the market develops, it is appropriate for the Guidance to be reviewed to ensure that it is fit for purpose and that it meets the six principles </w:t>
      </w:r>
      <w:r w:rsidR="0091174C">
        <w:t xml:space="preserve">on </w:t>
      </w:r>
      <w:r w:rsidR="00847358" w:rsidRPr="00C72F5F">
        <w:t>which the Guidance is based.</w:t>
      </w:r>
      <w:r w:rsidR="0084347C" w:rsidRPr="00C72F5F">
        <w:t xml:space="preserve">  </w:t>
      </w:r>
    </w:p>
    <w:p w14:paraId="38D6FF42" w14:textId="732A40E2" w:rsidR="00C15A5B" w:rsidRPr="002D04B4" w:rsidRDefault="00C15A5B" w:rsidP="005A7691">
      <w:pPr>
        <w:pStyle w:val="BodyText1"/>
        <w:jc w:val="both"/>
        <w:rPr>
          <w:rFonts w:cstheme="minorHAnsi"/>
        </w:rPr>
      </w:pPr>
      <w:r>
        <w:rPr>
          <w:rFonts w:asciiTheme="minorHAnsi" w:hAnsiTheme="minorHAnsi" w:cstheme="minorHAnsi"/>
          <w:color w:val="auto"/>
        </w:rPr>
        <w:t>ACCAN is aware of variation amongst RSPs as they promote their 5G mobile broadband packages. For example, TPG and iiNet reference off peak speeds only,</w:t>
      </w:r>
      <w:r>
        <w:rPr>
          <w:rStyle w:val="FootnoteReference"/>
          <w:rFonts w:asciiTheme="minorHAnsi" w:hAnsiTheme="minorHAnsi" w:cstheme="minorHAnsi"/>
          <w:color w:val="auto"/>
        </w:rPr>
        <w:footnoteReference w:id="4"/>
      </w:r>
      <w:r>
        <w:rPr>
          <w:rFonts w:asciiTheme="minorHAnsi" w:hAnsiTheme="minorHAnsi" w:cstheme="minorHAnsi"/>
          <w:color w:val="auto"/>
        </w:rPr>
        <w:t xml:space="preserve"> </w:t>
      </w:r>
      <w:r>
        <w:rPr>
          <w:rStyle w:val="FootnoteReference"/>
          <w:rFonts w:asciiTheme="minorHAnsi" w:hAnsiTheme="minorHAnsi" w:cstheme="minorHAnsi"/>
          <w:color w:val="auto"/>
        </w:rPr>
        <w:footnoteReference w:id="5"/>
      </w:r>
      <w:r>
        <w:rPr>
          <w:rFonts w:asciiTheme="minorHAnsi" w:hAnsiTheme="minorHAnsi" w:cstheme="minorHAnsi"/>
          <w:color w:val="auto"/>
        </w:rPr>
        <w:t xml:space="preserve"> whilst Telstra and Optus show the speeds consumers can expect between 7-11pm as well as maximum speeds achievable.</w:t>
      </w:r>
      <w:r>
        <w:rPr>
          <w:rStyle w:val="FootnoteReference"/>
          <w:rFonts w:asciiTheme="minorHAnsi" w:hAnsiTheme="minorHAnsi" w:cstheme="minorHAnsi"/>
          <w:color w:val="auto"/>
        </w:rPr>
        <w:footnoteReference w:id="6"/>
      </w:r>
      <w:r>
        <w:rPr>
          <w:rFonts w:asciiTheme="minorHAnsi" w:hAnsiTheme="minorHAnsi" w:cstheme="minorHAnsi"/>
          <w:color w:val="auto"/>
        </w:rPr>
        <w:t xml:space="preserve"> </w:t>
      </w:r>
      <w:r>
        <w:rPr>
          <w:rStyle w:val="FootnoteReference"/>
          <w:rFonts w:asciiTheme="minorHAnsi" w:hAnsiTheme="minorHAnsi" w:cstheme="minorHAnsi"/>
          <w:color w:val="auto"/>
        </w:rPr>
        <w:footnoteReference w:id="7"/>
      </w:r>
      <w:r>
        <w:rPr>
          <w:rFonts w:asciiTheme="minorHAnsi" w:hAnsiTheme="minorHAnsi" w:cstheme="minorHAnsi"/>
          <w:color w:val="auto"/>
        </w:rPr>
        <w:t xml:space="preserve"> ACCAN considers that there would be merit in providing guidance on mobile broadband speed claims based o</w:t>
      </w:r>
      <w:r w:rsidR="00EF1CBA">
        <w:rPr>
          <w:rFonts w:asciiTheme="minorHAnsi" w:hAnsiTheme="minorHAnsi" w:cstheme="minorHAnsi"/>
          <w:color w:val="auto"/>
        </w:rPr>
        <w:t>n</w:t>
      </w:r>
      <w:r>
        <w:rPr>
          <w:rFonts w:asciiTheme="minorHAnsi" w:hAnsiTheme="minorHAnsi" w:cstheme="minorHAnsi"/>
          <w:color w:val="auto"/>
        </w:rPr>
        <w:t xml:space="preserve"> the 6 principles already disclosed in the Broadband Speed</w:t>
      </w:r>
      <w:r w:rsidR="00E305AF">
        <w:rPr>
          <w:rFonts w:asciiTheme="minorHAnsi" w:hAnsiTheme="minorHAnsi" w:cstheme="minorHAnsi"/>
          <w:color w:val="auto"/>
        </w:rPr>
        <w:t>s</w:t>
      </w:r>
      <w:r>
        <w:rPr>
          <w:rFonts w:asciiTheme="minorHAnsi" w:hAnsiTheme="minorHAnsi" w:cstheme="minorHAnsi"/>
          <w:color w:val="auto"/>
        </w:rPr>
        <w:t xml:space="preserve"> Claims Industry Guidance. </w:t>
      </w:r>
    </w:p>
    <w:p w14:paraId="3DB1954E" w14:textId="6A6A1CEA" w:rsidR="00C72F5F" w:rsidRPr="00C72F5F" w:rsidRDefault="00C72F5F" w:rsidP="00C72F5F">
      <w:pPr>
        <w:rPr>
          <w:rStyle w:val="SubtleEmphasis"/>
        </w:rPr>
      </w:pPr>
      <w:r w:rsidRPr="00C72F5F">
        <w:rPr>
          <w:rStyle w:val="SubtleEmphasis"/>
        </w:rPr>
        <w:t>Upload speed information</w:t>
      </w:r>
    </w:p>
    <w:p w14:paraId="218EBAAF" w14:textId="7B9C9BAB" w:rsidR="005A7691" w:rsidRDefault="00847358" w:rsidP="00C72F5F">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ACCAN considers that all retailers should mak</w:t>
      </w:r>
      <w:r w:rsidR="000518CC">
        <w:rPr>
          <w:rFonts w:asciiTheme="minorHAnsi" w:eastAsiaTheme="minorEastAsia" w:hAnsiTheme="minorHAnsi" w:cstheme="minorHAnsi"/>
          <w:color w:val="auto"/>
          <w:lang w:eastAsia="en-AU"/>
        </w:rPr>
        <w:t xml:space="preserve">e information on typical busy period upload speeds easily available when advertising their broadband offerings. Consumers value upload speeds, and therefore having this information provided in a </w:t>
      </w:r>
      <w:r w:rsidR="00565E77">
        <w:rPr>
          <w:rFonts w:asciiTheme="minorHAnsi" w:eastAsiaTheme="minorEastAsia" w:hAnsiTheme="minorHAnsi" w:cstheme="minorHAnsi"/>
          <w:color w:val="auto"/>
          <w:lang w:eastAsia="en-AU"/>
        </w:rPr>
        <w:t xml:space="preserve">clear </w:t>
      </w:r>
      <w:r w:rsidR="000518CC">
        <w:rPr>
          <w:rFonts w:asciiTheme="minorHAnsi" w:eastAsiaTheme="minorEastAsia" w:hAnsiTheme="minorHAnsi" w:cstheme="minorHAnsi"/>
          <w:color w:val="auto"/>
          <w:lang w:eastAsia="en-AU"/>
        </w:rPr>
        <w:t>and easily accessible way would support end users in making their purchasing decisions. ACCAN is unable to say whether the busy period for upload speeds sits outside the period 7pm-11pm for which</w:t>
      </w:r>
      <w:r w:rsidR="009559F1">
        <w:rPr>
          <w:rFonts w:asciiTheme="minorHAnsi" w:eastAsiaTheme="minorEastAsia" w:hAnsiTheme="minorHAnsi" w:cstheme="minorHAnsi"/>
          <w:color w:val="auto"/>
          <w:lang w:eastAsia="en-AU"/>
        </w:rPr>
        <w:t xml:space="preserve"> download</w:t>
      </w:r>
      <w:r w:rsidR="000518CC">
        <w:rPr>
          <w:rFonts w:asciiTheme="minorHAnsi" w:eastAsiaTheme="minorEastAsia" w:hAnsiTheme="minorHAnsi" w:cstheme="minorHAnsi"/>
          <w:color w:val="auto"/>
          <w:lang w:eastAsia="en-AU"/>
        </w:rPr>
        <w:t xml:space="preserve"> busy hours are referred to in the Guidance</w:t>
      </w:r>
      <w:r w:rsidR="00D77B89">
        <w:rPr>
          <w:rFonts w:asciiTheme="minorHAnsi" w:eastAsiaTheme="minorEastAsia" w:hAnsiTheme="minorHAnsi" w:cstheme="minorHAnsi"/>
          <w:color w:val="auto"/>
          <w:lang w:eastAsia="en-AU"/>
        </w:rPr>
        <w:t xml:space="preserve">, because </w:t>
      </w:r>
      <w:r w:rsidR="00F117C3">
        <w:rPr>
          <w:rFonts w:asciiTheme="minorHAnsi" w:eastAsiaTheme="minorEastAsia" w:hAnsiTheme="minorHAnsi" w:cstheme="minorHAnsi"/>
          <w:color w:val="auto"/>
          <w:lang w:eastAsia="en-AU"/>
        </w:rPr>
        <w:t xml:space="preserve">busy </w:t>
      </w:r>
      <w:r w:rsidR="00D77B89">
        <w:rPr>
          <w:rFonts w:asciiTheme="minorHAnsi" w:eastAsiaTheme="minorEastAsia" w:hAnsiTheme="minorHAnsi" w:cstheme="minorHAnsi"/>
          <w:color w:val="auto"/>
          <w:lang w:eastAsia="en-AU"/>
        </w:rPr>
        <w:t>u</w:t>
      </w:r>
      <w:r w:rsidR="00251F8D">
        <w:rPr>
          <w:rFonts w:asciiTheme="minorHAnsi" w:eastAsiaTheme="minorEastAsia" w:hAnsiTheme="minorHAnsi" w:cstheme="minorHAnsi"/>
          <w:color w:val="auto"/>
          <w:lang w:eastAsia="en-AU"/>
        </w:rPr>
        <w:t xml:space="preserve">pload </w:t>
      </w:r>
      <w:r w:rsidR="00F117C3">
        <w:rPr>
          <w:rFonts w:asciiTheme="minorHAnsi" w:eastAsiaTheme="minorEastAsia" w:hAnsiTheme="minorHAnsi" w:cstheme="minorHAnsi"/>
          <w:color w:val="auto"/>
          <w:lang w:eastAsia="en-AU"/>
        </w:rPr>
        <w:t xml:space="preserve">times are </w:t>
      </w:r>
      <w:r w:rsidR="00251F8D">
        <w:rPr>
          <w:rFonts w:asciiTheme="minorHAnsi" w:eastAsiaTheme="minorEastAsia" w:hAnsiTheme="minorHAnsi" w:cstheme="minorHAnsi"/>
          <w:color w:val="auto"/>
          <w:lang w:eastAsia="en-AU"/>
        </w:rPr>
        <w:t>very dependent on</w:t>
      </w:r>
      <w:r w:rsidR="00F117C3">
        <w:rPr>
          <w:rFonts w:asciiTheme="minorHAnsi" w:eastAsiaTheme="minorEastAsia" w:hAnsiTheme="minorHAnsi" w:cstheme="minorHAnsi"/>
          <w:color w:val="auto"/>
          <w:lang w:eastAsia="en-AU"/>
        </w:rPr>
        <w:t xml:space="preserve"> </w:t>
      </w:r>
      <w:r w:rsidR="00C73B51">
        <w:rPr>
          <w:rFonts w:asciiTheme="minorHAnsi" w:eastAsiaTheme="minorEastAsia" w:hAnsiTheme="minorHAnsi" w:cstheme="minorHAnsi"/>
          <w:color w:val="auto"/>
          <w:lang w:eastAsia="en-AU"/>
        </w:rPr>
        <w:t>differing needs of consumers</w:t>
      </w:r>
      <w:r w:rsidR="00970984">
        <w:rPr>
          <w:rFonts w:asciiTheme="minorHAnsi" w:eastAsiaTheme="minorEastAsia" w:hAnsiTheme="minorHAnsi" w:cstheme="minorHAnsi"/>
          <w:color w:val="auto"/>
          <w:lang w:eastAsia="en-AU"/>
        </w:rPr>
        <w:t xml:space="preserve"> at different times of day</w:t>
      </w:r>
      <w:r w:rsidR="005A7691">
        <w:rPr>
          <w:rFonts w:asciiTheme="minorHAnsi" w:eastAsiaTheme="minorEastAsia" w:hAnsiTheme="minorHAnsi" w:cstheme="minorHAnsi"/>
          <w:color w:val="auto"/>
          <w:lang w:eastAsia="en-AU"/>
        </w:rPr>
        <w:t>.</w:t>
      </w:r>
      <w:r w:rsidR="005A7691" w:rsidRPr="005A7691">
        <w:t xml:space="preserve"> </w:t>
      </w:r>
      <w:r w:rsidR="005A7691" w:rsidRPr="005A7691">
        <w:rPr>
          <w:rFonts w:asciiTheme="minorHAnsi" w:eastAsiaTheme="minorEastAsia" w:hAnsiTheme="minorHAnsi" w:cstheme="minorHAnsi"/>
          <w:color w:val="auto"/>
          <w:lang w:eastAsia="en-AU"/>
        </w:rPr>
        <w:t xml:space="preserve">If the four busiest hours for upload speeds vary between RSPs, it could prove difficult for consumers to compare plans directly. However, we nonetheless consider it important that consumers </w:t>
      </w:r>
      <w:r w:rsidR="005A7691" w:rsidRPr="005A7691">
        <w:rPr>
          <w:rFonts w:asciiTheme="minorHAnsi" w:eastAsiaTheme="minorEastAsia" w:hAnsiTheme="minorHAnsi" w:cstheme="minorHAnsi"/>
          <w:color w:val="auto"/>
          <w:lang w:eastAsia="en-AU"/>
        </w:rPr>
        <w:lastRenderedPageBreak/>
        <w:t>are provided accurate information on service attributes. Thus, if peak upload times do vary across RSPs, the peak times need to be clearly shown to potential consumers so they are able to decide whether the peak upload speed and associated time period is appropriate for them.</w:t>
      </w:r>
      <w:r w:rsidR="005A7691">
        <w:rPr>
          <w:rFonts w:asciiTheme="minorHAnsi" w:eastAsiaTheme="minorEastAsia" w:hAnsiTheme="minorHAnsi" w:cstheme="minorHAnsi"/>
          <w:color w:val="auto"/>
          <w:lang w:eastAsia="en-AU"/>
        </w:rPr>
        <w:t xml:space="preserve"> </w:t>
      </w:r>
    </w:p>
    <w:p w14:paraId="582EF35B" w14:textId="79A3F22E" w:rsidR="0021694F" w:rsidRDefault="006F1D37" w:rsidP="00C72F5F">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Similarly</w:t>
      </w:r>
      <w:r w:rsidR="00197584">
        <w:rPr>
          <w:rFonts w:asciiTheme="minorHAnsi" w:eastAsiaTheme="minorEastAsia" w:hAnsiTheme="minorHAnsi" w:cstheme="minorHAnsi"/>
          <w:color w:val="auto"/>
          <w:lang w:eastAsia="en-AU"/>
        </w:rPr>
        <w:t>,</w:t>
      </w:r>
      <w:r>
        <w:rPr>
          <w:rFonts w:asciiTheme="minorHAnsi" w:eastAsiaTheme="minorEastAsia" w:hAnsiTheme="minorHAnsi" w:cstheme="minorHAnsi"/>
          <w:color w:val="auto"/>
          <w:lang w:eastAsia="en-AU"/>
        </w:rPr>
        <w:t xml:space="preserve"> if there is a significant difference to the </w:t>
      </w:r>
      <w:r w:rsidR="00565E77">
        <w:rPr>
          <w:rFonts w:asciiTheme="minorHAnsi" w:eastAsiaTheme="minorEastAsia" w:hAnsiTheme="minorHAnsi" w:cstheme="minorHAnsi"/>
          <w:color w:val="auto"/>
          <w:lang w:eastAsia="en-AU"/>
        </w:rPr>
        <w:t>upload busy hours</w:t>
      </w:r>
      <w:r>
        <w:rPr>
          <w:rFonts w:asciiTheme="minorHAnsi" w:eastAsiaTheme="minorEastAsia" w:hAnsiTheme="minorHAnsi" w:cstheme="minorHAnsi"/>
          <w:color w:val="auto"/>
          <w:lang w:eastAsia="en-AU"/>
        </w:rPr>
        <w:t xml:space="preserve"> </w:t>
      </w:r>
      <w:r w:rsidR="00565E77">
        <w:rPr>
          <w:rFonts w:asciiTheme="minorHAnsi" w:eastAsiaTheme="minorEastAsia" w:hAnsiTheme="minorHAnsi" w:cstheme="minorHAnsi"/>
          <w:color w:val="auto"/>
          <w:lang w:eastAsia="en-AU"/>
        </w:rPr>
        <w:t xml:space="preserve">across fixed wireless broadband providers, then this needs to </w:t>
      </w:r>
      <w:r w:rsidR="00197584">
        <w:rPr>
          <w:rFonts w:asciiTheme="minorHAnsi" w:eastAsiaTheme="minorEastAsia" w:hAnsiTheme="minorHAnsi" w:cstheme="minorHAnsi"/>
          <w:color w:val="auto"/>
          <w:lang w:eastAsia="en-AU"/>
        </w:rPr>
        <w:t xml:space="preserve">be </w:t>
      </w:r>
      <w:r w:rsidR="00565E77">
        <w:rPr>
          <w:rFonts w:asciiTheme="minorHAnsi" w:eastAsiaTheme="minorEastAsia" w:hAnsiTheme="minorHAnsi" w:cstheme="minorHAnsi"/>
          <w:color w:val="auto"/>
          <w:lang w:eastAsia="en-AU"/>
        </w:rPr>
        <w:t>presented and explained clearly to consumers</w:t>
      </w:r>
      <w:r>
        <w:rPr>
          <w:rFonts w:asciiTheme="minorHAnsi" w:eastAsiaTheme="minorEastAsia" w:hAnsiTheme="minorHAnsi" w:cstheme="minorHAnsi"/>
          <w:color w:val="auto"/>
          <w:lang w:eastAsia="en-AU"/>
        </w:rPr>
        <w:t xml:space="preserve">. </w:t>
      </w:r>
      <w:r w:rsidR="00161B10">
        <w:rPr>
          <w:rFonts w:asciiTheme="minorHAnsi" w:eastAsiaTheme="minorEastAsia" w:hAnsiTheme="minorHAnsi" w:cstheme="minorHAnsi"/>
          <w:color w:val="auto"/>
          <w:lang w:eastAsia="en-AU"/>
        </w:rPr>
        <w:t>Furthermore</w:t>
      </w:r>
      <w:r w:rsidR="008F5F1A">
        <w:rPr>
          <w:rFonts w:asciiTheme="minorHAnsi" w:eastAsiaTheme="minorEastAsia" w:hAnsiTheme="minorHAnsi" w:cstheme="minorHAnsi"/>
          <w:color w:val="auto"/>
          <w:lang w:eastAsia="en-AU"/>
        </w:rPr>
        <w:t xml:space="preserve"> </w:t>
      </w:r>
      <w:r w:rsidR="0021694F">
        <w:rPr>
          <w:rFonts w:asciiTheme="minorHAnsi" w:eastAsiaTheme="minorEastAsia" w:hAnsiTheme="minorHAnsi" w:cstheme="minorHAnsi"/>
          <w:color w:val="auto"/>
          <w:lang w:eastAsia="en-AU"/>
        </w:rPr>
        <w:t xml:space="preserve">we consider that a similar sample size </w:t>
      </w:r>
      <w:r w:rsidR="008F5F1A">
        <w:rPr>
          <w:rFonts w:asciiTheme="minorHAnsi" w:eastAsiaTheme="minorEastAsia" w:hAnsiTheme="minorHAnsi" w:cstheme="minorHAnsi"/>
          <w:color w:val="auto"/>
          <w:lang w:eastAsia="en-AU"/>
        </w:rPr>
        <w:t xml:space="preserve">should be used to test upload speeds as is currently being used to test download speeds. </w:t>
      </w:r>
    </w:p>
    <w:p w14:paraId="61B78435" w14:textId="0D89CADA" w:rsidR="00C72F5F" w:rsidRPr="00C72F5F" w:rsidRDefault="00C72F5F" w:rsidP="00C72F5F">
      <w:pPr>
        <w:rPr>
          <w:rStyle w:val="SubtleEmphasis"/>
        </w:rPr>
      </w:pPr>
      <w:r w:rsidRPr="00C72F5F">
        <w:rPr>
          <w:rStyle w:val="SubtleEmphasis"/>
        </w:rPr>
        <w:t>Fixed wireless broadband services</w:t>
      </w:r>
    </w:p>
    <w:p w14:paraId="2E03408B" w14:textId="0657A245" w:rsidR="00C7127B" w:rsidRDefault="00E7344E" w:rsidP="00C72F5F">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C</w:t>
      </w:r>
      <w:r w:rsidR="00A522AE">
        <w:rPr>
          <w:rFonts w:asciiTheme="minorHAnsi" w:eastAsiaTheme="minorEastAsia" w:hAnsiTheme="minorHAnsi" w:cstheme="minorHAnsi"/>
          <w:color w:val="auto"/>
          <w:lang w:eastAsia="en-AU"/>
        </w:rPr>
        <w:t xml:space="preserve">onsumers who have contacted ACCAN regarding </w:t>
      </w:r>
      <w:r w:rsidR="00157B5D">
        <w:rPr>
          <w:rFonts w:asciiTheme="minorHAnsi" w:eastAsiaTheme="minorEastAsia" w:hAnsiTheme="minorHAnsi" w:cstheme="minorHAnsi"/>
          <w:color w:val="auto"/>
          <w:lang w:eastAsia="en-AU"/>
        </w:rPr>
        <w:t>issues with speed</w:t>
      </w:r>
      <w:r w:rsidR="00A522AE">
        <w:rPr>
          <w:rFonts w:asciiTheme="minorHAnsi" w:eastAsiaTheme="minorEastAsia" w:hAnsiTheme="minorHAnsi" w:cstheme="minorHAnsi"/>
          <w:color w:val="auto"/>
          <w:lang w:eastAsia="en-AU"/>
        </w:rPr>
        <w:t xml:space="preserve"> are usually using fixed wireless technology o</w:t>
      </w:r>
      <w:r w:rsidR="00157B5D">
        <w:rPr>
          <w:rFonts w:asciiTheme="minorHAnsi" w:eastAsiaTheme="minorEastAsia" w:hAnsiTheme="minorHAnsi" w:cstheme="minorHAnsi"/>
          <w:color w:val="auto"/>
          <w:lang w:eastAsia="en-AU"/>
        </w:rPr>
        <w:t>r</w:t>
      </w:r>
      <w:r w:rsidR="00A522AE">
        <w:rPr>
          <w:rFonts w:asciiTheme="minorHAnsi" w:eastAsiaTheme="minorEastAsia" w:hAnsiTheme="minorHAnsi" w:cstheme="minorHAnsi"/>
          <w:color w:val="auto"/>
          <w:lang w:eastAsia="en-AU"/>
        </w:rPr>
        <w:t xml:space="preserve"> Fibre to the Node. Thus, we are supportive of any attempts to improve consumer satisfaction regarding either of these access technologies. </w:t>
      </w:r>
      <w:r w:rsidR="00C72F5F">
        <w:rPr>
          <w:rFonts w:asciiTheme="minorHAnsi" w:eastAsiaTheme="minorEastAsia" w:hAnsiTheme="minorHAnsi" w:cstheme="minorHAnsi"/>
          <w:color w:val="auto"/>
          <w:lang w:eastAsia="en-AU"/>
        </w:rPr>
        <w:t xml:space="preserve">ACCAN supports the proposal to amend the Guidance section on ‘Services utilising fixed wireless technology’ to provide </w:t>
      </w:r>
      <w:r w:rsidR="00762921">
        <w:rPr>
          <w:rFonts w:asciiTheme="minorHAnsi" w:eastAsiaTheme="minorEastAsia" w:hAnsiTheme="minorHAnsi" w:cstheme="minorHAnsi"/>
          <w:color w:val="auto"/>
          <w:lang w:eastAsia="en-AU"/>
        </w:rPr>
        <w:t>best practice guidance</w:t>
      </w:r>
      <w:r w:rsidR="00C72F5F">
        <w:rPr>
          <w:rFonts w:asciiTheme="minorHAnsi" w:eastAsiaTheme="minorEastAsia" w:hAnsiTheme="minorHAnsi" w:cstheme="minorHAnsi"/>
          <w:color w:val="auto"/>
          <w:lang w:eastAsia="en-AU"/>
        </w:rPr>
        <w:t xml:space="preserve"> to RSPs </w:t>
      </w:r>
      <w:r w:rsidR="00751766">
        <w:rPr>
          <w:rFonts w:asciiTheme="minorHAnsi" w:eastAsiaTheme="minorEastAsia" w:hAnsiTheme="minorHAnsi" w:cstheme="minorHAnsi"/>
          <w:color w:val="auto"/>
          <w:lang w:eastAsia="en-AU"/>
        </w:rPr>
        <w:t>on</w:t>
      </w:r>
      <w:r w:rsidR="00C72F5F">
        <w:rPr>
          <w:rFonts w:asciiTheme="minorHAnsi" w:eastAsiaTheme="minorEastAsia" w:hAnsiTheme="minorHAnsi" w:cstheme="minorHAnsi"/>
          <w:color w:val="auto"/>
          <w:lang w:eastAsia="en-AU"/>
        </w:rPr>
        <w:t xml:space="preserve"> disclosing to consumers the factors that would affect the download and upload speeds received by an end-user. </w:t>
      </w:r>
      <w:r w:rsidR="00105C55">
        <w:rPr>
          <w:rFonts w:asciiTheme="minorHAnsi" w:eastAsiaTheme="minorEastAsia" w:hAnsiTheme="minorHAnsi" w:cstheme="minorHAnsi"/>
          <w:color w:val="auto"/>
          <w:lang w:eastAsia="en-AU"/>
        </w:rPr>
        <w:t>In addition to distance</w:t>
      </w:r>
      <w:r w:rsidR="005A7691">
        <w:rPr>
          <w:rFonts w:asciiTheme="minorHAnsi" w:eastAsiaTheme="minorEastAsia" w:hAnsiTheme="minorHAnsi" w:cstheme="minorHAnsi"/>
          <w:color w:val="auto"/>
          <w:lang w:eastAsia="en-AU"/>
        </w:rPr>
        <w:t xml:space="preserve">, </w:t>
      </w:r>
      <w:r w:rsidR="00157B5D">
        <w:rPr>
          <w:rFonts w:asciiTheme="minorHAnsi" w:eastAsiaTheme="minorEastAsia" w:hAnsiTheme="minorHAnsi" w:cstheme="minorHAnsi"/>
          <w:color w:val="auto"/>
          <w:lang w:eastAsia="en-AU"/>
        </w:rPr>
        <w:t xml:space="preserve">line </w:t>
      </w:r>
      <w:r w:rsidR="00105C55">
        <w:rPr>
          <w:rFonts w:asciiTheme="minorHAnsi" w:eastAsiaTheme="minorEastAsia" w:hAnsiTheme="minorHAnsi" w:cstheme="minorHAnsi"/>
          <w:color w:val="auto"/>
          <w:lang w:eastAsia="en-AU"/>
        </w:rPr>
        <w:t>of sight to the tower</w:t>
      </w:r>
      <w:r w:rsidR="008F5F1A">
        <w:rPr>
          <w:rFonts w:asciiTheme="minorHAnsi" w:eastAsiaTheme="minorEastAsia" w:hAnsiTheme="minorHAnsi" w:cstheme="minorHAnsi"/>
          <w:color w:val="auto"/>
          <w:lang w:eastAsia="en-AU"/>
        </w:rPr>
        <w:t xml:space="preserve"> and whether the cell is congested</w:t>
      </w:r>
      <w:r w:rsidR="00105C55">
        <w:rPr>
          <w:rFonts w:asciiTheme="minorHAnsi" w:eastAsiaTheme="minorEastAsia" w:hAnsiTheme="minorHAnsi" w:cstheme="minorHAnsi"/>
          <w:color w:val="auto"/>
          <w:lang w:eastAsia="en-AU"/>
        </w:rPr>
        <w:t xml:space="preserve">, </w:t>
      </w:r>
      <w:r w:rsidR="00C72F5F">
        <w:rPr>
          <w:rFonts w:asciiTheme="minorHAnsi" w:eastAsiaTheme="minorEastAsia" w:hAnsiTheme="minorHAnsi" w:cstheme="minorHAnsi"/>
          <w:color w:val="auto"/>
          <w:lang w:eastAsia="en-AU"/>
        </w:rPr>
        <w:t xml:space="preserve">RSPs should inform consumers that factors such as vegetation, tree density, mountains, hills and buildings can affect the signal from a fixed wireless tower. </w:t>
      </w:r>
    </w:p>
    <w:p w14:paraId="64362644" w14:textId="1C283B4C" w:rsidR="00105C55" w:rsidRPr="00A522AE" w:rsidRDefault="00161B10" w:rsidP="00C72F5F">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Finally</w:t>
      </w:r>
      <w:r w:rsidR="00105C55">
        <w:rPr>
          <w:rFonts w:asciiTheme="minorHAnsi" w:eastAsiaTheme="minorEastAsia" w:hAnsiTheme="minorHAnsi" w:cstheme="minorHAnsi"/>
          <w:color w:val="auto"/>
          <w:lang w:eastAsia="en-AU"/>
        </w:rPr>
        <w:t xml:space="preserve"> ACCAN understands that consumers consider attributes such as availability, packet loss, </w:t>
      </w:r>
      <w:r w:rsidR="00C15A5B">
        <w:rPr>
          <w:rFonts w:asciiTheme="minorHAnsi" w:eastAsiaTheme="minorEastAsia" w:hAnsiTheme="minorHAnsi" w:cstheme="minorHAnsi"/>
          <w:color w:val="auto"/>
          <w:lang w:eastAsia="en-AU"/>
        </w:rPr>
        <w:t>dropouts</w:t>
      </w:r>
      <w:r w:rsidR="00105C55">
        <w:rPr>
          <w:rFonts w:asciiTheme="minorHAnsi" w:eastAsiaTheme="minorEastAsia" w:hAnsiTheme="minorHAnsi" w:cstheme="minorHAnsi"/>
          <w:color w:val="auto"/>
          <w:lang w:eastAsia="en-AU"/>
        </w:rPr>
        <w:t xml:space="preserve"> and latency to be important</w:t>
      </w:r>
      <w:r>
        <w:rPr>
          <w:rFonts w:asciiTheme="minorHAnsi" w:eastAsiaTheme="minorEastAsia" w:hAnsiTheme="minorHAnsi" w:cstheme="minorHAnsi"/>
          <w:color w:val="auto"/>
          <w:lang w:eastAsia="en-AU"/>
        </w:rPr>
        <w:t xml:space="preserve"> to a positive experienc</w:t>
      </w:r>
      <w:r w:rsidR="00080802">
        <w:rPr>
          <w:rFonts w:asciiTheme="minorHAnsi" w:eastAsiaTheme="minorEastAsia" w:hAnsiTheme="minorHAnsi" w:cstheme="minorHAnsi"/>
          <w:color w:val="auto"/>
          <w:lang w:eastAsia="en-AU"/>
        </w:rPr>
        <w:t>e</w:t>
      </w:r>
      <w:r>
        <w:rPr>
          <w:rFonts w:asciiTheme="minorHAnsi" w:eastAsiaTheme="minorEastAsia" w:hAnsiTheme="minorHAnsi" w:cstheme="minorHAnsi"/>
          <w:color w:val="auto"/>
          <w:lang w:eastAsia="en-AU"/>
        </w:rPr>
        <w:t xml:space="preserve"> of using the internet</w:t>
      </w:r>
      <w:r w:rsidR="00105C55">
        <w:rPr>
          <w:rFonts w:asciiTheme="minorHAnsi" w:eastAsiaTheme="minorEastAsia" w:hAnsiTheme="minorHAnsi" w:cstheme="minorHAnsi"/>
          <w:color w:val="auto"/>
          <w:lang w:eastAsia="en-AU"/>
        </w:rPr>
        <w:t xml:space="preserve">. </w:t>
      </w:r>
      <w:r w:rsidR="000C66BA">
        <w:rPr>
          <w:rFonts w:asciiTheme="minorHAnsi" w:eastAsiaTheme="minorEastAsia" w:hAnsiTheme="minorHAnsi" w:cstheme="minorHAnsi"/>
          <w:color w:val="auto"/>
          <w:lang w:eastAsia="en-AU"/>
        </w:rPr>
        <w:t>For example, c</w:t>
      </w:r>
      <w:r w:rsidR="008F5F1A">
        <w:rPr>
          <w:rFonts w:asciiTheme="minorHAnsi" w:eastAsiaTheme="minorEastAsia" w:hAnsiTheme="minorHAnsi" w:cstheme="minorHAnsi"/>
          <w:color w:val="auto"/>
          <w:lang w:eastAsia="en-AU"/>
        </w:rPr>
        <w:t xml:space="preserve">onsumers who require specific attributes for certain applications, such as the low latency needed </w:t>
      </w:r>
      <w:r w:rsidR="00933018">
        <w:rPr>
          <w:rFonts w:asciiTheme="minorHAnsi" w:eastAsiaTheme="minorEastAsia" w:hAnsiTheme="minorHAnsi" w:cstheme="minorHAnsi"/>
          <w:color w:val="auto"/>
          <w:lang w:eastAsia="en-AU"/>
        </w:rPr>
        <w:t xml:space="preserve">for </w:t>
      </w:r>
      <w:r w:rsidR="008F5F1A">
        <w:rPr>
          <w:rFonts w:asciiTheme="minorHAnsi" w:eastAsiaTheme="minorEastAsia" w:hAnsiTheme="minorHAnsi" w:cstheme="minorHAnsi"/>
          <w:color w:val="auto"/>
          <w:lang w:eastAsia="en-AU"/>
        </w:rPr>
        <w:t>gaming</w:t>
      </w:r>
      <w:r w:rsidR="00933018">
        <w:rPr>
          <w:rFonts w:asciiTheme="minorHAnsi" w:eastAsiaTheme="minorEastAsia" w:hAnsiTheme="minorHAnsi" w:cstheme="minorHAnsi"/>
          <w:color w:val="auto"/>
          <w:lang w:eastAsia="en-AU"/>
        </w:rPr>
        <w:t>,</w:t>
      </w:r>
      <w:r w:rsidR="008F5F1A">
        <w:rPr>
          <w:rFonts w:asciiTheme="minorHAnsi" w:eastAsiaTheme="minorEastAsia" w:hAnsiTheme="minorHAnsi" w:cstheme="minorHAnsi"/>
          <w:color w:val="auto"/>
          <w:lang w:eastAsia="en-AU"/>
        </w:rPr>
        <w:t xml:space="preserve"> would benefit from being provided this</w:t>
      </w:r>
      <w:r w:rsidR="00933018">
        <w:rPr>
          <w:rFonts w:asciiTheme="minorHAnsi" w:eastAsiaTheme="minorEastAsia" w:hAnsiTheme="minorHAnsi" w:cstheme="minorHAnsi"/>
          <w:color w:val="auto"/>
          <w:lang w:eastAsia="en-AU"/>
        </w:rPr>
        <w:t xml:space="preserve"> additional</w:t>
      </w:r>
      <w:r w:rsidR="008F5F1A">
        <w:rPr>
          <w:rFonts w:asciiTheme="minorHAnsi" w:eastAsiaTheme="minorEastAsia" w:hAnsiTheme="minorHAnsi" w:cstheme="minorHAnsi"/>
          <w:color w:val="auto"/>
          <w:lang w:eastAsia="en-AU"/>
        </w:rPr>
        <w:t xml:space="preserve"> information. </w:t>
      </w:r>
      <w:r w:rsidR="00C15A5B">
        <w:rPr>
          <w:rFonts w:asciiTheme="minorHAnsi" w:eastAsiaTheme="minorEastAsia" w:hAnsiTheme="minorHAnsi" w:cstheme="minorHAnsi"/>
          <w:color w:val="auto"/>
          <w:lang w:eastAsia="en-AU"/>
        </w:rPr>
        <w:t>That said, we are unable to say how these attributes may vary between fixed-line and fixed wireless technologies</w:t>
      </w:r>
      <w:r w:rsidR="002144B4">
        <w:rPr>
          <w:rFonts w:asciiTheme="minorHAnsi" w:eastAsiaTheme="minorEastAsia" w:hAnsiTheme="minorHAnsi" w:cstheme="minorHAnsi"/>
          <w:color w:val="auto"/>
          <w:lang w:eastAsia="en-AU"/>
        </w:rPr>
        <w:t>.</w:t>
      </w:r>
    </w:p>
    <w:p w14:paraId="660B64D3" w14:textId="75559D1B" w:rsidR="00B23FC2" w:rsidRDefault="00B23FC2" w:rsidP="00B23FC2">
      <w:pPr>
        <w:pStyle w:val="BodyText1"/>
        <w:rPr>
          <w:rFonts w:asciiTheme="minorHAnsi" w:hAnsiTheme="minorHAnsi" w:cstheme="minorHAnsi"/>
          <w:color w:val="auto"/>
        </w:rPr>
      </w:pPr>
      <w:r>
        <w:rPr>
          <w:rFonts w:asciiTheme="minorHAnsi" w:hAnsiTheme="minorHAnsi" w:cstheme="minorHAnsi"/>
          <w:color w:val="auto"/>
        </w:rPr>
        <w:t xml:space="preserve">If you have any questions regarding our response, please do not hesitate to contact me. </w:t>
      </w:r>
    </w:p>
    <w:p w14:paraId="5E27DF39" w14:textId="6B346B51" w:rsidR="00B23FC2" w:rsidRDefault="00B23FC2" w:rsidP="00B23FC2">
      <w:pPr>
        <w:pStyle w:val="BodyText1"/>
        <w:rPr>
          <w:rFonts w:asciiTheme="minorHAnsi" w:hAnsiTheme="minorHAnsi" w:cstheme="minorHAnsi"/>
          <w:color w:val="auto"/>
        </w:rPr>
      </w:pPr>
      <w:r>
        <w:rPr>
          <w:rFonts w:asciiTheme="minorHAnsi" w:hAnsiTheme="minorHAnsi" w:cstheme="minorHAnsi"/>
          <w:color w:val="auto"/>
        </w:rPr>
        <w:t>Sincerely,</w:t>
      </w:r>
    </w:p>
    <w:p w14:paraId="3AAB6F1D" w14:textId="47F20908" w:rsidR="00B23FC2" w:rsidRDefault="00B23FC2" w:rsidP="00B23FC2">
      <w:pPr>
        <w:pStyle w:val="NoSpacing"/>
      </w:pPr>
      <w:r>
        <w:t>Megan Ward</w:t>
      </w:r>
    </w:p>
    <w:p w14:paraId="7116FCC0" w14:textId="04140640" w:rsidR="00B23FC2" w:rsidRPr="00C32DD1" w:rsidRDefault="00B23FC2" w:rsidP="00B23FC2">
      <w:pPr>
        <w:pStyle w:val="NoSpacing"/>
      </w:pPr>
      <w:r>
        <w:t>Economic Adviser</w:t>
      </w:r>
    </w:p>
    <w:p w14:paraId="7DA207F5" w14:textId="1339CFA6" w:rsidR="00C7127B" w:rsidRDefault="00C7127B" w:rsidP="005A7691">
      <w:pPr>
        <w:pStyle w:val="BodyText1"/>
        <w:tabs>
          <w:tab w:val="left" w:pos="3000"/>
        </w:tabs>
        <w:rPr>
          <w:rFonts w:asciiTheme="minorHAnsi" w:hAnsiTheme="minorHAnsi" w:cstheme="minorHAnsi"/>
          <w:color w:val="auto"/>
        </w:rPr>
      </w:pPr>
    </w:p>
    <w:sectPr w:rsidR="00C7127B" w:rsidSect="00C7127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685B" w14:textId="77777777" w:rsidR="0047773D" w:rsidRDefault="0047773D" w:rsidP="00C7127B">
      <w:pPr>
        <w:spacing w:after="0" w:line="240" w:lineRule="auto"/>
      </w:pPr>
      <w:r>
        <w:separator/>
      </w:r>
    </w:p>
  </w:endnote>
  <w:endnote w:type="continuationSeparator" w:id="0">
    <w:p w14:paraId="6605BEFB" w14:textId="77777777" w:rsidR="0047773D" w:rsidRDefault="0047773D" w:rsidP="00C7127B">
      <w:pPr>
        <w:spacing w:after="0" w:line="240" w:lineRule="auto"/>
      </w:pPr>
      <w:r>
        <w:continuationSeparator/>
      </w:r>
    </w:p>
  </w:endnote>
  <w:endnote w:type="continuationNotice" w:id="1">
    <w:p w14:paraId="13FD5F0B" w14:textId="77777777" w:rsidR="0047773D" w:rsidRDefault="00477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2962"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2B394169"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BE31"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519943C7"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7FCA0B4C"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577158E6" wp14:editId="326C639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AED918B"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" strokecolor="#23b0e6" strokeweight="3pt"/>
          </w:pict>
        </mc:Fallback>
      </mc:AlternateContent>
    </w:r>
  </w:p>
  <w:p w14:paraId="052052EE"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441A32BA" w14:textId="77777777" w:rsidR="007949B6" w:rsidRDefault="007949B6" w:rsidP="007949B6">
    <w:pPr>
      <w:spacing w:after="0"/>
      <w:ind w:hanging="567"/>
    </w:pPr>
    <w:r>
      <w:t xml:space="preserve">Tel: (02) 9288 4000 </w:t>
    </w:r>
  </w:p>
  <w:p w14:paraId="3C18E13D"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396" w14:textId="77777777" w:rsidR="0047773D" w:rsidRDefault="0047773D" w:rsidP="00C7127B">
      <w:pPr>
        <w:spacing w:after="0" w:line="240" w:lineRule="auto"/>
      </w:pPr>
      <w:r>
        <w:separator/>
      </w:r>
    </w:p>
  </w:footnote>
  <w:footnote w:type="continuationSeparator" w:id="0">
    <w:p w14:paraId="72FAA22B" w14:textId="77777777" w:rsidR="0047773D" w:rsidRDefault="0047773D" w:rsidP="00C7127B">
      <w:pPr>
        <w:spacing w:after="0" w:line="240" w:lineRule="auto"/>
      </w:pPr>
      <w:r>
        <w:continuationSeparator/>
      </w:r>
    </w:p>
  </w:footnote>
  <w:footnote w:type="continuationNotice" w:id="1">
    <w:p w14:paraId="7FB98E2D" w14:textId="77777777" w:rsidR="0047773D" w:rsidRDefault="0047773D">
      <w:pPr>
        <w:spacing w:after="0" w:line="240" w:lineRule="auto"/>
      </w:pPr>
    </w:p>
  </w:footnote>
  <w:footnote w:id="2">
    <w:p w14:paraId="277E770A" w14:textId="77777777" w:rsidR="00161B10" w:rsidRPr="00806C4F" w:rsidRDefault="00161B10" w:rsidP="00161B10">
      <w:pPr>
        <w:pStyle w:val="FootnoteText"/>
        <w:rPr>
          <w:lang w:val="en-US"/>
        </w:rPr>
      </w:pPr>
      <w:r>
        <w:rPr>
          <w:rStyle w:val="FootnoteReference"/>
        </w:rPr>
        <w:footnoteRef/>
      </w:r>
      <w:r>
        <w:t xml:space="preserve"> </w:t>
      </w:r>
      <w:hyperlink r:id="rId1" w:history="1">
        <w:r w:rsidRPr="00A66593">
          <w:rPr>
            <w:rStyle w:val="Hyperlink"/>
          </w:rPr>
          <w:t>https://www.tio.com.au/sites/default/files/2021-09/TIO_AR_Accessible_LR.pdf</w:t>
        </w:r>
      </w:hyperlink>
      <w:r>
        <w:t xml:space="preserve"> </w:t>
      </w:r>
    </w:p>
  </w:footnote>
  <w:footnote w:id="3">
    <w:p w14:paraId="434E35EA" w14:textId="77777777" w:rsidR="00161B10" w:rsidRPr="004C1CF3" w:rsidRDefault="00161B10" w:rsidP="00161B10">
      <w:pPr>
        <w:pStyle w:val="FootnoteText"/>
        <w:rPr>
          <w:lang w:val="en-US"/>
        </w:rPr>
      </w:pPr>
      <w:r>
        <w:rPr>
          <w:rStyle w:val="FootnoteReference"/>
        </w:rPr>
        <w:footnoteRef/>
      </w:r>
      <w:r>
        <w:t xml:space="preserve"> </w:t>
      </w:r>
      <w:hyperlink r:id="rId2" w:history="1">
        <w:r w:rsidRPr="00A66593">
          <w:rPr>
            <w:rStyle w:val="Hyperlink"/>
          </w:rPr>
          <w:t>https://www.tio.com.au/sites/default/files/2022-02/TIO%202022%20Q2%20Report_03.pdf</w:t>
        </w:r>
      </w:hyperlink>
      <w:r>
        <w:t xml:space="preserve"> </w:t>
      </w:r>
    </w:p>
  </w:footnote>
  <w:footnote w:id="4">
    <w:p w14:paraId="6D9968C6" w14:textId="77777777" w:rsidR="00C15A5B" w:rsidRPr="004F1311" w:rsidRDefault="00C15A5B" w:rsidP="00C15A5B">
      <w:pPr>
        <w:pStyle w:val="FootnoteText"/>
        <w:rPr>
          <w:lang w:val="en-US"/>
        </w:rPr>
      </w:pPr>
      <w:r>
        <w:rPr>
          <w:rStyle w:val="FootnoteReference"/>
        </w:rPr>
        <w:footnoteRef/>
      </w:r>
      <w:r>
        <w:t xml:space="preserve"> </w:t>
      </w:r>
      <w:hyperlink r:id="rId3" w:history="1">
        <w:r w:rsidRPr="003C6181">
          <w:rPr>
            <w:rStyle w:val="Hyperlink"/>
          </w:rPr>
          <w:t>https://www.tpg.com.au/5g-home-broadband</w:t>
        </w:r>
      </w:hyperlink>
    </w:p>
  </w:footnote>
  <w:footnote w:id="5">
    <w:p w14:paraId="31555C28" w14:textId="6A8DD596" w:rsidR="00C15A5B" w:rsidRPr="004F1311" w:rsidRDefault="00C15A5B" w:rsidP="00C15A5B">
      <w:pPr>
        <w:pStyle w:val="FootnoteText"/>
        <w:rPr>
          <w:lang w:val="en-US"/>
        </w:rPr>
      </w:pPr>
      <w:r>
        <w:rPr>
          <w:rStyle w:val="FootnoteReference"/>
        </w:rPr>
        <w:footnoteRef/>
      </w:r>
      <w:r>
        <w:t xml:space="preserve"> </w:t>
      </w:r>
      <w:hyperlink r:id="rId4" w:history="1">
        <w:r w:rsidR="00811F22" w:rsidRPr="003C6181">
          <w:rPr>
            <w:rStyle w:val="Hyperlink"/>
          </w:rPr>
          <w:t>https://www.iinet.net.au/internet-product/broadband/5g-home-broadband</w:t>
        </w:r>
      </w:hyperlink>
      <w:r w:rsidR="00811F22">
        <w:t xml:space="preserve"> </w:t>
      </w:r>
      <w:r>
        <w:t xml:space="preserve">  </w:t>
      </w:r>
    </w:p>
  </w:footnote>
  <w:footnote w:id="6">
    <w:p w14:paraId="32BD377C" w14:textId="06EE0267" w:rsidR="00C15A5B" w:rsidRPr="004F1311" w:rsidRDefault="00C15A5B" w:rsidP="00C15A5B">
      <w:pPr>
        <w:pStyle w:val="FootnoteText"/>
        <w:rPr>
          <w:lang w:val="en-US"/>
        </w:rPr>
      </w:pPr>
      <w:r>
        <w:rPr>
          <w:rStyle w:val="FootnoteReference"/>
        </w:rPr>
        <w:footnoteRef/>
      </w:r>
      <w:r>
        <w:t xml:space="preserve"> </w:t>
      </w:r>
      <w:hyperlink r:id="rId5" w:history="1">
        <w:r w:rsidR="00811F22" w:rsidRPr="003C6181">
          <w:rPr>
            <w:rStyle w:val="Hyperlink"/>
          </w:rPr>
          <w:t>https://www.optus.com.au/broadband-nbn/5g-home-broadband</w:t>
        </w:r>
      </w:hyperlink>
      <w:r w:rsidR="00811F22">
        <w:t xml:space="preserve"> </w:t>
      </w:r>
    </w:p>
  </w:footnote>
  <w:footnote w:id="7">
    <w:p w14:paraId="2006586E" w14:textId="74B3876C" w:rsidR="00C15A5B" w:rsidRPr="004F1311" w:rsidRDefault="00C15A5B" w:rsidP="00C15A5B">
      <w:pPr>
        <w:pStyle w:val="FootnoteText"/>
        <w:rPr>
          <w:lang w:val="en-US"/>
        </w:rPr>
      </w:pPr>
      <w:r>
        <w:rPr>
          <w:rStyle w:val="FootnoteReference"/>
        </w:rPr>
        <w:footnoteRef/>
      </w:r>
      <w:r>
        <w:t xml:space="preserve"> </w:t>
      </w:r>
      <w:hyperlink r:id="rId6" w:history="1">
        <w:r w:rsidR="00811F22" w:rsidRPr="003C6181">
          <w:rPr>
            <w:rStyle w:val="Hyperlink"/>
          </w:rPr>
          <w:t>https://www.telstra.com.au/internet/5g-broadband-plans</w:t>
        </w:r>
      </w:hyperlink>
      <w:r w:rsidR="00811F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5D75" w14:textId="77777777" w:rsidR="00C7127B" w:rsidRDefault="00C7127B" w:rsidP="00983739">
    <w:pPr>
      <w:pStyle w:val="Header"/>
    </w:pPr>
    <w:r>
      <w:rPr>
        <w:noProof/>
      </w:rPr>
      <w:drawing>
        <wp:anchor distT="0" distB="0" distL="114300" distR="114300" simplePos="0" relativeHeight="251658240" behindDoc="1" locked="0" layoutInCell="1" allowOverlap="1" wp14:anchorId="70399EC5" wp14:editId="6D8CD0B8">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26B1"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4E300513" wp14:editId="233F88D7">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4DF1"/>
    <w:multiLevelType w:val="multilevel"/>
    <w:tmpl w:val="FB6E5050"/>
    <w:lvl w:ilvl="0">
      <w:start w:val="1"/>
      <w:numFmt w:val="decimal"/>
      <w:pStyle w:val="LegalNumbering"/>
      <w:isLgl/>
      <w:lvlText w:val="%1)"/>
      <w:lvlJc w:val="left"/>
      <w:pPr>
        <w:ind w:left="340" w:hanging="340"/>
      </w:pPr>
      <w:rPr>
        <w:rFonts w:hint="default"/>
        <w:b w:val="0"/>
        <w:bCs w:val="0"/>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FA"/>
    <w:rsid w:val="000518CC"/>
    <w:rsid w:val="00071FF0"/>
    <w:rsid w:val="00080802"/>
    <w:rsid w:val="00084751"/>
    <w:rsid w:val="000B18D2"/>
    <w:rsid w:val="000B72F6"/>
    <w:rsid w:val="000C66BA"/>
    <w:rsid w:val="000F388B"/>
    <w:rsid w:val="000F7AD2"/>
    <w:rsid w:val="00105C55"/>
    <w:rsid w:val="00136C86"/>
    <w:rsid w:val="00155FA9"/>
    <w:rsid w:val="00157B5D"/>
    <w:rsid w:val="00161B10"/>
    <w:rsid w:val="00165220"/>
    <w:rsid w:val="00197584"/>
    <w:rsid w:val="002144B4"/>
    <w:rsid w:val="0021694F"/>
    <w:rsid w:val="00222EC7"/>
    <w:rsid w:val="00251F8D"/>
    <w:rsid w:val="002A48C0"/>
    <w:rsid w:val="002C4A1E"/>
    <w:rsid w:val="002D04B4"/>
    <w:rsid w:val="002E1040"/>
    <w:rsid w:val="00327A23"/>
    <w:rsid w:val="00363F61"/>
    <w:rsid w:val="00373CBE"/>
    <w:rsid w:val="003939EF"/>
    <w:rsid w:val="003B16C8"/>
    <w:rsid w:val="003D44E7"/>
    <w:rsid w:val="003D4B0B"/>
    <w:rsid w:val="003F5A6C"/>
    <w:rsid w:val="004134CF"/>
    <w:rsid w:val="00431464"/>
    <w:rsid w:val="00433FD9"/>
    <w:rsid w:val="0044352C"/>
    <w:rsid w:val="00447346"/>
    <w:rsid w:val="004652DE"/>
    <w:rsid w:val="00472082"/>
    <w:rsid w:val="0047773D"/>
    <w:rsid w:val="004C1CF3"/>
    <w:rsid w:val="004C4698"/>
    <w:rsid w:val="004D1D73"/>
    <w:rsid w:val="00534CFF"/>
    <w:rsid w:val="00545597"/>
    <w:rsid w:val="00565E77"/>
    <w:rsid w:val="005715EC"/>
    <w:rsid w:val="005A0639"/>
    <w:rsid w:val="005A7691"/>
    <w:rsid w:val="00605EE0"/>
    <w:rsid w:val="00612D02"/>
    <w:rsid w:val="00625D52"/>
    <w:rsid w:val="00626ECD"/>
    <w:rsid w:val="00662F42"/>
    <w:rsid w:val="006667CA"/>
    <w:rsid w:val="00682766"/>
    <w:rsid w:val="006926C3"/>
    <w:rsid w:val="00693D8B"/>
    <w:rsid w:val="00697DD1"/>
    <w:rsid w:val="006A4A14"/>
    <w:rsid w:val="006A55AC"/>
    <w:rsid w:val="006E0714"/>
    <w:rsid w:val="006F1D37"/>
    <w:rsid w:val="007224E0"/>
    <w:rsid w:val="00726221"/>
    <w:rsid w:val="00743534"/>
    <w:rsid w:val="007452C3"/>
    <w:rsid w:val="00751766"/>
    <w:rsid w:val="007528CD"/>
    <w:rsid w:val="007541D3"/>
    <w:rsid w:val="00762921"/>
    <w:rsid w:val="0076317E"/>
    <w:rsid w:val="00767536"/>
    <w:rsid w:val="007949B6"/>
    <w:rsid w:val="00806C4F"/>
    <w:rsid w:val="00811F22"/>
    <w:rsid w:val="00823365"/>
    <w:rsid w:val="0084347C"/>
    <w:rsid w:val="00847358"/>
    <w:rsid w:val="0089386E"/>
    <w:rsid w:val="008C64C7"/>
    <w:rsid w:val="008F5F1A"/>
    <w:rsid w:val="0091174C"/>
    <w:rsid w:val="009131EB"/>
    <w:rsid w:val="00916E30"/>
    <w:rsid w:val="00933018"/>
    <w:rsid w:val="009559F1"/>
    <w:rsid w:val="00955C92"/>
    <w:rsid w:val="00970984"/>
    <w:rsid w:val="00972BFA"/>
    <w:rsid w:val="00973485"/>
    <w:rsid w:val="0097779B"/>
    <w:rsid w:val="00983739"/>
    <w:rsid w:val="00986986"/>
    <w:rsid w:val="009C5B7D"/>
    <w:rsid w:val="00A21F86"/>
    <w:rsid w:val="00A265E3"/>
    <w:rsid w:val="00A522AE"/>
    <w:rsid w:val="00A72166"/>
    <w:rsid w:val="00B03C70"/>
    <w:rsid w:val="00B0524A"/>
    <w:rsid w:val="00B23FC2"/>
    <w:rsid w:val="00B3107F"/>
    <w:rsid w:val="00B36207"/>
    <w:rsid w:val="00B460F7"/>
    <w:rsid w:val="00B47012"/>
    <w:rsid w:val="00B72FB8"/>
    <w:rsid w:val="00BD15EE"/>
    <w:rsid w:val="00C13FBF"/>
    <w:rsid w:val="00C15A5B"/>
    <w:rsid w:val="00C45847"/>
    <w:rsid w:val="00C7127B"/>
    <w:rsid w:val="00C72F5F"/>
    <w:rsid w:val="00C73B51"/>
    <w:rsid w:val="00CA37B5"/>
    <w:rsid w:val="00CD4504"/>
    <w:rsid w:val="00CD46CE"/>
    <w:rsid w:val="00CF4277"/>
    <w:rsid w:val="00D02A52"/>
    <w:rsid w:val="00D11B83"/>
    <w:rsid w:val="00D57AB3"/>
    <w:rsid w:val="00D77B89"/>
    <w:rsid w:val="00DA2BB3"/>
    <w:rsid w:val="00E029CA"/>
    <w:rsid w:val="00E17392"/>
    <w:rsid w:val="00E305AF"/>
    <w:rsid w:val="00E51E0D"/>
    <w:rsid w:val="00E7344E"/>
    <w:rsid w:val="00E74D12"/>
    <w:rsid w:val="00E84AAC"/>
    <w:rsid w:val="00EB7FD7"/>
    <w:rsid w:val="00EC2329"/>
    <w:rsid w:val="00EF1CBA"/>
    <w:rsid w:val="00F117C3"/>
    <w:rsid w:val="00F529EC"/>
    <w:rsid w:val="00F533F8"/>
    <w:rsid w:val="00F5554D"/>
    <w:rsid w:val="00F56093"/>
    <w:rsid w:val="00FE3F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83E8"/>
  <w15:docId w15:val="{3D8B393A-46A6-489E-9C3C-0AA84325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6B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972BFA"/>
    <w:rPr>
      <w:color w:val="605E5C"/>
      <w:shd w:val="clear" w:color="auto" w:fill="E1DFDD"/>
    </w:rPr>
  </w:style>
  <w:style w:type="paragraph" w:styleId="FootnoteText">
    <w:name w:val="footnote text"/>
    <w:basedOn w:val="Normal"/>
    <w:link w:val="FootnoteTextChar"/>
    <w:uiPriority w:val="99"/>
    <w:semiHidden/>
    <w:unhideWhenUsed/>
    <w:rsid w:val="004C1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CF3"/>
    <w:rPr>
      <w:sz w:val="20"/>
      <w:szCs w:val="20"/>
    </w:rPr>
  </w:style>
  <w:style w:type="character" w:styleId="FootnoteReference">
    <w:name w:val="footnote reference"/>
    <w:basedOn w:val="DefaultParagraphFont"/>
    <w:uiPriority w:val="99"/>
    <w:semiHidden/>
    <w:unhideWhenUsed/>
    <w:rsid w:val="004C1CF3"/>
    <w:rPr>
      <w:vertAlign w:val="superscript"/>
    </w:rPr>
  </w:style>
  <w:style w:type="paragraph" w:styleId="NoSpacing">
    <w:name w:val="No Spacing"/>
    <w:uiPriority w:val="1"/>
    <w:qFormat/>
    <w:rsid w:val="00806C4F"/>
    <w:pPr>
      <w:spacing w:after="0" w:line="240" w:lineRule="auto"/>
    </w:pPr>
  </w:style>
  <w:style w:type="character" w:styleId="FollowedHyperlink">
    <w:name w:val="FollowedHyperlink"/>
    <w:basedOn w:val="DefaultParagraphFont"/>
    <w:uiPriority w:val="99"/>
    <w:semiHidden/>
    <w:unhideWhenUsed/>
    <w:rsid w:val="00806C4F"/>
    <w:rPr>
      <w:color w:val="800080" w:themeColor="followedHyperlink"/>
      <w:u w:val="single"/>
    </w:rPr>
  </w:style>
  <w:style w:type="character" w:styleId="CommentReference">
    <w:name w:val="annotation reference"/>
    <w:basedOn w:val="DefaultParagraphFont"/>
    <w:uiPriority w:val="99"/>
    <w:semiHidden/>
    <w:unhideWhenUsed/>
    <w:rsid w:val="00431464"/>
    <w:rPr>
      <w:sz w:val="16"/>
      <w:szCs w:val="16"/>
    </w:rPr>
  </w:style>
  <w:style w:type="paragraph" w:styleId="CommentText">
    <w:name w:val="annotation text"/>
    <w:basedOn w:val="Normal"/>
    <w:link w:val="CommentTextChar"/>
    <w:uiPriority w:val="99"/>
    <w:unhideWhenUsed/>
    <w:rsid w:val="00431464"/>
    <w:pPr>
      <w:spacing w:line="240" w:lineRule="auto"/>
    </w:pPr>
    <w:rPr>
      <w:sz w:val="20"/>
      <w:szCs w:val="20"/>
    </w:rPr>
  </w:style>
  <w:style w:type="character" w:customStyle="1" w:styleId="CommentTextChar">
    <w:name w:val="Comment Text Char"/>
    <w:basedOn w:val="DefaultParagraphFont"/>
    <w:link w:val="CommentText"/>
    <w:uiPriority w:val="99"/>
    <w:rsid w:val="00431464"/>
    <w:rPr>
      <w:sz w:val="20"/>
      <w:szCs w:val="20"/>
    </w:rPr>
  </w:style>
  <w:style w:type="paragraph" w:styleId="CommentSubject">
    <w:name w:val="annotation subject"/>
    <w:basedOn w:val="CommentText"/>
    <w:next w:val="CommentText"/>
    <w:link w:val="CommentSubjectChar"/>
    <w:uiPriority w:val="99"/>
    <w:semiHidden/>
    <w:unhideWhenUsed/>
    <w:rsid w:val="00431464"/>
    <w:rPr>
      <w:b/>
      <w:bCs/>
    </w:rPr>
  </w:style>
  <w:style w:type="character" w:customStyle="1" w:styleId="CommentSubjectChar">
    <w:name w:val="Comment Subject Char"/>
    <w:basedOn w:val="CommentTextChar"/>
    <w:link w:val="CommentSubject"/>
    <w:uiPriority w:val="99"/>
    <w:semiHidden/>
    <w:rsid w:val="00431464"/>
    <w:rPr>
      <w:b/>
      <w:bCs/>
      <w:sz w:val="20"/>
      <w:szCs w:val="20"/>
    </w:rPr>
  </w:style>
  <w:style w:type="character" w:styleId="SubtleEmphasis">
    <w:name w:val="Subtle Emphasis"/>
    <w:basedOn w:val="DefaultParagraphFont"/>
    <w:uiPriority w:val="19"/>
    <w:qFormat/>
    <w:rsid w:val="00C72F5F"/>
    <w:rPr>
      <w:i/>
      <w:iCs/>
      <w:color w:val="404040" w:themeColor="text1" w:themeTint="BF"/>
    </w:rPr>
  </w:style>
  <w:style w:type="character" w:customStyle="1" w:styleId="Heading1Char">
    <w:name w:val="Heading 1 Char"/>
    <w:basedOn w:val="DefaultParagraphFont"/>
    <w:link w:val="Heading1"/>
    <w:uiPriority w:val="9"/>
    <w:rsid w:val="000C66BA"/>
    <w:rPr>
      <w:rFonts w:asciiTheme="majorHAnsi" w:eastAsiaTheme="majorEastAsia" w:hAnsiTheme="majorHAnsi" w:cstheme="majorBidi"/>
      <w:color w:val="365F91" w:themeColor="accent1" w:themeShade="BF"/>
      <w:sz w:val="32"/>
      <w:szCs w:val="32"/>
      <w:lang w:eastAsia="en-US"/>
    </w:rPr>
  </w:style>
  <w:style w:type="paragraph" w:customStyle="1" w:styleId="LegalNumbering">
    <w:name w:val="Legal Numbering"/>
    <w:basedOn w:val="Normal"/>
    <w:qFormat/>
    <w:rsid w:val="000C66BA"/>
    <w:pPr>
      <w:numPr>
        <w:numId w:val="1"/>
      </w:numPr>
      <w:tabs>
        <w:tab w:val="left" w:pos="340"/>
        <w:tab w:val="left" w:pos="680"/>
        <w:tab w:val="left" w:pos="1021"/>
        <w:tab w:val="left" w:pos="1361"/>
      </w:tabs>
      <w:spacing w:before="200" w:after="0" w:line="240" w:lineRule="auto"/>
    </w:pPr>
    <w:rPr>
      <w:rFonts w:ascii="Arial" w:eastAsiaTheme="minorHAnsi" w:hAnsi="Arial"/>
      <w:lang w:eastAsia="en-US"/>
    </w:rPr>
  </w:style>
  <w:style w:type="character" w:styleId="IntenseEmphasis">
    <w:name w:val="Intense Emphasis"/>
    <w:basedOn w:val="DefaultParagraphFont"/>
    <w:uiPriority w:val="21"/>
    <w:qFormat/>
    <w:rsid w:val="000C66BA"/>
    <w:rPr>
      <w:i/>
      <w:iCs/>
      <w:color w:val="4F81BD" w:themeColor="accent1"/>
    </w:rPr>
  </w:style>
  <w:style w:type="paragraph" w:styleId="Revision">
    <w:name w:val="Revision"/>
    <w:hidden/>
    <w:uiPriority w:val="99"/>
    <w:semiHidden/>
    <w:rsid w:val="00911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accc.gov.au/regulated-infrastructure/2021-broadband-speed-claims-guidance-consult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tpg.com.au/5g-home-broadband" TargetMode="External"/><Relationship Id="rId2" Type="http://schemas.openxmlformats.org/officeDocument/2006/relationships/hyperlink" Target="https://www.tio.com.au/sites/default/files/2022-02/TIO%202022%20Q2%20Report_03.pdf" TargetMode="External"/><Relationship Id="rId1" Type="http://schemas.openxmlformats.org/officeDocument/2006/relationships/hyperlink" Target="https://www.tio.com.au/sites/default/files/2021-09/TIO_AR_Accessible_LR.pdf" TargetMode="External"/><Relationship Id="rId6" Type="http://schemas.openxmlformats.org/officeDocument/2006/relationships/hyperlink" Target="https://www.telstra.com.au/internet/5g-broadband-plans" TargetMode="External"/><Relationship Id="rId5" Type="http://schemas.openxmlformats.org/officeDocument/2006/relationships/hyperlink" Target="https://www.optus.com.au/broadband-nbn/5g-home-broadband" TargetMode="External"/><Relationship Id="rId4" Type="http://schemas.openxmlformats.org/officeDocument/2006/relationships/hyperlink" Target="https://www.iinet.net.au/internet-product/broadband/5g-home-broad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Una Lawrence</DisplayName>
        <AccountId>28</AccountId>
        <AccountType/>
      </UserInfo>
      <UserInfo>
        <DisplayName>Meredith Lea</DisplayName>
        <AccountId>27</AccountId>
        <AccountType/>
      </UserInfo>
      <UserInfo>
        <DisplayName>Andrew Williams</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customXml/itemProps3.xml><?xml version="1.0" encoding="utf-8"?>
<ds:datastoreItem xmlns:ds="http://schemas.openxmlformats.org/officeDocument/2006/customXml" ds:itemID="{E82307A1-F5D4-4283-9365-D84505CA0244}">
  <ds:schemaRefs>
    <ds:schemaRef ds:uri="http://schemas.microsoft.com/office/infopath/2007/PartnerControls"/>
    <ds:schemaRef ds:uri="2d8fb88f-3a1f-4799-a700-b6f357ce140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afa1a33-c191-48ee-b288-192490d33fec"/>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56A17D71-806E-4097-9937-8C64B2D31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204</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Links>
    <vt:vector size="42" baseType="variant">
      <vt:variant>
        <vt:i4>5177367</vt:i4>
      </vt:variant>
      <vt:variant>
        <vt:i4>0</vt:i4>
      </vt:variant>
      <vt:variant>
        <vt:i4>0</vt:i4>
      </vt:variant>
      <vt:variant>
        <vt:i4>5</vt:i4>
      </vt:variant>
      <vt:variant>
        <vt:lpwstr>https://consultation.accc.gov.au/regulated-infrastructure/2021-broadband-speed-claims-guidance-consultation/</vt:lpwstr>
      </vt:variant>
      <vt:variant>
        <vt:lpwstr/>
      </vt:variant>
      <vt:variant>
        <vt:i4>7995444</vt:i4>
      </vt:variant>
      <vt:variant>
        <vt:i4>21</vt:i4>
      </vt:variant>
      <vt:variant>
        <vt:i4>0</vt:i4>
      </vt:variant>
      <vt:variant>
        <vt:i4>5</vt:i4>
      </vt:variant>
      <vt:variant>
        <vt:lpwstr>https://www.telstra.com.au/internet/5g-broadband-plans</vt:lpwstr>
      </vt:variant>
      <vt:variant>
        <vt:lpwstr/>
      </vt:variant>
      <vt:variant>
        <vt:i4>4522055</vt:i4>
      </vt:variant>
      <vt:variant>
        <vt:i4>18</vt:i4>
      </vt:variant>
      <vt:variant>
        <vt:i4>0</vt:i4>
      </vt:variant>
      <vt:variant>
        <vt:i4>5</vt:i4>
      </vt:variant>
      <vt:variant>
        <vt:lpwstr>https://www.optus.com.au/broadband-nbn/5g-home-broadband</vt:lpwstr>
      </vt:variant>
      <vt:variant>
        <vt:lpwstr/>
      </vt:variant>
      <vt:variant>
        <vt:i4>4784158</vt:i4>
      </vt:variant>
      <vt:variant>
        <vt:i4>15</vt:i4>
      </vt:variant>
      <vt:variant>
        <vt:i4>0</vt:i4>
      </vt:variant>
      <vt:variant>
        <vt:i4>5</vt:i4>
      </vt:variant>
      <vt:variant>
        <vt:lpwstr>https://www.iinet.net.au/internet-product/broadband/5g-home-broadband</vt:lpwstr>
      </vt:variant>
      <vt:variant>
        <vt:lpwstr/>
      </vt:variant>
      <vt:variant>
        <vt:i4>6029379</vt:i4>
      </vt:variant>
      <vt:variant>
        <vt:i4>12</vt:i4>
      </vt:variant>
      <vt:variant>
        <vt:i4>0</vt:i4>
      </vt:variant>
      <vt:variant>
        <vt:i4>5</vt:i4>
      </vt:variant>
      <vt:variant>
        <vt:lpwstr>https://www.tpg.com.au/5g-home-broadband</vt:lpwstr>
      </vt:variant>
      <vt:variant>
        <vt:lpwstr/>
      </vt:variant>
      <vt:variant>
        <vt:i4>2687071</vt:i4>
      </vt:variant>
      <vt:variant>
        <vt:i4>9</vt:i4>
      </vt:variant>
      <vt:variant>
        <vt:i4>0</vt:i4>
      </vt:variant>
      <vt:variant>
        <vt:i4>5</vt:i4>
      </vt:variant>
      <vt:variant>
        <vt:lpwstr>https://www.tio.com.au/sites/default/files/2022-02/TIO 2022 Q2 Report_03.pdf</vt:lpwstr>
      </vt:variant>
      <vt:variant>
        <vt:lpwstr/>
      </vt:variant>
      <vt:variant>
        <vt:i4>5242927</vt:i4>
      </vt:variant>
      <vt:variant>
        <vt:i4>6</vt:i4>
      </vt:variant>
      <vt:variant>
        <vt:i4>0</vt:i4>
      </vt:variant>
      <vt:variant>
        <vt:i4>5</vt:i4>
      </vt:variant>
      <vt:variant>
        <vt:lpwstr>https://www.tio.com.au/sites/default/files/2021-09/TIO_AR_Accessible_LR.pdf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56</cp:revision>
  <cp:lastPrinted>2022-02-24T23:14:00Z</cp:lastPrinted>
  <dcterms:created xsi:type="dcterms:W3CDTF">2022-02-10T09:07:00Z</dcterms:created>
  <dcterms:modified xsi:type="dcterms:W3CDTF">2022-02-24T23:23:00Z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