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4648B8" w14:textId="77777777" w:rsidR="00B47285" w:rsidRPr="002C5882" w:rsidRDefault="00B47285" w:rsidP="00CF0438">
      <w:pPr>
        <w:pStyle w:val="Letterhead1"/>
      </w:pPr>
      <w:bookmarkStart w:id="0" w:name="_Hlk95835868"/>
      <w:r w:rsidRPr="00707AAA">
        <w:rPr>
          <w:noProof/>
        </w:rPr>
        <w:drawing>
          <wp:anchor distT="0" distB="0" distL="114300" distR="114300" simplePos="0" relativeHeight="251658241" behindDoc="1" locked="0" layoutInCell="1" allowOverlap="1" wp14:anchorId="142E85D9" wp14:editId="54A019DE">
            <wp:simplePos x="0" y="0"/>
            <wp:positionH relativeFrom="column">
              <wp:posOffset>4862195</wp:posOffset>
            </wp:positionH>
            <wp:positionV relativeFrom="page">
              <wp:posOffset>563880</wp:posOffset>
            </wp:positionV>
            <wp:extent cx="191770" cy="191770"/>
            <wp:effectExtent l="0" t="0" r="0" b="0"/>
            <wp:wrapSquare wrapText="bothSides"/>
            <wp:docPr id="7" name="Picture 7">
              <a:hlinkClick xmlns:a="http://schemas.openxmlformats.org/drawingml/2006/main" r:id="rId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hlinkClick r:id="rId11"/>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7AAA">
        <w:rPr>
          <w:noProof/>
        </w:rPr>
        <w:drawing>
          <wp:anchor distT="0" distB="0" distL="114300" distR="114300" simplePos="0" relativeHeight="251658242" behindDoc="0" locked="0" layoutInCell="1" allowOverlap="1" wp14:anchorId="20955EF2" wp14:editId="1F042E02">
            <wp:simplePos x="0" y="0"/>
            <wp:positionH relativeFrom="column">
              <wp:posOffset>5092065</wp:posOffset>
            </wp:positionH>
            <wp:positionV relativeFrom="page">
              <wp:posOffset>560070</wp:posOffset>
            </wp:positionV>
            <wp:extent cx="191770" cy="191770"/>
            <wp:effectExtent l="0" t="0" r="0" b="0"/>
            <wp:wrapSquare wrapText="bothSides"/>
            <wp:docPr id="8" name="Picture 8">
              <a:hlinkClick xmlns:a="http://schemas.openxmlformats.org/drawingml/2006/main" r:id="rId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13"/>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707AAA">
        <w:rPr>
          <w:noProof/>
        </w:rPr>
        <w:drawing>
          <wp:anchor distT="0" distB="0" distL="114300" distR="114300" simplePos="0" relativeHeight="251658243" behindDoc="0" locked="0" layoutInCell="1" allowOverlap="1" wp14:anchorId="40AC1AF0" wp14:editId="7E65B3E0">
            <wp:simplePos x="0" y="0"/>
            <wp:positionH relativeFrom="column">
              <wp:posOffset>5326380</wp:posOffset>
            </wp:positionH>
            <wp:positionV relativeFrom="page">
              <wp:posOffset>560070</wp:posOffset>
            </wp:positionV>
            <wp:extent cx="191770" cy="191770"/>
            <wp:effectExtent l="0" t="0" r="0" b="0"/>
            <wp:wrapSquare wrapText="bothSides"/>
            <wp:docPr id="9" name="Picture 9">
              <a:hlinkClick xmlns:a="http://schemas.openxmlformats.org/drawingml/2006/main" r:id="rId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hlinkClick r:id="rId15"/>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707AAA">
        <w:rPr>
          <w:noProof/>
        </w:rPr>
        <w:drawing>
          <wp:anchor distT="0" distB="0" distL="114300" distR="114300" simplePos="0" relativeHeight="251658244" behindDoc="0" locked="0" layoutInCell="1" allowOverlap="1" wp14:anchorId="7547EA8D" wp14:editId="1EB29E93">
            <wp:simplePos x="0" y="0"/>
            <wp:positionH relativeFrom="column">
              <wp:posOffset>5546725</wp:posOffset>
            </wp:positionH>
            <wp:positionV relativeFrom="page">
              <wp:posOffset>560070</wp:posOffset>
            </wp:positionV>
            <wp:extent cx="191770" cy="191770"/>
            <wp:effectExtent l="0" t="0" r="0" b="0"/>
            <wp:wrapSquare wrapText="bothSides"/>
            <wp:docPr id="10" name="Picture 10">
              <a:hlinkClick xmlns:a="http://schemas.openxmlformats.org/drawingml/2006/main" r:id="rId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17"/>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707AAA">
        <w:rPr>
          <w:noProof/>
        </w:rPr>
        <w:drawing>
          <wp:anchor distT="0" distB="0" distL="114300" distR="114300" simplePos="0" relativeHeight="251658245" behindDoc="0" locked="0" layoutInCell="1" allowOverlap="1" wp14:anchorId="48FB5148" wp14:editId="457A2D2B">
            <wp:simplePos x="0" y="0"/>
            <wp:positionH relativeFrom="column">
              <wp:posOffset>4445</wp:posOffset>
            </wp:positionH>
            <wp:positionV relativeFrom="page">
              <wp:posOffset>421005</wp:posOffset>
            </wp:positionV>
            <wp:extent cx="2035810" cy="880110"/>
            <wp:effectExtent l="0" t="0" r="2540" b="0"/>
            <wp:wrapSquare wrapText="bothSides"/>
            <wp:docPr id="16" name="Picture 16">
              <a:hlinkClick xmlns:a="http://schemas.openxmlformats.org/drawingml/2006/main" r:id="rId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hlinkClick r:id="rId19"/>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5810" cy="880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A95" w:rsidRPr="00CF0438">
        <w:t>www.</w:t>
      </w:r>
      <w:r w:rsidRPr="002C5882">
        <w:t>accan</w:t>
      </w:r>
      <w:r w:rsidRPr="00CF0438">
        <w:t>.org.</w:t>
      </w:r>
      <w:r w:rsidRPr="002C5882">
        <w:t>au</w:t>
      </w:r>
    </w:p>
    <w:p w14:paraId="1F60943C" w14:textId="77777777" w:rsidR="00B47285" w:rsidRPr="002C5882" w:rsidRDefault="00F47D10" w:rsidP="00CF0438">
      <w:pPr>
        <w:pStyle w:val="Letterhead1"/>
      </w:pPr>
      <w:r>
        <w:t>i</w:t>
      </w:r>
      <w:r w:rsidR="00B47285" w:rsidRPr="002C5882">
        <w:t>nfo@accan.org.au</w:t>
      </w:r>
    </w:p>
    <w:p w14:paraId="57239005" w14:textId="77777777" w:rsidR="00B47285" w:rsidRPr="002C5882" w:rsidRDefault="00B47285" w:rsidP="00CF0438">
      <w:pPr>
        <w:pStyle w:val="Letterhead1"/>
      </w:pPr>
      <w:r w:rsidRPr="002C5882">
        <w:t>02 9288 4000</w:t>
      </w:r>
    </w:p>
    <w:p w14:paraId="0A5901F0" w14:textId="77777777" w:rsidR="00B47285" w:rsidRPr="00A50619" w:rsidRDefault="00B47285" w:rsidP="00B47285">
      <w:pPr>
        <w:tabs>
          <w:tab w:val="left" w:pos="3855"/>
        </w:tabs>
        <w:rPr>
          <w:rFonts w:ascii="Gotham" w:hAnsi="Gotham"/>
          <w:b/>
        </w:rPr>
      </w:pPr>
      <w:r w:rsidRPr="00707AAA">
        <w:rPr>
          <w:noProof/>
        </w:rPr>
        <mc:AlternateContent>
          <mc:Choice Requires="wps">
            <w:drawing>
              <wp:anchor distT="0" distB="0" distL="114300" distR="114300" simplePos="0" relativeHeight="251658240" behindDoc="1" locked="0" layoutInCell="1" allowOverlap="1" wp14:anchorId="3AD606EC" wp14:editId="30E82354">
                <wp:simplePos x="0" y="0"/>
                <wp:positionH relativeFrom="column">
                  <wp:posOffset>-627380</wp:posOffset>
                </wp:positionH>
                <wp:positionV relativeFrom="page">
                  <wp:posOffset>1675572</wp:posOffset>
                </wp:positionV>
                <wp:extent cx="6892290" cy="45085"/>
                <wp:effectExtent l="0" t="0" r="3810" b="0"/>
                <wp:wrapNone/>
                <wp:docPr id="4379" name="Rectangle 43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92290" cy="4508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v:rect id="Rectangle 4379" style="position:absolute;margin-left:-49.4pt;margin-top:131.95pt;width:542.7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alt="&quot;&quot;" o:spid="_x0000_s1026" fillcolor="#43c7f4" stroked="f" strokeweight="2pt" w14:anchorId="540402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EPfwIAAF4FAAAOAAAAZHJzL2Uyb0RvYy54bWysVNtu2zAMfR+wfxD0vtrJkl6COkWQIsOA&#10;oi3WDn1WZCk2IIsapdz29aPkS7qu2MOwPCiSeHhIHpO6vjk0hu0U+hpswUdnOWfKSihruyn49+fV&#10;p0vOfBC2FAasKvhReX4z//jheu9magwVmFIhIxLrZ3tX8CoEN8syLyvVCH8GTlkyasBGBDriJitR&#10;7Im9Mdk4z8+zPWDpEKTynm5vWyOfJ36tlQwPWnsVmCk45RbSimldxzWbX4vZBoWratmlIf4hi0bU&#10;loIOVLciCLbF+g+qppYIHnQ4k9BkoHUtVaqBqhnlb6p5qoRTqRYSx7tBJv//aOX97sk9Ismwd37m&#10;aRurOGhs4j/lxw5JrOMgljoEJuny/PJqPL4iTSXZJtP8chrFzE7ODn34oqBhcVNwpG+RJBK7Ox9a&#10;aA+JsTyYulzVxqQDbtZLg2wn6LtNPi8vVpOO/TeYsRFsIbq1jPEmO5WSduFoVMQZ+01pVpeU/Dhl&#10;krpMDXGElMqGUWuqRKna8NOcfn302JfRI1WaCCOzpvgDd0fQI1uSnrvNssNHV5WadHDO/5ZY6zx4&#10;pMhgw+Dc1BbwPQJDVXWRW3wvUitNVGkN5fERGUI7It7JVU3f7U748CiQZoK+NM15eKBFG9gXHLod&#10;ZxXgz/fuI55alayc7WnGCu5/bAUqzsxXS018NZpM4lCmw2R6MaYDvrasX1vstlkCtcOIXhQn0zbi&#10;g+m3GqF5oedgEaOSSVhJsQsuA/aHZWhnnx4UqRaLBKNBdCLc2ScnI3lUNfbl8+FFoOuaN1DX30M/&#10;j2L2podbbPS0sNgG0HVq8JOund40xKlxugcnvhKvzwl1ehbnvwAAAP//AwBQSwMEFAAGAAgAAAAh&#10;ANuaZ93hAAAACwEAAA8AAABkcnMvZG93bnJldi54bWxMj8FqwzAQRO+F/oPYQi8lkZOCaruWQyiE&#10;UgKBpLn0trYU2URaGUtJ3L+vemqPOzvMvKlWk7PsqsfQe5KwmGfANLVe9WQkHD83sxxYiEgKrSct&#10;4VsHWNX3dxWWyt9or6+HaFgKoVCihC7GoeQ8tJ12GOZ+0JR+Jz86jOkcDVcj3lK4s3yZZYI77Ck1&#10;dDjot06358PFSfjYrHciYGG21prjF77vqNk+Sfn4MK1fgUU9xT8z/OIndKgTU+MvpAKzEmZFntCj&#10;hKV4LoAlR5ELAaxJyssiA15X/P+G+gcAAP//AwBQSwECLQAUAAYACAAAACEAtoM4kv4AAADhAQAA&#10;EwAAAAAAAAAAAAAAAAAAAAAAW0NvbnRlbnRfVHlwZXNdLnhtbFBLAQItABQABgAIAAAAIQA4/SH/&#10;1gAAAJQBAAALAAAAAAAAAAAAAAAAAC8BAABfcmVscy8ucmVsc1BLAQItABQABgAIAAAAIQD53YEP&#10;fwIAAF4FAAAOAAAAAAAAAAAAAAAAAC4CAABkcnMvZTJvRG9jLnhtbFBLAQItABQABgAIAAAAIQDb&#10;mmfd4QAAAAsBAAAPAAAAAAAAAAAAAAAAANkEAABkcnMvZG93bnJldi54bWxQSwUGAAAAAAQABADz&#10;AAAA5wUAAAAA&#10;">
                <w10:wrap anchory="page"/>
              </v:rect>
            </w:pict>
          </mc:Fallback>
        </mc:AlternateContent>
      </w:r>
    </w:p>
    <w:p w14:paraId="13ABF9CE" w14:textId="77777777" w:rsidR="00B47285" w:rsidRDefault="00B47285" w:rsidP="00B47285">
      <w:pPr>
        <w:tabs>
          <w:tab w:val="right" w:pos="8931"/>
        </w:tabs>
        <w:rPr>
          <w:rFonts w:ascii="Gotham Black" w:hAnsi="Gotham Black"/>
          <w:color w:val="43C7F4"/>
          <w:sz w:val="36"/>
          <w:szCs w:val="36"/>
        </w:rPr>
      </w:pPr>
    </w:p>
    <w:p w14:paraId="479B0E5B" w14:textId="20C66AD8" w:rsidR="00576D4A" w:rsidRDefault="00664339" w:rsidP="00CB1C53">
      <w:pPr>
        <w:tabs>
          <w:tab w:val="right" w:pos="9026"/>
        </w:tabs>
        <w:rPr>
          <w:rStyle w:val="DocDateChar"/>
        </w:rPr>
      </w:pPr>
      <w:r>
        <w:rPr>
          <w:rStyle w:val="DocLabelChar"/>
        </w:rPr>
        <w:t>Submission</w:t>
      </w:r>
      <w:r w:rsidR="00F45BDC" w:rsidRPr="006F47E7">
        <w:rPr>
          <w:rFonts w:ascii="Gotham Black" w:hAnsi="Gotham Black"/>
          <w:color w:val="44C7F4"/>
          <w:sz w:val="36"/>
          <w:szCs w:val="36"/>
        </w:rPr>
        <w:tab/>
      </w:r>
      <w:bookmarkEnd w:id="0"/>
      <w:r w:rsidR="006774F5">
        <w:rPr>
          <w:rStyle w:val="DocDateChar"/>
        </w:rPr>
        <w:t>7</w:t>
      </w:r>
      <w:r w:rsidR="00531F91" w:rsidRPr="00531F91">
        <w:rPr>
          <w:rStyle w:val="DocDateChar"/>
          <w:vertAlign w:val="superscript"/>
        </w:rPr>
        <w:t>th</w:t>
      </w:r>
      <w:r w:rsidR="00531F91">
        <w:rPr>
          <w:rStyle w:val="DocDateChar"/>
        </w:rPr>
        <w:t xml:space="preserve"> December 2022</w:t>
      </w:r>
    </w:p>
    <w:p w14:paraId="088D236F" w14:textId="77777777" w:rsidR="000D10AD" w:rsidRDefault="00856F4D" w:rsidP="00856F4D">
      <w:pPr>
        <w:pStyle w:val="NoSpacing"/>
      </w:pPr>
      <w:r>
        <w:t xml:space="preserve">Department of Infrastructure, Transport, </w:t>
      </w:r>
    </w:p>
    <w:p w14:paraId="784D7B6C" w14:textId="73FB3E2C" w:rsidR="008F2ED5" w:rsidRDefault="00856F4D" w:rsidP="00856F4D">
      <w:pPr>
        <w:pStyle w:val="NoSpacing"/>
      </w:pPr>
      <w:r>
        <w:t xml:space="preserve">Regional Development, </w:t>
      </w:r>
      <w:bookmarkStart w:id="1" w:name="_Int_TTsgJZHH"/>
      <w:proofErr w:type="gramStart"/>
      <w:r>
        <w:t>Communications</w:t>
      </w:r>
      <w:bookmarkEnd w:id="1"/>
      <w:proofErr w:type="gramEnd"/>
      <w:r>
        <w:t xml:space="preserve"> and the Arts</w:t>
      </w:r>
    </w:p>
    <w:p w14:paraId="724E2036" w14:textId="5C4012C3" w:rsidR="00856F4D" w:rsidRDefault="00856F4D" w:rsidP="00856F4D">
      <w:pPr>
        <w:pStyle w:val="NoSpacing"/>
      </w:pPr>
      <w:r>
        <w:t>GPO Box 594</w:t>
      </w:r>
    </w:p>
    <w:p w14:paraId="4F84E93A" w14:textId="5A43727B" w:rsidR="00AE6DEC" w:rsidRDefault="00856F4D" w:rsidP="00B75B25">
      <w:r>
        <w:t>Canberra ACT 2601</w:t>
      </w:r>
    </w:p>
    <w:p w14:paraId="0CC500D8" w14:textId="5C17A19C" w:rsidR="00856F4D" w:rsidRPr="00B75B25" w:rsidRDefault="00856F4D" w:rsidP="00C74C7C">
      <w:pPr>
        <w:rPr>
          <w:b/>
          <w:bCs/>
        </w:rPr>
      </w:pPr>
      <w:r w:rsidRPr="00707AAA">
        <w:rPr>
          <w:b/>
          <w:bCs/>
        </w:rPr>
        <w:t>R</w:t>
      </w:r>
      <w:r w:rsidR="00E76861">
        <w:rPr>
          <w:b/>
          <w:bCs/>
        </w:rPr>
        <w:t>e</w:t>
      </w:r>
      <w:r w:rsidRPr="00B75B25">
        <w:rPr>
          <w:b/>
          <w:bCs/>
        </w:rPr>
        <w:t xml:space="preserve">: </w:t>
      </w:r>
      <w:r w:rsidR="00B75B25" w:rsidRPr="00B75B25">
        <w:rPr>
          <w:b/>
          <w:bCs/>
        </w:rPr>
        <w:t>Review of rules about reasonable requests for Universal Standard Obligation Standard telephone services</w:t>
      </w:r>
    </w:p>
    <w:p w14:paraId="5077F2B8" w14:textId="1FBD5370" w:rsidR="00610696" w:rsidRDefault="005E0362" w:rsidP="00C74C7C">
      <w:r>
        <w:t>T</w:t>
      </w:r>
      <w:r w:rsidR="00755477">
        <w:t>he Australian Communications Consumer Action Network (ACCAN)</w:t>
      </w:r>
      <w:r w:rsidR="00B75B25">
        <w:t xml:space="preserve"> thanks the Department of Infrastructure, Transport, Regional Development, </w:t>
      </w:r>
      <w:bookmarkStart w:id="2" w:name="_Int_0fP0gagB"/>
      <w:proofErr w:type="gramStart"/>
      <w:r w:rsidR="00B75B25">
        <w:t>Communications</w:t>
      </w:r>
      <w:bookmarkEnd w:id="2"/>
      <w:proofErr w:type="gramEnd"/>
      <w:r w:rsidR="00B75B25">
        <w:t xml:space="preserve"> and the Arts for the opportunity to provide feedback on the dra</w:t>
      </w:r>
      <w:r w:rsidR="003E6B68">
        <w:t xml:space="preserve">ft </w:t>
      </w:r>
      <w:r w:rsidR="003E6B68" w:rsidRPr="51AFF19B">
        <w:rPr>
          <w:i/>
          <w:iCs/>
        </w:rPr>
        <w:t xml:space="preserve">Telecommunications Universal Obligation </w:t>
      </w:r>
      <w:r w:rsidR="003C3D6F" w:rsidRPr="51AFF19B">
        <w:rPr>
          <w:i/>
          <w:iCs/>
        </w:rPr>
        <w:t>(Standard Telephone Service – Requirements and Circumstances) Determination 2022</w:t>
      </w:r>
      <w:r w:rsidR="003C3D6F">
        <w:t xml:space="preserve"> (</w:t>
      </w:r>
      <w:r w:rsidR="00425307">
        <w:t>t</w:t>
      </w:r>
      <w:r w:rsidR="003C3D6F">
        <w:t xml:space="preserve">he Draft Determination). </w:t>
      </w:r>
    </w:p>
    <w:p w14:paraId="38F42DD0" w14:textId="40351BCA" w:rsidR="00AE6DEC" w:rsidRPr="00B12CF4" w:rsidRDefault="00C82AE8" w:rsidP="00C74C7C">
      <w:pPr>
        <w:rPr>
          <w:rStyle w:val="normaltextrun"/>
        </w:rPr>
      </w:pPr>
      <w:r>
        <w:rPr>
          <w:rStyle w:val="normaltextrun"/>
          <w:rFonts w:cs="Calibri"/>
        </w:rPr>
        <w:t>ACCAN is the peak body that represents consumers on communications issues including telecommunications, broadband, and emerging new services. ACCAN provides a strong unified voice to industry and government as we work towards communications services that are trusted, inclusive and available for all.</w:t>
      </w:r>
    </w:p>
    <w:p w14:paraId="21382CB6" w14:textId="1FF4E669" w:rsidR="00A87239" w:rsidRDefault="0023219B" w:rsidP="00C74C7C">
      <w:pPr>
        <w:rPr>
          <w:rStyle w:val="normaltextrun"/>
          <w:rFonts w:cs="Calibri"/>
        </w:rPr>
      </w:pPr>
      <w:r>
        <w:rPr>
          <w:rStyle w:val="normaltextrun"/>
          <w:rFonts w:cs="Calibri"/>
        </w:rPr>
        <w:t>The Universal Service Obligation</w:t>
      </w:r>
      <w:r w:rsidR="001B441B">
        <w:rPr>
          <w:rStyle w:val="normaltextrun"/>
          <w:rFonts w:cs="Calibri"/>
        </w:rPr>
        <w:t xml:space="preserve"> (USO)</w:t>
      </w:r>
      <w:r>
        <w:rPr>
          <w:rStyle w:val="normaltextrun"/>
          <w:rFonts w:cs="Calibri"/>
        </w:rPr>
        <w:t xml:space="preserve"> is a long-standing consumer protection that ensures that everyone has access to landline telephones and payphones regardless of where they live or work. </w:t>
      </w:r>
      <w:r w:rsidR="001B441B">
        <w:rPr>
          <w:rStyle w:val="normaltextrun"/>
          <w:rFonts w:cs="Calibri"/>
        </w:rPr>
        <w:t>Telstra</w:t>
      </w:r>
      <w:r w:rsidR="00D15260">
        <w:rPr>
          <w:rStyle w:val="normaltextrun"/>
          <w:rFonts w:cs="Calibri"/>
        </w:rPr>
        <w:t xml:space="preserve">, as the </w:t>
      </w:r>
      <w:r w:rsidR="0015597F">
        <w:rPr>
          <w:rStyle w:val="normaltextrun"/>
          <w:rFonts w:cs="Calibri"/>
        </w:rPr>
        <w:t>P</w:t>
      </w:r>
      <w:r w:rsidR="00D15260">
        <w:rPr>
          <w:rStyle w:val="normaltextrun"/>
          <w:rFonts w:cs="Calibri"/>
        </w:rPr>
        <w:t xml:space="preserve">rimary </w:t>
      </w:r>
      <w:r w:rsidR="0015597F">
        <w:rPr>
          <w:rStyle w:val="normaltextrun"/>
          <w:rFonts w:cs="Calibri"/>
        </w:rPr>
        <w:t>U</w:t>
      </w:r>
      <w:r w:rsidR="00D15260">
        <w:rPr>
          <w:rStyle w:val="normaltextrun"/>
          <w:rFonts w:cs="Calibri"/>
        </w:rPr>
        <w:t xml:space="preserve">niversal </w:t>
      </w:r>
      <w:r w:rsidR="0015597F">
        <w:rPr>
          <w:rStyle w:val="normaltextrun"/>
          <w:rFonts w:cs="Calibri"/>
        </w:rPr>
        <w:t>S</w:t>
      </w:r>
      <w:r w:rsidR="00D15260">
        <w:rPr>
          <w:rStyle w:val="normaltextrun"/>
          <w:rFonts w:cs="Calibri"/>
        </w:rPr>
        <w:t xml:space="preserve">ervice </w:t>
      </w:r>
      <w:r w:rsidR="0015597F">
        <w:rPr>
          <w:rStyle w:val="normaltextrun"/>
          <w:rFonts w:cs="Calibri"/>
        </w:rPr>
        <w:t>P</w:t>
      </w:r>
      <w:r w:rsidR="00D15260">
        <w:rPr>
          <w:rStyle w:val="normaltextrun"/>
          <w:rFonts w:cs="Calibri"/>
        </w:rPr>
        <w:t>rovider (PUSP)</w:t>
      </w:r>
      <w:r w:rsidR="001B441B">
        <w:rPr>
          <w:rStyle w:val="normaltextrun"/>
          <w:rFonts w:cs="Calibri"/>
        </w:rPr>
        <w:t xml:space="preserve"> is responsible for delivering the US</w:t>
      </w:r>
      <w:r w:rsidR="008E280D">
        <w:rPr>
          <w:rStyle w:val="normaltextrun"/>
          <w:rFonts w:cs="Calibri"/>
        </w:rPr>
        <w:t>O</w:t>
      </w:r>
      <w:r w:rsidR="001B441B">
        <w:rPr>
          <w:rStyle w:val="normaltextrun"/>
          <w:rFonts w:cs="Calibri"/>
        </w:rPr>
        <w:t xml:space="preserve">. </w:t>
      </w:r>
    </w:p>
    <w:p w14:paraId="2832C526" w14:textId="32FD11C8" w:rsidR="00F07269" w:rsidRDefault="00A87239" w:rsidP="00C74C7C">
      <w:pPr>
        <w:rPr>
          <w:rStyle w:val="normaltextrun"/>
          <w:rFonts w:cs="Calibri"/>
        </w:rPr>
      </w:pPr>
      <w:r>
        <w:rPr>
          <w:rStyle w:val="normaltextrun"/>
          <w:rFonts w:cs="Calibri"/>
        </w:rPr>
        <w:t>F</w:t>
      </w:r>
      <w:r w:rsidR="004754FD">
        <w:rPr>
          <w:rStyle w:val="normaltextrun"/>
          <w:rFonts w:cs="Calibri"/>
        </w:rPr>
        <w:t>ixed voice services</w:t>
      </w:r>
      <w:r w:rsidR="0025318C">
        <w:rPr>
          <w:rStyle w:val="normaltextrun"/>
          <w:rFonts w:cs="Calibri"/>
        </w:rPr>
        <w:t xml:space="preserve"> </w:t>
      </w:r>
      <w:r w:rsidR="0025318C" w:rsidRPr="00707AAA">
        <w:rPr>
          <w:rStyle w:val="normaltextrun"/>
          <w:rFonts w:cs="Calibri"/>
        </w:rPr>
        <w:t>remain</w:t>
      </w:r>
      <w:r w:rsidR="0025318C">
        <w:rPr>
          <w:rStyle w:val="normaltextrun"/>
          <w:rFonts w:cs="Calibri"/>
        </w:rPr>
        <w:t xml:space="preserve"> essential to households who live in regional and remote areas, in bushfire prone areas, in areas with no or limited mobile coverage and for older people or people with life threatening medical conditions. </w:t>
      </w:r>
      <w:r w:rsidR="00A73728">
        <w:rPr>
          <w:rStyle w:val="normaltextrun"/>
          <w:rFonts w:cs="Calibri"/>
        </w:rPr>
        <w:t>It</w:t>
      </w:r>
      <w:r w:rsidR="001C2BEE">
        <w:rPr>
          <w:rStyle w:val="normaltextrun"/>
          <w:rFonts w:cs="Calibri"/>
        </w:rPr>
        <w:t xml:space="preserve"> is vital that consumers in these circumstances should </w:t>
      </w:r>
      <w:r w:rsidR="009A702F">
        <w:rPr>
          <w:rStyle w:val="normaltextrun"/>
          <w:rFonts w:cs="Calibri"/>
        </w:rPr>
        <w:t>have access to fixed line voice services</w:t>
      </w:r>
      <w:r w:rsidR="0018686E">
        <w:rPr>
          <w:rStyle w:val="normaltextrun"/>
          <w:rFonts w:cs="Calibri"/>
        </w:rPr>
        <w:t xml:space="preserve"> upon request</w:t>
      </w:r>
      <w:r w:rsidR="009A702F">
        <w:rPr>
          <w:rStyle w:val="normaltextrun"/>
          <w:rFonts w:cs="Calibri"/>
        </w:rPr>
        <w:t xml:space="preserve">. </w:t>
      </w:r>
    </w:p>
    <w:p w14:paraId="5AB8D5A4" w14:textId="74303E67" w:rsidR="0051619A" w:rsidRDefault="00F35850" w:rsidP="00C74C7C">
      <w:pPr>
        <w:rPr>
          <w:rStyle w:val="normaltextrun"/>
          <w:rFonts w:cs="Calibri"/>
        </w:rPr>
      </w:pPr>
      <w:r>
        <w:rPr>
          <w:rStyle w:val="normaltextrun"/>
          <w:rFonts w:cs="Calibri"/>
        </w:rPr>
        <w:t>T</w:t>
      </w:r>
      <w:r w:rsidR="008C50A9">
        <w:rPr>
          <w:rStyle w:val="normaltextrun"/>
          <w:rFonts w:cs="Calibri"/>
        </w:rPr>
        <w:t xml:space="preserve">he </w:t>
      </w:r>
      <w:r w:rsidR="00D15260">
        <w:rPr>
          <w:rStyle w:val="normaltextrun"/>
          <w:rFonts w:cs="Calibri"/>
        </w:rPr>
        <w:t>PUSP</w:t>
      </w:r>
      <w:r w:rsidR="003B4E36">
        <w:rPr>
          <w:rStyle w:val="normaltextrun"/>
          <w:rFonts w:cs="Calibri"/>
        </w:rPr>
        <w:t xml:space="preserve"> </w:t>
      </w:r>
      <w:r>
        <w:rPr>
          <w:rStyle w:val="normaltextrun"/>
          <w:rFonts w:cs="Calibri"/>
        </w:rPr>
        <w:t xml:space="preserve">should only </w:t>
      </w:r>
      <w:r w:rsidR="003B4E36">
        <w:rPr>
          <w:rStyle w:val="normaltextrun"/>
          <w:rFonts w:cs="Calibri"/>
        </w:rPr>
        <w:t xml:space="preserve">refuse to provide a USO </w:t>
      </w:r>
      <w:r w:rsidR="00B544FD">
        <w:rPr>
          <w:rStyle w:val="normaltextrun"/>
          <w:rFonts w:cs="Calibri"/>
        </w:rPr>
        <w:t>standard telephone service (STS)</w:t>
      </w:r>
      <w:r w:rsidR="003B4E36">
        <w:rPr>
          <w:rStyle w:val="normaltextrun"/>
          <w:rFonts w:cs="Calibri"/>
        </w:rPr>
        <w:t xml:space="preserve"> </w:t>
      </w:r>
      <w:r>
        <w:rPr>
          <w:rStyle w:val="normaltextrun"/>
          <w:rFonts w:cs="Calibri"/>
        </w:rPr>
        <w:t>in</w:t>
      </w:r>
      <w:r w:rsidR="00B07482">
        <w:rPr>
          <w:rStyle w:val="normaltextrun"/>
          <w:rFonts w:cs="Calibri"/>
        </w:rPr>
        <w:t xml:space="preserve"> </w:t>
      </w:r>
      <w:r w:rsidR="00433770">
        <w:rPr>
          <w:rStyle w:val="normaltextrun"/>
          <w:rFonts w:cs="Calibri"/>
        </w:rPr>
        <w:t xml:space="preserve">exceptional </w:t>
      </w:r>
      <w:r w:rsidR="00DA349B">
        <w:rPr>
          <w:rStyle w:val="normaltextrun"/>
          <w:rFonts w:cs="Calibri"/>
        </w:rPr>
        <w:t>circumstances</w:t>
      </w:r>
      <w:r w:rsidR="00F34FE5">
        <w:rPr>
          <w:rStyle w:val="normaltextrun"/>
          <w:rFonts w:cs="Calibri"/>
        </w:rPr>
        <w:t>.</w:t>
      </w:r>
      <w:r w:rsidR="00F07269">
        <w:rPr>
          <w:rStyle w:val="normaltextrun"/>
          <w:rFonts w:cs="Calibri"/>
        </w:rPr>
        <w:t xml:space="preserve"> </w:t>
      </w:r>
      <w:r w:rsidR="00F34FE5">
        <w:rPr>
          <w:rStyle w:val="normaltextrun"/>
          <w:rFonts w:cs="Calibri"/>
        </w:rPr>
        <w:t>A</w:t>
      </w:r>
      <w:r w:rsidR="0051619A">
        <w:rPr>
          <w:rStyle w:val="normaltextrun"/>
          <w:rFonts w:cs="Calibri"/>
        </w:rPr>
        <w:t>s such</w:t>
      </w:r>
      <w:r w:rsidR="005F04DC">
        <w:rPr>
          <w:rStyle w:val="normaltextrun"/>
          <w:rFonts w:cs="Calibri"/>
        </w:rPr>
        <w:t>,</w:t>
      </w:r>
      <w:r w:rsidR="00CF027B">
        <w:rPr>
          <w:rStyle w:val="normaltextrun"/>
          <w:rFonts w:cs="Calibri"/>
        </w:rPr>
        <w:t xml:space="preserve"> </w:t>
      </w:r>
      <w:r w:rsidR="0051619A">
        <w:rPr>
          <w:rStyle w:val="normaltextrun"/>
          <w:rFonts w:cs="Calibri"/>
        </w:rPr>
        <w:t xml:space="preserve">there is </w:t>
      </w:r>
      <w:r w:rsidR="00BE1012">
        <w:rPr>
          <w:rStyle w:val="normaltextrun"/>
          <w:rFonts w:cs="Calibri"/>
        </w:rPr>
        <w:t>an</w:t>
      </w:r>
      <w:r w:rsidR="0051619A">
        <w:rPr>
          <w:rStyle w:val="normaltextrun"/>
          <w:rFonts w:cs="Calibri"/>
        </w:rPr>
        <w:t xml:space="preserve"> enduring</w:t>
      </w:r>
      <w:r w:rsidR="007F229C">
        <w:rPr>
          <w:rStyle w:val="normaltextrun"/>
          <w:rFonts w:cs="Calibri"/>
        </w:rPr>
        <w:t xml:space="preserve"> need</w:t>
      </w:r>
      <w:r w:rsidR="00F34FE5">
        <w:rPr>
          <w:rStyle w:val="normaltextrun"/>
          <w:rFonts w:cs="Calibri"/>
        </w:rPr>
        <w:t xml:space="preserve"> for the Draft Determination, which set</w:t>
      </w:r>
      <w:r w:rsidR="00B44B70">
        <w:rPr>
          <w:rStyle w:val="normaltextrun"/>
          <w:rFonts w:cs="Calibri"/>
        </w:rPr>
        <w:t>s</w:t>
      </w:r>
      <w:r w:rsidR="00F34FE5">
        <w:rPr>
          <w:rStyle w:val="normaltextrun"/>
          <w:rFonts w:cs="Calibri"/>
        </w:rPr>
        <w:t xml:space="preserve"> out </w:t>
      </w:r>
      <w:r w:rsidR="007C101B">
        <w:rPr>
          <w:rStyle w:val="normaltextrun"/>
          <w:rFonts w:cs="Calibri"/>
        </w:rPr>
        <w:t xml:space="preserve">the </w:t>
      </w:r>
      <w:r w:rsidR="0037560C">
        <w:rPr>
          <w:rStyle w:val="normaltextrun"/>
          <w:rFonts w:cs="Calibri"/>
        </w:rPr>
        <w:t xml:space="preserve">limited circumstances in which it is not considered reasonable </w:t>
      </w:r>
      <w:r w:rsidR="00BE1012">
        <w:rPr>
          <w:rStyle w:val="normaltextrun"/>
          <w:rFonts w:cs="Calibri"/>
        </w:rPr>
        <w:t xml:space="preserve">for a </w:t>
      </w:r>
      <w:r w:rsidR="007C101B">
        <w:rPr>
          <w:rStyle w:val="normaltextrun"/>
          <w:rFonts w:cs="Calibri"/>
        </w:rPr>
        <w:t xml:space="preserve">PUSP </w:t>
      </w:r>
      <w:r w:rsidR="00BE1012">
        <w:rPr>
          <w:rStyle w:val="normaltextrun"/>
          <w:rFonts w:cs="Calibri"/>
        </w:rPr>
        <w:t xml:space="preserve">to provide </w:t>
      </w:r>
      <w:r w:rsidR="000F0A2D">
        <w:rPr>
          <w:rStyle w:val="normaltextrun"/>
          <w:rFonts w:cs="Calibri"/>
        </w:rPr>
        <w:t>a</w:t>
      </w:r>
      <w:r w:rsidR="00494F54">
        <w:rPr>
          <w:rStyle w:val="normaltextrun"/>
          <w:rFonts w:cs="Calibri"/>
        </w:rPr>
        <w:t>n</w:t>
      </w:r>
      <w:r w:rsidR="00BE1012">
        <w:rPr>
          <w:rStyle w:val="normaltextrun"/>
          <w:rFonts w:cs="Calibri"/>
        </w:rPr>
        <w:t xml:space="preserve"> STS under the USO and requirements for a valid request. </w:t>
      </w:r>
    </w:p>
    <w:p w14:paraId="17EB727D" w14:textId="70CE07B1" w:rsidR="003A25AB" w:rsidRPr="00A50619" w:rsidRDefault="004B4807" w:rsidP="00425307">
      <w:pPr>
        <w:rPr>
          <w:lang w:eastAsia="en-US"/>
        </w:rPr>
      </w:pPr>
      <w:r w:rsidRPr="51AFF19B">
        <w:rPr>
          <w:lang w:eastAsia="en-US"/>
        </w:rPr>
        <w:t xml:space="preserve">While the </w:t>
      </w:r>
      <w:r w:rsidR="00EF10EA" w:rsidRPr="51AFF19B">
        <w:rPr>
          <w:lang w:eastAsia="en-US"/>
        </w:rPr>
        <w:t>D</w:t>
      </w:r>
      <w:r w:rsidRPr="51AFF19B">
        <w:rPr>
          <w:lang w:eastAsia="en-US"/>
        </w:rPr>
        <w:t xml:space="preserve">raft </w:t>
      </w:r>
      <w:r w:rsidR="008E3B66" w:rsidRPr="51AFF19B">
        <w:rPr>
          <w:lang w:eastAsia="en-US"/>
        </w:rPr>
        <w:t>Determination</w:t>
      </w:r>
      <w:r w:rsidRPr="51AFF19B">
        <w:rPr>
          <w:lang w:eastAsia="en-US"/>
        </w:rPr>
        <w:t xml:space="preserve"> limits the </w:t>
      </w:r>
      <w:r w:rsidR="00CD5B10" w:rsidRPr="51AFF19B">
        <w:rPr>
          <w:lang w:eastAsia="en-US"/>
        </w:rPr>
        <w:t xml:space="preserve">circumstances </w:t>
      </w:r>
      <w:r w:rsidR="007E5AEC" w:rsidRPr="51AFF19B">
        <w:rPr>
          <w:lang w:eastAsia="en-US"/>
        </w:rPr>
        <w:t xml:space="preserve">where it is </w:t>
      </w:r>
      <w:r w:rsidR="00E5756F" w:rsidRPr="51AFF19B">
        <w:rPr>
          <w:lang w:eastAsia="en-US"/>
        </w:rPr>
        <w:t>un</w:t>
      </w:r>
      <w:r w:rsidR="007E5AEC" w:rsidRPr="51AFF19B">
        <w:rPr>
          <w:lang w:eastAsia="en-US"/>
        </w:rPr>
        <w:t xml:space="preserve">reasonable </w:t>
      </w:r>
      <w:r w:rsidR="005B07FE" w:rsidRPr="51AFF19B">
        <w:rPr>
          <w:lang w:eastAsia="en-US"/>
        </w:rPr>
        <w:t xml:space="preserve">to provide </w:t>
      </w:r>
      <w:proofErr w:type="gramStart"/>
      <w:r w:rsidR="005B07FE" w:rsidRPr="51AFF19B">
        <w:rPr>
          <w:lang w:eastAsia="en-US"/>
        </w:rPr>
        <w:t>a</w:t>
      </w:r>
      <w:proofErr w:type="gramEnd"/>
      <w:r w:rsidR="002B74AB" w:rsidRPr="51AFF19B">
        <w:rPr>
          <w:lang w:eastAsia="en-US"/>
        </w:rPr>
        <w:t xml:space="preserve"> STS</w:t>
      </w:r>
      <w:r w:rsidR="00EF10EA" w:rsidRPr="51AFF19B">
        <w:rPr>
          <w:lang w:eastAsia="en-US"/>
        </w:rPr>
        <w:t xml:space="preserve">, we consider that there is benefit in following </w:t>
      </w:r>
      <w:r w:rsidR="00C12294" w:rsidRPr="51AFF19B">
        <w:rPr>
          <w:lang w:eastAsia="en-US"/>
        </w:rPr>
        <w:t xml:space="preserve">the </w:t>
      </w:r>
      <w:r w:rsidR="00EF10EA" w:rsidRPr="51AFF19B">
        <w:rPr>
          <w:lang w:eastAsia="en-US"/>
        </w:rPr>
        <w:t xml:space="preserve">approach taken in </w:t>
      </w:r>
      <w:r w:rsidR="00B75180" w:rsidRPr="51AFF19B">
        <w:rPr>
          <w:i/>
          <w:iCs/>
          <w:lang w:eastAsia="en-US"/>
        </w:rPr>
        <w:t>Telecommunications (Statutory Infrastructure Providers – Circumstances for Exceptions to Connection and Supply Obligations) Determination 2021</w:t>
      </w:r>
      <w:r w:rsidR="00624446" w:rsidRPr="51AFF19B">
        <w:rPr>
          <w:i/>
          <w:iCs/>
          <w:lang w:eastAsia="en-US"/>
        </w:rPr>
        <w:t xml:space="preserve"> </w:t>
      </w:r>
      <w:r w:rsidR="00624446" w:rsidRPr="51AFF19B">
        <w:rPr>
          <w:lang w:eastAsia="en-US"/>
        </w:rPr>
        <w:t xml:space="preserve">(the </w:t>
      </w:r>
      <w:bookmarkStart w:id="3" w:name="_Int_DJTaQOFv"/>
      <w:r w:rsidR="00624446" w:rsidRPr="51AFF19B">
        <w:rPr>
          <w:lang w:eastAsia="en-US"/>
        </w:rPr>
        <w:t>SIP</w:t>
      </w:r>
      <w:bookmarkEnd w:id="3"/>
      <w:r w:rsidR="00624446" w:rsidRPr="51AFF19B">
        <w:rPr>
          <w:lang w:eastAsia="en-US"/>
        </w:rPr>
        <w:t xml:space="preserve"> Instrument)</w:t>
      </w:r>
      <w:r w:rsidR="00B75180" w:rsidRPr="51AFF19B">
        <w:rPr>
          <w:lang w:eastAsia="en-US"/>
        </w:rPr>
        <w:t xml:space="preserve">. </w:t>
      </w:r>
      <w:bookmarkStart w:id="4" w:name="_Int_sUxIVLq1"/>
      <w:proofErr w:type="gramStart"/>
      <w:r w:rsidR="0025138D" w:rsidRPr="51AFF19B">
        <w:rPr>
          <w:lang w:eastAsia="en-US"/>
        </w:rPr>
        <w:t>In particular, we</w:t>
      </w:r>
      <w:bookmarkEnd w:id="4"/>
      <w:proofErr w:type="gramEnd"/>
      <w:r w:rsidR="0025138D" w:rsidRPr="51AFF19B">
        <w:rPr>
          <w:lang w:eastAsia="en-US"/>
        </w:rPr>
        <w:t xml:space="preserve"> consider that rather than </w:t>
      </w:r>
      <w:r w:rsidR="00C460B9" w:rsidRPr="51AFF19B">
        <w:rPr>
          <w:lang w:eastAsia="en-US"/>
        </w:rPr>
        <w:t>defining eligible and non-eligible premises</w:t>
      </w:r>
      <w:r w:rsidR="00FA1E06" w:rsidRPr="51AFF19B">
        <w:rPr>
          <w:lang w:eastAsia="en-US"/>
        </w:rPr>
        <w:t>, the Determination should use a broad</w:t>
      </w:r>
      <w:r w:rsidR="002B38D8" w:rsidRPr="51AFF19B">
        <w:rPr>
          <w:lang w:eastAsia="en-US"/>
        </w:rPr>
        <w:t xml:space="preserve">er </w:t>
      </w:r>
      <w:r w:rsidR="00FA1E06" w:rsidRPr="51AFF19B">
        <w:rPr>
          <w:lang w:eastAsia="en-US"/>
        </w:rPr>
        <w:t xml:space="preserve">concept of </w:t>
      </w:r>
      <w:r w:rsidR="00494F54" w:rsidRPr="51AFF19B">
        <w:rPr>
          <w:lang w:eastAsia="en-US"/>
        </w:rPr>
        <w:t>premises</w:t>
      </w:r>
      <w:r w:rsidR="009A5E18" w:rsidRPr="51AFF19B">
        <w:rPr>
          <w:lang w:eastAsia="en-US"/>
        </w:rPr>
        <w:t xml:space="preserve"> such as that used in the SIP Instrument</w:t>
      </w:r>
      <w:r w:rsidR="00494F54" w:rsidRPr="51AFF19B">
        <w:rPr>
          <w:lang w:eastAsia="en-US"/>
        </w:rPr>
        <w:t xml:space="preserve">. </w:t>
      </w:r>
    </w:p>
    <w:p w14:paraId="3D1E2FA0" w14:textId="222BF7BB" w:rsidR="007E1F2C" w:rsidRPr="003B52FF" w:rsidRDefault="00555647" w:rsidP="00425307">
      <w:pPr>
        <w:rPr>
          <w:lang w:eastAsia="en-US"/>
        </w:rPr>
      </w:pPr>
      <w:r>
        <w:rPr>
          <w:lang w:eastAsia="en-US"/>
        </w:rPr>
        <w:t>The</w:t>
      </w:r>
      <w:r w:rsidR="0006421A" w:rsidRPr="00A50619">
        <w:rPr>
          <w:lang w:eastAsia="en-US"/>
        </w:rPr>
        <w:t xml:space="preserve"> SIP Instrument</w:t>
      </w:r>
      <w:r>
        <w:rPr>
          <w:lang w:eastAsia="en-US"/>
        </w:rPr>
        <w:t xml:space="preserve"> provides that</w:t>
      </w:r>
      <w:r w:rsidR="0006421A" w:rsidRPr="00A50619">
        <w:rPr>
          <w:lang w:eastAsia="en-US"/>
        </w:rPr>
        <w:t xml:space="preserve"> a place of residence is </w:t>
      </w:r>
      <w:r w:rsidR="003C081F" w:rsidRPr="00A50619">
        <w:rPr>
          <w:lang w:eastAsia="en-US"/>
        </w:rPr>
        <w:t>“</w:t>
      </w:r>
      <w:r w:rsidR="0006421A" w:rsidRPr="003B52FF">
        <w:rPr>
          <w:lang w:eastAsia="en-US"/>
        </w:rPr>
        <w:t xml:space="preserve">generally expected to be capable of supporting continual or periodic independent private residency, have basic utilities, and incorporate </w:t>
      </w:r>
      <w:r w:rsidR="0006421A" w:rsidRPr="003B52FF">
        <w:rPr>
          <w:lang w:eastAsia="en-US"/>
        </w:rPr>
        <w:lastRenderedPageBreak/>
        <w:t>or provide reasonable access to sanitation and food preparation facilities</w:t>
      </w:r>
      <w:r w:rsidR="003C081F" w:rsidRPr="003B52FF">
        <w:rPr>
          <w:i/>
          <w:iCs/>
          <w:lang w:eastAsia="en-US"/>
        </w:rPr>
        <w:t>”</w:t>
      </w:r>
      <w:r w:rsidR="00D32FEF">
        <w:rPr>
          <w:i/>
          <w:iCs/>
          <w:lang w:eastAsia="en-US"/>
        </w:rPr>
        <w:t>.</w:t>
      </w:r>
      <w:r w:rsidR="0006421A" w:rsidRPr="003B52FF">
        <w:rPr>
          <w:rStyle w:val="FootnoteReference"/>
          <w:lang w:eastAsia="en-US"/>
        </w:rPr>
        <w:footnoteReference w:id="2"/>
      </w:r>
      <w:r w:rsidR="0006421A" w:rsidRPr="003B52FF">
        <w:rPr>
          <w:lang w:eastAsia="en-US"/>
        </w:rPr>
        <w:t xml:space="preserve"> </w:t>
      </w:r>
      <w:r w:rsidR="00E502C6">
        <w:rPr>
          <w:lang w:eastAsia="en-US"/>
        </w:rPr>
        <w:t xml:space="preserve">ACCAN considers that this </w:t>
      </w:r>
      <w:r w:rsidR="007662C0">
        <w:rPr>
          <w:lang w:eastAsia="en-US"/>
        </w:rPr>
        <w:t>principle-based</w:t>
      </w:r>
      <w:r w:rsidR="00E502C6">
        <w:rPr>
          <w:lang w:eastAsia="en-US"/>
        </w:rPr>
        <w:t xml:space="preserve"> approach is preferable to the approach adopted in </w:t>
      </w:r>
      <w:r w:rsidR="00345CDA" w:rsidRPr="003B52FF">
        <w:rPr>
          <w:lang w:eastAsia="en-US"/>
        </w:rPr>
        <w:t xml:space="preserve">the Draft Determination. </w:t>
      </w:r>
    </w:p>
    <w:p w14:paraId="2C88FFAD" w14:textId="301C0AB6" w:rsidR="00044AD4" w:rsidRPr="003B52FF" w:rsidRDefault="0A0F749C" w:rsidP="00425307">
      <w:pPr>
        <w:rPr>
          <w:lang w:eastAsia="en-US"/>
        </w:rPr>
      </w:pPr>
      <w:r w:rsidRPr="11200FEE">
        <w:rPr>
          <w:lang w:eastAsia="en-US"/>
        </w:rPr>
        <w:t>Defin</w:t>
      </w:r>
      <w:r w:rsidR="5D23E07E" w:rsidRPr="11200FEE">
        <w:rPr>
          <w:lang w:eastAsia="en-US"/>
        </w:rPr>
        <w:t xml:space="preserve">ing eligible premises </w:t>
      </w:r>
      <w:r w:rsidR="0006421A" w:rsidRPr="11200FEE">
        <w:rPr>
          <w:lang w:eastAsia="en-US"/>
        </w:rPr>
        <w:t xml:space="preserve">could </w:t>
      </w:r>
      <w:r w:rsidR="472D3656" w:rsidRPr="11200FEE">
        <w:rPr>
          <w:lang w:eastAsia="en-US"/>
        </w:rPr>
        <w:t>unnecessarily restrict a consumer from being supplied</w:t>
      </w:r>
      <w:r w:rsidR="59B1CFCC" w:rsidRPr="11200FEE">
        <w:rPr>
          <w:lang w:eastAsia="en-US"/>
        </w:rPr>
        <w:t xml:space="preserve"> with</w:t>
      </w:r>
      <w:r w:rsidR="472D3656" w:rsidRPr="11200FEE">
        <w:rPr>
          <w:lang w:eastAsia="en-US"/>
        </w:rPr>
        <w:t xml:space="preserve"> a</w:t>
      </w:r>
      <w:r w:rsidR="00494F54" w:rsidRPr="11200FEE">
        <w:rPr>
          <w:lang w:eastAsia="en-US"/>
        </w:rPr>
        <w:t>n</w:t>
      </w:r>
      <w:r w:rsidR="472D3656" w:rsidRPr="11200FEE">
        <w:rPr>
          <w:lang w:eastAsia="en-US"/>
        </w:rPr>
        <w:t xml:space="preserve"> STS. For example, the Draft Determination requires </w:t>
      </w:r>
      <w:r w:rsidR="56E47E12" w:rsidRPr="11200FEE">
        <w:rPr>
          <w:lang w:eastAsia="en-US"/>
        </w:rPr>
        <w:t xml:space="preserve">the person requesting the service to </w:t>
      </w:r>
      <w:r w:rsidR="4770D43B" w:rsidRPr="11200FEE">
        <w:rPr>
          <w:lang w:eastAsia="en-US"/>
        </w:rPr>
        <w:t>reside or</w:t>
      </w:r>
      <w:r w:rsidR="56E47E12" w:rsidRPr="11200FEE">
        <w:rPr>
          <w:lang w:eastAsia="en-US"/>
        </w:rPr>
        <w:t xml:space="preserve"> intend to reside for 183 days or more per year</w:t>
      </w:r>
      <w:r w:rsidR="70DEC0E8" w:rsidRPr="11200FEE">
        <w:rPr>
          <w:lang w:eastAsia="en-US"/>
        </w:rPr>
        <w:t xml:space="preserve"> in the premises where the STS will be supplied</w:t>
      </w:r>
      <w:r w:rsidR="56E47E12" w:rsidRPr="11200FEE">
        <w:rPr>
          <w:lang w:eastAsia="en-US"/>
        </w:rPr>
        <w:t>. The</w:t>
      </w:r>
      <w:r w:rsidR="7C7068F0" w:rsidRPr="11200FEE">
        <w:rPr>
          <w:lang w:eastAsia="en-US"/>
        </w:rPr>
        <w:t>re are practical limitations</w:t>
      </w:r>
      <w:r w:rsidR="56E47E12" w:rsidRPr="11200FEE">
        <w:rPr>
          <w:lang w:eastAsia="en-US"/>
        </w:rPr>
        <w:t xml:space="preserve"> </w:t>
      </w:r>
      <w:r w:rsidR="7C7068F0" w:rsidRPr="11200FEE">
        <w:rPr>
          <w:lang w:eastAsia="en-US"/>
        </w:rPr>
        <w:t>to</w:t>
      </w:r>
      <w:r w:rsidR="56E47E12" w:rsidRPr="11200FEE">
        <w:rPr>
          <w:lang w:eastAsia="en-US"/>
        </w:rPr>
        <w:t xml:space="preserve"> proving someone’s intent </w:t>
      </w:r>
      <w:bookmarkStart w:id="5" w:name="_Int_WLRucTk8"/>
      <w:proofErr w:type="gramStart"/>
      <w:r w:rsidR="56E47E12" w:rsidRPr="11200FEE">
        <w:rPr>
          <w:lang w:eastAsia="en-US"/>
        </w:rPr>
        <w:t>in order to</w:t>
      </w:r>
      <w:bookmarkEnd w:id="5"/>
      <w:proofErr w:type="gramEnd"/>
      <w:r w:rsidR="56E47E12" w:rsidRPr="11200FEE">
        <w:rPr>
          <w:lang w:eastAsia="en-US"/>
        </w:rPr>
        <w:t xml:space="preserve"> distinguish whether </w:t>
      </w:r>
      <w:r w:rsidR="3D060610" w:rsidRPr="11200FEE">
        <w:rPr>
          <w:lang w:eastAsia="en-US"/>
        </w:rPr>
        <w:t>a premise is</w:t>
      </w:r>
      <w:r w:rsidR="56E47E12" w:rsidRPr="11200FEE">
        <w:rPr>
          <w:lang w:eastAsia="en-US"/>
        </w:rPr>
        <w:t xml:space="preserve"> </w:t>
      </w:r>
      <w:r w:rsidR="70DEC0E8" w:rsidRPr="11200FEE">
        <w:rPr>
          <w:lang w:eastAsia="en-US"/>
        </w:rPr>
        <w:t>eligible for the service</w:t>
      </w:r>
      <w:r w:rsidR="3D060610" w:rsidRPr="11200FEE">
        <w:rPr>
          <w:lang w:eastAsia="en-US"/>
        </w:rPr>
        <w:t>. This could result in a consumer being refused an STS</w:t>
      </w:r>
      <w:r w:rsidR="2E36A208" w:rsidRPr="11200FEE">
        <w:rPr>
          <w:lang w:eastAsia="en-US"/>
        </w:rPr>
        <w:t xml:space="preserve"> unreasonably</w:t>
      </w:r>
      <w:r w:rsidR="7896857C" w:rsidRPr="11200FEE">
        <w:rPr>
          <w:lang w:eastAsia="en-US"/>
        </w:rPr>
        <w:t>.</w:t>
      </w:r>
      <w:r w:rsidR="24AFE62F" w:rsidRPr="11200FEE">
        <w:rPr>
          <w:lang w:eastAsia="en-US"/>
        </w:rPr>
        <w:t xml:space="preserve"> </w:t>
      </w:r>
      <w:r w:rsidR="5AFB3EFA" w:rsidRPr="11200FEE">
        <w:rPr>
          <w:lang w:eastAsia="en-US"/>
        </w:rPr>
        <w:t xml:space="preserve">Furthermore, </w:t>
      </w:r>
      <w:r w:rsidR="15775617" w:rsidRPr="11200FEE">
        <w:rPr>
          <w:lang w:eastAsia="en-US"/>
        </w:rPr>
        <w:t xml:space="preserve">this requirement </w:t>
      </w:r>
      <w:r w:rsidR="684DD73D" w:rsidRPr="11200FEE">
        <w:rPr>
          <w:lang w:eastAsia="en-US"/>
        </w:rPr>
        <w:t xml:space="preserve">may result in </w:t>
      </w:r>
      <w:r w:rsidR="5D1B9BBF" w:rsidRPr="11200FEE">
        <w:rPr>
          <w:lang w:eastAsia="en-US"/>
        </w:rPr>
        <w:t>people who live and work in industries where they are required to sporadically move</w:t>
      </w:r>
      <w:r w:rsidR="5371B86C" w:rsidRPr="11200FEE">
        <w:rPr>
          <w:lang w:eastAsia="en-US"/>
        </w:rPr>
        <w:t xml:space="preserve"> </w:t>
      </w:r>
      <w:r w:rsidR="30E54A46" w:rsidRPr="11200FEE">
        <w:rPr>
          <w:lang w:eastAsia="en-US"/>
        </w:rPr>
        <w:t xml:space="preserve">being excluded from </w:t>
      </w:r>
      <w:r w:rsidR="78362114" w:rsidRPr="11200FEE">
        <w:rPr>
          <w:lang w:eastAsia="en-US"/>
        </w:rPr>
        <w:t>the service, for example fly</w:t>
      </w:r>
      <w:r w:rsidR="5B18B4AA" w:rsidRPr="11200FEE">
        <w:rPr>
          <w:lang w:eastAsia="en-US"/>
        </w:rPr>
        <w:t xml:space="preserve">-in-fly-out workers, or </w:t>
      </w:r>
      <w:r w:rsidR="01433BF2" w:rsidRPr="11200FEE">
        <w:rPr>
          <w:lang w:eastAsia="en-US"/>
        </w:rPr>
        <w:t>seasonal agricultural workers</w:t>
      </w:r>
      <w:r w:rsidR="2A5B498D" w:rsidRPr="11200FEE">
        <w:rPr>
          <w:lang w:eastAsia="en-US"/>
        </w:rPr>
        <w:t xml:space="preserve">. </w:t>
      </w:r>
    </w:p>
    <w:p w14:paraId="01BCA3EE" w14:textId="785E12EB" w:rsidR="00352A14" w:rsidRPr="003B52FF" w:rsidRDefault="00414398" w:rsidP="00425307">
      <w:pPr>
        <w:rPr>
          <w:lang w:eastAsia="en-US"/>
        </w:rPr>
      </w:pPr>
      <w:r w:rsidRPr="003B52FF">
        <w:rPr>
          <w:lang w:eastAsia="en-US"/>
        </w:rPr>
        <w:t xml:space="preserve">The </w:t>
      </w:r>
      <w:r w:rsidR="009B0D89" w:rsidRPr="003B52FF">
        <w:rPr>
          <w:lang w:eastAsia="en-US"/>
        </w:rPr>
        <w:t xml:space="preserve">key </w:t>
      </w:r>
      <w:r w:rsidRPr="003B52FF">
        <w:rPr>
          <w:lang w:eastAsia="en-US"/>
        </w:rPr>
        <w:t>benefit o</w:t>
      </w:r>
      <w:r w:rsidR="00D87263" w:rsidRPr="003B52FF">
        <w:rPr>
          <w:lang w:eastAsia="en-US"/>
        </w:rPr>
        <w:t>f utilising a principled based approach</w:t>
      </w:r>
      <w:r w:rsidRPr="003B52FF">
        <w:rPr>
          <w:lang w:eastAsia="en-US"/>
        </w:rPr>
        <w:t xml:space="preserve"> would be to ensure that there are limited circumstances of refusal,</w:t>
      </w:r>
      <w:r w:rsidR="009B0D89" w:rsidRPr="003B52FF">
        <w:rPr>
          <w:lang w:eastAsia="en-US"/>
        </w:rPr>
        <w:t xml:space="preserve"> however</w:t>
      </w:r>
      <w:r w:rsidRPr="003B52FF">
        <w:rPr>
          <w:lang w:eastAsia="en-US"/>
        </w:rPr>
        <w:t xml:space="preserve"> it also works towards improving the </w:t>
      </w:r>
      <w:r w:rsidR="009B0D89" w:rsidRPr="003B52FF">
        <w:rPr>
          <w:lang w:eastAsia="en-US"/>
        </w:rPr>
        <w:t>clarity</w:t>
      </w:r>
      <w:r w:rsidRPr="003B52FF">
        <w:rPr>
          <w:lang w:eastAsia="en-US"/>
        </w:rPr>
        <w:t xml:space="preserve"> of the instrument. </w:t>
      </w:r>
      <w:r w:rsidR="003A25AB" w:rsidRPr="003B52FF">
        <w:rPr>
          <w:lang w:eastAsia="en-US"/>
        </w:rPr>
        <w:t>Streamlining the Determination will make it clearer to the PUS</w:t>
      </w:r>
      <w:r w:rsidR="00686A89">
        <w:rPr>
          <w:lang w:eastAsia="en-US"/>
        </w:rPr>
        <w:t>P</w:t>
      </w:r>
      <w:r w:rsidR="003A25AB" w:rsidRPr="003B52FF">
        <w:rPr>
          <w:lang w:eastAsia="en-US"/>
        </w:rPr>
        <w:t xml:space="preserve"> to </w:t>
      </w:r>
      <w:r w:rsidR="00152BF3" w:rsidRPr="003B52FF">
        <w:rPr>
          <w:lang w:eastAsia="en-US"/>
        </w:rPr>
        <w:t>follow</w:t>
      </w:r>
      <w:r w:rsidR="00352A14" w:rsidRPr="003B52FF">
        <w:rPr>
          <w:lang w:eastAsia="en-US"/>
        </w:rPr>
        <w:t>, as well as</w:t>
      </w:r>
      <w:r w:rsidRPr="003B52FF">
        <w:rPr>
          <w:lang w:eastAsia="en-US"/>
        </w:rPr>
        <w:t xml:space="preserve"> </w:t>
      </w:r>
      <w:r w:rsidR="00152BF3" w:rsidRPr="003B52FF">
        <w:rPr>
          <w:lang w:eastAsia="en-US"/>
        </w:rPr>
        <w:t>make</w:t>
      </w:r>
      <w:r w:rsidRPr="003B52FF">
        <w:rPr>
          <w:lang w:eastAsia="en-US"/>
        </w:rPr>
        <w:t xml:space="preserve"> it easier for</w:t>
      </w:r>
      <w:r w:rsidR="00352A14" w:rsidRPr="003B52FF">
        <w:rPr>
          <w:lang w:eastAsia="en-US"/>
        </w:rPr>
        <w:t xml:space="preserve"> consumers to understand the PUSP’s</w:t>
      </w:r>
      <w:r w:rsidR="00352A14">
        <w:rPr>
          <w:lang w:eastAsia="en-US"/>
        </w:rPr>
        <w:t xml:space="preserve"> </w:t>
      </w:r>
      <w:r w:rsidR="000631E8">
        <w:rPr>
          <w:lang w:eastAsia="en-US"/>
        </w:rPr>
        <w:t>(Telstra</w:t>
      </w:r>
      <w:r w:rsidR="00C2092E">
        <w:rPr>
          <w:lang w:eastAsia="en-US"/>
        </w:rPr>
        <w:t>’s</w:t>
      </w:r>
      <w:r w:rsidR="00B04906">
        <w:rPr>
          <w:lang w:eastAsia="en-US"/>
        </w:rPr>
        <w:t>)</w:t>
      </w:r>
      <w:r w:rsidR="00352A14" w:rsidRPr="003B52FF">
        <w:rPr>
          <w:lang w:eastAsia="en-US"/>
        </w:rPr>
        <w:t xml:space="preserve"> </w:t>
      </w:r>
      <w:r w:rsidR="00331731" w:rsidRPr="003B52FF">
        <w:rPr>
          <w:lang w:eastAsia="en-US"/>
        </w:rPr>
        <w:t xml:space="preserve">obligations to supply the STS. </w:t>
      </w:r>
    </w:p>
    <w:p w14:paraId="52F2A5B4" w14:textId="3ED3BE36" w:rsidR="0083483C" w:rsidRPr="003B52FF" w:rsidRDefault="0083483C" w:rsidP="00425307">
      <w:pPr>
        <w:rPr>
          <w:lang w:eastAsia="en-US"/>
        </w:rPr>
      </w:pPr>
      <w:r w:rsidRPr="003B52FF">
        <w:rPr>
          <w:lang w:eastAsia="en-US"/>
        </w:rPr>
        <w:t>Additionally, as Telstra relies on N</w:t>
      </w:r>
      <w:r w:rsidR="00E24D37">
        <w:rPr>
          <w:lang w:eastAsia="en-US"/>
        </w:rPr>
        <w:t xml:space="preserve">ational </w:t>
      </w:r>
      <w:r w:rsidRPr="003B52FF">
        <w:rPr>
          <w:lang w:eastAsia="en-US"/>
        </w:rPr>
        <w:t>B</w:t>
      </w:r>
      <w:r w:rsidR="00E24D37">
        <w:rPr>
          <w:lang w:eastAsia="en-US"/>
        </w:rPr>
        <w:t xml:space="preserve">roadband </w:t>
      </w:r>
      <w:r w:rsidRPr="003B52FF">
        <w:rPr>
          <w:lang w:eastAsia="en-US"/>
        </w:rPr>
        <w:t>N</w:t>
      </w:r>
      <w:r w:rsidR="00E24D37">
        <w:rPr>
          <w:lang w:eastAsia="en-US"/>
        </w:rPr>
        <w:t>etwork</w:t>
      </w:r>
      <w:r w:rsidRPr="003B52FF">
        <w:rPr>
          <w:lang w:eastAsia="en-US"/>
        </w:rPr>
        <w:t xml:space="preserve"> </w:t>
      </w:r>
      <w:r w:rsidR="00E24D37">
        <w:rPr>
          <w:lang w:eastAsia="en-US"/>
        </w:rPr>
        <w:t>(</w:t>
      </w:r>
      <w:r>
        <w:rPr>
          <w:lang w:eastAsia="en-US"/>
        </w:rPr>
        <w:t>NBN</w:t>
      </w:r>
      <w:r w:rsidR="00E24D37">
        <w:rPr>
          <w:lang w:eastAsia="en-US"/>
        </w:rPr>
        <w:t>)’s</w:t>
      </w:r>
      <w:r>
        <w:rPr>
          <w:lang w:eastAsia="en-US"/>
        </w:rPr>
        <w:t xml:space="preserve"> </w:t>
      </w:r>
      <w:r w:rsidRPr="003B52FF">
        <w:rPr>
          <w:lang w:eastAsia="en-US"/>
        </w:rPr>
        <w:t>infrastructure to provide USO voice services in the fixed-line footprint, there would be merit in aligning the instruments</w:t>
      </w:r>
      <w:r w:rsidR="00D20467" w:rsidRPr="003B52FF">
        <w:rPr>
          <w:lang w:eastAsia="en-US"/>
        </w:rPr>
        <w:t xml:space="preserve"> where applicable</w:t>
      </w:r>
      <w:r w:rsidRPr="003B52FF">
        <w:rPr>
          <w:lang w:eastAsia="en-US"/>
        </w:rPr>
        <w:t xml:space="preserve">. This would prevent a situation where </w:t>
      </w:r>
      <w:r w:rsidR="00571197" w:rsidRPr="003B52FF">
        <w:rPr>
          <w:lang w:eastAsia="en-US"/>
        </w:rPr>
        <w:t xml:space="preserve">a request is rejected by the infrastructure provider, but not the retailer, or </w:t>
      </w:r>
      <w:r w:rsidR="00FD7117" w:rsidRPr="003B52FF">
        <w:rPr>
          <w:lang w:eastAsia="en-US"/>
        </w:rPr>
        <w:t xml:space="preserve">vice </w:t>
      </w:r>
      <w:r w:rsidR="00571197" w:rsidRPr="003B52FF">
        <w:rPr>
          <w:lang w:eastAsia="en-US"/>
        </w:rPr>
        <w:t xml:space="preserve">versa. </w:t>
      </w:r>
    </w:p>
    <w:p w14:paraId="654FBAD4" w14:textId="4DC7A15C" w:rsidR="00624446" w:rsidRPr="003B52FF" w:rsidRDefault="00303DEF" w:rsidP="00C06D83">
      <w:pPr>
        <w:rPr>
          <w:lang w:eastAsia="en-US"/>
        </w:rPr>
      </w:pPr>
      <w:r w:rsidRPr="003B52FF">
        <w:rPr>
          <w:lang w:eastAsia="en-US"/>
        </w:rPr>
        <w:t xml:space="preserve">ACCAN previously recommended that the approach in the SIP instrument be reviewed to ensure that it is </w:t>
      </w:r>
      <w:r w:rsidR="008F22C3" w:rsidRPr="003B52FF">
        <w:rPr>
          <w:lang w:eastAsia="en-US"/>
        </w:rPr>
        <w:t xml:space="preserve">remains </w:t>
      </w:r>
      <w:r w:rsidR="00884AB2" w:rsidRPr="003B52FF">
        <w:rPr>
          <w:lang w:eastAsia="en-US"/>
        </w:rPr>
        <w:t>comprehensive</w:t>
      </w:r>
      <w:r w:rsidR="008F22C3" w:rsidRPr="003B52FF">
        <w:rPr>
          <w:lang w:eastAsia="en-US"/>
        </w:rPr>
        <w:t xml:space="preserve"> enough to ensure that all premises that need to be connected are connected.</w:t>
      </w:r>
      <w:r w:rsidR="00F27F02" w:rsidRPr="003B52FF">
        <w:rPr>
          <w:rStyle w:val="FootnoteReference"/>
          <w:lang w:eastAsia="en-US"/>
        </w:rPr>
        <w:footnoteReference w:id="3"/>
      </w:r>
      <w:r w:rsidR="008F22C3" w:rsidRPr="003B52FF">
        <w:rPr>
          <w:lang w:eastAsia="en-US"/>
        </w:rPr>
        <w:t xml:space="preserve"> Similarly, the</w:t>
      </w:r>
      <w:r w:rsidR="00F27F02" w:rsidRPr="003B52FF">
        <w:rPr>
          <w:lang w:eastAsia="en-US"/>
        </w:rPr>
        <w:t xml:space="preserve">re would be benefit in </w:t>
      </w:r>
      <w:r w:rsidR="00D20467" w:rsidRPr="003B52FF">
        <w:rPr>
          <w:lang w:eastAsia="en-US"/>
        </w:rPr>
        <w:t>carrying out</w:t>
      </w:r>
      <w:r w:rsidR="00F27F02" w:rsidRPr="003B52FF">
        <w:rPr>
          <w:lang w:eastAsia="en-US"/>
        </w:rPr>
        <w:t xml:space="preserve"> a review </w:t>
      </w:r>
      <w:r w:rsidR="006142C9">
        <w:rPr>
          <w:lang w:eastAsia="en-US"/>
        </w:rPr>
        <w:t>of</w:t>
      </w:r>
      <w:r w:rsidR="00884AB2" w:rsidRPr="003B52FF">
        <w:rPr>
          <w:lang w:eastAsia="en-US"/>
        </w:rPr>
        <w:t xml:space="preserve"> the Draft Determination, to ensure that consumers who </w:t>
      </w:r>
      <w:r w:rsidR="00625242" w:rsidRPr="003B52FF">
        <w:rPr>
          <w:lang w:eastAsia="en-US"/>
        </w:rPr>
        <w:t xml:space="preserve">should </w:t>
      </w:r>
      <w:bookmarkStart w:id="6" w:name="_Int_cc7ZpXWS"/>
      <w:r w:rsidR="7BA090BA" w:rsidRPr="003B52FF">
        <w:rPr>
          <w:lang w:eastAsia="en-US"/>
        </w:rPr>
        <w:t>reasonabl</w:t>
      </w:r>
      <w:r w:rsidR="050CAF21" w:rsidRPr="003B52FF">
        <w:rPr>
          <w:lang w:eastAsia="en-US"/>
        </w:rPr>
        <w:t>y</w:t>
      </w:r>
      <w:r w:rsidR="7BA090BA" w:rsidRPr="003B52FF">
        <w:rPr>
          <w:lang w:eastAsia="en-US"/>
        </w:rPr>
        <w:t xml:space="preserve"> receive</w:t>
      </w:r>
      <w:bookmarkEnd w:id="6"/>
      <w:r w:rsidR="00625242" w:rsidRPr="003B52FF">
        <w:rPr>
          <w:lang w:eastAsia="en-US"/>
        </w:rPr>
        <w:t xml:space="preserve"> </w:t>
      </w:r>
      <w:r w:rsidR="0054380D" w:rsidRPr="003B52FF">
        <w:rPr>
          <w:lang w:eastAsia="en-US"/>
        </w:rPr>
        <w:t>an</w:t>
      </w:r>
      <w:r w:rsidR="00625242" w:rsidRPr="003B52FF">
        <w:rPr>
          <w:lang w:eastAsia="en-US"/>
        </w:rPr>
        <w:t xml:space="preserve"> STS are able to do so. </w:t>
      </w:r>
      <w:r w:rsidR="00EF1293" w:rsidRPr="003B52FF">
        <w:rPr>
          <w:lang w:eastAsia="en-US"/>
        </w:rPr>
        <w:t xml:space="preserve">A shorter sunsetting period for the Determination would allow </w:t>
      </w:r>
      <w:r w:rsidR="004B5A4B" w:rsidRPr="003B52FF">
        <w:rPr>
          <w:lang w:eastAsia="en-US"/>
        </w:rPr>
        <w:t xml:space="preserve">for </w:t>
      </w:r>
      <w:r w:rsidR="00C12294">
        <w:rPr>
          <w:lang w:eastAsia="en-US"/>
        </w:rPr>
        <w:t xml:space="preserve">such a </w:t>
      </w:r>
      <w:r w:rsidR="00EF1293" w:rsidRPr="003B52FF">
        <w:rPr>
          <w:lang w:eastAsia="en-US"/>
        </w:rPr>
        <w:t xml:space="preserve">review. </w:t>
      </w:r>
    </w:p>
    <w:p w14:paraId="5F8B1C11" w14:textId="4BFA5154" w:rsidR="00CC451D" w:rsidRDefault="005B1511" w:rsidP="00D96756">
      <w:pPr>
        <w:rPr>
          <w:lang w:eastAsia="en-US"/>
        </w:rPr>
      </w:pPr>
      <w:r w:rsidRPr="51AFF19B">
        <w:rPr>
          <w:lang w:eastAsia="en-US"/>
        </w:rPr>
        <w:t>ACCAN supports a shorter sunsetting period for this instrument of three years, at which point it would be appropriate to review whether the instrument is operating as intended.</w:t>
      </w:r>
      <w:r w:rsidR="00CE2B09" w:rsidRPr="51AFF19B">
        <w:rPr>
          <w:lang w:eastAsia="en-US"/>
        </w:rPr>
        <w:t xml:space="preserve"> </w:t>
      </w:r>
      <w:r w:rsidR="00624446" w:rsidRPr="51AFF19B">
        <w:rPr>
          <w:lang w:eastAsia="en-US"/>
        </w:rPr>
        <w:t xml:space="preserve">We note that </w:t>
      </w:r>
      <w:bookmarkStart w:id="7" w:name="_Int_I7HQbhOg"/>
      <w:proofErr w:type="gramStart"/>
      <w:r w:rsidR="00624446" w:rsidRPr="51AFF19B">
        <w:rPr>
          <w:lang w:eastAsia="en-US"/>
        </w:rPr>
        <w:t>in regard to</w:t>
      </w:r>
      <w:bookmarkEnd w:id="7"/>
      <w:proofErr w:type="gramEnd"/>
      <w:r w:rsidR="00624446" w:rsidRPr="51AFF19B">
        <w:rPr>
          <w:lang w:eastAsia="en-US"/>
        </w:rPr>
        <w:t xml:space="preserve"> the SIP instrument, </w:t>
      </w:r>
      <w:r w:rsidR="00A66567" w:rsidRPr="51AFF19B">
        <w:rPr>
          <w:lang w:eastAsia="en-US"/>
        </w:rPr>
        <w:t xml:space="preserve">the Senate Standing Committee for the Scrutiny of Delegated Legislation </w:t>
      </w:r>
      <w:r w:rsidR="00F36F97" w:rsidRPr="51AFF19B">
        <w:rPr>
          <w:lang w:eastAsia="en-US"/>
        </w:rPr>
        <w:t>states</w:t>
      </w:r>
      <w:r w:rsidR="00C06D83" w:rsidRPr="51AFF19B">
        <w:rPr>
          <w:lang w:eastAsia="en-US"/>
        </w:rPr>
        <w:t xml:space="preserve"> that</w:t>
      </w:r>
      <w:r w:rsidR="00745AA9">
        <w:rPr>
          <w:lang w:eastAsia="en-US"/>
        </w:rPr>
        <w:t>:</w:t>
      </w:r>
    </w:p>
    <w:p w14:paraId="65BA72DE" w14:textId="76849FA7" w:rsidR="00CC451D" w:rsidRPr="00745AA9" w:rsidRDefault="00C06D83" w:rsidP="003B52FF">
      <w:pPr>
        <w:ind w:left="850" w:right="850"/>
        <w:rPr>
          <w:i/>
          <w:iCs/>
          <w:lang w:eastAsia="en-US"/>
        </w:rPr>
      </w:pPr>
      <w:r w:rsidRPr="00745AA9">
        <w:rPr>
          <w:i/>
          <w:iCs/>
          <w:lang w:eastAsia="en-US"/>
        </w:rPr>
        <w:t>exemptions from primary legislation by delegated legislation should not continue in force for such time as to operate as a de facto amendment to the principal Act. The committee's longstanding view is that provisions which exempt person or entities from the operation of primary legislation should cease to operate no more than three years after they commence.</w:t>
      </w:r>
      <w:r w:rsidR="00EF1293" w:rsidRPr="00745AA9">
        <w:rPr>
          <w:rStyle w:val="FootnoteReference"/>
          <w:i/>
          <w:iCs/>
          <w:lang w:eastAsia="en-US"/>
        </w:rPr>
        <w:footnoteReference w:id="4"/>
      </w:r>
      <w:r w:rsidR="002B1220" w:rsidRPr="00745AA9">
        <w:rPr>
          <w:i/>
          <w:iCs/>
          <w:lang w:eastAsia="en-US"/>
        </w:rPr>
        <w:t xml:space="preserve"> </w:t>
      </w:r>
    </w:p>
    <w:p w14:paraId="6D131547" w14:textId="012B243A" w:rsidR="00755433" w:rsidRPr="003B52FF" w:rsidRDefault="00643057" w:rsidP="00D96756">
      <w:pPr>
        <w:rPr>
          <w:lang w:eastAsia="en-US"/>
        </w:rPr>
      </w:pPr>
      <w:r>
        <w:rPr>
          <w:lang w:eastAsia="en-US"/>
        </w:rPr>
        <w:t xml:space="preserve">It is important that the primary legislation is not contradicted by delegation </w:t>
      </w:r>
      <w:r w:rsidR="00614427">
        <w:rPr>
          <w:lang w:eastAsia="en-US"/>
        </w:rPr>
        <w:t xml:space="preserve">and that </w:t>
      </w:r>
      <w:r w:rsidR="006F3A5E">
        <w:rPr>
          <w:lang w:eastAsia="en-US"/>
        </w:rPr>
        <w:t xml:space="preserve">instruments made under delegation like the Determination operate to provide clarity as to the scope of regulatory obligations. </w:t>
      </w:r>
      <w:r w:rsidR="00841965">
        <w:rPr>
          <w:lang w:eastAsia="en-US"/>
        </w:rPr>
        <w:t xml:space="preserve">Where regulatory obligations are subject to material or permanent revision, </w:t>
      </w:r>
      <w:r w:rsidR="00841965">
        <w:rPr>
          <w:lang w:eastAsia="en-US"/>
        </w:rPr>
        <w:lastRenderedPageBreak/>
        <w:t xml:space="preserve">this should be undertaken through amendment to the primary legislation rather than via a delegated instrument. </w:t>
      </w:r>
    </w:p>
    <w:p w14:paraId="1D93A802" w14:textId="0D1E0F8B" w:rsidR="00F967BA" w:rsidRPr="003B52FF" w:rsidRDefault="00F967BA" w:rsidP="00D96756">
      <w:pPr>
        <w:rPr>
          <w:lang w:eastAsia="en-US"/>
        </w:rPr>
      </w:pPr>
      <w:r w:rsidRPr="003B52FF">
        <w:rPr>
          <w:lang w:eastAsia="en-US"/>
        </w:rPr>
        <w:t>Thank you for the opportunity to comment on this consultation. Please do not hesitate to contact me</w:t>
      </w:r>
      <w:r w:rsidR="005D5095">
        <w:rPr>
          <w:lang w:eastAsia="en-US"/>
        </w:rPr>
        <w:t xml:space="preserve"> at </w:t>
      </w:r>
      <w:r w:rsidR="007662C0">
        <w:rPr>
          <w:lang w:eastAsia="en-US"/>
        </w:rPr>
        <w:t xml:space="preserve">02 </w:t>
      </w:r>
      <w:r w:rsidR="005D5095">
        <w:t>9288 4000</w:t>
      </w:r>
      <w:r w:rsidRPr="003B52FF">
        <w:rPr>
          <w:lang w:eastAsia="en-US"/>
        </w:rPr>
        <w:t xml:space="preserve"> if you have any questions regarding our response. </w:t>
      </w:r>
    </w:p>
    <w:p w14:paraId="15C8D98B" w14:textId="76680982" w:rsidR="00F967BA" w:rsidRPr="003B52FF" w:rsidRDefault="00F967BA" w:rsidP="00F967BA">
      <w:pPr>
        <w:pStyle w:val="NoSpacing"/>
        <w:rPr>
          <w:lang w:eastAsia="en-US"/>
        </w:rPr>
      </w:pPr>
      <w:r w:rsidRPr="003B52FF">
        <w:rPr>
          <w:lang w:eastAsia="en-US"/>
        </w:rPr>
        <w:t xml:space="preserve">Yours sincerely, </w:t>
      </w:r>
    </w:p>
    <w:p w14:paraId="41611D18" w14:textId="657BDCB7" w:rsidR="00F967BA" w:rsidRPr="003B52FF" w:rsidRDefault="00F967BA" w:rsidP="00F967BA">
      <w:pPr>
        <w:pStyle w:val="NoSpacing"/>
        <w:rPr>
          <w:lang w:eastAsia="en-US"/>
        </w:rPr>
      </w:pPr>
      <w:r w:rsidRPr="003B52FF">
        <w:rPr>
          <w:lang w:eastAsia="en-US"/>
        </w:rPr>
        <w:t>Megan Ward</w:t>
      </w:r>
    </w:p>
    <w:p w14:paraId="731D549D" w14:textId="01BBEB08" w:rsidR="00AE6DEC" w:rsidRPr="00707AAA" w:rsidRDefault="00A7453F" w:rsidP="00C74C7C">
      <w:pPr>
        <w:rPr>
          <w:lang w:eastAsia="en-US"/>
        </w:rPr>
      </w:pPr>
      <w:r w:rsidRPr="003B52FF">
        <w:rPr>
          <w:lang w:eastAsia="en-US"/>
        </w:rPr>
        <w:t>Senior Economic Adviser</w:t>
      </w:r>
    </w:p>
    <w:p w14:paraId="4743EED7" w14:textId="77777777" w:rsidR="00DC13F4" w:rsidRDefault="00BA4AB0" w:rsidP="008302FB">
      <w:pPr>
        <w:pStyle w:val="FundingAcknowledgement"/>
      </w:pPr>
      <w:r w:rsidRPr="006C7432">
        <w:t xml:space="preserve">The Australian Communications Consumer </w:t>
      </w:r>
      <w:r w:rsidRPr="00A44854">
        <w:t>Action</w:t>
      </w:r>
      <w:r w:rsidRPr="006C7432">
        <w:t xml:space="preserve"> Network (ACCAN) is Australia’s peak communication consumer </w:t>
      </w:r>
      <w:proofErr w:type="spellStart"/>
      <w:r w:rsidRPr="006C7432">
        <w:t>organisation</w:t>
      </w:r>
      <w:proofErr w:type="spellEnd"/>
      <w:r w:rsidRPr="006C7432">
        <w:t xml:space="preserve">. The operation of ACCAN is made possible by funding </w:t>
      </w:r>
      <w:r w:rsidRPr="00A44854">
        <w:t>provided</w:t>
      </w:r>
      <w:r w:rsidRPr="006C7432">
        <w:t xml:space="preserve"> by the Commonwealth of Australia under section 593 of the Telecommunications Act 1997. This funding is recovered from charges on telecommunications carriers.</w:t>
      </w:r>
    </w:p>
    <w:sectPr w:rsidR="00DC13F4" w:rsidSect="00472A35">
      <w:headerReference w:type="default" r:id="rId21"/>
      <w:footerReference w:type="default" r:id="rId22"/>
      <w:footerReference w:type="first" r:id="rId23"/>
      <w:pgSz w:w="11906" w:h="16838"/>
      <w:pgMar w:top="1418" w:right="1440" w:bottom="709" w:left="1440" w:header="45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08C3AE" w14:textId="77777777" w:rsidR="00887B4A" w:rsidRDefault="00887B4A">
      <w:pPr>
        <w:spacing w:after="0" w:line="240" w:lineRule="auto"/>
      </w:pPr>
      <w:r>
        <w:separator/>
      </w:r>
    </w:p>
  </w:endnote>
  <w:endnote w:type="continuationSeparator" w:id="0">
    <w:p w14:paraId="543AFECA" w14:textId="77777777" w:rsidR="00887B4A" w:rsidRDefault="00887B4A">
      <w:pPr>
        <w:spacing w:after="0" w:line="240" w:lineRule="auto"/>
      </w:pPr>
      <w:r>
        <w:continuationSeparator/>
      </w:r>
    </w:p>
  </w:endnote>
  <w:endnote w:type="continuationNotice" w:id="1">
    <w:p w14:paraId="13AF5C2E" w14:textId="77777777" w:rsidR="00887B4A" w:rsidRDefault="00887B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8AE8612-968B-412B-B037-F23E2B59DCAF}"/>
    <w:embedBold r:id="rId2" w:fontKey="{AC41FEC2-8356-4956-8D89-6669563998AC}"/>
    <w:embedItalic r:id="rId3" w:fontKey="{E312833D-FEB8-4C85-91B0-E63E99C7861E}"/>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A8E2C073-D7F5-45D0-919A-A7CBAEC752F8}"/>
  </w:font>
  <w:font w:name="Gotham">
    <w:panose1 w:val="02000604040000020004"/>
    <w:charset w:val="00"/>
    <w:family w:val="auto"/>
    <w:pitch w:val="variable"/>
    <w:sig w:usb0="800000A7" w:usb1="00000000" w:usb2="00000000" w:usb3="00000000" w:csb0="00000009" w:csb1="00000000"/>
    <w:embedBold r:id="rId5" w:fontKey="{652128EB-94F8-4F04-9CCB-C7BB0B4D8F8A}"/>
    <w:embedBoldItalic r:id="rId6" w:fontKey="{DC77EB61-810D-4875-8358-C01427425032}"/>
  </w:font>
  <w:font w:name="Gotham Black">
    <w:altName w:val="Calibri"/>
    <w:panose1 w:val="02000603040000020004"/>
    <w:charset w:val="00"/>
    <w:family w:val="auto"/>
    <w:pitch w:val="variable"/>
    <w:sig w:usb0="A00000AF" w:usb1="40000048" w:usb2="00000000" w:usb3="00000000" w:csb0="00000111" w:csb1="00000000"/>
    <w:embedRegular r:id="rId7" w:fontKey="{73D9D100-E317-4B43-BE73-6CC88091FF49}"/>
  </w:font>
  <w:font w:name="Cambria">
    <w:panose1 w:val="02040503050406030204"/>
    <w:charset w:val="00"/>
    <w:family w:val="roman"/>
    <w:pitch w:val="variable"/>
    <w:sig w:usb0="E00006FF" w:usb1="420024FF" w:usb2="02000000" w:usb3="00000000" w:csb0="0000019F" w:csb1="00000000"/>
    <w:embedRegular r:id="rId8" w:fontKey="{47023C96-B10C-4C70-84D2-5B1F58FE77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otham" w:hAnsi="Gotham"/>
        <w:b/>
        <w:bCs/>
        <w:sz w:val="20"/>
        <w:szCs w:val="20"/>
      </w:rPr>
      <w:id w:val="-1113674512"/>
      <w:docPartObj>
        <w:docPartGallery w:val="Page Numbers (Bottom of Page)"/>
        <w:docPartUnique/>
      </w:docPartObj>
    </w:sdtPr>
    <w:sdtEndPr>
      <w:rPr>
        <w:rStyle w:val="Letterhead1Char"/>
        <w:spacing w:val="8"/>
      </w:rPr>
    </w:sdtEndPr>
    <w:sdtContent>
      <w:p w14:paraId="41DAF05D" w14:textId="77777777" w:rsidR="00200982" w:rsidRPr="009236CD" w:rsidRDefault="0088720C" w:rsidP="0088720C">
        <w:pPr>
          <w:jc w:val="right"/>
          <w:rPr>
            <w:rStyle w:val="Letterhead1Char"/>
          </w:rPr>
        </w:pPr>
        <w:r w:rsidRPr="009236CD">
          <w:rPr>
            <w:rStyle w:val="Letterhead1Char"/>
          </w:rPr>
          <w:fldChar w:fldCharType="begin"/>
        </w:r>
        <w:r w:rsidRPr="009236CD">
          <w:rPr>
            <w:rStyle w:val="Letterhead1Char"/>
          </w:rPr>
          <w:instrText xml:space="preserve"> PAGE   \* MERGEFORMAT </w:instrText>
        </w:r>
        <w:r w:rsidRPr="009236CD">
          <w:rPr>
            <w:rStyle w:val="Letterhead1Char"/>
          </w:rPr>
          <w:fldChar w:fldCharType="separate"/>
        </w:r>
        <w:r w:rsidRPr="009236CD">
          <w:rPr>
            <w:rStyle w:val="Letterhead1Char"/>
          </w:rPr>
          <w:t>1</w:t>
        </w:r>
        <w:r w:rsidRPr="009236CD">
          <w:rPr>
            <w:rStyle w:val="Letterhead1Char"/>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2008A" w14:textId="77777777" w:rsidR="00D560F9" w:rsidRPr="00A72DB0" w:rsidRDefault="00D560F9" w:rsidP="009236CD">
    <w:pPr>
      <w:pStyle w:val="Letterhead1"/>
    </w:pPr>
    <w:r w:rsidRPr="00A72DB0">
      <w:fldChar w:fldCharType="begin"/>
    </w:r>
    <w:r w:rsidRPr="00A72DB0">
      <w:instrText xml:space="preserve"> PAGE   \* MERGEFORMAT </w:instrText>
    </w:r>
    <w:r w:rsidRPr="00A72DB0">
      <w:fldChar w:fldCharType="separate"/>
    </w:r>
    <w:r w:rsidRPr="00A72DB0">
      <w:t>2</w:t>
    </w:r>
    <w:r w:rsidRPr="00A72DB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8AC04F" w14:textId="77777777" w:rsidR="00887B4A" w:rsidRDefault="00887B4A">
      <w:pPr>
        <w:spacing w:after="0" w:line="240" w:lineRule="auto"/>
      </w:pPr>
      <w:r>
        <w:separator/>
      </w:r>
    </w:p>
  </w:footnote>
  <w:footnote w:type="continuationSeparator" w:id="0">
    <w:p w14:paraId="693E659A" w14:textId="77777777" w:rsidR="00887B4A" w:rsidRDefault="00887B4A">
      <w:pPr>
        <w:spacing w:after="0" w:line="240" w:lineRule="auto"/>
      </w:pPr>
      <w:r>
        <w:continuationSeparator/>
      </w:r>
    </w:p>
  </w:footnote>
  <w:footnote w:type="continuationNotice" w:id="1">
    <w:p w14:paraId="5DD6E9F1" w14:textId="77777777" w:rsidR="00887B4A" w:rsidRDefault="00887B4A">
      <w:pPr>
        <w:spacing w:after="0" w:line="240" w:lineRule="auto"/>
      </w:pPr>
    </w:p>
  </w:footnote>
  <w:footnote w:id="2">
    <w:p w14:paraId="61549987" w14:textId="26701529" w:rsidR="0006421A" w:rsidRPr="00F02C1B" w:rsidRDefault="0006421A" w:rsidP="0006421A">
      <w:pPr>
        <w:pStyle w:val="FootnoteText"/>
        <w:rPr>
          <w:lang w:val="en-US"/>
        </w:rPr>
      </w:pPr>
      <w:r>
        <w:rPr>
          <w:rStyle w:val="FootnoteReference"/>
        </w:rPr>
        <w:footnoteRef/>
      </w:r>
      <w:r>
        <w:t xml:space="preserve"> </w:t>
      </w:r>
      <w:r w:rsidRPr="00AC66B6">
        <w:t>Telecommunications (Statutory Infrastructure Providers—Circumstances for Exceptions to Connection and Supply Obligations) Determination 2021</w:t>
      </w:r>
      <w:r w:rsidR="00AC66B6">
        <w:t>:</w:t>
      </w:r>
      <w:r w:rsidRPr="00F02C1B">
        <w:t xml:space="preserve"> </w:t>
      </w:r>
      <w:r>
        <w:rPr>
          <w:lang w:val="en-US"/>
        </w:rPr>
        <w:t xml:space="preserve">Explanatory </w:t>
      </w:r>
      <w:r w:rsidR="00392AAA">
        <w:rPr>
          <w:lang w:val="en-US"/>
        </w:rPr>
        <w:t>S</w:t>
      </w:r>
      <w:r>
        <w:rPr>
          <w:lang w:val="en-US"/>
        </w:rPr>
        <w:t>tatement.</w:t>
      </w:r>
    </w:p>
  </w:footnote>
  <w:footnote w:id="3">
    <w:p w14:paraId="5786EC5D" w14:textId="00B6F98E" w:rsidR="00F27F02" w:rsidRPr="00F27F02" w:rsidRDefault="00F27F02">
      <w:pPr>
        <w:pStyle w:val="FootnoteText"/>
        <w:rPr>
          <w:lang w:val="en-US"/>
        </w:rPr>
      </w:pPr>
      <w:r>
        <w:rPr>
          <w:rStyle w:val="FootnoteReference"/>
        </w:rPr>
        <w:footnoteRef/>
      </w:r>
      <w:r>
        <w:t xml:space="preserve"> </w:t>
      </w:r>
      <w:r w:rsidR="00490FC0">
        <w:t>ACCAN</w:t>
      </w:r>
      <w:r w:rsidR="00962F02">
        <w:t>,</w:t>
      </w:r>
      <w:r w:rsidR="00490FC0">
        <w:t xml:space="preserve"> 2021</w:t>
      </w:r>
      <w:r w:rsidR="00962F02">
        <w:t>,</w:t>
      </w:r>
      <w:r w:rsidR="00490FC0">
        <w:t xml:space="preserve"> </w:t>
      </w:r>
      <w:r w:rsidR="00490FC0">
        <w:rPr>
          <w:i/>
          <w:iCs/>
        </w:rPr>
        <w:t>ACCAN Submission to Consultation on reasonable connection and supply requests for statutory infrastructure providers</w:t>
      </w:r>
      <w:r w:rsidR="00FD75A3">
        <w:rPr>
          <w:i/>
          <w:iCs/>
        </w:rPr>
        <w:t>.</w:t>
      </w:r>
      <w:r w:rsidR="00490FC0">
        <w:rPr>
          <w:i/>
          <w:iCs/>
        </w:rPr>
        <w:t xml:space="preserve"> </w:t>
      </w:r>
      <w:r w:rsidR="00FD75A3">
        <w:t>A</w:t>
      </w:r>
      <w:r w:rsidR="00490FC0">
        <w:t xml:space="preserve">vailable at: </w:t>
      </w:r>
      <w:hyperlink r:id="rId1" w:history="1">
        <w:r w:rsidR="00756382" w:rsidRPr="00093D00">
          <w:rPr>
            <w:rStyle w:val="Hyperlink"/>
          </w:rPr>
          <w:t>www.accan.org.au/accans-work/submissions/1829-consultation-on-reasonable-connection-and-supply-requests-for-statutory-infrastructure-providers</w:t>
        </w:r>
      </w:hyperlink>
      <w:r w:rsidR="00756382">
        <w:t xml:space="preserve"> </w:t>
      </w:r>
      <w:r>
        <w:t xml:space="preserve"> </w:t>
      </w:r>
    </w:p>
  </w:footnote>
  <w:footnote w:id="4">
    <w:p w14:paraId="01BC15A2" w14:textId="6C9B3955" w:rsidR="00EF1293" w:rsidRPr="00BA37A5" w:rsidRDefault="00EF1293">
      <w:pPr>
        <w:pStyle w:val="FootnoteText"/>
        <w:rPr>
          <w:i/>
          <w:lang w:val="en-US" w:eastAsia="en-US"/>
        </w:rPr>
      </w:pPr>
      <w:r>
        <w:rPr>
          <w:rStyle w:val="FootnoteReference"/>
        </w:rPr>
        <w:footnoteRef/>
      </w:r>
      <w:r>
        <w:t xml:space="preserve"> </w:t>
      </w:r>
      <w:r>
        <w:rPr>
          <w:lang w:val="en-US" w:eastAsia="en-US"/>
        </w:rPr>
        <w:t>Senate Standing Committee for the Scrutiny of Delegated Legislation,</w:t>
      </w:r>
      <w:r w:rsidR="00E718AD">
        <w:rPr>
          <w:lang w:val="en-US" w:eastAsia="en-US"/>
        </w:rPr>
        <w:t xml:space="preserve"> 2021</w:t>
      </w:r>
      <w:r w:rsidR="00962F02">
        <w:rPr>
          <w:i/>
          <w:iCs/>
          <w:lang w:val="en-US" w:eastAsia="en-US"/>
        </w:rPr>
        <w:t>,</w:t>
      </w:r>
      <w:r w:rsidR="003A6A3D" w:rsidRPr="00E718AD">
        <w:rPr>
          <w:i/>
          <w:iCs/>
          <w:lang w:val="en-US" w:eastAsia="en-US"/>
        </w:rPr>
        <w:t xml:space="preserve"> </w:t>
      </w:r>
      <w:r w:rsidR="00BA37A5" w:rsidRPr="00BA37A5">
        <w:rPr>
          <w:i/>
          <w:iCs/>
          <w:lang w:val="en-US" w:eastAsia="en-US"/>
        </w:rPr>
        <w:t>Monitor 14 of 2021 -</w:t>
      </w:r>
      <w:r w:rsidR="003A6A3D" w:rsidRPr="00E718AD">
        <w:rPr>
          <w:i/>
          <w:iCs/>
          <w:lang w:val="en-US" w:eastAsia="en-US"/>
        </w:rPr>
        <w:t xml:space="preserve"> Committee correspondence</w:t>
      </w:r>
      <w:r w:rsidR="00BA37A5">
        <w:rPr>
          <w:i/>
          <w:iCs/>
          <w:lang w:val="en-US" w:eastAsia="en-US"/>
        </w:rPr>
        <w:t xml:space="preserve">: </w:t>
      </w:r>
      <w:r w:rsidR="00BA37A5" w:rsidRPr="00BA37A5">
        <w:rPr>
          <w:i/>
          <w:iCs/>
          <w:lang w:val="en-US" w:eastAsia="en-US"/>
        </w:rPr>
        <w:t>Correspondence relating to chapter 1 and appendices</w:t>
      </w:r>
      <w:r w:rsidR="00E718AD">
        <w:rPr>
          <w:lang w:val="en-US" w:eastAsia="en-US"/>
        </w:rPr>
        <w:t xml:space="preserve">. </w:t>
      </w:r>
      <w:r w:rsidR="00231411">
        <w:rPr>
          <w:lang w:val="en-US" w:eastAsia="en-US"/>
        </w:rPr>
        <w:t>Available at:</w:t>
      </w:r>
      <w:r w:rsidR="005E40C6">
        <w:rPr>
          <w:lang w:val="en-US" w:eastAsia="en-US"/>
        </w:rPr>
        <w:t xml:space="preserve"> </w:t>
      </w:r>
      <w:hyperlink r:id="rId2" w:history="1">
        <w:r w:rsidR="009D312E" w:rsidRPr="00421F1D">
          <w:rPr>
            <w:rStyle w:val="Hyperlink"/>
            <w:lang w:val="en-US" w:eastAsia="en-US"/>
          </w:rPr>
          <w:t>https://www.aph.gov.au/Parliamentary_Business/Committees/Senate/Scrutiny_of_Delegated_Legislation/Index/-/media/73ED4500D2D84B72830313E41761A6B3.ashx</w:t>
        </w:r>
      </w:hyperlink>
      <w:r w:rsidR="00E718AD">
        <w:rPr>
          <w:lang w:val="en-US" w:eastAsia="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C0398" w14:textId="77777777" w:rsidR="00200982" w:rsidRPr="00AD3EFC" w:rsidRDefault="00AD3EFC" w:rsidP="00CB1B60">
    <w:pPr>
      <w:pStyle w:val="Letterhead2"/>
    </w:pPr>
    <w:r>
      <w:rPr>
        <w:noProof/>
      </w:rPr>
      <w:drawing>
        <wp:anchor distT="0" distB="0" distL="114300" distR="114300" simplePos="0" relativeHeight="251658241" behindDoc="0" locked="0" layoutInCell="1" allowOverlap="1" wp14:anchorId="79842935" wp14:editId="1D0D3703">
          <wp:simplePos x="0" y="0"/>
          <wp:positionH relativeFrom="column">
            <wp:posOffset>-4445</wp:posOffset>
          </wp:positionH>
          <wp:positionV relativeFrom="page">
            <wp:posOffset>224790</wp:posOffset>
          </wp:positionV>
          <wp:extent cx="777240" cy="335915"/>
          <wp:effectExtent l="0" t="0" r="3810" b="6985"/>
          <wp:wrapSquare wrapText="bothSides"/>
          <wp:docPr id="12" name="Picture 12">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hlinkClick r:id="rId1"/>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 cy="335915"/>
                  </a:xfrm>
                  <a:prstGeom prst="rect">
                    <a:avLst/>
                  </a:prstGeom>
                  <a:noFill/>
                </pic:spPr>
              </pic:pic>
            </a:graphicData>
          </a:graphic>
          <wp14:sizeRelH relativeFrom="margin">
            <wp14:pctWidth>0</wp14:pctWidth>
          </wp14:sizeRelH>
          <wp14:sizeRelV relativeFrom="margin">
            <wp14:pctHeight>0</wp14:pctHeight>
          </wp14:sizeRelV>
        </wp:anchor>
      </w:drawing>
    </w:r>
    <w:r>
      <w:t xml:space="preserve">   Your </w:t>
    </w:r>
    <w:r w:rsidRPr="00CF0438">
      <w:t>consumer</w:t>
    </w:r>
    <w:r>
      <w:t xml:space="preserve"> voice on phones and internet</w:t>
    </w:r>
    <w:r>
      <w:rPr>
        <w:noProof/>
      </w:rPr>
      <mc:AlternateContent>
        <mc:Choice Requires="wps">
          <w:drawing>
            <wp:anchor distT="0" distB="0" distL="114300" distR="114300" simplePos="0" relativeHeight="251658240" behindDoc="1" locked="0" layoutInCell="1" allowOverlap="1" wp14:anchorId="1F1EBD1D" wp14:editId="6F4E7B96">
              <wp:simplePos x="0" y="0"/>
              <wp:positionH relativeFrom="column">
                <wp:posOffset>-574675</wp:posOffset>
              </wp:positionH>
              <wp:positionV relativeFrom="page">
                <wp:posOffset>694055</wp:posOffset>
              </wp:positionV>
              <wp:extent cx="6894195" cy="46990"/>
              <wp:effectExtent l="0" t="0" r="1905"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93560" cy="4635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v:rect id="Rectangle 1" style="position:absolute;margin-left:-45.25pt;margin-top:54.65pt;width:542.85pt;height:3.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alt="&quot;&quot;" o:spid="_x0000_s1026" fillcolor="#43c7f4" stroked="f" strokeweight="2pt" w14:anchorId="1599C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jgfwIAAFYFAAAOAAAAZHJzL2Uyb0RvYy54bWysVE1vGjEQvVfqf7B8bxYIkASxRIiIqlKU&#10;oCZVzsZrs5a8Htc2LPTXd+z9IKVVD1U5GNvz5s3M2xnP74+VJgfhvAKT0+HVgBJhOBTK7HL67XX9&#10;6ZYSH5gpmAYjcnoSnt4vPn6Y13YmRlCCLoQjSGL8rLY5LUOwsyzzvBQV81dghUGjBFexgEe3ywrH&#10;amSvdDYaDKZZDa6wDrjwHm8fGiNdJH4pBQ/PUnoRiM4p5hbS6tK6jWu2mLPZzjFbKt6mwf4hi4op&#10;g0F7qgcWGNk79RtVpbgDDzJccagykFJxkWrAaoaDi2peSmZFqgXF8baXyf8/Wv50eLEbhzLU1s88&#10;bmMVR+mq+I/5kWMS69SLJY6BcLyc3t5dT6aoKUfbeHo9mUQxs7OzdT58FlCRuMmpw2+RJGKHRx8a&#10;aAeJsTxoVayV1ungdtuVduTA8LuNr1c363HL/gtMmwg2EN0axniTnUtJu3DSIuK0+SokUQUmP0qZ&#10;pC4TfRzGuTBh2JhKVogm/GSAvy567MvokSpNhJFZYvyeuyXokA1Jx91k2eKjq0hN2jsP/pZY49x7&#10;pMhgQu9cKQPuTwQaq2ojN/hOpEaaqNIWitPGEQfNiHjL1wq/2yPzYcMczgR+aZzz8IyL1FDnlGtl&#10;KSnB/bi8izhsUbRQUuNs5dR/3zMnKNFfDDbv3XA8jsOYDuPJzQgP7r1l+95i9tUKsA2G+JJYnrYR&#10;H3S3lQ6qN3wGljEqmpjhGBsTDK47rEIz8/iQcLFcJhgOoGXh0bxYHsmjmrEfX49vzNm2aQN2+xN0&#10;c8hmF73bYKOngeU+gFSpsc96tjrj8KaGaR+a+Dq8PyfU+Tlc/AQAAP//AwBQSwMEFAAGAAgAAAAh&#10;AJYaMO/hAAAACwEAAA8AAABkcnMvZG93bnJldi54bWxMj8FKw0AQhu+C77CM4EXaTSuNbsymFKGI&#10;FArWXrxNknUT3J0N2W0b397xpMeZ/+Ofb8r15J04mzH2gTQs5hkIQ01oe7Iaju/b2SOImJBadIGM&#10;hm8TYV1dX5VYtOFCb+Z8SFZwCcUCNXQpDYWUsemMxzgPgyHOPsPoMfE4WtmOeOFy7+Qyy3LpsSe+&#10;0OFgnjvTfB1OXsPrdrPPIyq7c84eP/BlT/XuTuvbm2nzBCKZKf3B8KvP6lCxUx1O1EbhNMxUtmKU&#10;g0zdg2BCqdUSRM2bRf4Asirl/x+qHwAAAP//AwBQSwECLQAUAAYACAAAACEAtoM4kv4AAADhAQAA&#10;EwAAAAAAAAAAAAAAAAAAAAAAW0NvbnRlbnRfVHlwZXNdLnhtbFBLAQItABQABgAIAAAAIQA4/SH/&#10;1gAAAJQBAAALAAAAAAAAAAAAAAAAAC8BAABfcmVscy8ucmVsc1BLAQItABQABgAIAAAAIQCpNyjg&#10;fwIAAFYFAAAOAAAAAAAAAAAAAAAAAC4CAABkcnMvZTJvRG9jLnhtbFBLAQItABQABgAIAAAAIQCW&#10;GjDv4QAAAAsBAAAPAAAAAAAAAAAAAAAAANkEAABkcnMvZG93bnJldi54bWxQSwUGAAAAAAQABADz&#10;AAAA5wUAAAAA&#10;">
              <w10:wrap anchory="page"/>
            </v:rect>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m/C6mGJeQTWOW1" int2:id="1bp59yLP">
      <int2:state int2:value="Rejected" int2:type="LegacyProofing"/>
    </int2:textHash>
    <int2:bookmark int2:bookmarkName="_Int_cc7ZpXWS" int2:invalidationBookmarkName="" int2:hashCode="YTZ1gueDbY7KRi" int2:id="2Ih0kcaf">
      <int2:state int2:value="Rejected" int2:type="AugLoop_Text_Critique"/>
    </int2:bookmark>
    <int2:bookmark int2:bookmarkName="_Int_I7HQbhOg" int2:invalidationBookmarkName="" int2:hashCode="V9CnXcV+ZGgRNM" int2:id="JGjQASzZ">
      <int2:state int2:value="Rejected" int2:type="AugLoop_Text_Critique"/>
    </int2:bookmark>
    <int2:bookmark int2:bookmarkName="_Int_0fP0gagB" int2:invalidationBookmarkName="" int2:hashCode="aQR2NwtCjU538r" int2:id="cKxRAzIo">
      <int2:state int2:value="Rejected" int2:type="AugLoop_Text_Critique"/>
    </int2:bookmark>
    <int2:bookmark int2:bookmarkName="_Int_DJTaQOFv" int2:invalidationBookmarkName="" int2:hashCode="U7bvKC8hH87oqc" int2:id="dT34m89e">
      <int2:state int2:value="Rejected" int2:type="AugLoop_Acronyms_AcronymsCritique"/>
    </int2:bookmark>
    <int2:bookmark int2:bookmarkName="_Int_WLRucTk8" int2:invalidationBookmarkName="" int2:hashCode="e0dMsLOcF3PXGS" int2:id="kriDJu9h">
      <int2:state int2:value="Rejected" int2:type="AugLoop_Text_Critique"/>
    </int2:bookmark>
    <int2:bookmark int2:bookmarkName="_Int_sUxIVLq1" int2:invalidationBookmarkName="" int2:hashCode="PHWk9zV+jgHp9c" int2:id="sA4tr91P">
      <int2:state int2:value="Rejected" int2:type="AugLoop_Text_Critique"/>
    </int2:bookmark>
    <int2:bookmark int2:bookmarkName="_Int_TTsgJZHH" int2:invalidationBookmarkName="" int2:hashCode="aQR2NwtCjU538r" int2:id="xvdvevzZ">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40A57"/>
    <w:multiLevelType w:val="hybridMultilevel"/>
    <w:tmpl w:val="A7A27E06"/>
    <w:lvl w:ilvl="0" w:tplc="0C090001">
      <w:start w:val="1"/>
      <w:numFmt w:val="bullet"/>
      <w:lvlText w:val=""/>
      <w:lvlJc w:val="left"/>
      <w:pPr>
        <w:ind w:left="1288" w:hanging="360"/>
      </w:pPr>
      <w:rPr>
        <w:rFonts w:ascii="Symbol" w:hAnsi="Symbol" w:hint="default"/>
      </w:rPr>
    </w:lvl>
    <w:lvl w:ilvl="1" w:tplc="0C090003" w:tentative="1">
      <w:start w:val="1"/>
      <w:numFmt w:val="bullet"/>
      <w:lvlText w:val="o"/>
      <w:lvlJc w:val="left"/>
      <w:pPr>
        <w:ind w:left="2008" w:hanging="360"/>
      </w:pPr>
      <w:rPr>
        <w:rFonts w:ascii="Courier New" w:hAnsi="Courier New" w:cs="Courier New" w:hint="default"/>
      </w:rPr>
    </w:lvl>
    <w:lvl w:ilvl="2" w:tplc="0C090005" w:tentative="1">
      <w:start w:val="1"/>
      <w:numFmt w:val="bullet"/>
      <w:lvlText w:val=""/>
      <w:lvlJc w:val="left"/>
      <w:pPr>
        <w:ind w:left="2728" w:hanging="360"/>
      </w:pPr>
      <w:rPr>
        <w:rFonts w:ascii="Wingdings" w:hAnsi="Wingdings" w:hint="default"/>
      </w:rPr>
    </w:lvl>
    <w:lvl w:ilvl="3" w:tplc="0C090001" w:tentative="1">
      <w:start w:val="1"/>
      <w:numFmt w:val="bullet"/>
      <w:lvlText w:val=""/>
      <w:lvlJc w:val="left"/>
      <w:pPr>
        <w:ind w:left="3448" w:hanging="360"/>
      </w:pPr>
      <w:rPr>
        <w:rFonts w:ascii="Symbol" w:hAnsi="Symbol" w:hint="default"/>
      </w:rPr>
    </w:lvl>
    <w:lvl w:ilvl="4" w:tplc="0C090003" w:tentative="1">
      <w:start w:val="1"/>
      <w:numFmt w:val="bullet"/>
      <w:lvlText w:val="o"/>
      <w:lvlJc w:val="left"/>
      <w:pPr>
        <w:ind w:left="4168" w:hanging="360"/>
      </w:pPr>
      <w:rPr>
        <w:rFonts w:ascii="Courier New" w:hAnsi="Courier New" w:cs="Courier New" w:hint="default"/>
      </w:rPr>
    </w:lvl>
    <w:lvl w:ilvl="5" w:tplc="0C090005" w:tentative="1">
      <w:start w:val="1"/>
      <w:numFmt w:val="bullet"/>
      <w:lvlText w:val=""/>
      <w:lvlJc w:val="left"/>
      <w:pPr>
        <w:ind w:left="4888" w:hanging="360"/>
      </w:pPr>
      <w:rPr>
        <w:rFonts w:ascii="Wingdings" w:hAnsi="Wingdings" w:hint="default"/>
      </w:rPr>
    </w:lvl>
    <w:lvl w:ilvl="6" w:tplc="0C090001" w:tentative="1">
      <w:start w:val="1"/>
      <w:numFmt w:val="bullet"/>
      <w:lvlText w:val=""/>
      <w:lvlJc w:val="left"/>
      <w:pPr>
        <w:ind w:left="5608" w:hanging="360"/>
      </w:pPr>
      <w:rPr>
        <w:rFonts w:ascii="Symbol" w:hAnsi="Symbol" w:hint="default"/>
      </w:rPr>
    </w:lvl>
    <w:lvl w:ilvl="7" w:tplc="0C090003" w:tentative="1">
      <w:start w:val="1"/>
      <w:numFmt w:val="bullet"/>
      <w:lvlText w:val="o"/>
      <w:lvlJc w:val="left"/>
      <w:pPr>
        <w:ind w:left="6328" w:hanging="360"/>
      </w:pPr>
      <w:rPr>
        <w:rFonts w:ascii="Courier New" w:hAnsi="Courier New" w:cs="Courier New" w:hint="default"/>
      </w:rPr>
    </w:lvl>
    <w:lvl w:ilvl="8" w:tplc="0C090005" w:tentative="1">
      <w:start w:val="1"/>
      <w:numFmt w:val="bullet"/>
      <w:lvlText w:val=""/>
      <w:lvlJc w:val="left"/>
      <w:pPr>
        <w:ind w:left="7048" w:hanging="360"/>
      </w:pPr>
      <w:rPr>
        <w:rFonts w:ascii="Wingdings" w:hAnsi="Wingdings" w:hint="default"/>
      </w:rPr>
    </w:lvl>
  </w:abstractNum>
  <w:abstractNum w:abstractNumId="1" w15:restartNumberingAfterBreak="0">
    <w:nsid w:val="155504ED"/>
    <w:multiLevelType w:val="hybridMultilevel"/>
    <w:tmpl w:val="D444E978"/>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 w15:restartNumberingAfterBreak="0">
    <w:nsid w:val="18F17F0E"/>
    <w:multiLevelType w:val="hybridMultilevel"/>
    <w:tmpl w:val="3EDAB80E"/>
    <w:lvl w:ilvl="0" w:tplc="CF0810CE">
      <w:start w:val="1"/>
      <w:numFmt w:val="decimal"/>
      <w:lvlText w:val="(%1)"/>
      <w:lvlJc w:val="left"/>
      <w:pPr>
        <w:ind w:left="720" w:hanging="360"/>
      </w:pPr>
      <w:rPr>
        <w:rFonts w:eastAsiaTheme="minorHAnsi"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A4F73F1"/>
    <w:multiLevelType w:val="hybridMultilevel"/>
    <w:tmpl w:val="68D092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03A1586"/>
    <w:multiLevelType w:val="hybridMultilevel"/>
    <w:tmpl w:val="F676B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2DB61A9"/>
    <w:multiLevelType w:val="hybridMultilevel"/>
    <w:tmpl w:val="9AF41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344104C"/>
    <w:multiLevelType w:val="hybridMultilevel"/>
    <w:tmpl w:val="D1148F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AD5D7E"/>
    <w:multiLevelType w:val="multilevel"/>
    <w:tmpl w:val="F664EB30"/>
    <w:lvl w:ilvl="0">
      <w:start w:val="1"/>
      <w:numFmt w:val="lowerRoman"/>
      <w:lvlText w:val="(%1)"/>
      <w:lvlJc w:val="left"/>
      <w:pPr>
        <w:tabs>
          <w:tab w:val="left" w:pos="2205"/>
        </w:tabs>
        <w:ind w:left="1701" w:firstLine="0"/>
      </w:pPr>
      <w:rPr>
        <w:rFonts w:ascii="Times New Roman" w:eastAsia="Times New Roman" w:hAnsi="Times New Roman" w:cstheme="minorBidi"/>
        <w:color w:val="000000"/>
        <w:spacing w:val="0"/>
        <w:w w:val="100"/>
        <w:sz w:val="22"/>
        <w:szCs w:val="22"/>
        <w:vertAlign w:val="baseline"/>
        <w:lang w:val="en-US"/>
      </w:rPr>
    </w:lvl>
    <w:lvl w:ilvl="1">
      <w:numFmt w:val="decimal"/>
      <w:lvlText w:val=""/>
      <w:lvlJc w:val="left"/>
      <w:pPr>
        <w:ind w:left="1701" w:firstLine="0"/>
      </w:pPr>
    </w:lvl>
    <w:lvl w:ilvl="2">
      <w:numFmt w:val="decimal"/>
      <w:lvlText w:val=""/>
      <w:lvlJc w:val="left"/>
      <w:pPr>
        <w:ind w:left="1701" w:firstLine="0"/>
      </w:pPr>
    </w:lvl>
    <w:lvl w:ilvl="3">
      <w:numFmt w:val="decimal"/>
      <w:lvlText w:val=""/>
      <w:lvlJc w:val="left"/>
      <w:pPr>
        <w:ind w:left="1701" w:firstLine="0"/>
      </w:pPr>
    </w:lvl>
    <w:lvl w:ilvl="4">
      <w:numFmt w:val="decimal"/>
      <w:lvlText w:val=""/>
      <w:lvlJc w:val="left"/>
      <w:pPr>
        <w:ind w:left="1701" w:firstLine="0"/>
      </w:pPr>
    </w:lvl>
    <w:lvl w:ilvl="5">
      <w:numFmt w:val="decimal"/>
      <w:lvlText w:val=""/>
      <w:lvlJc w:val="left"/>
      <w:pPr>
        <w:ind w:left="1701" w:firstLine="0"/>
      </w:pPr>
    </w:lvl>
    <w:lvl w:ilvl="6">
      <w:numFmt w:val="decimal"/>
      <w:lvlText w:val=""/>
      <w:lvlJc w:val="left"/>
      <w:pPr>
        <w:ind w:left="1701" w:firstLine="0"/>
      </w:pPr>
    </w:lvl>
    <w:lvl w:ilvl="7">
      <w:numFmt w:val="decimal"/>
      <w:lvlText w:val=""/>
      <w:lvlJc w:val="left"/>
      <w:pPr>
        <w:ind w:left="1701" w:firstLine="0"/>
      </w:pPr>
    </w:lvl>
    <w:lvl w:ilvl="8">
      <w:numFmt w:val="decimal"/>
      <w:lvlText w:val=""/>
      <w:lvlJc w:val="left"/>
      <w:pPr>
        <w:ind w:left="1701" w:firstLine="0"/>
      </w:pPr>
    </w:lvl>
  </w:abstractNum>
  <w:abstractNum w:abstractNumId="8" w15:restartNumberingAfterBreak="0">
    <w:nsid w:val="29CA6F09"/>
    <w:multiLevelType w:val="hybridMultilevel"/>
    <w:tmpl w:val="E276689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2B617668"/>
    <w:multiLevelType w:val="hybridMultilevel"/>
    <w:tmpl w:val="9DC8A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277"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11" w15:restartNumberingAfterBreak="0">
    <w:nsid w:val="30EA3AFD"/>
    <w:multiLevelType w:val="hybridMultilevel"/>
    <w:tmpl w:val="7C0C4234"/>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2" w15:restartNumberingAfterBreak="0">
    <w:nsid w:val="337C5FB2"/>
    <w:multiLevelType w:val="multilevel"/>
    <w:tmpl w:val="6AFEEB4C"/>
    <w:numStyleLink w:val="Bullets"/>
  </w:abstractNum>
  <w:abstractNum w:abstractNumId="13" w15:restartNumberingAfterBreak="0">
    <w:nsid w:val="35F41370"/>
    <w:multiLevelType w:val="multilevel"/>
    <w:tmpl w:val="9384D0D8"/>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14" w15:restartNumberingAfterBreak="0">
    <w:nsid w:val="364709A3"/>
    <w:multiLevelType w:val="hybridMultilevel"/>
    <w:tmpl w:val="A0F45848"/>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5" w15:restartNumberingAfterBreak="0">
    <w:nsid w:val="3DCA3F08"/>
    <w:multiLevelType w:val="hybridMultilevel"/>
    <w:tmpl w:val="C72C623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3EC82FE8"/>
    <w:multiLevelType w:val="hybridMultilevel"/>
    <w:tmpl w:val="A198BA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3F877273"/>
    <w:multiLevelType w:val="hybridMultilevel"/>
    <w:tmpl w:val="E7A416D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3FA72970"/>
    <w:multiLevelType w:val="hybridMultilevel"/>
    <w:tmpl w:val="F0EAFC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CA356FB"/>
    <w:multiLevelType w:val="hybridMultilevel"/>
    <w:tmpl w:val="69F66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D7725A1"/>
    <w:multiLevelType w:val="hybridMultilevel"/>
    <w:tmpl w:val="B5D08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7EA6FFA"/>
    <w:multiLevelType w:val="hybridMultilevel"/>
    <w:tmpl w:val="6954256C"/>
    <w:lvl w:ilvl="0" w:tplc="8832724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BB90838"/>
    <w:multiLevelType w:val="hybridMultilevel"/>
    <w:tmpl w:val="061A666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3" w15:restartNumberingAfterBreak="0">
    <w:nsid w:val="62E82CAA"/>
    <w:multiLevelType w:val="hybridMultilevel"/>
    <w:tmpl w:val="5906AF9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64585F0D"/>
    <w:multiLevelType w:val="hybridMultilevel"/>
    <w:tmpl w:val="7C9E532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65C21CCC"/>
    <w:multiLevelType w:val="hybridMultilevel"/>
    <w:tmpl w:val="006C9E68"/>
    <w:lvl w:ilvl="0" w:tplc="DC484678">
      <w:start w:val="3"/>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6E411E9"/>
    <w:multiLevelType w:val="hybridMultilevel"/>
    <w:tmpl w:val="F042AC26"/>
    <w:lvl w:ilvl="0" w:tplc="B6CC44BA">
      <w:start w:val="2"/>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7921178"/>
    <w:multiLevelType w:val="hybridMultilevel"/>
    <w:tmpl w:val="C038B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A1C0B34"/>
    <w:multiLevelType w:val="hybridMultilevel"/>
    <w:tmpl w:val="945AB8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B002D2B"/>
    <w:multiLevelType w:val="hybridMultilevel"/>
    <w:tmpl w:val="330E1B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BA852CB"/>
    <w:multiLevelType w:val="hybridMultilevel"/>
    <w:tmpl w:val="E4366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F902C3C"/>
    <w:multiLevelType w:val="hybridMultilevel"/>
    <w:tmpl w:val="7DD85F7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0AE0A63"/>
    <w:multiLevelType w:val="hybridMultilevel"/>
    <w:tmpl w:val="632026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5DC5453"/>
    <w:multiLevelType w:val="hybridMultilevel"/>
    <w:tmpl w:val="5980D562"/>
    <w:lvl w:ilvl="0" w:tplc="A0764706">
      <w:start w:val="1"/>
      <w:numFmt w:val="lowerLetter"/>
      <w:lvlText w:val="(%1)"/>
      <w:lvlJc w:val="left"/>
      <w:pPr>
        <w:ind w:left="1368" w:hanging="360"/>
      </w:pPr>
      <w:rPr>
        <w:rFonts w:hint="default"/>
        <w:sz w:val="22"/>
        <w:szCs w:val="22"/>
      </w:rPr>
    </w:lvl>
    <w:lvl w:ilvl="1" w:tplc="0C090019" w:tentative="1">
      <w:start w:val="1"/>
      <w:numFmt w:val="lowerLetter"/>
      <w:lvlText w:val="%2."/>
      <w:lvlJc w:val="left"/>
      <w:pPr>
        <w:ind w:left="2088" w:hanging="360"/>
      </w:pPr>
    </w:lvl>
    <w:lvl w:ilvl="2" w:tplc="0C09001B" w:tentative="1">
      <w:start w:val="1"/>
      <w:numFmt w:val="lowerRoman"/>
      <w:lvlText w:val="%3."/>
      <w:lvlJc w:val="right"/>
      <w:pPr>
        <w:ind w:left="2808" w:hanging="180"/>
      </w:pPr>
    </w:lvl>
    <w:lvl w:ilvl="3" w:tplc="0C09000F" w:tentative="1">
      <w:start w:val="1"/>
      <w:numFmt w:val="decimal"/>
      <w:lvlText w:val="%4."/>
      <w:lvlJc w:val="left"/>
      <w:pPr>
        <w:ind w:left="3528" w:hanging="360"/>
      </w:pPr>
    </w:lvl>
    <w:lvl w:ilvl="4" w:tplc="0C090019" w:tentative="1">
      <w:start w:val="1"/>
      <w:numFmt w:val="lowerLetter"/>
      <w:lvlText w:val="%5."/>
      <w:lvlJc w:val="left"/>
      <w:pPr>
        <w:ind w:left="4248" w:hanging="360"/>
      </w:pPr>
    </w:lvl>
    <w:lvl w:ilvl="5" w:tplc="0C09001B" w:tentative="1">
      <w:start w:val="1"/>
      <w:numFmt w:val="lowerRoman"/>
      <w:lvlText w:val="%6."/>
      <w:lvlJc w:val="right"/>
      <w:pPr>
        <w:ind w:left="4968" w:hanging="180"/>
      </w:pPr>
    </w:lvl>
    <w:lvl w:ilvl="6" w:tplc="0C09000F" w:tentative="1">
      <w:start w:val="1"/>
      <w:numFmt w:val="decimal"/>
      <w:lvlText w:val="%7."/>
      <w:lvlJc w:val="left"/>
      <w:pPr>
        <w:ind w:left="5688" w:hanging="360"/>
      </w:pPr>
    </w:lvl>
    <w:lvl w:ilvl="7" w:tplc="0C090019" w:tentative="1">
      <w:start w:val="1"/>
      <w:numFmt w:val="lowerLetter"/>
      <w:lvlText w:val="%8."/>
      <w:lvlJc w:val="left"/>
      <w:pPr>
        <w:ind w:left="6408" w:hanging="360"/>
      </w:pPr>
    </w:lvl>
    <w:lvl w:ilvl="8" w:tplc="0C09001B" w:tentative="1">
      <w:start w:val="1"/>
      <w:numFmt w:val="lowerRoman"/>
      <w:lvlText w:val="%9."/>
      <w:lvlJc w:val="right"/>
      <w:pPr>
        <w:ind w:left="7128" w:hanging="180"/>
      </w:pPr>
    </w:lvl>
  </w:abstractNum>
  <w:abstractNum w:abstractNumId="34" w15:restartNumberingAfterBreak="0">
    <w:nsid w:val="774F60C4"/>
    <w:multiLevelType w:val="hybridMultilevel"/>
    <w:tmpl w:val="186684D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5" w15:restartNumberingAfterBreak="0">
    <w:nsid w:val="7E4C05EC"/>
    <w:multiLevelType w:val="hybridMultilevel"/>
    <w:tmpl w:val="C256FC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297025575">
    <w:abstractNumId w:val="25"/>
  </w:num>
  <w:num w:numId="2" w16cid:durableId="1309937645">
    <w:abstractNumId w:val="18"/>
  </w:num>
  <w:num w:numId="3" w16cid:durableId="1363020806">
    <w:abstractNumId w:val="14"/>
  </w:num>
  <w:num w:numId="4" w16cid:durableId="239025159">
    <w:abstractNumId w:val="9"/>
  </w:num>
  <w:num w:numId="5" w16cid:durableId="2094617308">
    <w:abstractNumId w:val="0"/>
  </w:num>
  <w:num w:numId="6" w16cid:durableId="986864448">
    <w:abstractNumId w:val="30"/>
  </w:num>
  <w:num w:numId="7" w16cid:durableId="204946168">
    <w:abstractNumId w:val="3"/>
  </w:num>
  <w:num w:numId="8" w16cid:durableId="455099623">
    <w:abstractNumId w:val="23"/>
  </w:num>
  <w:num w:numId="9" w16cid:durableId="1137186840">
    <w:abstractNumId w:val="28"/>
  </w:num>
  <w:num w:numId="10" w16cid:durableId="777330096">
    <w:abstractNumId w:val="8"/>
  </w:num>
  <w:num w:numId="11" w16cid:durableId="1249999174">
    <w:abstractNumId w:val="32"/>
  </w:num>
  <w:num w:numId="12" w16cid:durableId="557977458">
    <w:abstractNumId w:val="11"/>
  </w:num>
  <w:num w:numId="13" w16cid:durableId="1941254348">
    <w:abstractNumId w:val="26"/>
  </w:num>
  <w:num w:numId="14" w16cid:durableId="906915118">
    <w:abstractNumId w:val="29"/>
  </w:num>
  <w:num w:numId="15" w16cid:durableId="1170877089">
    <w:abstractNumId w:val="21"/>
  </w:num>
  <w:num w:numId="16" w16cid:durableId="146635364">
    <w:abstractNumId w:val="17"/>
  </w:num>
  <w:num w:numId="17" w16cid:durableId="1411393860">
    <w:abstractNumId w:val="15"/>
  </w:num>
  <w:num w:numId="18" w16cid:durableId="654381262">
    <w:abstractNumId w:val="24"/>
  </w:num>
  <w:num w:numId="19" w16cid:durableId="226838686">
    <w:abstractNumId w:val="19"/>
  </w:num>
  <w:num w:numId="20" w16cid:durableId="480970995">
    <w:abstractNumId w:val="16"/>
  </w:num>
  <w:num w:numId="21" w16cid:durableId="1312520820">
    <w:abstractNumId w:val="35"/>
  </w:num>
  <w:num w:numId="22" w16cid:durableId="1253125788">
    <w:abstractNumId w:val="31"/>
  </w:num>
  <w:num w:numId="23" w16cid:durableId="699430088">
    <w:abstractNumId w:val="27"/>
  </w:num>
  <w:num w:numId="24" w16cid:durableId="351348626">
    <w:abstractNumId w:val="22"/>
  </w:num>
  <w:num w:numId="25" w16cid:durableId="1908613085">
    <w:abstractNumId w:val="4"/>
  </w:num>
  <w:num w:numId="26" w16cid:durableId="706226158">
    <w:abstractNumId w:val="6"/>
  </w:num>
  <w:num w:numId="27" w16cid:durableId="1278414560">
    <w:abstractNumId w:val="5"/>
  </w:num>
  <w:num w:numId="28" w16cid:durableId="758254510">
    <w:abstractNumId w:val="20"/>
  </w:num>
  <w:num w:numId="29" w16cid:durableId="473834808">
    <w:abstractNumId w:val="1"/>
  </w:num>
  <w:num w:numId="30" w16cid:durableId="1203983130">
    <w:abstractNumId w:val="34"/>
  </w:num>
  <w:num w:numId="31" w16cid:durableId="1014308645">
    <w:abstractNumId w:val="13"/>
    <w:lvlOverride w:ilvl="0">
      <w:lvl w:ilvl="0">
        <w:start w:val="1"/>
        <w:numFmt w:val="decimal"/>
        <w:pStyle w:val="Recommendation"/>
        <w:lvlText w:val="Recommendation %1:"/>
        <w:lvlJc w:val="left"/>
        <w:pPr>
          <w:ind w:left="851" w:firstLine="0"/>
        </w:pPr>
        <w:rPr>
          <w:rFonts w:hint="default"/>
          <w:b/>
          <w:bCs/>
        </w:rPr>
      </w:lvl>
    </w:lvlOverride>
  </w:num>
  <w:num w:numId="32" w16cid:durableId="1276209442">
    <w:abstractNumId w:val="13"/>
    <w:lvlOverride w:ilvl="0">
      <w:lvl w:ilvl="0">
        <w:start w:val="1"/>
        <w:numFmt w:val="decimal"/>
        <w:pStyle w:val="Recommendation"/>
        <w:lvlText w:val="Recommendation %1:"/>
        <w:lvlJc w:val="left"/>
        <w:pPr>
          <w:ind w:left="851" w:firstLine="0"/>
        </w:pPr>
        <w:rPr>
          <w:rFonts w:hint="default"/>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33" w16cid:durableId="2133592771">
    <w:abstractNumId w:val="10"/>
  </w:num>
  <w:num w:numId="34" w16cid:durableId="1705908320">
    <w:abstractNumId w:val="12"/>
  </w:num>
  <w:num w:numId="35" w16cid:durableId="2495120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5047647">
    <w:abstractNumId w:val="13"/>
  </w:num>
  <w:num w:numId="37" w16cid:durableId="1145665989">
    <w:abstractNumId w:val="2"/>
  </w:num>
  <w:num w:numId="38" w16cid:durableId="146748414">
    <w:abstractNumId w:val="33"/>
  </w:num>
  <w:num w:numId="39" w16cid:durableId="152386038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031"/>
    <w:rsid w:val="00002592"/>
    <w:rsid w:val="00002A84"/>
    <w:rsid w:val="000039D9"/>
    <w:rsid w:val="00006849"/>
    <w:rsid w:val="00006C00"/>
    <w:rsid w:val="000130E1"/>
    <w:rsid w:val="00014E08"/>
    <w:rsid w:val="00017156"/>
    <w:rsid w:val="0001751C"/>
    <w:rsid w:val="00017FF5"/>
    <w:rsid w:val="00020102"/>
    <w:rsid w:val="00020140"/>
    <w:rsid w:val="0002144A"/>
    <w:rsid w:val="0002178D"/>
    <w:rsid w:val="00021EEE"/>
    <w:rsid w:val="00022392"/>
    <w:rsid w:val="00022D35"/>
    <w:rsid w:val="00024123"/>
    <w:rsid w:val="00024E5A"/>
    <w:rsid w:val="00025032"/>
    <w:rsid w:val="00025FC3"/>
    <w:rsid w:val="00031DE1"/>
    <w:rsid w:val="00032441"/>
    <w:rsid w:val="000341DA"/>
    <w:rsid w:val="000345B4"/>
    <w:rsid w:val="00035FF8"/>
    <w:rsid w:val="000362DE"/>
    <w:rsid w:val="000431FD"/>
    <w:rsid w:val="00043833"/>
    <w:rsid w:val="00044434"/>
    <w:rsid w:val="00044AD4"/>
    <w:rsid w:val="0004526C"/>
    <w:rsid w:val="00046CB9"/>
    <w:rsid w:val="00046FFB"/>
    <w:rsid w:val="00052737"/>
    <w:rsid w:val="00052D56"/>
    <w:rsid w:val="000530BA"/>
    <w:rsid w:val="00053BD5"/>
    <w:rsid w:val="00055C76"/>
    <w:rsid w:val="00056A12"/>
    <w:rsid w:val="00056D71"/>
    <w:rsid w:val="000576D9"/>
    <w:rsid w:val="00057A92"/>
    <w:rsid w:val="00061D64"/>
    <w:rsid w:val="00062A46"/>
    <w:rsid w:val="000631E8"/>
    <w:rsid w:val="00063DD0"/>
    <w:rsid w:val="0006421A"/>
    <w:rsid w:val="000643B7"/>
    <w:rsid w:val="00066C39"/>
    <w:rsid w:val="00066CD4"/>
    <w:rsid w:val="00072C5D"/>
    <w:rsid w:val="00074521"/>
    <w:rsid w:val="00075C32"/>
    <w:rsid w:val="00077240"/>
    <w:rsid w:val="0008068C"/>
    <w:rsid w:val="000840C2"/>
    <w:rsid w:val="00086136"/>
    <w:rsid w:val="00086378"/>
    <w:rsid w:val="00090606"/>
    <w:rsid w:val="0009245D"/>
    <w:rsid w:val="000971B2"/>
    <w:rsid w:val="000A0DE3"/>
    <w:rsid w:val="000A0F96"/>
    <w:rsid w:val="000A3806"/>
    <w:rsid w:val="000A3FBC"/>
    <w:rsid w:val="000A4016"/>
    <w:rsid w:val="000A41A1"/>
    <w:rsid w:val="000A4520"/>
    <w:rsid w:val="000A6AC7"/>
    <w:rsid w:val="000B11EF"/>
    <w:rsid w:val="000B2023"/>
    <w:rsid w:val="000B2C45"/>
    <w:rsid w:val="000B7682"/>
    <w:rsid w:val="000B7BB7"/>
    <w:rsid w:val="000C1724"/>
    <w:rsid w:val="000C231C"/>
    <w:rsid w:val="000C463F"/>
    <w:rsid w:val="000C5BAA"/>
    <w:rsid w:val="000C7431"/>
    <w:rsid w:val="000D10AD"/>
    <w:rsid w:val="000D155E"/>
    <w:rsid w:val="000D17E4"/>
    <w:rsid w:val="000D18A2"/>
    <w:rsid w:val="000D3F85"/>
    <w:rsid w:val="000D5255"/>
    <w:rsid w:val="000D67CC"/>
    <w:rsid w:val="000D6C9F"/>
    <w:rsid w:val="000E0A5E"/>
    <w:rsid w:val="000E1593"/>
    <w:rsid w:val="000E2A17"/>
    <w:rsid w:val="000E2BDB"/>
    <w:rsid w:val="000E5CAE"/>
    <w:rsid w:val="000E624D"/>
    <w:rsid w:val="000E7B89"/>
    <w:rsid w:val="000F0991"/>
    <w:rsid w:val="000F0A2D"/>
    <w:rsid w:val="000F0DFA"/>
    <w:rsid w:val="000F21D4"/>
    <w:rsid w:val="000F3349"/>
    <w:rsid w:val="000F3856"/>
    <w:rsid w:val="000F764C"/>
    <w:rsid w:val="000F7ED8"/>
    <w:rsid w:val="00102D39"/>
    <w:rsid w:val="00103999"/>
    <w:rsid w:val="00103DAC"/>
    <w:rsid w:val="00104DAD"/>
    <w:rsid w:val="00106AEC"/>
    <w:rsid w:val="00111E0F"/>
    <w:rsid w:val="00111F02"/>
    <w:rsid w:val="00113465"/>
    <w:rsid w:val="00113AE0"/>
    <w:rsid w:val="001217E2"/>
    <w:rsid w:val="001217FD"/>
    <w:rsid w:val="00121D47"/>
    <w:rsid w:val="00122DD1"/>
    <w:rsid w:val="00124F88"/>
    <w:rsid w:val="00125060"/>
    <w:rsid w:val="00126183"/>
    <w:rsid w:val="0012626F"/>
    <w:rsid w:val="0012636E"/>
    <w:rsid w:val="0012663D"/>
    <w:rsid w:val="001270D6"/>
    <w:rsid w:val="001275E7"/>
    <w:rsid w:val="00130E70"/>
    <w:rsid w:val="00132365"/>
    <w:rsid w:val="00134BAC"/>
    <w:rsid w:val="00135C01"/>
    <w:rsid w:val="00136E66"/>
    <w:rsid w:val="00137C51"/>
    <w:rsid w:val="00145394"/>
    <w:rsid w:val="00147139"/>
    <w:rsid w:val="00150873"/>
    <w:rsid w:val="001514F8"/>
    <w:rsid w:val="0015159F"/>
    <w:rsid w:val="00151EAB"/>
    <w:rsid w:val="00152BF3"/>
    <w:rsid w:val="00152E11"/>
    <w:rsid w:val="001531E7"/>
    <w:rsid w:val="001537A7"/>
    <w:rsid w:val="0015597F"/>
    <w:rsid w:val="001605C9"/>
    <w:rsid w:val="001617F8"/>
    <w:rsid w:val="00161B2B"/>
    <w:rsid w:val="001623E5"/>
    <w:rsid w:val="00163200"/>
    <w:rsid w:val="00163B56"/>
    <w:rsid w:val="00167714"/>
    <w:rsid w:val="0017083D"/>
    <w:rsid w:val="00171821"/>
    <w:rsid w:val="00172EA2"/>
    <w:rsid w:val="001730E0"/>
    <w:rsid w:val="001754ED"/>
    <w:rsid w:val="001766A1"/>
    <w:rsid w:val="001828D8"/>
    <w:rsid w:val="00182BFD"/>
    <w:rsid w:val="00185442"/>
    <w:rsid w:val="0018686E"/>
    <w:rsid w:val="0019340F"/>
    <w:rsid w:val="00193DB9"/>
    <w:rsid w:val="0019461C"/>
    <w:rsid w:val="001948E0"/>
    <w:rsid w:val="0019567C"/>
    <w:rsid w:val="00195892"/>
    <w:rsid w:val="00196FE2"/>
    <w:rsid w:val="001A0171"/>
    <w:rsid w:val="001A2736"/>
    <w:rsid w:val="001A2BA5"/>
    <w:rsid w:val="001A3380"/>
    <w:rsid w:val="001A5738"/>
    <w:rsid w:val="001A5ACB"/>
    <w:rsid w:val="001A60E4"/>
    <w:rsid w:val="001A772D"/>
    <w:rsid w:val="001B0CDA"/>
    <w:rsid w:val="001B0DED"/>
    <w:rsid w:val="001B441B"/>
    <w:rsid w:val="001B4F92"/>
    <w:rsid w:val="001B5080"/>
    <w:rsid w:val="001B5856"/>
    <w:rsid w:val="001B5FB2"/>
    <w:rsid w:val="001B63DD"/>
    <w:rsid w:val="001B6406"/>
    <w:rsid w:val="001B6438"/>
    <w:rsid w:val="001C2BEE"/>
    <w:rsid w:val="001C40D8"/>
    <w:rsid w:val="001C4264"/>
    <w:rsid w:val="001C672F"/>
    <w:rsid w:val="001D05F1"/>
    <w:rsid w:val="001D0A5D"/>
    <w:rsid w:val="001D0DBE"/>
    <w:rsid w:val="001D2405"/>
    <w:rsid w:val="001D5711"/>
    <w:rsid w:val="001D5C22"/>
    <w:rsid w:val="001D6F9E"/>
    <w:rsid w:val="001D7A1B"/>
    <w:rsid w:val="001E1AE7"/>
    <w:rsid w:val="001E3CC3"/>
    <w:rsid w:val="001E6133"/>
    <w:rsid w:val="001E7889"/>
    <w:rsid w:val="001F013B"/>
    <w:rsid w:val="001F0B91"/>
    <w:rsid w:val="001F1A25"/>
    <w:rsid w:val="001F3911"/>
    <w:rsid w:val="001F3A50"/>
    <w:rsid w:val="001F7374"/>
    <w:rsid w:val="001F77F6"/>
    <w:rsid w:val="0020028A"/>
    <w:rsid w:val="002003CF"/>
    <w:rsid w:val="00200982"/>
    <w:rsid w:val="00202922"/>
    <w:rsid w:val="00204709"/>
    <w:rsid w:val="00207BED"/>
    <w:rsid w:val="00207EC8"/>
    <w:rsid w:val="00211174"/>
    <w:rsid w:val="002118F3"/>
    <w:rsid w:val="002140FC"/>
    <w:rsid w:val="0021413E"/>
    <w:rsid w:val="002143E3"/>
    <w:rsid w:val="0021558D"/>
    <w:rsid w:val="00216C57"/>
    <w:rsid w:val="002178E5"/>
    <w:rsid w:val="00231411"/>
    <w:rsid w:val="0023219B"/>
    <w:rsid w:val="0023400E"/>
    <w:rsid w:val="002366E4"/>
    <w:rsid w:val="002412A0"/>
    <w:rsid w:val="00241A4C"/>
    <w:rsid w:val="002446C4"/>
    <w:rsid w:val="00244FE0"/>
    <w:rsid w:val="00245265"/>
    <w:rsid w:val="0025138D"/>
    <w:rsid w:val="00251782"/>
    <w:rsid w:val="00252148"/>
    <w:rsid w:val="00252E5E"/>
    <w:rsid w:val="0025318C"/>
    <w:rsid w:val="002567BC"/>
    <w:rsid w:val="0026030A"/>
    <w:rsid w:val="00260397"/>
    <w:rsid w:val="00261658"/>
    <w:rsid w:val="00261BA9"/>
    <w:rsid w:val="0026420E"/>
    <w:rsid w:val="0026652F"/>
    <w:rsid w:val="0026705E"/>
    <w:rsid w:val="0027168A"/>
    <w:rsid w:val="002718A5"/>
    <w:rsid w:val="00272512"/>
    <w:rsid w:val="00274126"/>
    <w:rsid w:val="00274E04"/>
    <w:rsid w:val="002767A3"/>
    <w:rsid w:val="00276F66"/>
    <w:rsid w:val="00277BA3"/>
    <w:rsid w:val="002801B4"/>
    <w:rsid w:val="00280451"/>
    <w:rsid w:val="00280E17"/>
    <w:rsid w:val="00281129"/>
    <w:rsid w:val="00281259"/>
    <w:rsid w:val="00281CE2"/>
    <w:rsid w:val="00281FF9"/>
    <w:rsid w:val="00282A01"/>
    <w:rsid w:val="0028734E"/>
    <w:rsid w:val="00287C2E"/>
    <w:rsid w:val="00294208"/>
    <w:rsid w:val="00296FA3"/>
    <w:rsid w:val="002A1728"/>
    <w:rsid w:val="002A338D"/>
    <w:rsid w:val="002A6483"/>
    <w:rsid w:val="002B0920"/>
    <w:rsid w:val="002B1220"/>
    <w:rsid w:val="002B38D8"/>
    <w:rsid w:val="002B429F"/>
    <w:rsid w:val="002B74AB"/>
    <w:rsid w:val="002C21D2"/>
    <w:rsid w:val="002C30D3"/>
    <w:rsid w:val="002C58B8"/>
    <w:rsid w:val="002C7F9B"/>
    <w:rsid w:val="002D0309"/>
    <w:rsid w:val="002D0E21"/>
    <w:rsid w:val="002D1707"/>
    <w:rsid w:val="002D18C5"/>
    <w:rsid w:val="002D572D"/>
    <w:rsid w:val="002D7ACE"/>
    <w:rsid w:val="002E1A64"/>
    <w:rsid w:val="002E225B"/>
    <w:rsid w:val="002E4FFE"/>
    <w:rsid w:val="002E5AFB"/>
    <w:rsid w:val="002F1EFA"/>
    <w:rsid w:val="002F292E"/>
    <w:rsid w:val="002F2ADF"/>
    <w:rsid w:val="002F48F3"/>
    <w:rsid w:val="00301A71"/>
    <w:rsid w:val="00301D3A"/>
    <w:rsid w:val="003025AF"/>
    <w:rsid w:val="00302A8F"/>
    <w:rsid w:val="00302D3C"/>
    <w:rsid w:val="00303DEF"/>
    <w:rsid w:val="00305998"/>
    <w:rsid w:val="003065DD"/>
    <w:rsid w:val="00310CBD"/>
    <w:rsid w:val="0031107C"/>
    <w:rsid w:val="003113F6"/>
    <w:rsid w:val="003134D9"/>
    <w:rsid w:val="0031654A"/>
    <w:rsid w:val="00317008"/>
    <w:rsid w:val="00317E1B"/>
    <w:rsid w:val="0032136A"/>
    <w:rsid w:val="00330114"/>
    <w:rsid w:val="00331731"/>
    <w:rsid w:val="003338EB"/>
    <w:rsid w:val="00333F12"/>
    <w:rsid w:val="00335EA7"/>
    <w:rsid w:val="003367F5"/>
    <w:rsid w:val="00336BC3"/>
    <w:rsid w:val="00336F1E"/>
    <w:rsid w:val="003403FD"/>
    <w:rsid w:val="00340A76"/>
    <w:rsid w:val="003437B0"/>
    <w:rsid w:val="00343CDD"/>
    <w:rsid w:val="003444A4"/>
    <w:rsid w:val="00345CDA"/>
    <w:rsid w:val="00351C15"/>
    <w:rsid w:val="00351F70"/>
    <w:rsid w:val="003521C8"/>
    <w:rsid w:val="00352A14"/>
    <w:rsid w:val="003532F3"/>
    <w:rsid w:val="00360559"/>
    <w:rsid w:val="00360987"/>
    <w:rsid w:val="00364A72"/>
    <w:rsid w:val="00370BF8"/>
    <w:rsid w:val="00372F65"/>
    <w:rsid w:val="003742A1"/>
    <w:rsid w:val="00374F2E"/>
    <w:rsid w:val="003753FF"/>
    <w:rsid w:val="0037560C"/>
    <w:rsid w:val="00381C48"/>
    <w:rsid w:val="00383369"/>
    <w:rsid w:val="00384F03"/>
    <w:rsid w:val="00386C98"/>
    <w:rsid w:val="00392AAA"/>
    <w:rsid w:val="00393D18"/>
    <w:rsid w:val="0039416E"/>
    <w:rsid w:val="00397D8F"/>
    <w:rsid w:val="003A0471"/>
    <w:rsid w:val="003A22CB"/>
    <w:rsid w:val="003A2485"/>
    <w:rsid w:val="003A25AB"/>
    <w:rsid w:val="003A2F50"/>
    <w:rsid w:val="003A504A"/>
    <w:rsid w:val="003A5B6E"/>
    <w:rsid w:val="003A6A3D"/>
    <w:rsid w:val="003B0198"/>
    <w:rsid w:val="003B4E36"/>
    <w:rsid w:val="003B4F26"/>
    <w:rsid w:val="003B4F60"/>
    <w:rsid w:val="003B52FF"/>
    <w:rsid w:val="003C081F"/>
    <w:rsid w:val="003C1118"/>
    <w:rsid w:val="003C3084"/>
    <w:rsid w:val="003C3577"/>
    <w:rsid w:val="003C3D6F"/>
    <w:rsid w:val="003C530F"/>
    <w:rsid w:val="003C6711"/>
    <w:rsid w:val="003C7551"/>
    <w:rsid w:val="003D2F73"/>
    <w:rsid w:val="003D5727"/>
    <w:rsid w:val="003D5997"/>
    <w:rsid w:val="003D7C36"/>
    <w:rsid w:val="003D7DCC"/>
    <w:rsid w:val="003E0713"/>
    <w:rsid w:val="003E2DAA"/>
    <w:rsid w:val="003E3D2C"/>
    <w:rsid w:val="003E57DE"/>
    <w:rsid w:val="003E6B68"/>
    <w:rsid w:val="003F0FC3"/>
    <w:rsid w:val="003F3FBD"/>
    <w:rsid w:val="003F74E3"/>
    <w:rsid w:val="00401C2C"/>
    <w:rsid w:val="0040204B"/>
    <w:rsid w:val="00403105"/>
    <w:rsid w:val="00405151"/>
    <w:rsid w:val="0040544A"/>
    <w:rsid w:val="0040553A"/>
    <w:rsid w:val="00407BBB"/>
    <w:rsid w:val="004112F5"/>
    <w:rsid w:val="00413565"/>
    <w:rsid w:val="00414398"/>
    <w:rsid w:val="004205D1"/>
    <w:rsid w:val="00424270"/>
    <w:rsid w:val="00425307"/>
    <w:rsid w:val="00426E45"/>
    <w:rsid w:val="00427929"/>
    <w:rsid w:val="00431DB3"/>
    <w:rsid w:val="00431F2C"/>
    <w:rsid w:val="00432683"/>
    <w:rsid w:val="0043310D"/>
    <w:rsid w:val="00433770"/>
    <w:rsid w:val="00434C0C"/>
    <w:rsid w:val="00435029"/>
    <w:rsid w:val="004405D5"/>
    <w:rsid w:val="004431B1"/>
    <w:rsid w:val="00443D19"/>
    <w:rsid w:val="004459D2"/>
    <w:rsid w:val="00445BB7"/>
    <w:rsid w:val="00445D76"/>
    <w:rsid w:val="0044654F"/>
    <w:rsid w:val="0044736A"/>
    <w:rsid w:val="00451585"/>
    <w:rsid w:val="004523A4"/>
    <w:rsid w:val="004528C4"/>
    <w:rsid w:val="004532F8"/>
    <w:rsid w:val="00453DC0"/>
    <w:rsid w:val="00455428"/>
    <w:rsid w:val="00456C63"/>
    <w:rsid w:val="00456C80"/>
    <w:rsid w:val="004572B8"/>
    <w:rsid w:val="00457A53"/>
    <w:rsid w:val="00460AB8"/>
    <w:rsid w:val="00461876"/>
    <w:rsid w:val="00461AA6"/>
    <w:rsid w:val="004652AC"/>
    <w:rsid w:val="00465A53"/>
    <w:rsid w:val="00467840"/>
    <w:rsid w:val="00470338"/>
    <w:rsid w:val="00470B4F"/>
    <w:rsid w:val="00472A35"/>
    <w:rsid w:val="00473C2B"/>
    <w:rsid w:val="004754FD"/>
    <w:rsid w:val="00480FFA"/>
    <w:rsid w:val="0048163E"/>
    <w:rsid w:val="00484120"/>
    <w:rsid w:val="00485226"/>
    <w:rsid w:val="00487E7D"/>
    <w:rsid w:val="00487EC4"/>
    <w:rsid w:val="00490FC0"/>
    <w:rsid w:val="00491F05"/>
    <w:rsid w:val="00492DA2"/>
    <w:rsid w:val="00493666"/>
    <w:rsid w:val="00494437"/>
    <w:rsid w:val="00494F54"/>
    <w:rsid w:val="0049502E"/>
    <w:rsid w:val="004969CF"/>
    <w:rsid w:val="00497F47"/>
    <w:rsid w:val="004A26CD"/>
    <w:rsid w:val="004A3908"/>
    <w:rsid w:val="004A5421"/>
    <w:rsid w:val="004A59D4"/>
    <w:rsid w:val="004A5E24"/>
    <w:rsid w:val="004A5E82"/>
    <w:rsid w:val="004A631E"/>
    <w:rsid w:val="004A6815"/>
    <w:rsid w:val="004A6866"/>
    <w:rsid w:val="004A6F23"/>
    <w:rsid w:val="004B0BBF"/>
    <w:rsid w:val="004B2773"/>
    <w:rsid w:val="004B4807"/>
    <w:rsid w:val="004B5A4B"/>
    <w:rsid w:val="004B7A5E"/>
    <w:rsid w:val="004B7F66"/>
    <w:rsid w:val="004C04CB"/>
    <w:rsid w:val="004C09B2"/>
    <w:rsid w:val="004C175A"/>
    <w:rsid w:val="004C49E2"/>
    <w:rsid w:val="004C6001"/>
    <w:rsid w:val="004C644B"/>
    <w:rsid w:val="004D01B3"/>
    <w:rsid w:val="004D1EC9"/>
    <w:rsid w:val="004D34AA"/>
    <w:rsid w:val="004D39C5"/>
    <w:rsid w:val="004D4D1C"/>
    <w:rsid w:val="004D4D32"/>
    <w:rsid w:val="004D4D8A"/>
    <w:rsid w:val="004D623E"/>
    <w:rsid w:val="004E144C"/>
    <w:rsid w:val="004E2FD7"/>
    <w:rsid w:val="004E4EE0"/>
    <w:rsid w:val="004E5143"/>
    <w:rsid w:val="004E54E8"/>
    <w:rsid w:val="004F0426"/>
    <w:rsid w:val="004F0512"/>
    <w:rsid w:val="004F16E4"/>
    <w:rsid w:val="004F4BCB"/>
    <w:rsid w:val="004F4E15"/>
    <w:rsid w:val="004F53E8"/>
    <w:rsid w:val="004F757D"/>
    <w:rsid w:val="004F76FF"/>
    <w:rsid w:val="00500C39"/>
    <w:rsid w:val="00503BA1"/>
    <w:rsid w:val="0050401D"/>
    <w:rsid w:val="00507159"/>
    <w:rsid w:val="00510D4B"/>
    <w:rsid w:val="00511326"/>
    <w:rsid w:val="00511465"/>
    <w:rsid w:val="0051223B"/>
    <w:rsid w:val="0051227E"/>
    <w:rsid w:val="00512C16"/>
    <w:rsid w:val="0051315D"/>
    <w:rsid w:val="0051619A"/>
    <w:rsid w:val="005172A4"/>
    <w:rsid w:val="005235CB"/>
    <w:rsid w:val="00523A77"/>
    <w:rsid w:val="00523B05"/>
    <w:rsid w:val="00531161"/>
    <w:rsid w:val="00531F91"/>
    <w:rsid w:val="00533CCD"/>
    <w:rsid w:val="005401FE"/>
    <w:rsid w:val="00540A91"/>
    <w:rsid w:val="005415AD"/>
    <w:rsid w:val="00542492"/>
    <w:rsid w:val="005424F9"/>
    <w:rsid w:val="005428CD"/>
    <w:rsid w:val="0054380D"/>
    <w:rsid w:val="00544CE4"/>
    <w:rsid w:val="0054584B"/>
    <w:rsid w:val="005515F2"/>
    <w:rsid w:val="00552B60"/>
    <w:rsid w:val="005543DA"/>
    <w:rsid w:val="00554E89"/>
    <w:rsid w:val="00555647"/>
    <w:rsid w:val="005559F4"/>
    <w:rsid w:val="00557D9A"/>
    <w:rsid w:val="00560121"/>
    <w:rsid w:val="00560159"/>
    <w:rsid w:val="0056134B"/>
    <w:rsid w:val="005623FF"/>
    <w:rsid w:val="0056428A"/>
    <w:rsid w:val="00565E28"/>
    <w:rsid w:val="00566935"/>
    <w:rsid w:val="00566EB6"/>
    <w:rsid w:val="00567464"/>
    <w:rsid w:val="00571197"/>
    <w:rsid w:val="00571665"/>
    <w:rsid w:val="00571A94"/>
    <w:rsid w:val="0057294D"/>
    <w:rsid w:val="00574AFF"/>
    <w:rsid w:val="00576D4A"/>
    <w:rsid w:val="005770BF"/>
    <w:rsid w:val="0058019C"/>
    <w:rsid w:val="00584F25"/>
    <w:rsid w:val="00585C7F"/>
    <w:rsid w:val="005870DC"/>
    <w:rsid w:val="00587E39"/>
    <w:rsid w:val="00593AF7"/>
    <w:rsid w:val="005946B9"/>
    <w:rsid w:val="005948E8"/>
    <w:rsid w:val="00594C44"/>
    <w:rsid w:val="00595FE5"/>
    <w:rsid w:val="00596262"/>
    <w:rsid w:val="005A23CC"/>
    <w:rsid w:val="005A2642"/>
    <w:rsid w:val="005A5745"/>
    <w:rsid w:val="005A6128"/>
    <w:rsid w:val="005A6986"/>
    <w:rsid w:val="005A7E55"/>
    <w:rsid w:val="005B07FE"/>
    <w:rsid w:val="005B091B"/>
    <w:rsid w:val="005B0A64"/>
    <w:rsid w:val="005B1511"/>
    <w:rsid w:val="005B3823"/>
    <w:rsid w:val="005B3D95"/>
    <w:rsid w:val="005B7A51"/>
    <w:rsid w:val="005B7B2B"/>
    <w:rsid w:val="005C1117"/>
    <w:rsid w:val="005C234D"/>
    <w:rsid w:val="005C3340"/>
    <w:rsid w:val="005C44CB"/>
    <w:rsid w:val="005C6417"/>
    <w:rsid w:val="005C64CC"/>
    <w:rsid w:val="005C6875"/>
    <w:rsid w:val="005D0532"/>
    <w:rsid w:val="005D26EA"/>
    <w:rsid w:val="005D3A52"/>
    <w:rsid w:val="005D3B9E"/>
    <w:rsid w:val="005D5095"/>
    <w:rsid w:val="005E0362"/>
    <w:rsid w:val="005E0929"/>
    <w:rsid w:val="005E1D01"/>
    <w:rsid w:val="005E1D95"/>
    <w:rsid w:val="005E30BF"/>
    <w:rsid w:val="005E40C6"/>
    <w:rsid w:val="005E57B7"/>
    <w:rsid w:val="005F04DC"/>
    <w:rsid w:val="005F5F10"/>
    <w:rsid w:val="005F7AF4"/>
    <w:rsid w:val="005F7DF4"/>
    <w:rsid w:val="0060129D"/>
    <w:rsid w:val="00604233"/>
    <w:rsid w:val="00604680"/>
    <w:rsid w:val="006059A8"/>
    <w:rsid w:val="0060609A"/>
    <w:rsid w:val="006104FE"/>
    <w:rsid w:val="00610696"/>
    <w:rsid w:val="00610888"/>
    <w:rsid w:val="006116A6"/>
    <w:rsid w:val="00612473"/>
    <w:rsid w:val="00612652"/>
    <w:rsid w:val="006142C9"/>
    <w:rsid w:val="00614427"/>
    <w:rsid w:val="0061685B"/>
    <w:rsid w:val="00616A50"/>
    <w:rsid w:val="00616D29"/>
    <w:rsid w:val="00616D2F"/>
    <w:rsid w:val="00620895"/>
    <w:rsid w:val="00624446"/>
    <w:rsid w:val="00625242"/>
    <w:rsid w:val="00626120"/>
    <w:rsid w:val="00626BB2"/>
    <w:rsid w:val="0062761A"/>
    <w:rsid w:val="006331D4"/>
    <w:rsid w:val="00633E41"/>
    <w:rsid w:val="0063526C"/>
    <w:rsid w:val="0063541B"/>
    <w:rsid w:val="00636CB2"/>
    <w:rsid w:val="0063714D"/>
    <w:rsid w:val="00637267"/>
    <w:rsid w:val="006408E1"/>
    <w:rsid w:val="0064170A"/>
    <w:rsid w:val="006417CE"/>
    <w:rsid w:val="006422C6"/>
    <w:rsid w:val="00643057"/>
    <w:rsid w:val="0064428D"/>
    <w:rsid w:val="0064568C"/>
    <w:rsid w:val="00646957"/>
    <w:rsid w:val="006501BE"/>
    <w:rsid w:val="006535BE"/>
    <w:rsid w:val="006538CE"/>
    <w:rsid w:val="0065393B"/>
    <w:rsid w:val="006545DD"/>
    <w:rsid w:val="00654DC5"/>
    <w:rsid w:val="00655941"/>
    <w:rsid w:val="00655CA6"/>
    <w:rsid w:val="0065771C"/>
    <w:rsid w:val="006608AE"/>
    <w:rsid w:val="00662263"/>
    <w:rsid w:val="00662859"/>
    <w:rsid w:val="006628BD"/>
    <w:rsid w:val="00664339"/>
    <w:rsid w:val="00665366"/>
    <w:rsid w:val="0066764F"/>
    <w:rsid w:val="006702C9"/>
    <w:rsid w:val="00671DFD"/>
    <w:rsid w:val="00672031"/>
    <w:rsid w:val="00672B90"/>
    <w:rsid w:val="006747FE"/>
    <w:rsid w:val="006774F5"/>
    <w:rsid w:val="00681A70"/>
    <w:rsid w:val="0068607D"/>
    <w:rsid w:val="006860F1"/>
    <w:rsid w:val="00686A89"/>
    <w:rsid w:val="00690EAD"/>
    <w:rsid w:val="00691F58"/>
    <w:rsid w:val="00692275"/>
    <w:rsid w:val="00692708"/>
    <w:rsid w:val="00693CC5"/>
    <w:rsid w:val="0069548A"/>
    <w:rsid w:val="00696D38"/>
    <w:rsid w:val="0069798D"/>
    <w:rsid w:val="006A1876"/>
    <w:rsid w:val="006A1E4D"/>
    <w:rsid w:val="006A2265"/>
    <w:rsid w:val="006A46CD"/>
    <w:rsid w:val="006A4B35"/>
    <w:rsid w:val="006A4D2B"/>
    <w:rsid w:val="006A5C89"/>
    <w:rsid w:val="006A64C5"/>
    <w:rsid w:val="006A7027"/>
    <w:rsid w:val="006B1AE9"/>
    <w:rsid w:val="006B1AEB"/>
    <w:rsid w:val="006B3BBD"/>
    <w:rsid w:val="006B514F"/>
    <w:rsid w:val="006B6387"/>
    <w:rsid w:val="006B7377"/>
    <w:rsid w:val="006C0196"/>
    <w:rsid w:val="006C3DE1"/>
    <w:rsid w:val="006C5BBE"/>
    <w:rsid w:val="006C74DF"/>
    <w:rsid w:val="006D1D96"/>
    <w:rsid w:val="006D4997"/>
    <w:rsid w:val="006D5701"/>
    <w:rsid w:val="006D5F32"/>
    <w:rsid w:val="006D6A6A"/>
    <w:rsid w:val="006D6F63"/>
    <w:rsid w:val="006D75E8"/>
    <w:rsid w:val="006E0712"/>
    <w:rsid w:val="006E08E3"/>
    <w:rsid w:val="006E191F"/>
    <w:rsid w:val="006E1AED"/>
    <w:rsid w:val="006E23C6"/>
    <w:rsid w:val="006E2DE3"/>
    <w:rsid w:val="006E3E42"/>
    <w:rsid w:val="006E5C2B"/>
    <w:rsid w:val="006E6BD0"/>
    <w:rsid w:val="006F26D3"/>
    <w:rsid w:val="006F27D4"/>
    <w:rsid w:val="006F3A5E"/>
    <w:rsid w:val="007017FD"/>
    <w:rsid w:val="007039D9"/>
    <w:rsid w:val="00704288"/>
    <w:rsid w:val="00705139"/>
    <w:rsid w:val="00707AAA"/>
    <w:rsid w:val="007122C9"/>
    <w:rsid w:val="0071501B"/>
    <w:rsid w:val="007170D3"/>
    <w:rsid w:val="00717226"/>
    <w:rsid w:val="00717B54"/>
    <w:rsid w:val="00717E2E"/>
    <w:rsid w:val="00720318"/>
    <w:rsid w:val="0072184D"/>
    <w:rsid w:val="00730BA6"/>
    <w:rsid w:val="007318C0"/>
    <w:rsid w:val="00735194"/>
    <w:rsid w:val="00735EB8"/>
    <w:rsid w:val="00736FBA"/>
    <w:rsid w:val="00741E8F"/>
    <w:rsid w:val="00743E4F"/>
    <w:rsid w:val="0074488D"/>
    <w:rsid w:val="00744A39"/>
    <w:rsid w:val="0074570E"/>
    <w:rsid w:val="00745AA9"/>
    <w:rsid w:val="0074602B"/>
    <w:rsid w:val="00746385"/>
    <w:rsid w:val="00746ABE"/>
    <w:rsid w:val="00753C18"/>
    <w:rsid w:val="00755433"/>
    <w:rsid w:val="00755477"/>
    <w:rsid w:val="00756382"/>
    <w:rsid w:val="00756D28"/>
    <w:rsid w:val="007613E7"/>
    <w:rsid w:val="0076578C"/>
    <w:rsid w:val="0076626B"/>
    <w:rsid w:val="007662C0"/>
    <w:rsid w:val="007665E0"/>
    <w:rsid w:val="00766DF4"/>
    <w:rsid w:val="00767F5D"/>
    <w:rsid w:val="00773DEE"/>
    <w:rsid w:val="00774248"/>
    <w:rsid w:val="00774BCF"/>
    <w:rsid w:val="00774F71"/>
    <w:rsid w:val="00775B87"/>
    <w:rsid w:val="007760DA"/>
    <w:rsid w:val="007766CF"/>
    <w:rsid w:val="007808D6"/>
    <w:rsid w:val="007818A2"/>
    <w:rsid w:val="0078296B"/>
    <w:rsid w:val="0078393C"/>
    <w:rsid w:val="00783EB8"/>
    <w:rsid w:val="00784846"/>
    <w:rsid w:val="00785A4C"/>
    <w:rsid w:val="007879CC"/>
    <w:rsid w:val="007908C5"/>
    <w:rsid w:val="007908C9"/>
    <w:rsid w:val="00792D73"/>
    <w:rsid w:val="00793530"/>
    <w:rsid w:val="007944BC"/>
    <w:rsid w:val="007A009C"/>
    <w:rsid w:val="007A061F"/>
    <w:rsid w:val="007A1BEB"/>
    <w:rsid w:val="007A1C9E"/>
    <w:rsid w:val="007A2591"/>
    <w:rsid w:val="007A317B"/>
    <w:rsid w:val="007A32A1"/>
    <w:rsid w:val="007A4B52"/>
    <w:rsid w:val="007A56E2"/>
    <w:rsid w:val="007A5D36"/>
    <w:rsid w:val="007A68A1"/>
    <w:rsid w:val="007A77F8"/>
    <w:rsid w:val="007B33BA"/>
    <w:rsid w:val="007B3B7B"/>
    <w:rsid w:val="007B538B"/>
    <w:rsid w:val="007B66E2"/>
    <w:rsid w:val="007B7AC4"/>
    <w:rsid w:val="007C101B"/>
    <w:rsid w:val="007C1AE7"/>
    <w:rsid w:val="007C1BB5"/>
    <w:rsid w:val="007C4901"/>
    <w:rsid w:val="007C6C91"/>
    <w:rsid w:val="007C7B9D"/>
    <w:rsid w:val="007C7E27"/>
    <w:rsid w:val="007D16B8"/>
    <w:rsid w:val="007D4CC8"/>
    <w:rsid w:val="007D5DEF"/>
    <w:rsid w:val="007D608B"/>
    <w:rsid w:val="007D7935"/>
    <w:rsid w:val="007E015B"/>
    <w:rsid w:val="007E0E9D"/>
    <w:rsid w:val="007E1F2C"/>
    <w:rsid w:val="007E24B6"/>
    <w:rsid w:val="007E4966"/>
    <w:rsid w:val="007E4A9C"/>
    <w:rsid w:val="007E52CD"/>
    <w:rsid w:val="007E56E3"/>
    <w:rsid w:val="007E5AEC"/>
    <w:rsid w:val="007E63FD"/>
    <w:rsid w:val="007F229C"/>
    <w:rsid w:val="007F2DE0"/>
    <w:rsid w:val="007F3E72"/>
    <w:rsid w:val="007F4E7A"/>
    <w:rsid w:val="00802234"/>
    <w:rsid w:val="008022A2"/>
    <w:rsid w:val="0080352B"/>
    <w:rsid w:val="008052C7"/>
    <w:rsid w:val="008066F2"/>
    <w:rsid w:val="008101F0"/>
    <w:rsid w:val="00810E6A"/>
    <w:rsid w:val="00812754"/>
    <w:rsid w:val="00813F2A"/>
    <w:rsid w:val="00814BC9"/>
    <w:rsid w:val="00816FEF"/>
    <w:rsid w:val="0081707B"/>
    <w:rsid w:val="008227D4"/>
    <w:rsid w:val="00824D07"/>
    <w:rsid w:val="0082590C"/>
    <w:rsid w:val="008264FA"/>
    <w:rsid w:val="00826E14"/>
    <w:rsid w:val="00827C0E"/>
    <w:rsid w:val="0083016D"/>
    <w:rsid w:val="008302FB"/>
    <w:rsid w:val="008303C1"/>
    <w:rsid w:val="008303F2"/>
    <w:rsid w:val="00832250"/>
    <w:rsid w:val="00832E35"/>
    <w:rsid w:val="00833ECB"/>
    <w:rsid w:val="00834584"/>
    <w:rsid w:val="0083483C"/>
    <w:rsid w:val="00834A8D"/>
    <w:rsid w:val="00836216"/>
    <w:rsid w:val="008375E6"/>
    <w:rsid w:val="00837D81"/>
    <w:rsid w:val="00840080"/>
    <w:rsid w:val="00840BDC"/>
    <w:rsid w:val="00841965"/>
    <w:rsid w:val="00851529"/>
    <w:rsid w:val="008515B6"/>
    <w:rsid w:val="00853438"/>
    <w:rsid w:val="00853DCF"/>
    <w:rsid w:val="008547DB"/>
    <w:rsid w:val="00855F03"/>
    <w:rsid w:val="00856867"/>
    <w:rsid w:val="00856F4D"/>
    <w:rsid w:val="00856F7D"/>
    <w:rsid w:val="00857734"/>
    <w:rsid w:val="00857BEF"/>
    <w:rsid w:val="00861923"/>
    <w:rsid w:val="0086232B"/>
    <w:rsid w:val="00862505"/>
    <w:rsid w:val="00862C0A"/>
    <w:rsid w:val="00863161"/>
    <w:rsid w:val="008633A2"/>
    <w:rsid w:val="0086493C"/>
    <w:rsid w:val="00865249"/>
    <w:rsid w:val="00866285"/>
    <w:rsid w:val="0086638F"/>
    <w:rsid w:val="008667DF"/>
    <w:rsid w:val="00871E1D"/>
    <w:rsid w:val="00874291"/>
    <w:rsid w:val="00874C05"/>
    <w:rsid w:val="00876875"/>
    <w:rsid w:val="00876AD1"/>
    <w:rsid w:val="00877710"/>
    <w:rsid w:val="00877DE4"/>
    <w:rsid w:val="00880915"/>
    <w:rsid w:val="008822D6"/>
    <w:rsid w:val="00882492"/>
    <w:rsid w:val="00882A26"/>
    <w:rsid w:val="00883444"/>
    <w:rsid w:val="0088458A"/>
    <w:rsid w:val="00884979"/>
    <w:rsid w:val="00884AB2"/>
    <w:rsid w:val="00886F38"/>
    <w:rsid w:val="0088720C"/>
    <w:rsid w:val="00887B4A"/>
    <w:rsid w:val="00890F30"/>
    <w:rsid w:val="008952EF"/>
    <w:rsid w:val="00897497"/>
    <w:rsid w:val="0089767D"/>
    <w:rsid w:val="00897989"/>
    <w:rsid w:val="00897A5C"/>
    <w:rsid w:val="008A2163"/>
    <w:rsid w:val="008A2443"/>
    <w:rsid w:val="008A3090"/>
    <w:rsid w:val="008A32D2"/>
    <w:rsid w:val="008A6BA7"/>
    <w:rsid w:val="008A7DB4"/>
    <w:rsid w:val="008B0D8F"/>
    <w:rsid w:val="008B11E4"/>
    <w:rsid w:val="008B1C8C"/>
    <w:rsid w:val="008B2703"/>
    <w:rsid w:val="008B2EF7"/>
    <w:rsid w:val="008B2F86"/>
    <w:rsid w:val="008B6761"/>
    <w:rsid w:val="008C50A9"/>
    <w:rsid w:val="008C54AB"/>
    <w:rsid w:val="008D04EA"/>
    <w:rsid w:val="008D1CCE"/>
    <w:rsid w:val="008D28EA"/>
    <w:rsid w:val="008D3059"/>
    <w:rsid w:val="008D3281"/>
    <w:rsid w:val="008D3323"/>
    <w:rsid w:val="008D4538"/>
    <w:rsid w:val="008D6210"/>
    <w:rsid w:val="008E1EBD"/>
    <w:rsid w:val="008E280D"/>
    <w:rsid w:val="008E3B66"/>
    <w:rsid w:val="008E6279"/>
    <w:rsid w:val="008E77D0"/>
    <w:rsid w:val="008F05C4"/>
    <w:rsid w:val="008F0DDC"/>
    <w:rsid w:val="008F13EC"/>
    <w:rsid w:val="008F22C3"/>
    <w:rsid w:val="008F279F"/>
    <w:rsid w:val="008F2EAF"/>
    <w:rsid w:val="008F2ED5"/>
    <w:rsid w:val="008F56F4"/>
    <w:rsid w:val="008F7330"/>
    <w:rsid w:val="008F7808"/>
    <w:rsid w:val="008F78DC"/>
    <w:rsid w:val="009010D2"/>
    <w:rsid w:val="00902659"/>
    <w:rsid w:val="009037D9"/>
    <w:rsid w:val="00905305"/>
    <w:rsid w:val="009107B6"/>
    <w:rsid w:val="0091196E"/>
    <w:rsid w:val="00912373"/>
    <w:rsid w:val="00916598"/>
    <w:rsid w:val="00916749"/>
    <w:rsid w:val="00916AA4"/>
    <w:rsid w:val="00916BAD"/>
    <w:rsid w:val="00916C74"/>
    <w:rsid w:val="00917B48"/>
    <w:rsid w:val="00921CCF"/>
    <w:rsid w:val="009236CD"/>
    <w:rsid w:val="00923C5A"/>
    <w:rsid w:val="00923CA6"/>
    <w:rsid w:val="00923CC1"/>
    <w:rsid w:val="00924089"/>
    <w:rsid w:val="009249BD"/>
    <w:rsid w:val="00924C5F"/>
    <w:rsid w:val="00925F38"/>
    <w:rsid w:val="009311E3"/>
    <w:rsid w:val="0093282D"/>
    <w:rsid w:val="0093361E"/>
    <w:rsid w:val="0093372D"/>
    <w:rsid w:val="00934A15"/>
    <w:rsid w:val="00934D3C"/>
    <w:rsid w:val="00936E8E"/>
    <w:rsid w:val="0093790D"/>
    <w:rsid w:val="00940C92"/>
    <w:rsid w:val="00944218"/>
    <w:rsid w:val="00947F30"/>
    <w:rsid w:val="00951DFC"/>
    <w:rsid w:val="00952FAD"/>
    <w:rsid w:val="00953837"/>
    <w:rsid w:val="00953E57"/>
    <w:rsid w:val="00955677"/>
    <w:rsid w:val="00957173"/>
    <w:rsid w:val="00957A90"/>
    <w:rsid w:val="0096083B"/>
    <w:rsid w:val="00962F02"/>
    <w:rsid w:val="00964685"/>
    <w:rsid w:val="0096714F"/>
    <w:rsid w:val="00970161"/>
    <w:rsid w:val="00970367"/>
    <w:rsid w:val="00970429"/>
    <w:rsid w:val="00975A5F"/>
    <w:rsid w:val="009762A1"/>
    <w:rsid w:val="00976CF0"/>
    <w:rsid w:val="009774D0"/>
    <w:rsid w:val="00977753"/>
    <w:rsid w:val="009819B7"/>
    <w:rsid w:val="00981F3D"/>
    <w:rsid w:val="00983D15"/>
    <w:rsid w:val="00985CFE"/>
    <w:rsid w:val="00991452"/>
    <w:rsid w:val="00991AF1"/>
    <w:rsid w:val="0099331F"/>
    <w:rsid w:val="00995301"/>
    <w:rsid w:val="00995B6D"/>
    <w:rsid w:val="00997A35"/>
    <w:rsid w:val="00997D9E"/>
    <w:rsid w:val="009A466E"/>
    <w:rsid w:val="009A54BB"/>
    <w:rsid w:val="009A5E18"/>
    <w:rsid w:val="009A702F"/>
    <w:rsid w:val="009A7891"/>
    <w:rsid w:val="009B0CD4"/>
    <w:rsid w:val="009B0D89"/>
    <w:rsid w:val="009B2B83"/>
    <w:rsid w:val="009B4C71"/>
    <w:rsid w:val="009B596A"/>
    <w:rsid w:val="009B66DD"/>
    <w:rsid w:val="009C094B"/>
    <w:rsid w:val="009C0C6D"/>
    <w:rsid w:val="009C385D"/>
    <w:rsid w:val="009C3F77"/>
    <w:rsid w:val="009C6CCE"/>
    <w:rsid w:val="009D1AE9"/>
    <w:rsid w:val="009D312E"/>
    <w:rsid w:val="009D3283"/>
    <w:rsid w:val="009D3634"/>
    <w:rsid w:val="009E22EE"/>
    <w:rsid w:val="009E2F5F"/>
    <w:rsid w:val="009E490F"/>
    <w:rsid w:val="009E5083"/>
    <w:rsid w:val="009E76EB"/>
    <w:rsid w:val="009F0AD4"/>
    <w:rsid w:val="009F111A"/>
    <w:rsid w:val="009F154E"/>
    <w:rsid w:val="009F396B"/>
    <w:rsid w:val="009F3A80"/>
    <w:rsid w:val="009F4086"/>
    <w:rsid w:val="009F45E2"/>
    <w:rsid w:val="009F524B"/>
    <w:rsid w:val="009F5E7B"/>
    <w:rsid w:val="009F7AA9"/>
    <w:rsid w:val="00A03499"/>
    <w:rsid w:val="00A03B0E"/>
    <w:rsid w:val="00A04187"/>
    <w:rsid w:val="00A0796F"/>
    <w:rsid w:val="00A10851"/>
    <w:rsid w:val="00A10C55"/>
    <w:rsid w:val="00A10F4E"/>
    <w:rsid w:val="00A13212"/>
    <w:rsid w:val="00A13884"/>
    <w:rsid w:val="00A164D9"/>
    <w:rsid w:val="00A166FF"/>
    <w:rsid w:val="00A1712D"/>
    <w:rsid w:val="00A2058A"/>
    <w:rsid w:val="00A25492"/>
    <w:rsid w:val="00A263E5"/>
    <w:rsid w:val="00A268B1"/>
    <w:rsid w:val="00A275B4"/>
    <w:rsid w:val="00A278B5"/>
    <w:rsid w:val="00A30BA5"/>
    <w:rsid w:val="00A30BF5"/>
    <w:rsid w:val="00A323BF"/>
    <w:rsid w:val="00A33D37"/>
    <w:rsid w:val="00A369C3"/>
    <w:rsid w:val="00A36CF4"/>
    <w:rsid w:val="00A376FC"/>
    <w:rsid w:val="00A4056F"/>
    <w:rsid w:val="00A42142"/>
    <w:rsid w:val="00A43CD9"/>
    <w:rsid w:val="00A43E3D"/>
    <w:rsid w:val="00A50619"/>
    <w:rsid w:val="00A506AA"/>
    <w:rsid w:val="00A53835"/>
    <w:rsid w:val="00A55814"/>
    <w:rsid w:val="00A564A7"/>
    <w:rsid w:val="00A62CEC"/>
    <w:rsid w:val="00A62E89"/>
    <w:rsid w:val="00A63027"/>
    <w:rsid w:val="00A63983"/>
    <w:rsid w:val="00A64D8D"/>
    <w:rsid w:val="00A66567"/>
    <w:rsid w:val="00A71705"/>
    <w:rsid w:val="00A72DB0"/>
    <w:rsid w:val="00A73092"/>
    <w:rsid w:val="00A73728"/>
    <w:rsid w:val="00A73C9E"/>
    <w:rsid w:val="00A7453F"/>
    <w:rsid w:val="00A753EA"/>
    <w:rsid w:val="00A75E47"/>
    <w:rsid w:val="00A80C2A"/>
    <w:rsid w:val="00A8138B"/>
    <w:rsid w:val="00A83589"/>
    <w:rsid w:val="00A8659F"/>
    <w:rsid w:val="00A87239"/>
    <w:rsid w:val="00A918BD"/>
    <w:rsid w:val="00A91F46"/>
    <w:rsid w:val="00A92F75"/>
    <w:rsid w:val="00A944B5"/>
    <w:rsid w:val="00A95CC8"/>
    <w:rsid w:val="00A96E7D"/>
    <w:rsid w:val="00A97440"/>
    <w:rsid w:val="00AA1622"/>
    <w:rsid w:val="00AA321A"/>
    <w:rsid w:val="00AA7049"/>
    <w:rsid w:val="00AA778F"/>
    <w:rsid w:val="00AA7A37"/>
    <w:rsid w:val="00AA7A8D"/>
    <w:rsid w:val="00AB0507"/>
    <w:rsid w:val="00AB2331"/>
    <w:rsid w:val="00AB2EB2"/>
    <w:rsid w:val="00AC0638"/>
    <w:rsid w:val="00AC1C2D"/>
    <w:rsid w:val="00AC601E"/>
    <w:rsid w:val="00AC66B6"/>
    <w:rsid w:val="00AC7448"/>
    <w:rsid w:val="00AD1124"/>
    <w:rsid w:val="00AD1167"/>
    <w:rsid w:val="00AD1349"/>
    <w:rsid w:val="00AD2DC0"/>
    <w:rsid w:val="00AD3EFC"/>
    <w:rsid w:val="00AD7546"/>
    <w:rsid w:val="00AE02B9"/>
    <w:rsid w:val="00AE24A6"/>
    <w:rsid w:val="00AE3A9B"/>
    <w:rsid w:val="00AE466D"/>
    <w:rsid w:val="00AE4F32"/>
    <w:rsid w:val="00AE6859"/>
    <w:rsid w:val="00AE6DEC"/>
    <w:rsid w:val="00AE75D5"/>
    <w:rsid w:val="00AF24BE"/>
    <w:rsid w:val="00AF2E24"/>
    <w:rsid w:val="00AF36CF"/>
    <w:rsid w:val="00AF49BE"/>
    <w:rsid w:val="00AF53F1"/>
    <w:rsid w:val="00AF675C"/>
    <w:rsid w:val="00B003CF"/>
    <w:rsid w:val="00B01F19"/>
    <w:rsid w:val="00B03442"/>
    <w:rsid w:val="00B042CB"/>
    <w:rsid w:val="00B04906"/>
    <w:rsid w:val="00B04EBB"/>
    <w:rsid w:val="00B05698"/>
    <w:rsid w:val="00B05A40"/>
    <w:rsid w:val="00B05CAC"/>
    <w:rsid w:val="00B07482"/>
    <w:rsid w:val="00B0759E"/>
    <w:rsid w:val="00B11940"/>
    <w:rsid w:val="00B12CF4"/>
    <w:rsid w:val="00B2146E"/>
    <w:rsid w:val="00B21FC8"/>
    <w:rsid w:val="00B2547C"/>
    <w:rsid w:val="00B30C5E"/>
    <w:rsid w:val="00B31ABF"/>
    <w:rsid w:val="00B3271C"/>
    <w:rsid w:val="00B34792"/>
    <w:rsid w:val="00B356F6"/>
    <w:rsid w:val="00B3653C"/>
    <w:rsid w:val="00B4329B"/>
    <w:rsid w:val="00B44B70"/>
    <w:rsid w:val="00B45BBE"/>
    <w:rsid w:val="00B45BE3"/>
    <w:rsid w:val="00B46C24"/>
    <w:rsid w:val="00B47285"/>
    <w:rsid w:val="00B47D72"/>
    <w:rsid w:val="00B503BF"/>
    <w:rsid w:val="00B51105"/>
    <w:rsid w:val="00B516F8"/>
    <w:rsid w:val="00B520F1"/>
    <w:rsid w:val="00B54273"/>
    <w:rsid w:val="00B544FD"/>
    <w:rsid w:val="00B610A5"/>
    <w:rsid w:val="00B6187C"/>
    <w:rsid w:val="00B633E6"/>
    <w:rsid w:val="00B638AF"/>
    <w:rsid w:val="00B640FC"/>
    <w:rsid w:val="00B64A95"/>
    <w:rsid w:val="00B65ADE"/>
    <w:rsid w:val="00B67B32"/>
    <w:rsid w:val="00B73256"/>
    <w:rsid w:val="00B73C34"/>
    <w:rsid w:val="00B73EF4"/>
    <w:rsid w:val="00B75180"/>
    <w:rsid w:val="00B756A9"/>
    <w:rsid w:val="00B75B25"/>
    <w:rsid w:val="00B76659"/>
    <w:rsid w:val="00B773F7"/>
    <w:rsid w:val="00B777AA"/>
    <w:rsid w:val="00B828ED"/>
    <w:rsid w:val="00B84A76"/>
    <w:rsid w:val="00B86830"/>
    <w:rsid w:val="00B87BE9"/>
    <w:rsid w:val="00B9041F"/>
    <w:rsid w:val="00B909AB"/>
    <w:rsid w:val="00B9137A"/>
    <w:rsid w:val="00B9178F"/>
    <w:rsid w:val="00B91FBC"/>
    <w:rsid w:val="00BA35C0"/>
    <w:rsid w:val="00BA37A5"/>
    <w:rsid w:val="00BA4AB0"/>
    <w:rsid w:val="00BA7DA2"/>
    <w:rsid w:val="00BB00FD"/>
    <w:rsid w:val="00BB1641"/>
    <w:rsid w:val="00BB1736"/>
    <w:rsid w:val="00BB2A36"/>
    <w:rsid w:val="00BB7A95"/>
    <w:rsid w:val="00BC1851"/>
    <w:rsid w:val="00BC1E7F"/>
    <w:rsid w:val="00BC253D"/>
    <w:rsid w:val="00BC38F7"/>
    <w:rsid w:val="00BC5BEE"/>
    <w:rsid w:val="00BC5E7A"/>
    <w:rsid w:val="00BD15C1"/>
    <w:rsid w:val="00BD345F"/>
    <w:rsid w:val="00BD42C5"/>
    <w:rsid w:val="00BD4329"/>
    <w:rsid w:val="00BD5D51"/>
    <w:rsid w:val="00BD6678"/>
    <w:rsid w:val="00BD71A1"/>
    <w:rsid w:val="00BE0432"/>
    <w:rsid w:val="00BE0ED3"/>
    <w:rsid w:val="00BE1012"/>
    <w:rsid w:val="00BE109F"/>
    <w:rsid w:val="00BE1D4A"/>
    <w:rsid w:val="00BE2D70"/>
    <w:rsid w:val="00BE4682"/>
    <w:rsid w:val="00BE4AA1"/>
    <w:rsid w:val="00BE57BB"/>
    <w:rsid w:val="00BE5EF2"/>
    <w:rsid w:val="00BF1DD0"/>
    <w:rsid w:val="00BF6213"/>
    <w:rsid w:val="00BF7077"/>
    <w:rsid w:val="00BF79E2"/>
    <w:rsid w:val="00C03CDF"/>
    <w:rsid w:val="00C041A3"/>
    <w:rsid w:val="00C06D83"/>
    <w:rsid w:val="00C078EA"/>
    <w:rsid w:val="00C102A1"/>
    <w:rsid w:val="00C10481"/>
    <w:rsid w:val="00C1217A"/>
    <w:rsid w:val="00C12294"/>
    <w:rsid w:val="00C12544"/>
    <w:rsid w:val="00C14CA4"/>
    <w:rsid w:val="00C14CE3"/>
    <w:rsid w:val="00C14EDF"/>
    <w:rsid w:val="00C155FA"/>
    <w:rsid w:val="00C169E4"/>
    <w:rsid w:val="00C2092E"/>
    <w:rsid w:val="00C216CB"/>
    <w:rsid w:val="00C22CAE"/>
    <w:rsid w:val="00C23095"/>
    <w:rsid w:val="00C23144"/>
    <w:rsid w:val="00C24A8E"/>
    <w:rsid w:val="00C24F4F"/>
    <w:rsid w:val="00C30B67"/>
    <w:rsid w:val="00C33115"/>
    <w:rsid w:val="00C37A41"/>
    <w:rsid w:val="00C410E5"/>
    <w:rsid w:val="00C41CCA"/>
    <w:rsid w:val="00C4427A"/>
    <w:rsid w:val="00C460B9"/>
    <w:rsid w:val="00C47BB2"/>
    <w:rsid w:val="00C47DD7"/>
    <w:rsid w:val="00C51398"/>
    <w:rsid w:val="00C513C2"/>
    <w:rsid w:val="00C51C1A"/>
    <w:rsid w:val="00C52978"/>
    <w:rsid w:val="00C52CDF"/>
    <w:rsid w:val="00C54340"/>
    <w:rsid w:val="00C609FE"/>
    <w:rsid w:val="00C60DFD"/>
    <w:rsid w:val="00C61A3D"/>
    <w:rsid w:val="00C61DE3"/>
    <w:rsid w:val="00C64C9B"/>
    <w:rsid w:val="00C668A5"/>
    <w:rsid w:val="00C70BD6"/>
    <w:rsid w:val="00C7196B"/>
    <w:rsid w:val="00C71D83"/>
    <w:rsid w:val="00C72A64"/>
    <w:rsid w:val="00C73ADC"/>
    <w:rsid w:val="00C7435F"/>
    <w:rsid w:val="00C74C7C"/>
    <w:rsid w:val="00C74D4D"/>
    <w:rsid w:val="00C82AE8"/>
    <w:rsid w:val="00C84124"/>
    <w:rsid w:val="00C859BA"/>
    <w:rsid w:val="00C90987"/>
    <w:rsid w:val="00C90AF1"/>
    <w:rsid w:val="00C92155"/>
    <w:rsid w:val="00C923D4"/>
    <w:rsid w:val="00C9358A"/>
    <w:rsid w:val="00C94D36"/>
    <w:rsid w:val="00C965A4"/>
    <w:rsid w:val="00C967DE"/>
    <w:rsid w:val="00C96E2C"/>
    <w:rsid w:val="00CA2406"/>
    <w:rsid w:val="00CA2BE0"/>
    <w:rsid w:val="00CA2E4E"/>
    <w:rsid w:val="00CA3759"/>
    <w:rsid w:val="00CA4583"/>
    <w:rsid w:val="00CA5E6C"/>
    <w:rsid w:val="00CA6773"/>
    <w:rsid w:val="00CB04D9"/>
    <w:rsid w:val="00CB0C3A"/>
    <w:rsid w:val="00CB1342"/>
    <w:rsid w:val="00CB1B60"/>
    <w:rsid w:val="00CB1C53"/>
    <w:rsid w:val="00CB1EDF"/>
    <w:rsid w:val="00CB2FCD"/>
    <w:rsid w:val="00CB3240"/>
    <w:rsid w:val="00CB40A7"/>
    <w:rsid w:val="00CB529E"/>
    <w:rsid w:val="00CB6F86"/>
    <w:rsid w:val="00CB7C02"/>
    <w:rsid w:val="00CC01BC"/>
    <w:rsid w:val="00CC0FB0"/>
    <w:rsid w:val="00CC283B"/>
    <w:rsid w:val="00CC3862"/>
    <w:rsid w:val="00CC451D"/>
    <w:rsid w:val="00CC4571"/>
    <w:rsid w:val="00CC5390"/>
    <w:rsid w:val="00CC73A0"/>
    <w:rsid w:val="00CC7F94"/>
    <w:rsid w:val="00CD034D"/>
    <w:rsid w:val="00CD0D19"/>
    <w:rsid w:val="00CD56D3"/>
    <w:rsid w:val="00CD5B10"/>
    <w:rsid w:val="00CD6D13"/>
    <w:rsid w:val="00CD7813"/>
    <w:rsid w:val="00CE0303"/>
    <w:rsid w:val="00CE20A7"/>
    <w:rsid w:val="00CE2B09"/>
    <w:rsid w:val="00CE4EF2"/>
    <w:rsid w:val="00CE644F"/>
    <w:rsid w:val="00CF027B"/>
    <w:rsid w:val="00CF0438"/>
    <w:rsid w:val="00CF0F76"/>
    <w:rsid w:val="00CF1822"/>
    <w:rsid w:val="00CF2959"/>
    <w:rsid w:val="00CF482C"/>
    <w:rsid w:val="00CF6428"/>
    <w:rsid w:val="00CF6E51"/>
    <w:rsid w:val="00CF7985"/>
    <w:rsid w:val="00D02EBC"/>
    <w:rsid w:val="00D0323E"/>
    <w:rsid w:val="00D0588B"/>
    <w:rsid w:val="00D06041"/>
    <w:rsid w:val="00D10484"/>
    <w:rsid w:val="00D1125C"/>
    <w:rsid w:val="00D128D1"/>
    <w:rsid w:val="00D13843"/>
    <w:rsid w:val="00D14BBA"/>
    <w:rsid w:val="00D15260"/>
    <w:rsid w:val="00D15B26"/>
    <w:rsid w:val="00D15F20"/>
    <w:rsid w:val="00D20467"/>
    <w:rsid w:val="00D2295D"/>
    <w:rsid w:val="00D23195"/>
    <w:rsid w:val="00D278DF"/>
    <w:rsid w:val="00D328E5"/>
    <w:rsid w:val="00D32FEF"/>
    <w:rsid w:val="00D33FB6"/>
    <w:rsid w:val="00D3584B"/>
    <w:rsid w:val="00D377AC"/>
    <w:rsid w:val="00D40603"/>
    <w:rsid w:val="00D4079C"/>
    <w:rsid w:val="00D40B95"/>
    <w:rsid w:val="00D418F0"/>
    <w:rsid w:val="00D41C4E"/>
    <w:rsid w:val="00D449CF"/>
    <w:rsid w:val="00D46488"/>
    <w:rsid w:val="00D466ED"/>
    <w:rsid w:val="00D476A0"/>
    <w:rsid w:val="00D50777"/>
    <w:rsid w:val="00D516F3"/>
    <w:rsid w:val="00D520BA"/>
    <w:rsid w:val="00D5506C"/>
    <w:rsid w:val="00D560F9"/>
    <w:rsid w:val="00D5651E"/>
    <w:rsid w:val="00D57128"/>
    <w:rsid w:val="00D611C0"/>
    <w:rsid w:val="00D61427"/>
    <w:rsid w:val="00D6249B"/>
    <w:rsid w:val="00D632FE"/>
    <w:rsid w:val="00D65181"/>
    <w:rsid w:val="00D701C1"/>
    <w:rsid w:val="00D72AD7"/>
    <w:rsid w:val="00D747CD"/>
    <w:rsid w:val="00D74943"/>
    <w:rsid w:val="00D80B77"/>
    <w:rsid w:val="00D81165"/>
    <w:rsid w:val="00D85024"/>
    <w:rsid w:val="00D85063"/>
    <w:rsid w:val="00D870AE"/>
    <w:rsid w:val="00D87263"/>
    <w:rsid w:val="00D876D2"/>
    <w:rsid w:val="00D90774"/>
    <w:rsid w:val="00D9136A"/>
    <w:rsid w:val="00D93A19"/>
    <w:rsid w:val="00D951B6"/>
    <w:rsid w:val="00D95B0C"/>
    <w:rsid w:val="00D96114"/>
    <w:rsid w:val="00D96756"/>
    <w:rsid w:val="00D96FC7"/>
    <w:rsid w:val="00D97344"/>
    <w:rsid w:val="00DA0352"/>
    <w:rsid w:val="00DA1129"/>
    <w:rsid w:val="00DA23F0"/>
    <w:rsid w:val="00DA2614"/>
    <w:rsid w:val="00DA349B"/>
    <w:rsid w:val="00DA66F1"/>
    <w:rsid w:val="00DA6841"/>
    <w:rsid w:val="00DA7FA9"/>
    <w:rsid w:val="00DB4E2B"/>
    <w:rsid w:val="00DB4F7A"/>
    <w:rsid w:val="00DB54C1"/>
    <w:rsid w:val="00DB7E65"/>
    <w:rsid w:val="00DC00C7"/>
    <w:rsid w:val="00DC0E05"/>
    <w:rsid w:val="00DC13F4"/>
    <w:rsid w:val="00DC27A8"/>
    <w:rsid w:val="00DC33DC"/>
    <w:rsid w:val="00DC5330"/>
    <w:rsid w:val="00DC775D"/>
    <w:rsid w:val="00DC7933"/>
    <w:rsid w:val="00DC7A00"/>
    <w:rsid w:val="00DD316E"/>
    <w:rsid w:val="00DD33C5"/>
    <w:rsid w:val="00DD3656"/>
    <w:rsid w:val="00DD3E93"/>
    <w:rsid w:val="00DD4E1A"/>
    <w:rsid w:val="00DD5568"/>
    <w:rsid w:val="00DD6989"/>
    <w:rsid w:val="00DE1615"/>
    <w:rsid w:val="00DE1D94"/>
    <w:rsid w:val="00DE3D95"/>
    <w:rsid w:val="00DE4C7C"/>
    <w:rsid w:val="00DF307A"/>
    <w:rsid w:val="00DF4638"/>
    <w:rsid w:val="00DF54FF"/>
    <w:rsid w:val="00DF553B"/>
    <w:rsid w:val="00DF6B35"/>
    <w:rsid w:val="00DF6CA7"/>
    <w:rsid w:val="00DF70EB"/>
    <w:rsid w:val="00DF7833"/>
    <w:rsid w:val="00E005ED"/>
    <w:rsid w:val="00E022A6"/>
    <w:rsid w:val="00E02886"/>
    <w:rsid w:val="00E02B15"/>
    <w:rsid w:val="00E0457B"/>
    <w:rsid w:val="00E05439"/>
    <w:rsid w:val="00E071C0"/>
    <w:rsid w:val="00E07A3F"/>
    <w:rsid w:val="00E11FE2"/>
    <w:rsid w:val="00E12419"/>
    <w:rsid w:val="00E146A8"/>
    <w:rsid w:val="00E14AB4"/>
    <w:rsid w:val="00E17DAA"/>
    <w:rsid w:val="00E217A3"/>
    <w:rsid w:val="00E21CE0"/>
    <w:rsid w:val="00E24D37"/>
    <w:rsid w:val="00E25A9C"/>
    <w:rsid w:val="00E261B9"/>
    <w:rsid w:val="00E31216"/>
    <w:rsid w:val="00E312DB"/>
    <w:rsid w:val="00E31D87"/>
    <w:rsid w:val="00E32D59"/>
    <w:rsid w:val="00E33DD9"/>
    <w:rsid w:val="00E350B7"/>
    <w:rsid w:val="00E35BA2"/>
    <w:rsid w:val="00E40C2C"/>
    <w:rsid w:val="00E413C8"/>
    <w:rsid w:val="00E46C64"/>
    <w:rsid w:val="00E502C6"/>
    <w:rsid w:val="00E50317"/>
    <w:rsid w:val="00E53F99"/>
    <w:rsid w:val="00E546A4"/>
    <w:rsid w:val="00E55AF0"/>
    <w:rsid w:val="00E56259"/>
    <w:rsid w:val="00E56349"/>
    <w:rsid w:val="00E567AE"/>
    <w:rsid w:val="00E5719C"/>
    <w:rsid w:val="00E5756F"/>
    <w:rsid w:val="00E62487"/>
    <w:rsid w:val="00E62DFF"/>
    <w:rsid w:val="00E63612"/>
    <w:rsid w:val="00E63EB2"/>
    <w:rsid w:val="00E646A0"/>
    <w:rsid w:val="00E65DC5"/>
    <w:rsid w:val="00E663C7"/>
    <w:rsid w:val="00E70AEE"/>
    <w:rsid w:val="00E71183"/>
    <w:rsid w:val="00E718AD"/>
    <w:rsid w:val="00E7255A"/>
    <w:rsid w:val="00E762D0"/>
    <w:rsid w:val="00E76861"/>
    <w:rsid w:val="00E81349"/>
    <w:rsid w:val="00E843E3"/>
    <w:rsid w:val="00E848F1"/>
    <w:rsid w:val="00E84BEE"/>
    <w:rsid w:val="00E84FF3"/>
    <w:rsid w:val="00E8765E"/>
    <w:rsid w:val="00E9075C"/>
    <w:rsid w:val="00E916F4"/>
    <w:rsid w:val="00E91CBC"/>
    <w:rsid w:val="00E92252"/>
    <w:rsid w:val="00E944A1"/>
    <w:rsid w:val="00E9787B"/>
    <w:rsid w:val="00EA03C8"/>
    <w:rsid w:val="00EA3214"/>
    <w:rsid w:val="00EA3A0D"/>
    <w:rsid w:val="00EA691A"/>
    <w:rsid w:val="00EB0736"/>
    <w:rsid w:val="00EB0B3D"/>
    <w:rsid w:val="00EB0FB9"/>
    <w:rsid w:val="00EB25C0"/>
    <w:rsid w:val="00EB32C1"/>
    <w:rsid w:val="00EB344B"/>
    <w:rsid w:val="00EB5AB6"/>
    <w:rsid w:val="00EB6D04"/>
    <w:rsid w:val="00EB7C7A"/>
    <w:rsid w:val="00EC079D"/>
    <w:rsid w:val="00EC3020"/>
    <w:rsid w:val="00EC34BC"/>
    <w:rsid w:val="00EC450B"/>
    <w:rsid w:val="00EC4CC7"/>
    <w:rsid w:val="00EC7219"/>
    <w:rsid w:val="00EC7AD7"/>
    <w:rsid w:val="00ED03E7"/>
    <w:rsid w:val="00ED3AA7"/>
    <w:rsid w:val="00ED607C"/>
    <w:rsid w:val="00ED7F0F"/>
    <w:rsid w:val="00EE1941"/>
    <w:rsid w:val="00EE22B1"/>
    <w:rsid w:val="00EE233B"/>
    <w:rsid w:val="00EE28B1"/>
    <w:rsid w:val="00EE2AC2"/>
    <w:rsid w:val="00EE37D7"/>
    <w:rsid w:val="00EE3E5B"/>
    <w:rsid w:val="00EE709B"/>
    <w:rsid w:val="00EF10EA"/>
    <w:rsid w:val="00EF1293"/>
    <w:rsid w:val="00EF1554"/>
    <w:rsid w:val="00EF1E11"/>
    <w:rsid w:val="00EF2B1E"/>
    <w:rsid w:val="00EF3A6D"/>
    <w:rsid w:val="00EF438F"/>
    <w:rsid w:val="00EF54D8"/>
    <w:rsid w:val="00EF57AC"/>
    <w:rsid w:val="00EF5BCF"/>
    <w:rsid w:val="00EF7A5E"/>
    <w:rsid w:val="00EF7B2A"/>
    <w:rsid w:val="00F02C1B"/>
    <w:rsid w:val="00F0681B"/>
    <w:rsid w:val="00F06869"/>
    <w:rsid w:val="00F07269"/>
    <w:rsid w:val="00F13CEA"/>
    <w:rsid w:val="00F155C9"/>
    <w:rsid w:val="00F17485"/>
    <w:rsid w:val="00F17A6A"/>
    <w:rsid w:val="00F20AE5"/>
    <w:rsid w:val="00F20D1C"/>
    <w:rsid w:val="00F2110A"/>
    <w:rsid w:val="00F22D09"/>
    <w:rsid w:val="00F230DD"/>
    <w:rsid w:val="00F23629"/>
    <w:rsid w:val="00F25387"/>
    <w:rsid w:val="00F27564"/>
    <w:rsid w:val="00F27F02"/>
    <w:rsid w:val="00F319BF"/>
    <w:rsid w:val="00F322F0"/>
    <w:rsid w:val="00F3257F"/>
    <w:rsid w:val="00F32E57"/>
    <w:rsid w:val="00F34FE5"/>
    <w:rsid w:val="00F35850"/>
    <w:rsid w:val="00F36F97"/>
    <w:rsid w:val="00F42AEB"/>
    <w:rsid w:val="00F42FC4"/>
    <w:rsid w:val="00F441BE"/>
    <w:rsid w:val="00F45BDC"/>
    <w:rsid w:val="00F47A31"/>
    <w:rsid w:val="00F47D10"/>
    <w:rsid w:val="00F52965"/>
    <w:rsid w:val="00F54354"/>
    <w:rsid w:val="00F62C9A"/>
    <w:rsid w:val="00F64C59"/>
    <w:rsid w:val="00F71C7C"/>
    <w:rsid w:val="00F72F58"/>
    <w:rsid w:val="00F73F74"/>
    <w:rsid w:val="00F75AF4"/>
    <w:rsid w:val="00F80474"/>
    <w:rsid w:val="00F8307D"/>
    <w:rsid w:val="00F84BFF"/>
    <w:rsid w:val="00F84D57"/>
    <w:rsid w:val="00F86B82"/>
    <w:rsid w:val="00F9170F"/>
    <w:rsid w:val="00F91AEC"/>
    <w:rsid w:val="00F922AA"/>
    <w:rsid w:val="00F9507F"/>
    <w:rsid w:val="00F967BA"/>
    <w:rsid w:val="00FA0FC1"/>
    <w:rsid w:val="00FA143C"/>
    <w:rsid w:val="00FA17B2"/>
    <w:rsid w:val="00FA1E06"/>
    <w:rsid w:val="00FA3374"/>
    <w:rsid w:val="00FA34CC"/>
    <w:rsid w:val="00FA5CF6"/>
    <w:rsid w:val="00FA686F"/>
    <w:rsid w:val="00FB3FB5"/>
    <w:rsid w:val="00FB5A5C"/>
    <w:rsid w:val="00FB61EF"/>
    <w:rsid w:val="00FB6FA8"/>
    <w:rsid w:val="00FC255F"/>
    <w:rsid w:val="00FC2678"/>
    <w:rsid w:val="00FC501F"/>
    <w:rsid w:val="00FC6EE1"/>
    <w:rsid w:val="00FD18B2"/>
    <w:rsid w:val="00FD1A70"/>
    <w:rsid w:val="00FD3AF2"/>
    <w:rsid w:val="00FD3B90"/>
    <w:rsid w:val="00FD7117"/>
    <w:rsid w:val="00FD75A3"/>
    <w:rsid w:val="00FD7D0C"/>
    <w:rsid w:val="00FE0AFB"/>
    <w:rsid w:val="00FE0DF8"/>
    <w:rsid w:val="00FE2A3B"/>
    <w:rsid w:val="00FE2BB4"/>
    <w:rsid w:val="00FE2F7F"/>
    <w:rsid w:val="00FE3CC6"/>
    <w:rsid w:val="00FE4B13"/>
    <w:rsid w:val="00FE5691"/>
    <w:rsid w:val="00FE6877"/>
    <w:rsid w:val="00FF009A"/>
    <w:rsid w:val="00FF2A83"/>
    <w:rsid w:val="00FF3438"/>
    <w:rsid w:val="00FF5DD5"/>
    <w:rsid w:val="00FF688C"/>
    <w:rsid w:val="00FF7819"/>
    <w:rsid w:val="00FF7DB3"/>
    <w:rsid w:val="00FF7EE4"/>
    <w:rsid w:val="01433BF2"/>
    <w:rsid w:val="01FDD292"/>
    <w:rsid w:val="03343D49"/>
    <w:rsid w:val="03ABFBC1"/>
    <w:rsid w:val="03FB6761"/>
    <w:rsid w:val="04A842DD"/>
    <w:rsid w:val="050CAF21"/>
    <w:rsid w:val="07A5CA34"/>
    <w:rsid w:val="0879D5AE"/>
    <w:rsid w:val="08C96EF0"/>
    <w:rsid w:val="0A0F749C"/>
    <w:rsid w:val="0B20F9A4"/>
    <w:rsid w:val="0CD6C8E2"/>
    <w:rsid w:val="0D1B25FC"/>
    <w:rsid w:val="0D458C1C"/>
    <w:rsid w:val="0E0CDA7D"/>
    <w:rsid w:val="0EF774F8"/>
    <w:rsid w:val="10B9CCE1"/>
    <w:rsid w:val="11200FEE"/>
    <w:rsid w:val="118E25D2"/>
    <w:rsid w:val="14B88DC5"/>
    <w:rsid w:val="153FD142"/>
    <w:rsid w:val="15775617"/>
    <w:rsid w:val="16400262"/>
    <w:rsid w:val="168BB1CA"/>
    <w:rsid w:val="16DD5E9A"/>
    <w:rsid w:val="190D0892"/>
    <w:rsid w:val="1985E77A"/>
    <w:rsid w:val="1A9E3202"/>
    <w:rsid w:val="1D415E47"/>
    <w:rsid w:val="1D9EDDA9"/>
    <w:rsid w:val="1F86CAFA"/>
    <w:rsid w:val="214B9DC9"/>
    <w:rsid w:val="2302CB33"/>
    <w:rsid w:val="240ED094"/>
    <w:rsid w:val="246FF141"/>
    <w:rsid w:val="24AFE62F"/>
    <w:rsid w:val="26A87E29"/>
    <w:rsid w:val="270BE237"/>
    <w:rsid w:val="289D53CC"/>
    <w:rsid w:val="292F0F01"/>
    <w:rsid w:val="299E2144"/>
    <w:rsid w:val="2A5B498D"/>
    <w:rsid w:val="2A81308F"/>
    <w:rsid w:val="2AE38681"/>
    <w:rsid w:val="2B081428"/>
    <w:rsid w:val="2B3B09B8"/>
    <w:rsid w:val="2B9EEE33"/>
    <w:rsid w:val="2BFBABBE"/>
    <w:rsid w:val="2CF1DEE6"/>
    <w:rsid w:val="2CF63441"/>
    <w:rsid w:val="2D960BA9"/>
    <w:rsid w:val="2E36A208"/>
    <w:rsid w:val="300921B9"/>
    <w:rsid w:val="3014E9D1"/>
    <w:rsid w:val="30DC9912"/>
    <w:rsid w:val="30E54A46"/>
    <w:rsid w:val="3152AA26"/>
    <w:rsid w:val="31987144"/>
    <w:rsid w:val="320C096E"/>
    <w:rsid w:val="3345A429"/>
    <w:rsid w:val="3365DF7D"/>
    <w:rsid w:val="338AD733"/>
    <w:rsid w:val="348624F1"/>
    <w:rsid w:val="369DDED0"/>
    <w:rsid w:val="371064C4"/>
    <w:rsid w:val="39788F36"/>
    <w:rsid w:val="3BEFD102"/>
    <w:rsid w:val="3D060610"/>
    <w:rsid w:val="3D31C50C"/>
    <w:rsid w:val="40B91A68"/>
    <w:rsid w:val="40FA4FF1"/>
    <w:rsid w:val="42A044BE"/>
    <w:rsid w:val="42E39FD1"/>
    <w:rsid w:val="43FBFF56"/>
    <w:rsid w:val="43FFB094"/>
    <w:rsid w:val="44A4249E"/>
    <w:rsid w:val="45101BF9"/>
    <w:rsid w:val="464B9401"/>
    <w:rsid w:val="472D3656"/>
    <w:rsid w:val="4770D43B"/>
    <w:rsid w:val="4CC560BF"/>
    <w:rsid w:val="4D04151A"/>
    <w:rsid w:val="4D54D746"/>
    <w:rsid w:val="4E0EF0D1"/>
    <w:rsid w:val="4E412C67"/>
    <w:rsid w:val="4F4DC1C5"/>
    <w:rsid w:val="4F5D6062"/>
    <w:rsid w:val="4FF5D099"/>
    <w:rsid w:val="51AFF19B"/>
    <w:rsid w:val="5348577F"/>
    <w:rsid w:val="5371B86C"/>
    <w:rsid w:val="5441D815"/>
    <w:rsid w:val="56E47E12"/>
    <w:rsid w:val="575579AB"/>
    <w:rsid w:val="58679F10"/>
    <w:rsid w:val="59B1CFCC"/>
    <w:rsid w:val="59C908CE"/>
    <w:rsid w:val="5AFB3EFA"/>
    <w:rsid w:val="5B18B4AA"/>
    <w:rsid w:val="5B6B783E"/>
    <w:rsid w:val="5BCA9AF6"/>
    <w:rsid w:val="5D1B9BBF"/>
    <w:rsid w:val="5D23E07E"/>
    <w:rsid w:val="5DDEE69A"/>
    <w:rsid w:val="5EE16208"/>
    <w:rsid w:val="5FB826F7"/>
    <w:rsid w:val="601A1D0B"/>
    <w:rsid w:val="63232560"/>
    <w:rsid w:val="6339AB16"/>
    <w:rsid w:val="63F757F1"/>
    <w:rsid w:val="64551E2C"/>
    <w:rsid w:val="6495636B"/>
    <w:rsid w:val="679146BB"/>
    <w:rsid w:val="684DD73D"/>
    <w:rsid w:val="686C4CBA"/>
    <w:rsid w:val="6A310B7F"/>
    <w:rsid w:val="6A5C6F67"/>
    <w:rsid w:val="6A61E10E"/>
    <w:rsid w:val="6C9DD8CB"/>
    <w:rsid w:val="6CB88AED"/>
    <w:rsid w:val="6D249D3F"/>
    <w:rsid w:val="6E9F620F"/>
    <w:rsid w:val="6F99D76B"/>
    <w:rsid w:val="703110F8"/>
    <w:rsid w:val="70DB41FD"/>
    <w:rsid w:val="70DE2D26"/>
    <w:rsid w:val="70DEC0E8"/>
    <w:rsid w:val="712F303C"/>
    <w:rsid w:val="72B7E760"/>
    <w:rsid w:val="73AD4C73"/>
    <w:rsid w:val="73DAC2B2"/>
    <w:rsid w:val="7601EEAE"/>
    <w:rsid w:val="7633D172"/>
    <w:rsid w:val="775121DD"/>
    <w:rsid w:val="77FD9B55"/>
    <w:rsid w:val="78362114"/>
    <w:rsid w:val="7896857C"/>
    <w:rsid w:val="79C8B336"/>
    <w:rsid w:val="79D4427B"/>
    <w:rsid w:val="7BA090BA"/>
    <w:rsid w:val="7BD595DF"/>
    <w:rsid w:val="7C7068F0"/>
    <w:rsid w:val="7D2F853A"/>
    <w:rsid w:val="7E4413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82F70C"/>
  <w15:docId w15:val="{8A86B6D8-B8A2-41D9-9370-8C8166768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8E0"/>
    <w:rPr>
      <w:rFonts w:eastAsiaTheme="minorEastAsia"/>
      <w:lang w:eastAsia="en-AU"/>
    </w:rPr>
  </w:style>
  <w:style w:type="paragraph" w:styleId="Heading1">
    <w:name w:val="heading 1"/>
    <w:basedOn w:val="Normal"/>
    <w:next w:val="Normal"/>
    <w:link w:val="Heading1Char"/>
    <w:uiPriority w:val="9"/>
    <w:qFormat/>
    <w:rsid w:val="00DF54FF"/>
    <w:pPr>
      <w:outlineLvl w:val="0"/>
    </w:pPr>
    <w:rPr>
      <w:rFonts w:cstheme="minorHAnsi"/>
      <w:sz w:val="32"/>
      <w:szCs w:val="32"/>
    </w:rPr>
  </w:style>
  <w:style w:type="paragraph" w:styleId="Heading2">
    <w:name w:val="heading 2"/>
    <w:basedOn w:val="Normal"/>
    <w:next w:val="Normal"/>
    <w:link w:val="Heading2Char"/>
    <w:uiPriority w:val="9"/>
    <w:unhideWhenUsed/>
    <w:qFormat/>
    <w:rsid w:val="00DF54FF"/>
    <w:pPr>
      <w:outlineLvl w:val="1"/>
    </w:pPr>
    <w:rPr>
      <w:rFonts w:cstheme="minorHAnsi"/>
      <w:sz w:val="28"/>
      <w:szCs w:val="28"/>
    </w:rPr>
  </w:style>
  <w:style w:type="paragraph" w:styleId="Heading3">
    <w:name w:val="heading 3"/>
    <w:basedOn w:val="Normal"/>
    <w:next w:val="Normal"/>
    <w:link w:val="Heading3Char"/>
    <w:uiPriority w:val="9"/>
    <w:unhideWhenUsed/>
    <w:qFormat/>
    <w:rsid w:val="00DF54FF"/>
    <w:pPr>
      <w:keepNext/>
      <w:keepLines/>
      <w:spacing w:before="100" w:beforeAutospacing="1" w:after="240" w:line="240" w:lineRule="auto"/>
      <w:outlineLvl w:val="2"/>
    </w:pPr>
    <w:rPr>
      <w:rFonts w:ascii="Calibri" w:eastAsia="MS Gothic" w:hAnsi="Calibri" w:cs="Times New Roman"/>
      <w:bCs/>
      <w:i/>
      <w:iCs/>
      <w:sz w:val="24"/>
      <w:lang w:val="en-US" w:eastAsia="en-US"/>
    </w:rPr>
  </w:style>
  <w:style w:type="paragraph" w:styleId="Heading4">
    <w:name w:val="heading 4"/>
    <w:basedOn w:val="Heading3"/>
    <w:next w:val="Normal"/>
    <w:link w:val="Heading4Char"/>
    <w:uiPriority w:val="9"/>
    <w:unhideWhenUsed/>
    <w:rsid w:val="002E4FFE"/>
    <w:pPr>
      <w:outlineLvl w:val="3"/>
    </w:pPr>
    <w:rPr>
      <w:color w:val="086F93" w:themeColor="accent1" w:themeShade="80"/>
    </w:rPr>
  </w:style>
  <w:style w:type="paragraph" w:styleId="Heading5">
    <w:name w:val="heading 5"/>
    <w:basedOn w:val="Heading3"/>
    <w:next w:val="Normal"/>
    <w:link w:val="Heading5Char"/>
    <w:uiPriority w:val="9"/>
    <w:unhideWhenUsed/>
    <w:rsid w:val="002E4FFE"/>
    <w:pPr>
      <w:outlineLvl w:val="4"/>
    </w:pPr>
    <w:rPr>
      <w:color w:val="086F9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s">
    <w:name w:val="Bullets"/>
    <w:uiPriority w:val="99"/>
    <w:rsid w:val="0004526C"/>
    <w:pPr>
      <w:numPr>
        <w:numId w:val="33"/>
      </w:numPr>
    </w:pPr>
  </w:style>
  <w:style w:type="paragraph" w:customStyle="1" w:styleId="Bulletlist1">
    <w:name w:val="Bullet list 1"/>
    <w:basedOn w:val="Normal"/>
    <w:link w:val="Bulletlist1Char"/>
    <w:qFormat/>
    <w:rsid w:val="0004526C"/>
    <w:pPr>
      <w:numPr>
        <w:numId w:val="34"/>
      </w:numPr>
      <w:spacing w:before="100" w:beforeAutospacing="1" w:after="100" w:afterAutospacing="1" w:line="240" w:lineRule="auto"/>
    </w:pPr>
    <w:rPr>
      <w:rFonts w:ascii="Calibri" w:hAnsi="Calibri"/>
    </w:rPr>
  </w:style>
  <w:style w:type="character" w:customStyle="1" w:styleId="Heading4Char">
    <w:name w:val="Heading 4 Char"/>
    <w:basedOn w:val="DefaultParagraphFont"/>
    <w:link w:val="Heading4"/>
    <w:uiPriority w:val="9"/>
    <w:rsid w:val="002E4FFE"/>
    <w:rPr>
      <w:rFonts w:ascii="Calibri" w:eastAsia="MS Gothic" w:hAnsi="Calibri" w:cs="Times New Roman"/>
      <w:bCs/>
      <w:i/>
      <w:iCs/>
      <w:color w:val="086F93" w:themeColor="accent1" w:themeShade="80"/>
      <w:sz w:val="24"/>
      <w:lang w:val="en-US"/>
    </w:rPr>
  </w:style>
  <w:style w:type="paragraph" w:styleId="Title">
    <w:name w:val="Title"/>
    <w:basedOn w:val="Normal"/>
    <w:next w:val="Normal"/>
    <w:link w:val="TitleChar"/>
    <w:qFormat/>
    <w:rsid w:val="00BB00FD"/>
    <w:pPr>
      <w:spacing w:after="0"/>
      <w:outlineLvl w:val="0"/>
    </w:pPr>
    <w:rPr>
      <w:rFonts w:cstheme="minorHAnsi"/>
      <w:sz w:val="48"/>
      <w:szCs w:val="48"/>
    </w:rPr>
  </w:style>
  <w:style w:type="character" w:styleId="Hyperlink">
    <w:name w:val="Hyperlink"/>
    <w:basedOn w:val="DefaultParagraphFont"/>
    <w:uiPriority w:val="99"/>
    <w:unhideWhenUsed/>
    <w:rsid w:val="007A5D36"/>
    <w:rPr>
      <w:color w:val="0000FF" w:themeColor="hyperlink"/>
      <w:u w:val="single"/>
    </w:rPr>
  </w:style>
  <w:style w:type="character" w:customStyle="1" w:styleId="TitleChar">
    <w:name w:val="Title Char"/>
    <w:basedOn w:val="DefaultParagraphFont"/>
    <w:link w:val="Title"/>
    <w:rsid w:val="00BB00FD"/>
    <w:rPr>
      <w:rFonts w:eastAsiaTheme="minorEastAsia" w:cstheme="minorHAnsi"/>
      <w:sz w:val="48"/>
      <w:szCs w:val="48"/>
      <w:lang w:eastAsia="en-AU"/>
    </w:rPr>
  </w:style>
  <w:style w:type="paragraph" w:styleId="ListParagraph">
    <w:name w:val="List Paragraph"/>
    <w:basedOn w:val="Normal"/>
    <w:uiPriority w:val="34"/>
    <w:qFormat/>
    <w:rsid w:val="00BD42C5"/>
    <w:pPr>
      <w:ind w:left="720"/>
      <w:contextualSpacing/>
    </w:pPr>
  </w:style>
  <w:style w:type="character" w:customStyle="1" w:styleId="Heading1Char">
    <w:name w:val="Heading 1 Char"/>
    <w:basedOn w:val="DefaultParagraphFont"/>
    <w:link w:val="Heading1"/>
    <w:uiPriority w:val="9"/>
    <w:rsid w:val="00DF54FF"/>
    <w:rPr>
      <w:rFonts w:eastAsiaTheme="minorEastAsia" w:cstheme="minorHAnsi"/>
      <w:sz w:val="32"/>
      <w:szCs w:val="32"/>
      <w:lang w:eastAsia="en-AU"/>
    </w:rPr>
  </w:style>
  <w:style w:type="paragraph" w:styleId="FootnoteText">
    <w:name w:val="footnote text"/>
    <w:basedOn w:val="Normal"/>
    <w:link w:val="FootnoteTextChar"/>
    <w:uiPriority w:val="99"/>
    <w:semiHidden/>
    <w:unhideWhenUsed/>
    <w:rsid w:val="00EA32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3214"/>
    <w:rPr>
      <w:rFonts w:eastAsiaTheme="minorEastAsia"/>
      <w:sz w:val="20"/>
      <w:szCs w:val="20"/>
      <w:lang w:eastAsia="en-AU"/>
    </w:rPr>
  </w:style>
  <w:style w:type="character" w:styleId="FootnoteReference">
    <w:name w:val="footnote reference"/>
    <w:basedOn w:val="DefaultParagraphFont"/>
    <w:uiPriority w:val="99"/>
    <w:semiHidden/>
    <w:unhideWhenUsed/>
    <w:rsid w:val="00EA3214"/>
    <w:rPr>
      <w:vertAlign w:val="superscript"/>
    </w:rPr>
  </w:style>
  <w:style w:type="character" w:styleId="CommentReference">
    <w:name w:val="annotation reference"/>
    <w:basedOn w:val="DefaultParagraphFont"/>
    <w:uiPriority w:val="99"/>
    <w:semiHidden/>
    <w:unhideWhenUsed/>
    <w:rsid w:val="00EA3214"/>
    <w:rPr>
      <w:sz w:val="16"/>
      <w:szCs w:val="16"/>
    </w:rPr>
  </w:style>
  <w:style w:type="paragraph" w:styleId="CommentSubject">
    <w:name w:val="annotation subject"/>
    <w:basedOn w:val="Normal"/>
    <w:next w:val="Normal"/>
    <w:link w:val="CommentSubjectChar"/>
    <w:uiPriority w:val="99"/>
    <w:semiHidden/>
    <w:unhideWhenUsed/>
    <w:rsid w:val="00EC3020"/>
    <w:rPr>
      <w:b/>
      <w:bCs/>
    </w:rPr>
  </w:style>
  <w:style w:type="character" w:customStyle="1" w:styleId="CommentSubjectChar">
    <w:name w:val="Comment Subject Char"/>
    <w:basedOn w:val="DefaultParagraphFont"/>
    <w:link w:val="CommentSubject"/>
    <w:uiPriority w:val="99"/>
    <w:semiHidden/>
    <w:rsid w:val="00EC3020"/>
    <w:rPr>
      <w:rFonts w:eastAsiaTheme="minorEastAsia"/>
      <w:b/>
      <w:bCs/>
      <w:sz w:val="20"/>
      <w:szCs w:val="20"/>
      <w:lang w:eastAsia="en-AU"/>
    </w:rPr>
  </w:style>
  <w:style w:type="paragraph" w:styleId="BalloonText">
    <w:name w:val="Balloon Text"/>
    <w:basedOn w:val="Normal"/>
    <w:link w:val="BalloonTextChar"/>
    <w:uiPriority w:val="99"/>
    <w:semiHidden/>
    <w:unhideWhenUsed/>
    <w:rsid w:val="00EA3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214"/>
    <w:rPr>
      <w:rFonts w:ascii="Tahoma" w:eastAsiaTheme="minorEastAsia" w:hAnsi="Tahoma" w:cs="Tahoma"/>
      <w:sz w:val="16"/>
      <w:szCs w:val="16"/>
      <w:lang w:eastAsia="en-AU"/>
    </w:rPr>
  </w:style>
  <w:style w:type="character" w:customStyle="1" w:styleId="Heading2Char">
    <w:name w:val="Heading 2 Char"/>
    <w:basedOn w:val="DefaultParagraphFont"/>
    <w:link w:val="Heading2"/>
    <w:uiPriority w:val="9"/>
    <w:rsid w:val="00DF54FF"/>
    <w:rPr>
      <w:rFonts w:eastAsiaTheme="minorEastAsia" w:cstheme="minorHAnsi"/>
      <w:sz w:val="28"/>
      <w:szCs w:val="28"/>
      <w:lang w:eastAsia="en-AU"/>
    </w:rPr>
  </w:style>
  <w:style w:type="character" w:customStyle="1" w:styleId="Heading3Char">
    <w:name w:val="Heading 3 Char"/>
    <w:basedOn w:val="DefaultParagraphFont"/>
    <w:link w:val="Heading3"/>
    <w:uiPriority w:val="9"/>
    <w:rsid w:val="00DF54FF"/>
    <w:rPr>
      <w:rFonts w:ascii="Calibri" w:eastAsia="MS Gothic" w:hAnsi="Calibri" w:cs="Times New Roman"/>
      <w:bCs/>
      <w:i/>
      <w:iCs/>
      <w:sz w:val="24"/>
      <w:lang w:val="en-US"/>
    </w:rPr>
  </w:style>
  <w:style w:type="character" w:styleId="UnresolvedMention">
    <w:name w:val="Unresolved Mention"/>
    <w:basedOn w:val="DefaultParagraphFont"/>
    <w:uiPriority w:val="99"/>
    <w:semiHidden/>
    <w:unhideWhenUsed/>
    <w:rsid w:val="00A0796F"/>
    <w:rPr>
      <w:color w:val="605E5C"/>
      <w:shd w:val="clear" w:color="auto" w:fill="E1DFDD"/>
    </w:rPr>
  </w:style>
  <w:style w:type="table" w:styleId="TableGrid">
    <w:name w:val="Table Grid"/>
    <w:basedOn w:val="TableNormal"/>
    <w:uiPriority w:val="59"/>
    <w:rsid w:val="00917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36E66"/>
    <w:rPr>
      <w:color w:val="800080" w:themeColor="followedHyperlink"/>
      <w:u w:val="single"/>
    </w:rPr>
  </w:style>
  <w:style w:type="paragraph" w:styleId="Revision">
    <w:name w:val="Revision"/>
    <w:hidden/>
    <w:uiPriority w:val="99"/>
    <w:semiHidden/>
    <w:rsid w:val="00D65181"/>
    <w:pPr>
      <w:spacing w:after="0" w:line="240" w:lineRule="auto"/>
    </w:pPr>
    <w:rPr>
      <w:rFonts w:eastAsiaTheme="minorEastAsia"/>
      <w:lang w:eastAsia="en-AU"/>
    </w:rPr>
  </w:style>
  <w:style w:type="paragraph" w:customStyle="1" w:styleId="FundingAcknowledgement">
    <w:name w:val="Funding Acknowledgement"/>
    <w:basedOn w:val="Normal"/>
    <w:autoRedefine/>
    <w:qFormat/>
    <w:rsid w:val="00432683"/>
    <w:pPr>
      <w:pBdr>
        <w:top w:val="single" w:sz="36" w:space="10" w:color="43C7F4" w:themeColor="accent1"/>
        <w:bottom w:val="single" w:sz="36" w:space="10" w:color="43C7F4" w:themeColor="accent1"/>
      </w:pBdr>
      <w:spacing w:before="360" w:after="360"/>
      <w:ind w:right="-46"/>
    </w:pPr>
    <w:rPr>
      <w:rFonts w:ascii="Gotham" w:hAnsi="Gotham"/>
      <w:b/>
      <w:i/>
      <w:iCs/>
      <w:sz w:val="16"/>
      <w:lang w:val="en-US"/>
    </w:rPr>
  </w:style>
  <w:style w:type="character" w:customStyle="1" w:styleId="Heading5Char">
    <w:name w:val="Heading 5 Char"/>
    <w:basedOn w:val="DefaultParagraphFont"/>
    <w:link w:val="Heading5"/>
    <w:uiPriority w:val="9"/>
    <w:rsid w:val="002E4FFE"/>
    <w:rPr>
      <w:rFonts w:ascii="Calibri" w:eastAsia="MS Gothic" w:hAnsi="Calibri" w:cs="Times New Roman"/>
      <w:bCs/>
      <w:i/>
      <w:iCs/>
      <w:color w:val="086F93" w:themeColor="accent1" w:themeShade="80"/>
      <w:sz w:val="24"/>
      <w:lang w:val="en-US"/>
    </w:rPr>
  </w:style>
  <w:style w:type="paragraph" w:customStyle="1" w:styleId="Bulletlist2">
    <w:name w:val="Bullet list 2"/>
    <w:basedOn w:val="Bulletlist1"/>
    <w:link w:val="Bulletlist2Char"/>
    <w:qFormat/>
    <w:rsid w:val="0004526C"/>
    <w:pPr>
      <w:numPr>
        <w:ilvl w:val="1"/>
      </w:numPr>
    </w:pPr>
  </w:style>
  <w:style w:type="character" w:customStyle="1" w:styleId="Bulletlist1Char">
    <w:name w:val="Bullet list 1 Char"/>
    <w:basedOn w:val="DefaultParagraphFont"/>
    <w:link w:val="Bulletlist1"/>
    <w:rsid w:val="0004526C"/>
    <w:rPr>
      <w:rFonts w:ascii="Calibri" w:eastAsiaTheme="minorEastAsia" w:hAnsi="Calibri"/>
      <w:lang w:eastAsia="en-AU"/>
    </w:rPr>
  </w:style>
  <w:style w:type="paragraph" w:customStyle="1" w:styleId="Bulletlist3">
    <w:name w:val="Bullet list 3"/>
    <w:basedOn w:val="Bulletlist2"/>
    <w:link w:val="Bulletlist3Char"/>
    <w:qFormat/>
    <w:rsid w:val="0004526C"/>
    <w:pPr>
      <w:numPr>
        <w:ilvl w:val="2"/>
      </w:numPr>
    </w:pPr>
  </w:style>
  <w:style w:type="paragraph" w:customStyle="1" w:styleId="DocLabel">
    <w:name w:val="Doc Label"/>
    <w:basedOn w:val="Normal"/>
    <w:link w:val="DocLabelChar"/>
    <w:qFormat/>
    <w:rsid w:val="00877710"/>
    <w:pPr>
      <w:tabs>
        <w:tab w:val="right" w:pos="9026"/>
      </w:tabs>
    </w:pPr>
    <w:rPr>
      <w:rFonts w:ascii="Gotham Black" w:hAnsi="Gotham Black"/>
      <w:color w:val="43C7F4" w:themeColor="accent1"/>
      <w:sz w:val="36"/>
      <w:szCs w:val="36"/>
    </w:rPr>
  </w:style>
  <w:style w:type="character" w:customStyle="1" w:styleId="Bulletlist2Char">
    <w:name w:val="Bullet list 2 Char"/>
    <w:basedOn w:val="Bulletlist1Char"/>
    <w:link w:val="Bulletlist2"/>
    <w:rsid w:val="0004526C"/>
    <w:rPr>
      <w:rFonts w:ascii="Calibri" w:eastAsiaTheme="minorEastAsia" w:hAnsi="Calibri"/>
      <w:lang w:eastAsia="en-AU"/>
    </w:rPr>
  </w:style>
  <w:style w:type="paragraph" w:customStyle="1" w:styleId="DocDate">
    <w:name w:val="Doc Date"/>
    <w:basedOn w:val="Normal"/>
    <w:link w:val="DocDateChar"/>
    <w:qFormat/>
    <w:rsid w:val="00877710"/>
    <w:pPr>
      <w:tabs>
        <w:tab w:val="right" w:pos="9026"/>
      </w:tabs>
    </w:pPr>
    <w:rPr>
      <w:rFonts w:ascii="Gotham" w:hAnsi="Gotham"/>
      <w:b/>
      <w:bCs/>
    </w:rPr>
  </w:style>
  <w:style w:type="character" w:customStyle="1" w:styleId="DocLabelChar">
    <w:name w:val="Doc Label Char"/>
    <w:basedOn w:val="DefaultParagraphFont"/>
    <w:link w:val="DocLabel"/>
    <w:rsid w:val="00877710"/>
    <w:rPr>
      <w:rFonts w:ascii="Gotham Black" w:eastAsiaTheme="minorEastAsia" w:hAnsi="Gotham Black"/>
      <w:color w:val="43C7F4" w:themeColor="accent1"/>
      <w:sz w:val="36"/>
      <w:szCs w:val="36"/>
      <w:lang w:eastAsia="en-AU"/>
    </w:rPr>
  </w:style>
  <w:style w:type="paragraph" w:customStyle="1" w:styleId="Letterhead1">
    <w:name w:val="Letterhead 1"/>
    <w:basedOn w:val="Normal"/>
    <w:link w:val="Letterhead1Char"/>
    <w:qFormat/>
    <w:rsid w:val="002E4FFE"/>
    <w:pPr>
      <w:tabs>
        <w:tab w:val="left" w:pos="3855"/>
        <w:tab w:val="center" w:pos="4513"/>
        <w:tab w:val="right" w:pos="9026"/>
      </w:tabs>
      <w:spacing w:after="0"/>
      <w:jc w:val="right"/>
    </w:pPr>
    <w:rPr>
      <w:rFonts w:ascii="Gotham" w:hAnsi="Gotham"/>
      <w:b/>
      <w:bCs/>
      <w:spacing w:val="8"/>
      <w:sz w:val="20"/>
      <w:szCs w:val="20"/>
    </w:rPr>
  </w:style>
  <w:style w:type="character" w:customStyle="1" w:styleId="DocDateChar">
    <w:name w:val="Doc Date Char"/>
    <w:basedOn w:val="DefaultParagraphFont"/>
    <w:link w:val="DocDate"/>
    <w:rsid w:val="00877710"/>
    <w:rPr>
      <w:rFonts w:ascii="Gotham" w:eastAsiaTheme="minorEastAsia" w:hAnsi="Gotham"/>
      <w:b/>
      <w:bCs/>
      <w:lang w:eastAsia="en-AU"/>
    </w:rPr>
  </w:style>
  <w:style w:type="paragraph" w:customStyle="1" w:styleId="Letterhead2">
    <w:name w:val="Letterhead 2"/>
    <w:basedOn w:val="Normal"/>
    <w:link w:val="Letterhead2Char"/>
    <w:qFormat/>
    <w:rsid w:val="002E4FFE"/>
    <w:pPr>
      <w:tabs>
        <w:tab w:val="left" w:pos="1843"/>
        <w:tab w:val="center" w:pos="4513"/>
        <w:tab w:val="right" w:pos="9026"/>
      </w:tabs>
      <w:spacing w:after="0" w:line="240" w:lineRule="auto"/>
      <w:ind w:hanging="851"/>
    </w:pPr>
    <w:rPr>
      <w:rFonts w:ascii="Gotham" w:hAnsi="Gotham"/>
      <w:b/>
      <w:bCs/>
      <w:i/>
      <w:iCs/>
      <w:color w:val="43C7F4" w:themeColor="accent1"/>
    </w:rPr>
  </w:style>
  <w:style w:type="character" w:customStyle="1" w:styleId="Letterhead1Char">
    <w:name w:val="Letterhead 1 Char"/>
    <w:basedOn w:val="DefaultParagraphFont"/>
    <w:link w:val="Letterhead1"/>
    <w:rsid w:val="002E4FFE"/>
    <w:rPr>
      <w:rFonts w:ascii="Gotham" w:eastAsiaTheme="minorEastAsia" w:hAnsi="Gotham"/>
      <w:b/>
      <w:bCs/>
      <w:spacing w:val="8"/>
      <w:sz w:val="20"/>
      <w:szCs w:val="20"/>
      <w:lang w:eastAsia="en-AU"/>
    </w:rPr>
  </w:style>
  <w:style w:type="paragraph" w:styleId="NoSpacing">
    <w:name w:val="No Spacing"/>
    <w:uiPriority w:val="1"/>
    <w:qFormat/>
    <w:rsid w:val="00604680"/>
    <w:pPr>
      <w:spacing w:after="0" w:line="240" w:lineRule="auto"/>
    </w:pPr>
    <w:rPr>
      <w:rFonts w:eastAsiaTheme="minorEastAsia"/>
      <w:lang w:eastAsia="en-AU"/>
    </w:rPr>
  </w:style>
  <w:style w:type="character" w:customStyle="1" w:styleId="Letterhead2Char">
    <w:name w:val="Letterhead 2 Char"/>
    <w:basedOn w:val="DefaultParagraphFont"/>
    <w:link w:val="Letterhead2"/>
    <w:rsid w:val="002E4FFE"/>
    <w:rPr>
      <w:rFonts w:ascii="Gotham" w:eastAsiaTheme="minorEastAsia" w:hAnsi="Gotham"/>
      <w:b/>
      <w:bCs/>
      <w:i/>
      <w:iCs/>
      <w:color w:val="43C7F4" w:themeColor="accent1"/>
      <w:lang w:eastAsia="en-AU"/>
    </w:rPr>
  </w:style>
  <w:style w:type="character" w:styleId="IntenseEmphasis">
    <w:name w:val="Intense Emphasis"/>
    <w:basedOn w:val="DefaultParagraphFont"/>
    <w:uiPriority w:val="21"/>
    <w:rsid w:val="00124F88"/>
    <w:rPr>
      <w:i/>
      <w:iCs/>
      <w:color w:val="43C7F4" w:themeColor="accent1"/>
    </w:rPr>
  </w:style>
  <w:style w:type="paragraph" w:customStyle="1" w:styleId="Recommendation">
    <w:name w:val="Recommendation"/>
    <w:basedOn w:val="Normal"/>
    <w:link w:val="RecommendationChar"/>
    <w:qFormat/>
    <w:rsid w:val="00261658"/>
    <w:pPr>
      <w:numPr>
        <w:numId w:val="31"/>
      </w:numPr>
      <w:pBdr>
        <w:top w:val="single" w:sz="18" w:space="6" w:color="44C8F5"/>
        <w:left w:val="single" w:sz="18" w:space="5" w:color="44C8F5"/>
        <w:bottom w:val="single" w:sz="18" w:space="6" w:color="44C8F5"/>
        <w:right w:val="single" w:sz="18" w:space="5" w:color="44C8F5"/>
      </w:pBdr>
      <w:spacing w:before="100" w:beforeAutospacing="1" w:after="100" w:afterAutospacing="1" w:line="240" w:lineRule="auto"/>
      <w:ind w:right="851"/>
    </w:pPr>
    <w:rPr>
      <w:rFonts w:ascii="Calibri" w:hAnsi="Calibri"/>
      <w:lang w:eastAsia="en-US"/>
    </w:rPr>
  </w:style>
  <w:style w:type="character" w:customStyle="1" w:styleId="RecommendationChar">
    <w:name w:val="Recommendation Char"/>
    <w:basedOn w:val="DefaultParagraphFont"/>
    <w:link w:val="Recommendation"/>
    <w:rsid w:val="00261658"/>
    <w:rPr>
      <w:rFonts w:ascii="Calibri" w:eastAsiaTheme="minorEastAsia" w:hAnsi="Calibri"/>
    </w:rPr>
  </w:style>
  <w:style w:type="numbering" w:customStyle="1" w:styleId="Recommendations">
    <w:name w:val="Recommendations"/>
    <w:uiPriority w:val="99"/>
    <w:rsid w:val="00730BA6"/>
    <w:pPr>
      <w:numPr>
        <w:numId w:val="36"/>
      </w:numPr>
    </w:pPr>
  </w:style>
  <w:style w:type="character" w:customStyle="1" w:styleId="Bulletlist3Char">
    <w:name w:val="Bullet list 3 Char"/>
    <w:basedOn w:val="Bulletlist2Char"/>
    <w:link w:val="Bulletlist3"/>
    <w:rsid w:val="0004526C"/>
    <w:rPr>
      <w:rFonts w:ascii="Calibri" w:eastAsiaTheme="minorEastAsia" w:hAnsi="Calibri"/>
      <w:lang w:eastAsia="en-AU"/>
    </w:rPr>
  </w:style>
  <w:style w:type="table" w:styleId="ListTable3-Accent1">
    <w:name w:val="List Table 3 Accent 1"/>
    <w:basedOn w:val="TableNormal"/>
    <w:uiPriority w:val="48"/>
    <w:rsid w:val="00917B48"/>
    <w:pPr>
      <w:spacing w:after="0" w:line="240" w:lineRule="auto"/>
    </w:pPr>
    <w:tblPr>
      <w:tblStyleRowBandSize w:val="1"/>
      <w:tblStyleColBandSize w:val="1"/>
      <w:tblBorders>
        <w:top w:val="single" w:sz="4" w:space="0" w:color="43C7F4" w:themeColor="accent1"/>
        <w:left w:val="single" w:sz="4" w:space="0" w:color="43C7F4" w:themeColor="accent1"/>
        <w:bottom w:val="single" w:sz="4" w:space="0" w:color="43C7F4" w:themeColor="accent1"/>
        <w:right w:val="single" w:sz="4" w:space="0" w:color="43C7F4" w:themeColor="accent1"/>
      </w:tblBorders>
    </w:tblPr>
    <w:tblStylePr w:type="firstRow">
      <w:rPr>
        <w:b/>
        <w:bCs/>
        <w:color w:val="FFFFFF" w:themeColor="background1"/>
      </w:rPr>
      <w:tblPr/>
      <w:tcPr>
        <w:shd w:val="clear" w:color="auto" w:fill="43C7F4" w:themeFill="accent1"/>
      </w:tcPr>
    </w:tblStylePr>
    <w:tblStylePr w:type="lastRow">
      <w:rPr>
        <w:b/>
        <w:bCs/>
      </w:rPr>
      <w:tblPr/>
      <w:tcPr>
        <w:tcBorders>
          <w:top w:val="double" w:sz="4" w:space="0" w:color="43C7F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3C7F4" w:themeColor="accent1"/>
          <w:right w:val="single" w:sz="4" w:space="0" w:color="43C7F4" w:themeColor="accent1"/>
        </w:tcBorders>
      </w:tcPr>
    </w:tblStylePr>
    <w:tblStylePr w:type="band1Horz">
      <w:tblPr/>
      <w:tcPr>
        <w:tcBorders>
          <w:top w:val="single" w:sz="4" w:space="0" w:color="43C7F4" w:themeColor="accent1"/>
          <w:bottom w:val="single" w:sz="4" w:space="0" w:color="43C7F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3C7F4" w:themeColor="accent1"/>
          <w:left w:val="nil"/>
        </w:tcBorders>
      </w:tcPr>
    </w:tblStylePr>
    <w:tblStylePr w:type="swCell">
      <w:tblPr/>
      <w:tcPr>
        <w:tcBorders>
          <w:top w:val="double" w:sz="4" w:space="0" w:color="43C7F4" w:themeColor="accent1"/>
          <w:right w:val="nil"/>
        </w:tcBorders>
      </w:tcPr>
    </w:tblStylePr>
  </w:style>
  <w:style w:type="table" w:styleId="GridTable1Light-Accent1">
    <w:name w:val="Grid Table 1 Light Accent 1"/>
    <w:basedOn w:val="TableNormal"/>
    <w:uiPriority w:val="46"/>
    <w:rsid w:val="00917B48"/>
    <w:pPr>
      <w:spacing w:after="0" w:line="240" w:lineRule="auto"/>
    </w:pPr>
    <w:tblPr>
      <w:tblStyleRowBandSize w:val="1"/>
      <w:tblStyleColBandSize w:val="1"/>
      <w:tblBorders>
        <w:top w:val="single" w:sz="4" w:space="0" w:color="B3E8FA" w:themeColor="accent1" w:themeTint="66"/>
        <w:left w:val="single" w:sz="4" w:space="0" w:color="B3E8FA" w:themeColor="accent1" w:themeTint="66"/>
        <w:bottom w:val="single" w:sz="4" w:space="0" w:color="B3E8FA" w:themeColor="accent1" w:themeTint="66"/>
        <w:right w:val="single" w:sz="4" w:space="0" w:color="B3E8FA" w:themeColor="accent1" w:themeTint="66"/>
        <w:insideH w:val="single" w:sz="4" w:space="0" w:color="B3E8FA" w:themeColor="accent1" w:themeTint="66"/>
        <w:insideV w:val="single" w:sz="4" w:space="0" w:color="B3E8FA" w:themeColor="accent1" w:themeTint="66"/>
      </w:tblBorders>
    </w:tblPr>
    <w:tblStylePr w:type="firstRow">
      <w:rPr>
        <w:b/>
        <w:bCs/>
      </w:rPr>
      <w:tblPr/>
      <w:tcPr>
        <w:tcBorders>
          <w:bottom w:val="single" w:sz="12" w:space="0" w:color="8DDDF8" w:themeColor="accent1" w:themeTint="99"/>
        </w:tcBorders>
      </w:tcPr>
    </w:tblStylePr>
    <w:tblStylePr w:type="lastRow">
      <w:rPr>
        <w:b/>
        <w:bCs/>
      </w:rPr>
      <w:tblPr/>
      <w:tcPr>
        <w:tcBorders>
          <w:top w:val="double" w:sz="2" w:space="0" w:color="8DDDF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A37"/>
    <w:pPr>
      <w:spacing w:after="0" w:line="240" w:lineRule="auto"/>
    </w:pPr>
    <w:tblPr>
      <w:tblStyleRowBandSize w:val="1"/>
      <w:tblStyleColBandSize w:val="1"/>
      <w:tblBorders>
        <w:top w:val="single" w:sz="4" w:space="0" w:color="ACCADF" w:themeColor="accent2" w:themeTint="66"/>
        <w:left w:val="single" w:sz="4" w:space="0" w:color="ACCADF" w:themeColor="accent2" w:themeTint="66"/>
        <w:bottom w:val="single" w:sz="4" w:space="0" w:color="ACCADF" w:themeColor="accent2" w:themeTint="66"/>
        <w:right w:val="single" w:sz="4" w:space="0" w:color="ACCADF" w:themeColor="accent2" w:themeTint="66"/>
        <w:insideH w:val="single" w:sz="4" w:space="0" w:color="ACCADF" w:themeColor="accent2" w:themeTint="66"/>
        <w:insideV w:val="single" w:sz="4" w:space="0" w:color="ACCADF" w:themeColor="accent2" w:themeTint="66"/>
      </w:tblBorders>
    </w:tblPr>
    <w:tblStylePr w:type="firstRow">
      <w:rPr>
        <w:b/>
        <w:bCs/>
      </w:rPr>
      <w:tblPr/>
      <w:tcPr>
        <w:tcBorders>
          <w:bottom w:val="single" w:sz="12" w:space="0" w:color="83AFD0" w:themeColor="accent2" w:themeTint="99"/>
        </w:tcBorders>
      </w:tcPr>
    </w:tblStylePr>
    <w:tblStylePr w:type="lastRow">
      <w:rPr>
        <w:b/>
        <w:bCs/>
      </w:rPr>
      <w:tblPr/>
      <w:tcPr>
        <w:tcBorders>
          <w:top w:val="double" w:sz="2" w:space="0" w:color="83AFD0" w:themeColor="accent2" w:themeTint="99"/>
        </w:tcBorders>
      </w:tcPr>
    </w:tblStylePr>
    <w:tblStylePr w:type="firstCol">
      <w:rPr>
        <w:b/>
        <w:bCs/>
      </w:rPr>
    </w:tblStylePr>
    <w:tblStylePr w:type="lastCol">
      <w:rPr>
        <w:b/>
        <w:bCs/>
      </w:rPr>
    </w:tblStylePr>
  </w:style>
  <w:style w:type="paragraph" w:customStyle="1" w:styleId="Footnotes">
    <w:name w:val="Footnotes"/>
    <w:basedOn w:val="Normal"/>
    <w:link w:val="FootnotesChar"/>
    <w:qFormat/>
    <w:rsid w:val="00DB4E2B"/>
    <w:rPr>
      <w:sz w:val="20"/>
      <w:szCs w:val="20"/>
    </w:rPr>
  </w:style>
  <w:style w:type="character" w:customStyle="1" w:styleId="FootnotesChar">
    <w:name w:val="Footnotes Char"/>
    <w:basedOn w:val="DefaultParagraphFont"/>
    <w:link w:val="Footnotes"/>
    <w:rsid w:val="00DB4E2B"/>
    <w:rPr>
      <w:rFonts w:eastAsiaTheme="minorEastAsia"/>
      <w:sz w:val="20"/>
      <w:szCs w:val="20"/>
      <w:lang w:eastAsia="en-AU"/>
    </w:rPr>
  </w:style>
  <w:style w:type="character" w:customStyle="1" w:styleId="normaltextrun">
    <w:name w:val="normaltextrun"/>
    <w:basedOn w:val="DefaultParagraphFont"/>
    <w:rsid w:val="00C82AE8"/>
  </w:style>
  <w:style w:type="paragraph" w:styleId="CommentText">
    <w:name w:val="annotation text"/>
    <w:basedOn w:val="Normal"/>
    <w:link w:val="CommentTextChar"/>
    <w:uiPriority w:val="99"/>
    <w:unhideWhenUsed/>
    <w:rsid w:val="00F967BA"/>
    <w:pPr>
      <w:spacing w:line="240" w:lineRule="auto"/>
    </w:pPr>
    <w:rPr>
      <w:sz w:val="20"/>
      <w:szCs w:val="20"/>
    </w:rPr>
  </w:style>
  <w:style w:type="character" w:customStyle="1" w:styleId="CommentTextChar">
    <w:name w:val="Comment Text Char"/>
    <w:basedOn w:val="DefaultParagraphFont"/>
    <w:link w:val="CommentText"/>
    <w:uiPriority w:val="99"/>
    <w:rsid w:val="00F967BA"/>
    <w:rPr>
      <w:rFonts w:eastAsiaTheme="minorEastAsia"/>
      <w:sz w:val="20"/>
      <w:szCs w:val="20"/>
      <w:lang w:eastAsia="en-AU"/>
    </w:rPr>
  </w:style>
  <w:style w:type="paragraph" w:styleId="Header">
    <w:name w:val="header"/>
    <w:basedOn w:val="Normal"/>
    <w:link w:val="HeaderChar"/>
    <w:uiPriority w:val="99"/>
    <w:semiHidden/>
    <w:unhideWhenUsed/>
    <w:rsid w:val="00E350B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350B7"/>
    <w:rPr>
      <w:rFonts w:eastAsiaTheme="minorEastAsia"/>
      <w:lang w:eastAsia="en-AU"/>
    </w:rPr>
  </w:style>
  <w:style w:type="paragraph" w:styleId="Footer">
    <w:name w:val="footer"/>
    <w:basedOn w:val="Normal"/>
    <w:link w:val="FooterChar"/>
    <w:uiPriority w:val="99"/>
    <w:semiHidden/>
    <w:unhideWhenUsed/>
    <w:rsid w:val="00E350B7"/>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350B7"/>
    <w:rPr>
      <w:rFonts w:eastAsiaTheme="minorEastAsia"/>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572333">
      <w:bodyDiv w:val="1"/>
      <w:marLeft w:val="0"/>
      <w:marRight w:val="0"/>
      <w:marTop w:val="0"/>
      <w:marBottom w:val="0"/>
      <w:divBdr>
        <w:top w:val="none" w:sz="0" w:space="0" w:color="auto"/>
        <w:left w:val="none" w:sz="0" w:space="0" w:color="auto"/>
        <w:bottom w:val="none" w:sz="0" w:space="0" w:color="auto"/>
        <w:right w:val="none" w:sz="0" w:space="0" w:color="auto"/>
      </w:divBdr>
    </w:div>
    <w:div w:id="119569641">
      <w:bodyDiv w:val="1"/>
      <w:marLeft w:val="0"/>
      <w:marRight w:val="0"/>
      <w:marTop w:val="0"/>
      <w:marBottom w:val="0"/>
      <w:divBdr>
        <w:top w:val="none" w:sz="0" w:space="0" w:color="auto"/>
        <w:left w:val="none" w:sz="0" w:space="0" w:color="auto"/>
        <w:bottom w:val="none" w:sz="0" w:space="0" w:color="auto"/>
        <w:right w:val="none" w:sz="0" w:space="0" w:color="auto"/>
      </w:divBdr>
    </w:div>
    <w:div w:id="123548982">
      <w:bodyDiv w:val="1"/>
      <w:marLeft w:val="0"/>
      <w:marRight w:val="0"/>
      <w:marTop w:val="0"/>
      <w:marBottom w:val="0"/>
      <w:divBdr>
        <w:top w:val="none" w:sz="0" w:space="0" w:color="auto"/>
        <w:left w:val="none" w:sz="0" w:space="0" w:color="auto"/>
        <w:bottom w:val="none" w:sz="0" w:space="0" w:color="auto"/>
        <w:right w:val="none" w:sz="0" w:space="0" w:color="auto"/>
      </w:divBdr>
    </w:div>
    <w:div w:id="208804938">
      <w:bodyDiv w:val="1"/>
      <w:marLeft w:val="0"/>
      <w:marRight w:val="0"/>
      <w:marTop w:val="0"/>
      <w:marBottom w:val="0"/>
      <w:divBdr>
        <w:top w:val="none" w:sz="0" w:space="0" w:color="auto"/>
        <w:left w:val="none" w:sz="0" w:space="0" w:color="auto"/>
        <w:bottom w:val="none" w:sz="0" w:space="0" w:color="auto"/>
        <w:right w:val="none" w:sz="0" w:space="0" w:color="auto"/>
      </w:divBdr>
    </w:div>
    <w:div w:id="215165960">
      <w:bodyDiv w:val="1"/>
      <w:marLeft w:val="0"/>
      <w:marRight w:val="0"/>
      <w:marTop w:val="0"/>
      <w:marBottom w:val="0"/>
      <w:divBdr>
        <w:top w:val="none" w:sz="0" w:space="0" w:color="auto"/>
        <w:left w:val="none" w:sz="0" w:space="0" w:color="auto"/>
        <w:bottom w:val="none" w:sz="0" w:space="0" w:color="auto"/>
        <w:right w:val="none" w:sz="0" w:space="0" w:color="auto"/>
      </w:divBdr>
    </w:div>
    <w:div w:id="240140262">
      <w:bodyDiv w:val="1"/>
      <w:marLeft w:val="0"/>
      <w:marRight w:val="0"/>
      <w:marTop w:val="0"/>
      <w:marBottom w:val="0"/>
      <w:divBdr>
        <w:top w:val="none" w:sz="0" w:space="0" w:color="auto"/>
        <w:left w:val="none" w:sz="0" w:space="0" w:color="auto"/>
        <w:bottom w:val="none" w:sz="0" w:space="0" w:color="auto"/>
        <w:right w:val="none" w:sz="0" w:space="0" w:color="auto"/>
      </w:divBdr>
    </w:div>
    <w:div w:id="284888464">
      <w:bodyDiv w:val="1"/>
      <w:marLeft w:val="0"/>
      <w:marRight w:val="0"/>
      <w:marTop w:val="0"/>
      <w:marBottom w:val="0"/>
      <w:divBdr>
        <w:top w:val="none" w:sz="0" w:space="0" w:color="auto"/>
        <w:left w:val="none" w:sz="0" w:space="0" w:color="auto"/>
        <w:bottom w:val="none" w:sz="0" w:space="0" w:color="auto"/>
        <w:right w:val="none" w:sz="0" w:space="0" w:color="auto"/>
      </w:divBdr>
    </w:div>
    <w:div w:id="304046622">
      <w:bodyDiv w:val="1"/>
      <w:marLeft w:val="0"/>
      <w:marRight w:val="0"/>
      <w:marTop w:val="0"/>
      <w:marBottom w:val="0"/>
      <w:divBdr>
        <w:top w:val="none" w:sz="0" w:space="0" w:color="auto"/>
        <w:left w:val="none" w:sz="0" w:space="0" w:color="auto"/>
        <w:bottom w:val="none" w:sz="0" w:space="0" w:color="auto"/>
        <w:right w:val="none" w:sz="0" w:space="0" w:color="auto"/>
      </w:divBdr>
    </w:div>
    <w:div w:id="408314425">
      <w:bodyDiv w:val="1"/>
      <w:marLeft w:val="0"/>
      <w:marRight w:val="0"/>
      <w:marTop w:val="0"/>
      <w:marBottom w:val="0"/>
      <w:divBdr>
        <w:top w:val="none" w:sz="0" w:space="0" w:color="auto"/>
        <w:left w:val="none" w:sz="0" w:space="0" w:color="auto"/>
        <w:bottom w:val="none" w:sz="0" w:space="0" w:color="auto"/>
        <w:right w:val="none" w:sz="0" w:space="0" w:color="auto"/>
      </w:divBdr>
    </w:div>
    <w:div w:id="558976667">
      <w:bodyDiv w:val="1"/>
      <w:marLeft w:val="0"/>
      <w:marRight w:val="0"/>
      <w:marTop w:val="0"/>
      <w:marBottom w:val="0"/>
      <w:divBdr>
        <w:top w:val="none" w:sz="0" w:space="0" w:color="auto"/>
        <w:left w:val="none" w:sz="0" w:space="0" w:color="auto"/>
        <w:bottom w:val="none" w:sz="0" w:space="0" w:color="auto"/>
        <w:right w:val="none" w:sz="0" w:space="0" w:color="auto"/>
      </w:divBdr>
    </w:div>
    <w:div w:id="612790912">
      <w:bodyDiv w:val="1"/>
      <w:marLeft w:val="0"/>
      <w:marRight w:val="0"/>
      <w:marTop w:val="0"/>
      <w:marBottom w:val="0"/>
      <w:divBdr>
        <w:top w:val="none" w:sz="0" w:space="0" w:color="auto"/>
        <w:left w:val="none" w:sz="0" w:space="0" w:color="auto"/>
        <w:bottom w:val="none" w:sz="0" w:space="0" w:color="auto"/>
        <w:right w:val="none" w:sz="0" w:space="0" w:color="auto"/>
      </w:divBdr>
    </w:div>
    <w:div w:id="675813625">
      <w:bodyDiv w:val="1"/>
      <w:marLeft w:val="0"/>
      <w:marRight w:val="0"/>
      <w:marTop w:val="0"/>
      <w:marBottom w:val="0"/>
      <w:divBdr>
        <w:top w:val="none" w:sz="0" w:space="0" w:color="auto"/>
        <w:left w:val="none" w:sz="0" w:space="0" w:color="auto"/>
        <w:bottom w:val="none" w:sz="0" w:space="0" w:color="auto"/>
        <w:right w:val="none" w:sz="0" w:space="0" w:color="auto"/>
      </w:divBdr>
    </w:div>
    <w:div w:id="692655905">
      <w:bodyDiv w:val="1"/>
      <w:marLeft w:val="0"/>
      <w:marRight w:val="0"/>
      <w:marTop w:val="0"/>
      <w:marBottom w:val="0"/>
      <w:divBdr>
        <w:top w:val="none" w:sz="0" w:space="0" w:color="auto"/>
        <w:left w:val="none" w:sz="0" w:space="0" w:color="auto"/>
        <w:bottom w:val="none" w:sz="0" w:space="0" w:color="auto"/>
        <w:right w:val="none" w:sz="0" w:space="0" w:color="auto"/>
      </w:divBdr>
    </w:div>
    <w:div w:id="748692367">
      <w:bodyDiv w:val="1"/>
      <w:marLeft w:val="0"/>
      <w:marRight w:val="0"/>
      <w:marTop w:val="0"/>
      <w:marBottom w:val="0"/>
      <w:divBdr>
        <w:top w:val="none" w:sz="0" w:space="0" w:color="auto"/>
        <w:left w:val="none" w:sz="0" w:space="0" w:color="auto"/>
        <w:bottom w:val="none" w:sz="0" w:space="0" w:color="auto"/>
        <w:right w:val="none" w:sz="0" w:space="0" w:color="auto"/>
      </w:divBdr>
    </w:div>
    <w:div w:id="805701622">
      <w:bodyDiv w:val="1"/>
      <w:marLeft w:val="0"/>
      <w:marRight w:val="0"/>
      <w:marTop w:val="0"/>
      <w:marBottom w:val="0"/>
      <w:divBdr>
        <w:top w:val="none" w:sz="0" w:space="0" w:color="auto"/>
        <w:left w:val="none" w:sz="0" w:space="0" w:color="auto"/>
        <w:bottom w:val="none" w:sz="0" w:space="0" w:color="auto"/>
        <w:right w:val="none" w:sz="0" w:space="0" w:color="auto"/>
      </w:divBdr>
    </w:div>
    <w:div w:id="812873634">
      <w:bodyDiv w:val="1"/>
      <w:marLeft w:val="0"/>
      <w:marRight w:val="0"/>
      <w:marTop w:val="0"/>
      <w:marBottom w:val="0"/>
      <w:divBdr>
        <w:top w:val="none" w:sz="0" w:space="0" w:color="auto"/>
        <w:left w:val="none" w:sz="0" w:space="0" w:color="auto"/>
        <w:bottom w:val="none" w:sz="0" w:space="0" w:color="auto"/>
        <w:right w:val="none" w:sz="0" w:space="0" w:color="auto"/>
      </w:divBdr>
    </w:div>
    <w:div w:id="847213487">
      <w:bodyDiv w:val="1"/>
      <w:marLeft w:val="0"/>
      <w:marRight w:val="0"/>
      <w:marTop w:val="0"/>
      <w:marBottom w:val="0"/>
      <w:divBdr>
        <w:top w:val="none" w:sz="0" w:space="0" w:color="auto"/>
        <w:left w:val="none" w:sz="0" w:space="0" w:color="auto"/>
        <w:bottom w:val="none" w:sz="0" w:space="0" w:color="auto"/>
        <w:right w:val="none" w:sz="0" w:space="0" w:color="auto"/>
      </w:divBdr>
    </w:div>
    <w:div w:id="918519613">
      <w:bodyDiv w:val="1"/>
      <w:marLeft w:val="0"/>
      <w:marRight w:val="0"/>
      <w:marTop w:val="0"/>
      <w:marBottom w:val="0"/>
      <w:divBdr>
        <w:top w:val="none" w:sz="0" w:space="0" w:color="auto"/>
        <w:left w:val="none" w:sz="0" w:space="0" w:color="auto"/>
        <w:bottom w:val="none" w:sz="0" w:space="0" w:color="auto"/>
        <w:right w:val="none" w:sz="0" w:space="0" w:color="auto"/>
      </w:divBdr>
    </w:div>
    <w:div w:id="931814667">
      <w:bodyDiv w:val="1"/>
      <w:marLeft w:val="0"/>
      <w:marRight w:val="0"/>
      <w:marTop w:val="0"/>
      <w:marBottom w:val="0"/>
      <w:divBdr>
        <w:top w:val="none" w:sz="0" w:space="0" w:color="auto"/>
        <w:left w:val="none" w:sz="0" w:space="0" w:color="auto"/>
        <w:bottom w:val="none" w:sz="0" w:space="0" w:color="auto"/>
        <w:right w:val="none" w:sz="0" w:space="0" w:color="auto"/>
      </w:divBdr>
    </w:div>
    <w:div w:id="937909959">
      <w:bodyDiv w:val="1"/>
      <w:marLeft w:val="0"/>
      <w:marRight w:val="0"/>
      <w:marTop w:val="0"/>
      <w:marBottom w:val="0"/>
      <w:divBdr>
        <w:top w:val="none" w:sz="0" w:space="0" w:color="auto"/>
        <w:left w:val="none" w:sz="0" w:space="0" w:color="auto"/>
        <w:bottom w:val="none" w:sz="0" w:space="0" w:color="auto"/>
        <w:right w:val="none" w:sz="0" w:space="0" w:color="auto"/>
      </w:divBdr>
    </w:div>
    <w:div w:id="1045372483">
      <w:bodyDiv w:val="1"/>
      <w:marLeft w:val="0"/>
      <w:marRight w:val="0"/>
      <w:marTop w:val="0"/>
      <w:marBottom w:val="0"/>
      <w:divBdr>
        <w:top w:val="none" w:sz="0" w:space="0" w:color="auto"/>
        <w:left w:val="none" w:sz="0" w:space="0" w:color="auto"/>
        <w:bottom w:val="none" w:sz="0" w:space="0" w:color="auto"/>
        <w:right w:val="none" w:sz="0" w:space="0" w:color="auto"/>
      </w:divBdr>
    </w:div>
    <w:div w:id="1060863082">
      <w:bodyDiv w:val="1"/>
      <w:marLeft w:val="0"/>
      <w:marRight w:val="0"/>
      <w:marTop w:val="0"/>
      <w:marBottom w:val="0"/>
      <w:divBdr>
        <w:top w:val="none" w:sz="0" w:space="0" w:color="auto"/>
        <w:left w:val="none" w:sz="0" w:space="0" w:color="auto"/>
        <w:bottom w:val="none" w:sz="0" w:space="0" w:color="auto"/>
        <w:right w:val="none" w:sz="0" w:space="0" w:color="auto"/>
      </w:divBdr>
    </w:div>
    <w:div w:id="1064066064">
      <w:bodyDiv w:val="1"/>
      <w:marLeft w:val="0"/>
      <w:marRight w:val="0"/>
      <w:marTop w:val="0"/>
      <w:marBottom w:val="0"/>
      <w:divBdr>
        <w:top w:val="none" w:sz="0" w:space="0" w:color="auto"/>
        <w:left w:val="none" w:sz="0" w:space="0" w:color="auto"/>
        <w:bottom w:val="none" w:sz="0" w:space="0" w:color="auto"/>
        <w:right w:val="none" w:sz="0" w:space="0" w:color="auto"/>
      </w:divBdr>
    </w:div>
    <w:div w:id="1085146870">
      <w:bodyDiv w:val="1"/>
      <w:marLeft w:val="0"/>
      <w:marRight w:val="0"/>
      <w:marTop w:val="0"/>
      <w:marBottom w:val="0"/>
      <w:divBdr>
        <w:top w:val="none" w:sz="0" w:space="0" w:color="auto"/>
        <w:left w:val="none" w:sz="0" w:space="0" w:color="auto"/>
        <w:bottom w:val="none" w:sz="0" w:space="0" w:color="auto"/>
        <w:right w:val="none" w:sz="0" w:space="0" w:color="auto"/>
      </w:divBdr>
    </w:div>
    <w:div w:id="1094667650">
      <w:bodyDiv w:val="1"/>
      <w:marLeft w:val="0"/>
      <w:marRight w:val="0"/>
      <w:marTop w:val="0"/>
      <w:marBottom w:val="0"/>
      <w:divBdr>
        <w:top w:val="none" w:sz="0" w:space="0" w:color="auto"/>
        <w:left w:val="none" w:sz="0" w:space="0" w:color="auto"/>
        <w:bottom w:val="none" w:sz="0" w:space="0" w:color="auto"/>
        <w:right w:val="none" w:sz="0" w:space="0" w:color="auto"/>
      </w:divBdr>
    </w:div>
    <w:div w:id="1167786340">
      <w:bodyDiv w:val="1"/>
      <w:marLeft w:val="0"/>
      <w:marRight w:val="0"/>
      <w:marTop w:val="0"/>
      <w:marBottom w:val="0"/>
      <w:divBdr>
        <w:top w:val="none" w:sz="0" w:space="0" w:color="auto"/>
        <w:left w:val="none" w:sz="0" w:space="0" w:color="auto"/>
        <w:bottom w:val="none" w:sz="0" w:space="0" w:color="auto"/>
        <w:right w:val="none" w:sz="0" w:space="0" w:color="auto"/>
      </w:divBdr>
    </w:div>
    <w:div w:id="1212111848">
      <w:bodyDiv w:val="1"/>
      <w:marLeft w:val="0"/>
      <w:marRight w:val="0"/>
      <w:marTop w:val="0"/>
      <w:marBottom w:val="0"/>
      <w:divBdr>
        <w:top w:val="none" w:sz="0" w:space="0" w:color="auto"/>
        <w:left w:val="none" w:sz="0" w:space="0" w:color="auto"/>
        <w:bottom w:val="none" w:sz="0" w:space="0" w:color="auto"/>
        <w:right w:val="none" w:sz="0" w:space="0" w:color="auto"/>
      </w:divBdr>
    </w:div>
    <w:div w:id="1239746668">
      <w:bodyDiv w:val="1"/>
      <w:marLeft w:val="0"/>
      <w:marRight w:val="0"/>
      <w:marTop w:val="0"/>
      <w:marBottom w:val="0"/>
      <w:divBdr>
        <w:top w:val="none" w:sz="0" w:space="0" w:color="auto"/>
        <w:left w:val="none" w:sz="0" w:space="0" w:color="auto"/>
        <w:bottom w:val="none" w:sz="0" w:space="0" w:color="auto"/>
        <w:right w:val="none" w:sz="0" w:space="0" w:color="auto"/>
      </w:divBdr>
    </w:div>
    <w:div w:id="1302999721">
      <w:bodyDiv w:val="1"/>
      <w:marLeft w:val="0"/>
      <w:marRight w:val="0"/>
      <w:marTop w:val="0"/>
      <w:marBottom w:val="0"/>
      <w:divBdr>
        <w:top w:val="none" w:sz="0" w:space="0" w:color="auto"/>
        <w:left w:val="none" w:sz="0" w:space="0" w:color="auto"/>
        <w:bottom w:val="none" w:sz="0" w:space="0" w:color="auto"/>
        <w:right w:val="none" w:sz="0" w:space="0" w:color="auto"/>
      </w:divBdr>
    </w:div>
    <w:div w:id="1354918187">
      <w:bodyDiv w:val="1"/>
      <w:marLeft w:val="0"/>
      <w:marRight w:val="0"/>
      <w:marTop w:val="0"/>
      <w:marBottom w:val="0"/>
      <w:divBdr>
        <w:top w:val="none" w:sz="0" w:space="0" w:color="auto"/>
        <w:left w:val="none" w:sz="0" w:space="0" w:color="auto"/>
        <w:bottom w:val="none" w:sz="0" w:space="0" w:color="auto"/>
        <w:right w:val="none" w:sz="0" w:space="0" w:color="auto"/>
      </w:divBdr>
    </w:div>
    <w:div w:id="1463888701">
      <w:bodyDiv w:val="1"/>
      <w:marLeft w:val="0"/>
      <w:marRight w:val="0"/>
      <w:marTop w:val="0"/>
      <w:marBottom w:val="0"/>
      <w:divBdr>
        <w:top w:val="none" w:sz="0" w:space="0" w:color="auto"/>
        <w:left w:val="none" w:sz="0" w:space="0" w:color="auto"/>
        <w:bottom w:val="none" w:sz="0" w:space="0" w:color="auto"/>
        <w:right w:val="none" w:sz="0" w:space="0" w:color="auto"/>
      </w:divBdr>
    </w:div>
    <w:div w:id="1470897400">
      <w:bodyDiv w:val="1"/>
      <w:marLeft w:val="0"/>
      <w:marRight w:val="0"/>
      <w:marTop w:val="0"/>
      <w:marBottom w:val="0"/>
      <w:divBdr>
        <w:top w:val="none" w:sz="0" w:space="0" w:color="auto"/>
        <w:left w:val="none" w:sz="0" w:space="0" w:color="auto"/>
        <w:bottom w:val="none" w:sz="0" w:space="0" w:color="auto"/>
        <w:right w:val="none" w:sz="0" w:space="0" w:color="auto"/>
      </w:divBdr>
    </w:div>
    <w:div w:id="1534539415">
      <w:bodyDiv w:val="1"/>
      <w:marLeft w:val="0"/>
      <w:marRight w:val="0"/>
      <w:marTop w:val="0"/>
      <w:marBottom w:val="0"/>
      <w:divBdr>
        <w:top w:val="none" w:sz="0" w:space="0" w:color="auto"/>
        <w:left w:val="none" w:sz="0" w:space="0" w:color="auto"/>
        <w:bottom w:val="none" w:sz="0" w:space="0" w:color="auto"/>
        <w:right w:val="none" w:sz="0" w:space="0" w:color="auto"/>
      </w:divBdr>
    </w:div>
    <w:div w:id="1536698264">
      <w:bodyDiv w:val="1"/>
      <w:marLeft w:val="0"/>
      <w:marRight w:val="0"/>
      <w:marTop w:val="0"/>
      <w:marBottom w:val="0"/>
      <w:divBdr>
        <w:top w:val="none" w:sz="0" w:space="0" w:color="auto"/>
        <w:left w:val="none" w:sz="0" w:space="0" w:color="auto"/>
        <w:bottom w:val="none" w:sz="0" w:space="0" w:color="auto"/>
        <w:right w:val="none" w:sz="0" w:space="0" w:color="auto"/>
      </w:divBdr>
    </w:div>
    <w:div w:id="1539900652">
      <w:bodyDiv w:val="1"/>
      <w:marLeft w:val="0"/>
      <w:marRight w:val="0"/>
      <w:marTop w:val="0"/>
      <w:marBottom w:val="0"/>
      <w:divBdr>
        <w:top w:val="none" w:sz="0" w:space="0" w:color="auto"/>
        <w:left w:val="none" w:sz="0" w:space="0" w:color="auto"/>
        <w:bottom w:val="none" w:sz="0" w:space="0" w:color="auto"/>
        <w:right w:val="none" w:sz="0" w:space="0" w:color="auto"/>
      </w:divBdr>
    </w:div>
    <w:div w:id="1543522191">
      <w:bodyDiv w:val="1"/>
      <w:marLeft w:val="0"/>
      <w:marRight w:val="0"/>
      <w:marTop w:val="0"/>
      <w:marBottom w:val="0"/>
      <w:divBdr>
        <w:top w:val="none" w:sz="0" w:space="0" w:color="auto"/>
        <w:left w:val="none" w:sz="0" w:space="0" w:color="auto"/>
        <w:bottom w:val="none" w:sz="0" w:space="0" w:color="auto"/>
        <w:right w:val="none" w:sz="0" w:space="0" w:color="auto"/>
      </w:divBdr>
    </w:div>
    <w:div w:id="1559777881">
      <w:bodyDiv w:val="1"/>
      <w:marLeft w:val="0"/>
      <w:marRight w:val="0"/>
      <w:marTop w:val="0"/>
      <w:marBottom w:val="0"/>
      <w:divBdr>
        <w:top w:val="none" w:sz="0" w:space="0" w:color="auto"/>
        <w:left w:val="none" w:sz="0" w:space="0" w:color="auto"/>
        <w:bottom w:val="none" w:sz="0" w:space="0" w:color="auto"/>
        <w:right w:val="none" w:sz="0" w:space="0" w:color="auto"/>
      </w:divBdr>
      <w:divsChild>
        <w:div w:id="1006904912">
          <w:marLeft w:val="0"/>
          <w:marRight w:val="0"/>
          <w:marTop w:val="0"/>
          <w:marBottom w:val="0"/>
          <w:divBdr>
            <w:top w:val="none" w:sz="0" w:space="0" w:color="auto"/>
            <w:left w:val="none" w:sz="0" w:space="0" w:color="auto"/>
            <w:bottom w:val="none" w:sz="0" w:space="0" w:color="auto"/>
            <w:right w:val="none" w:sz="0" w:space="0" w:color="auto"/>
          </w:divBdr>
        </w:div>
      </w:divsChild>
    </w:div>
    <w:div w:id="1560894056">
      <w:bodyDiv w:val="1"/>
      <w:marLeft w:val="0"/>
      <w:marRight w:val="0"/>
      <w:marTop w:val="0"/>
      <w:marBottom w:val="0"/>
      <w:divBdr>
        <w:top w:val="none" w:sz="0" w:space="0" w:color="auto"/>
        <w:left w:val="none" w:sz="0" w:space="0" w:color="auto"/>
        <w:bottom w:val="none" w:sz="0" w:space="0" w:color="auto"/>
        <w:right w:val="none" w:sz="0" w:space="0" w:color="auto"/>
      </w:divBdr>
    </w:div>
    <w:div w:id="1575627504">
      <w:bodyDiv w:val="1"/>
      <w:marLeft w:val="0"/>
      <w:marRight w:val="0"/>
      <w:marTop w:val="0"/>
      <w:marBottom w:val="0"/>
      <w:divBdr>
        <w:top w:val="none" w:sz="0" w:space="0" w:color="auto"/>
        <w:left w:val="none" w:sz="0" w:space="0" w:color="auto"/>
        <w:bottom w:val="none" w:sz="0" w:space="0" w:color="auto"/>
        <w:right w:val="none" w:sz="0" w:space="0" w:color="auto"/>
      </w:divBdr>
    </w:div>
    <w:div w:id="1607928095">
      <w:bodyDiv w:val="1"/>
      <w:marLeft w:val="0"/>
      <w:marRight w:val="0"/>
      <w:marTop w:val="0"/>
      <w:marBottom w:val="0"/>
      <w:divBdr>
        <w:top w:val="none" w:sz="0" w:space="0" w:color="auto"/>
        <w:left w:val="none" w:sz="0" w:space="0" w:color="auto"/>
        <w:bottom w:val="none" w:sz="0" w:space="0" w:color="auto"/>
        <w:right w:val="none" w:sz="0" w:space="0" w:color="auto"/>
      </w:divBdr>
    </w:div>
    <w:div w:id="1613631364">
      <w:bodyDiv w:val="1"/>
      <w:marLeft w:val="0"/>
      <w:marRight w:val="0"/>
      <w:marTop w:val="0"/>
      <w:marBottom w:val="0"/>
      <w:divBdr>
        <w:top w:val="none" w:sz="0" w:space="0" w:color="auto"/>
        <w:left w:val="none" w:sz="0" w:space="0" w:color="auto"/>
        <w:bottom w:val="none" w:sz="0" w:space="0" w:color="auto"/>
        <w:right w:val="none" w:sz="0" w:space="0" w:color="auto"/>
      </w:divBdr>
    </w:div>
    <w:div w:id="1657876862">
      <w:bodyDiv w:val="1"/>
      <w:marLeft w:val="0"/>
      <w:marRight w:val="0"/>
      <w:marTop w:val="0"/>
      <w:marBottom w:val="0"/>
      <w:divBdr>
        <w:top w:val="none" w:sz="0" w:space="0" w:color="auto"/>
        <w:left w:val="none" w:sz="0" w:space="0" w:color="auto"/>
        <w:bottom w:val="none" w:sz="0" w:space="0" w:color="auto"/>
        <w:right w:val="none" w:sz="0" w:space="0" w:color="auto"/>
      </w:divBdr>
    </w:div>
    <w:div w:id="1699894979">
      <w:bodyDiv w:val="1"/>
      <w:marLeft w:val="0"/>
      <w:marRight w:val="0"/>
      <w:marTop w:val="0"/>
      <w:marBottom w:val="0"/>
      <w:divBdr>
        <w:top w:val="none" w:sz="0" w:space="0" w:color="auto"/>
        <w:left w:val="none" w:sz="0" w:space="0" w:color="auto"/>
        <w:bottom w:val="none" w:sz="0" w:space="0" w:color="auto"/>
        <w:right w:val="none" w:sz="0" w:space="0" w:color="auto"/>
      </w:divBdr>
    </w:div>
    <w:div w:id="1709377364">
      <w:bodyDiv w:val="1"/>
      <w:marLeft w:val="0"/>
      <w:marRight w:val="0"/>
      <w:marTop w:val="0"/>
      <w:marBottom w:val="0"/>
      <w:divBdr>
        <w:top w:val="none" w:sz="0" w:space="0" w:color="auto"/>
        <w:left w:val="none" w:sz="0" w:space="0" w:color="auto"/>
        <w:bottom w:val="none" w:sz="0" w:space="0" w:color="auto"/>
        <w:right w:val="none" w:sz="0" w:space="0" w:color="auto"/>
      </w:divBdr>
    </w:div>
    <w:div w:id="1712992693">
      <w:bodyDiv w:val="1"/>
      <w:marLeft w:val="0"/>
      <w:marRight w:val="0"/>
      <w:marTop w:val="0"/>
      <w:marBottom w:val="0"/>
      <w:divBdr>
        <w:top w:val="none" w:sz="0" w:space="0" w:color="auto"/>
        <w:left w:val="none" w:sz="0" w:space="0" w:color="auto"/>
        <w:bottom w:val="none" w:sz="0" w:space="0" w:color="auto"/>
        <w:right w:val="none" w:sz="0" w:space="0" w:color="auto"/>
      </w:divBdr>
    </w:div>
    <w:div w:id="1728800082">
      <w:bodyDiv w:val="1"/>
      <w:marLeft w:val="0"/>
      <w:marRight w:val="0"/>
      <w:marTop w:val="0"/>
      <w:marBottom w:val="0"/>
      <w:divBdr>
        <w:top w:val="none" w:sz="0" w:space="0" w:color="auto"/>
        <w:left w:val="none" w:sz="0" w:space="0" w:color="auto"/>
        <w:bottom w:val="none" w:sz="0" w:space="0" w:color="auto"/>
        <w:right w:val="none" w:sz="0" w:space="0" w:color="auto"/>
      </w:divBdr>
    </w:div>
    <w:div w:id="1738438704">
      <w:bodyDiv w:val="1"/>
      <w:marLeft w:val="0"/>
      <w:marRight w:val="0"/>
      <w:marTop w:val="0"/>
      <w:marBottom w:val="0"/>
      <w:divBdr>
        <w:top w:val="none" w:sz="0" w:space="0" w:color="auto"/>
        <w:left w:val="none" w:sz="0" w:space="0" w:color="auto"/>
        <w:bottom w:val="none" w:sz="0" w:space="0" w:color="auto"/>
        <w:right w:val="none" w:sz="0" w:space="0" w:color="auto"/>
      </w:divBdr>
    </w:div>
    <w:div w:id="1823958239">
      <w:bodyDiv w:val="1"/>
      <w:marLeft w:val="0"/>
      <w:marRight w:val="0"/>
      <w:marTop w:val="0"/>
      <w:marBottom w:val="0"/>
      <w:divBdr>
        <w:top w:val="none" w:sz="0" w:space="0" w:color="auto"/>
        <w:left w:val="none" w:sz="0" w:space="0" w:color="auto"/>
        <w:bottom w:val="none" w:sz="0" w:space="0" w:color="auto"/>
        <w:right w:val="none" w:sz="0" w:space="0" w:color="auto"/>
      </w:divBdr>
    </w:div>
    <w:div w:id="1855345082">
      <w:bodyDiv w:val="1"/>
      <w:marLeft w:val="0"/>
      <w:marRight w:val="0"/>
      <w:marTop w:val="0"/>
      <w:marBottom w:val="0"/>
      <w:divBdr>
        <w:top w:val="none" w:sz="0" w:space="0" w:color="auto"/>
        <w:left w:val="none" w:sz="0" w:space="0" w:color="auto"/>
        <w:bottom w:val="none" w:sz="0" w:space="0" w:color="auto"/>
        <w:right w:val="none" w:sz="0" w:space="0" w:color="auto"/>
      </w:divBdr>
    </w:div>
    <w:div w:id="1999917830">
      <w:bodyDiv w:val="1"/>
      <w:marLeft w:val="0"/>
      <w:marRight w:val="0"/>
      <w:marTop w:val="0"/>
      <w:marBottom w:val="0"/>
      <w:divBdr>
        <w:top w:val="none" w:sz="0" w:space="0" w:color="auto"/>
        <w:left w:val="none" w:sz="0" w:space="0" w:color="auto"/>
        <w:bottom w:val="none" w:sz="0" w:space="0" w:color="auto"/>
        <w:right w:val="none" w:sz="0" w:space="0" w:color="auto"/>
      </w:divBdr>
    </w:div>
    <w:div w:id="2013947221">
      <w:bodyDiv w:val="1"/>
      <w:marLeft w:val="0"/>
      <w:marRight w:val="0"/>
      <w:marTop w:val="0"/>
      <w:marBottom w:val="0"/>
      <w:divBdr>
        <w:top w:val="none" w:sz="0" w:space="0" w:color="auto"/>
        <w:left w:val="none" w:sz="0" w:space="0" w:color="auto"/>
        <w:bottom w:val="none" w:sz="0" w:space="0" w:color="auto"/>
        <w:right w:val="none" w:sz="0" w:space="0" w:color="auto"/>
      </w:divBdr>
    </w:div>
    <w:div w:id="2048215168">
      <w:bodyDiv w:val="1"/>
      <w:marLeft w:val="0"/>
      <w:marRight w:val="0"/>
      <w:marTop w:val="0"/>
      <w:marBottom w:val="0"/>
      <w:divBdr>
        <w:top w:val="none" w:sz="0" w:space="0" w:color="auto"/>
        <w:left w:val="none" w:sz="0" w:space="0" w:color="auto"/>
        <w:bottom w:val="none" w:sz="0" w:space="0" w:color="auto"/>
        <w:right w:val="none" w:sz="0" w:space="0" w:color="auto"/>
      </w:divBdr>
    </w:div>
    <w:div w:id="2053457797">
      <w:bodyDiv w:val="1"/>
      <w:marLeft w:val="0"/>
      <w:marRight w:val="0"/>
      <w:marTop w:val="0"/>
      <w:marBottom w:val="0"/>
      <w:divBdr>
        <w:top w:val="none" w:sz="0" w:space="0" w:color="auto"/>
        <w:left w:val="none" w:sz="0" w:space="0" w:color="auto"/>
        <w:bottom w:val="none" w:sz="0" w:space="0" w:color="auto"/>
        <w:right w:val="none" w:sz="0" w:space="0" w:color="auto"/>
      </w:divBdr>
    </w:div>
    <w:div w:id="2075857805">
      <w:bodyDiv w:val="1"/>
      <w:marLeft w:val="0"/>
      <w:marRight w:val="0"/>
      <w:marTop w:val="0"/>
      <w:marBottom w:val="0"/>
      <w:divBdr>
        <w:top w:val="none" w:sz="0" w:space="0" w:color="auto"/>
        <w:left w:val="none" w:sz="0" w:space="0" w:color="auto"/>
        <w:bottom w:val="none" w:sz="0" w:space="0" w:color="auto"/>
        <w:right w:val="none" w:sz="0" w:space="0" w:color="auto"/>
      </w:divBdr>
    </w:div>
    <w:div w:id="2093120511">
      <w:bodyDiv w:val="1"/>
      <w:marLeft w:val="0"/>
      <w:marRight w:val="0"/>
      <w:marTop w:val="0"/>
      <w:marBottom w:val="0"/>
      <w:divBdr>
        <w:top w:val="none" w:sz="0" w:space="0" w:color="auto"/>
        <w:left w:val="none" w:sz="0" w:space="0" w:color="auto"/>
        <w:bottom w:val="none" w:sz="0" w:space="0" w:color="auto"/>
        <w:right w:val="none" w:sz="0" w:space="0" w:color="auto"/>
      </w:divBdr>
    </w:div>
    <w:div w:id="2094886753">
      <w:bodyDiv w:val="1"/>
      <w:marLeft w:val="0"/>
      <w:marRight w:val="0"/>
      <w:marTop w:val="0"/>
      <w:marBottom w:val="0"/>
      <w:divBdr>
        <w:top w:val="none" w:sz="0" w:space="0" w:color="auto"/>
        <w:left w:val="none" w:sz="0" w:space="0" w:color="auto"/>
        <w:bottom w:val="none" w:sz="0" w:space="0" w:color="auto"/>
        <w:right w:val="none" w:sz="0" w:space="0" w:color="auto"/>
      </w:divBdr>
    </w:div>
    <w:div w:id="210672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accanau" TargetMode="External"/><Relationship Id="rId18" Type="http://schemas.openxmlformats.org/officeDocument/2006/relationships/image" Target="media/image4.jpeg"/><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instagram.com/accan_au"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ACCAN_AU"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linkedin.com/company/accanau/"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www.accan.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s://www.aph.gov.au/Parliamentary_Business/Committees/Senate/Scrutiny_of_Delegated_Legislation/Index/-/media/73ED4500D2D84B72830313E41761A6B3.ashx" TargetMode="External"/><Relationship Id="rId1" Type="http://schemas.openxmlformats.org/officeDocument/2006/relationships/hyperlink" Target="http://www.accan.org.au/accans-work/submissions/1829-consultation-on-reasonable-connection-and-supply-requests-for-statutory-infrastructure-provider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www.accan.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gan.ward\ACCAN\ACCAN%20-%20Business\Templates%202022\DocumentTemplate-Submission.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3C7F4"/>
      </a:accent1>
      <a:accent2>
        <a:srgbClr val="3E79A3"/>
      </a:accent2>
      <a:accent3>
        <a:srgbClr val="F05E5E"/>
      </a:accent3>
      <a:accent4>
        <a:srgbClr val="E5BB47"/>
      </a:accent4>
      <a:accent5>
        <a:srgbClr val="4FC2C1"/>
      </a:accent5>
      <a:accent6>
        <a:srgbClr val="757FB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Rebekah Sarkoezy</DisplayName>
        <AccountId>16</AccountId>
        <AccountType/>
      </UserInfo>
      <UserInfo>
        <DisplayName>Meredith Lea</DisplayName>
        <AccountId>27</AccountId>
        <AccountType/>
      </UserInfo>
      <UserInfo>
        <DisplayName>Gareth Downing</DisplayName>
        <AccountId>3590</AccountId>
        <AccountType/>
      </UserInfo>
    </SharedWithUsers>
    <TaxCatchAll xmlns="2afa1a33-c191-48ee-b288-192490d33fec" xsi:nil="true"/>
    <lcf76f155ced4ddcb4097134ff3c332f xmlns="25af2f0e-673d-4721-b64c-73e7c4e9e0c5">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 xmlns:b="http://schemas.openxmlformats.org/officeDocument/2006/bibliography" xmlns="http://schemas.openxmlformats.org/officeDocument/2006/bibliography">
    <b:Tag>Placeholder3</b:Tag>
    <b:RefOrder>3</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B3E4A5C17F963D4A81626FBA9D0C3C6E" ma:contentTypeVersion="14" ma:contentTypeDescription="Create a new document." ma:contentTypeScope="" ma:versionID="688d442676ed479a47b166668315870a">
  <xsd:schema xmlns:xsd="http://www.w3.org/2001/XMLSchema" xmlns:xs="http://www.w3.org/2001/XMLSchema" xmlns:p="http://schemas.microsoft.com/office/2006/metadata/properties" xmlns:ns2="25af2f0e-673d-4721-b64c-73e7c4e9e0c5" xmlns:ns3="2afa1a33-c191-48ee-b288-192490d33fec" targetNamespace="http://schemas.microsoft.com/office/2006/metadata/properties" ma:root="true" ma:fieldsID="b91ef8a57aff9f342f2bdb2c1c5c8411" ns2:_="" ns3:_="">
    <xsd:import namespace="25af2f0e-673d-4721-b64c-73e7c4e9e0c5"/>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f2f0e-673d-4721-b64c-73e7c4e9e0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69d907b-a4f2-42ff-8dc5-96e66a0aa2d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6d9b9666-9797-4e44-9182-60ce046d5dd1}" ma:internalName="TaxCatchAll" ma:showField="CatchAllData" ma:web="2afa1a33-c191-48ee-b288-192490d33f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22F4F94-1AF4-4521-991E-7AE5BA2A5212}">
  <ds:schemaRefs>
    <ds:schemaRef ds:uri="http://schemas.microsoft.com/office/2006/metadata/properties"/>
    <ds:schemaRef ds:uri="http://schemas.microsoft.com/office/infopath/2007/PartnerControls"/>
    <ds:schemaRef ds:uri="2afa1a33-c191-48ee-b288-192490d33fec"/>
    <ds:schemaRef ds:uri="25af2f0e-673d-4721-b64c-73e7c4e9e0c5"/>
  </ds:schemaRefs>
</ds:datastoreItem>
</file>

<file path=customXml/itemProps2.xml><?xml version="1.0" encoding="utf-8"?>
<ds:datastoreItem xmlns:ds="http://schemas.openxmlformats.org/officeDocument/2006/customXml" ds:itemID="{5AD6AB5B-4BC6-45AF-ACC9-A99FA1A8EC38}">
  <ds:schemaRefs>
    <ds:schemaRef ds:uri="http://schemas.openxmlformats.org/officeDocument/2006/bibliography"/>
  </ds:schemaRefs>
</ds:datastoreItem>
</file>

<file path=customXml/itemProps3.xml><?xml version="1.0" encoding="utf-8"?>
<ds:datastoreItem xmlns:ds="http://schemas.openxmlformats.org/officeDocument/2006/customXml" ds:itemID="{9D34C5CC-2D5E-4417-A2ED-D65F38D0CB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f2f0e-673d-4721-b64c-73e7c4e9e0c5"/>
    <ds:schemaRef ds:uri="2afa1a33-c191-48ee-b288-192490d33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C21FB9-1321-4B4B-A22E-45DA56E9FF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DocumentTemplate-Submission</Template>
  <TotalTime>6</TotalTime>
  <Pages>3</Pages>
  <Words>953</Words>
  <Characters>5435</Characters>
  <Application>Microsoft Office Word</Application>
  <DocSecurity>0</DocSecurity>
  <Lines>45</Lines>
  <Paragraphs>12</Paragraphs>
  <ScaleCrop>false</ScaleCrop>
  <Company/>
  <LinksUpToDate>false</LinksUpToDate>
  <CharactersWithSpaces>6376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Ward</dc:creator>
  <cp:keywords/>
  <cp:lastModifiedBy>Megan Ward</cp:lastModifiedBy>
  <cp:revision>14</cp:revision>
  <cp:lastPrinted>2022-12-04T21:18:00Z</cp:lastPrinted>
  <dcterms:created xsi:type="dcterms:W3CDTF">2022-12-02T05:23:00Z</dcterms:created>
  <dcterms:modified xsi:type="dcterms:W3CDTF">2022-12-06T22:32:00Z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haredWithUsers">
    <vt:lpwstr>16;#Rebekah Sarkoezy;#27;#Meredith Lea</vt:lpwstr>
  </property>
  <property fmtid="{D5CDD505-2E9C-101B-9397-08002B2CF9AE}" pid="3" name="ContentTypeId">
    <vt:lpwstr>0x010100B3E4A5C17F963D4A81626FBA9D0C3C6E</vt:lpwstr>
  </property>
  <property fmtid="{D5CDD505-2E9C-101B-9397-08002B2CF9AE}" pid="4" name="MediaServiceImageTags">
    <vt:lpwstr/>
  </property>
</Properties>
</file>