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224AB2" w14:textId="77777777" w:rsidR="00B47285" w:rsidRPr="002C5882" w:rsidRDefault="00B47285" w:rsidP="00CF0438">
      <w:pPr>
        <w:pStyle w:val="Letterhead1"/>
      </w:pPr>
      <w:bookmarkStart w:id="0" w:name="_Hlk95835868"/>
      <w:r w:rsidRPr="00CF0438">
        <w:rPr>
          <w:noProof/>
        </w:rPr>
        <w:drawing>
          <wp:anchor distT="0" distB="0" distL="114300" distR="114300" simplePos="0" relativeHeight="251658243" behindDoc="1" locked="0" layoutInCell="1" allowOverlap="1" wp14:anchorId="34B4C568" wp14:editId="160604D2">
            <wp:simplePos x="0" y="0"/>
            <wp:positionH relativeFrom="column">
              <wp:posOffset>4862195</wp:posOffset>
            </wp:positionH>
            <wp:positionV relativeFrom="page">
              <wp:posOffset>563880</wp:posOffset>
            </wp:positionV>
            <wp:extent cx="191770" cy="191770"/>
            <wp:effectExtent l="0" t="0" r="0" b="0"/>
            <wp:wrapSquare wrapText="bothSides"/>
            <wp:docPr id="7" name="Picture 7" descr="Twitter Ic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witter Icon">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0438">
        <w:rPr>
          <w:noProof/>
        </w:rPr>
        <w:drawing>
          <wp:anchor distT="0" distB="0" distL="114300" distR="114300" simplePos="0" relativeHeight="251658244" behindDoc="0" locked="0" layoutInCell="1" allowOverlap="1" wp14:anchorId="7FF39E30" wp14:editId="40089697">
            <wp:simplePos x="0" y="0"/>
            <wp:positionH relativeFrom="column">
              <wp:posOffset>5092065</wp:posOffset>
            </wp:positionH>
            <wp:positionV relativeFrom="page">
              <wp:posOffset>560070</wp:posOffset>
            </wp:positionV>
            <wp:extent cx="191770" cy="191770"/>
            <wp:effectExtent l="0" t="0" r="0" b="0"/>
            <wp:wrapSquare wrapText="bothSides"/>
            <wp:docPr id="8" name="Picture 8" descr="Facebook ic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acebook icon">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5" behindDoc="0" locked="0" layoutInCell="1" allowOverlap="1" wp14:anchorId="24860223" wp14:editId="440CC60A">
            <wp:simplePos x="0" y="0"/>
            <wp:positionH relativeFrom="column">
              <wp:posOffset>5326380</wp:posOffset>
            </wp:positionH>
            <wp:positionV relativeFrom="page">
              <wp:posOffset>560070</wp:posOffset>
            </wp:positionV>
            <wp:extent cx="191770" cy="191770"/>
            <wp:effectExtent l="0" t="0" r="0" b="0"/>
            <wp:wrapSquare wrapText="bothSides"/>
            <wp:docPr id="9" name="Picture 9" descr="Linked in ic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inked in icon">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2" behindDoc="0" locked="0" layoutInCell="1" allowOverlap="1" wp14:anchorId="391658DB" wp14:editId="295BA0A1">
            <wp:simplePos x="0" y="0"/>
            <wp:positionH relativeFrom="column">
              <wp:posOffset>5546725</wp:posOffset>
            </wp:positionH>
            <wp:positionV relativeFrom="page">
              <wp:posOffset>560070</wp:posOffset>
            </wp:positionV>
            <wp:extent cx="191770" cy="191770"/>
            <wp:effectExtent l="0" t="0" r="0" b="0"/>
            <wp:wrapSquare wrapText="bothSides"/>
            <wp:docPr id="10" name="Picture 10" descr="Instagram ic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nstagram icon">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1" behindDoc="0" locked="0" layoutInCell="1" allowOverlap="1" wp14:anchorId="3B2DF683" wp14:editId="6D56D801">
            <wp:simplePos x="0" y="0"/>
            <wp:positionH relativeFrom="column">
              <wp:posOffset>4445</wp:posOffset>
            </wp:positionH>
            <wp:positionV relativeFrom="page">
              <wp:posOffset>421005</wp:posOffset>
            </wp:positionV>
            <wp:extent cx="2035810" cy="880110"/>
            <wp:effectExtent l="0" t="0" r="2540" b="0"/>
            <wp:wrapSquare wrapText="bothSides"/>
            <wp:docPr id="16" name="Picture 16" descr="ACCAN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CCAN log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5810" cy="880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7A95" w:rsidRPr="00CF0438">
        <w:t>www.</w:t>
      </w:r>
      <w:r w:rsidRPr="002C5882">
        <w:t>accan</w:t>
      </w:r>
      <w:r w:rsidRPr="00CF0438">
        <w:t>.org.</w:t>
      </w:r>
      <w:r w:rsidRPr="002C5882">
        <w:t>au</w:t>
      </w:r>
    </w:p>
    <w:p w14:paraId="409886ED" w14:textId="77777777" w:rsidR="00B47285" w:rsidRPr="002C5882" w:rsidRDefault="00F47D10" w:rsidP="00CF0438">
      <w:pPr>
        <w:pStyle w:val="Letterhead1"/>
      </w:pPr>
      <w:r>
        <w:t>i</w:t>
      </w:r>
      <w:r w:rsidR="00B47285" w:rsidRPr="002C5882">
        <w:t>nfo@accan.org.au</w:t>
      </w:r>
    </w:p>
    <w:p w14:paraId="367CFA08" w14:textId="77777777" w:rsidR="00B47285" w:rsidRPr="002C5882" w:rsidRDefault="00B47285" w:rsidP="00CF0438">
      <w:pPr>
        <w:pStyle w:val="Letterhead1"/>
      </w:pPr>
      <w:r w:rsidRPr="002C5882">
        <w:t>02 9288 4000</w:t>
      </w:r>
    </w:p>
    <w:p w14:paraId="7390C6C4" w14:textId="77777777" w:rsidR="00B47285" w:rsidRDefault="00B47285" w:rsidP="00B47285">
      <w:pPr>
        <w:tabs>
          <w:tab w:val="left" w:pos="3855"/>
        </w:tabs>
        <w:rPr>
          <w:rFonts w:ascii="Gotham" w:hAnsi="Gotham"/>
          <w:b/>
          <w:bCs/>
          <w:lang w:val="en-US"/>
        </w:rPr>
      </w:pPr>
      <w:r w:rsidRPr="002C5882">
        <w:rPr>
          <w:noProof/>
        </w:rPr>
        <mc:AlternateContent>
          <mc:Choice Requires="wps">
            <w:drawing>
              <wp:anchor distT="0" distB="0" distL="114300" distR="114300" simplePos="0" relativeHeight="251658240" behindDoc="1" locked="0" layoutInCell="1" allowOverlap="1" wp14:anchorId="37A98517" wp14:editId="7D639E64">
                <wp:simplePos x="0" y="0"/>
                <wp:positionH relativeFrom="column">
                  <wp:posOffset>-627380</wp:posOffset>
                </wp:positionH>
                <wp:positionV relativeFrom="page">
                  <wp:posOffset>1675572</wp:posOffset>
                </wp:positionV>
                <wp:extent cx="6892290" cy="45085"/>
                <wp:effectExtent l="0" t="0" r="3810" b="0"/>
                <wp:wrapNone/>
                <wp:docPr id="4379" name="Rectangle 4379"/>
                <wp:cNvGraphicFramePr/>
                <a:graphic xmlns:a="http://schemas.openxmlformats.org/drawingml/2006/main">
                  <a:graphicData uri="http://schemas.microsoft.com/office/word/2010/wordprocessingShape">
                    <wps:wsp>
                      <wps:cNvSpPr/>
                      <wps:spPr>
                        <a:xfrm>
                          <a:off x="0" y="0"/>
                          <a:ext cx="6892290" cy="4508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F9C03FA" id="Rectangle 4379" o:spid="_x0000_s1026" style="position:absolute;margin-left:-49.4pt;margin-top:131.95pt;width:542.7pt;height: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" fillcolor="#43c7f4" stroked="f" strokeweight="2pt">
                <w10:wrap anchory="page"/>
              </v:rect>
            </w:pict>
          </mc:Fallback>
        </mc:AlternateContent>
      </w:r>
    </w:p>
    <w:p w14:paraId="14264072" w14:textId="77777777" w:rsidR="00B47285" w:rsidRDefault="00B47285" w:rsidP="00B47285">
      <w:pPr>
        <w:tabs>
          <w:tab w:val="right" w:pos="8931"/>
        </w:tabs>
        <w:rPr>
          <w:rFonts w:ascii="Gotham Black" w:hAnsi="Gotham Black"/>
          <w:color w:val="43C7F4"/>
          <w:sz w:val="36"/>
          <w:szCs w:val="36"/>
        </w:rPr>
      </w:pPr>
    </w:p>
    <w:p w14:paraId="1A8316FB" w14:textId="73B98820" w:rsidR="00576D4A" w:rsidRDefault="00664339" w:rsidP="00CB1C53">
      <w:pPr>
        <w:tabs>
          <w:tab w:val="right" w:pos="9026"/>
        </w:tabs>
        <w:rPr>
          <w:rStyle w:val="DocDateChar"/>
        </w:rPr>
      </w:pPr>
      <w:r>
        <w:rPr>
          <w:rStyle w:val="DocLabelChar"/>
        </w:rPr>
        <w:t>Submission</w:t>
      </w:r>
      <w:r w:rsidR="00F45BDC" w:rsidRPr="006F47E7">
        <w:rPr>
          <w:rFonts w:ascii="Gotham Black" w:hAnsi="Gotham Black"/>
          <w:color w:val="44C7F4"/>
          <w:sz w:val="36"/>
          <w:szCs w:val="36"/>
        </w:rPr>
        <w:tab/>
      </w:r>
      <w:bookmarkEnd w:id="0"/>
      <w:r w:rsidR="00750D7B">
        <w:rPr>
          <w:rStyle w:val="DocDateChar"/>
        </w:rPr>
        <w:t>6</w:t>
      </w:r>
      <w:r w:rsidR="00750D7B" w:rsidRPr="00750D7B">
        <w:rPr>
          <w:rStyle w:val="DocDateChar"/>
          <w:vertAlign w:val="superscript"/>
        </w:rPr>
        <w:t>th</w:t>
      </w:r>
      <w:r w:rsidR="00750D7B">
        <w:rPr>
          <w:rStyle w:val="DocDateChar"/>
        </w:rPr>
        <w:t xml:space="preserve"> May 2022</w:t>
      </w:r>
    </w:p>
    <w:p w14:paraId="1FF7CB8B" w14:textId="77777777" w:rsidR="00750D7B" w:rsidRDefault="00750D7B" w:rsidP="00750D7B">
      <w:pPr>
        <w:pStyle w:val="NoSpacing"/>
      </w:pPr>
      <w:bookmarkStart w:id="1" w:name="_Hlk102479805"/>
      <w:r>
        <w:t>Grahame O’Leary</w:t>
      </w:r>
    </w:p>
    <w:p w14:paraId="00485B82" w14:textId="77777777" w:rsidR="00750D7B" w:rsidRDefault="00750D7B" w:rsidP="00750D7B">
      <w:pPr>
        <w:pStyle w:val="NoSpacing"/>
      </w:pPr>
      <w:r>
        <w:t>Director</w:t>
      </w:r>
    </w:p>
    <w:p w14:paraId="72EB2CB1" w14:textId="77777777" w:rsidR="00750D7B" w:rsidRDefault="00750D7B" w:rsidP="00750D7B">
      <w:pPr>
        <w:pStyle w:val="NoSpacing"/>
      </w:pPr>
      <w:r>
        <w:t>Transmission and Facilities Access Section</w:t>
      </w:r>
    </w:p>
    <w:p w14:paraId="431E716C" w14:textId="77777777" w:rsidR="00750D7B" w:rsidRDefault="00750D7B" w:rsidP="00750D7B">
      <w:pPr>
        <w:pStyle w:val="NoSpacing"/>
      </w:pPr>
      <w:r>
        <w:t>Mobiles, Transmission and Consumer Branch</w:t>
      </w:r>
    </w:p>
    <w:p w14:paraId="01F20C7D" w14:textId="77777777" w:rsidR="00750D7B" w:rsidRDefault="00750D7B" w:rsidP="00750D7B">
      <w:pPr>
        <w:pStyle w:val="NoSpacing"/>
      </w:pPr>
      <w:r>
        <w:t>Australian Competition and Consumer Commission</w:t>
      </w:r>
    </w:p>
    <w:p w14:paraId="3DD5B921" w14:textId="77777777" w:rsidR="00750D7B" w:rsidRDefault="00750D7B" w:rsidP="00750D7B"/>
    <w:p w14:paraId="4B2BF6CA" w14:textId="77777777" w:rsidR="00750D7B" w:rsidRDefault="00750D7B" w:rsidP="00750D7B">
      <w:pPr>
        <w:pStyle w:val="NoSpacing"/>
      </w:pPr>
      <w:r>
        <w:t>Via email:</w:t>
      </w:r>
      <w:r w:rsidRPr="00844C38">
        <w:t xml:space="preserve"> </w:t>
      </w:r>
      <w:hyperlink r:id="rId21" w:history="1">
        <w:r w:rsidRPr="008B69C7">
          <w:rPr>
            <w:rStyle w:val="Hyperlink"/>
            <w:rFonts w:ascii="CIDFont+F1" w:hAnsi="CIDFont+F1" w:cs="CIDFont+F1"/>
            <w:sz w:val="21"/>
            <w:szCs w:val="21"/>
          </w:rPr>
          <w:t>grahame.oleary@accc.gov.au</w:t>
        </w:r>
      </w:hyperlink>
    </w:p>
    <w:p w14:paraId="70A77F04" w14:textId="77777777" w:rsidR="00750D7B" w:rsidRDefault="00750D7B" w:rsidP="00750D7B">
      <w:pPr>
        <w:pStyle w:val="NoSpacing"/>
      </w:pPr>
      <w:r>
        <w:rPr>
          <w:color w:val="000000"/>
        </w:rPr>
        <w:t xml:space="preserve">CC: </w:t>
      </w:r>
      <w:hyperlink r:id="rId22" w:history="1">
        <w:r w:rsidRPr="008B69C7">
          <w:rPr>
            <w:rStyle w:val="Hyperlink"/>
            <w:rFonts w:ascii="CIDFont+F1" w:hAnsi="CIDFont+F1" w:cs="CIDFont+F1"/>
            <w:sz w:val="21"/>
            <w:szCs w:val="21"/>
          </w:rPr>
          <w:t>peter.palmato@accc.gov.au</w:t>
        </w:r>
      </w:hyperlink>
    </w:p>
    <w:p w14:paraId="64C0C246" w14:textId="77777777" w:rsidR="00750D7B" w:rsidRDefault="00750D7B" w:rsidP="00750D7B"/>
    <w:p w14:paraId="51E9E127" w14:textId="77777777" w:rsidR="00750D7B" w:rsidRPr="00844C38" w:rsidRDefault="00750D7B" w:rsidP="00750D7B">
      <w:pPr>
        <w:rPr>
          <w:rFonts w:cstheme="minorHAnsi"/>
          <w:b/>
          <w:bCs/>
        </w:rPr>
      </w:pPr>
      <w:r w:rsidRPr="00844C38">
        <w:rPr>
          <w:rFonts w:cstheme="minorHAnsi"/>
          <w:b/>
          <w:bCs/>
        </w:rPr>
        <w:t>RE: Access to Telecommunications Facilities: ACCC review of the corporate control percentage</w:t>
      </w:r>
    </w:p>
    <w:p w14:paraId="146F7A53" w14:textId="77777777" w:rsidR="00750D7B" w:rsidRDefault="00750D7B" w:rsidP="00750D7B">
      <w:pPr>
        <w:jc w:val="both"/>
      </w:pPr>
      <w:r>
        <w:t xml:space="preserve">ACCAN thanks the ACCC for the </w:t>
      </w:r>
      <w:r w:rsidRPr="00DD1B6E">
        <w:t>opportunity</w:t>
      </w:r>
      <w:r>
        <w:t xml:space="preserve"> to contribute to its consultation on access to Telecommunications Facilities and the appropriate corporate control percentage. The review, which is required under the </w:t>
      </w:r>
      <w:r w:rsidRPr="00F17096">
        <w:rPr>
          <w:i/>
          <w:iCs/>
        </w:rPr>
        <w:t>Telecommunications Act 1997</w:t>
      </w:r>
      <w:r>
        <w:rPr>
          <w:i/>
          <w:iCs/>
        </w:rPr>
        <w:t>,</w:t>
      </w:r>
      <w:r>
        <w:t xml:space="preserve"> aims to determine the level of corporate control at which a telecommunications company should be subject to the provisions of the Facilities Access Regime. </w:t>
      </w:r>
    </w:p>
    <w:p w14:paraId="13B47DE0" w14:textId="77777777" w:rsidR="00750D7B" w:rsidRDefault="00750D7B" w:rsidP="00750D7B">
      <w:pPr>
        <w:jc w:val="both"/>
      </w:pPr>
      <w:r>
        <w:t xml:space="preserve">Until recently, only licensed carriers were subject to the Facilities Access Regime (the Regime). However, recently the ownership of </w:t>
      </w:r>
      <w:proofErr w:type="gramStart"/>
      <w:r>
        <w:t>a number of</w:t>
      </w:r>
      <w:proofErr w:type="gramEnd"/>
      <w:r>
        <w:t xml:space="preserve"> towers has been transferred from telecommunications carriers to entities that do not hold a telecommunications carrier licence. Following the enactment of the </w:t>
      </w:r>
      <w:r>
        <w:rPr>
          <w:i/>
          <w:iCs/>
        </w:rPr>
        <w:t xml:space="preserve">Telstra Corporation and Other Legislation Amendment Act 2021, </w:t>
      </w:r>
      <w:r>
        <w:t xml:space="preserve">access obligations were extended to eligible companies who do not have a carrier licence but are part of a ‘carrier company group’. A carrier company group consists of two or more related companies where one holds a carrier licence. Currently if a carrier holds more than 15% of the equity or shares in a non-carrier telecommunications tower operator then the non-carrier tower operator is part of the carrier company group, and therefore subject to the Regime. </w:t>
      </w:r>
    </w:p>
    <w:p w14:paraId="0E4DA4F0" w14:textId="77777777" w:rsidR="00750D7B" w:rsidRDefault="00750D7B" w:rsidP="00750D7B">
      <w:pPr>
        <w:jc w:val="both"/>
      </w:pPr>
      <w:r>
        <w:t xml:space="preserve">The Regime means that a carrier must, on request, give another carrier access to facilities, where a facility can be any part of the infrastructure of a telecommunications network, or any line, equipment, apparatus, tower, mast, antenna, tunnel, duct etc. used for, in, or in connection with a telecommunications network. The regime specifically requires access to telecommunications transmission towers, the sites of towers and eligible underground facilities that are designed to hold lines. Under this Regime, the ACCC has made the Facilities Access Code (the Code) which seeks to ensure that, as far as possible, facilities are shared and/or co-located and that access to facilities is provided in a timely and fair manner by providing the minimum standards of practice for administrative and operational procedures. The Code provides mandatory conditions of access, which carriers must comply with, and other conditions that will apply unless parties negotiate their own terms. ACCAN has previously expressed support for the Code as it promotes beneficial outcomes for </w:t>
      </w:r>
      <w:r>
        <w:lastRenderedPageBreak/>
        <w:t xml:space="preserve">consumers by reducing the loss of amenity from unnecessary duplication of infrastructure, as well as reduces service costs </w:t>
      </w:r>
      <w:proofErr w:type="gramStart"/>
      <w:r>
        <w:t>as a result of</w:t>
      </w:r>
      <w:proofErr w:type="gramEnd"/>
      <w:r>
        <w:t xml:space="preserve"> co-investment.</w:t>
      </w:r>
      <w:r>
        <w:rPr>
          <w:rStyle w:val="FootnoteReference"/>
        </w:rPr>
        <w:footnoteReference w:id="2"/>
      </w:r>
    </w:p>
    <w:p w14:paraId="53BD4542" w14:textId="77777777" w:rsidR="00750D7B" w:rsidRDefault="00750D7B" w:rsidP="00750D7B">
      <w:pPr>
        <w:pStyle w:val="BodyText1"/>
        <w:jc w:val="both"/>
        <w:rPr>
          <w:rFonts w:asciiTheme="minorHAnsi" w:eastAsiaTheme="minorEastAsia" w:hAnsiTheme="minorHAnsi" w:cstheme="minorHAnsi"/>
          <w:color w:val="auto"/>
          <w:lang w:eastAsia="en-AU"/>
        </w:rPr>
      </w:pPr>
      <w:r>
        <w:rPr>
          <w:rFonts w:asciiTheme="minorHAnsi" w:eastAsiaTheme="minorEastAsia" w:hAnsiTheme="minorHAnsi" w:cstheme="minorHAnsi"/>
          <w:color w:val="auto"/>
          <w:lang w:eastAsia="en-AU"/>
        </w:rPr>
        <w:t xml:space="preserve">The Facilities Access Regime is important because it facilitates competition and the efficient use and provision of telecommunications services. If the Regime were not in place, entities which hold a carrier licence and control eligible facilities would have the means and incentives to refuse access to other carriers, creating barriers to entry and reducing competition and choice for consumers </w:t>
      </w:r>
      <w:proofErr w:type="gramStart"/>
      <w:r>
        <w:rPr>
          <w:rFonts w:asciiTheme="minorHAnsi" w:eastAsiaTheme="minorEastAsia" w:hAnsiTheme="minorHAnsi" w:cstheme="minorHAnsi"/>
          <w:color w:val="auto"/>
          <w:lang w:eastAsia="en-AU"/>
        </w:rPr>
        <w:t>in order to</w:t>
      </w:r>
      <w:proofErr w:type="gramEnd"/>
      <w:r>
        <w:rPr>
          <w:rFonts w:asciiTheme="minorHAnsi" w:eastAsiaTheme="minorEastAsia" w:hAnsiTheme="minorHAnsi" w:cstheme="minorHAnsi"/>
          <w:color w:val="auto"/>
          <w:lang w:eastAsia="en-AU"/>
        </w:rPr>
        <w:t xml:space="preserve"> benefit their own commercial interests. It is therefore vital that the Regime remain effective and fit-for-purpose.</w:t>
      </w:r>
    </w:p>
    <w:p w14:paraId="1F16C60D" w14:textId="77777777" w:rsidR="00750D7B" w:rsidRDefault="00750D7B" w:rsidP="00750D7B">
      <w:pPr>
        <w:pStyle w:val="BodyText1"/>
        <w:jc w:val="both"/>
        <w:rPr>
          <w:rFonts w:asciiTheme="minorHAnsi" w:eastAsiaTheme="minorEastAsia" w:hAnsiTheme="minorHAnsi" w:cstheme="minorHAnsi"/>
          <w:color w:val="auto"/>
          <w:lang w:eastAsia="en-AU"/>
        </w:rPr>
      </w:pPr>
      <w:r>
        <w:rPr>
          <w:rFonts w:asciiTheme="minorHAnsi" w:eastAsiaTheme="minorEastAsia" w:hAnsiTheme="minorHAnsi" w:cstheme="minorHAnsi"/>
          <w:color w:val="auto"/>
          <w:lang w:eastAsia="en-AU"/>
        </w:rPr>
        <w:t xml:space="preserve">Given recent market developments, there is a question regarding whether carriers with significantly less equity in a passive tower company continue to have the means and incentives to prevent access to alternative carriers. Indeed, in an article reporting on Telstra’s restructure, the </w:t>
      </w:r>
      <w:proofErr w:type="spellStart"/>
      <w:r>
        <w:rPr>
          <w:rFonts w:asciiTheme="minorHAnsi" w:eastAsiaTheme="minorEastAsia" w:hAnsiTheme="minorHAnsi" w:cstheme="minorHAnsi"/>
          <w:color w:val="auto"/>
          <w:lang w:eastAsia="en-AU"/>
        </w:rPr>
        <w:t>InfraCo</w:t>
      </w:r>
      <w:proofErr w:type="spellEnd"/>
      <w:r>
        <w:rPr>
          <w:rFonts w:asciiTheme="minorHAnsi" w:eastAsiaTheme="minorEastAsia" w:hAnsiTheme="minorHAnsi" w:cstheme="minorHAnsi"/>
          <w:color w:val="auto"/>
          <w:lang w:eastAsia="en-AU"/>
        </w:rPr>
        <w:t xml:space="preserve"> CEO explained how they are seeking to increase Telstra’s tenancy ratios on its existing towers from a previously below industry average of 1.34 to an average tenancy ratio of 1.5-1.6.</w:t>
      </w:r>
      <w:r>
        <w:rPr>
          <w:rStyle w:val="FootnoteReference"/>
          <w:rFonts w:asciiTheme="minorHAnsi" w:eastAsiaTheme="minorEastAsia" w:hAnsiTheme="minorHAnsi" w:cstheme="minorHAnsi"/>
          <w:color w:val="auto"/>
          <w:lang w:eastAsia="en-AU"/>
        </w:rPr>
        <w:footnoteReference w:id="3"/>
      </w:r>
      <w:r>
        <w:rPr>
          <w:rFonts w:asciiTheme="minorHAnsi" w:eastAsiaTheme="minorEastAsia" w:hAnsiTheme="minorHAnsi" w:cstheme="minorHAnsi"/>
          <w:color w:val="auto"/>
          <w:lang w:eastAsia="en-AU"/>
        </w:rPr>
        <w:t xml:space="preserve"> Whilst it is not explicit in the article, it could be inferred that the restructure may have changed Telstra’s incentives towards infrastructure sharing. However, a small change in commercial incentives is unlikely to eliminate the need for the Regime to apply.</w:t>
      </w:r>
    </w:p>
    <w:p w14:paraId="47B8A8BB" w14:textId="2EA42A52" w:rsidR="00750D7B" w:rsidRDefault="00750D7B" w:rsidP="00750D7B">
      <w:pPr>
        <w:pStyle w:val="BodyText1"/>
        <w:jc w:val="both"/>
        <w:rPr>
          <w:rFonts w:asciiTheme="minorHAnsi" w:eastAsiaTheme="minorEastAsia" w:hAnsiTheme="minorHAnsi" w:cstheme="minorHAnsi"/>
          <w:color w:val="auto"/>
          <w:lang w:eastAsia="en-AU"/>
        </w:rPr>
      </w:pPr>
      <w:r>
        <w:rPr>
          <w:rFonts w:asciiTheme="minorHAnsi" w:eastAsiaTheme="minorEastAsia" w:hAnsiTheme="minorHAnsi" w:cstheme="minorHAnsi"/>
          <w:color w:val="auto"/>
          <w:lang w:eastAsia="en-AU"/>
        </w:rPr>
        <w:t xml:space="preserve">A carrier may still retain the motivation to prevent alternative carriers from accessing its facilities, despite reducing its share in a passive tower company. </w:t>
      </w:r>
      <w:r w:rsidR="00CB65AD">
        <w:rPr>
          <w:rFonts w:asciiTheme="minorHAnsi" w:eastAsiaTheme="minorEastAsia" w:hAnsiTheme="minorHAnsi" w:cstheme="minorHAnsi"/>
          <w:color w:val="auto"/>
          <w:lang w:eastAsia="en-AU"/>
        </w:rPr>
        <w:t xml:space="preserve">Control of a passive tower company could still be achieved through company interests of less than 15%. </w:t>
      </w:r>
      <w:r>
        <w:rPr>
          <w:rFonts w:asciiTheme="minorHAnsi" w:eastAsiaTheme="minorEastAsia" w:hAnsiTheme="minorHAnsi" w:cstheme="minorHAnsi"/>
          <w:color w:val="auto"/>
          <w:lang w:eastAsia="en-AU"/>
        </w:rPr>
        <w:t xml:space="preserve">Furthermore, whilst a carrier might not have </w:t>
      </w:r>
      <w:proofErr w:type="gramStart"/>
      <w:r>
        <w:rPr>
          <w:rFonts w:asciiTheme="minorHAnsi" w:eastAsiaTheme="minorEastAsia" w:hAnsiTheme="minorHAnsi" w:cstheme="minorHAnsi"/>
          <w:color w:val="auto"/>
          <w:lang w:eastAsia="en-AU"/>
        </w:rPr>
        <w:t>the majority of</w:t>
      </w:r>
      <w:proofErr w:type="gramEnd"/>
      <w:r>
        <w:rPr>
          <w:rFonts w:asciiTheme="minorHAnsi" w:eastAsiaTheme="minorEastAsia" w:hAnsiTheme="minorHAnsi" w:cstheme="minorHAnsi"/>
          <w:color w:val="auto"/>
          <w:lang w:eastAsia="en-AU"/>
        </w:rPr>
        <w:t xml:space="preserve"> shares, it is still possible for a carrier to have influence over decisions relating to access through its total voting stock or seats on the board. </w:t>
      </w:r>
    </w:p>
    <w:p w14:paraId="122DD6C4" w14:textId="77777777" w:rsidR="00750D7B" w:rsidRDefault="00750D7B" w:rsidP="00750D7B">
      <w:pPr>
        <w:pStyle w:val="BodyText1"/>
        <w:jc w:val="both"/>
        <w:rPr>
          <w:rFonts w:asciiTheme="minorHAnsi" w:eastAsiaTheme="minorEastAsia" w:hAnsiTheme="minorHAnsi" w:cstheme="minorHAnsi"/>
          <w:color w:val="auto"/>
          <w:lang w:eastAsia="en-AU"/>
        </w:rPr>
      </w:pPr>
      <w:r>
        <w:rPr>
          <w:rFonts w:asciiTheme="minorHAnsi" w:eastAsiaTheme="minorEastAsia" w:hAnsiTheme="minorHAnsi" w:cstheme="minorHAnsi"/>
          <w:color w:val="auto"/>
          <w:lang w:eastAsia="en-AU"/>
        </w:rPr>
        <w:t>Additionally non-carrier related companies within the carrier company group, such as a super fund, could have equity in both the passive infrastructure company as well as the carrier. In this situation it is unclear what the incentives of the non-carrier owners of the passive infrastructure would be. Whilst we are unaware of such a situation currently, it could eventuate in the future that a majority owner of a passive infrastructure company, whilst not being a carrier themselves, also have commercial interests in the carrier giving rise to preferential treatment of that carrier. This cross-ownership risk is particularly high for the largest super funds that invest in privately owned infrastructure and have significant shareholdings in listed carriers.</w:t>
      </w:r>
    </w:p>
    <w:p w14:paraId="0394E5F6" w14:textId="77777777" w:rsidR="00750D7B" w:rsidRDefault="00750D7B" w:rsidP="00750D7B">
      <w:pPr>
        <w:pStyle w:val="BodyText1"/>
        <w:jc w:val="both"/>
        <w:rPr>
          <w:rFonts w:asciiTheme="minorHAnsi" w:eastAsiaTheme="minorEastAsia" w:hAnsiTheme="minorHAnsi" w:cstheme="minorHAnsi"/>
          <w:color w:val="auto"/>
          <w:lang w:eastAsia="en-AU"/>
        </w:rPr>
      </w:pPr>
      <w:r>
        <w:rPr>
          <w:rFonts w:asciiTheme="minorHAnsi" w:eastAsiaTheme="minorEastAsia" w:hAnsiTheme="minorHAnsi" w:cstheme="minorHAnsi"/>
          <w:color w:val="auto"/>
          <w:lang w:eastAsia="en-AU"/>
        </w:rPr>
        <w:t xml:space="preserve">Furthermore, mobile tower facilities, particularly in rural and remote areas, can be bottlenecks, to the extent that a carrier seeks to access customers in an area, they may only have the choice of one tower operator or to build their own facilities. In this situation, the tower operator has a degree of monopoly power through these bottleneck facilities, and therefore the means to charge above cost price for access. By applying the Regime to both carrier and non-carrier operators of infrastructure, this will create a more even playing field in the upstream market, particularly given the negotiate-arbitrate framework within the Regime where the ACCC acts as the arbitrator of last resort. </w:t>
      </w:r>
    </w:p>
    <w:p w14:paraId="0246D029" w14:textId="77777777" w:rsidR="00750D7B" w:rsidRDefault="00750D7B" w:rsidP="00750D7B">
      <w:pPr>
        <w:pStyle w:val="BodyText1"/>
        <w:jc w:val="both"/>
        <w:rPr>
          <w:rFonts w:asciiTheme="minorHAnsi" w:eastAsiaTheme="minorEastAsia" w:hAnsiTheme="minorHAnsi" w:cstheme="minorHAnsi"/>
          <w:color w:val="auto"/>
          <w:lang w:eastAsia="en-AU"/>
        </w:rPr>
      </w:pPr>
      <w:r>
        <w:rPr>
          <w:rFonts w:asciiTheme="minorHAnsi" w:eastAsiaTheme="minorEastAsia" w:hAnsiTheme="minorHAnsi" w:cstheme="minorHAnsi"/>
          <w:color w:val="auto"/>
          <w:lang w:eastAsia="en-AU"/>
        </w:rPr>
        <w:t xml:space="preserve">Mobile black spots and lack of choice in mobile services in regional and rural areas are long standing issues which urgently need addressing. The level of co-location has been seen to decline across all </w:t>
      </w:r>
      <w:r>
        <w:rPr>
          <w:rFonts w:asciiTheme="minorHAnsi" w:eastAsiaTheme="minorEastAsia" w:hAnsiTheme="minorHAnsi" w:cstheme="minorHAnsi"/>
          <w:color w:val="auto"/>
          <w:lang w:eastAsia="en-AU"/>
        </w:rPr>
        <w:lastRenderedPageBreak/>
        <w:t>Mobile Network Operators as their locations move from major cities into less populated regional and remote areas, where co-location drops to as low as 4.4% in very remote Australia.</w:t>
      </w:r>
      <w:r>
        <w:rPr>
          <w:rStyle w:val="FootnoteReference"/>
          <w:rFonts w:asciiTheme="minorHAnsi" w:eastAsiaTheme="minorEastAsia" w:hAnsiTheme="minorHAnsi" w:cstheme="minorHAnsi"/>
          <w:color w:val="auto"/>
          <w:lang w:eastAsia="en-AU"/>
        </w:rPr>
        <w:footnoteReference w:id="4"/>
      </w:r>
      <w:r>
        <w:rPr>
          <w:rFonts w:asciiTheme="minorHAnsi" w:eastAsiaTheme="minorEastAsia" w:hAnsiTheme="minorHAnsi" w:cstheme="minorHAnsi"/>
          <w:color w:val="auto"/>
          <w:lang w:eastAsia="en-AU"/>
        </w:rPr>
        <w:t xml:space="preserve"> It is ACCAN’s view that access to facilities should be shared as much as possible by making it easier for carriers to gain greater access to towers in order to increase consumer choice, as well as reduce the costs associated with duplication of infrastructure. As such, we consider that the Regime should impose obligations on non-carrier infrastructure providers to provide access to facilities on request, not simply those related to carriers. </w:t>
      </w:r>
    </w:p>
    <w:p w14:paraId="71AC5470" w14:textId="77777777" w:rsidR="00750D7B" w:rsidRDefault="00750D7B" w:rsidP="00750D7B">
      <w:pPr>
        <w:pStyle w:val="BodyText1"/>
        <w:rPr>
          <w:rFonts w:asciiTheme="minorHAnsi" w:eastAsiaTheme="minorEastAsia" w:hAnsiTheme="minorHAnsi" w:cstheme="minorHAnsi"/>
          <w:color w:val="auto"/>
          <w:lang w:eastAsia="en-AU"/>
        </w:rPr>
      </w:pPr>
      <w:r>
        <w:rPr>
          <w:rFonts w:asciiTheme="minorHAnsi" w:eastAsiaTheme="minorEastAsia" w:hAnsiTheme="minorHAnsi" w:cstheme="minorHAnsi"/>
          <w:color w:val="auto"/>
          <w:lang w:eastAsia="en-AU"/>
        </w:rPr>
        <w:t xml:space="preserve">If you have any questions regarding this submission, please do not hesitate to contact me. </w:t>
      </w:r>
    </w:p>
    <w:p w14:paraId="7B303895" w14:textId="77777777" w:rsidR="00750D7B" w:rsidRDefault="00750D7B" w:rsidP="00750D7B">
      <w:pPr>
        <w:pStyle w:val="BodyText1"/>
        <w:rPr>
          <w:rFonts w:asciiTheme="minorHAnsi" w:eastAsiaTheme="minorEastAsia" w:hAnsiTheme="minorHAnsi" w:cstheme="minorHAnsi"/>
          <w:color w:val="auto"/>
          <w:lang w:eastAsia="en-AU"/>
        </w:rPr>
      </w:pPr>
      <w:r>
        <w:rPr>
          <w:rFonts w:asciiTheme="minorHAnsi" w:eastAsiaTheme="minorEastAsia" w:hAnsiTheme="minorHAnsi" w:cstheme="minorHAnsi"/>
          <w:color w:val="auto"/>
          <w:lang w:eastAsia="en-AU"/>
        </w:rPr>
        <w:t>Yours sincerely,</w:t>
      </w:r>
    </w:p>
    <w:p w14:paraId="03F7B2A1" w14:textId="491A3DB5" w:rsidR="00750D7B" w:rsidRDefault="001B5A10" w:rsidP="00750D7B">
      <w:pPr>
        <w:pStyle w:val="BodyText1"/>
        <w:spacing w:after="0"/>
        <w:rPr>
          <w:rFonts w:asciiTheme="minorHAnsi" w:eastAsiaTheme="minorEastAsia" w:hAnsiTheme="minorHAnsi" w:cstheme="minorHAnsi"/>
          <w:color w:val="auto"/>
          <w:lang w:eastAsia="en-AU"/>
        </w:rPr>
      </w:pPr>
      <w:r>
        <w:rPr>
          <w:rFonts w:asciiTheme="minorHAnsi" w:eastAsiaTheme="minorEastAsia" w:hAnsiTheme="minorHAnsi" w:cstheme="minorHAnsi"/>
          <w:color w:val="auto"/>
          <w:lang w:eastAsia="en-AU"/>
        </w:rPr>
        <w:t>Andrew Williams</w:t>
      </w:r>
    </w:p>
    <w:bookmarkEnd w:id="1"/>
    <w:p w14:paraId="1BF5B0BC" w14:textId="7C94DE3A" w:rsidR="00AE6DEC" w:rsidRPr="000E0C83" w:rsidRDefault="001B5A10" w:rsidP="000E0C83">
      <w:pPr>
        <w:pStyle w:val="BodyText1"/>
        <w:spacing w:after="0"/>
        <w:rPr>
          <w:rFonts w:asciiTheme="minorHAnsi" w:eastAsiaTheme="minorEastAsia" w:hAnsiTheme="minorHAnsi" w:cstheme="minorHAnsi"/>
          <w:color w:val="auto"/>
          <w:lang w:eastAsia="en-AU"/>
        </w:rPr>
      </w:pPr>
      <w:r>
        <w:rPr>
          <w:rFonts w:asciiTheme="minorHAnsi" w:eastAsiaTheme="minorEastAsia" w:hAnsiTheme="minorHAnsi" w:cstheme="minorHAnsi"/>
          <w:color w:val="auto"/>
          <w:lang w:eastAsia="en-AU"/>
        </w:rPr>
        <w:t>Chief Executive Officer</w:t>
      </w:r>
    </w:p>
    <w:p w14:paraId="3B89E8CD" w14:textId="77777777" w:rsidR="00DC13F4" w:rsidRDefault="00BA4AB0" w:rsidP="008302FB">
      <w:pPr>
        <w:pStyle w:val="FundingAcknowledgement"/>
      </w:pPr>
      <w:r w:rsidRPr="006C7432">
        <w:t xml:space="preserve">The Australian Communications Consumer </w:t>
      </w:r>
      <w:r w:rsidRPr="00A44854">
        <w:t>Action</w:t>
      </w:r>
      <w:r w:rsidRPr="006C7432">
        <w:t xml:space="preserve"> Network (ACCAN) is Australia’s peak communication consumer </w:t>
      </w:r>
      <w:proofErr w:type="spellStart"/>
      <w:r w:rsidRPr="006C7432">
        <w:t>organisation</w:t>
      </w:r>
      <w:proofErr w:type="spellEnd"/>
      <w:r w:rsidRPr="006C7432">
        <w:t xml:space="preserve">. The operation of ACCAN is made possible by funding </w:t>
      </w:r>
      <w:r w:rsidRPr="00A44854">
        <w:t>provided</w:t>
      </w:r>
      <w:r w:rsidRPr="006C7432">
        <w:t xml:space="preserve"> by the Commonwealth of Australia under section 593 of the Telecommunications Act 1997. This funding is recovered from charges on telecommunications carriers.</w:t>
      </w:r>
    </w:p>
    <w:sectPr w:rsidR="00DC13F4" w:rsidSect="00472A35">
      <w:headerReference w:type="default" r:id="rId23"/>
      <w:footerReference w:type="default" r:id="rId24"/>
      <w:footerReference w:type="first" r:id="rId25"/>
      <w:pgSz w:w="11906" w:h="16838"/>
      <w:pgMar w:top="1418" w:right="1440" w:bottom="709" w:left="1440" w:header="454"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33C45D" w14:textId="77777777" w:rsidR="00363BD0" w:rsidRDefault="00363BD0">
      <w:pPr>
        <w:spacing w:after="0" w:line="240" w:lineRule="auto"/>
      </w:pPr>
      <w:r>
        <w:separator/>
      </w:r>
    </w:p>
  </w:endnote>
  <w:endnote w:type="continuationSeparator" w:id="0">
    <w:p w14:paraId="039C6804" w14:textId="77777777" w:rsidR="00363BD0" w:rsidRDefault="00363BD0">
      <w:pPr>
        <w:spacing w:after="0" w:line="240" w:lineRule="auto"/>
      </w:pPr>
      <w:r>
        <w:continuationSeparator/>
      </w:r>
    </w:p>
  </w:endnote>
  <w:endnote w:type="continuationNotice" w:id="1">
    <w:p w14:paraId="4C30DF2C" w14:textId="77777777" w:rsidR="00363BD0" w:rsidRDefault="00363BD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A61D9D5-C5FE-4529-9A07-913F32E4EE75}"/>
    <w:embedBold r:id="rId2" w:fontKey="{33A7A52C-C2E3-4B72-86A3-0C0D4651CD00}"/>
    <w:embedItalic r:id="rId3" w:fontKey="{669DAF25-D6F0-4E82-BCF4-5D8104F81A38}"/>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BBD0F88D-310C-442A-9BBE-3CD4FA16DF1A}"/>
  </w:font>
  <w:font w:name="Gotham">
    <w:panose1 w:val="02000604040000020004"/>
    <w:charset w:val="00"/>
    <w:family w:val="auto"/>
    <w:pitch w:val="variable"/>
    <w:sig w:usb0="800000A7" w:usb1="00000000" w:usb2="00000000" w:usb3="00000000" w:csb0="00000009" w:csb1="00000000"/>
    <w:embedBold r:id="rId5" w:fontKey="{1ACE1AC3-E048-4C36-AB81-F038E4632441}"/>
    <w:embedBoldItalic r:id="rId6" w:fontKey="{FED615B3-5DD5-4651-A6FE-53163EDC8599}"/>
  </w:font>
  <w:font w:name="Gotham Black">
    <w:altName w:val="Calibri"/>
    <w:panose1 w:val="02000603040000020004"/>
    <w:charset w:val="00"/>
    <w:family w:val="auto"/>
    <w:pitch w:val="variable"/>
    <w:sig w:usb0="A00000AF" w:usb1="40000048" w:usb2="00000000" w:usb3="00000000" w:csb0="00000111" w:csb1="00000000"/>
    <w:embedRegular r:id="rId7" w:fontKey="{1D7CBCD7-7DE0-4D6F-B070-FC2F9440B1D4}"/>
  </w:font>
  <w:font w:name="CIDFont+F1">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8" w:fontKey="{F182CBE6-52DA-4E87-B251-8D6C66E490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otham" w:hAnsi="Gotham"/>
        <w:b/>
        <w:bCs/>
        <w:sz w:val="20"/>
        <w:szCs w:val="20"/>
      </w:rPr>
      <w:id w:val="-1113674512"/>
      <w:docPartObj>
        <w:docPartGallery w:val="Page Numbers (Bottom of Page)"/>
        <w:docPartUnique/>
      </w:docPartObj>
    </w:sdtPr>
    <w:sdtEndPr>
      <w:rPr>
        <w:rStyle w:val="Letterhead1Char"/>
        <w:spacing w:val="8"/>
      </w:rPr>
    </w:sdtEndPr>
    <w:sdtContent>
      <w:p w14:paraId="3CBAB330" w14:textId="77777777" w:rsidR="00200982" w:rsidRPr="009236CD" w:rsidRDefault="0088720C" w:rsidP="0088720C">
        <w:pPr>
          <w:jc w:val="right"/>
          <w:rPr>
            <w:rStyle w:val="Letterhead1Char"/>
          </w:rPr>
        </w:pPr>
        <w:r w:rsidRPr="009236CD">
          <w:rPr>
            <w:rStyle w:val="Letterhead1Char"/>
          </w:rPr>
          <w:fldChar w:fldCharType="begin"/>
        </w:r>
        <w:r w:rsidRPr="009236CD">
          <w:rPr>
            <w:rStyle w:val="Letterhead1Char"/>
          </w:rPr>
          <w:instrText xml:space="preserve"> PAGE   \* MERGEFORMAT </w:instrText>
        </w:r>
        <w:r w:rsidRPr="009236CD">
          <w:rPr>
            <w:rStyle w:val="Letterhead1Char"/>
          </w:rPr>
          <w:fldChar w:fldCharType="separate"/>
        </w:r>
        <w:r w:rsidRPr="009236CD">
          <w:rPr>
            <w:rStyle w:val="Letterhead1Char"/>
          </w:rPr>
          <w:t>1</w:t>
        </w:r>
        <w:r w:rsidRPr="009236CD">
          <w:rPr>
            <w:rStyle w:val="Letterhead1Char"/>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2536057"/>
      <w:docPartObj>
        <w:docPartGallery w:val="Page Numbers (Bottom of Page)"/>
        <w:docPartUnique/>
      </w:docPartObj>
    </w:sdtPr>
    <w:sdtEndPr/>
    <w:sdtContent>
      <w:p w14:paraId="7D883669" w14:textId="77777777" w:rsidR="00D560F9" w:rsidRPr="00A72DB0" w:rsidRDefault="00D560F9" w:rsidP="009236CD">
        <w:pPr>
          <w:pStyle w:val="Letterhead1"/>
        </w:pPr>
        <w:r w:rsidRPr="00A72DB0">
          <w:fldChar w:fldCharType="begin"/>
        </w:r>
        <w:r w:rsidRPr="00A72DB0">
          <w:instrText xml:space="preserve"> PAGE   \* MERGEFORMAT </w:instrText>
        </w:r>
        <w:r w:rsidRPr="00A72DB0">
          <w:fldChar w:fldCharType="separate"/>
        </w:r>
        <w:r w:rsidRPr="00A72DB0">
          <w:t>2</w:t>
        </w:r>
        <w:r w:rsidRPr="00A72DB0">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021AE9" w14:textId="77777777" w:rsidR="00363BD0" w:rsidRDefault="00363BD0">
      <w:pPr>
        <w:spacing w:after="0" w:line="240" w:lineRule="auto"/>
      </w:pPr>
      <w:r>
        <w:separator/>
      </w:r>
    </w:p>
  </w:footnote>
  <w:footnote w:type="continuationSeparator" w:id="0">
    <w:p w14:paraId="59137194" w14:textId="77777777" w:rsidR="00363BD0" w:rsidRDefault="00363BD0">
      <w:pPr>
        <w:spacing w:after="0" w:line="240" w:lineRule="auto"/>
      </w:pPr>
      <w:r>
        <w:continuationSeparator/>
      </w:r>
    </w:p>
  </w:footnote>
  <w:footnote w:type="continuationNotice" w:id="1">
    <w:p w14:paraId="442249C6" w14:textId="77777777" w:rsidR="00363BD0" w:rsidRDefault="00363BD0">
      <w:pPr>
        <w:spacing w:after="0" w:line="240" w:lineRule="auto"/>
      </w:pPr>
    </w:p>
  </w:footnote>
  <w:footnote w:id="2">
    <w:p w14:paraId="7205BC2E" w14:textId="77777777" w:rsidR="00750D7B" w:rsidRPr="00682D18" w:rsidRDefault="00750D7B" w:rsidP="00750D7B">
      <w:pPr>
        <w:pStyle w:val="FootnoteText"/>
        <w:rPr>
          <w:i/>
          <w:iCs/>
          <w:lang w:val="en-US"/>
        </w:rPr>
      </w:pPr>
      <w:r>
        <w:rPr>
          <w:rStyle w:val="FootnoteReference"/>
        </w:rPr>
        <w:footnoteRef/>
      </w:r>
      <w:r>
        <w:t xml:space="preserve"> </w:t>
      </w:r>
      <w:r>
        <w:rPr>
          <w:lang w:val="en-US"/>
        </w:rPr>
        <w:t xml:space="preserve">ACCAN, 2018, </w:t>
      </w:r>
      <w:r w:rsidRPr="00682D18">
        <w:rPr>
          <w:i/>
          <w:iCs/>
          <w:lang w:val="en-US"/>
        </w:rPr>
        <w:t>ACCAN Submission to ACCC’s Facilities Access Code Consultation</w:t>
      </w:r>
      <w:r>
        <w:rPr>
          <w:lang w:val="en-US"/>
        </w:rPr>
        <w:t>,</w:t>
      </w:r>
      <w:r w:rsidRPr="00682D18">
        <w:rPr>
          <w:lang w:val="en-US"/>
        </w:rPr>
        <w:t xml:space="preserve"> </w:t>
      </w:r>
      <w:hyperlink r:id="rId1" w:history="1">
        <w:r w:rsidRPr="00682D18">
          <w:rPr>
            <w:rStyle w:val="Hyperlink"/>
            <w:lang w:val="en-US"/>
          </w:rPr>
          <w:t>https://www.accc.gov.au/system/files/ACCAN%20-%20submission%20to%20the%20FAC%20discussion%20paper%20-%20September%202018.pdf</w:t>
        </w:r>
      </w:hyperlink>
      <w:r>
        <w:rPr>
          <w:i/>
          <w:iCs/>
          <w:lang w:val="en-US"/>
        </w:rPr>
        <w:t xml:space="preserve"> </w:t>
      </w:r>
    </w:p>
  </w:footnote>
  <w:footnote w:id="3">
    <w:p w14:paraId="61112E4A" w14:textId="77777777" w:rsidR="00750D7B" w:rsidRPr="00F12F10" w:rsidRDefault="00750D7B" w:rsidP="00750D7B">
      <w:pPr>
        <w:pStyle w:val="FootnoteText"/>
        <w:rPr>
          <w:lang w:val="en-US"/>
        </w:rPr>
      </w:pPr>
      <w:r>
        <w:rPr>
          <w:rStyle w:val="FootnoteReference"/>
        </w:rPr>
        <w:footnoteRef/>
      </w:r>
      <w:r>
        <w:t xml:space="preserve"> </w:t>
      </w:r>
      <w:r>
        <w:rPr>
          <w:lang w:val="en-US"/>
        </w:rPr>
        <w:t>Pearce, R. 2020, “Telstra unveils biggest asset restructure since privatisation”, Communications Day, 13</w:t>
      </w:r>
      <w:r w:rsidRPr="008B66C2">
        <w:rPr>
          <w:vertAlign w:val="superscript"/>
          <w:lang w:val="en-US"/>
        </w:rPr>
        <w:t>th</w:t>
      </w:r>
      <w:r>
        <w:rPr>
          <w:lang w:val="en-US"/>
        </w:rPr>
        <w:t xml:space="preserve"> November 2020</w:t>
      </w:r>
    </w:p>
  </w:footnote>
  <w:footnote w:id="4">
    <w:p w14:paraId="6B29B734" w14:textId="77777777" w:rsidR="00750D7B" w:rsidRPr="00B66C71" w:rsidRDefault="00750D7B" w:rsidP="00750D7B">
      <w:pPr>
        <w:pStyle w:val="FootnoteText"/>
        <w:rPr>
          <w:i/>
          <w:iCs/>
          <w:lang w:val="en-US"/>
        </w:rPr>
      </w:pPr>
      <w:r>
        <w:rPr>
          <w:rStyle w:val="FootnoteReference"/>
        </w:rPr>
        <w:footnoteRef/>
      </w:r>
      <w:r>
        <w:t xml:space="preserve"> </w:t>
      </w:r>
      <w:r>
        <w:rPr>
          <w:lang w:val="en-US"/>
        </w:rPr>
        <w:t xml:space="preserve">ACCC, 2021, </w:t>
      </w:r>
      <w:r>
        <w:rPr>
          <w:i/>
          <w:iCs/>
          <w:lang w:val="en-US"/>
        </w:rPr>
        <w:t>Mobile Infrastructure Report.</w:t>
      </w:r>
      <w:r>
        <w:rPr>
          <w:lang w:val="en-US"/>
        </w:rPr>
        <w:t xml:space="preserve"> </w:t>
      </w:r>
      <w:hyperlink r:id="rId2" w:history="1">
        <w:r w:rsidRPr="00E05FDD">
          <w:rPr>
            <w:rStyle w:val="Hyperlink"/>
            <w:lang w:val="en-US"/>
          </w:rPr>
          <w:t>https://www.accc.gov.au/system/files/Mobile%20Infrastructure%20Report%202021.pdf</w:t>
        </w:r>
      </w:hyperlink>
      <w:r>
        <w:rPr>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930BB" w14:textId="77777777" w:rsidR="00200982" w:rsidRPr="00AD3EFC" w:rsidRDefault="00AD3EFC" w:rsidP="00CB1B60">
    <w:pPr>
      <w:pStyle w:val="Letterhead2"/>
    </w:pPr>
    <w:r>
      <w:rPr>
        <w:noProof/>
      </w:rPr>
      <w:drawing>
        <wp:anchor distT="0" distB="0" distL="114300" distR="114300" simplePos="0" relativeHeight="251658240" behindDoc="0" locked="0" layoutInCell="1" allowOverlap="1" wp14:anchorId="4EE48F70" wp14:editId="315F99F3">
          <wp:simplePos x="0" y="0"/>
          <wp:positionH relativeFrom="column">
            <wp:posOffset>-4445</wp:posOffset>
          </wp:positionH>
          <wp:positionV relativeFrom="page">
            <wp:posOffset>224790</wp:posOffset>
          </wp:positionV>
          <wp:extent cx="777240" cy="335915"/>
          <wp:effectExtent l="0" t="0" r="3810" b="6985"/>
          <wp:wrapSquare wrapText="bothSides"/>
          <wp:docPr id="12" name="Picture 12" descr="ACCAN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7" descr="ACCAN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 cy="335915"/>
                  </a:xfrm>
                  <a:prstGeom prst="rect">
                    <a:avLst/>
                  </a:prstGeom>
                  <a:noFill/>
                </pic:spPr>
              </pic:pic>
            </a:graphicData>
          </a:graphic>
          <wp14:sizeRelH relativeFrom="margin">
            <wp14:pctWidth>0</wp14:pctWidth>
          </wp14:sizeRelH>
          <wp14:sizeRelV relativeFrom="margin">
            <wp14:pctHeight>0</wp14:pctHeight>
          </wp14:sizeRelV>
        </wp:anchor>
      </w:drawing>
    </w:r>
    <w:r>
      <w:t xml:space="preserve">   Your </w:t>
    </w:r>
    <w:r w:rsidRPr="00CF0438">
      <w:t>consumer</w:t>
    </w:r>
    <w:r>
      <w:t xml:space="preserve"> voice on phones and internet</w:t>
    </w:r>
    <w:r>
      <w:rPr>
        <w:noProof/>
      </w:rPr>
      <mc:AlternateContent>
        <mc:Choice Requires="wps">
          <w:drawing>
            <wp:anchor distT="0" distB="0" distL="114300" distR="114300" simplePos="0" relativeHeight="251658241" behindDoc="1" locked="0" layoutInCell="1" allowOverlap="1" wp14:anchorId="3BA1C616" wp14:editId="4839066B">
              <wp:simplePos x="0" y="0"/>
              <wp:positionH relativeFrom="column">
                <wp:posOffset>-574675</wp:posOffset>
              </wp:positionH>
              <wp:positionV relativeFrom="page">
                <wp:posOffset>694055</wp:posOffset>
              </wp:positionV>
              <wp:extent cx="6894195" cy="46990"/>
              <wp:effectExtent l="0" t="0" r="1905" b="0"/>
              <wp:wrapNone/>
              <wp:docPr id="1" name="Rectangle 1"/>
              <wp:cNvGraphicFramePr/>
              <a:graphic xmlns:a="http://schemas.openxmlformats.org/drawingml/2006/main">
                <a:graphicData uri="http://schemas.microsoft.com/office/word/2010/wordprocessingShape">
                  <wps:wsp>
                    <wps:cNvSpPr/>
                    <wps:spPr>
                      <a:xfrm>
                        <a:off x="0" y="0"/>
                        <a:ext cx="6893560" cy="4635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BEF300F" id="Rectangle 1" o:spid="_x0000_s1026" style="position:absolute;margin-left:-45.25pt;margin-top:54.65pt;width:542.85pt;height:3.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" fillcolor="#43c7f4" stroked="f" strokeweight="2pt">
              <w10:wrap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40A57"/>
    <w:multiLevelType w:val="hybridMultilevel"/>
    <w:tmpl w:val="A7A27E06"/>
    <w:lvl w:ilvl="0" w:tplc="0C090001">
      <w:start w:val="1"/>
      <w:numFmt w:val="bullet"/>
      <w:lvlText w:val=""/>
      <w:lvlJc w:val="left"/>
      <w:pPr>
        <w:ind w:left="1288" w:hanging="360"/>
      </w:pPr>
      <w:rPr>
        <w:rFonts w:ascii="Symbol" w:hAnsi="Symbol" w:hint="default"/>
      </w:rPr>
    </w:lvl>
    <w:lvl w:ilvl="1" w:tplc="0C090003" w:tentative="1">
      <w:start w:val="1"/>
      <w:numFmt w:val="bullet"/>
      <w:lvlText w:val="o"/>
      <w:lvlJc w:val="left"/>
      <w:pPr>
        <w:ind w:left="2008" w:hanging="360"/>
      </w:pPr>
      <w:rPr>
        <w:rFonts w:ascii="Courier New" w:hAnsi="Courier New" w:cs="Courier New" w:hint="default"/>
      </w:rPr>
    </w:lvl>
    <w:lvl w:ilvl="2" w:tplc="0C090005" w:tentative="1">
      <w:start w:val="1"/>
      <w:numFmt w:val="bullet"/>
      <w:lvlText w:val=""/>
      <w:lvlJc w:val="left"/>
      <w:pPr>
        <w:ind w:left="2728" w:hanging="360"/>
      </w:pPr>
      <w:rPr>
        <w:rFonts w:ascii="Wingdings" w:hAnsi="Wingdings" w:hint="default"/>
      </w:rPr>
    </w:lvl>
    <w:lvl w:ilvl="3" w:tplc="0C090001" w:tentative="1">
      <w:start w:val="1"/>
      <w:numFmt w:val="bullet"/>
      <w:lvlText w:val=""/>
      <w:lvlJc w:val="left"/>
      <w:pPr>
        <w:ind w:left="3448" w:hanging="360"/>
      </w:pPr>
      <w:rPr>
        <w:rFonts w:ascii="Symbol" w:hAnsi="Symbol" w:hint="default"/>
      </w:rPr>
    </w:lvl>
    <w:lvl w:ilvl="4" w:tplc="0C090003" w:tentative="1">
      <w:start w:val="1"/>
      <w:numFmt w:val="bullet"/>
      <w:lvlText w:val="o"/>
      <w:lvlJc w:val="left"/>
      <w:pPr>
        <w:ind w:left="4168" w:hanging="360"/>
      </w:pPr>
      <w:rPr>
        <w:rFonts w:ascii="Courier New" w:hAnsi="Courier New" w:cs="Courier New" w:hint="default"/>
      </w:rPr>
    </w:lvl>
    <w:lvl w:ilvl="5" w:tplc="0C090005" w:tentative="1">
      <w:start w:val="1"/>
      <w:numFmt w:val="bullet"/>
      <w:lvlText w:val=""/>
      <w:lvlJc w:val="left"/>
      <w:pPr>
        <w:ind w:left="4888" w:hanging="360"/>
      </w:pPr>
      <w:rPr>
        <w:rFonts w:ascii="Wingdings" w:hAnsi="Wingdings" w:hint="default"/>
      </w:rPr>
    </w:lvl>
    <w:lvl w:ilvl="6" w:tplc="0C090001" w:tentative="1">
      <w:start w:val="1"/>
      <w:numFmt w:val="bullet"/>
      <w:lvlText w:val=""/>
      <w:lvlJc w:val="left"/>
      <w:pPr>
        <w:ind w:left="5608" w:hanging="360"/>
      </w:pPr>
      <w:rPr>
        <w:rFonts w:ascii="Symbol" w:hAnsi="Symbol" w:hint="default"/>
      </w:rPr>
    </w:lvl>
    <w:lvl w:ilvl="7" w:tplc="0C090003" w:tentative="1">
      <w:start w:val="1"/>
      <w:numFmt w:val="bullet"/>
      <w:lvlText w:val="o"/>
      <w:lvlJc w:val="left"/>
      <w:pPr>
        <w:ind w:left="6328" w:hanging="360"/>
      </w:pPr>
      <w:rPr>
        <w:rFonts w:ascii="Courier New" w:hAnsi="Courier New" w:cs="Courier New" w:hint="default"/>
      </w:rPr>
    </w:lvl>
    <w:lvl w:ilvl="8" w:tplc="0C090005" w:tentative="1">
      <w:start w:val="1"/>
      <w:numFmt w:val="bullet"/>
      <w:lvlText w:val=""/>
      <w:lvlJc w:val="left"/>
      <w:pPr>
        <w:ind w:left="7048" w:hanging="360"/>
      </w:pPr>
      <w:rPr>
        <w:rFonts w:ascii="Wingdings" w:hAnsi="Wingdings" w:hint="default"/>
      </w:rPr>
    </w:lvl>
  </w:abstractNum>
  <w:abstractNum w:abstractNumId="1" w15:restartNumberingAfterBreak="0">
    <w:nsid w:val="155504ED"/>
    <w:multiLevelType w:val="hybridMultilevel"/>
    <w:tmpl w:val="D444E978"/>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 w15:restartNumberingAfterBreak="0">
    <w:nsid w:val="1A4F73F1"/>
    <w:multiLevelType w:val="hybridMultilevel"/>
    <w:tmpl w:val="68D092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03A1586"/>
    <w:multiLevelType w:val="hybridMultilevel"/>
    <w:tmpl w:val="F676B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2DB61A9"/>
    <w:multiLevelType w:val="hybridMultilevel"/>
    <w:tmpl w:val="9AF41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344104C"/>
    <w:multiLevelType w:val="hybridMultilevel"/>
    <w:tmpl w:val="D1148F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9CA6F09"/>
    <w:multiLevelType w:val="hybridMultilevel"/>
    <w:tmpl w:val="E276689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2B617668"/>
    <w:multiLevelType w:val="hybridMultilevel"/>
    <w:tmpl w:val="9DC8A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C4F0862"/>
    <w:multiLevelType w:val="multilevel"/>
    <w:tmpl w:val="6AFEEB4C"/>
    <w:styleLink w:val="Bullets"/>
    <w:lvl w:ilvl="0">
      <w:start w:val="1"/>
      <w:numFmt w:val="bullet"/>
      <w:pStyle w:val="Bulletlist1"/>
      <w:lvlText w:val=""/>
      <w:lvlJc w:val="left"/>
      <w:pPr>
        <w:ind w:left="851" w:hanging="284"/>
      </w:pPr>
      <w:rPr>
        <w:rFonts w:ascii="Symbol" w:hAnsi="Symbol" w:hint="default"/>
      </w:rPr>
    </w:lvl>
    <w:lvl w:ilvl="1">
      <w:start w:val="1"/>
      <w:numFmt w:val="bullet"/>
      <w:pStyle w:val="Bulletlist2"/>
      <w:lvlText w:val=""/>
      <w:lvlJc w:val="left"/>
      <w:pPr>
        <w:ind w:left="1277" w:hanging="284"/>
      </w:pPr>
      <w:rPr>
        <w:rFonts w:ascii="Symbol" w:hAnsi="Symbol" w:hint="default"/>
      </w:rPr>
    </w:lvl>
    <w:lvl w:ilvl="2">
      <w:start w:val="1"/>
      <w:numFmt w:val="bullet"/>
      <w:pStyle w:val="Bulletlist3"/>
      <w:lvlText w:val=""/>
      <w:lvlJc w:val="left"/>
      <w:pPr>
        <w:ind w:left="1985" w:hanging="284"/>
      </w:pPr>
      <w:rPr>
        <w:rFonts w:ascii="Symbol" w:hAnsi="Symbol" w:hint="default"/>
        <w:color w:val="auto"/>
      </w:rPr>
    </w:lvl>
    <w:lvl w:ilvl="3">
      <w:start w:val="1"/>
      <w:numFmt w:val="bullet"/>
      <w:lvlText w:val=""/>
      <w:lvlJc w:val="left"/>
      <w:pPr>
        <w:ind w:left="2552" w:hanging="284"/>
      </w:pPr>
      <w:rPr>
        <w:rFonts w:ascii="Symbol" w:hAnsi="Symbol" w:hint="default"/>
      </w:rPr>
    </w:lvl>
    <w:lvl w:ilvl="4">
      <w:start w:val="1"/>
      <w:numFmt w:val="bullet"/>
      <w:lvlText w:val=""/>
      <w:lvlJc w:val="left"/>
      <w:pPr>
        <w:ind w:left="3119" w:hanging="284"/>
      </w:pPr>
      <w:rPr>
        <w:rFonts w:ascii="Symbol" w:hAnsi="Symbol" w:hint="default"/>
      </w:rPr>
    </w:lvl>
    <w:lvl w:ilvl="5">
      <w:start w:val="1"/>
      <w:numFmt w:val="bullet"/>
      <w:lvlText w:val=""/>
      <w:lvlJc w:val="left"/>
      <w:pPr>
        <w:ind w:left="3686" w:hanging="284"/>
      </w:pPr>
      <w:rPr>
        <w:rFonts w:ascii="Symbol" w:hAnsi="Symbol" w:hint="default"/>
      </w:rPr>
    </w:lvl>
    <w:lvl w:ilvl="6">
      <w:start w:val="1"/>
      <w:numFmt w:val="bullet"/>
      <w:lvlText w:val=""/>
      <w:lvlJc w:val="left"/>
      <w:pPr>
        <w:ind w:left="4253" w:hanging="284"/>
      </w:pPr>
      <w:rPr>
        <w:rFonts w:ascii="Symbol" w:hAnsi="Symbol" w:hint="default"/>
      </w:rPr>
    </w:lvl>
    <w:lvl w:ilvl="7">
      <w:start w:val="1"/>
      <w:numFmt w:val="bullet"/>
      <w:lvlText w:val=""/>
      <w:lvlJc w:val="left"/>
      <w:pPr>
        <w:ind w:left="4820" w:hanging="284"/>
      </w:pPr>
      <w:rPr>
        <w:rFonts w:ascii="Symbol" w:hAnsi="Symbol" w:hint="default"/>
      </w:rPr>
    </w:lvl>
    <w:lvl w:ilvl="8">
      <w:start w:val="1"/>
      <w:numFmt w:val="bullet"/>
      <w:lvlText w:val=""/>
      <w:lvlJc w:val="left"/>
      <w:pPr>
        <w:ind w:left="5387" w:hanging="284"/>
      </w:pPr>
      <w:rPr>
        <w:rFonts w:ascii="Symbol" w:hAnsi="Symbol" w:hint="default"/>
      </w:rPr>
    </w:lvl>
  </w:abstractNum>
  <w:abstractNum w:abstractNumId="9" w15:restartNumberingAfterBreak="0">
    <w:nsid w:val="30EA3AFD"/>
    <w:multiLevelType w:val="hybridMultilevel"/>
    <w:tmpl w:val="7C0C4234"/>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0" w15:restartNumberingAfterBreak="0">
    <w:nsid w:val="337C5FB2"/>
    <w:multiLevelType w:val="multilevel"/>
    <w:tmpl w:val="6AFEEB4C"/>
    <w:numStyleLink w:val="Bullets"/>
  </w:abstractNum>
  <w:abstractNum w:abstractNumId="11" w15:restartNumberingAfterBreak="0">
    <w:nsid w:val="35F41370"/>
    <w:multiLevelType w:val="multilevel"/>
    <w:tmpl w:val="9384D0D8"/>
    <w:styleLink w:val="Recommendations"/>
    <w:lvl w:ilvl="0">
      <w:start w:val="1"/>
      <w:numFmt w:val="decimal"/>
      <w:pStyle w:val="Recommendation"/>
      <w:lvlText w:val="Recommendation %1:"/>
      <w:lvlJc w:val="left"/>
      <w:pPr>
        <w:ind w:left="851" w:firstLine="0"/>
      </w:pPr>
      <w:rPr>
        <w:rFonts w:hint="default"/>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12" w15:restartNumberingAfterBreak="0">
    <w:nsid w:val="364709A3"/>
    <w:multiLevelType w:val="hybridMultilevel"/>
    <w:tmpl w:val="A0F45848"/>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13" w15:restartNumberingAfterBreak="0">
    <w:nsid w:val="3DCA3F08"/>
    <w:multiLevelType w:val="hybridMultilevel"/>
    <w:tmpl w:val="C72C623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3EC82FE8"/>
    <w:multiLevelType w:val="hybridMultilevel"/>
    <w:tmpl w:val="A198BA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3F877273"/>
    <w:multiLevelType w:val="hybridMultilevel"/>
    <w:tmpl w:val="E7A416D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3FA72970"/>
    <w:multiLevelType w:val="hybridMultilevel"/>
    <w:tmpl w:val="F0EAFC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CA356FB"/>
    <w:multiLevelType w:val="hybridMultilevel"/>
    <w:tmpl w:val="69F66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D7725A1"/>
    <w:multiLevelType w:val="hybridMultilevel"/>
    <w:tmpl w:val="B5D08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7EA6FFA"/>
    <w:multiLevelType w:val="hybridMultilevel"/>
    <w:tmpl w:val="6954256C"/>
    <w:lvl w:ilvl="0" w:tplc="8832724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BB90838"/>
    <w:multiLevelType w:val="hybridMultilevel"/>
    <w:tmpl w:val="061A666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1" w15:restartNumberingAfterBreak="0">
    <w:nsid w:val="62E82CAA"/>
    <w:multiLevelType w:val="hybridMultilevel"/>
    <w:tmpl w:val="5906AF9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15:restartNumberingAfterBreak="0">
    <w:nsid w:val="64585F0D"/>
    <w:multiLevelType w:val="hybridMultilevel"/>
    <w:tmpl w:val="7C9E5324"/>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65C21CCC"/>
    <w:multiLevelType w:val="hybridMultilevel"/>
    <w:tmpl w:val="006C9E68"/>
    <w:lvl w:ilvl="0" w:tplc="DC484678">
      <w:start w:val="3"/>
      <w:numFmt w:val="bullet"/>
      <w:lvlText w:val=""/>
      <w:lvlJc w:val="left"/>
      <w:pPr>
        <w:ind w:left="720" w:hanging="360"/>
      </w:pPr>
      <w:rPr>
        <w:rFonts w:ascii="Symbol" w:eastAsiaTheme="min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6E411E9"/>
    <w:multiLevelType w:val="hybridMultilevel"/>
    <w:tmpl w:val="F042AC26"/>
    <w:lvl w:ilvl="0" w:tplc="B6CC44BA">
      <w:start w:val="2"/>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7921178"/>
    <w:multiLevelType w:val="hybridMultilevel"/>
    <w:tmpl w:val="C038B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A1C0B34"/>
    <w:multiLevelType w:val="hybridMultilevel"/>
    <w:tmpl w:val="945AB8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B002D2B"/>
    <w:multiLevelType w:val="hybridMultilevel"/>
    <w:tmpl w:val="330E1B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BA852CB"/>
    <w:multiLevelType w:val="hybridMultilevel"/>
    <w:tmpl w:val="E4366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F902C3C"/>
    <w:multiLevelType w:val="hybridMultilevel"/>
    <w:tmpl w:val="7DD85F7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0AE0A63"/>
    <w:multiLevelType w:val="hybridMultilevel"/>
    <w:tmpl w:val="632026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74F60C4"/>
    <w:multiLevelType w:val="hybridMultilevel"/>
    <w:tmpl w:val="186684D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2" w15:restartNumberingAfterBreak="0">
    <w:nsid w:val="7E4C05EC"/>
    <w:multiLevelType w:val="hybridMultilevel"/>
    <w:tmpl w:val="C256FC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297025575">
    <w:abstractNumId w:val="23"/>
  </w:num>
  <w:num w:numId="2" w16cid:durableId="1309937645">
    <w:abstractNumId w:val="16"/>
  </w:num>
  <w:num w:numId="3" w16cid:durableId="1363020806">
    <w:abstractNumId w:val="12"/>
  </w:num>
  <w:num w:numId="4" w16cid:durableId="239025159">
    <w:abstractNumId w:val="7"/>
  </w:num>
  <w:num w:numId="5" w16cid:durableId="2094617308">
    <w:abstractNumId w:val="0"/>
  </w:num>
  <w:num w:numId="6" w16cid:durableId="986864448">
    <w:abstractNumId w:val="28"/>
  </w:num>
  <w:num w:numId="7" w16cid:durableId="204946168">
    <w:abstractNumId w:val="2"/>
  </w:num>
  <w:num w:numId="8" w16cid:durableId="455099623">
    <w:abstractNumId w:val="21"/>
  </w:num>
  <w:num w:numId="9" w16cid:durableId="1137186840">
    <w:abstractNumId w:val="26"/>
  </w:num>
  <w:num w:numId="10" w16cid:durableId="777330096">
    <w:abstractNumId w:val="6"/>
  </w:num>
  <w:num w:numId="11" w16cid:durableId="1249999174">
    <w:abstractNumId w:val="30"/>
  </w:num>
  <w:num w:numId="12" w16cid:durableId="557977458">
    <w:abstractNumId w:val="9"/>
  </w:num>
  <w:num w:numId="13" w16cid:durableId="1941254348">
    <w:abstractNumId w:val="24"/>
  </w:num>
  <w:num w:numId="14" w16cid:durableId="906915118">
    <w:abstractNumId w:val="27"/>
  </w:num>
  <w:num w:numId="15" w16cid:durableId="1170877089">
    <w:abstractNumId w:val="19"/>
  </w:num>
  <w:num w:numId="16" w16cid:durableId="146635364">
    <w:abstractNumId w:val="15"/>
  </w:num>
  <w:num w:numId="17" w16cid:durableId="1411393860">
    <w:abstractNumId w:val="13"/>
  </w:num>
  <w:num w:numId="18" w16cid:durableId="654381262">
    <w:abstractNumId w:val="22"/>
  </w:num>
  <w:num w:numId="19" w16cid:durableId="226838686">
    <w:abstractNumId w:val="17"/>
  </w:num>
  <w:num w:numId="20" w16cid:durableId="480970995">
    <w:abstractNumId w:val="14"/>
  </w:num>
  <w:num w:numId="21" w16cid:durableId="1312520820">
    <w:abstractNumId w:val="32"/>
  </w:num>
  <w:num w:numId="22" w16cid:durableId="1253125788">
    <w:abstractNumId w:val="29"/>
  </w:num>
  <w:num w:numId="23" w16cid:durableId="699430088">
    <w:abstractNumId w:val="25"/>
  </w:num>
  <w:num w:numId="24" w16cid:durableId="351348626">
    <w:abstractNumId w:val="20"/>
  </w:num>
  <w:num w:numId="25" w16cid:durableId="1908613085">
    <w:abstractNumId w:val="3"/>
  </w:num>
  <w:num w:numId="26" w16cid:durableId="706226158">
    <w:abstractNumId w:val="5"/>
  </w:num>
  <w:num w:numId="27" w16cid:durableId="1278414560">
    <w:abstractNumId w:val="4"/>
  </w:num>
  <w:num w:numId="28" w16cid:durableId="758254510">
    <w:abstractNumId w:val="18"/>
  </w:num>
  <w:num w:numId="29" w16cid:durableId="473834808">
    <w:abstractNumId w:val="1"/>
  </w:num>
  <w:num w:numId="30" w16cid:durableId="1203983130">
    <w:abstractNumId w:val="31"/>
  </w:num>
  <w:num w:numId="31" w16cid:durableId="1014308645">
    <w:abstractNumId w:val="11"/>
    <w:lvlOverride w:ilvl="0">
      <w:lvl w:ilvl="0">
        <w:start w:val="1"/>
        <w:numFmt w:val="decimal"/>
        <w:pStyle w:val="Recommendation"/>
        <w:lvlText w:val="Recommendation %1:"/>
        <w:lvlJc w:val="left"/>
        <w:pPr>
          <w:ind w:left="851" w:firstLine="0"/>
        </w:pPr>
        <w:rPr>
          <w:rFonts w:hint="default"/>
          <w:b/>
          <w:bCs/>
        </w:rPr>
      </w:lvl>
    </w:lvlOverride>
  </w:num>
  <w:num w:numId="32" w16cid:durableId="1276209442">
    <w:abstractNumId w:val="11"/>
    <w:lvlOverride w:ilvl="0">
      <w:lvl w:ilvl="0">
        <w:start w:val="1"/>
        <w:numFmt w:val="decimal"/>
        <w:pStyle w:val="Recommendation"/>
        <w:lvlText w:val="Recommendation %1:"/>
        <w:lvlJc w:val="left"/>
        <w:pPr>
          <w:ind w:left="851" w:firstLine="0"/>
        </w:pPr>
        <w:rPr>
          <w:rFonts w:hint="default"/>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33" w16cid:durableId="2133592771">
    <w:abstractNumId w:val="8"/>
  </w:num>
  <w:num w:numId="34" w16cid:durableId="1705908320">
    <w:abstractNumId w:val="10"/>
  </w:num>
  <w:num w:numId="35" w16cid:durableId="2495120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504764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7DA1"/>
    <w:rsid w:val="00002592"/>
    <w:rsid w:val="00002A84"/>
    <w:rsid w:val="000039D9"/>
    <w:rsid w:val="00006849"/>
    <w:rsid w:val="00006C00"/>
    <w:rsid w:val="000130E1"/>
    <w:rsid w:val="00014E08"/>
    <w:rsid w:val="0001751C"/>
    <w:rsid w:val="00017FF5"/>
    <w:rsid w:val="00020140"/>
    <w:rsid w:val="0002144A"/>
    <w:rsid w:val="0002178D"/>
    <w:rsid w:val="00021EEE"/>
    <w:rsid w:val="00022392"/>
    <w:rsid w:val="00022D35"/>
    <w:rsid w:val="00024E5A"/>
    <w:rsid w:val="00025032"/>
    <w:rsid w:val="00025FC3"/>
    <w:rsid w:val="00031DE1"/>
    <w:rsid w:val="00032441"/>
    <w:rsid w:val="000341DA"/>
    <w:rsid w:val="000345B4"/>
    <w:rsid w:val="000362DE"/>
    <w:rsid w:val="00043833"/>
    <w:rsid w:val="00044434"/>
    <w:rsid w:val="0004526C"/>
    <w:rsid w:val="00052737"/>
    <w:rsid w:val="00052D56"/>
    <w:rsid w:val="000530BA"/>
    <w:rsid w:val="00053BD5"/>
    <w:rsid w:val="00056A12"/>
    <w:rsid w:val="00056D71"/>
    <w:rsid w:val="000576D9"/>
    <w:rsid w:val="00057A92"/>
    <w:rsid w:val="00061D64"/>
    <w:rsid w:val="00062A46"/>
    <w:rsid w:val="00063DD0"/>
    <w:rsid w:val="00066C39"/>
    <w:rsid w:val="00066CD4"/>
    <w:rsid w:val="00072C5D"/>
    <w:rsid w:val="00074521"/>
    <w:rsid w:val="00075C32"/>
    <w:rsid w:val="00077240"/>
    <w:rsid w:val="0008068C"/>
    <w:rsid w:val="000840C2"/>
    <w:rsid w:val="00086136"/>
    <w:rsid w:val="00086378"/>
    <w:rsid w:val="00090606"/>
    <w:rsid w:val="0009245D"/>
    <w:rsid w:val="000A0DE3"/>
    <w:rsid w:val="000A3806"/>
    <w:rsid w:val="000A3FBC"/>
    <w:rsid w:val="000A41A1"/>
    <w:rsid w:val="000A4520"/>
    <w:rsid w:val="000B11EF"/>
    <w:rsid w:val="000B2023"/>
    <w:rsid w:val="000B2C45"/>
    <w:rsid w:val="000B7682"/>
    <w:rsid w:val="000C231C"/>
    <w:rsid w:val="000C463F"/>
    <w:rsid w:val="000C5BAA"/>
    <w:rsid w:val="000C7431"/>
    <w:rsid w:val="000D17E4"/>
    <w:rsid w:val="000D18A2"/>
    <w:rsid w:val="000D3F85"/>
    <w:rsid w:val="000D5255"/>
    <w:rsid w:val="000D67CC"/>
    <w:rsid w:val="000D6C9F"/>
    <w:rsid w:val="000E0A5E"/>
    <w:rsid w:val="000E0C83"/>
    <w:rsid w:val="000E1593"/>
    <w:rsid w:val="000E2A17"/>
    <w:rsid w:val="000E5CAE"/>
    <w:rsid w:val="000E624D"/>
    <w:rsid w:val="000F0991"/>
    <w:rsid w:val="000F21D4"/>
    <w:rsid w:val="000F3349"/>
    <w:rsid w:val="000F3856"/>
    <w:rsid w:val="000F764C"/>
    <w:rsid w:val="00103999"/>
    <w:rsid w:val="00103DAC"/>
    <w:rsid w:val="00104DAD"/>
    <w:rsid w:val="00106AEC"/>
    <w:rsid w:val="00111F02"/>
    <w:rsid w:val="00113465"/>
    <w:rsid w:val="00113AE0"/>
    <w:rsid w:val="001217E2"/>
    <w:rsid w:val="001217FD"/>
    <w:rsid w:val="00121D47"/>
    <w:rsid w:val="00122DD1"/>
    <w:rsid w:val="00124F88"/>
    <w:rsid w:val="00125060"/>
    <w:rsid w:val="00126183"/>
    <w:rsid w:val="0012626F"/>
    <w:rsid w:val="0012636E"/>
    <w:rsid w:val="0012663D"/>
    <w:rsid w:val="001270D6"/>
    <w:rsid w:val="001275E7"/>
    <w:rsid w:val="00130E70"/>
    <w:rsid w:val="00132365"/>
    <w:rsid w:val="00134BAC"/>
    <w:rsid w:val="00135C01"/>
    <w:rsid w:val="00136E66"/>
    <w:rsid w:val="00137C51"/>
    <w:rsid w:val="00145394"/>
    <w:rsid w:val="00147139"/>
    <w:rsid w:val="00150873"/>
    <w:rsid w:val="001514F8"/>
    <w:rsid w:val="0015159F"/>
    <w:rsid w:val="00151EAB"/>
    <w:rsid w:val="001531E7"/>
    <w:rsid w:val="001537A7"/>
    <w:rsid w:val="001605C9"/>
    <w:rsid w:val="001617F8"/>
    <w:rsid w:val="00161B2B"/>
    <w:rsid w:val="001623E5"/>
    <w:rsid w:val="00163200"/>
    <w:rsid w:val="00163B56"/>
    <w:rsid w:val="00167714"/>
    <w:rsid w:val="0017083D"/>
    <w:rsid w:val="00171821"/>
    <w:rsid w:val="00172EA2"/>
    <w:rsid w:val="001730E0"/>
    <w:rsid w:val="001754ED"/>
    <w:rsid w:val="001766A1"/>
    <w:rsid w:val="001828D8"/>
    <w:rsid w:val="00185442"/>
    <w:rsid w:val="0019340F"/>
    <w:rsid w:val="00193DB9"/>
    <w:rsid w:val="0019461C"/>
    <w:rsid w:val="001948E0"/>
    <w:rsid w:val="0019567C"/>
    <w:rsid w:val="00196FE2"/>
    <w:rsid w:val="001A0171"/>
    <w:rsid w:val="001A2736"/>
    <w:rsid w:val="001A2BA5"/>
    <w:rsid w:val="001A3380"/>
    <w:rsid w:val="001A5738"/>
    <w:rsid w:val="001A5ACB"/>
    <w:rsid w:val="001A60E4"/>
    <w:rsid w:val="001A772D"/>
    <w:rsid w:val="001B0DED"/>
    <w:rsid w:val="001B4F92"/>
    <w:rsid w:val="001B5856"/>
    <w:rsid w:val="001B5A10"/>
    <w:rsid w:val="001B5FB2"/>
    <w:rsid w:val="001B63DD"/>
    <w:rsid w:val="001B6438"/>
    <w:rsid w:val="001C40D8"/>
    <w:rsid w:val="001C4264"/>
    <w:rsid w:val="001C672F"/>
    <w:rsid w:val="001D2405"/>
    <w:rsid w:val="001D5C22"/>
    <w:rsid w:val="001D6F9E"/>
    <w:rsid w:val="001D7A1B"/>
    <w:rsid w:val="001E1AE7"/>
    <w:rsid w:val="001E3CC3"/>
    <w:rsid w:val="001E7889"/>
    <w:rsid w:val="001F013B"/>
    <w:rsid w:val="001F3911"/>
    <w:rsid w:val="001F7374"/>
    <w:rsid w:val="001F77F6"/>
    <w:rsid w:val="0020028A"/>
    <w:rsid w:val="00200982"/>
    <w:rsid w:val="00207BED"/>
    <w:rsid w:val="00207EC8"/>
    <w:rsid w:val="00211174"/>
    <w:rsid w:val="002118F3"/>
    <w:rsid w:val="002140FC"/>
    <w:rsid w:val="0021413E"/>
    <w:rsid w:val="0021558D"/>
    <w:rsid w:val="002366E4"/>
    <w:rsid w:val="002412A0"/>
    <w:rsid w:val="002446C4"/>
    <w:rsid w:val="00244FE0"/>
    <w:rsid w:val="00245265"/>
    <w:rsid w:val="00251782"/>
    <w:rsid w:val="00252148"/>
    <w:rsid w:val="00252E5E"/>
    <w:rsid w:val="002567BC"/>
    <w:rsid w:val="0026030A"/>
    <w:rsid w:val="00260397"/>
    <w:rsid w:val="00261658"/>
    <w:rsid w:val="00261BA9"/>
    <w:rsid w:val="0026420E"/>
    <w:rsid w:val="0026652F"/>
    <w:rsid w:val="0026705E"/>
    <w:rsid w:val="0027168A"/>
    <w:rsid w:val="002718A5"/>
    <w:rsid w:val="00272512"/>
    <w:rsid w:val="00274126"/>
    <w:rsid w:val="00274E04"/>
    <w:rsid w:val="002767A3"/>
    <w:rsid w:val="00276F66"/>
    <w:rsid w:val="00277BA3"/>
    <w:rsid w:val="002801B4"/>
    <w:rsid w:val="00280451"/>
    <w:rsid w:val="00280E17"/>
    <w:rsid w:val="00281129"/>
    <w:rsid w:val="00281259"/>
    <w:rsid w:val="00281CE2"/>
    <w:rsid w:val="00281FF9"/>
    <w:rsid w:val="00282A01"/>
    <w:rsid w:val="0028734E"/>
    <w:rsid w:val="00294208"/>
    <w:rsid w:val="00296FA3"/>
    <w:rsid w:val="002A1728"/>
    <w:rsid w:val="002A6483"/>
    <w:rsid w:val="002B0920"/>
    <w:rsid w:val="002B429F"/>
    <w:rsid w:val="002C21D2"/>
    <w:rsid w:val="002C30D3"/>
    <w:rsid w:val="002C58B8"/>
    <w:rsid w:val="002C7F9B"/>
    <w:rsid w:val="002D0309"/>
    <w:rsid w:val="002D0E21"/>
    <w:rsid w:val="002D1707"/>
    <w:rsid w:val="002D18C5"/>
    <w:rsid w:val="002D7ACE"/>
    <w:rsid w:val="002E1A64"/>
    <w:rsid w:val="002E225B"/>
    <w:rsid w:val="002E4FFE"/>
    <w:rsid w:val="002E5AFB"/>
    <w:rsid w:val="002F1EFA"/>
    <w:rsid w:val="002F292E"/>
    <w:rsid w:val="002F2ADF"/>
    <w:rsid w:val="002F48F3"/>
    <w:rsid w:val="00301A71"/>
    <w:rsid w:val="00301D3A"/>
    <w:rsid w:val="003025AF"/>
    <w:rsid w:val="00302A8F"/>
    <w:rsid w:val="00302D3C"/>
    <w:rsid w:val="003065DD"/>
    <w:rsid w:val="00310CBD"/>
    <w:rsid w:val="003113F6"/>
    <w:rsid w:val="003134D9"/>
    <w:rsid w:val="0031654A"/>
    <w:rsid w:val="00317E1B"/>
    <w:rsid w:val="0032136A"/>
    <w:rsid w:val="00333F12"/>
    <w:rsid w:val="003367F5"/>
    <w:rsid w:val="00336BC3"/>
    <w:rsid w:val="00336F1E"/>
    <w:rsid w:val="003403FD"/>
    <w:rsid w:val="00340A76"/>
    <w:rsid w:val="003437B0"/>
    <w:rsid w:val="00343CDD"/>
    <w:rsid w:val="003444A4"/>
    <w:rsid w:val="00351C15"/>
    <w:rsid w:val="00351F70"/>
    <w:rsid w:val="003521C8"/>
    <w:rsid w:val="003532F3"/>
    <w:rsid w:val="00360559"/>
    <w:rsid w:val="00360987"/>
    <w:rsid w:val="00363BD0"/>
    <w:rsid w:val="00364A72"/>
    <w:rsid w:val="00370BF8"/>
    <w:rsid w:val="00372F65"/>
    <w:rsid w:val="003742A1"/>
    <w:rsid w:val="003753FF"/>
    <w:rsid w:val="00381C48"/>
    <w:rsid w:val="00383369"/>
    <w:rsid w:val="00386C98"/>
    <w:rsid w:val="0039416E"/>
    <w:rsid w:val="003A0471"/>
    <w:rsid w:val="003A22CB"/>
    <w:rsid w:val="003A2485"/>
    <w:rsid w:val="003A504A"/>
    <w:rsid w:val="003B0198"/>
    <w:rsid w:val="003B4F26"/>
    <w:rsid w:val="003B4F60"/>
    <w:rsid w:val="003C1118"/>
    <w:rsid w:val="003C3084"/>
    <w:rsid w:val="003C3577"/>
    <w:rsid w:val="003C530F"/>
    <w:rsid w:val="003C6711"/>
    <w:rsid w:val="003C7551"/>
    <w:rsid w:val="003D2F73"/>
    <w:rsid w:val="003D5727"/>
    <w:rsid w:val="003D5997"/>
    <w:rsid w:val="003D7C36"/>
    <w:rsid w:val="003D7DCC"/>
    <w:rsid w:val="003E0713"/>
    <w:rsid w:val="003E2DAA"/>
    <w:rsid w:val="003E3D2C"/>
    <w:rsid w:val="003E57DE"/>
    <w:rsid w:val="003F0FC3"/>
    <w:rsid w:val="003F3FBD"/>
    <w:rsid w:val="003F74E3"/>
    <w:rsid w:val="00401C2C"/>
    <w:rsid w:val="0040204B"/>
    <w:rsid w:val="00403105"/>
    <w:rsid w:val="00405151"/>
    <w:rsid w:val="0040544A"/>
    <w:rsid w:val="0040553A"/>
    <w:rsid w:val="004112F5"/>
    <w:rsid w:val="00413565"/>
    <w:rsid w:val="004205D1"/>
    <w:rsid w:val="00426E45"/>
    <w:rsid w:val="00431DB3"/>
    <w:rsid w:val="00432683"/>
    <w:rsid w:val="0043310D"/>
    <w:rsid w:val="00434C0C"/>
    <w:rsid w:val="00435029"/>
    <w:rsid w:val="004405D5"/>
    <w:rsid w:val="004431B1"/>
    <w:rsid w:val="00443D19"/>
    <w:rsid w:val="004459D2"/>
    <w:rsid w:val="00445BB7"/>
    <w:rsid w:val="00445D76"/>
    <w:rsid w:val="00451585"/>
    <w:rsid w:val="004523A4"/>
    <w:rsid w:val="004528C4"/>
    <w:rsid w:val="004532F8"/>
    <w:rsid w:val="00453DC0"/>
    <w:rsid w:val="00455428"/>
    <w:rsid w:val="00456C63"/>
    <w:rsid w:val="00456C80"/>
    <w:rsid w:val="004572B8"/>
    <w:rsid w:val="00457A53"/>
    <w:rsid w:val="00460AB8"/>
    <w:rsid w:val="00461876"/>
    <w:rsid w:val="00461AA6"/>
    <w:rsid w:val="004652AC"/>
    <w:rsid w:val="00467840"/>
    <w:rsid w:val="00470338"/>
    <w:rsid w:val="00470B4F"/>
    <w:rsid w:val="00472A35"/>
    <w:rsid w:val="00480FFA"/>
    <w:rsid w:val="0048163E"/>
    <w:rsid w:val="00484120"/>
    <w:rsid w:val="00485226"/>
    <w:rsid w:val="00487E7D"/>
    <w:rsid w:val="00487EC4"/>
    <w:rsid w:val="00491F05"/>
    <w:rsid w:val="00492DA2"/>
    <w:rsid w:val="00493666"/>
    <w:rsid w:val="0049502E"/>
    <w:rsid w:val="004969CF"/>
    <w:rsid w:val="00497F47"/>
    <w:rsid w:val="004A3908"/>
    <w:rsid w:val="004A5421"/>
    <w:rsid w:val="004A59D4"/>
    <w:rsid w:val="004A5E82"/>
    <w:rsid w:val="004A631E"/>
    <w:rsid w:val="004A6815"/>
    <w:rsid w:val="004A6866"/>
    <w:rsid w:val="004A6F23"/>
    <w:rsid w:val="004B0BBF"/>
    <w:rsid w:val="004B2773"/>
    <w:rsid w:val="004B7A5E"/>
    <w:rsid w:val="004C04CB"/>
    <w:rsid w:val="004C09B2"/>
    <w:rsid w:val="004C175A"/>
    <w:rsid w:val="004C49E2"/>
    <w:rsid w:val="004C6001"/>
    <w:rsid w:val="004C644B"/>
    <w:rsid w:val="004D01B3"/>
    <w:rsid w:val="004D1EC9"/>
    <w:rsid w:val="004D34AA"/>
    <w:rsid w:val="004D39C5"/>
    <w:rsid w:val="004D4D1C"/>
    <w:rsid w:val="004D4D32"/>
    <w:rsid w:val="004D4D8A"/>
    <w:rsid w:val="004E144C"/>
    <w:rsid w:val="004E2FD7"/>
    <w:rsid w:val="004E5143"/>
    <w:rsid w:val="004E54E8"/>
    <w:rsid w:val="004F0426"/>
    <w:rsid w:val="004F0512"/>
    <w:rsid w:val="004F16E4"/>
    <w:rsid w:val="004F4BCB"/>
    <w:rsid w:val="004F4E15"/>
    <w:rsid w:val="004F53E8"/>
    <w:rsid w:val="004F757D"/>
    <w:rsid w:val="00500C39"/>
    <w:rsid w:val="0050401D"/>
    <w:rsid w:val="00507159"/>
    <w:rsid w:val="00510D4B"/>
    <w:rsid w:val="00511326"/>
    <w:rsid w:val="00511465"/>
    <w:rsid w:val="0051223B"/>
    <w:rsid w:val="0051227E"/>
    <w:rsid w:val="00512C16"/>
    <w:rsid w:val="0051315D"/>
    <w:rsid w:val="005172A4"/>
    <w:rsid w:val="00523A77"/>
    <w:rsid w:val="00531161"/>
    <w:rsid w:val="00533CCD"/>
    <w:rsid w:val="005401FE"/>
    <w:rsid w:val="00540A91"/>
    <w:rsid w:val="005415AD"/>
    <w:rsid w:val="00542492"/>
    <w:rsid w:val="005424F9"/>
    <w:rsid w:val="005428CD"/>
    <w:rsid w:val="00544CE4"/>
    <w:rsid w:val="0054584B"/>
    <w:rsid w:val="00552B60"/>
    <w:rsid w:val="00554E89"/>
    <w:rsid w:val="005559F4"/>
    <w:rsid w:val="00557D9A"/>
    <w:rsid w:val="00560159"/>
    <w:rsid w:val="0056134B"/>
    <w:rsid w:val="005623FF"/>
    <w:rsid w:val="00565E28"/>
    <w:rsid w:val="00566935"/>
    <w:rsid w:val="00566EB6"/>
    <w:rsid w:val="00567464"/>
    <w:rsid w:val="00571665"/>
    <w:rsid w:val="00571A94"/>
    <w:rsid w:val="00574AFF"/>
    <w:rsid w:val="00576D4A"/>
    <w:rsid w:val="005770BF"/>
    <w:rsid w:val="0058019C"/>
    <w:rsid w:val="005870DC"/>
    <w:rsid w:val="00587E39"/>
    <w:rsid w:val="00593AF7"/>
    <w:rsid w:val="005946B9"/>
    <w:rsid w:val="005948E8"/>
    <w:rsid w:val="00594C44"/>
    <w:rsid w:val="005A23CC"/>
    <w:rsid w:val="005A2642"/>
    <w:rsid w:val="005A5745"/>
    <w:rsid w:val="005A6986"/>
    <w:rsid w:val="005A7E55"/>
    <w:rsid w:val="005B091B"/>
    <w:rsid w:val="005B0A64"/>
    <w:rsid w:val="005B3823"/>
    <w:rsid w:val="005B3D95"/>
    <w:rsid w:val="005B7A51"/>
    <w:rsid w:val="005B7B2B"/>
    <w:rsid w:val="005B7C44"/>
    <w:rsid w:val="005C3340"/>
    <w:rsid w:val="005C44CB"/>
    <w:rsid w:val="005C6417"/>
    <w:rsid w:val="005C64CC"/>
    <w:rsid w:val="005C6875"/>
    <w:rsid w:val="005D0532"/>
    <w:rsid w:val="005D3A52"/>
    <w:rsid w:val="005E0929"/>
    <w:rsid w:val="005E1D01"/>
    <w:rsid w:val="005E1D95"/>
    <w:rsid w:val="005E57B7"/>
    <w:rsid w:val="005F5F10"/>
    <w:rsid w:val="005F7AF4"/>
    <w:rsid w:val="005F7DF4"/>
    <w:rsid w:val="0060129D"/>
    <w:rsid w:val="00604233"/>
    <w:rsid w:val="00604680"/>
    <w:rsid w:val="006059A8"/>
    <w:rsid w:val="0060609A"/>
    <w:rsid w:val="006104FE"/>
    <w:rsid w:val="00610888"/>
    <w:rsid w:val="006116A6"/>
    <w:rsid w:val="00612473"/>
    <w:rsid w:val="00612652"/>
    <w:rsid w:val="0061685B"/>
    <w:rsid w:val="00616A50"/>
    <w:rsid w:val="00616D29"/>
    <w:rsid w:val="00616D2F"/>
    <w:rsid w:val="00620895"/>
    <w:rsid w:val="00626120"/>
    <w:rsid w:val="00626BB2"/>
    <w:rsid w:val="0062761A"/>
    <w:rsid w:val="006331D4"/>
    <w:rsid w:val="00633E41"/>
    <w:rsid w:val="0063541B"/>
    <w:rsid w:val="00636CB2"/>
    <w:rsid w:val="0063714D"/>
    <w:rsid w:val="00637267"/>
    <w:rsid w:val="0064170A"/>
    <w:rsid w:val="006417CE"/>
    <w:rsid w:val="006422C6"/>
    <w:rsid w:val="0064428D"/>
    <w:rsid w:val="0064568C"/>
    <w:rsid w:val="00646957"/>
    <w:rsid w:val="006501BE"/>
    <w:rsid w:val="006538CE"/>
    <w:rsid w:val="0065393B"/>
    <w:rsid w:val="006545DD"/>
    <w:rsid w:val="00654DC5"/>
    <w:rsid w:val="00655941"/>
    <w:rsid w:val="00655CA6"/>
    <w:rsid w:val="006608AE"/>
    <w:rsid w:val="00662263"/>
    <w:rsid w:val="006628BD"/>
    <w:rsid w:val="00664339"/>
    <w:rsid w:val="00665366"/>
    <w:rsid w:val="0066764F"/>
    <w:rsid w:val="006702C9"/>
    <w:rsid w:val="00671DFD"/>
    <w:rsid w:val="00672B90"/>
    <w:rsid w:val="006747FE"/>
    <w:rsid w:val="0068607D"/>
    <w:rsid w:val="006860F1"/>
    <w:rsid w:val="00691F58"/>
    <w:rsid w:val="00692275"/>
    <w:rsid w:val="00693CC5"/>
    <w:rsid w:val="0069548A"/>
    <w:rsid w:val="00696D38"/>
    <w:rsid w:val="0069798D"/>
    <w:rsid w:val="006A1876"/>
    <w:rsid w:val="006A1E4D"/>
    <w:rsid w:val="006A2265"/>
    <w:rsid w:val="006A46CD"/>
    <w:rsid w:val="006A4B35"/>
    <w:rsid w:val="006A4D2B"/>
    <w:rsid w:val="006A5C89"/>
    <w:rsid w:val="006A64C5"/>
    <w:rsid w:val="006A7027"/>
    <w:rsid w:val="006B1AE9"/>
    <w:rsid w:val="006B1AEB"/>
    <w:rsid w:val="006B3BBD"/>
    <w:rsid w:val="006B514F"/>
    <w:rsid w:val="006B6387"/>
    <w:rsid w:val="006B7377"/>
    <w:rsid w:val="006C0196"/>
    <w:rsid w:val="006C5BBE"/>
    <w:rsid w:val="006C74DF"/>
    <w:rsid w:val="006D5F32"/>
    <w:rsid w:val="006D6A6A"/>
    <w:rsid w:val="006D6F63"/>
    <w:rsid w:val="006D75E8"/>
    <w:rsid w:val="006E0712"/>
    <w:rsid w:val="006E08E3"/>
    <w:rsid w:val="006E191F"/>
    <w:rsid w:val="006E23C6"/>
    <w:rsid w:val="006E2DE3"/>
    <w:rsid w:val="006E3E42"/>
    <w:rsid w:val="006E5C2B"/>
    <w:rsid w:val="006F26D3"/>
    <w:rsid w:val="006F27D4"/>
    <w:rsid w:val="007039D9"/>
    <w:rsid w:val="00704288"/>
    <w:rsid w:val="00705139"/>
    <w:rsid w:val="007122C9"/>
    <w:rsid w:val="0071501B"/>
    <w:rsid w:val="007170D3"/>
    <w:rsid w:val="00717226"/>
    <w:rsid w:val="00717B54"/>
    <w:rsid w:val="00717E2E"/>
    <w:rsid w:val="0072184D"/>
    <w:rsid w:val="0072455A"/>
    <w:rsid w:val="00730BA6"/>
    <w:rsid w:val="007318C0"/>
    <w:rsid w:val="00735194"/>
    <w:rsid w:val="00735EB8"/>
    <w:rsid w:val="00736FBA"/>
    <w:rsid w:val="00741E8F"/>
    <w:rsid w:val="00743E4F"/>
    <w:rsid w:val="0074488D"/>
    <w:rsid w:val="00744A39"/>
    <w:rsid w:val="0074570E"/>
    <w:rsid w:val="0074602B"/>
    <w:rsid w:val="00746385"/>
    <w:rsid w:val="00750D7B"/>
    <w:rsid w:val="00753C18"/>
    <w:rsid w:val="00756D28"/>
    <w:rsid w:val="007613E7"/>
    <w:rsid w:val="0076578C"/>
    <w:rsid w:val="0076626B"/>
    <w:rsid w:val="007665E0"/>
    <w:rsid w:val="00766DF4"/>
    <w:rsid w:val="00767F5D"/>
    <w:rsid w:val="00773DEE"/>
    <w:rsid w:val="00774248"/>
    <w:rsid w:val="00774BCF"/>
    <w:rsid w:val="00774F71"/>
    <w:rsid w:val="00775B87"/>
    <w:rsid w:val="007760DA"/>
    <w:rsid w:val="007766CF"/>
    <w:rsid w:val="007818A2"/>
    <w:rsid w:val="0078296B"/>
    <w:rsid w:val="0078393C"/>
    <w:rsid w:val="00783EB8"/>
    <w:rsid w:val="00785A4C"/>
    <w:rsid w:val="007879CC"/>
    <w:rsid w:val="007908C5"/>
    <w:rsid w:val="007908C9"/>
    <w:rsid w:val="00792D73"/>
    <w:rsid w:val="00793530"/>
    <w:rsid w:val="007944BC"/>
    <w:rsid w:val="007A009C"/>
    <w:rsid w:val="007A061F"/>
    <w:rsid w:val="007A1BEB"/>
    <w:rsid w:val="007A1C9E"/>
    <w:rsid w:val="007A2591"/>
    <w:rsid w:val="007A317B"/>
    <w:rsid w:val="007A32A1"/>
    <w:rsid w:val="007A4B52"/>
    <w:rsid w:val="007A5D36"/>
    <w:rsid w:val="007A68A1"/>
    <w:rsid w:val="007A77F8"/>
    <w:rsid w:val="007B33BA"/>
    <w:rsid w:val="007B3B7B"/>
    <w:rsid w:val="007B538B"/>
    <w:rsid w:val="007B66E2"/>
    <w:rsid w:val="007C1AE7"/>
    <w:rsid w:val="007C1BB5"/>
    <w:rsid w:val="007C4901"/>
    <w:rsid w:val="007C6C91"/>
    <w:rsid w:val="007C7B9D"/>
    <w:rsid w:val="007C7E27"/>
    <w:rsid w:val="007D16B8"/>
    <w:rsid w:val="007D4CC8"/>
    <w:rsid w:val="007D5DEF"/>
    <w:rsid w:val="007D608B"/>
    <w:rsid w:val="007E015B"/>
    <w:rsid w:val="007E0E9D"/>
    <w:rsid w:val="007E24B6"/>
    <w:rsid w:val="007E4966"/>
    <w:rsid w:val="007E4A9C"/>
    <w:rsid w:val="007E52CD"/>
    <w:rsid w:val="007E56E3"/>
    <w:rsid w:val="007E63FD"/>
    <w:rsid w:val="007F2DE0"/>
    <w:rsid w:val="007F4E7A"/>
    <w:rsid w:val="00802234"/>
    <w:rsid w:val="0080352B"/>
    <w:rsid w:val="008052C7"/>
    <w:rsid w:val="008101F0"/>
    <w:rsid w:val="00810E6A"/>
    <w:rsid w:val="00812754"/>
    <w:rsid w:val="00814BC9"/>
    <w:rsid w:val="0081707B"/>
    <w:rsid w:val="008227D4"/>
    <w:rsid w:val="00824D07"/>
    <w:rsid w:val="008264FA"/>
    <w:rsid w:val="00826E14"/>
    <w:rsid w:val="0083016D"/>
    <w:rsid w:val="008302FB"/>
    <w:rsid w:val="008303C1"/>
    <w:rsid w:val="008303F2"/>
    <w:rsid w:val="00832250"/>
    <w:rsid w:val="00832E35"/>
    <w:rsid w:val="00833ECB"/>
    <w:rsid w:val="00834584"/>
    <w:rsid w:val="00834A8D"/>
    <w:rsid w:val="00836216"/>
    <w:rsid w:val="008375E6"/>
    <w:rsid w:val="00837D81"/>
    <w:rsid w:val="00840080"/>
    <w:rsid w:val="00840BDC"/>
    <w:rsid w:val="00851529"/>
    <w:rsid w:val="008515B6"/>
    <w:rsid w:val="00853438"/>
    <w:rsid w:val="00853DCF"/>
    <w:rsid w:val="008547DB"/>
    <w:rsid w:val="00855F03"/>
    <w:rsid w:val="00856867"/>
    <w:rsid w:val="00856F7D"/>
    <w:rsid w:val="00861923"/>
    <w:rsid w:val="0086232B"/>
    <w:rsid w:val="00862505"/>
    <w:rsid w:val="00862C0A"/>
    <w:rsid w:val="008633A2"/>
    <w:rsid w:val="0086493C"/>
    <w:rsid w:val="00865249"/>
    <w:rsid w:val="0086638F"/>
    <w:rsid w:val="008667DF"/>
    <w:rsid w:val="00874291"/>
    <w:rsid w:val="00874C05"/>
    <w:rsid w:val="00876875"/>
    <w:rsid w:val="00876AD1"/>
    <w:rsid w:val="00877710"/>
    <w:rsid w:val="00877DE4"/>
    <w:rsid w:val="00880915"/>
    <w:rsid w:val="008822D6"/>
    <w:rsid w:val="00882492"/>
    <w:rsid w:val="00882A26"/>
    <w:rsid w:val="00883444"/>
    <w:rsid w:val="0088458A"/>
    <w:rsid w:val="00884979"/>
    <w:rsid w:val="00886F38"/>
    <w:rsid w:val="0088720C"/>
    <w:rsid w:val="00890F30"/>
    <w:rsid w:val="008952EF"/>
    <w:rsid w:val="00897497"/>
    <w:rsid w:val="0089767D"/>
    <w:rsid w:val="00897989"/>
    <w:rsid w:val="00897A5C"/>
    <w:rsid w:val="008A2443"/>
    <w:rsid w:val="008A32D2"/>
    <w:rsid w:val="008A7DB4"/>
    <w:rsid w:val="008B0D8F"/>
    <w:rsid w:val="008B11E4"/>
    <w:rsid w:val="008B1C8C"/>
    <w:rsid w:val="008B2703"/>
    <w:rsid w:val="008B6761"/>
    <w:rsid w:val="008C54AB"/>
    <w:rsid w:val="008D04EA"/>
    <w:rsid w:val="008D1CCE"/>
    <w:rsid w:val="008D28EA"/>
    <w:rsid w:val="008D3059"/>
    <w:rsid w:val="008D3281"/>
    <w:rsid w:val="008D3323"/>
    <w:rsid w:val="008D4538"/>
    <w:rsid w:val="008D6210"/>
    <w:rsid w:val="008E1EBD"/>
    <w:rsid w:val="008E6279"/>
    <w:rsid w:val="008E77D0"/>
    <w:rsid w:val="008F05C4"/>
    <w:rsid w:val="008F13EC"/>
    <w:rsid w:val="008F2ED5"/>
    <w:rsid w:val="008F56F4"/>
    <w:rsid w:val="008F7808"/>
    <w:rsid w:val="008F78DC"/>
    <w:rsid w:val="009010D2"/>
    <w:rsid w:val="00902659"/>
    <w:rsid w:val="009037D9"/>
    <w:rsid w:val="00905305"/>
    <w:rsid w:val="009107B6"/>
    <w:rsid w:val="00912373"/>
    <w:rsid w:val="00916598"/>
    <w:rsid w:val="00916AA4"/>
    <w:rsid w:val="00916BAD"/>
    <w:rsid w:val="00917B48"/>
    <w:rsid w:val="00921CCF"/>
    <w:rsid w:val="009236CD"/>
    <w:rsid w:val="00923CA6"/>
    <w:rsid w:val="00923CC1"/>
    <w:rsid w:val="00924089"/>
    <w:rsid w:val="009249BD"/>
    <w:rsid w:val="00924C5F"/>
    <w:rsid w:val="009311E3"/>
    <w:rsid w:val="0093282D"/>
    <w:rsid w:val="0093361E"/>
    <w:rsid w:val="0093372D"/>
    <w:rsid w:val="00934D3C"/>
    <w:rsid w:val="00936E8E"/>
    <w:rsid w:val="0093790D"/>
    <w:rsid w:val="00940C92"/>
    <w:rsid w:val="00944218"/>
    <w:rsid w:val="00947F30"/>
    <w:rsid w:val="00951DFC"/>
    <w:rsid w:val="00952FAD"/>
    <w:rsid w:val="00953837"/>
    <w:rsid w:val="00953E57"/>
    <w:rsid w:val="00955677"/>
    <w:rsid w:val="00957A90"/>
    <w:rsid w:val="0096083B"/>
    <w:rsid w:val="00964685"/>
    <w:rsid w:val="0096714F"/>
    <w:rsid w:val="00970429"/>
    <w:rsid w:val="009762A1"/>
    <w:rsid w:val="00976CF0"/>
    <w:rsid w:val="009774D0"/>
    <w:rsid w:val="00977753"/>
    <w:rsid w:val="009819B7"/>
    <w:rsid w:val="00981F3D"/>
    <w:rsid w:val="00983D15"/>
    <w:rsid w:val="00985CFE"/>
    <w:rsid w:val="00991452"/>
    <w:rsid w:val="0099331F"/>
    <w:rsid w:val="00995301"/>
    <w:rsid w:val="00995B6D"/>
    <w:rsid w:val="00997D9E"/>
    <w:rsid w:val="009A466E"/>
    <w:rsid w:val="009A54BB"/>
    <w:rsid w:val="009A7891"/>
    <w:rsid w:val="009B0CD4"/>
    <w:rsid w:val="009B2B83"/>
    <w:rsid w:val="009B4C71"/>
    <w:rsid w:val="009B596A"/>
    <w:rsid w:val="009C094B"/>
    <w:rsid w:val="009C0C6D"/>
    <w:rsid w:val="009C385D"/>
    <w:rsid w:val="009C3F77"/>
    <w:rsid w:val="009C6CCE"/>
    <w:rsid w:val="009D1AE9"/>
    <w:rsid w:val="009D3283"/>
    <w:rsid w:val="009D3634"/>
    <w:rsid w:val="009E22EE"/>
    <w:rsid w:val="009E2F5F"/>
    <w:rsid w:val="009F111A"/>
    <w:rsid w:val="009F396B"/>
    <w:rsid w:val="009F4086"/>
    <w:rsid w:val="009F45E2"/>
    <w:rsid w:val="009F524B"/>
    <w:rsid w:val="009F5E7B"/>
    <w:rsid w:val="00A03B0E"/>
    <w:rsid w:val="00A04187"/>
    <w:rsid w:val="00A0796F"/>
    <w:rsid w:val="00A10851"/>
    <w:rsid w:val="00A10C55"/>
    <w:rsid w:val="00A13212"/>
    <w:rsid w:val="00A13884"/>
    <w:rsid w:val="00A164D9"/>
    <w:rsid w:val="00A166FF"/>
    <w:rsid w:val="00A2058A"/>
    <w:rsid w:val="00A25492"/>
    <w:rsid w:val="00A263E5"/>
    <w:rsid w:val="00A268B1"/>
    <w:rsid w:val="00A278B5"/>
    <w:rsid w:val="00A30BF5"/>
    <w:rsid w:val="00A323BF"/>
    <w:rsid w:val="00A33D37"/>
    <w:rsid w:val="00A369C3"/>
    <w:rsid w:val="00A36CF4"/>
    <w:rsid w:val="00A376FC"/>
    <w:rsid w:val="00A4056F"/>
    <w:rsid w:val="00A42142"/>
    <w:rsid w:val="00A43E3D"/>
    <w:rsid w:val="00A506AA"/>
    <w:rsid w:val="00A53835"/>
    <w:rsid w:val="00A564A7"/>
    <w:rsid w:val="00A62CEC"/>
    <w:rsid w:val="00A62E89"/>
    <w:rsid w:val="00A63027"/>
    <w:rsid w:val="00A64D8D"/>
    <w:rsid w:val="00A71705"/>
    <w:rsid w:val="00A72DB0"/>
    <w:rsid w:val="00A73092"/>
    <w:rsid w:val="00A73C9E"/>
    <w:rsid w:val="00A753EA"/>
    <w:rsid w:val="00A75E47"/>
    <w:rsid w:val="00A80C2A"/>
    <w:rsid w:val="00A8138B"/>
    <w:rsid w:val="00A83589"/>
    <w:rsid w:val="00A8659F"/>
    <w:rsid w:val="00A918BD"/>
    <w:rsid w:val="00A91F46"/>
    <w:rsid w:val="00A944B5"/>
    <w:rsid w:val="00A95CC8"/>
    <w:rsid w:val="00A97440"/>
    <w:rsid w:val="00AA1622"/>
    <w:rsid w:val="00AA321A"/>
    <w:rsid w:val="00AA7049"/>
    <w:rsid w:val="00AA778F"/>
    <w:rsid w:val="00AA7A37"/>
    <w:rsid w:val="00AA7A8D"/>
    <w:rsid w:val="00AB0507"/>
    <w:rsid w:val="00AB2331"/>
    <w:rsid w:val="00AB2EB2"/>
    <w:rsid w:val="00AC1C2D"/>
    <w:rsid w:val="00AC601E"/>
    <w:rsid w:val="00AC7448"/>
    <w:rsid w:val="00AD1349"/>
    <w:rsid w:val="00AD2DC0"/>
    <w:rsid w:val="00AD3EFC"/>
    <w:rsid w:val="00AD7546"/>
    <w:rsid w:val="00AE02B9"/>
    <w:rsid w:val="00AE24A6"/>
    <w:rsid w:val="00AE3A9B"/>
    <w:rsid w:val="00AE466D"/>
    <w:rsid w:val="00AE4F32"/>
    <w:rsid w:val="00AE6859"/>
    <w:rsid w:val="00AE6DEC"/>
    <w:rsid w:val="00AE75D5"/>
    <w:rsid w:val="00AF24BE"/>
    <w:rsid w:val="00AF2E24"/>
    <w:rsid w:val="00AF49BE"/>
    <w:rsid w:val="00AF53F1"/>
    <w:rsid w:val="00AF675C"/>
    <w:rsid w:val="00B003CF"/>
    <w:rsid w:val="00B01F19"/>
    <w:rsid w:val="00B03442"/>
    <w:rsid w:val="00B042CB"/>
    <w:rsid w:val="00B04EBB"/>
    <w:rsid w:val="00B05A40"/>
    <w:rsid w:val="00B05CAC"/>
    <w:rsid w:val="00B0759E"/>
    <w:rsid w:val="00B11940"/>
    <w:rsid w:val="00B2146E"/>
    <w:rsid w:val="00B21FC8"/>
    <w:rsid w:val="00B2547C"/>
    <w:rsid w:val="00B30C5E"/>
    <w:rsid w:val="00B31ABF"/>
    <w:rsid w:val="00B3271C"/>
    <w:rsid w:val="00B34792"/>
    <w:rsid w:val="00B356F6"/>
    <w:rsid w:val="00B3653C"/>
    <w:rsid w:val="00B4329B"/>
    <w:rsid w:val="00B45BE3"/>
    <w:rsid w:val="00B46C24"/>
    <w:rsid w:val="00B47285"/>
    <w:rsid w:val="00B47D72"/>
    <w:rsid w:val="00B503BF"/>
    <w:rsid w:val="00B516F8"/>
    <w:rsid w:val="00B520F1"/>
    <w:rsid w:val="00B610A5"/>
    <w:rsid w:val="00B633E6"/>
    <w:rsid w:val="00B640FC"/>
    <w:rsid w:val="00B64A95"/>
    <w:rsid w:val="00B65ADE"/>
    <w:rsid w:val="00B67B32"/>
    <w:rsid w:val="00B73256"/>
    <w:rsid w:val="00B73C34"/>
    <w:rsid w:val="00B73EF4"/>
    <w:rsid w:val="00B756A9"/>
    <w:rsid w:val="00B76659"/>
    <w:rsid w:val="00B773F7"/>
    <w:rsid w:val="00B777AA"/>
    <w:rsid w:val="00B828ED"/>
    <w:rsid w:val="00B84A76"/>
    <w:rsid w:val="00B86830"/>
    <w:rsid w:val="00B9041F"/>
    <w:rsid w:val="00B9178F"/>
    <w:rsid w:val="00B91FBC"/>
    <w:rsid w:val="00BA35C0"/>
    <w:rsid w:val="00BA4AB0"/>
    <w:rsid w:val="00BA7DA2"/>
    <w:rsid w:val="00BB00FD"/>
    <w:rsid w:val="00BB1641"/>
    <w:rsid w:val="00BB2A36"/>
    <w:rsid w:val="00BB7A95"/>
    <w:rsid w:val="00BC1851"/>
    <w:rsid w:val="00BC1E7F"/>
    <w:rsid w:val="00BC253D"/>
    <w:rsid w:val="00BC38F7"/>
    <w:rsid w:val="00BC5BEE"/>
    <w:rsid w:val="00BC5E7A"/>
    <w:rsid w:val="00BD15C1"/>
    <w:rsid w:val="00BD345F"/>
    <w:rsid w:val="00BD42C5"/>
    <w:rsid w:val="00BD4329"/>
    <w:rsid w:val="00BD6678"/>
    <w:rsid w:val="00BD71A1"/>
    <w:rsid w:val="00BE0ED3"/>
    <w:rsid w:val="00BE109F"/>
    <w:rsid w:val="00BE1D4A"/>
    <w:rsid w:val="00BE2D70"/>
    <w:rsid w:val="00BE4682"/>
    <w:rsid w:val="00BE4AA1"/>
    <w:rsid w:val="00BE57BB"/>
    <w:rsid w:val="00BE5EF2"/>
    <w:rsid w:val="00BF1DD0"/>
    <w:rsid w:val="00BF6213"/>
    <w:rsid w:val="00BF7077"/>
    <w:rsid w:val="00BF79E2"/>
    <w:rsid w:val="00C03CDF"/>
    <w:rsid w:val="00C041A3"/>
    <w:rsid w:val="00C078EA"/>
    <w:rsid w:val="00C10481"/>
    <w:rsid w:val="00C1217A"/>
    <w:rsid w:val="00C12544"/>
    <w:rsid w:val="00C14CA4"/>
    <w:rsid w:val="00C14CE3"/>
    <w:rsid w:val="00C14EDF"/>
    <w:rsid w:val="00C155FA"/>
    <w:rsid w:val="00C169E4"/>
    <w:rsid w:val="00C216CB"/>
    <w:rsid w:val="00C22CAE"/>
    <w:rsid w:val="00C23144"/>
    <w:rsid w:val="00C24A8E"/>
    <w:rsid w:val="00C24F4F"/>
    <w:rsid w:val="00C30B67"/>
    <w:rsid w:val="00C33115"/>
    <w:rsid w:val="00C41CCA"/>
    <w:rsid w:val="00C4427A"/>
    <w:rsid w:val="00C47BB2"/>
    <w:rsid w:val="00C513C2"/>
    <w:rsid w:val="00C51C1A"/>
    <w:rsid w:val="00C52CDF"/>
    <w:rsid w:val="00C54340"/>
    <w:rsid w:val="00C609FE"/>
    <w:rsid w:val="00C60DFD"/>
    <w:rsid w:val="00C61DE3"/>
    <w:rsid w:val="00C64C9B"/>
    <w:rsid w:val="00C668A5"/>
    <w:rsid w:val="00C70BD6"/>
    <w:rsid w:val="00C7196B"/>
    <w:rsid w:val="00C72A64"/>
    <w:rsid w:val="00C73ADC"/>
    <w:rsid w:val="00C73DE4"/>
    <w:rsid w:val="00C7435F"/>
    <w:rsid w:val="00C74C7C"/>
    <w:rsid w:val="00C74D4D"/>
    <w:rsid w:val="00C90987"/>
    <w:rsid w:val="00C92155"/>
    <w:rsid w:val="00C923D4"/>
    <w:rsid w:val="00C9358A"/>
    <w:rsid w:val="00C94D36"/>
    <w:rsid w:val="00C965A4"/>
    <w:rsid w:val="00C967DE"/>
    <w:rsid w:val="00CA2E4E"/>
    <w:rsid w:val="00CA4583"/>
    <w:rsid w:val="00CA6773"/>
    <w:rsid w:val="00CB04D9"/>
    <w:rsid w:val="00CB0C3A"/>
    <w:rsid w:val="00CB1342"/>
    <w:rsid w:val="00CB1B60"/>
    <w:rsid w:val="00CB1C53"/>
    <w:rsid w:val="00CB1EDF"/>
    <w:rsid w:val="00CB2FCD"/>
    <w:rsid w:val="00CB3240"/>
    <w:rsid w:val="00CB529E"/>
    <w:rsid w:val="00CB65AD"/>
    <w:rsid w:val="00CB6F86"/>
    <w:rsid w:val="00CB7C02"/>
    <w:rsid w:val="00CC01BC"/>
    <w:rsid w:val="00CC0FB0"/>
    <w:rsid w:val="00CC283B"/>
    <w:rsid w:val="00CC3862"/>
    <w:rsid w:val="00CC5390"/>
    <w:rsid w:val="00CC73A0"/>
    <w:rsid w:val="00CC7F94"/>
    <w:rsid w:val="00CD034D"/>
    <w:rsid w:val="00CD0D19"/>
    <w:rsid w:val="00CD56D3"/>
    <w:rsid w:val="00CD6D13"/>
    <w:rsid w:val="00CD7813"/>
    <w:rsid w:val="00CE0303"/>
    <w:rsid w:val="00CE20A7"/>
    <w:rsid w:val="00CE4EF2"/>
    <w:rsid w:val="00CE644F"/>
    <w:rsid w:val="00CF0438"/>
    <w:rsid w:val="00CF1822"/>
    <w:rsid w:val="00CF6428"/>
    <w:rsid w:val="00CF6E51"/>
    <w:rsid w:val="00CF7985"/>
    <w:rsid w:val="00D02EBC"/>
    <w:rsid w:val="00D0323E"/>
    <w:rsid w:val="00D0588B"/>
    <w:rsid w:val="00D06041"/>
    <w:rsid w:val="00D10484"/>
    <w:rsid w:val="00D1125C"/>
    <w:rsid w:val="00D128D1"/>
    <w:rsid w:val="00D13843"/>
    <w:rsid w:val="00D15B26"/>
    <w:rsid w:val="00D15F20"/>
    <w:rsid w:val="00D2295D"/>
    <w:rsid w:val="00D23195"/>
    <w:rsid w:val="00D278DF"/>
    <w:rsid w:val="00D328E5"/>
    <w:rsid w:val="00D33FB6"/>
    <w:rsid w:val="00D3584B"/>
    <w:rsid w:val="00D377AC"/>
    <w:rsid w:val="00D40603"/>
    <w:rsid w:val="00D4079C"/>
    <w:rsid w:val="00D418F0"/>
    <w:rsid w:val="00D449CF"/>
    <w:rsid w:val="00D46488"/>
    <w:rsid w:val="00D466ED"/>
    <w:rsid w:val="00D476A0"/>
    <w:rsid w:val="00D50777"/>
    <w:rsid w:val="00D516F3"/>
    <w:rsid w:val="00D520BA"/>
    <w:rsid w:val="00D560F9"/>
    <w:rsid w:val="00D5651E"/>
    <w:rsid w:val="00D57128"/>
    <w:rsid w:val="00D57DA1"/>
    <w:rsid w:val="00D611C0"/>
    <w:rsid w:val="00D61427"/>
    <w:rsid w:val="00D6249B"/>
    <w:rsid w:val="00D632FE"/>
    <w:rsid w:val="00D65181"/>
    <w:rsid w:val="00D709E2"/>
    <w:rsid w:val="00D72AD7"/>
    <w:rsid w:val="00D747CD"/>
    <w:rsid w:val="00D74943"/>
    <w:rsid w:val="00D80B77"/>
    <w:rsid w:val="00D81165"/>
    <w:rsid w:val="00D85024"/>
    <w:rsid w:val="00D870AE"/>
    <w:rsid w:val="00D876D2"/>
    <w:rsid w:val="00D90774"/>
    <w:rsid w:val="00D9136A"/>
    <w:rsid w:val="00D93A19"/>
    <w:rsid w:val="00D951B6"/>
    <w:rsid w:val="00D95B0C"/>
    <w:rsid w:val="00D96114"/>
    <w:rsid w:val="00D97344"/>
    <w:rsid w:val="00DA0352"/>
    <w:rsid w:val="00DA1129"/>
    <w:rsid w:val="00DA23F0"/>
    <w:rsid w:val="00DA2614"/>
    <w:rsid w:val="00DA7FA9"/>
    <w:rsid w:val="00DB4E2B"/>
    <w:rsid w:val="00DB4F7A"/>
    <w:rsid w:val="00DB54C1"/>
    <w:rsid w:val="00DB7E65"/>
    <w:rsid w:val="00DC00C7"/>
    <w:rsid w:val="00DC0E05"/>
    <w:rsid w:val="00DC13F4"/>
    <w:rsid w:val="00DC27A8"/>
    <w:rsid w:val="00DC33DC"/>
    <w:rsid w:val="00DC5330"/>
    <w:rsid w:val="00DC775D"/>
    <w:rsid w:val="00DC7933"/>
    <w:rsid w:val="00DC7A00"/>
    <w:rsid w:val="00DD316E"/>
    <w:rsid w:val="00DD33C5"/>
    <w:rsid w:val="00DD3656"/>
    <w:rsid w:val="00DD3E93"/>
    <w:rsid w:val="00DD4E1A"/>
    <w:rsid w:val="00DD5568"/>
    <w:rsid w:val="00DD6989"/>
    <w:rsid w:val="00DE1615"/>
    <w:rsid w:val="00DE1D94"/>
    <w:rsid w:val="00DE3D95"/>
    <w:rsid w:val="00DE4C7C"/>
    <w:rsid w:val="00DF307A"/>
    <w:rsid w:val="00DF4638"/>
    <w:rsid w:val="00DF54FF"/>
    <w:rsid w:val="00DF553B"/>
    <w:rsid w:val="00DF6CA7"/>
    <w:rsid w:val="00DF70EB"/>
    <w:rsid w:val="00DF7833"/>
    <w:rsid w:val="00E005ED"/>
    <w:rsid w:val="00E022A6"/>
    <w:rsid w:val="00E02886"/>
    <w:rsid w:val="00E02B15"/>
    <w:rsid w:val="00E0457B"/>
    <w:rsid w:val="00E05439"/>
    <w:rsid w:val="00E071C0"/>
    <w:rsid w:val="00E07A3F"/>
    <w:rsid w:val="00E11FE2"/>
    <w:rsid w:val="00E12419"/>
    <w:rsid w:val="00E146A8"/>
    <w:rsid w:val="00E17DAA"/>
    <w:rsid w:val="00E217A3"/>
    <w:rsid w:val="00E21CE0"/>
    <w:rsid w:val="00E25A9C"/>
    <w:rsid w:val="00E261B9"/>
    <w:rsid w:val="00E312DB"/>
    <w:rsid w:val="00E31332"/>
    <w:rsid w:val="00E31D87"/>
    <w:rsid w:val="00E32D59"/>
    <w:rsid w:val="00E33DD9"/>
    <w:rsid w:val="00E35BA2"/>
    <w:rsid w:val="00E40C2C"/>
    <w:rsid w:val="00E413C8"/>
    <w:rsid w:val="00E46C64"/>
    <w:rsid w:val="00E53F99"/>
    <w:rsid w:val="00E546A4"/>
    <w:rsid w:val="00E55AF0"/>
    <w:rsid w:val="00E56259"/>
    <w:rsid w:val="00E56349"/>
    <w:rsid w:val="00E5719C"/>
    <w:rsid w:val="00E62487"/>
    <w:rsid w:val="00E62DFF"/>
    <w:rsid w:val="00E63612"/>
    <w:rsid w:val="00E646A0"/>
    <w:rsid w:val="00E65DC5"/>
    <w:rsid w:val="00E70AEE"/>
    <w:rsid w:val="00E71183"/>
    <w:rsid w:val="00E7255A"/>
    <w:rsid w:val="00E762D0"/>
    <w:rsid w:val="00E81349"/>
    <w:rsid w:val="00E81DCC"/>
    <w:rsid w:val="00E843E3"/>
    <w:rsid w:val="00E84BEE"/>
    <w:rsid w:val="00E84FF3"/>
    <w:rsid w:val="00E8765E"/>
    <w:rsid w:val="00E9075C"/>
    <w:rsid w:val="00E916F4"/>
    <w:rsid w:val="00E91CBC"/>
    <w:rsid w:val="00E92252"/>
    <w:rsid w:val="00E944A1"/>
    <w:rsid w:val="00E9787B"/>
    <w:rsid w:val="00EA3214"/>
    <w:rsid w:val="00EA3A0D"/>
    <w:rsid w:val="00EA691A"/>
    <w:rsid w:val="00EB0736"/>
    <w:rsid w:val="00EB0B3D"/>
    <w:rsid w:val="00EB0FB9"/>
    <w:rsid w:val="00EB32C1"/>
    <w:rsid w:val="00EB344B"/>
    <w:rsid w:val="00EB5AB6"/>
    <w:rsid w:val="00EB6D04"/>
    <w:rsid w:val="00EB7C7A"/>
    <w:rsid w:val="00EC079D"/>
    <w:rsid w:val="00EC3020"/>
    <w:rsid w:val="00EC34BC"/>
    <w:rsid w:val="00EC450B"/>
    <w:rsid w:val="00EC4CC7"/>
    <w:rsid w:val="00EC7219"/>
    <w:rsid w:val="00EC7AD7"/>
    <w:rsid w:val="00ED03E7"/>
    <w:rsid w:val="00ED607C"/>
    <w:rsid w:val="00ED7F0F"/>
    <w:rsid w:val="00EE1941"/>
    <w:rsid w:val="00EE233B"/>
    <w:rsid w:val="00EE28B1"/>
    <w:rsid w:val="00EE2AC2"/>
    <w:rsid w:val="00EE37D7"/>
    <w:rsid w:val="00EE709B"/>
    <w:rsid w:val="00EF1554"/>
    <w:rsid w:val="00EF1E11"/>
    <w:rsid w:val="00EF2B1E"/>
    <w:rsid w:val="00EF3A6D"/>
    <w:rsid w:val="00EF438F"/>
    <w:rsid w:val="00EF54D8"/>
    <w:rsid w:val="00EF57AC"/>
    <w:rsid w:val="00EF5BCF"/>
    <w:rsid w:val="00EF7A5E"/>
    <w:rsid w:val="00EF7B2A"/>
    <w:rsid w:val="00F0681B"/>
    <w:rsid w:val="00F06869"/>
    <w:rsid w:val="00F13CEA"/>
    <w:rsid w:val="00F155C9"/>
    <w:rsid w:val="00F17485"/>
    <w:rsid w:val="00F17A6A"/>
    <w:rsid w:val="00F20AE5"/>
    <w:rsid w:val="00F20D1C"/>
    <w:rsid w:val="00F2110A"/>
    <w:rsid w:val="00F22D09"/>
    <w:rsid w:val="00F230DD"/>
    <w:rsid w:val="00F23629"/>
    <w:rsid w:val="00F27564"/>
    <w:rsid w:val="00F319BF"/>
    <w:rsid w:val="00F322F0"/>
    <w:rsid w:val="00F3257F"/>
    <w:rsid w:val="00F32E57"/>
    <w:rsid w:val="00F42AEB"/>
    <w:rsid w:val="00F42FC4"/>
    <w:rsid w:val="00F441BE"/>
    <w:rsid w:val="00F45BDC"/>
    <w:rsid w:val="00F47A31"/>
    <w:rsid w:val="00F47D10"/>
    <w:rsid w:val="00F52965"/>
    <w:rsid w:val="00F54354"/>
    <w:rsid w:val="00F64C59"/>
    <w:rsid w:val="00F71C7C"/>
    <w:rsid w:val="00F72F58"/>
    <w:rsid w:val="00F80474"/>
    <w:rsid w:val="00F8307D"/>
    <w:rsid w:val="00F84BFF"/>
    <w:rsid w:val="00F84D57"/>
    <w:rsid w:val="00F86B82"/>
    <w:rsid w:val="00F9170F"/>
    <w:rsid w:val="00F922AA"/>
    <w:rsid w:val="00F9507F"/>
    <w:rsid w:val="00FA17B2"/>
    <w:rsid w:val="00FA34CC"/>
    <w:rsid w:val="00FA5CF6"/>
    <w:rsid w:val="00FA686F"/>
    <w:rsid w:val="00FB3FB5"/>
    <w:rsid w:val="00FB5A5C"/>
    <w:rsid w:val="00FB61EF"/>
    <w:rsid w:val="00FB6FA8"/>
    <w:rsid w:val="00FC255F"/>
    <w:rsid w:val="00FC2678"/>
    <w:rsid w:val="00FC501F"/>
    <w:rsid w:val="00FC6EE1"/>
    <w:rsid w:val="00FD18B2"/>
    <w:rsid w:val="00FD3AF2"/>
    <w:rsid w:val="00FD7D0C"/>
    <w:rsid w:val="00FE0AFB"/>
    <w:rsid w:val="00FE2A3B"/>
    <w:rsid w:val="00FE2BB4"/>
    <w:rsid w:val="00FE2F7F"/>
    <w:rsid w:val="00FE3CC6"/>
    <w:rsid w:val="00FE4B13"/>
    <w:rsid w:val="00FE5691"/>
    <w:rsid w:val="00FF2A83"/>
    <w:rsid w:val="00FF5DD5"/>
    <w:rsid w:val="00FF688C"/>
    <w:rsid w:val="00FF7819"/>
    <w:rsid w:val="00FF7DB3"/>
    <w:rsid w:val="00FF7EE4"/>
    <w:rsid w:val="01FDD292"/>
    <w:rsid w:val="03343D49"/>
    <w:rsid w:val="03ABFBC1"/>
    <w:rsid w:val="03FB6761"/>
    <w:rsid w:val="04A842DD"/>
    <w:rsid w:val="07A5CA34"/>
    <w:rsid w:val="0879D5AE"/>
    <w:rsid w:val="08C96EF0"/>
    <w:rsid w:val="0B20F9A4"/>
    <w:rsid w:val="0CD6C8E2"/>
    <w:rsid w:val="0D1B25FC"/>
    <w:rsid w:val="0D458C1C"/>
    <w:rsid w:val="0E0CDA7D"/>
    <w:rsid w:val="0EF774F8"/>
    <w:rsid w:val="10B9CCE1"/>
    <w:rsid w:val="118E25D2"/>
    <w:rsid w:val="14B88DC5"/>
    <w:rsid w:val="153FD142"/>
    <w:rsid w:val="16400262"/>
    <w:rsid w:val="168BB1CA"/>
    <w:rsid w:val="16DD5E9A"/>
    <w:rsid w:val="190D0892"/>
    <w:rsid w:val="1985E77A"/>
    <w:rsid w:val="1A9E3202"/>
    <w:rsid w:val="1D415E47"/>
    <w:rsid w:val="1D9EDDA9"/>
    <w:rsid w:val="1F86CAFA"/>
    <w:rsid w:val="214B9DC9"/>
    <w:rsid w:val="2302CB33"/>
    <w:rsid w:val="240ED094"/>
    <w:rsid w:val="246FF141"/>
    <w:rsid w:val="26A87E29"/>
    <w:rsid w:val="270BE237"/>
    <w:rsid w:val="289D53CC"/>
    <w:rsid w:val="292F0F01"/>
    <w:rsid w:val="299E2144"/>
    <w:rsid w:val="2A81308F"/>
    <w:rsid w:val="2AE38681"/>
    <w:rsid w:val="2B081428"/>
    <w:rsid w:val="2B3B09B8"/>
    <w:rsid w:val="2B9EEE33"/>
    <w:rsid w:val="2BFBABBE"/>
    <w:rsid w:val="2CF1DEE6"/>
    <w:rsid w:val="2CF63441"/>
    <w:rsid w:val="2D960BA9"/>
    <w:rsid w:val="300921B9"/>
    <w:rsid w:val="3014E9D1"/>
    <w:rsid w:val="30DC9912"/>
    <w:rsid w:val="3152AA26"/>
    <w:rsid w:val="31987144"/>
    <w:rsid w:val="320C096E"/>
    <w:rsid w:val="3345A429"/>
    <w:rsid w:val="3365DF7D"/>
    <w:rsid w:val="338AD733"/>
    <w:rsid w:val="348624F1"/>
    <w:rsid w:val="369DDED0"/>
    <w:rsid w:val="371064C4"/>
    <w:rsid w:val="39788F36"/>
    <w:rsid w:val="3BEFD102"/>
    <w:rsid w:val="3D31C50C"/>
    <w:rsid w:val="40B91A68"/>
    <w:rsid w:val="40FA4FF1"/>
    <w:rsid w:val="42A044BE"/>
    <w:rsid w:val="42E39FD1"/>
    <w:rsid w:val="43FBFF56"/>
    <w:rsid w:val="43FFB094"/>
    <w:rsid w:val="44A4249E"/>
    <w:rsid w:val="45101BF9"/>
    <w:rsid w:val="464B9401"/>
    <w:rsid w:val="4CC560BF"/>
    <w:rsid w:val="4D04151A"/>
    <w:rsid w:val="4D54D746"/>
    <w:rsid w:val="4E0EF0D1"/>
    <w:rsid w:val="4E412C67"/>
    <w:rsid w:val="4F4DC1C5"/>
    <w:rsid w:val="4F5D6062"/>
    <w:rsid w:val="4FF5D099"/>
    <w:rsid w:val="5348577F"/>
    <w:rsid w:val="5441D815"/>
    <w:rsid w:val="575579AB"/>
    <w:rsid w:val="58679F10"/>
    <w:rsid w:val="59C908CE"/>
    <w:rsid w:val="5B6B783E"/>
    <w:rsid w:val="5BCA9AF6"/>
    <w:rsid w:val="5DDEE69A"/>
    <w:rsid w:val="5EE16208"/>
    <w:rsid w:val="5FB826F7"/>
    <w:rsid w:val="601A1D0B"/>
    <w:rsid w:val="63232560"/>
    <w:rsid w:val="6339AB16"/>
    <w:rsid w:val="63F757F1"/>
    <w:rsid w:val="64551E2C"/>
    <w:rsid w:val="6495636B"/>
    <w:rsid w:val="679146BB"/>
    <w:rsid w:val="686C4CBA"/>
    <w:rsid w:val="6A310B7F"/>
    <w:rsid w:val="6A5C6F67"/>
    <w:rsid w:val="6A61E10E"/>
    <w:rsid w:val="6C9DD8CB"/>
    <w:rsid w:val="6CB88AED"/>
    <w:rsid w:val="6D249D3F"/>
    <w:rsid w:val="6E9F620F"/>
    <w:rsid w:val="6F99D76B"/>
    <w:rsid w:val="703110F8"/>
    <w:rsid w:val="70DB41FD"/>
    <w:rsid w:val="70DE2D26"/>
    <w:rsid w:val="712F303C"/>
    <w:rsid w:val="72B7E760"/>
    <w:rsid w:val="73AD4C73"/>
    <w:rsid w:val="73DAC2B2"/>
    <w:rsid w:val="7601EEAE"/>
    <w:rsid w:val="7633D172"/>
    <w:rsid w:val="775121DD"/>
    <w:rsid w:val="77FD9B55"/>
    <w:rsid w:val="79C8B336"/>
    <w:rsid w:val="79D4427B"/>
    <w:rsid w:val="7BD595DF"/>
    <w:rsid w:val="7D2F853A"/>
    <w:rsid w:val="7E4413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F855B0"/>
  <w15:docId w15:val="{646F126D-0FBE-4DBC-8F9C-DF6665637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8E0"/>
    <w:rPr>
      <w:rFonts w:eastAsiaTheme="minorEastAsia"/>
      <w:lang w:eastAsia="en-AU"/>
    </w:rPr>
  </w:style>
  <w:style w:type="paragraph" w:styleId="Heading1">
    <w:name w:val="heading 1"/>
    <w:basedOn w:val="Normal"/>
    <w:next w:val="Normal"/>
    <w:link w:val="Heading1Char"/>
    <w:uiPriority w:val="9"/>
    <w:qFormat/>
    <w:rsid w:val="00DF54FF"/>
    <w:pPr>
      <w:outlineLvl w:val="0"/>
    </w:pPr>
    <w:rPr>
      <w:rFonts w:cstheme="minorHAnsi"/>
      <w:sz w:val="32"/>
      <w:szCs w:val="32"/>
    </w:rPr>
  </w:style>
  <w:style w:type="paragraph" w:styleId="Heading2">
    <w:name w:val="heading 2"/>
    <w:basedOn w:val="Normal"/>
    <w:next w:val="Normal"/>
    <w:link w:val="Heading2Char"/>
    <w:uiPriority w:val="9"/>
    <w:unhideWhenUsed/>
    <w:qFormat/>
    <w:rsid w:val="00DF54FF"/>
    <w:pPr>
      <w:outlineLvl w:val="1"/>
    </w:pPr>
    <w:rPr>
      <w:rFonts w:cstheme="minorHAnsi"/>
      <w:sz w:val="28"/>
      <w:szCs w:val="28"/>
    </w:rPr>
  </w:style>
  <w:style w:type="paragraph" w:styleId="Heading3">
    <w:name w:val="heading 3"/>
    <w:basedOn w:val="Normal"/>
    <w:next w:val="Normal"/>
    <w:link w:val="Heading3Char"/>
    <w:uiPriority w:val="9"/>
    <w:unhideWhenUsed/>
    <w:qFormat/>
    <w:rsid w:val="00DF54FF"/>
    <w:pPr>
      <w:keepNext/>
      <w:keepLines/>
      <w:spacing w:before="100" w:beforeAutospacing="1" w:after="240" w:line="240" w:lineRule="auto"/>
      <w:outlineLvl w:val="2"/>
    </w:pPr>
    <w:rPr>
      <w:rFonts w:ascii="Calibri" w:eastAsia="MS Gothic" w:hAnsi="Calibri" w:cs="Times New Roman"/>
      <w:bCs/>
      <w:i/>
      <w:iCs/>
      <w:sz w:val="24"/>
      <w:lang w:val="en-US" w:eastAsia="en-US"/>
    </w:rPr>
  </w:style>
  <w:style w:type="paragraph" w:styleId="Heading4">
    <w:name w:val="heading 4"/>
    <w:basedOn w:val="Heading3"/>
    <w:next w:val="Normal"/>
    <w:link w:val="Heading4Char"/>
    <w:uiPriority w:val="9"/>
    <w:unhideWhenUsed/>
    <w:rsid w:val="002E4FFE"/>
    <w:pPr>
      <w:outlineLvl w:val="3"/>
    </w:pPr>
    <w:rPr>
      <w:color w:val="086F93" w:themeColor="accent1" w:themeShade="80"/>
    </w:rPr>
  </w:style>
  <w:style w:type="paragraph" w:styleId="Heading5">
    <w:name w:val="heading 5"/>
    <w:basedOn w:val="Heading3"/>
    <w:next w:val="Normal"/>
    <w:link w:val="Heading5Char"/>
    <w:uiPriority w:val="9"/>
    <w:unhideWhenUsed/>
    <w:rsid w:val="002E4FFE"/>
    <w:pPr>
      <w:outlineLvl w:val="4"/>
    </w:pPr>
    <w:rPr>
      <w:color w:val="086F93"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s">
    <w:name w:val="Bullets"/>
    <w:uiPriority w:val="99"/>
    <w:rsid w:val="0004526C"/>
    <w:pPr>
      <w:numPr>
        <w:numId w:val="33"/>
      </w:numPr>
    </w:pPr>
  </w:style>
  <w:style w:type="paragraph" w:customStyle="1" w:styleId="Bulletlist1">
    <w:name w:val="Bullet list 1"/>
    <w:basedOn w:val="Normal"/>
    <w:link w:val="Bulletlist1Char"/>
    <w:qFormat/>
    <w:rsid w:val="0004526C"/>
    <w:pPr>
      <w:numPr>
        <w:numId w:val="34"/>
      </w:numPr>
      <w:spacing w:before="100" w:beforeAutospacing="1" w:after="100" w:afterAutospacing="1" w:line="240" w:lineRule="auto"/>
    </w:pPr>
    <w:rPr>
      <w:rFonts w:ascii="Calibri" w:hAnsi="Calibri"/>
    </w:rPr>
  </w:style>
  <w:style w:type="character" w:customStyle="1" w:styleId="Heading4Char">
    <w:name w:val="Heading 4 Char"/>
    <w:basedOn w:val="DefaultParagraphFont"/>
    <w:link w:val="Heading4"/>
    <w:uiPriority w:val="9"/>
    <w:rsid w:val="002E4FFE"/>
    <w:rPr>
      <w:rFonts w:ascii="Calibri" w:eastAsia="MS Gothic" w:hAnsi="Calibri" w:cs="Times New Roman"/>
      <w:bCs/>
      <w:i/>
      <w:iCs/>
      <w:color w:val="086F93" w:themeColor="accent1" w:themeShade="80"/>
      <w:sz w:val="24"/>
      <w:lang w:val="en-US"/>
    </w:rPr>
  </w:style>
  <w:style w:type="paragraph" w:styleId="Title">
    <w:name w:val="Title"/>
    <w:basedOn w:val="Normal"/>
    <w:next w:val="Normal"/>
    <w:link w:val="TitleChar"/>
    <w:qFormat/>
    <w:rsid w:val="00BB00FD"/>
    <w:pPr>
      <w:spacing w:after="0"/>
      <w:outlineLvl w:val="0"/>
    </w:pPr>
    <w:rPr>
      <w:rFonts w:cstheme="minorHAnsi"/>
      <w:sz w:val="48"/>
      <w:szCs w:val="48"/>
    </w:rPr>
  </w:style>
  <w:style w:type="character" w:styleId="Hyperlink">
    <w:name w:val="Hyperlink"/>
    <w:basedOn w:val="DefaultParagraphFont"/>
    <w:uiPriority w:val="99"/>
    <w:unhideWhenUsed/>
    <w:rsid w:val="007A5D36"/>
    <w:rPr>
      <w:color w:val="0000FF" w:themeColor="hyperlink"/>
      <w:u w:val="single"/>
    </w:rPr>
  </w:style>
  <w:style w:type="character" w:customStyle="1" w:styleId="TitleChar">
    <w:name w:val="Title Char"/>
    <w:basedOn w:val="DefaultParagraphFont"/>
    <w:link w:val="Title"/>
    <w:rsid w:val="00BB00FD"/>
    <w:rPr>
      <w:rFonts w:eastAsiaTheme="minorEastAsia" w:cstheme="minorHAnsi"/>
      <w:sz w:val="48"/>
      <w:szCs w:val="48"/>
      <w:lang w:eastAsia="en-AU"/>
    </w:rPr>
  </w:style>
  <w:style w:type="paragraph" w:styleId="ListParagraph">
    <w:name w:val="List Paragraph"/>
    <w:basedOn w:val="Normal"/>
    <w:uiPriority w:val="34"/>
    <w:qFormat/>
    <w:rsid w:val="00BD42C5"/>
    <w:pPr>
      <w:ind w:left="720"/>
      <w:contextualSpacing/>
    </w:pPr>
  </w:style>
  <w:style w:type="character" w:customStyle="1" w:styleId="Heading1Char">
    <w:name w:val="Heading 1 Char"/>
    <w:basedOn w:val="DefaultParagraphFont"/>
    <w:link w:val="Heading1"/>
    <w:uiPriority w:val="9"/>
    <w:rsid w:val="00DF54FF"/>
    <w:rPr>
      <w:rFonts w:eastAsiaTheme="minorEastAsia" w:cstheme="minorHAnsi"/>
      <w:sz w:val="32"/>
      <w:szCs w:val="32"/>
      <w:lang w:eastAsia="en-AU"/>
    </w:rPr>
  </w:style>
  <w:style w:type="paragraph" w:styleId="FootnoteText">
    <w:name w:val="footnote text"/>
    <w:basedOn w:val="Normal"/>
    <w:link w:val="FootnoteTextChar"/>
    <w:uiPriority w:val="99"/>
    <w:semiHidden/>
    <w:unhideWhenUsed/>
    <w:rsid w:val="00EA32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3214"/>
    <w:rPr>
      <w:rFonts w:eastAsiaTheme="minorEastAsia"/>
      <w:sz w:val="20"/>
      <w:szCs w:val="20"/>
      <w:lang w:eastAsia="en-AU"/>
    </w:rPr>
  </w:style>
  <w:style w:type="character" w:styleId="FootnoteReference">
    <w:name w:val="footnote reference"/>
    <w:basedOn w:val="DefaultParagraphFont"/>
    <w:uiPriority w:val="99"/>
    <w:semiHidden/>
    <w:unhideWhenUsed/>
    <w:rsid w:val="00EA3214"/>
    <w:rPr>
      <w:vertAlign w:val="superscript"/>
    </w:rPr>
  </w:style>
  <w:style w:type="character" w:styleId="CommentReference">
    <w:name w:val="annotation reference"/>
    <w:basedOn w:val="DefaultParagraphFont"/>
    <w:uiPriority w:val="99"/>
    <w:semiHidden/>
    <w:unhideWhenUsed/>
    <w:rsid w:val="00EA3214"/>
    <w:rPr>
      <w:sz w:val="16"/>
      <w:szCs w:val="16"/>
    </w:rPr>
  </w:style>
  <w:style w:type="paragraph" w:styleId="CommentSubject">
    <w:name w:val="annotation subject"/>
    <w:basedOn w:val="Normal"/>
    <w:next w:val="Normal"/>
    <w:link w:val="CommentSubjectChar"/>
    <w:uiPriority w:val="99"/>
    <w:semiHidden/>
    <w:unhideWhenUsed/>
    <w:rsid w:val="00EC3020"/>
    <w:rPr>
      <w:b/>
      <w:bCs/>
    </w:rPr>
  </w:style>
  <w:style w:type="character" w:customStyle="1" w:styleId="CommentSubjectChar">
    <w:name w:val="Comment Subject Char"/>
    <w:basedOn w:val="DefaultParagraphFont"/>
    <w:link w:val="CommentSubject"/>
    <w:uiPriority w:val="99"/>
    <w:semiHidden/>
    <w:rsid w:val="00EC3020"/>
    <w:rPr>
      <w:rFonts w:eastAsiaTheme="minorEastAsia"/>
      <w:b/>
      <w:bCs/>
      <w:sz w:val="20"/>
      <w:szCs w:val="20"/>
      <w:lang w:eastAsia="en-AU"/>
    </w:rPr>
  </w:style>
  <w:style w:type="paragraph" w:styleId="BalloonText">
    <w:name w:val="Balloon Text"/>
    <w:basedOn w:val="Normal"/>
    <w:link w:val="BalloonTextChar"/>
    <w:uiPriority w:val="99"/>
    <w:semiHidden/>
    <w:unhideWhenUsed/>
    <w:rsid w:val="00EA3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214"/>
    <w:rPr>
      <w:rFonts w:ascii="Tahoma" w:eastAsiaTheme="minorEastAsia" w:hAnsi="Tahoma" w:cs="Tahoma"/>
      <w:sz w:val="16"/>
      <w:szCs w:val="16"/>
      <w:lang w:eastAsia="en-AU"/>
    </w:rPr>
  </w:style>
  <w:style w:type="character" w:customStyle="1" w:styleId="Heading2Char">
    <w:name w:val="Heading 2 Char"/>
    <w:basedOn w:val="DefaultParagraphFont"/>
    <w:link w:val="Heading2"/>
    <w:uiPriority w:val="9"/>
    <w:rsid w:val="00DF54FF"/>
    <w:rPr>
      <w:rFonts w:eastAsiaTheme="minorEastAsia" w:cstheme="minorHAnsi"/>
      <w:sz w:val="28"/>
      <w:szCs w:val="28"/>
      <w:lang w:eastAsia="en-AU"/>
    </w:rPr>
  </w:style>
  <w:style w:type="character" w:customStyle="1" w:styleId="Heading3Char">
    <w:name w:val="Heading 3 Char"/>
    <w:basedOn w:val="DefaultParagraphFont"/>
    <w:link w:val="Heading3"/>
    <w:uiPriority w:val="9"/>
    <w:rsid w:val="00DF54FF"/>
    <w:rPr>
      <w:rFonts w:ascii="Calibri" w:eastAsia="MS Gothic" w:hAnsi="Calibri" w:cs="Times New Roman"/>
      <w:bCs/>
      <w:i/>
      <w:iCs/>
      <w:sz w:val="24"/>
      <w:lang w:val="en-US"/>
    </w:rPr>
  </w:style>
  <w:style w:type="character" w:styleId="UnresolvedMention">
    <w:name w:val="Unresolved Mention"/>
    <w:basedOn w:val="DefaultParagraphFont"/>
    <w:uiPriority w:val="99"/>
    <w:semiHidden/>
    <w:unhideWhenUsed/>
    <w:rsid w:val="00A0796F"/>
    <w:rPr>
      <w:color w:val="605E5C"/>
      <w:shd w:val="clear" w:color="auto" w:fill="E1DFDD"/>
    </w:rPr>
  </w:style>
  <w:style w:type="table" w:styleId="TableGrid">
    <w:name w:val="Table Grid"/>
    <w:basedOn w:val="TableNormal"/>
    <w:uiPriority w:val="59"/>
    <w:rsid w:val="00917B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36E66"/>
    <w:rPr>
      <w:color w:val="800080" w:themeColor="followedHyperlink"/>
      <w:u w:val="single"/>
    </w:rPr>
  </w:style>
  <w:style w:type="paragraph" w:styleId="Revision">
    <w:name w:val="Revision"/>
    <w:hidden/>
    <w:uiPriority w:val="99"/>
    <w:semiHidden/>
    <w:rsid w:val="00D65181"/>
    <w:pPr>
      <w:spacing w:after="0" w:line="240" w:lineRule="auto"/>
    </w:pPr>
    <w:rPr>
      <w:rFonts w:eastAsiaTheme="minorEastAsia"/>
      <w:lang w:eastAsia="en-AU"/>
    </w:rPr>
  </w:style>
  <w:style w:type="paragraph" w:customStyle="1" w:styleId="FundingAcknowledgement">
    <w:name w:val="Funding Acknowledgement"/>
    <w:basedOn w:val="Normal"/>
    <w:autoRedefine/>
    <w:qFormat/>
    <w:rsid w:val="00432683"/>
    <w:pPr>
      <w:pBdr>
        <w:top w:val="single" w:sz="36" w:space="10" w:color="43C7F4" w:themeColor="accent1"/>
        <w:bottom w:val="single" w:sz="36" w:space="10" w:color="43C7F4" w:themeColor="accent1"/>
      </w:pBdr>
      <w:spacing w:before="360" w:after="360"/>
      <w:ind w:right="-46"/>
    </w:pPr>
    <w:rPr>
      <w:rFonts w:ascii="Gotham" w:hAnsi="Gotham"/>
      <w:b/>
      <w:i/>
      <w:iCs/>
      <w:sz w:val="16"/>
      <w:lang w:val="en-US"/>
    </w:rPr>
  </w:style>
  <w:style w:type="character" w:customStyle="1" w:styleId="Heading5Char">
    <w:name w:val="Heading 5 Char"/>
    <w:basedOn w:val="DefaultParagraphFont"/>
    <w:link w:val="Heading5"/>
    <w:uiPriority w:val="9"/>
    <w:rsid w:val="002E4FFE"/>
    <w:rPr>
      <w:rFonts w:ascii="Calibri" w:eastAsia="MS Gothic" w:hAnsi="Calibri" w:cs="Times New Roman"/>
      <w:bCs/>
      <w:i/>
      <w:iCs/>
      <w:color w:val="086F93" w:themeColor="accent1" w:themeShade="80"/>
      <w:sz w:val="24"/>
      <w:lang w:val="en-US"/>
    </w:rPr>
  </w:style>
  <w:style w:type="paragraph" w:customStyle="1" w:styleId="Bulletlist2">
    <w:name w:val="Bullet list 2"/>
    <w:basedOn w:val="Bulletlist1"/>
    <w:link w:val="Bulletlist2Char"/>
    <w:qFormat/>
    <w:rsid w:val="0004526C"/>
    <w:pPr>
      <w:numPr>
        <w:ilvl w:val="1"/>
      </w:numPr>
    </w:pPr>
  </w:style>
  <w:style w:type="character" w:customStyle="1" w:styleId="Bulletlist1Char">
    <w:name w:val="Bullet list 1 Char"/>
    <w:basedOn w:val="DefaultParagraphFont"/>
    <w:link w:val="Bulletlist1"/>
    <w:rsid w:val="0004526C"/>
    <w:rPr>
      <w:rFonts w:ascii="Calibri" w:eastAsiaTheme="minorEastAsia" w:hAnsi="Calibri"/>
      <w:lang w:eastAsia="en-AU"/>
    </w:rPr>
  </w:style>
  <w:style w:type="paragraph" w:customStyle="1" w:styleId="Bulletlist3">
    <w:name w:val="Bullet list 3"/>
    <w:basedOn w:val="Bulletlist2"/>
    <w:link w:val="Bulletlist3Char"/>
    <w:qFormat/>
    <w:rsid w:val="0004526C"/>
    <w:pPr>
      <w:numPr>
        <w:ilvl w:val="2"/>
      </w:numPr>
    </w:pPr>
  </w:style>
  <w:style w:type="paragraph" w:customStyle="1" w:styleId="DocLabel">
    <w:name w:val="Doc Label"/>
    <w:basedOn w:val="Normal"/>
    <w:link w:val="DocLabelChar"/>
    <w:qFormat/>
    <w:rsid w:val="00877710"/>
    <w:pPr>
      <w:tabs>
        <w:tab w:val="right" w:pos="9026"/>
      </w:tabs>
    </w:pPr>
    <w:rPr>
      <w:rFonts w:ascii="Gotham Black" w:hAnsi="Gotham Black"/>
      <w:color w:val="43C7F4" w:themeColor="accent1"/>
      <w:sz w:val="36"/>
      <w:szCs w:val="36"/>
    </w:rPr>
  </w:style>
  <w:style w:type="character" w:customStyle="1" w:styleId="Bulletlist2Char">
    <w:name w:val="Bullet list 2 Char"/>
    <w:basedOn w:val="Bulletlist1Char"/>
    <w:link w:val="Bulletlist2"/>
    <w:rsid w:val="0004526C"/>
    <w:rPr>
      <w:rFonts w:ascii="Calibri" w:eastAsiaTheme="minorEastAsia" w:hAnsi="Calibri"/>
      <w:lang w:eastAsia="en-AU"/>
    </w:rPr>
  </w:style>
  <w:style w:type="paragraph" w:customStyle="1" w:styleId="DocDate">
    <w:name w:val="Doc Date"/>
    <w:basedOn w:val="Normal"/>
    <w:link w:val="DocDateChar"/>
    <w:qFormat/>
    <w:rsid w:val="00877710"/>
    <w:pPr>
      <w:tabs>
        <w:tab w:val="right" w:pos="9026"/>
      </w:tabs>
    </w:pPr>
    <w:rPr>
      <w:rFonts w:ascii="Gotham" w:hAnsi="Gotham"/>
      <w:b/>
      <w:bCs/>
    </w:rPr>
  </w:style>
  <w:style w:type="character" w:customStyle="1" w:styleId="DocLabelChar">
    <w:name w:val="Doc Label Char"/>
    <w:basedOn w:val="DefaultParagraphFont"/>
    <w:link w:val="DocLabel"/>
    <w:rsid w:val="00877710"/>
    <w:rPr>
      <w:rFonts w:ascii="Gotham Black" w:eastAsiaTheme="minorEastAsia" w:hAnsi="Gotham Black"/>
      <w:color w:val="43C7F4" w:themeColor="accent1"/>
      <w:sz w:val="36"/>
      <w:szCs w:val="36"/>
      <w:lang w:eastAsia="en-AU"/>
    </w:rPr>
  </w:style>
  <w:style w:type="paragraph" w:customStyle="1" w:styleId="Letterhead1">
    <w:name w:val="Letterhead 1"/>
    <w:basedOn w:val="Normal"/>
    <w:link w:val="Letterhead1Char"/>
    <w:qFormat/>
    <w:rsid w:val="002E4FFE"/>
    <w:pPr>
      <w:tabs>
        <w:tab w:val="left" w:pos="3855"/>
        <w:tab w:val="center" w:pos="4513"/>
        <w:tab w:val="right" w:pos="9026"/>
      </w:tabs>
      <w:spacing w:after="0"/>
      <w:jc w:val="right"/>
    </w:pPr>
    <w:rPr>
      <w:rFonts w:ascii="Gotham" w:hAnsi="Gotham"/>
      <w:b/>
      <w:bCs/>
      <w:spacing w:val="8"/>
      <w:sz w:val="20"/>
      <w:szCs w:val="20"/>
    </w:rPr>
  </w:style>
  <w:style w:type="character" w:customStyle="1" w:styleId="DocDateChar">
    <w:name w:val="Doc Date Char"/>
    <w:basedOn w:val="DefaultParagraphFont"/>
    <w:link w:val="DocDate"/>
    <w:rsid w:val="00877710"/>
    <w:rPr>
      <w:rFonts w:ascii="Gotham" w:eastAsiaTheme="minorEastAsia" w:hAnsi="Gotham"/>
      <w:b/>
      <w:bCs/>
      <w:lang w:eastAsia="en-AU"/>
    </w:rPr>
  </w:style>
  <w:style w:type="paragraph" w:customStyle="1" w:styleId="Letterhead2">
    <w:name w:val="Letterhead 2"/>
    <w:basedOn w:val="Normal"/>
    <w:link w:val="Letterhead2Char"/>
    <w:qFormat/>
    <w:rsid w:val="002E4FFE"/>
    <w:pPr>
      <w:tabs>
        <w:tab w:val="left" w:pos="1843"/>
        <w:tab w:val="center" w:pos="4513"/>
        <w:tab w:val="right" w:pos="9026"/>
      </w:tabs>
      <w:spacing w:after="0" w:line="240" w:lineRule="auto"/>
      <w:ind w:hanging="851"/>
    </w:pPr>
    <w:rPr>
      <w:rFonts w:ascii="Gotham" w:hAnsi="Gotham"/>
      <w:b/>
      <w:bCs/>
      <w:i/>
      <w:iCs/>
      <w:color w:val="43C7F4" w:themeColor="accent1"/>
    </w:rPr>
  </w:style>
  <w:style w:type="character" w:customStyle="1" w:styleId="Letterhead1Char">
    <w:name w:val="Letterhead 1 Char"/>
    <w:basedOn w:val="DefaultParagraphFont"/>
    <w:link w:val="Letterhead1"/>
    <w:rsid w:val="002E4FFE"/>
    <w:rPr>
      <w:rFonts w:ascii="Gotham" w:eastAsiaTheme="minorEastAsia" w:hAnsi="Gotham"/>
      <w:b/>
      <w:bCs/>
      <w:spacing w:val="8"/>
      <w:sz w:val="20"/>
      <w:szCs w:val="20"/>
      <w:lang w:eastAsia="en-AU"/>
    </w:rPr>
  </w:style>
  <w:style w:type="paragraph" w:styleId="NoSpacing">
    <w:name w:val="No Spacing"/>
    <w:uiPriority w:val="1"/>
    <w:qFormat/>
    <w:rsid w:val="00604680"/>
    <w:pPr>
      <w:spacing w:after="0" w:line="240" w:lineRule="auto"/>
    </w:pPr>
    <w:rPr>
      <w:rFonts w:eastAsiaTheme="minorEastAsia"/>
      <w:lang w:eastAsia="en-AU"/>
    </w:rPr>
  </w:style>
  <w:style w:type="character" w:customStyle="1" w:styleId="Letterhead2Char">
    <w:name w:val="Letterhead 2 Char"/>
    <w:basedOn w:val="DefaultParagraphFont"/>
    <w:link w:val="Letterhead2"/>
    <w:rsid w:val="002E4FFE"/>
    <w:rPr>
      <w:rFonts w:ascii="Gotham" w:eastAsiaTheme="minorEastAsia" w:hAnsi="Gotham"/>
      <w:b/>
      <w:bCs/>
      <w:i/>
      <w:iCs/>
      <w:color w:val="43C7F4" w:themeColor="accent1"/>
      <w:lang w:eastAsia="en-AU"/>
    </w:rPr>
  </w:style>
  <w:style w:type="character" w:styleId="IntenseEmphasis">
    <w:name w:val="Intense Emphasis"/>
    <w:basedOn w:val="DefaultParagraphFont"/>
    <w:uiPriority w:val="21"/>
    <w:rsid w:val="00124F88"/>
    <w:rPr>
      <w:i/>
      <w:iCs/>
      <w:color w:val="43C7F4" w:themeColor="accent1"/>
    </w:rPr>
  </w:style>
  <w:style w:type="paragraph" w:customStyle="1" w:styleId="Recommendation">
    <w:name w:val="Recommendation"/>
    <w:basedOn w:val="Normal"/>
    <w:link w:val="RecommendationChar"/>
    <w:qFormat/>
    <w:rsid w:val="00261658"/>
    <w:pPr>
      <w:numPr>
        <w:numId w:val="31"/>
      </w:numPr>
      <w:pBdr>
        <w:top w:val="single" w:sz="18" w:space="6" w:color="44C8F5"/>
        <w:left w:val="single" w:sz="18" w:space="5" w:color="44C8F5"/>
        <w:bottom w:val="single" w:sz="18" w:space="6" w:color="44C8F5"/>
        <w:right w:val="single" w:sz="18" w:space="5" w:color="44C8F5"/>
      </w:pBdr>
      <w:spacing w:before="100" w:beforeAutospacing="1" w:after="100" w:afterAutospacing="1" w:line="240" w:lineRule="auto"/>
      <w:ind w:right="851"/>
    </w:pPr>
    <w:rPr>
      <w:rFonts w:ascii="Calibri" w:hAnsi="Calibri"/>
      <w:lang w:eastAsia="en-US"/>
    </w:rPr>
  </w:style>
  <w:style w:type="character" w:customStyle="1" w:styleId="RecommendationChar">
    <w:name w:val="Recommendation Char"/>
    <w:basedOn w:val="DefaultParagraphFont"/>
    <w:link w:val="Recommendation"/>
    <w:rsid w:val="00261658"/>
    <w:rPr>
      <w:rFonts w:ascii="Calibri" w:eastAsiaTheme="minorEastAsia" w:hAnsi="Calibri"/>
    </w:rPr>
  </w:style>
  <w:style w:type="numbering" w:customStyle="1" w:styleId="Recommendations">
    <w:name w:val="Recommendations"/>
    <w:uiPriority w:val="99"/>
    <w:rsid w:val="00730BA6"/>
    <w:pPr>
      <w:numPr>
        <w:numId w:val="36"/>
      </w:numPr>
    </w:pPr>
  </w:style>
  <w:style w:type="character" w:customStyle="1" w:styleId="Bulletlist3Char">
    <w:name w:val="Bullet list 3 Char"/>
    <w:basedOn w:val="Bulletlist2Char"/>
    <w:link w:val="Bulletlist3"/>
    <w:rsid w:val="0004526C"/>
    <w:rPr>
      <w:rFonts w:ascii="Calibri" w:eastAsiaTheme="minorEastAsia" w:hAnsi="Calibri"/>
      <w:lang w:eastAsia="en-AU"/>
    </w:rPr>
  </w:style>
  <w:style w:type="table" w:styleId="ListTable3-Accent1">
    <w:name w:val="List Table 3 Accent 1"/>
    <w:basedOn w:val="TableNormal"/>
    <w:uiPriority w:val="48"/>
    <w:rsid w:val="00917B48"/>
    <w:pPr>
      <w:spacing w:after="0" w:line="240" w:lineRule="auto"/>
    </w:pPr>
    <w:tblPr>
      <w:tblStyleRowBandSize w:val="1"/>
      <w:tblStyleColBandSize w:val="1"/>
      <w:tblBorders>
        <w:top w:val="single" w:sz="4" w:space="0" w:color="43C7F4" w:themeColor="accent1"/>
        <w:left w:val="single" w:sz="4" w:space="0" w:color="43C7F4" w:themeColor="accent1"/>
        <w:bottom w:val="single" w:sz="4" w:space="0" w:color="43C7F4" w:themeColor="accent1"/>
        <w:right w:val="single" w:sz="4" w:space="0" w:color="43C7F4" w:themeColor="accent1"/>
      </w:tblBorders>
    </w:tblPr>
    <w:tblStylePr w:type="firstRow">
      <w:rPr>
        <w:b/>
        <w:bCs/>
        <w:color w:val="FFFFFF" w:themeColor="background1"/>
      </w:rPr>
      <w:tblPr/>
      <w:tcPr>
        <w:shd w:val="clear" w:color="auto" w:fill="43C7F4" w:themeFill="accent1"/>
      </w:tcPr>
    </w:tblStylePr>
    <w:tblStylePr w:type="lastRow">
      <w:rPr>
        <w:b/>
        <w:bCs/>
      </w:rPr>
      <w:tblPr/>
      <w:tcPr>
        <w:tcBorders>
          <w:top w:val="double" w:sz="4" w:space="0" w:color="43C7F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3C7F4" w:themeColor="accent1"/>
          <w:right w:val="single" w:sz="4" w:space="0" w:color="43C7F4" w:themeColor="accent1"/>
        </w:tcBorders>
      </w:tcPr>
    </w:tblStylePr>
    <w:tblStylePr w:type="band1Horz">
      <w:tblPr/>
      <w:tcPr>
        <w:tcBorders>
          <w:top w:val="single" w:sz="4" w:space="0" w:color="43C7F4" w:themeColor="accent1"/>
          <w:bottom w:val="single" w:sz="4" w:space="0" w:color="43C7F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3C7F4" w:themeColor="accent1"/>
          <w:left w:val="nil"/>
        </w:tcBorders>
      </w:tcPr>
    </w:tblStylePr>
    <w:tblStylePr w:type="swCell">
      <w:tblPr/>
      <w:tcPr>
        <w:tcBorders>
          <w:top w:val="double" w:sz="4" w:space="0" w:color="43C7F4" w:themeColor="accent1"/>
          <w:right w:val="nil"/>
        </w:tcBorders>
      </w:tcPr>
    </w:tblStylePr>
  </w:style>
  <w:style w:type="table" w:styleId="GridTable1Light-Accent1">
    <w:name w:val="Grid Table 1 Light Accent 1"/>
    <w:basedOn w:val="TableNormal"/>
    <w:uiPriority w:val="46"/>
    <w:rsid w:val="00917B48"/>
    <w:pPr>
      <w:spacing w:after="0" w:line="240" w:lineRule="auto"/>
    </w:pPr>
    <w:tblPr>
      <w:tblStyleRowBandSize w:val="1"/>
      <w:tblStyleColBandSize w:val="1"/>
      <w:tblBorders>
        <w:top w:val="single" w:sz="4" w:space="0" w:color="B3E8FA" w:themeColor="accent1" w:themeTint="66"/>
        <w:left w:val="single" w:sz="4" w:space="0" w:color="B3E8FA" w:themeColor="accent1" w:themeTint="66"/>
        <w:bottom w:val="single" w:sz="4" w:space="0" w:color="B3E8FA" w:themeColor="accent1" w:themeTint="66"/>
        <w:right w:val="single" w:sz="4" w:space="0" w:color="B3E8FA" w:themeColor="accent1" w:themeTint="66"/>
        <w:insideH w:val="single" w:sz="4" w:space="0" w:color="B3E8FA" w:themeColor="accent1" w:themeTint="66"/>
        <w:insideV w:val="single" w:sz="4" w:space="0" w:color="B3E8FA" w:themeColor="accent1" w:themeTint="66"/>
      </w:tblBorders>
    </w:tblPr>
    <w:tblStylePr w:type="firstRow">
      <w:rPr>
        <w:b/>
        <w:bCs/>
      </w:rPr>
      <w:tblPr/>
      <w:tcPr>
        <w:tcBorders>
          <w:bottom w:val="single" w:sz="12" w:space="0" w:color="8DDDF8" w:themeColor="accent1" w:themeTint="99"/>
        </w:tcBorders>
      </w:tcPr>
    </w:tblStylePr>
    <w:tblStylePr w:type="lastRow">
      <w:rPr>
        <w:b/>
        <w:bCs/>
      </w:rPr>
      <w:tblPr/>
      <w:tcPr>
        <w:tcBorders>
          <w:top w:val="double" w:sz="2" w:space="0" w:color="8DDDF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A7A37"/>
    <w:pPr>
      <w:spacing w:after="0" w:line="240" w:lineRule="auto"/>
    </w:pPr>
    <w:tblPr>
      <w:tblStyleRowBandSize w:val="1"/>
      <w:tblStyleColBandSize w:val="1"/>
      <w:tblBorders>
        <w:top w:val="single" w:sz="4" w:space="0" w:color="ACCADF" w:themeColor="accent2" w:themeTint="66"/>
        <w:left w:val="single" w:sz="4" w:space="0" w:color="ACCADF" w:themeColor="accent2" w:themeTint="66"/>
        <w:bottom w:val="single" w:sz="4" w:space="0" w:color="ACCADF" w:themeColor="accent2" w:themeTint="66"/>
        <w:right w:val="single" w:sz="4" w:space="0" w:color="ACCADF" w:themeColor="accent2" w:themeTint="66"/>
        <w:insideH w:val="single" w:sz="4" w:space="0" w:color="ACCADF" w:themeColor="accent2" w:themeTint="66"/>
        <w:insideV w:val="single" w:sz="4" w:space="0" w:color="ACCADF" w:themeColor="accent2" w:themeTint="66"/>
      </w:tblBorders>
    </w:tblPr>
    <w:tblStylePr w:type="firstRow">
      <w:rPr>
        <w:b/>
        <w:bCs/>
      </w:rPr>
      <w:tblPr/>
      <w:tcPr>
        <w:tcBorders>
          <w:bottom w:val="single" w:sz="12" w:space="0" w:color="83AFD0" w:themeColor="accent2" w:themeTint="99"/>
        </w:tcBorders>
      </w:tcPr>
    </w:tblStylePr>
    <w:tblStylePr w:type="lastRow">
      <w:rPr>
        <w:b/>
        <w:bCs/>
      </w:rPr>
      <w:tblPr/>
      <w:tcPr>
        <w:tcBorders>
          <w:top w:val="double" w:sz="2" w:space="0" w:color="83AFD0" w:themeColor="accent2" w:themeTint="99"/>
        </w:tcBorders>
      </w:tcPr>
    </w:tblStylePr>
    <w:tblStylePr w:type="firstCol">
      <w:rPr>
        <w:b/>
        <w:bCs/>
      </w:rPr>
    </w:tblStylePr>
    <w:tblStylePr w:type="lastCol">
      <w:rPr>
        <w:b/>
        <w:bCs/>
      </w:rPr>
    </w:tblStylePr>
  </w:style>
  <w:style w:type="paragraph" w:customStyle="1" w:styleId="Footnotes">
    <w:name w:val="Footnotes"/>
    <w:basedOn w:val="Normal"/>
    <w:link w:val="FootnotesChar"/>
    <w:qFormat/>
    <w:rsid w:val="00DB4E2B"/>
    <w:rPr>
      <w:sz w:val="20"/>
      <w:szCs w:val="20"/>
    </w:rPr>
  </w:style>
  <w:style w:type="character" w:customStyle="1" w:styleId="FootnotesChar">
    <w:name w:val="Footnotes Char"/>
    <w:basedOn w:val="DefaultParagraphFont"/>
    <w:link w:val="Footnotes"/>
    <w:rsid w:val="00DB4E2B"/>
    <w:rPr>
      <w:rFonts w:eastAsiaTheme="minorEastAsia"/>
      <w:sz w:val="20"/>
      <w:szCs w:val="20"/>
      <w:lang w:eastAsia="en-AU"/>
    </w:rPr>
  </w:style>
  <w:style w:type="paragraph" w:customStyle="1" w:styleId="BodyText1">
    <w:name w:val="Body Text1"/>
    <w:basedOn w:val="Normal"/>
    <w:qFormat/>
    <w:rsid w:val="00750D7B"/>
    <w:rPr>
      <w:rFonts w:ascii="Arial" w:eastAsia="Calibri" w:hAnsi="Arial" w:cs="Arial"/>
      <w:color w:val="000000"/>
      <w:lang w:eastAsia="en-US"/>
    </w:rPr>
  </w:style>
  <w:style w:type="paragraph" w:styleId="CommentText">
    <w:name w:val="annotation text"/>
    <w:basedOn w:val="Normal"/>
    <w:link w:val="CommentTextChar"/>
    <w:uiPriority w:val="99"/>
    <w:semiHidden/>
    <w:unhideWhenUsed/>
    <w:rsid w:val="005B7C44"/>
    <w:pPr>
      <w:spacing w:line="240" w:lineRule="auto"/>
    </w:pPr>
    <w:rPr>
      <w:sz w:val="20"/>
      <w:szCs w:val="20"/>
    </w:rPr>
  </w:style>
  <w:style w:type="character" w:customStyle="1" w:styleId="CommentTextChar">
    <w:name w:val="Comment Text Char"/>
    <w:basedOn w:val="DefaultParagraphFont"/>
    <w:link w:val="CommentText"/>
    <w:uiPriority w:val="99"/>
    <w:semiHidden/>
    <w:rsid w:val="005B7C44"/>
    <w:rPr>
      <w:rFonts w:eastAsiaTheme="minorEastAsia"/>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572333">
      <w:bodyDiv w:val="1"/>
      <w:marLeft w:val="0"/>
      <w:marRight w:val="0"/>
      <w:marTop w:val="0"/>
      <w:marBottom w:val="0"/>
      <w:divBdr>
        <w:top w:val="none" w:sz="0" w:space="0" w:color="auto"/>
        <w:left w:val="none" w:sz="0" w:space="0" w:color="auto"/>
        <w:bottom w:val="none" w:sz="0" w:space="0" w:color="auto"/>
        <w:right w:val="none" w:sz="0" w:space="0" w:color="auto"/>
      </w:divBdr>
    </w:div>
    <w:div w:id="119569641">
      <w:bodyDiv w:val="1"/>
      <w:marLeft w:val="0"/>
      <w:marRight w:val="0"/>
      <w:marTop w:val="0"/>
      <w:marBottom w:val="0"/>
      <w:divBdr>
        <w:top w:val="none" w:sz="0" w:space="0" w:color="auto"/>
        <w:left w:val="none" w:sz="0" w:space="0" w:color="auto"/>
        <w:bottom w:val="none" w:sz="0" w:space="0" w:color="auto"/>
        <w:right w:val="none" w:sz="0" w:space="0" w:color="auto"/>
      </w:divBdr>
    </w:div>
    <w:div w:id="123548982">
      <w:bodyDiv w:val="1"/>
      <w:marLeft w:val="0"/>
      <w:marRight w:val="0"/>
      <w:marTop w:val="0"/>
      <w:marBottom w:val="0"/>
      <w:divBdr>
        <w:top w:val="none" w:sz="0" w:space="0" w:color="auto"/>
        <w:left w:val="none" w:sz="0" w:space="0" w:color="auto"/>
        <w:bottom w:val="none" w:sz="0" w:space="0" w:color="auto"/>
        <w:right w:val="none" w:sz="0" w:space="0" w:color="auto"/>
      </w:divBdr>
    </w:div>
    <w:div w:id="208804938">
      <w:bodyDiv w:val="1"/>
      <w:marLeft w:val="0"/>
      <w:marRight w:val="0"/>
      <w:marTop w:val="0"/>
      <w:marBottom w:val="0"/>
      <w:divBdr>
        <w:top w:val="none" w:sz="0" w:space="0" w:color="auto"/>
        <w:left w:val="none" w:sz="0" w:space="0" w:color="auto"/>
        <w:bottom w:val="none" w:sz="0" w:space="0" w:color="auto"/>
        <w:right w:val="none" w:sz="0" w:space="0" w:color="auto"/>
      </w:divBdr>
    </w:div>
    <w:div w:id="215165960">
      <w:bodyDiv w:val="1"/>
      <w:marLeft w:val="0"/>
      <w:marRight w:val="0"/>
      <w:marTop w:val="0"/>
      <w:marBottom w:val="0"/>
      <w:divBdr>
        <w:top w:val="none" w:sz="0" w:space="0" w:color="auto"/>
        <w:left w:val="none" w:sz="0" w:space="0" w:color="auto"/>
        <w:bottom w:val="none" w:sz="0" w:space="0" w:color="auto"/>
        <w:right w:val="none" w:sz="0" w:space="0" w:color="auto"/>
      </w:divBdr>
    </w:div>
    <w:div w:id="240140262">
      <w:bodyDiv w:val="1"/>
      <w:marLeft w:val="0"/>
      <w:marRight w:val="0"/>
      <w:marTop w:val="0"/>
      <w:marBottom w:val="0"/>
      <w:divBdr>
        <w:top w:val="none" w:sz="0" w:space="0" w:color="auto"/>
        <w:left w:val="none" w:sz="0" w:space="0" w:color="auto"/>
        <w:bottom w:val="none" w:sz="0" w:space="0" w:color="auto"/>
        <w:right w:val="none" w:sz="0" w:space="0" w:color="auto"/>
      </w:divBdr>
    </w:div>
    <w:div w:id="284888464">
      <w:bodyDiv w:val="1"/>
      <w:marLeft w:val="0"/>
      <w:marRight w:val="0"/>
      <w:marTop w:val="0"/>
      <w:marBottom w:val="0"/>
      <w:divBdr>
        <w:top w:val="none" w:sz="0" w:space="0" w:color="auto"/>
        <w:left w:val="none" w:sz="0" w:space="0" w:color="auto"/>
        <w:bottom w:val="none" w:sz="0" w:space="0" w:color="auto"/>
        <w:right w:val="none" w:sz="0" w:space="0" w:color="auto"/>
      </w:divBdr>
    </w:div>
    <w:div w:id="304046622">
      <w:bodyDiv w:val="1"/>
      <w:marLeft w:val="0"/>
      <w:marRight w:val="0"/>
      <w:marTop w:val="0"/>
      <w:marBottom w:val="0"/>
      <w:divBdr>
        <w:top w:val="none" w:sz="0" w:space="0" w:color="auto"/>
        <w:left w:val="none" w:sz="0" w:space="0" w:color="auto"/>
        <w:bottom w:val="none" w:sz="0" w:space="0" w:color="auto"/>
        <w:right w:val="none" w:sz="0" w:space="0" w:color="auto"/>
      </w:divBdr>
    </w:div>
    <w:div w:id="408314425">
      <w:bodyDiv w:val="1"/>
      <w:marLeft w:val="0"/>
      <w:marRight w:val="0"/>
      <w:marTop w:val="0"/>
      <w:marBottom w:val="0"/>
      <w:divBdr>
        <w:top w:val="none" w:sz="0" w:space="0" w:color="auto"/>
        <w:left w:val="none" w:sz="0" w:space="0" w:color="auto"/>
        <w:bottom w:val="none" w:sz="0" w:space="0" w:color="auto"/>
        <w:right w:val="none" w:sz="0" w:space="0" w:color="auto"/>
      </w:divBdr>
    </w:div>
    <w:div w:id="558976667">
      <w:bodyDiv w:val="1"/>
      <w:marLeft w:val="0"/>
      <w:marRight w:val="0"/>
      <w:marTop w:val="0"/>
      <w:marBottom w:val="0"/>
      <w:divBdr>
        <w:top w:val="none" w:sz="0" w:space="0" w:color="auto"/>
        <w:left w:val="none" w:sz="0" w:space="0" w:color="auto"/>
        <w:bottom w:val="none" w:sz="0" w:space="0" w:color="auto"/>
        <w:right w:val="none" w:sz="0" w:space="0" w:color="auto"/>
      </w:divBdr>
    </w:div>
    <w:div w:id="612790912">
      <w:bodyDiv w:val="1"/>
      <w:marLeft w:val="0"/>
      <w:marRight w:val="0"/>
      <w:marTop w:val="0"/>
      <w:marBottom w:val="0"/>
      <w:divBdr>
        <w:top w:val="none" w:sz="0" w:space="0" w:color="auto"/>
        <w:left w:val="none" w:sz="0" w:space="0" w:color="auto"/>
        <w:bottom w:val="none" w:sz="0" w:space="0" w:color="auto"/>
        <w:right w:val="none" w:sz="0" w:space="0" w:color="auto"/>
      </w:divBdr>
    </w:div>
    <w:div w:id="675813625">
      <w:bodyDiv w:val="1"/>
      <w:marLeft w:val="0"/>
      <w:marRight w:val="0"/>
      <w:marTop w:val="0"/>
      <w:marBottom w:val="0"/>
      <w:divBdr>
        <w:top w:val="none" w:sz="0" w:space="0" w:color="auto"/>
        <w:left w:val="none" w:sz="0" w:space="0" w:color="auto"/>
        <w:bottom w:val="none" w:sz="0" w:space="0" w:color="auto"/>
        <w:right w:val="none" w:sz="0" w:space="0" w:color="auto"/>
      </w:divBdr>
    </w:div>
    <w:div w:id="692655905">
      <w:bodyDiv w:val="1"/>
      <w:marLeft w:val="0"/>
      <w:marRight w:val="0"/>
      <w:marTop w:val="0"/>
      <w:marBottom w:val="0"/>
      <w:divBdr>
        <w:top w:val="none" w:sz="0" w:space="0" w:color="auto"/>
        <w:left w:val="none" w:sz="0" w:space="0" w:color="auto"/>
        <w:bottom w:val="none" w:sz="0" w:space="0" w:color="auto"/>
        <w:right w:val="none" w:sz="0" w:space="0" w:color="auto"/>
      </w:divBdr>
    </w:div>
    <w:div w:id="748692367">
      <w:bodyDiv w:val="1"/>
      <w:marLeft w:val="0"/>
      <w:marRight w:val="0"/>
      <w:marTop w:val="0"/>
      <w:marBottom w:val="0"/>
      <w:divBdr>
        <w:top w:val="none" w:sz="0" w:space="0" w:color="auto"/>
        <w:left w:val="none" w:sz="0" w:space="0" w:color="auto"/>
        <w:bottom w:val="none" w:sz="0" w:space="0" w:color="auto"/>
        <w:right w:val="none" w:sz="0" w:space="0" w:color="auto"/>
      </w:divBdr>
    </w:div>
    <w:div w:id="805701622">
      <w:bodyDiv w:val="1"/>
      <w:marLeft w:val="0"/>
      <w:marRight w:val="0"/>
      <w:marTop w:val="0"/>
      <w:marBottom w:val="0"/>
      <w:divBdr>
        <w:top w:val="none" w:sz="0" w:space="0" w:color="auto"/>
        <w:left w:val="none" w:sz="0" w:space="0" w:color="auto"/>
        <w:bottom w:val="none" w:sz="0" w:space="0" w:color="auto"/>
        <w:right w:val="none" w:sz="0" w:space="0" w:color="auto"/>
      </w:divBdr>
    </w:div>
    <w:div w:id="812873634">
      <w:bodyDiv w:val="1"/>
      <w:marLeft w:val="0"/>
      <w:marRight w:val="0"/>
      <w:marTop w:val="0"/>
      <w:marBottom w:val="0"/>
      <w:divBdr>
        <w:top w:val="none" w:sz="0" w:space="0" w:color="auto"/>
        <w:left w:val="none" w:sz="0" w:space="0" w:color="auto"/>
        <w:bottom w:val="none" w:sz="0" w:space="0" w:color="auto"/>
        <w:right w:val="none" w:sz="0" w:space="0" w:color="auto"/>
      </w:divBdr>
    </w:div>
    <w:div w:id="847213487">
      <w:bodyDiv w:val="1"/>
      <w:marLeft w:val="0"/>
      <w:marRight w:val="0"/>
      <w:marTop w:val="0"/>
      <w:marBottom w:val="0"/>
      <w:divBdr>
        <w:top w:val="none" w:sz="0" w:space="0" w:color="auto"/>
        <w:left w:val="none" w:sz="0" w:space="0" w:color="auto"/>
        <w:bottom w:val="none" w:sz="0" w:space="0" w:color="auto"/>
        <w:right w:val="none" w:sz="0" w:space="0" w:color="auto"/>
      </w:divBdr>
    </w:div>
    <w:div w:id="918519613">
      <w:bodyDiv w:val="1"/>
      <w:marLeft w:val="0"/>
      <w:marRight w:val="0"/>
      <w:marTop w:val="0"/>
      <w:marBottom w:val="0"/>
      <w:divBdr>
        <w:top w:val="none" w:sz="0" w:space="0" w:color="auto"/>
        <w:left w:val="none" w:sz="0" w:space="0" w:color="auto"/>
        <w:bottom w:val="none" w:sz="0" w:space="0" w:color="auto"/>
        <w:right w:val="none" w:sz="0" w:space="0" w:color="auto"/>
      </w:divBdr>
    </w:div>
    <w:div w:id="931814667">
      <w:bodyDiv w:val="1"/>
      <w:marLeft w:val="0"/>
      <w:marRight w:val="0"/>
      <w:marTop w:val="0"/>
      <w:marBottom w:val="0"/>
      <w:divBdr>
        <w:top w:val="none" w:sz="0" w:space="0" w:color="auto"/>
        <w:left w:val="none" w:sz="0" w:space="0" w:color="auto"/>
        <w:bottom w:val="none" w:sz="0" w:space="0" w:color="auto"/>
        <w:right w:val="none" w:sz="0" w:space="0" w:color="auto"/>
      </w:divBdr>
    </w:div>
    <w:div w:id="937909959">
      <w:bodyDiv w:val="1"/>
      <w:marLeft w:val="0"/>
      <w:marRight w:val="0"/>
      <w:marTop w:val="0"/>
      <w:marBottom w:val="0"/>
      <w:divBdr>
        <w:top w:val="none" w:sz="0" w:space="0" w:color="auto"/>
        <w:left w:val="none" w:sz="0" w:space="0" w:color="auto"/>
        <w:bottom w:val="none" w:sz="0" w:space="0" w:color="auto"/>
        <w:right w:val="none" w:sz="0" w:space="0" w:color="auto"/>
      </w:divBdr>
    </w:div>
    <w:div w:id="1045372483">
      <w:bodyDiv w:val="1"/>
      <w:marLeft w:val="0"/>
      <w:marRight w:val="0"/>
      <w:marTop w:val="0"/>
      <w:marBottom w:val="0"/>
      <w:divBdr>
        <w:top w:val="none" w:sz="0" w:space="0" w:color="auto"/>
        <w:left w:val="none" w:sz="0" w:space="0" w:color="auto"/>
        <w:bottom w:val="none" w:sz="0" w:space="0" w:color="auto"/>
        <w:right w:val="none" w:sz="0" w:space="0" w:color="auto"/>
      </w:divBdr>
    </w:div>
    <w:div w:id="1060863082">
      <w:bodyDiv w:val="1"/>
      <w:marLeft w:val="0"/>
      <w:marRight w:val="0"/>
      <w:marTop w:val="0"/>
      <w:marBottom w:val="0"/>
      <w:divBdr>
        <w:top w:val="none" w:sz="0" w:space="0" w:color="auto"/>
        <w:left w:val="none" w:sz="0" w:space="0" w:color="auto"/>
        <w:bottom w:val="none" w:sz="0" w:space="0" w:color="auto"/>
        <w:right w:val="none" w:sz="0" w:space="0" w:color="auto"/>
      </w:divBdr>
    </w:div>
    <w:div w:id="1064066064">
      <w:bodyDiv w:val="1"/>
      <w:marLeft w:val="0"/>
      <w:marRight w:val="0"/>
      <w:marTop w:val="0"/>
      <w:marBottom w:val="0"/>
      <w:divBdr>
        <w:top w:val="none" w:sz="0" w:space="0" w:color="auto"/>
        <w:left w:val="none" w:sz="0" w:space="0" w:color="auto"/>
        <w:bottom w:val="none" w:sz="0" w:space="0" w:color="auto"/>
        <w:right w:val="none" w:sz="0" w:space="0" w:color="auto"/>
      </w:divBdr>
    </w:div>
    <w:div w:id="1085146870">
      <w:bodyDiv w:val="1"/>
      <w:marLeft w:val="0"/>
      <w:marRight w:val="0"/>
      <w:marTop w:val="0"/>
      <w:marBottom w:val="0"/>
      <w:divBdr>
        <w:top w:val="none" w:sz="0" w:space="0" w:color="auto"/>
        <w:left w:val="none" w:sz="0" w:space="0" w:color="auto"/>
        <w:bottom w:val="none" w:sz="0" w:space="0" w:color="auto"/>
        <w:right w:val="none" w:sz="0" w:space="0" w:color="auto"/>
      </w:divBdr>
    </w:div>
    <w:div w:id="1094667650">
      <w:bodyDiv w:val="1"/>
      <w:marLeft w:val="0"/>
      <w:marRight w:val="0"/>
      <w:marTop w:val="0"/>
      <w:marBottom w:val="0"/>
      <w:divBdr>
        <w:top w:val="none" w:sz="0" w:space="0" w:color="auto"/>
        <w:left w:val="none" w:sz="0" w:space="0" w:color="auto"/>
        <w:bottom w:val="none" w:sz="0" w:space="0" w:color="auto"/>
        <w:right w:val="none" w:sz="0" w:space="0" w:color="auto"/>
      </w:divBdr>
    </w:div>
    <w:div w:id="1167786340">
      <w:bodyDiv w:val="1"/>
      <w:marLeft w:val="0"/>
      <w:marRight w:val="0"/>
      <w:marTop w:val="0"/>
      <w:marBottom w:val="0"/>
      <w:divBdr>
        <w:top w:val="none" w:sz="0" w:space="0" w:color="auto"/>
        <w:left w:val="none" w:sz="0" w:space="0" w:color="auto"/>
        <w:bottom w:val="none" w:sz="0" w:space="0" w:color="auto"/>
        <w:right w:val="none" w:sz="0" w:space="0" w:color="auto"/>
      </w:divBdr>
    </w:div>
    <w:div w:id="1212111848">
      <w:bodyDiv w:val="1"/>
      <w:marLeft w:val="0"/>
      <w:marRight w:val="0"/>
      <w:marTop w:val="0"/>
      <w:marBottom w:val="0"/>
      <w:divBdr>
        <w:top w:val="none" w:sz="0" w:space="0" w:color="auto"/>
        <w:left w:val="none" w:sz="0" w:space="0" w:color="auto"/>
        <w:bottom w:val="none" w:sz="0" w:space="0" w:color="auto"/>
        <w:right w:val="none" w:sz="0" w:space="0" w:color="auto"/>
      </w:divBdr>
    </w:div>
    <w:div w:id="1239746668">
      <w:bodyDiv w:val="1"/>
      <w:marLeft w:val="0"/>
      <w:marRight w:val="0"/>
      <w:marTop w:val="0"/>
      <w:marBottom w:val="0"/>
      <w:divBdr>
        <w:top w:val="none" w:sz="0" w:space="0" w:color="auto"/>
        <w:left w:val="none" w:sz="0" w:space="0" w:color="auto"/>
        <w:bottom w:val="none" w:sz="0" w:space="0" w:color="auto"/>
        <w:right w:val="none" w:sz="0" w:space="0" w:color="auto"/>
      </w:divBdr>
    </w:div>
    <w:div w:id="1302999721">
      <w:bodyDiv w:val="1"/>
      <w:marLeft w:val="0"/>
      <w:marRight w:val="0"/>
      <w:marTop w:val="0"/>
      <w:marBottom w:val="0"/>
      <w:divBdr>
        <w:top w:val="none" w:sz="0" w:space="0" w:color="auto"/>
        <w:left w:val="none" w:sz="0" w:space="0" w:color="auto"/>
        <w:bottom w:val="none" w:sz="0" w:space="0" w:color="auto"/>
        <w:right w:val="none" w:sz="0" w:space="0" w:color="auto"/>
      </w:divBdr>
    </w:div>
    <w:div w:id="1354918187">
      <w:bodyDiv w:val="1"/>
      <w:marLeft w:val="0"/>
      <w:marRight w:val="0"/>
      <w:marTop w:val="0"/>
      <w:marBottom w:val="0"/>
      <w:divBdr>
        <w:top w:val="none" w:sz="0" w:space="0" w:color="auto"/>
        <w:left w:val="none" w:sz="0" w:space="0" w:color="auto"/>
        <w:bottom w:val="none" w:sz="0" w:space="0" w:color="auto"/>
        <w:right w:val="none" w:sz="0" w:space="0" w:color="auto"/>
      </w:divBdr>
    </w:div>
    <w:div w:id="1463888701">
      <w:bodyDiv w:val="1"/>
      <w:marLeft w:val="0"/>
      <w:marRight w:val="0"/>
      <w:marTop w:val="0"/>
      <w:marBottom w:val="0"/>
      <w:divBdr>
        <w:top w:val="none" w:sz="0" w:space="0" w:color="auto"/>
        <w:left w:val="none" w:sz="0" w:space="0" w:color="auto"/>
        <w:bottom w:val="none" w:sz="0" w:space="0" w:color="auto"/>
        <w:right w:val="none" w:sz="0" w:space="0" w:color="auto"/>
      </w:divBdr>
    </w:div>
    <w:div w:id="1470897400">
      <w:bodyDiv w:val="1"/>
      <w:marLeft w:val="0"/>
      <w:marRight w:val="0"/>
      <w:marTop w:val="0"/>
      <w:marBottom w:val="0"/>
      <w:divBdr>
        <w:top w:val="none" w:sz="0" w:space="0" w:color="auto"/>
        <w:left w:val="none" w:sz="0" w:space="0" w:color="auto"/>
        <w:bottom w:val="none" w:sz="0" w:space="0" w:color="auto"/>
        <w:right w:val="none" w:sz="0" w:space="0" w:color="auto"/>
      </w:divBdr>
    </w:div>
    <w:div w:id="1534539415">
      <w:bodyDiv w:val="1"/>
      <w:marLeft w:val="0"/>
      <w:marRight w:val="0"/>
      <w:marTop w:val="0"/>
      <w:marBottom w:val="0"/>
      <w:divBdr>
        <w:top w:val="none" w:sz="0" w:space="0" w:color="auto"/>
        <w:left w:val="none" w:sz="0" w:space="0" w:color="auto"/>
        <w:bottom w:val="none" w:sz="0" w:space="0" w:color="auto"/>
        <w:right w:val="none" w:sz="0" w:space="0" w:color="auto"/>
      </w:divBdr>
    </w:div>
    <w:div w:id="1536698264">
      <w:bodyDiv w:val="1"/>
      <w:marLeft w:val="0"/>
      <w:marRight w:val="0"/>
      <w:marTop w:val="0"/>
      <w:marBottom w:val="0"/>
      <w:divBdr>
        <w:top w:val="none" w:sz="0" w:space="0" w:color="auto"/>
        <w:left w:val="none" w:sz="0" w:space="0" w:color="auto"/>
        <w:bottom w:val="none" w:sz="0" w:space="0" w:color="auto"/>
        <w:right w:val="none" w:sz="0" w:space="0" w:color="auto"/>
      </w:divBdr>
    </w:div>
    <w:div w:id="1539900652">
      <w:bodyDiv w:val="1"/>
      <w:marLeft w:val="0"/>
      <w:marRight w:val="0"/>
      <w:marTop w:val="0"/>
      <w:marBottom w:val="0"/>
      <w:divBdr>
        <w:top w:val="none" w:sz="0" w:space="0" w:color="auto"/>
        <w:left w:val="none" w:sz="0" w:space="0" w:color="auto"/>
        <w:bottom w:val="none" w:sz="0" w:space="0" w:color="auto"/>
        <w:right w:val="none" w:sz="0" w:space="0" w:color="auto"/>
      </w:divBdr>
    </w:div>
    <w:div w:id="1543522191">
      <w:bodyDiv w:val="1"/>
      <w:marLeft w:val="0"/>
      <w:marRight w:val="0"/>
      <w:marTop w:val="0"/>
      <w:marBottom w:val="0"/>
      <w:divBdr>
        <w:top w:val="none" w:sz="0" w:space="0" w:color="auto"/>
        <w:left w:val="none" w:sz="0" w:space="0" w:color="auto"/>
        <w:bottom w:val="none" w:sz="0" w:space="0" w:color="auto"/>
        <w:right w:val="none" w:sz="0" w:space="0" w:color="auto"/>
      </w:divBdr>
    </w:div>
    <w:div w:id="1559777881">
      <w:bodyDiv w:val="1"/>
      <w:marLeft w:val="0"/>
      <w:marRight w:val="0"/>
      <w:marTop w:val="0"/>
      <w:marBottom w:val="0"/>
      <w:divBdr>
        <w:top w:val="none" w:sz="0" w:space="0" w:color="auto"/>
        <w:left w:val="none" w:sz="0" w:space="0" w:color="auto"/>
        <w:bottom w:val="none" w:sz="0" w:space="0" w:color="auto"/>
        <w:right w:val="none" w:sz="0" w:space="0" w:color="auto"/>
      </w:divBdr>
      <w:divsChild>
        <w:div w:id="1006904912">
          <w:marLeft w:val="0"/>
          <w:marRight w:val="0"/>
          <w:marTop w:val="0"/>
          <w:marBottom w:val="0"/>
          <w:divBdr>
            <w:top w:val="none" w:sz="0" w:space="0" w:color="auto"/>
            <w:left w:val="none" w:sz="0" w:space="0" w:color="auto"/>
            <w:bottom w:val="none" w:sz="0" w:space="0" w:color="auto"/>
            <w:right w:val="none" w:sz="0" w:space="0" w:color="auto"/>
          </w:divBdr>
        </w:div>
      </w:divsChild>
    </w:div>
    <w:div w:id="1560894056">
      <w:bodyDiv w:val="1"/>
      <w:marLeft w:val="0"/>
      <w:marRight w:val="0"/>
      <w:marTop w:val="0"/>
      <w:marBottom w:val="0"/>
      <w:divBdr>
        <w:top w:val="none" w:sz="0" w:space="0" w:color="auto"/>
        <w:left w:val="none" w:sz="0" w:space="0" w:color="auto"/>
        <w:bottom w:val="none" w:sz="0" w:space="0" w:color="auto"/>
        <w:right w:val="none" w:sz="0" w:space="0" w:color="auto"/>
      </w:divBdr>
    </w:div>
    <w:div w:id="1575627504">
      <w:bodyDiv w:val="1"/>
      <w:marLeft w:val="0"/>
      <w:marRight w:val="0"/>
      <w:marTop w:val="0"/>
      <w:marBottom w:val="0"/>
      <w:divBdr>
        <w:top w:val="none" w:sz="0" w:space="0" w:color="auto"/>
        <w:left w:val="none" w:sz="0" w:space="0" w:color="auto"/>
        <w:bottom w:val="none" w:sz="0" w:space="0" w:color="auto"/>
        <w:right w:val="none" w:sz="0" w:space="0" w:color="auto"/>
      </w:divBdr>
    </w:div>
    <w:div w:id="1607928095">
      <w:bodyDiv w:val="1"/>
      <w:marLeft w:val="0"/>
      <w:marRight w:val="0"/>
      <w:marTop w:val="0"/>
      <w:marBottom w:val="0"/>
      <w:divBdr>
        <w:top w:val="none" w:sz="0" w:space="0" w:color="auto"/>
        <w:left w:val="none" w:sz="0" w:space="0" w:color="auto"/>
        <w:bottom w:val="none" w:sz="0" w:space="0" w:color="auto"/>
        <w:right w:val="none" w:sz="0" w:space="0" w:color="auto"/>
      </w:divBdr>
    </w:div>
    <w:div w:id="1613631364">
      <w:bodyDiv w:val="1"/>
      <w:marLeft w:val="0"/>
      <w:marRight w:val="0"/>
      <w:marTop w:val="0"/>
      <w:marBottom w:val="0"/>
      <w:divBdr>
        <w:top w:val="none" w:sz="0" w:space="0" w:color="auto"/>
        <w:left w:val="none" w:sz="0" w:space="0" w:color="auto"/>
        <w:bottom w:val="none" w:sz="0" w:space="0" w:color="auto"/>
        <w:right w:val="none" w:sz="0" w:space="0" w:color="auto"/>
      </w:divBdr>
    </w:div>
    <w:div w:id="1657876862">
      <w:bodyDiv w:val="1"/>
      <w:marLeft w:val="0"/>
      <w:marRight w:val="0"/>
      <w:marTop w:val="0"/>
      <w:marBottom w:val="0"/>
      <w:divBdr>
        <w:top w:val="none" w:sz="0" w:space="0" w:color="auto"/>
        <w:left w:val="none" w:sz="0" w:space="0" w:color="auto"/>
        <w:bottom w:val="none" w:sz="0" w:space="0" w:color="auto"/>
        <w:right w:val="none" w:sz="0" w:space="0" w:color="auto"/>
      </w:divBdr>
    </w:div>
    <w:div w:id="1699894979">
      <w:bodyDiv w:val="1"/>
      <w:marLeft w:val="0"/>
      <w:marRight w:val="0"/>
      <w:marTop w:val="0"/>
      <w:marBottom w:val="0"/>
      <w:divBdr>
        <w:top w:val="none" w:sz="0" w:space="0" w:color="auto"/>
        <w:left w:val="none" w:sz="0" w:space="0" w:color="auto"/>
        <w:bottom w:val="none" w:sz="0" w:space="0" w:color="auto"/>
        <w:right w:val="none" w:sz="0" w:space="0" w:color="auto"/>
      </w:divBdr>
    </w:div>
    <w:div w:id="1709377364">
      <w:bodyDiv w:val="1"/>
      <w:marLeft w:val="0"/>
      <w:marRight w:val="0"/>
      <w:marTop w:val="0"/>
      <w:marBottom w:val="0"/>
      <w:divBdr>
        <w:top w:val="none" w:sz="0" w:space="0" w:color="auto"/>
        <w:left w:val="none" w:sz="0" w:space="0" w:color="auto"/>
        <w:bottom w:val="none" w:sz="0" w:space="0" w:color="auto"/>
        <w:right w:val="none" w:sz="0" w:space="0" w:color="auto"/>
      </w:divBdr>
    </w:div>
    <w:div w:id="1712992693">
      <w:bodyDiv w:val="1"/>
      <w:marLeft w:val="0"/>
      <w:marRight w:val="0"/>
      <w:marTop w:val="0"/>
      <w:marBottom w:val="0"/>
      <w:divBdr>
        <w:top w:val="none" w:sz="0" w:space="0" w:color="auto"/>
        <w:left w:val="none" w:sz="0" w:space="0" w:color="auto"/>
        <w:bottom w:val="none" w:sz="0" w:space="0" w:color="auto"/>
        <w:right w:val="none" w:sz="0" w:space="0" w:color="auto"/>
      </w:divBdr>
    </w:div>
    <w:div w:id="1728800082">
      <w:bodyDiv w:val="1"/>
      <w:marLeft w:val="0"/>
      <w:marRight w:val="0"/>
      <w:marTop w:val="0"/>
      <w:marBottom w:val="0"/>
      <w:divBdr>
        <w:top w:val="none" w:sz="0" w:space="0" w:color="auto"/>
        <w:left w:val="none" w:sz="0" w:space="0" w:color="auto"/>
        <w:bottom w:val="none" w:sz="0" w:space="0" w:color="auto"/>
        <w:right w:val="none" w:sz="0" w:space="0" w:color="auto"/>
      </w:divBdr>
    </w:div>
    <w:div w:id="1738438704">
      <w:bodyDiv w:val="1"/>
      <w:marLeft w:val="0"/>
      <w:marRight w:val="0"/>
      <w:marTop w:val="0"/>
      <w:marBottom w:val="0"/>
      <w:divBdr>
        <w:top w:val="none" w:sz="0" w:space="0" w:color="auto"/>
        <w:left w:val="none" w:sz="0" w:space="0" w:color="auto"/>
        <w:bottom w:val="none" w:sz="0" w:space="0" w:color="auto"/>
        <w:right w:val="none" w:sz="0" w:space="0" w:color="auto"/>
      </w:divBdr>
    </w:div>
    <w:div w:id="1823958239">
      <w:bodyDiv w:val="1"/>
      <w:marLeft w:val="0"/>
      <w:marRight w:val="0"/>
      <w:marTop w:val="0"/>
      <w:marBottom w:val="0"/>
      <w:divBdr>
        <w:top w:val="none" w:sz="0" w:space="0" w:color="auto"/>
        <w:left w:val="none" w:sz="0" w:space="0" w:color="auto"/>
        <w:bottom w:val="none" w:sz="0" w:space="0" w:color="auto"/>
        <w:right w:val="none" w:sz="0" w:space="0" w:color="auto"/>
      </w:divBdr>
    </w:div>
    <w:div w:id="1855345082">
      <w:bodyDiv w:val="1"/>
      <w:marLeft w:val="0"/>
      <w:marRight w:val="0"/>
      <w:marTop w:val="0"/>
      <w:marBottom w:val="0"/>
      <w:divBdr>
        <w:top w:val="none" w:sz="0" w:space="0" w:color="auto"/>
        <w:left w:val="none" w:sz="0" w:space="0" w:color="auto"/>
        <w:bottom w:val="none" w:sz="0" w:space="0" w:color="auto"/>
        <w:right w:val="none" w:sz="0" w:space="0" w:color="auto"/>
      </w:divBdr>
    </w:div>
    <w:div w:id="1999917830">
      <w:bodyDiv w:val="1"/>
      <w:marLeft w:val="0"/>
      <w:marRight w:val="0"/>
      <w:marTop w:val="0"/>
      <w:marBottom w:val="0"/>
      <w:divBdr>
        <w:top w:val="none" w:sz="0" w:space="0" w:color="auto"/>
        <w:left w:val="none" w:sz="0" w:space="0" w:color="auto"/>
        <w:bottom w:val="none" w:sz="0" w:space="0" w:color="auto"/>
        <w:right w:val="none" w:sz="0" w:space="0" w:color="auto"/>
      </w:divBdr>
    </w:div>
    <w:div w:id="2013947221">
      <w:bodyDiv w:val="1"/>
      <w:marLeft w:val="0"/>
      <w:marRight w:val="0"/>
      <w:marTop w:val="0"/>
      <w:marBottom w:val="0"/>
      <w:divBdr>
        <w:top w:val="none" w:sz="0" w:space="0" w:color="auto"/>
        <w:left w:val="none" w:sz="0" w:space="0" w:color="auto"/>
        <w:bottom w:val="none" w:sz="0" w:space="0" w:color="auto"/>
        <w:right w:val="none" w:sz="0" w:space="0" w:color="auto"/>
      </w:divBdr>
    </w:div>
    <w:div w:id="2048215168">
      <w:bodyDiv w:val="1"/>
      <w:marLeft w:val="0"/>
      <w:marRight w:val="0"/>
      <w:marTop w:val="0"/>
      <w:marBottom w:val="0"/>
      <w:divBdr>
        <w:top w:val="none" w:sz="0" w:space="0" w:color="auto"/>
        <w:left w:val="none" w:sz="0" w:space="0" w:color="auto"/>
        <w:bottom w:val="none" w:sz="0" w:space="0" w:color="auto"/>
        <w:right w:val="none" w:sz="0" w:space="0" w:color="auto"/>
      </w:divBdr>
    </w:div>
    <w:div w:id="2053457797">
      <w:bodyDiv w:val="1"/>
      <w:marLeft w:val="0"/>
      <w:marRight w:val="0"/>
      <w:marTop w:val="0"/>
      <w:marBottom w:val="0"/>
      <w:divBdr>
        <w:top w:val="none" w:sz="0" w:space="0" w:color="auto"/>
        <w:left w:val="none" w:sz="0" w:space="0" w:color="auto"/>
        <w:bottom w:val="none" w:sz="0" w:space="0" w:color="auto"/>
        <w:right w:val="none" w:sz="0" w:space="0" w:color="auto"/>
      </w:divBdr>
    </w:div>
    <w:div w:id="2075857805">
      <w:bodyDiv w:val="1"/>
      <w:marLeft w:val="0"/>
      <w:marRight w:val="0"/>
      <w:marTop w:val="0"/>
      <w:marBottom w:val="0"/>
      <w:divBdr>
        <w:top w:val="none" w:sz="0" w:space="0" w:color="auto"/>
        <w:left w:val="none" w:sz="0" w:space="0" w:color="auto"/>
        <w:bottom w:val="none" w:sz="0" w:space="0" w:color="auto"/>
        <w:right w:val="none" w:sz="0" w:space="0" w:color="auto"/>
      </w:divBdr>
    </w:div>
    <w:div w:id="2093120511">
      <w:bodyDiv w:val="1"/>
      <w:marLeft w:val="0"/>
      <w:marRight w:val="0"/>
      <w:marTop w:val="0"/>
      <w:marBottom w:val="0"/>
      <w:divBdr>
        <w:top w:val="none" w:sz="0" w:space="0" w:color="auto"/>
        <w:left w:val="none" w:sz="0" w:space="0" w:color="auto"/>
        <w:bottom w:val="none" w:sz="0" w:space="0" w:color="auto"/>
        <w:right w:val="none" w:sz="0" w:space="0" w:color="auto"/>
      </w:divBdr>
    </w:div>
    <w:div w:id="2094886753">
      <w:bodyDiv w:val="1"/>
      <w:marLeft w:val="0"/>
      <w:marRight w:val="0"/>
      <w:marTop w:val="0"/>
      <w:marBottom w:val="0"/>
      <w:divBdr>
        <w:top w:val="none" w:sz="0" w:space="0" w:color="auto"/>
        <w:left w:val="none" w:sz="0" w:space="0" w:color="auto"/>
        <w:bottom w:val="none" w:sz="0" w:space="0" w:color="auto"/>
        <w:right w:val="none" w:sz="0" w:space="0" w:color="auto"/>
      </w:divBdr>
    </w:div>
    <w:div w:id="210672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acebook.com/accanau" TargetMode="Externa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grahame.oleary@accc.gov.au"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www.instagram.com/accan_au"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witter.com/ACCAN_AU"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linkedin.com/company/accanau/"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accan.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mailto:peter.palmato@accc.gov.au"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s://www.accc.gov.au/system/files/Mobile%20Infrastructure%20Report%202021.pdf" TargetMode="External"/><Relationship Id="rId1" Type="http://schemas.openxmlformats.org/officeDocument/2006/relationships/hyperlink" Target="https://www.accc.gov.au/system/files/ACCAN%20-%20submission%20to%20the%20FAC%20discussion%20paper%20-%20September%202018.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hyperlink" Target="http://www.accan.org.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Lea\ACCAN\ACCAN%20-%20ACCAN%20Docs\Templates%20&amp;%20Originals\Templates%202022\DocumentTemplate-Submission.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3C7F4"/>
      </a:accent1>
      <a:accent2>
        <a:srgbClr val="3E79A3"/>
      </a:accent2>
      <a:accent3>
        <a:srgbClr val="F05E5E"/>
      </a:accent3>
      <a:accent4>
        <a:srgbClr val="E5BB47"/>
      </a:accent4>
      <a:accent5>
        <a:srgbClr val="4FC2C1"/>
      </a:accent5>
      <a:accent6>
        <a:srgbClr val="757FB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 xmlns:b="http://schemas.openxmlformats.org/officeDocument/2006/bibliography" xmlns="http://schemas.openxmlformats.org/officeDocument/2006/bibliography">
    <b:Tag>Placeholder3</b:Tag>
    <b:RefOrder>3</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SharedWithUsers xmlns="2afa1a33-c191-48ee-b288-192490d33fec">
      <UserInfo>
        <DisplayName>Rebekah Sarkoezy</DisplayName>
        <AccountId>16</AccountId>
        <AccountType/>
      </UserInfo>
      <UserInfo>
        <DisplayName>Meredith Lea</DisplayName>
        <AccountId>27</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5CB11904FCB124BB6ADC686B50405ED" ma:contentTypeVersion="14" ma:contentTypeDescription="Create a new document." ma:contentTypeScope="" ma:versionID="52efb4e70ccb9f1841db40bc5acb691f">
  <xsd:schema xmlns:xsd="http://www.w3.org/2001/XMLSchema" xmlns:xs="http://www.w3.org/2001/XMLSchema" xmlns:p="http://schemas.microsoft.com/office/2006/metadata/properties" xmlns:ns2="2d8fb88f-3a1f-4799-a700-b6f357ce1403" xmlns:ns3="2afa1a33-c191-48ee-b288-192490d33fec" targetNamespace="http://schemas.microsoft.com/office/2006/metadata/properties" ma:root="true" ma:fieldsID="a70ba2a6e533d2412e2b9425888641c9" ns2:_="" ns3:_="">
    <xsd:import namespace="2d8fb88f-3a1f-4799-a700-b6f357ce1403"/>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8fb88f-3a1f-4799-a700-b6f357ce14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6C21FB9-1321-4B4B-A22E-45DA56E9FF65}">
  <ds:schemaRefs>
    <ds:schemaRef ds:uri="http://schemas.microsoft.com/sharepoint/v3/contenttype/forms"/>
  </ds:schemaRefs>
</ds:datastoreItem>
</file>

<file path=customXml/itemProps2.xml><?xml version="1.0" encoding="utf-8"?>
<ds:datastoreItem xmlns:ds="http://schemas.openxmlformats.org/officeDocument/2006/customXml" ds:itemID="{5AD6AB5B-4BC6-45AF-ACC9-A99FA1A8EC38}">
  <ds:schemaRefs>
    <ds:schemaRef ds:uri="http://schemas.openxmlformats.org/officeDocument/2006/bibliography"/>
  </ds:schemaRefs>
</ds:datastoreItem>
</file>

<file path=customXml/itemProps3.xml><?xml version="1.0" encoding="utf-8"?>
<ds:datastoreItem xmlns:ds="http://schemas.openxmlformats.org/officeDocument/2006/customXml" ds:itemID="{122F4F94-1AF4-4521-991E-7AE5BA2A5212}">
  <ds:schemaRefs>
    <ds:schemaRef ds:uri="http://schemas.microsoft.com/office/2006/metadata/properties"/>
    <ds:schemaRef ds:uri="http://schemas.microsoft.com/office/infopath/2007/PartnerControls"/>
    <ds:schemaRef ds:uri="2afa1a33-c191-48ee-b288-192490d33fec"/>
  </ds:schemaRefs>
</ds:datastoreItem>
</file>

<file path=customXml/itemProps4.xml><?xml version="1.0" encoding="utf-8"?>
<ds:datastoreItem xmlns:ds="http://schemas.openxmlformats.org/officeDocument/2006/customXml" ds:itemID="{6951A666-5A32-436E-BAA7-85CE70A76B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8fb88f-3a1f-4799-a700-b6f357ce1403"/>
    <ds:schemaRef ds:uri="2afa1a33-c191-48ee-b288-192490d33f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DocumentTemplate-Submission</Template>
  <TotalTime>8</TotalTime>
  <Pages>3</Pages>
  <Words>1114</Words>
  <Characters>6356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7456</CharactersWithSpaces>
  <SharedDoc>false</SharedDoc>
  <HLinks>
    <vt:vector size="66" baseType="variant">
      <vt:variant>
        <vt:i4>7077888</vt:i4>
      </vt:variant>
      <vt:variant>
        <vt:i4>0</vt:i4>
      </vt:variant>
      <vt:variant>
        <vt:i4>0</vt:i4>
      </vt:variant>
      <vt:variant>
        <vt:i4>5</vt:i4>
      </vt:variant>
      <vt:variant>
        <vt:lpwstr>mailto:haveyoursay@acma.gov.au</vt:lpwstr>
      </vt:variant>
      <vt:variant>
        <vt:lpwstr/>
      </vt:variant>
      <vt:variant>
        <vt:i4>5963786</vt:i4>
      </vt:variant>
      <vt:variant>
        <vt:i4>30</vt:i4>
      </vt:variant>
      <vt:variant>
        <vt:i4>0</vt:i4>
      </vt:variant>
      <vt:variant>
        <vt:i4>5</vt:i4>
      </vt:variant>
      <vt:variant>
        <vt:lpwstr>https://www.accc.gov.au/system/files/ACCC submission to Part C of the Consumer Safeguards Review - September 2020.pdf</vt:lpwstr>
      </vt:variant>
      <vt:variant>
        <vt:lpwstr/>
      </vt:variant>
      <vt:variant>
        <vt:i4>7798826</vt:i4>
      </vt:variant>
      <vt:variant>
        <vt:i4>27</vt:i4>
      </vt:variant>
      <vt:variant>
        <vt:i4>0</vt:i4>
      </vt:variant>
      <vt:variant>
        <vt:i4>5</vt:i4>
      </vt:variant>
      <vt:variant>
        <vt:lpwstr>https://www.legislation.gov.au/Details/F2012L00232</vt:lpwstr>
      </vt:variant>
      <vt:variant>
        <vt:lpwstr/>
      </vt:variant>
      <vt:variant>
        <vt:i4>262166</vt:i4>
      </vt:variant>
      <vt:variant>
        <vt:i4>24</vt:i4>
      </vt:variant>
      <vt:variant>
        <vt:i4>0</vt:i4>
      </vt:variant>
      <vt:variant>
        <vt:i4>5</vt:i4>
      </vt:variant>
      <vt:variant>
        <vt:lpwstr>https://www.acma.gov.au/sites/default/files/2020-10/ACMA-submission-to-Consumer-Safeguards-Review-Part-C.pdf</vt:lpwstr>
      </vt:variant>
      <vt:variant>
        <vt:lpwstr/>
      </vt:variant>
      <vt:variant>
        <vt:i4>2359357</vt:i4>
      </vt:variant>
      <vt:variant>
        <vt:i4>21</vt:i4>
      </vt:variant>
      <vt:variant>
        <vt:i4>0</vt:i4>
      </vt:variant>
      <vt:variant>
        <vt:i4>5</vt:i4>
      </vt:variant>
      <vt:variant>
        <vt:lpwstr>https://www.tio.com.au/complaints/what-we-can-help-with</vt:lpwstr>
      </vt:variant>
      <vt:variant>
        <vt:lpwstr>:~:text=Your%20complaint%20should%20be%20about,unsure%20if%20we%20can%20help</vt:lpwstr>
      </vt:variant>
      <vt:variant>
        <vt:i4>8126496</vt:i4>
      </vt:variant>
      <vt:variant>
        <vt:i4>18</vt:i4>
      </vt:variant>
      <vt:variant>
        <vt:i4>0</vt:i4>
      </vt:variant>
      <vt:variant>
        <vt:i4>5</vt:i4>
      </vt:variant>
      <vt:variant>
        <vt:lpwstr>https://www.legislation.gov.au/Details/C2021C00558/</vt:lpwstr>
      </vt:variant>
      <vt:variant>
        <vt:lpwstr/>
      </vt:variant>
      <vt:variant>
        <vt:i4>3801145</vt:i4>
      </vt:variant>
      <vt:variant>
        <vt:i4>12</vt:i4>
      </vt:variant>
      <vt:variant>
        <vt:i4>0</vt:i4>
      </vt:variant>
      <vt:variant>
        <vt:i4>5</vt:i4>
      </vt:variant>
      <vt:variant>
        <vt:lpwstr>https://accan.org.au/our-work/submissions/1676-response-to-proposed-changes-to-international-mobile-roaming-regulations</vt:lpwstr>
      </vt:variant>
      <vt:variant>
        <vt:lpwstr/>
      </vt:variant>
      <vt:variant>
        <vt:i4>917576</vt:i4>
      </vt:variant>
      <vt:variant>
        <vt:i4>9</vt:i4>
      </vt:variant>
      <vt:variant>
        <vt:i4>0</vt:i4>
      </vt:variant>
      <vt:variant>
        <vt:i4>5</vt:i4>
      </vt:variant>
      <vt:variant>
        <vt:lpwstr>https://www.infrastructure.gov.au/sites/default/files/submissions/csr-part-c-accan-response-to-consumer-safeguards-review-part-c-choice-and-fairness.pdf</vt:lpwstr>
      </vt:variant>
      <vt:variant>
        <vt:lpwstr/>
      </vt:variant>
      <vt:variant>
        <vt:i4>5308503</vt:i4>
      </vt:variant>
      <vt:variant>
        <vt:i4>6</vt:i4>
      </vt:variant>
      <vt:variant>
        <vt:i4>0</vt:i4>
      </vt:variant>
      <vt:variant>
        <vt:i4>5</vt:i4>
      </vt:variant>
      <vt:variant>
        <vt:lpwstr>https://www.acma.gov.au/articles/2021-11/telco-breaches-new-network-infrastructure-rules-failing-publish-terms-and-conditions</vt:lpwstr>
      </vt:variant>
      <vt:variant>
        <vt:lpwstr/>
      </vt:variant>
      <vt:variant>
        <vt:i4>852035</vt:i4>
      </vt:variant>
      <vt:variant>
        <vt:i4>3</vt:i4>
      </vt:variant>
      <vt:variant>
        <vt:i4>0</vt:i4>
      </vt:variant>
      <vt:variant>
        <vt:i4>5</vt:i4>
      </vt:variant>
      <vt:variant>
        <vt:lpwstr>https://www.acma.gov.au/infringement-notices-breaking-telco-rules</vt:lpwstr>
      </vt:variant>
      <vt:variant>
        <vt:lpwstr/>
      </vt:variant>
      <vt:variant>
        <vt:i4>1769558</vt:i4>
      </vt:variant>
      <vt:variant>
        <vt:i4>0</vt:i4>
      </vt:variant>
      <vt:variant>
        <vt:i4>0</vt:i4>
      </vt:variant>
      <vt:variant>
        <vt:i4>5</vt:i4>
      </vt:variant>
      <vt:variant>
        <vt:lpwstr>https://www.acma.gov.au/sites/default/files/2019-06/Regulatory-guide-No-4-Remedial-Directions.pdf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Meredith Lea</dc:creator>
  <cp:keywords/>
  <cp:lastModifiedBy>Richard Van Der Male</cp:lastModifiedBy>
  <cp:revision>7</cp:revision>
  <cp:lastPrinted>2022-03-29T02:13:00Z</cp:lastPrinted>
  <dcterms:created xsi:type="dcterms:W3CDTF">2022-05-03T04:29:00Z</dcterms:created>
  <dcterms:modified xsi:type="dcterms:W3CDTF">2022-05-09T23:37:00Z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0x01010065CB11904FCB124BB6ADC686B50405ED</vt:lpwstr>
  </property>
</Properties>
</file>