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24AB2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34B4C568" wp14:editId="160604D2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FF39E30" wp14:editId="40089697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24860223" wp14:editId="440CC60A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391658DB" wp14:editId="295BA0A1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3B2DF683" wp14:editId="6D56D801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09886ED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67CFA08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390C6C4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7A98517" wp14:editId="7D639E64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F8142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14264072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1A8316FB" w14:textId="16E4477F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E856D3">
        <w:rPr>
          <w:rStyle w:val="DocDateChar"/>
        </w:rPr>
        <w:t>2</w:t>
      </w:r>
      <w:r w:rsidR="00AB1BB1">
        <w:rPr>
          <w:rStyle w:val="DocDateChar"/>
        </w:rPr>
        <w:t>2</w:t>
      </w:r>
      <w:r w:rsidR="00E856D3">
        <w:rPr>
          <w:rStyle w:val="DocDateChar"/>
        </w:rPr>
        <w:t xml:space="preserve"> June 2022</w:t>
      </w:r>
    </w:p>
    <w:p w14:paraId="44E1B6B1" w14:textId="5D909464" w:rsidR="00E856D3" w:rsidRDefault="00E856D3" w:rsidP="00E856D3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 xml:space="preserve">ACCAN feedback </w:t>
      </w:r>
      <w:r w:rsidR="00910725">
        <w:rPr>
          <w:rStyle w:val="DocDateChar"/>
          <w:rFonts w:asciiTheme="minorHAnsi" w:hAnsiTheme="minorHAnsi"/>
          <w:b w:val="0"/>
          <w:bCs w:val="0"/>
        </w:rPr>
        <w:t xml:space="preserve">on </w:t>
      </w:r>
      <w:r w:rsidR="006F563F">
        <w:rPr>
          <w:rStyle w:val="DocDateChar"/>
          <w:rFonts w:asciiTheme="minorHAnsi" w:hAnsiTheme="minorHAnsi"/>
          <w:b w:val="0"/>
          <w:bCs w:val="0"/>
        </w:rPr>
        <w:t>the proposal to amend the Telecommunications (Listed Infringement Notice Provisions) Declaration 2022</w:t>
      </w:r>
    </w:p>
    <w:p w14:paraId="13973562" w14:textId="67043DB7" w:rsidR="008F2ED5" w:rsidRDefault="00E856D3" w:rsidP="00C91ECA">
      <w:pPr>
        <w:jc w:val="both"/>
      </w:pPr>
      <w:r>
        <w:t xml:space="preserve">ACCAN thanks the </w:t>
      </w:r>
      <w:r w:rsidR="004216B1">
        <w:t>Australian Communications and Media Authority (</w:t>
      </w:r>
      <w:r w:rsidRPr="004216B1">
        <w:rPr>
          <w:b/>
          <w:bCs/>
        </w:rPr>
        <w:t>ACMA</w:t>
      </w:r>
      <w:r w:rsidR="004216B1">
        <w:t>)</w:t>
      </w:r>
      <w:r>
        <w:t xml:space="preserve"> for the opportunity to provide feedback on th</w:t>
      </w:r>
      <w:r w:rsidR="00910725">
        <w:t xml:space="preserve">e proposal to amend the </w:t>
      </w:r>
      <w:r w:rsidR="006F563F" w:rsidRPr="004216B1">
        <w:rPr>
          <w:i/>
          <w:iCs/>
        </w:rPr>
        <w:t>Telecommunications (Listed Infringement Notice Provisions) Declaration 2022</w:t>
      </w:r>
      <w:r w:rsidR="00910725">
        <w:t xml:space="preserve"> (the </w:t>
      </w:r>
      <w:r w:rsidR="00910725" w:rsidRPr="00910725">
        <w:rPr>
          <w:b/>
          <w:bCs/>
        </w:rPr>
        <w:t>IN Declaration</w:t>
      </w:r>
      <w:r w:rsidR="00910725">
        <w:t>).</w:t>
      </w:r>
    </w:p>
    <w:p w14:paraId="08E2CE3A" w14:textId="0F46798B" w:rsidR="002709B9" w:rsidRDefault="006324DA" w:rsidP="00C91ECA">
      <w:pPr>
        <w:jc w:val="both"/>
      </w:pPr>
      <w:r>
        <w:t>In ACCAN’s January 2022 submission</w:t>
      </w:r>
      <w:r w:rsidR="00CD6CA4">
        <w:rPr>
          <w:rStyle w:val="FootnoteReference"/>
        </w:rPr>
        <w:footnoteReference w:id="2"/>
      </w:r>
      <w:r w:rsidR="00C91ECA">
        <w:t xml:space="preserve"> regarding the sunsetting and remaking of the IN Declaration</w:t>
      </w:r>
      <w:r>
        <w:t xml:space="preserve">, </w:t>
      </w:r>
      <w:r w:rsidR="00C91ECA">
        <w:t>we</w:t>
      </w:r>
      <w:r>
        <w:t xml:space="preserve"> </w:t>
      </w:r>
      <w:r w:rsidR="00E00FE4">
        <w:t>articulated</w:t>
      </w:r>
      <w:r w:rsidR="00C93556">
        <w:t xml:space="preserve"> </w:t>
      </w:r>
      <w:r w:rsidR="00C91ECA">
        <w:t>our</w:t>
      </w:r>
      <w:r w:rsidR="00C93556">
        <w:t xml:space="preserve"> position that the </w:t>
      </w:r>
      <w:r w:rsidR="00E00FE4">
        <w:t xml:space="preserve">IN </w:t>
      </w:r>
      <w:r w:rsidR="00C93556">
        <w:t>Declaration and Infringement Notice scheme more generally constitutes a vital part of the ACMA’s enforcement regime.</w:t>
      </w:r>
      <w:r w:rsidR="002709B9">
        <w:t xml:space="preserve"> We appreciate that the IN Declaration allows the ACMA to take appropriate enforcement action in response to carriage service provider (</w:t>
      </w:r>
      <w:r w:rsidR="002709B9" w:rsidRPr="002709B9">
        <w:rPr>
          <w:b/>
          <w:bCs/>
        </w:rPr>
        <w:t>CSP</w:t>
      </w:r>
      <w:r w:rsidR="002709B9">
        <w:t xml:space="preserve">) contraventions of regulatory obligations. </w:t>
      </w:r>
    </w:p>
    <w:p w14:paraId="7110C1B4" w14:textId="157C4769" w:rsidR="00DE61A0" w:rsidRPr="00ED2A6C" w:rsidRDefault="00BD795A" w:rsidP="00ED2A6C">
      <w:pPr>
        <w:jc w:val="both"/>
      </w:pPr>
      <w:r>
        <w:t>Notwithstanding ACCAN’s</w:t>
      </w:r>
      <w:r w:rsidR="00072896">
        <w:t xml:space="preserve"> position that all rules directly related to the supply of communications services to consumers should be directly enforceable by the ACMA,</w:t>
      </w:r>
      <w:r w:rsidR="00072896">
        <w:rPr>
          <w:rStyle w:val="FootnoteReference"/>
        </w:rPr>
        <w:footnoteReference w:id="3"/>
      </w:r>
      <w:r w:rsidR="00072896">
        <w:t xml:space="preserve"> we believe t</w:t>
      </w:r>
      <w:r w:rsidR="00C91ECA">
        <w:t xml:space="preserve">he current proposal to </w:t>
      </w:r>
      <w:r w:rsidR="008916FA">
        <w:t xml:space="preserve">incorporate new provisions would strengthen the </w:t>
      </w:r>
      <w:r w:rsidR="00051E6B">
        <w:t>Infringement Notice</w:t>
      </w:r>
      <w:r w:rsidR="008916FA">
        <w:t xml:space="preserve"> scheme</w:t>
      </w:r>
      <w:r w:rsidR="00474CEC">
        <w:t xml:space="preserve">. We further believe the </w:t>
      </w:r>
      <w:r w:rsidR="00051E6B">
        <w:t>inclusion of</w:t>
      </w:r>
      <w:r w:rsidR="00474CEC">
        <w:t xml:space="preserve"> new provisions would</w:t>
      </w:r>
      <w:r w:rsidR="00E207D7">
        <w:t xml:space="preserve"> help raise</w:t>
      </w:r>
      <w:r w:rsidR="00E75977">
        <w:t xml:space="preserve"> consumers</w:t>
      </w:r>
      <w:r w:rsidR="00E207D7">
        <w:t>’</w:t>
      </w:r>
      <w:r w:rsidR="00E75977">
        <w:t xml:space="preserve"> confidence that their providers are better incentivised to follow telecommunications rules. </w:t>
      </w:r>
    </w:p>
    <w:p w14:paraId="7813F61D" w14:textId="14875623" w:rsidR="00B874DD" w:rsidRDefault="00B53050" w:rsidP="009709A5">
      <w:pPr>
        <w:jc w:val="both"/>
      </w:pPr>
      <w:r>
        <w:t xml:space="preserve">ACCAN supports the inclusion of provisions from the </w:t>
      </w:r>
      <w:r w:rsidRPr="00B53050">
        <w:t>Telecommunications Service Provider (Customer Identity Authentication) Determination 2022</w:t>
      </w:r>
      <w:r>
        <w:t xml:space="preserve"> </w:t>
      </w:r>
      <w:r w:rsidR="00C72C48">
        <w:t xml:space="preserve">(the </w:t>
      </w:r>
      <w:r w:rsidR="00C72C48">
        <w:rPr>
          <w:b/>
          <w:bCs/>
        </w:rPr>
        <w:t xml:space="preserve">Customer ID </w:t>
      </w:r>
      <w:r w:rsidR="00C72C48" w:rsidRPr="00C72C48">
        <w:rPr>
          <w:b/>
          <w:bCs/>
        </w:rPr>
        <w:t>Determination</w:t>
      </w:r>
      <w:r w:rsidR="00C72C48">
        <w:t xml:space="preserve">) </w:t>
      </w:r>
      <w:r w:rsidRPr="00C72C48">
        <w:t>in</w:t>
      </w:r>
      <w:r>
        <w:t xml:space="preserve"> the IN Declaration</w:t>
      </w:r>
      <w:r w:rsidR="00B874DD">
        <w:t>.</w:t>
      </w:r>
      <w:r w:rsidR="00ED2A6C">
        <w:t xml:space="preserve"> </w:t>
      </w:r>
      <w:r w:rsidR="00426C05">
        <w:t xml:space="preserve">As previously discussed with the ACMA, </w:t>
      </w:r>
      <w:r w:rsidR="00DD0283">
        <w:t xml:space="preserve">ACCAN continues to have some concerns about how the Customer ID Determination will impact </w:t>
      </w:r>
      <w:r w:rsidR="00797E49">
        <w:t xml:space="preserve">consumers who are unable to authenticate themselves for various reasons, and </w:t>
      </w:r>
      <w:r w:rsidR="00E97D20">
        <w:t xml:space="preserve">how it will impact </w:t>
      </w:r>
      <w:r w:rsidR="00DD0283">
        <w:t>the appointment and activities of financial counsellors and other consumer advocates as authorised representatives</w:t>
      </w:r>
      <w:r w:rsidR="00E97D20">
        <w:t xml:space="preserve">. Despite these concerns, </w:t>
      </w:r>
      <w:r w:rsidR="00DD0283">
        <w:t>we acknowledge that including provisions from this Determination in the IN Declaration will support the ACMA</w:t>
      </w:r>
      <w:r w:rsidR="00EE7D15">
        <w:t xml:space="preserve">’s response to CSP </w:t>
      </w:r>
      <w:r w:rsidR="00B874DD">
        <w:t xml:space="preserve">contraventions </w:t>
      </w:r>
      <w:r w:rsidR="00DD0283">
        <w:t>of the Customer ID Determination</w:t>
      </w:r>
      <w:r w:rsidR="00EE7D15">
        <w:t>, which on the whole</w:t>
      </w:r>
      <w:r w:rsidR="00CE001F">
        <w:t xml:space="preserve"> will be reassuring for consumers.</w:t>
      </w:r>
    </w:p>
    <w:p w14:paraId="0B6D714F" w14:textId="5820AFE7" w:rsidR="00AE6DEC" w:rsidRDefault="006B6461" w:rsidP="009709A5">
      <w:pPr>
        <w:jc w:val="both"/>
      </w:pPr>
      <w:r>
        <w:t xml:space="preserve">We </w:t>
      </w:r>
      <w:r w:rsidR="00ED2A6C">
        <w:t>also</w:t>
      </w:r>
      <w:r>
        <w:t xml:space="preserve"> support the inclusion of the </w:t>
      </w:r>
      <w:r w:rsidRPr="006B6461">
        <w:t xml:space="preserve">Telecommunications Service Provider (International Mobile Roaming) Determination 2019 (the </w:t>
      </w:r>
      <w:r w:rsidRPr="00C72C48">
        <w:rPr>
          <w:b/>
          <w:bCs/>
        </w:rPr>
        <w:t>IMR Determination</w:t>
      </w:r>
      <w:r w:rsidRPr="006B6461">
        <w:t>) in the IN Declaration</w:t>
      </w:r>
      <w:r>
        <w:t xml:space="preserve">, as recommended in our </w:t>
      </w:r>
      <w:r w:rsidR="00C63B47">
        <w:t>January 2022</w:t>
      </w:r>
      <w:r>
        <w:t xml:space="preserve"> submission</w:t>
      </w:r>
      <w:r w:rsidRPr="006B6461">
        <w:t>.</w:t>
      </w:r>
      <w:r w:rsidR="004D758F">
        <w:t xml:space="preserve"> </w:t>
      </w:r>
      <w:r w:rsidR="00C63B47">
        <w:t xml:space="preserve">Given </w:t>
      </w:r>
      <w:r w:rsidR="0046120C">
        <w:t xml:space="preserve">consumers are once again </w:t>
      </w:r>
      <w:r w:rsidR="008E6D8C">
        <w:t>travelling internationally after quite an extended period where this was not possible</w:t>
      </w:r>
      <w:r w:rsidR="00FC0EAA">
        <w:t>, it is important that the</w:t>
      </w:r>
      <w:r w:rsidR="00D7369D">
        <w:t xml:space="preserve"> enforcement options available </w:t>
      </w:r>
      <w:r w:rsidR="00D7369D">
        <w:lastRenderedPageBreak/>
        <w:t xml:space="preserve">to the ACMA </w:t>
      </w:r>
      <w:r w:rsidR="00E615D3">
        <w:t>are</w:t>
      </w:r>
      <w:r w:rsidR="00D7369D">
        <w:t xml:space="preserve"> </w:t>
      </w:r>
      <w:r w:rsidR="008C20C8">
        <w:t xml:space="preserve">expanded </w:t>
      </w:r>
      <w:r w:rsidR="00E615D3">
        <w:t>by including provisions relating to</w:t>
      </w:r>
      <w:r w:rsidR="008C20C8">
        <w:t xml:space="preserve"> international mobile roaming charges</w:t>
      </w:r>
      <w:r w:rsidR="00E615D3">
        <w:t xml:space="preserve"> in the IN Declaration.</w:t>
      </w:r>
    </w:p>
    <w:p w14:paraId="089EC11F" w14:textId="15C28B73" w:rsidR="00AE3D9C" w:rsidRDefault="00AE3D9C" w:rsidP="009709A5">
      <w:pPr>
        <w:jc w:val="both"/>
      </w:pPr>
      <w:r w:rsidRPr="006F5F31">
        <w:t xml:space="preserve">Finally, while ACCAN understands that the timeframe within which </w:t>
      </w:r>
      <w:r w:rsidR="00291A7F">
        <w:t>I</w:t>
      </w:r>
      <w:r w:rsidRPr="006F5F31">
        <w:t xml:space="preserve">nfringement </w:t>
      </w:r>
      <w:r w:rsidR="00291A7F">
        <w:t>N</w:t>
      </w:r>
      <w:r w:rsidRPr="006F5F31">
        <w:t xml:space="preserve">otices may be issued is not up for consultation at this time, we reiterate our previous </w:t>
      </w:r>
      <w:r w:rsidR="00AF14EC">
        <w:t>recommendation</w:t>
      </w:r>
      <w:r w:rsidRPr="006F5F31">
        <w:t xml:space="preserve"> that this timeframe (currently 12 months) be extended to 24 months after the day on which the contravention is alleged to have taken place. </w:t>
      </w:r>
      <w:r w:rsidR="008E2301" w:rsidRPr="006F5F31">
        <w:t xml:space="preserve">Our view remains that the </w:t>
      </w:r>
      <w:r w:rsidR="00291A7F" w:rsidRPr="006F5F31">
        <w:t>12-month</w:t>
      </w:r>
      <w:r w:rsidR="008E2301" w:rsidRPr="006F5F31">
        <w:t xml:space="preserve"> window for the issuing of an Infringement Notice is</w:t>
      </w:r>
      <w:r w:rsidR="00E5704B" w:rsidRPr="006F5F31">
        <w:t xml:space="preserve"> too limited given the length of time it can take for consumer issues to emerge, be referred to a regulator</w:t>
      </w:r>
      <w:r w:rsidR="00D00210">
        <w:t xml:space="preserve"> and </w:t>
      </w:r>
      <w:r w:rsidR="00E5704B" w:rsidRPr="006F5F31">
        <w:t xml:space="preserve">be investigated </w:t>
      </w:r>
      <w:r w:rsidR="00D00210">
        <w:t xml:space="preserve">prior to enforcement action </w:t>
      </w:r>
      <w:r w:rsidR="003C3BB7">
        <w:t>being taken.</w:t>
      </w:r>
    </w:p>
    <w:p w14:paraId="3C7DCE1E" w14:textId="518B3740" w:rsidR="008C55FD" w:rsidRDefault="00C7047B" w:rsidP="009709A5">
      <w:pPr>
        <w:jc w:val="both"/>
      </w:pPr>
      <w:r>
        <w:t>ACCAN welcomes any further opportunities to provide input on the IN Declaration. Please do not hesitate to contact us should you require further information about anything raised in our submission.</w:t>
      </w:r>
    </w:p>
    <w:p w14:paraId="3B89E8CD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7CE58" w14:textId="77777777" w:rsidR="00371CF3" w:rsidRDefault="00371CF3">
      <w:pPr>
        <w:spacing w:after="0" w:line="240" w:lineRule="auto"/>
      </w:pPr>
      <w:r>
        <w:separator/>
      </w:r>
    </w:p>
  </w:endnote>
  <w:endnote w:type="continuationSeparator" w:id="0">
    <w:p w14:paraId="3A10C60B" w14:textId="77777777" w:rsidR="00371CF3" w:rsidRDefault="00371CF3">
      <w:pPr>
        <w:spacing w:after="0" w:line="240" w:lineRule="auto"/>
      </w:pPr>
      <w:r>
        <w:continuationSeparator/>
      </w:r>
    </w:p>
  </w:endnote>
  <w:endnote w:type="continuationNotice" w:id="1">
    <w:p w14:paraId="4B22CB37" w14:textId="77777777" w:rsidR="00371CF3" w:rsidRDefault="00371C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29F1DF-636A-4EFF-9600-1FA9CB973FF7}"/>
    <w:embedBold r:id="rId2" w:fontKey="{21AB6851-D758-46DF-B112-4507D633C6DA}"/>
    <w:embedItalic r:id="rId3" w:fontKey="{A10A6599-0B61-456F-92B3-FCADA75D21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274C5C-135F-46A7-9446-D057006A928E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E212F651-C467-4A63-8673-F47AFE197B13}"/>
    <w:embedBoldItalic r:id="rId6" w:fontKey="{1A87926F-A10E-4738-AB37-E33ACFA74530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438F497B-909F-40F0-85B6-A00913932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A03A1B-73B9-4BA9-8725-B928CB02E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3CBAB330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7D883669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AAC33" w14:textId="77777777" w:rsidR="00371CF3" w:rsidRDefault="00371CF3">
      <w:pPr>
        <w:spacing w:after="0" w:line="240" w:lineRule="auto"/>
      </w:pPr>
      <w:r>
        <w:separator/>
      </w:r>
    </w:p>
  </w:footnote>
  <w:footnote w:type="continuationSeparator" w:id="0">
    <w:p w14:paraId="2E610584" w14:textId="77777777" w:rsidR="00371CF3" w:rsidRDefault="00371CF3">
      <w:pPr>
        <w:spacing w:after="0" w:line="240" w:lineRule="auto"/>
      </w:pPr>
      <w:r>
        <w:continuationSeparator/>
      </w:r>
    </w:p>
  </w:footnote>
  <w:footnote w:type="continuationNotice" w:id="1">
    <w:p w14:paraId="147EBF46" w14:textId="77777777" w:rsidR="00371CF3" w:rsidRDefault="00371CF3">
      <w:pPr>
        <w:spacing w:after="0" w:line="240" w:lineRule="auto"/>
      </w:pPr>
    </w:p>
  </w:footnote>
  <w:footnote w:id="2">
    <w:p w14:paraId="2B88AD83" w14:textId="176F6FC4" w:rsidR="00CD6CA4" w:rsidRDefault="00CD6C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576CC">
        <w:t xml:space="preserve">Available: </w:t>
      </w:r>
      <w:hyperlink r:id="rId1" w:history="1">
        <w:r w:rsidR="002576CC" w:rsidRPr="00C17C61">
          <w:rPr>
            <w:rStyle w:val="Hyperlink"/>
          </w:rPr>
          <w:t>https://accan.org.au/accans-work/submissions/1954-linp-declaration</w:t>
        </w:r>
      </w:hyperlink>
      <w:r w:rsidR="002576CC">
        <w:t xml:space="preserve"> </w:t>
      </w:r>
    </w:p>
  </w:footnote>
  <w:footnote w:id="3">
    <w:p w14:paraId="7122AD75" w14:textId="6D64F50F" w:rsidR="00072896" w:rsidRDefault="00072896">
      <w:pPr>
        <w:pStyle w:val="FootnoteText"/>
      </w:pPr>
      <w:r>
        <w:rPr>
          <w:rStyle w:val="FootnoteReference"/>
        </w:rPr>
        <w:footnoteRef/>
      </w:r>
      <w:r>
        <w:t xml:space="preserve"> As articulated in our submission to the Consumer Safeguards Part C consultation, available: </w:t>
      </w:r>
      <w:hyperlink r:id="rId2" w:history="1">
        <w:r w:rsidR="00D31D30" w:rsidRPr="00C17C61">
          <w:rPr>
            <w:rStyle w:val="Hyperlink"/>
          </w:rPr>
          <w:t>https://accan.org.au/files/Submissions/2020/ACCAN%20Submission%20to%20Consumer%20Safeguards%20Review%20Part%20C%20V.1.1.pdf</w:t>
        </w:r>
      </w:hyperlink>
      <w:r w:rsidR="00D31D30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30BB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E48F70" wp14:editId="315F99F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BA1C616" wp14:editId="4839066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7ABC3A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3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8"/>
  </w:num>
  <w:num w:numId="7" w16cid:durableId="204946168">
    <w:abstractNumId w:val="2"/>
  </w:num>
  <w:num w:numId="8" w16cid:durableId="455099623">
    <w:abstractNumId w:val="21"/>
  </w:num>
  <w:num w:numId="9" w16cid:durableId="1137186840">
    <w:abstractNumId w:val="26"/>
  </w:num>
  <w:num w:numId="10" w16cid:durableId="777330096">
    <w:abstractNumId w:val="6"/>
  </w:num>
  <w:num w:numId="11" w16cid:durableId="1249999174">
    <w:abstractNumId w:val="30"/>
  </w:num>
  <w:num w:numId="12" w16cid:durableId="557977458">
    <w:abstractNumId w:val="9"/>
  </w:num>
  <w:num w:numId="13" w16cid:durableId="1941254348">
    <w:abstractNumId w:val="24"/>
  </w:num>
  <w:num w:numId="14" w16cid:durableId="906915118">
    <w:abstractNumId w:val="27"/>
  </w:num>
  <w:num w:numId="15" w16cid:durableId="1170877089">
    <w:abstractNumId w:val="19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2"/>
  </w:num>
  <w:num w:numId="19" w16cid:durableId="226838686">
    <w:abstractNumId w:val="17"/>
  </w:num>
  <w:num w:numId="20" w16cid:durableId="480970995">
    <w:abstractNumId w:val="14"/>
  </w:num>
  <w:num w:numId="21" w16cid:durableId="1312520820">
    <w:abstractNumId w:val="32"/>
  </w:num>
  <w:num w:numId="22" w16cid:durableId="1253125788">
    <w:abstractNumId w:val="29"/>
  </w:num>
  <w:num w:numId="23" w16cid:durableId="699430088">
    <w:abstractNumId w:val="25"/>
  </w:num>
  <w:num w:numId="24" w16cid:durableId="351348626">
    <w:abstractNumId w:val="20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8"/>
  </w:num>
  <w:num w:numId="29" w16cid:durableId="473834808">
    <w:abstractNumId w:val="1"/>
  </w:num>
  <w:num w:numId="30" w16cid:durableId="1203983130">
    <w:abstractNumId w:val="31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A1"/>
    <w:rsid w:val="00002592"/>
    <w:rsid w:val="00002A84"/>
    <w:rsid w:val="000039D9"/>
    <w:rsid w:val="00006849"/>
    <w:rsid w:val="00006C00"/>
    <w:rsid w:val="000130E1"/>
    <w:rsid w:val="00014E08"/>
    <w:rsid w:val="000159B6"/>
    <w:rsid w:val="0001751C"/>
    <w:rsid w:val="00017FF5"/>
    <w:rsid w:val="00020140"/>
    <w:rsid w:val="0002144A"/>
    <w:rsid w:val="0002178D"/>
    <w:rsid w:val="00021EEE"/>
    <w:rsid w:val="00022392"/>
    <w:rsid w:val="00022D35"/>
    <w:rsid w:val="000238C8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1E6B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896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524"/>
    <w:rsid w:val="00135C01"/>
    <w:rsid w:val="00136E66"/>
    <w:rsid w:val="00137C51"/>
    <w:rsid w:val="00144175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DAE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2D4E"/>
    <w:rsid w:val="001E3CC3"/>
    <w:rsid w:val="001E7889"/>
    <w:rsid w:val="001F013B"/>
    <w:rsid w:val="001F3911"/>
    <w:rsid w:val="001F7374"/>
    <w:rsid w:val="001F77F6"/>
    <w:rsid w:val="0020028A"/>
    <w:rsid w:val="00200982"/>
    <w:rsid w:val="002045DB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576CC"/>
    <w:rsid w:val="0026030A"/>
    <w:rsid w:val="00260397"/>
    <w:rsid w:val="00261658"/>
    <w:rsid w:val="00261BA9"/>
    <w:rsid w:val="0026420E"/>
    <w:rsid w:val="0026652F"/>
    <w:rsid w:val="0026705E"/>
    <w:rsid w:val="002709B9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1A7F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45F03"/>
    <w:rsid w:val="00351C15"/>
    <w:rsid w:val="00351F70"/>
    <w:rsid w:val="003521C8"/>
    <w:rsid w:val="003532F3"/>
    <w:rsid w:val="00360559"/>
    <w:rsid w:val="00360987"/>
    <w:rsid w:val="00364A72"/>
    <w:rsid w:val="00370BF8"/>
    <w:rsid w:val="00371CF3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3BB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16B1"/>
    <w:rsid w:val="00426C05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20C"/>
    <w:rsid w:val="00461876"/>
    <w:rsid w:val="00461AA6"/>
    <w:rsid w:val="004652AC"/>
    <w:rsid w:val="0046544F"/>
    <w:rsid w:val="00467840"/>
    <w:rsid w:val="00470338"/>
    <w:rsid w:val="00470B4F"/>
    <w:rsid w:val="00472A35"/>
    <w:rsid w:val="00474CEC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184"/>
    <w:rsid w:val="004D4D1C"/>
    <w:rsid w:val="004D4D32"/>
    <w:rsid w:val="004D4D8A"/>
    <w:rsid w:val="004D758F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840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26F2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24D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467C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6461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563F"/>
    <w:rsid w:val="006F5F31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2455A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7E49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16FA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20C8"/>
    <w:rsid w:val="008C54AB"/>
    <w:rsid w:val="008C55FD"/>
    <w:rsid w:val="008D04EA"/>
    <w:rsid w:val="008D1CCE"/>
    <w:rsid w:val="008D28EA"/>
    <w:rsid w:val="008D3059"/>
    <w:rsid w:val="008D3281"/>
    <w:rsid w:val="008D3323"/>
    <w:rsid w:val="008D4538"/>
    <w:rsid w:val="008D6210"/>
    <w:rsid w:val="008E1EBD"/>
    <w:rsid w:val="008E2301"/>
    <w:rsid w:val="008E6279"/>
    <w:rsid w:val="008E6D8C"/>
    <w:rsid w:val="008E77D0"/>
    <w:rsid w:val="008F05C4"/>
    <w:rsid w:val="008F08F7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2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09A5"/>
    <w:rsid w:val="009758E7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2BFE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9F6B15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459D"/>
    <w:rsid w:val="00AA7049"/>
    <w:rsid w:val="00AA778F"/>
    <w:rsid w:val="00AA7A37"/>
    <w:rsid w:val="00AA7A8D"/>
    <w:rsid w:val="00AB0507"/>
    <w:rsid w:val="00AB1BB1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3D9C"/>
    <w:rsid w:val="00AE466D"/>
    <w:rsid w:val="00AE4F32"/>
    <w:rsid w:val="00AE6859"/>
    <w:rsid w:val="00AE6DEC"/>
    <w:rsid w:val="00AE75D5"/>
    <w:rsid w:val="00AE7F30"/>
    <w:rsid w:val="00AF14EC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3050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874DD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D795A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3B47"/>
    <w:rsid w:val="00C64C9B"/>
    <w:rsid w:val="00C668A5"/>
    <w:rsid w:val="00C7047B"/>
    <w:rsid w:val="00C70BD6"/>
    <w:rsid w:val="00C7196B"/>
    <w:rsid w:val="00C72A64"/>
    <w:rsid w:val="00C72C48"/>
    <w:rsid w:val="00C73ADC"/>
    <w:rsid w:val="00C7435F"/>
    <w:rsid w:val="00C74C7C"/>
    <w:rsid w:val="00C74D4D"/>
    <w:rsid w:val="00C90987"/>
    <w:rsid w:val="00C91ECA"/>
    <w:rsid w:val="00C92155"/>
    <w:rsid w:val="00C923D4"/>
    <w:rsid w:val="00C93556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CA4"/>
    <w:rsid w:val="00CD6D13"/>
    <w:rsid w:val="00CD7813"/>
    <w:rsid w:val="00CE001F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0210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1C57"/>
    <w:rsid w:val="00D31D30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57DA1"/>
    <w:rsid w:val="00D611C0"/>
    <w:rsid w:val="00D61427"/>
    <w:rsid w:val="00D6249B"/>
    <w:rsid w:val="00D632FE"/>
    <w:rsid w:val="00D65181"/>
    <w:rsid w:val="00D709E2"/>
    <w:rsid w:val="00D72AD7"/>
    <w:rsid w:val="00D7369D"/>
    <w:rsid w:val="00D747CD"/>
    <w:rsid w:val="00D74943"/>
    <w:rsid w:val="00D80B77"/>
    <w:rsid w:val="00D81165"/>
    <w:rsid w:val="00D85024"/>
    <w:rsid w:val="00D870AE"/>
    <w:rsid w:val="00D876D2"/>
    <w:rsid w:val="00D90774"/>
    <w:rsid w:val="00D91368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0283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1A0"/>
    <w:rsid w:val="00DF307A"/>
    <w:rsid w:val="00DF4638"/>
    <w:rsid w:val="00DF54FF"/>
    <w:rsid w:val="00DF553B"/>
    <w:rsid w:val="00DF6CA7"/>
    <w:rsid w:val="00DF70EB"/>
    <w:rsid w:val="00DF7833"/>
    <w:rsid w:val="00E005ED"/>
    <w:rsid w:val="00E00FE4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07D7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04B"/>
    <w:rsid w:val="00E5719C"/>
    <w:rsid w:val="00E615D3"/>
    <w:rsid w:val="00E62487"/>
    <w:rsid w:val="00E62DFF"/>
    <w:rsid w:val="00E63612"/>
    <w:rsid w:val="00E646A0"/>
    <w:rsid w:val="00E65DC5"/>
    <w:rsid w:val="00E70AEE"/>
    <w:rsid w:val="00E71183"/>
    <w:rsid w:val="00E7255A"/>
    <w:rsid w:val="00E75977"/>
    <w:rsid w:val="00E762D0"/>
    <w:rsid w:val="00E81349"/>
    <w:rsid w:val="00E843E3"/>
    <w:rsid w:val="00E84BEE"/>
    <w:rsid w:val="00E84FF3"/>
    <w:rsid w:val="00E856D3"/>
    <w:rsid w:val="00E8765E"/>
    <w:rsid w:val="00E9075C"/>
    <w:rsid w:val="00E916F4"/>
    <w:rsid w:val="00E91CBC"/>
    <w:rsid w:val="00E92252"/>
    <w:rsid w:val="00E944A1"/>
    <w:rsid w:val="00E9787B"/>
    <w:rsid w:val="00E97D20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2A6C"/>
    <w:rsid w:val="00ED4C85"/>
    <w:rsid w:val="00ED607C"/>
    <w:rsid w:val="00ED7F0F"/>
    <w:rsid w:val="00EE1941"/>
    <w:rsid w:val="00EE233B"/>
    <w:rsid w:val="00EE28B1"/>
    <w:rsid w:val="00EE2AC2"/>
    <w:rsid w:val="00EE37D7"/>
    <w:rsid w:val="00EE709B"/>
    <w:rsid w:val="00EE7D15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4F2A"/>
    <w:rsid w:val="00F0681B"/>
    <w:rsid w:val="00F06869"/>
    <w:rsid w:val="00F13CEA"/>
    <w:rsid w:val="00F1519E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671"/>
    <w:rsid w:val="00F86B82"/>
    <w:rsid w:val="00F9170F"/>
    <w:rsid w:val="00F922AA"/>
    <w:rsid w:val="00F93600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0EAA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855B0"/>
  <w15:docId w15:val="{646F126D-0FBE-4DBC-8F9C-DF6665637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51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0840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ccan.org.au/files/Submissions/2020/ACCAN%20Submission%20to%20Consumer%20Safeguards%20Review%20Part%20C%20V.1.1.pdf" TargetMode="External"/><Relationship Id="rId1" Type="http://schemas.openxmlformats.org/officeDocument/2006/relationships/hyperlink" Target="https://accan.org.au/accans-work/submissions/1954-linp-declarat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.Lea\ACCAN\ACCAN%20-%20ACCAN%20Docs\Templates%20&amp;%20Original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6" ma:contentTypeDescription="Create a new document." ma:contentTypeScope="" ma:versionID="ea7b058ea57afb665b00310e88cfb96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aaf83de09e21ac40c367696fbb363d37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</ds:schemaRefs>
</ds:datastoreItem>
</file>

<file path=customXml/itemProps3.xml><?xml version="1.0" encoding="utf-8"?>
<ds:datastoreItem xmlns:ds="http://schemas.openxmlformats.org/officeDocument/2006/customXml" ds:itemID="{C771B7F2-0CAE-40DA-936F-6A51857EAD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5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Lea</dc:creator>
  <cp:keywords/>
  <cp:lastModifiedBy>Meredith Lea</cp:lastModifiedBy>
  <cp:revision>7</cp:revision>
  <cp:lastPrinted>2022-03-29T02:13:00Z</cp:lastPrinted>
  <dcterms:created xsi:type="dcterms:W3CDTF">2022-06-21T06:41:00Z</dcterms:created>
  <dcterms:modified xsi:type="dcterms:W3CDTF">2022-06-22T02:37:00Z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</Properties>
</file>