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E3AA" w14:textId="642CA623" w:rsidR="007A5D36" w:rsidRPr="00BD42C5" w:rsidRDefault="007C1AE7" w:rsidP="00566EB6">
      <w:pPr>
        <w:spacing w:line="240" w:lineRule="auto"/>
      </w:pPr>
      <w:r>
        <w:t xml:space="preserve">31 January </w:t>
      </w:r>
      <w:r w:rsidR="007A68A1">
        <w:t>202</w:t>
      </w:r>
      <w:r>
        <w:t>2</w:t>
      </w:r>
    </w:p>
    <w:p w14:paraId="6D4706A5" w14:textId="6E903E9E" w:rsidR="00086378" w:rsidRDefault="00171821" w:rsidP="00566EB6">
      <w:pPr>
        <w:spacing w:line="240" w:lineRule="auto"/>
      </w:pPr>
      <w:r>
        <w:t>The Manager</w:t>
      </w:r>
      <w:r w:rsidR="00E146A8" w:rsidRPr="00BD42C5">
        <w:br/>
      </w:r>
      <w:r w:rsidR="00953E57" w:rsidRPr="00953E57">
        <w:t>Content and Consumer Division</w:t>
      </w:r>
      <w:r w:rsidR="00E146A8" w:rsidRPr="00BD42C5">
        <w:br/>
      </w:r>
      <w:r w:rsidR="005424F9" w:rsidRPr="00A510D0">
        <w:rPr>
          <w:szCs w:val="20"/>
        </w:rPr>
        <w:t>Australian Communications and Media Authority</w:t>
      </w:r>
      <w:r w:rsidR="00E146A8" w:rsidRPr="00BD42C5">
        <w:br/>
      </w:r>
      <w:r w:rsidR="00E146A8" w:rsidRPr="00E32D59">
        <w:t xml:space="preserve">By </w:t>
      </w:r>
      <w:r w:rsidR="00E146A8" w:rsidRPr="00E32D59">
        <w:rPr>
          <w:rFonts w:cstheme="minorHAnsi"/>
        </w:rPr>
        <w:t xml:space="preserve">email: </w:t>
      </w:r>
      <w:hyperlink r:id="rId11" w:history="1">
        <w:r w:rsidR="00343CDD" w:rsidRPr="005358CD">
          <w:rPr>
            <w:rStyle w:val="Hyperlink"/>
          </w:rPr>
          <w:t xml:space="preserve">haveyoursay@acma.gov.au </w:t>
        </w:r>
      </w:hyperlink>
    </w:p>
    <w:p w14:paraId="76C41CEE" w14:textId="77777777" w:rsidR="00704288" w:rsidRDefault="00704288" w:rsidP="00566EB6">
      <w:pPr>
        <w:spacing w:line="240" w:lineRule="auto"/>
      </w:pPr>
    </w:p>
    <w:p w14:paraId="3A94FE6B" w14:textId="5A999BF5" w:rsidR="00565E28" w:rsidRPr="00565E28" w:rsidRDefault="00BD42C5" w:rsidP="00566EB6">
      <w:pPr>
        <w:spacing w:line="240" w:lineRule="auto"/>
      </w:pPr>
      <w:r>
        <w:t xml:space="preserve">Dear </w:t>
      </w:r>
      <w:r w:rsidR="00343CDD">
        <w:t>Manager</w:t>
      </w:r>
      <w:r w:rsidR="00470338">
        <w:t>,</w:t>
      </w:r>
      <w:r w:rsidR="00343CDD">
        <w:t xml:space="preserve"> </w:t>
      </w:r>
    </w:p>
    <w:p w14:paraId="583D284D" w14:textId="3EB24EBC" w:rsidR="007A5D36" w:rsidRPr="00BD42C5" w:rsidRDefault="00BD42C5" w:rsidP="00470338">
      <w:pPr>
        <w:spacing w:line="240" w:lineRule="auto"/>
        <w:jc w:val="center"/>
        <w:rPr>
          <w:b/>
        </w:rPr>
      </w:pPr>
      <w:r w:rsidRPr="00BD42C5">
        <w:rPr>
          <w:b/>
        </w:rPr>
        <w:t>Re:</w:t>
      </w:r>
      <w:r w:rsidR="009F524B">
        <w:rPr>
          <w:b/>
        </w:rPr>
        <w:t xml:space="preserve"> </w:t>
      </w:r>
      <w:r w:rsidR="00EF57AC" w:rsidRPr="00EF57AC">
        <w:rPr>
          <w:b/>
        </w:rPr>
        <w:t>Telecommunications (Listed Infringement Notice Provisions) Declaration 2011</w:t>
      </w:r>
    </w:p>
    <w:p w14:paraId="03D5EB65" w14:textId="31CE35B5" w:rsidR="00EF57AC" w:rsidRDefault="00BD42C5" w:rsidP="003C1118">
      <w:pPr>
        <w:jc w:val="both"/>
        <w:rPr>
          <w:iCs/>
          <w:szCs w:val="20"/>
        </w:rPr>
      </w:pPr>
      <w:r w:rsidRPr="00BD42C5">
        <w:t xml:space="preserve">ACCAN </w:t>
      </w:r>
      <w:r w:rsidR="00086378">
        <w:t xml:space="preserve">thanks </w:t>
      </w:r>
      <w:r w:rsidR="00EF57AC">
        <w:t>the Australian Communications and Media Authority (</w:t>
      </w:r>
      <w:r w:rsidR="00EF57AC" w:rsidRPr="00EF57AC">
        <w:rPr>
          <w:b/>
          <w:bCs/>
        </w:rPr>
        <w:t>ACMA</w:t>
      </w:r>
      <w:r w:rsidR="00EF57AC">
        <w:t>) for the opportunity to provide views on the sunsetting</w:t>
      </w:r>
      <w:r w:rsidR="004D01B3">
        <w:t xml:space="preserve"> and remaking</w:t>
      </w:r>
      <w:r w:rsidR="00EF57AC">
        <w:t xml:space="preserve"> of </w:t>
      </w:r>
      <w:r w:rsidR="004D01B3" w:rsidRPr="00DF7AA1">
        <w:t>th</w:t>
      </w:r>
      <w:r w:rsidR="004D01B3" w:rsidRPr="00383378">
        <w:t xml:space="preserve">e </w:t>
      </w:r>
      <w:r w:rsidR="004D01B3" w:rsidRPr="004D01B3">
        <w:rPr>
          <w:i/>
          <w:szCs w:val="20"/>
        </w:rPr>
        <w:t>Telecommunications (Listed Infringement Notice Provisions) Declaration 2011</w:t>
      </w:r>
      <w:r w:rsidR="004D01B3">
        <w:rPr>
          <w:iCs/>
          <w:szCs w:val="20"/>
        </w:rPr>
        <w:t xml:space="preserve"> (</w:t>
      </w:r>
      <w:r w:rsidR="004D01B3" w:rsidRPr="00897497">
        <w:rPr>
          <w:b/>
          <w:bCs/>
          <w:iCs/>
          <w:szCs w:val="20"/>
        </w:rPr>
        <w:t>the Declaration</w:t>
      </w:r>
      <w:r w:rsidR="004D01B3">
        <w:rPr>
          <w:iCs/>
          <w:szCs w:val="20"/>
        </w:rPr>
        <w:t xml:space="preserve">). </w:t>
      </w:r>
    </w:p>
    <w:p w14:paraId="615BF6B7" w14:textId="75280CBA" w:rsidR="001F013B" w:rsidRDefault="00947F30" w:rsidP="003C1118">
      <w:pPr>
        <w:jc w:val="both"/>
        <w:rPr>
          <w:iCs/>
          <w:szCs w:val="20"/>
        </w:rPr>
      </w:pPr>
      <w:r>
        <w:rPr>
          <w:iCs/>
          <w:szCs w:val="20"/>
        </w:rPr>
        <w:t xml:space="preserve">The Declaration specifies </w:t>
      </w:r>
      <w:r w:rsidR="00DD3E93">
        <w:rPr>
          <w:iCs/>
          <w:szCs w:val="20"/>
        </w:rPr>
        <w:t>the</w:t>
      </w:r>
      <w:r>
        <w:rPr>
          <w:iCs/>
          <w:szCs w:val="20"/>
        </w:rPr>
        <w:t xml:space="preserve"> pro</w:t>
      </w:r>
      <w:r w:rsidR="00DD3E93">
        <w:rPr>
          <w:iCs/>
          <w:szCs w:val="20"/>
        </w:rPr>
        <w:t xml:space="preserve">visions of Commonwealth legislation </w:t>
      </w:r>
      <w:r w:rsidR="00D870AE">
        <w:rPr>
          <w:iCs/>
          <w:szCs w:val="20"/>
        </w:rPr>
        <w:t>for which</w:t>
      </w:r>
      <w:r w:rsidR="00DD3E93">
        <w:rPr>
          <w:iCs/>
          <w:szCs w:val="20"/>
        </w:rPr>
        <w:t xml:space="preserve"> the ACMA may issue an infringement notice</w:t>
      </w:r>
      <w:r w:rsidR="008101F0">
        <w:rPr>
          <w:iCs/>
          <w:szCs w:val="20"/>
        </w:rPr>
        <w:t xml:space="preserve"> (</w:t>
      </w:r>
      <w:r w:rsidR="008101F0" w:rsidRPr="008101F0">
        <w:rPr>
          <w:b/>
          <w:bCs/>
          <w:iCs/>
          <w:szCs w:val="20"/>
        </w:rPr>
        <w:t>IN</w:t>
      </w:r>
      <w:r w:rsidR="008101F0">
        <w:rPr>
          <w:iCs/>
          <w:szCs w:val="20"/>
        </w:rPr>
        <w:t>)</w:t>
      </w:r>
      <w:r w:rsidR="00DD3E93">
        <w:rPr>
          <w:iCs/>
          <w:szCs w:val="20"/>
        </w:rPr>
        <w:t xml:space="preserve"> </w:t>
      </w:r>
      <w:r w:rsidR="00574AFF">
        <w:rPr>
          <w:iCs/>
          <w:szCs w:val="20"/>
        </w:rPr>
        <w:t xml:space="preserve">should </w:t>
      </w:r>
      <w:r w:rsidR="00DD3E93">
        <w:rPr>
          <w:iCs/>
          <w:szCs w:val="20"/>
        </w:rPr>
        <w:t>a carriage service provider (</w:t>
      </w:r>
      <w:r w:rsidR="00DD3E93" w:rsidRPr="003C1118">
        <w:rPr>
          <w:b/>
          <w:bCs/>
          <w:iCs/>
          <w:szCs w:val="20"/>
        </w:rPr>
        <w:t>CSP</w:t>
      </w:r>
      <w:r w:rsidR="00DD3E93">
        <w:rPr>
          <w:iCs/>
          <w:szCs w:val="20"/>
        </w:rPr>
        <w:t xml:space="preserve">) contravene </w:t>
      </w:r>
      <w:r w:rsidR="00574AFF">
        <w:rPr>
          <w:iCs/>
          <w:szCs w:val="20"/>
        </w:rPr>
        <w:t xml:space="preserve">a </w:t>
      </w:r>
      <w:r w:rsidR="00DD3E93">
        <w:rPr>
          <w:iCs/>
          <w:szCs w:val="20"/>
        </w:rPr>
        <w:t xml:space="preserve">provision. </w:t>
      </w:r>
      <w:r w:rsidR="001C672F">
        <w:rPr>
          <w:iCs/>
          <w:szCs w:val="20"/>
        </w:rPr>
        <w:t xml:space="preserve">CSP activities that </w:t>
      </w:r>
      <w:r w:rsidR="00DD316E">
        <w:rPr>
          <w:iCs/>
          <w:szCs w:val="20"/>
        </w:rPr>
        <w:t>can</w:t>
      </w:r>
      <w:r w:rsidR="001C672F">
        <w:rPr>
          <w:iCs/>
          <w:szCs w:val="20"/>
        </w:rPr>
        <w:t xml:space="preserve"> incur an </w:t>
      </w:r>
      <w:r w:rsidR="008101F0">
        <w:rPr>
          <w:iCs/>
          <w:szCs w:val="20"/>
        </w:rPr>
        <w:t>IN</w:t>
      </w:r>
      <w:r w:rsidR="001C672F">
        <w:rPr>
          <w:iCs/>
          <w:szCs w:val="20"/>
        </w:rPr>
        <w:t xml:space="preserve"> include</w:t>
      </w:r>
      <w:r w:rsidR="00BD4329">
        <w:rPr>
          <w:iCs/>
          <w:szCs w:val="20"/>
        </w:rPr>
        <w:t xml:space="preserve"> </w:t>
      </w:r>
      <w:r w:rsidR="00851529">
        <w:rPr>
          <w:iCs/>
          <w:szCs w:val="20"/>
        </w:rPr>
        <w:t xml:space="preserve">(but are not limited to) </w:t>
      </w:r>
      <w:r w:rsidR="00BD4329">
        <w:rPr>
          <w:iCs/>
          <w:szCs w:val="20"/>
        </w:rPr>
        <w:t>failure to comply with</w:t>
      </w:r>
      <w:r w:rsidR="001C672F">
        <w:rPr>
          <w:iCs/>
          <w:szCs w:val="20"/>
        </w:rPr>
        <w:t>:</w:t>
      </w:r>
    </w:p>
    <w:p w14:paraId="5C5BEBF9" w14:textId="78CD50CE" w:rsidR="001C672F" w:rsidRDefault="00EB0B3D" w:rsidP="003C1118">
      <w:pPr>
        <w:pStyle w:val="ListParagraph"/>
        <w:numPr>
          <w:ilvl w:val="0"/>
          <w:numId w:val="28"/>
        </w:numPr>
        <w:jc w:val="both"/>
        <w:rPr>
          <w:iCs/>
          <w:szCs w:val="20"/>
        </w:rPr>
      </w:pPr>
      <w:r>
        <w:rPr>
          <w:iCs/>
          <w:szCs w:val="20"/>
        </w:rPr>
        <w:t>Requirements</w:t>
      </w:r>
      <w:r w:rsidR="00BD4329">
        <w:rPr>
          <w:iCs/>
          <w:szCs w:val="20"/>
        </w:rPr>
        <w:t xml:space="preserve"> to </w:t>
      </w:r>
      <w:r w:rsidR="001C672F">
        <w:rPr>
          <w:iCs/>
          <w:szCs w:val="20"/>
        </w:rPr>
        <w:t>join the Telecommunications Industry Ombudsman scheme,</w:t>
      </w:r>
      <w:r w:rsidR="00B67B32">
        <w:rPr>
          <w:iCs/>
          <w:szCs w:val="20"/>
        </w:rPr>
        <w:t xml:space="preserve"> which provides consumers access to free and independent external dispute resolution,</w:t>
      </w:r>
    </w:p>
    <w:p w14:paraId="36BAC982" w14:textId="5E389F97" w:rsidR="008822D6" w:rsidRDefault="00F13CEA" w:rsidP="003C1118">
      <w:pPr>
        <w:pStyle w:val="ListParagraph"/>
        <w:numPr>
          <w:ilvl w:val="0"/>
          <w:numId w:val="28"/>
        </w:numPr>
        <w:jc w:val="both"/>
        <w:rPr>
          <w:iCs/>
          <w:szCs w:val="20"/>
        </w:rPr>
      </w:pPr>
      <w:r>
        <w:rPr>
          <w:iCs/>
          <w:szCs w:val="20"/>
        </w:rPr>
        <w:t>ACMA remedial direction</w:t>
      </w:r>
      <w:r w:rsidR="00BD4329">
        <w:rPr>
          <w:iCs/>
          <w:szCs w:val="20"/>
        </w:rPr>
        <w:t>s</w:t>
      </w:r>
      <w:r>
        <w:rPr>
          <w:iCs/>
          <w:szCs w:val="20"/>
        </w:rPr>
        <w:t xml:space="preserve">, </w:t>
      </w:r>
      <w:r w:rsidR="00B67B32">
        <w:rPr>
          <w:iCs/>
          <w:szCs w:val="20"/>
        </w:rPr>
        <w:t xml:space="preserve">which </w:t>
      </w:r>
      <w:r w:rsidR="00C74D4D">
        <w:rPr>
          <w:iCs/>
          <w:szCs w:val="20"/>
        </w:rPr>
        <w:t xml:space="preserve">require CSPs to </w:t>
      </w:r>
      <w:r w:rsidR="00856867">
        <w:rPr>
          <w:iCs/>
          <w:szCs w:val="20"/>
        </w:rPr>
        <w:t xml:space="preserve">prevent or cease activities </w:t>
      </w:r>
      <w:r w:rsidR="00C74D4D">
        <w:rPr>
          <w:iCs/>
          <w:szCs w:val="20"/>
        </w:rPr>
        <w:t>deemed non-compliant,</w:t>
      </w:r>
      <w:r w:rsidR="009A466E">
        <w:rPr>
          <w:rStyle w:val="FootnoteReference"/>
          <w:iCs/>
          <w:szCs w:val="20"/>
        </w:rPr>
        <w:footnoteReference w:id="2"/>
      </w:r>
      <w:r w:rsidR="00C74D4D">
        <w:rPr>
          <w:iCs/>
          <w:szCs w:val="20"/>
        </w:rPr>
        <w:t xml:space="preserve"> and </w:t>
      </w:r>
    </w:p>
    <w:p w14:paraId="7567862B" w14:textId="6C720329" w:rsidR="009F396B" w:rsidRPr="00CB04D9" w:rsidRDefault="00BD4329" w:rsidP="003C1118">
      <w:pPr>
        <w:pStyle w:val="ListParagraph"/>
        <w:numPr>
          <w:ilvl w:val="0"/>
          <w:numId w:val="28"/>
        </w:numPr>
        <w:jc w:val="both"/>
        <w:rPr>
          <w:iCs/>
          <w:szCs w:val="20"/>
        </w:rPr>
      </w:pPr>
      <w:r>
        <w:rPr>
          <w:iCs/>
          <w:szCs w:val="20"/>
        </w:rPr>
        <w:t>R</w:t>
      </w:r>
      <w:r w:rsidR="00CB04D9">
        <w:rPr>
          <w:iCs/>
          <w:szCs w:val="20"/>
        </w:rPr>
        <w:t>ules about record-keeping</w:t>
      </w:r>
      <w:r>
        <w:rPr>
          <w:iCs/>
          <w:szCs w:val="20"/>
        </w:rPr>
        <w:t xml:space="preserve">, </w:t>
      </w:r>
      <w:r w:rsidR="00AA7A8D">
        <w:rPr>
          <w:iCs/>
          <w:szCs w:val="20"/>
        </w:rPr>
        <w:t>which</w:t>
      </w:r>
      <w:r>
        <w:rPr>
          <w:iCs/>
          <w:szCs w:val="20"/>
        </w:rPr>
        <w:t xml:space="preserve"> assist the ACMA in its compliance investigations</w:t>
      </w:r>
      <w:r w:rsidR="00CB04D9">
        <w:rPr>
          <w:iCs/>
          <w:szCs w:val="20"/>
        </w:rPr>
        <w:t>.</w:t>
      </w:r>
      <w:r w:rsidR="009F396B">
        <w:rPr>
          <w:rStyle w:val="FootnoteReference"/>
          <w:iCs/>
          <w:szCs w:val="20"/>
        </w:rPr>
        <w:footnoteReference w:id="3"/>
      </w:r>
    </w:p>
    <w:p w14:paraId="5174AB85" w14:textId="2145B123" w:rsidR="00947F30" w:rsidRDefault="00D06041" w:rsidP="0071501B">
      <w:pPr>
        <w:jc w:val="both"/>
        <w:rPr>
          <w:iCs/>
          <w:szCs w:val="20"/>
        </w:rPr>
      </w:pPr>
      <w:r>
        <w:rPr>
          <w:iCs/>
          <w:szCs w:val="20"/>
        </w:rPr>
        <w:t xml:space="preserve">While the Declaration only captures certain provisions </w:t>
      </w:r>
      <w:r w:rsidR="00CB0C3A">
        <w:rPr>
          <w:iCs/>
          <w:szCs w:val="20"/>
        </w:rPr>
        <w:t>in</w:t>
      </w:r>
      <w:r>
        <w:rPr>
          <w:iCs/>
          <w:szCs w:val="20"/>
        </w:rPr>
        <w:t xml:space="preserve"> the telecommunications regulatory </w:t>
      </w:r>
      <w:r w:rsidR="00CB0C3A">
        <w:rPr>
          <w:iCs/>
          <w:szCs w:val="20"/>
        </w:rPr>
        <w:t>landscape</w:t>
      </w:r>
      <w:r>
        <w:rPr>
          <w:iCs/>
          <w:szCs w:val="20"/>
        </w:rPr>
        <w:t xml:space="preserve">, </w:t>
      </w:r>
      <w:r w:rsidR="00691F58">
        <w:rPr>
          <w:iCs/>
          <w:szCs w:val="20"/>
        </w:rPr>
        <w:t>ACCAN</w:t>
      </w:r>
      <w:r w:rsidR="001F013B">
        <w:rPr>
          <w:iCs/>
          <w:szCs w:val="20"/>
        </w:rPr>
        <w:t xml:space="preserve"> strongly supports </w:t>
      </w:r>
      <w:r w:rsidR="000F764C">
        <w:rPr>
          <w:iCs/>
          <w:szCs w:val="20"/>
        </w:rPr>
        <w:t>its</w:t>
      </w:r>
      <w:r w:rsidR="001F013B">
        <w:rPr>
          <w:iCs/>
          <w:szCs w:val="20"/>
        </w:rPr>
        <w:t xml:space="preserve"> remaking</w:t>
      </w:r>
      <w:r w:rsidR="000F764C">
        <w:rPr>
          <w:iCs/>
          <w:szCs w:val="20"/>
        </w:rPr>
        <w:t xml:space="preserve">. The Declaration, and the IN scheme more broadly, </w:t>
      </w:r>
      <w:r w:rsidR="00D449CF">
        <w:rPr>
          <w:iCs/>
          <w:szCs w:val="20"/>
        </w:rPr>
        <w:t xml:space="preserve">constitute a vital part </w:t>
      </w:r>
      <w:r w:rsidR="00D81165">
        <w:rPr>
          <w:iCs/>
          <w:szCs w:val="20"/>
        </w:rPr>
        <w:t xml:space="preserve">of the ACMA’s enforcement regime, </w:t>
      </w:r>
      <w:r w:rsidR="000341DA">
        <w:rPr>
          <w:iCs/>
          <w:szCs w:val="20"/>
        </w:rPr>
        <w:t xml:space="preserve">and ensure </w:t>
      </w:r>
      <w:r w:rsidR="00D1125C">
        <w:rPr>
          <w:iCs/>
          <w:szCs w:val="20"/>
        </w:rPr>
        <w:t>that</w:t>
      </w:r>
      <w:r w:rsidR="007B3B7B">
        <w:rPr>
          <w:iCs/>
          <w:szCs w:val="20"/>
        </w:rPr>
        <w:t xml:space="preserve"> CSPs’</w:t>
      </w:r>
      <w:r w:rsidR="00D1125C">
        <w:rPr>
          <w:iCs/>
          <w:szCs w:val="20"/>
        </w:rPr>
        <w:t xml:space="preserve"> compliance with</w:t>
      </w:r>
      <w:r w:rsidR="00163200">
        <w:rPr>
          <w:iCs/>
          <w:szCs w:val="20"/>
        </w:rPr>
        <w:t xml:space="preserve"> certain</w:t>
      </w:r>
      <w:r w:rsidR="00D1125C">
        <w:rPr>
          <w:iCs/>
          <w:szCs w:val="20"/>
        </w:rPr>
        <w:t xml:space="preserve"> telecommunications rule</w:t>
      </w:r>
      <w:r w:rsidR="009A466E">
        <w:rPr>
          <w:iCs/>
          <w:szCs w:val="20"/>
        </w:rPr>
        <w:t>s</w:t>
      </w:r>
      <w:r w:rsidR="000341DA">
        <w:rPr>
          <w:iCs/>
          <w:szCs w:val="20"/>
        </w:rPr>
        <w:t xml:space="preserve"> is incentiv</w:t>
      </w:r>
      <w:r w:rsidR="00D1125C">
        <w:rPr>
          <w:iCs/>
          <w:szCs w:val="20"/>
        </w:rPr>
        <w:t xml:space="preserve">ised. </w:t>
      </w:r>
      <w:r w:rsidR="00B91FBC">
        <w:rPr>
          <w:iCs/>
          <w:szCs w:val="20"/>
        </w:rPr>
        <w:t>Our submission provides feedback to improve the</w:t>
      </w:r>
      <w:r w:rsidR="009A466E">
        <w:rPr>
          <w:iCs/>
          <w:szCs w:val="20"/>
        </w:rPr>
        <w:t xml:space="preserve"> </w:t>
      </w:r>
      <w:r w:rsidR="004B2773">
        <w:rPr>
          <w:iCs/>
          <w:szCs w:val="20"/>
        </w:rPr>
        <w:t>robustness</w:t>
      </w:r>
      <w:r w:rsidR="009A466E">
        <w:rPr>
          <w:iCs/>
          <w:szCs w:val="20"/>
        </w:rPr>
        <w:t xml:space="preserve"> of the</w:t>
      </w:r>
      <w:r w:rsidR="00B91FBC">
        <w:rPr>
          <w:iCs/>
          <w:szCs w:val="20"/>
        </w:rPr>
        <w:t xml:space="preserve"> Declaratio</w:t>
      </w:r>
      <w:r w:rsidR="00F155C9">
        <w:rPr>
          <w:iCs/>
          <w:szCs w:val="20"/>
        </w:rPr>
        <w:t>n</w:t>
      </w:r>
      <w:r w:rsidR="00B516F8">
        <w:rPr>
          <w:iCs/>
          <w:szCs w:val="20"/>
        </w:rPr>
        <w:t xml:space="preserve"> </w:t>
      </w:r>
      <w:r w:rsidR="00AE24A6">
        <w:rPr>
          <w:iCs/>
          <w:szCs w:val="20"/>
        </w:rPr>
        <w:t>and</w:t>
      </w:r>
      <w:r w:rsidR="008264FA">
        <w:rPr>
          <w:iCs/>
          <w:szCs w:val="20"/>
        </w:rPr>
        <w:t xml:space="preserve"> suggests improvements to the </w:t>
      </w:r>
      <w:r w:rsidR="00AE24A6">
        <w:rPr>
          <w:iCs/>
          <w:szCs w:val="20"/>
        </w:rPr>
        <w:t xml:space="preserve">ACMA’s </w:t>
      </w:r>
      <w:r w:rsidR="008101F0">
        <w:rPr>
          <w:iCs/>
          <w:szCs w:val="20"/>
        </w:rPr>
        <w:t>IN</w:t>
      </w:r>
      <w:r w:rsidR="00B516F8">
        <w:rPr>
          <w:iCs/>
          <w:szCs w:val="20"/>
        </w:rPr>
        <w:t xml:space="preserve"> scheme </w:t>
      </w:r>
      <w:r w:rsidR="008264FA">
        <w:rPr>
          <w:iCs/>
          <w:szCs w:val="20"/>
        </w:rPr>
        <w:t>more broadly</w:t>
      </w:r>
      <w:r w:rsidR="00717B54">
        <w:rPr>
          <w:iCs/>
          <w:szCs w:val="20"/>
        </w:rPr>
        <w:t xml:space="preserve">. </w:t>
      </w:r>
    </w:p>
    <w:p w14:paraId="744CCAC6" w14:textId="49EFF34B" w:rsidR="00736FBA" w:rsidRDefault="00736FBA" w:rsidP="00A4056F">
      <w:pPr>
        <w:pStyle w:val="Heading1"/>
        <w:numPr>
          <w:ilvl w:val="0"/>
          <w:numId w:val="29"/>
        </w:numPr>
      </w:pPr>
      <w:r w:rsidRPr="00736FBA">
        <w:t>Is the current Declaration operating effectively and efficiently?</w:t>
      </w:r>
    </w:p>
    <w:p w14:paraId="2CB354C7" w14:textId="143FBAB9" w:rsidR="00BE0ED3" w:rsidRDefault="00A4056F" w:rsidP="00FB3FB5">
      <w:pPr>
        <w:jc w:val="both"/>
      </w:pPr>
      <w:r>
        <w:t xml:space="preserve">To ACCAN’s knowledge, the Declaration operates </w:t>
      </w:r>
      <w:r w:rsidR="000A3806">
        <w:t>effectively</w:t>
      </w:r>
      <w:r>
        <w:t xml:space="preserve"> and </w:t>
      </w:r>
      <w:r w:rsidR="00567464">
        <w:t>efficiently</w:t>
      </w:r>
      <w:r>
        <w:t xml:space="preserve"> </w:t>
      </w:r>
      <w:r w:rsidR="00567464">
        <w:t xml:space="preserve">insofar as it provides the ACMA the ability to </w:t>
      </w:r>
      <w:r w:rsidR="008101F0">
        <w:t>issue I</w:t>
      </w:r>
      <w:r w:rsidR="003521C8">
        <w:t xml:space="preserve">Ns for contraventions of certain telecommunications rules. </w:t>
      </w:r>
      <w:r w:rsidR="00431DB3">
        <w:t xml:space="preserve">Further </w:t>
      </w:r>
      <w:r w:rsidR="00137C51">
        <w:t xml:space="preserve">suggestions to improve the way in which the Declaration operates for consumers are detailed below. </w:t>
      </w:r>
    </w:p>
    <w:p w14:paraId="031A479F" w14:textId="2A9E3897" w:rsidR="00736FBA" w:rsidRDefault="00736FBA" w:rsidP="005428CD">
      <w:pPr>
        <w:pStyle w:val="Heading1"/>
        <w:numPr>
          <w:ilvl w:val="0"/>
          <w:numId w:val="29"/>
        </w:numPr>
        <w:rPr>
          <w:iCs/>
          <w:szCs w:val="20"/>
        </w:rPr>
      </w:pPr>
      <w:r w:rsidRPr="00736FBA">
        <w:rPr>
          <w:iCs/>
          <w:szCs w:val="20"/>
        </w:rPr>
        <w:t>Should the Declaration be remade and amended as proposed?</w:t>
      </w:r>
    </w:p>
    <w:p w14:paraId="69C458C5" w14:textId="4405E661" w:rsidR="00057A92" w:rsidRDefault="005428CD" w:rsidP="008633A2">
      <w:pPr>
        <w:jc w:val="both"/>
      </w:pPr>
      <w:r>
        <w:t xml:space="preserve">ACCAN </w:t>
      </w:r>
      <w:r w:rsidR="004A6866">
        <w:t xml:space="preserve">is strongly </w:t>
      </w:r>
      <w:r w:rsidR="00E40C2C">
        <w:t>supportive</w:t>
      </w:r>
      <w:r w:rsidR="004A6866">
        <w:t xml:space="preserve"> of the Declaration being remade to </w:t>
      </w:r>
      <w:r w:rsidR="00245265">
        <w:t>ensure</w:t>
      </w:r>
      <w:r w:rsidR="004A6866">
        <w:t xml:space="preserve"> th</w:t>
      </w:r>
      <w:r w:rsidR="008633A2">
        <w:t>at th</w:t>
      </w:r>
      <w:r w:rsidR="004A6866">
        <w:t xml:space="preserve">e ACMA’s </w:t>
      </w:r>
      <w:r w:rsidR="00D65181">
        <w:t>IN</w:t>
      </w:r>
      <w:r w:rsidR="004A6866">
        <w:t xml:space="preserve"> scheme</w:t>
      </w:r>
      <w:r w:rsidR="00245265">
        <w:t xml:space="preserve"> continues to operate</w:t>
      </w:r>
      <w:r w:rsidR="004A6866">
        <w:t xml:space="preserve">. </w:t>
      </w:r>
      <w:r w:rsidR="00057A92">
        <w:t xml:space="preserve">The proposed amendments, including new provisions to be included in the </w:t>
      </w:r>
      <w:r w:rsidR="00057A92">
        <w:lastRenderedPageBreak/>
        <w:t xml:space="preserve">Declaration, strengthen </w:t>
      </w:r>
      <w:r w:rsidR="003C6711">
        <w:t xml:space="preserve">the existing scheme, and give consumers confidence that their providers are better incentivised to follow telecommunications rules. </w:t>
      </w:r>
      <w:r w:rsidR="004528C4">
        <w:t xml:space="preserve">The proposed administrative changes should also be made to ensure the </w:t>
      </w:r>
      <w:r w:rsidR="008E77D0">
        <w:t xml:space="preserve">Declaration </w:t>
      </w:r>
      <w:r w:rsidR="004528C4">
        <w:t xml:space="preserve">remains accurate and fit for purpose. </w:t>
      </w:r>
    </w:p>
    <w:p w14:paraId="007D8F9D" w14:textId="79B260BB" w:rsidR="00AD1349" w:rsidRDefault="00AD1349" w:rsidP="009107B6">
      <w:pPr>
        <w:pStyle w:val="Heading2"/>
      </w:pPr>
      <w:r>
        <w:t>S</w:t>
      </w:r>
      <w:r w:rsidR="00981F3D">
        <w:t xml:space="preserve">tatutory </w:t>
      </w:r>
      <w:r>
        <w:t>I</w:t>
      </w:r>
      <w:r w:rsidR="00981F3D">
        <w:t>nfrastructure Provider</w:t>
      </w:r>
      <w:r>
        <w:t xml:space="preserve"> rules</w:t>
      </w:r>
    </w:p>
    <w:p w14:paraId="434ECFF4" w14:textId="178548D6" w:rsidR="009F111A" w:rsidRDefault="003C6711" w:rsidP="008E77D0">
      <w:pPr>
        <w:jc w:val="both"/>
        <w:rPr>
          <w:lang w:val="en-US"/>
        </w:rPr>
      </w:pPr>
      <w:r>
        <w:t xml:space="preserve">ACCAN is particularly </w:t>
      </w:r>
      <w:r w:rsidR="00753C18">
        <w:t>supportive</w:t>
      </w:r>
      <w:r>
        <w:t xml:space="preserve"> of the inclusion of new</w:t>
      </w:r>
      <w:r w:rsidR="009311E3">
        <w:t xml:space="preserve"> </w:t>
      </w:r>
      <w:r>
        <w:t xml:space="preserve">provisions related to </w:t>
      </w:r>
      <w:r w:rsidR="00FD7D0C">
        <w:rPr>
          <w:lang w:val="en-US"/>
        </w:rPr>
        <w:t>Statutory Infrastructure Providers (</w:t>
      </w:r>
      <w:r w:rsidR="00FD7D0C" w:rsidRPr="00FD7D0C">
        <w:rPr>
          <w:b/>
          <w:bCs/>
          <w:lang w:val="en-US"/>
        </w:rPr>
        <w:t>SIPs</w:t>
      </w:r>
      <w:r w:rsidR="00FD7D0C">
        <w:rPr>
          <w:lang w:val="en-US"/>
        </w:rPr>
        <w:t xml:space="preserve">). ACCAN is aware </w:t>
      </w:r>
      <w:r w:rsidR="00BE5EF2">
        <w:rPr>
          <w:lang w:val="en-US"/>
        </w:rPr>
        <w:t xml:space="preserve">of </w:t>
      </w:r>
      <w:r w:rsidR="00672B90">
        <w:rPr>
          <w:lang w:val="en-US"/>
        </w:rPr>
        <w:t xml:space="preserve">consumer </w:t>
      </w:r>
      <w:r w:rsidR="00BE5EF2">
        <w:rPr>
          <w:lang w:val="en-US"/>
        </w:rPr>
        <w:t xml:space="preserve">cases where non-NBN SIPs have failed to comply with </w:t>
      </w:r>
      <w:r w:rsidR="002D18C5">
        <w:rPr>
          <w:lang w:val="en-US"/>
        </w:rPr>
        <w:t xml:space="preserve">important </w:t>
      </w:r>
      <w:r w:rsidR="00BE5EF2">
        <w:rPr>
          <w:lang w:val="en-US"/>
        </w:rPr>
        <w:t>obligations</w:t>
      </w:r>
      <w:r w:rsidR="003444A4">
        <w:rPr>
          <w:lang w:val="en-US"/>
        </w:rPr>
        <w:t>;</w:t>
      </w:r>
      <w:r w:rsidR="00E022A6">
        <w:rPr>
          <w:lang w:val="en-US"/>
        </w:rPr>
        <w:t xml:space="preserve"> for example, </w:t>
      </w:r>
      <w:r w:rsidR="00C12544">
        <w:rPr>
          <w:lang w:val="en-US"/>
        </w:rPr>
        <w:t>connecting a consumer to a qualifying network on request</w:t>
      </w:r>
      <w:r w:rsidR="009F111A">
        <w:rPr>
          <w:lang w:val="en-US"/>
        </w:rPr>
        <w:t>,</w:t>
      </w:r>
      <w:r w:rsidR="00C12544">
        <w:rPr>
          <w:lang w:val="en-US"/>
        </w:rPr>
        <w:t xml:space="preserve"> </w:t>
      </w:r>
      <w:r w:rsidR="00BE5EF2">
        <w:rPr>
          <w:lang w:val="en-US"/>
        </w:rPr>
        <w:t xml:space="preserve">and </w:t>
      </w:r>
      <w:r w:rsidR="009107B6">
        <w:rPr>
          <w:lang w:val="en-US"/>
        </w:rPr>
        <w:t>publishing</w:t>
      </w:r>
      <w:r w:rsidR="009F111A">
        <w:rPr>
          <w:lang w:val="en-US"/>
        </w:rPr>
        <w:t xml:space="preserve"> </w:t>
      </w:r>
      <w:r w:rsidR="001D2405">
        <w:rPr>
          <w:lang w:val="en-US"/>
        </w:rPr>
        <w:t>wholesale</w:t>
      </w:r>
      <w:r w:rsidR="009107B6">
        <w:rPr>
          <w:lang w:val="en-US"/>
        </w:rPr>
        <w:t xml:space="preserve"> terms and conditions</w:t>
      </w:r>
      <w:r w:rsidR="00785A4C">
        <w:rPr>
          <w:lang w:val="en-US"/>
        </w:rPr>
        <w:t xml:space="preserve"> online</w:t>
      </w:r>
      <w:r w:rsidR="004A5421">
        <w:rPr>
          <w:lang w:val="en-US"/>
        </w:rPr>
        <w:t xml:space="preserve">. </w:t>
      </w:r>
      <w:r w:rsidR="004405D5">
        <w:rPr>
          <w:lang w:val="en-US"/>
        </w:rPr>
        <w:t xml:space="preserve">The ACMA has investigated </w:t>
      </w:r>
      <w:r w:rsidR="00785A4C">
        <w:rPr>
          <w:lang w:val="en-US"/>
        </w:rPr>
        <w:t>this type of</w:t>
      </w:r>
      <w:r w:rsidR="004405D5">
        <w:rPr>
          <w:lang w:val="en-US"/>
        </w:rPr>
        <w:t xml:space="preserve"> conduct</w:t>
      </w:r>
      <w:r w:rsidR="00D40603">
        <w:rPr>
          <w:lang w:val="en-US"/>
        </w:rPr>
        <w:t xml:space="preserve"> in the past</w:t>
      </w:r>
      <w:r w:rsidR="004405D5">
        <w:rPr>
          <w:lang w:val="en-US"/>
        </w:rPr>
        <w:t xml:space="preserve"> and issued a formal warning</w:t>
      </w:r>
      <w:r w:rsidR="002140FC">
        <w:rPr>
          <w:lang w:val="en-US"/>
        </w:rPr>
        <w:t xml:space="preserve"> in response.</w:t>
      </w:r>
      <w:r w:rsidR="00785A4C">
        <w:rPr>
          <w:rStyle w:val="FootnoteReference"/>
          <w:lang w:val="en-US"/>
        </w:rPr>
        <w:footnoteReference w:id="4"/>
      </w:r>
      <w:r w:rsidR="004405D5">
        <w:rPr>
          <w:lang w:val="en-US"/>
        </w:rPr>
        <w:t xml:space="preserve"> </w:t>
      </w:r>
      <w:r w:rsidR="003742A1">
        <w:rPr>
          <w:lang w:val="en-US"/>
        </w:rPr>
        <w:t xml:space="preserve">Under the </w:t>
      </w:r>
      <w:r w:rsidR="00934D3C">
        <w:rPr>
          <w:lang w:val="en-US"/>
        </w:rPr>
        <w:t xml:space="preserve">amended </w:t>
      </w:r>
      <w:r w:rsidR="003742A1">
        <w:rPr>
          <w:lang w:val="en-US"/>
        </w:rPr>
        <w:t xml:space="preserve">proposed Declaration, </w:t>
      </w:r>
      <w:r w:rsidR="000A41A1">
        <w:rPr>
          <w:lang w:val="en-US"/>
        </w:rPr>
        <w:t xml:space="preserve">in this instance </w:t>
      </w:r>
      <w:r w:rsidR="003742A1">
        <w:rPr>
          <w:lang w:val="en-US"/>
        </w:rPr>
        <w:t>the ACMA would have the discretionary power to issue an IN</w:t>
      </w:r>
      <w:r w:rsidR="007170D3">
        <w:rPr>
          <w:lang w:val="en-US"/>
        </w:rPr>
        <w:t xml:space="preserve"> where appropriate, </w:t>
      </w:r>
      <w:r w:rsidR="00862C0A">
        <w:rPr>
          <w:lang w:val="en-US"/>
        </w:rPr>
        <w:t>rather than being constrained to issue a warning or direction first</w:t>
      </w:r>
      <w:r w:rsidR="003742A1">
        <w:rPr>
          <w:lang w:val="en-US"/>
        </w:rPr>
        <w:t xml:space="preserve">. </w:t>
      </w:r>
    </w:p>
    <w:p w14:paraId="3FA64F3F" w14:textId="3B128AD3" w:rsidR="00D449CF" w:rsidRDefault="00736FBA" w:rsidP="00736FBA">
      <w:pPr>
        <w:pStyle w:val="Heading1"/>
        <w:rPr>
          <w:iCs/>
          <w:szCs w:val="20"/>
        </w:rPr>
      </w:pPr>
      <w:r w:rsidRPr="00736FBA">
        <w:rPr>
          <w:iCs/>
          <w:szCs w:val="20"/>
        </w:rPr>
        <w:t>3</w:t>
      </w:r>
      <w:r>
        <w:rPr>
          <w:iCs/>
          <w:szCs w:val="20"/>
        </w:rPr>
        <w:t xml:space="preserve">. </w:t>
      </w:r>
      <w:r w:rsidRPr="00736FBA">
        <w:rPr>
          <w:iCs/>
          <w:szCs w:val="20"/>
        </w:rPr>
        <w:t>Are there any other changes that should be made to the Declaration?</w:t>
      </w:r>
    </w:p>
    <w:p w14:paraId="75C4D4C4" w14:textId="2DDD77D1" w:rsidR="00CE0303" w:rsidRDefault="00CF1822" w:rsidP="008E77D0">
      <w:pPr>
        <w:jc w:val="both"/>
        <w:rPr>
          <w:iCs/>
          <w:szCs w:val="20"/>
        </w:rPr>
      </w:pPr>
      <w:r>
        <w:rPr>
          <w:iCs/>
          <w:szCs w:val="20"/>
        </w:rPr>
        <w:t xml:space="preserve">The ACMA does not have the power to </w:t>
      </w:r>
      <w:r w:rsidR="001605C9">
        <w:rPr>
          <w:iCs/>
          <w:szCs w:val="20"/>
        </w:rPr>
        <w:t>issue IN</w:t>
      </w:r>
      <w:r w:rsidR="00CD56D3">
        <w:rPr>
          <w:iCs/>
          <w:szCs w:val="20"/>
        </w:rPr>
        <w:t>s</w:t>
      </w:r>
      <w:r w:rsidR="001605C9">
        <w:rPr>
          <w:iCs/>
          <w:szCs w:val="20"/>
        </w:rPr>
        <w:t xml:space="preserve"> for any </w:t>
      </w:r>
      <w:r w:rsidR="00493666">
        <w:rPr>
          <w:iCs/>
          <w:szCs w:val="20"/>
        </w:rPr>
        <w:t xml:space="preserve">and all </w:t>
      </w:r>
      <w:r w:rsidR="001605C9">
        <w:rPr>
          <w:iCs/>
          <w:szCs w:val="20"/>
        </w:rPr>
        <w:t>contravention</w:t>
      </w:r>
      <w:r w:rsidR="00493666">
        <w:rPr>
          <w:iCs/>
          <w:szCs w:val="20"/>
        </w:rPr>
        <w:t>s</w:t>
      </w:r>
      <w:r w:rsidR="001605C9">
        <w:rPr>
          <w:iCs/>
          <w:szCs w:val="20"/>
        </w:rPr>
        <w:t xml:space="preserve"> of the rules the ACMA enforces. ACCAN’s view, in line with our position expressed in the Consumer Safeguard</w:t>
      </w:r>
      <w:r w:rsidR="00EE233B">
        <w:rPr>
          <w:iCs/>
          <w:szCs w:val="20"/>
        </w:rPr>
        <w:t>s</w:t>
      </w:r>
      <w:r w:rsidR="001605C9">
        <w:rPr>
          <w:iCs/>
          <w:szCs w:val="20"/>
        </w:rPr>
        <w:t xml:space="preserve"> Review Part C</w:t>
      </w:r>
      <w:r w:rsidR="00455428">
        <w:rPr>
          <w:iCs/>
          <w:szCs w:val="20"/>
        </w:rPr>
        <w:t xml:space="preserve">, is that </w:t>
      </w:r>
      <w:r w:rsidR="00122DD1">
        <w:rPr>
          <w:iCs/>
          <w:szCs w:val="20"/>
        </w:rPr>
        <w:t>a</w:t>
      </w:r>
      <w:r w:rsidR="00FA17B2">
        <w:rPr>
          <w:iCs/>
          <w:szCs w:val="20"/>
        </w:rPr>
        <w:t xml:space="preserve">ll rules </w:t>
      </w:r>
      <w:r w:rsidR="00122DD1">
        <w:rPr>
          <w:iCs/>
          <w:szCs w:val="20"/>
        </w:rPr>
        <w:t xml:space="preserve">directly </w:t>
      </w:r>
      <w:r w:rsidR="00FA17B2">
        <w:rPr>
          <w:iCs/>
          <w:szCs w:val="20"/>
        </w:rPr>
        <w:t xml:space="preserve">related to the supply </w:t>
      </w:r>
      <w:r w:rsidR="00135C01">
        <w:rPr>
          <w:iCs/>
          <w:szCs w:val="20"/>
        </w:rPr>
        <w:t>of communications</w:t>
      </w:r>
      <w:r w:rsidR="00455428">
        <w:rPr>
          <w:iCs/>
          <w:szCs w:val="20"/>
        </w:rPr>
        <w:t xml:space="preserve"> to consumers</w:t>
      </w:r>
      <w:r w:rsidR="00135C01">
        <w:rPr>
          <w:iCs/>
          <w:szCs w:val="20"/>
        </w:rPr>
        <w:t xml:space="preserve"> </w:t>
      </w:r>
      <w:r w:rsidR="00122DD1">
        <w:rPr>
          <w:iCs/>
          <w:szCs w:val="20"/>
        </w:rPr>
        <w:t xml:space="preserve">should be </w:t>
      </w:r>
      <w:r w:rsidR="00455428">
        <w:rPr>
          <w:iCs/>
          <w:szCs w:val="20"/>
        </w:rPr>
        <w:t>directly enforceable</w:t>
      </w:r>
      <w:r w:rsidR="00CD56D3">
        <w:rPr>
          <w:iCs/>
          <w:szCs w:val="20"/>
        </w:rPr>
        <w:t xml:space="preserve"> by the ACMA</w:t>
      </w:r>
      <w:r w:rsidR="00455428">
        <w:rPr>
          <w:iCs/>
          <w:szCs w:val="20"/>
        </w:rPr>
        <w:t>,</w:t>
      </w:r>
      <w:r w:rsidR="00DA23F0">
        <w:rPr>
          <w:rStyle w:val="FootnoteReference"/>
          <w:iCs/>
          <w:szCs w:val="20"/>
        </w:rPr>
        <w:footnoteReference w:id="5"/>
      </w:r>
      <w:r w:rsidR="00455428">
        <w:rPr>
          <w:iCs/>
          <w:szCs w:val="20"/>
        </w:rPr>
        <w:t xml:space="preserve"> and consequently </w:t>
      </w:r>
      <w:r w:rsidR="00CE0303">
        <w:rPr>
          <w:iCs/>
          <w:szCs w:val="20"/>
        </w:rPr>
        <w:t>captured by the</w:t>
      </w:r>
      <w:r w:rsidR="00455428">
        <w:rPr>
          <w:iCs/>
          <w:szCs w:val="20"/>
        </w:rPr>
        <w:t xml:space="preserve"> Declaration</w:t>
      </w:r>
      <w:r w:rsidR="00D40603">
        <w:rPr>
          <w:iCs/>
          <w:szCs w:val="20"/>
        </w:rPr>
        <w:t xml:space="preserve"> or </w:t>
      </w:r>
      <w:r w:rsidR="00F32E57">
        <w:t>the Telecommunications Act 1997 (</w:t>
      </w:r>
      <w:r w:rsidR="00F32E57" w:rsidRPr="00022392">
        <w:rPr>
          <w:b/>
          <w:bCs/>
        </w:rPr>
        <w:t>the</w:t>
      </w:r>
      <w:r w:rsidR="00DA1129">
        <w:rPr>
          <w:b/>
          <w:bCs/>
        </w:rPr>
        <w:t xml:space="preserve"> Tel</w:t>
      </w:r>
      <w:r w:rsidR="00BC253D">
        <w:rPr>
          <w:b/>
          <w:bCs/>
        </w:rPr>
        <w:t>e</w:t>
      </w:r>
      <w:r w:rsidR="00DA1129">
        <w:rPr>
          <w:b/>
          <w:bCs/>
        </w:rPr>
        <w:t>co</w:t>
      </w:r>
      <w:r w:rsidR="00BC253D">
        <w:rPr>
          <w:b/>
          <w:bCs/>
        </w:rPr>
        <w:t>mmunications</w:t>
      </w:r>
      <w:r w:rsidR="00F32E57">
        <w:t xml:space="preserve"> </w:t>
      </w:r>
      <w:r w:rsidR="00F32E57" w:rsidRPr="00F32E57">
        <w:rPr>
          <w:b/>
          <w:bCs/>
        </w:rPr>
        <w:t>Act</w:t>
      </w:r>
      <w:r w:rsidR="00F32E57">
        <w:t>)</w:t>
      </w:r>
      <w:r w:rsidR="00455428">
        <w:rPr>
          <w:iCs/>
          <w:szCs w:val="20"/>
        </w:rPr>
        <w:t>. This would allow the ACMA a wider</w:t>
      </w:r>
      <w:r w:rsidR="005946B9">
        <w:rPr>
          <w:iCs/>
          <w:szCs w:val="20"/>
        </w:rPr>
        <w:t xml:space="preserve"> and more proportionate</w:t>
      </w:r>
      <w:r w:rsidR="00455428">
        <w:rPr>
          <w:iCs/>
          <w:szCs w:val="20"/>
        </w:rPr>
        <w:t xml:space="preserve"> </w:t>
      </w:r>
      <w:r w:rsidR="00DA23F0">
        <w:rPr>
          <w:iCs/>
          <w:szCs w:val="20"/>
        </w:rPr>
        <w:t>range</w:t>
      </w:r>
      <w:r w:rsidR="00455428">
        <w:rPr>
          <w:iCs/>
          <w:szCs w:val="20"/>
        </w:rPr>
        <w:t xml:space="preserve"> of enforcement tools </w:t>
      </w:r>
      <w:r w:rsidR="00D632FE">
        <w:rPr>
          <w:iCs/>
          <w:szCs w:val="20"/>
        </w:rPr>
        <w:t>to respond to</w:t>
      </w:r>
      <w:r w:rsidR="00DA23F0">
        <w:rPr>
          <w:iCs/>
          <w:szCs w:val="20"/>
        </w:rPr>
        <w:t xml:space="preserve"> </w:t>
      </w:r>
      <w:r w:rsidR="00AE6859">
        <w:rPr>
          <w:iCs/>
          <w:szCs w:val="20"/>
        </w:rPr>
        <w:t>any</w:t>
      </w:r>
      <w:r w:rsidR="00DA23F0">
        <w:rPr>
          <w:iCs/>
          <w:szCs w:val="20"/>
        </w:rPr>
        <w:t xml:space="preserve"> </w:t>
      </w:r>
      <w:r w:rsidR="005946B9">
        <w:rPr>
          <w:iCs/>
          <w:szCs w:val="20"/>
        </w:rPr>
        <w:t>CSP contravention</w:t>
      </w:r>
      <w:r w:rsidR="00455428">
        <w:rPr>
          <w:iCs/>
          <w:szCs w:val="20"/>
        </w:rPr>
        <w:t xml:space="preserve">. We urge the ACMA to consider extending the Declaration to address the following gaps. </w:t>
      </w:r>
    </w:p>
    <w:p w14:paraId="257CC759" w14:textId="32C41F69" w:rsidR="009107B6" w:rsidRDefault="00853438" w:rsidP="009107B6">
      <w:pPr>
        <w:pStyle w:val="Heading2"/>
      </w:pPr>
      <w:r>
        <w:t>International m</w:t>
      </w:r>
      <w:r w:rsidR="009107B6">
        <w:t>obile roaming</w:t>
      </w:r>
    </w:p>
    <w:p w14:paraId="43EA8748" w14:textId="6940D130" w:rsidR="00AE75D5" w:rsidRDefault="00810E6A" w:rsidP="008E77D0">
      <w:pPr>
        <w:jc w:val="both"/>
        <w:rPr>
          <w:iCs/>
          <w:szCs w:val="20"/>
        </w:rPr>
      </w:pPr>
      <w:r>
        <w:rPr>
          <w:iCs/>
          <w:szCs w:val="20"/>
        </w:rPr>
        <w:t>The Declaration should be updated to include</w:t>
      </w:r>
      <w:r w:rsidR="008B0D8F">
        <w:rPr>
          <w:iCs/>
          <w:szCs w:val="20"/>
        </w:rPr>
        <w:t xml:space="preserve"> provisions </w:t>
      </w:r>
      <w:r w:rsidR="00DA0352">
        <w:rPr>
          <w:iCs/>
          <w:szCs w:val="20"/>
        </w:rPr>
        <w:t>contained in the</w:t>
      </w:r>
      <w:r w:rsidR="005D3A52">
        <w:rPr>
          <w:iCs/>
          <w:szCs w:val="20"/>
        </w:rPr>
        <w:t xml:space="preserve"> </w:t>
      </w:r>
      <w:r w:rsidR="00BE4682" w:rsidRPr="00810E6A">
        <w:rPr>
          <w:i/>
          <w:szCs w:val="20"/>
        </w:rPr>
        <w:t>Telecommunications Service Provider (International Mobile Roaming) Determination 2019</w:t>
      </w:r>
      <w:r w:rsidR="005D3A52">
        <w:rPr>
          <w:iCs/>
          <w:szCs w:val="20"/>
        </w:rPr>
        <w:t xml:space="preserve"> </w:t>
      </w:r>
      <w:r w:rsidR="00AF2E24">
        <w:rPr>
          <w:iCs/>
          <w:szCs w:val="20"/>
        </w:rPr>
        <w:t>(</w:t>
      </w:r>
      <w:r w:rsidR="00AF2E24" w:rsidRPr="00AF2E24">
        <w:rPr>
          <w:b/>
          <w:bCs/>
          <w:iCs/>
          <w:szCs w:val="20"/>
        </w:rPr>
        <w:t>IMR Determination 2019</w:t>
      </w:r>
      <w:r w:rsidR="00AF2E24">
        <w:rPr>
          <w:iCs/>
          <w:szCs w:val="20"/>
        </w:rPr>
        <w:t xml:space="preserve">) </w:t>
      </w:r>
      <w:r w:rsidR="00DA0352">
        <w:rPr>
          <w:iCs/>
          <w:szCs w:val="20"/>
        </w:rPr>
        <w:t>that prevent CSPs from charging fees for certain communications about</w:t>
      </w:r>
      <w:r w:rsidR="00921CCF">
        <w:rPr>
          <w:iCs/>
          <w:szCs w:val="20"/>
        </w:rPr>
        <w:t xml:space="preserve"> international</w:t>
      </w:r>
      <w:r w:rsidR="00DA0352">
        <w:rPr>
          <w:iCs/>
          <w:szCs w:val="20"/>
        </w:rPr>
        <w:t xml:space="preserve"> mobile roaming</w:t>
      </w:r>
      <w:r w:rsidR="00AE75D5">
        <w:rPr>
          <w:iCs/>
          <w:szCs w:val="20"/>
        </w:rPr>
        <w:t>.</w:t>
      </w:r>
      <w:r w:rsidR="004D39C5">
        <w:rPr>
          <w:iCs/>
          <w:szCs w:val="20"/>
        </w:rPr>
        <w:t xml:space="preserve"> </w:t>
      </w:r>
    </w:p>
    <w:p w14:paraId="339894A1" w14:textId="66838CC3" w:rsidR="00AE75D5" w:rsidRPr="004B0BBF" w:rsidRDefault="00AE75D5" w:rsidP="004B0BBF">
      <w:pPr>
        <w:pStyle w:val="CommentText"/>
        <w:jc w:val="both"/>
        <w:rPr>
          <w:sz w:val="22"/>
          <w:szCs w:val="22"/>
        </w:rPr>
      </w:pPr>
      <w:r w:rsidRPr="004B0BBF">
        <w:rPr>
          <w:sz w:val="22"/>
          <w:szCs w:val="22"/>
        </w:rPr>
        <w:t>Despite reductions in international travel in the past few years due to COVID-19, consumers continue to raise issues with mobile roaming charges. Given the risk of financial stress that IMR charges can create,</w:t>
      </w:r>
      <w:r w:rsidR="00D93A19">
        <w:rPr>
          <w:rStyle w:val="FootnoteReference"/>
          <w:iCs/>
        </w:rPr>
        <w:footnoteReference w:id="6"/>
      </w:r>
      <w:r w:rsidRPr="004B0BBF">
        <w:rPr>
          <w:sz w:val="22"/>
          <w:szCs w:val="22"/>
        </w:rPr>
        <w:t xml:space="preserve"> and the reopening of international borders and subsequent increase in international travel, it is ACCAN’s position that provisions from the IMR Determination 2019 should be included in the Declaration.</w:t>
      </w:r>
    </w:p>
    <w:p w14:paraId="3421676F" w14:textId="77777777" w:rsidR="007E63FD" w:rsidRDefault="007E63FD" w:rsidP="009107B6">
      <w:pPr>
        <w:pStyle w:val="Heading2"/>
      </w:pPr>
      <w:r>
        <w:lastRenderedPageBreak/>
        <w:t xml:space="preserve">Contravention timeframes </w:t>
      </w:r>
    </w:p>
    <w:p w14:paraId="2412CEC9" w14:textId="5404A0A8" w:rsidR="0048163E" w:rsidRDefault="007C7E27" w:rsidP="008E77D0">
      <w:pPr>
        <w:jc w:val="both"/>
        <w:rPr>
          <w:color w:val="000000"/>
          <w:shd w:val="clear" w:color="auto" w:fill="FFFFFF"/>
        </w:rPr>
      </w:pPr>
      <w:r>
        <w:t>S 572E.2</w:t>
      </w:r>
      <w:r w:rsidR="00F80474">
        <w:t xml:space="preserve"> of the</w:t>
      </w:r>
      <w:r w:rsidR="00F80474" w:rsidRPr="00F32E57">
        <w:t xml:space="preserve"> </w:t>
      </w:r>
      <w:r w:rsidR="00DA1129">
        <w:t>Tel</w:t>
      </w:r>
      <w:r w:rsidR="0026420E">
        <w:t>e</w:t>
      </w:r>
      <w:r w:rsidR="00DA1129">
        <w:t>co</w:t>
      </w:r>
      <w:r w:rsidR="00E12419">
        <w:t>mmunications</w:t>
      </w:r>
      <w:r w:rsidR="00DA1129">
        <w:t xml:space="preserve"> </w:t>
      </w:r>
      <w:r w:rsidR="00F32E57" w:rsidRPr="00F32E57">
        <w:t>Act</w:t>
      </w:r>
      <w:r w:rsidR="003134D9">
        <w:t xml:space="preserve"> </w:t>
      </w:r>
      <w:r w:rsidR="003134D9">
        <w:rPr>
          <w:color w:val="000000"/>
          <w:shd w:val="clear" w:color="auto" w:fill="FFFFFF"/>
        </w:rPr>
        <w:t>indicates that an IN must be given within 12 months after the day on which the contravention is alleged to have taken place</w:t>
      </w:r>
      <w:r w:rsidR="008952EF">
        <w:rPr>
          <w:color w:val="000000"/>
          <w:shd w:val="clear" w:color="auto" w:fill="FFFFFF"/>
        </w:rPr>
        <w:t>.</w:t>
      </w:r>
      <w:r w:rsidR="00136E66">
        <w:rPr>
          <w:rStyle w:val="FootnoteReference"/>
          <w:color w:val="000000"/>
          <w:shd w:val="clear" w:color="auto" w:fill="FFFFFF"/>
        </w:rPr>
        <w:footnoteReference w:id="7"/>
      </w:r>
      <w:r w:rsidR="008952EF">
        <w:rPr>
          <w:color w:val="000000"/>
          <w:shd w:val="clear" w:color="auto" w:fill="FFFFFF"/>
        </w:rPr>
        <w:t xml:space="preserve"> ACCAN</w:t>
      </w:r>
      <w:r w:rsidR="00AA1622">
        <w:rPr>
          <w:color w:val="000000"/>
          <w:shd w:val="clear" w:color="auto" w:fill="FFFFFF"/>
        </w:rPr>
        <w:t>’s view is that the 12</w:t>
      </w:r>
      <w:r w:rsidR="00D632FE">
        <w:rPr>
          <w:color w:val="000000"/>
          <w:shd w:val="clear" w:color="auto" w:fill="FFFFFF"/>
        </w:rPr>
        <w:t>-</w:t>
      </w:r>
      <w:r w:rsidR="00AA1622">
        <w:rPr>
          <w:color w:val="000000"/>
          <w:shd w:val="clear" w:color="auto" w:fill="FFFFFF"/>
        </w:rPr>
        <w:t xml:space="preserve">month window for the issuing of an IN is </w:t>
      </w:r>
      <w:r w:rsidR="007879CC">
        <w:rPr>
          <w:color w:val="000000"/>
          <w:shd w:val="clear" w:color="auto" w:fill="FFFFFF"/>
        </w:rPr>
        <w:t xml:space="preserve">too </w:t>
      </w:r>
      <w:r w:rsidR="00AA1622">
        <w:rPr>
          <w:color w:val="000000"/>
          <w:shd w:val="clear" w:color="auto" w:fill="FFFFFF"/>
        </w:rPr>
        <w:t xml:space="preserve">limited given the time it takes </w:t>
      </w:r>
      <w:r w:rsidR="0048163E">
        <w:rPr>
          <w:color w:val="000000"/>
          <w:shd w:val="clear" w:color="auto" w:fill="FFFFFF"/>
        </w:rPr>
        <w:t xml:space="preserve">for a consumer issue to emerge, </w:t>
      </w:r>
      <w:r w:rsidR="00AE6859">
        <w:rPr>
          <w:color w:val="000000"/>
          <w:shd w:val="clear" w:color="auto" w:fill="FFFFFF"/>
        </w:rPr>
        <w:t>then</w:t>
      </w:r>
      <w:r w:rsidR="0048163E">
        <w:rPr>
          <w:color w:val="000000"/>
          <w:shd w:val="clear" w:color="auto" w:fill="FFFFFF"/>
        </w:rPr>
        <w:t xml:space="preserve"> be referred to a regulator,</w:t>
      </w:r>
      <w:r w:rsidR="00AE6859">
        <w:rPr>
          <w:color w:val="000000"/>
          <w:shd w:val="clear" w:color="auto" w:fill="FFFFFF"/>
        </w:rPr>
        <w:t xml:space="preserve"> then</w:t>
      </w:r>
      <w:r w:rsidR="0048163E">
        <w:rPr>
          <w:color w:val="000000"/>
          <w:shd w:val="clear" w:color="auto" w:fill="FFFFFF"/>
        </w:rPr>
        <w:t xml:space="preserve"> be investigated</w:t>
      </w:r>
      <w:r w:rsidR="00AE6859">
        <w:rPr>
          <w:color w:val="000000"/>
          <w:shd w:val="clear" w:color="auto" w:fill="FFFFFF"/>
        </w:rPr>
        <w:t>,</w:t>
      </w:r>
      <w:r w:rsidR="0048163E">
        <w:rPr>
          <w:color w:val="000000"/>
          <w:shd w:val="clear" w:color="auto" w:fill="FFFFFF"/>
        </w:rPr>
        <w:t xml:space="preserve"> and then for enforcement action to be taken</w:t>
      </w:r>
      <w:r w:rsidR="0056134B">
        <w:rPr>
          <w:color w:val="000000"/>
          <w:shd w:val="clear" w:color="auto" w:fill="FFFFFF"/>
        </w:rPr>
        <w:t xml:space="preserve">. </w:t>
      </w:r>
      <w:r w:rsidR="0048163E">
        <w:rPr>
          <w:color w:val="000000"/>
          <w:shd w:val="clear" w:color="auto" w:fill="FFFFFF"/>
        </w:rPr>
        <w:t xml:space="preserve">This is particularly the case for issues experienced by consumers experiencing vulnerability, who may </w:t>
      </w:r>
      <w:r w:rsidR="00460AB8">
        <w:rPr>
          <w:color w:val="000000"/>
          <w:shd w:val="clear" w:color="auto" w:fill="FFFFFF"/>
        </w:rPr>
        <w:t>face</w:t>
      </w:r>
      <w:r w:rsidR="0048163E">
        <w:rPr>
          <w:color w:val="000000"/>
          <w:shd w:val="clear" w:color="auto" w:fill="FFFFFF"/>
        </w:rPr>
        <w:t xml:space="preserve"> a delay accessing dispute resolution</w:t>
      </w:r>
      <w:r w:rsidR="009819B7">
        <w:rPr>
          <w:color w:val="000000"/>
          <w:shd w:val="clear" w:color="auto" w:fill="FFFFFF"/>
        </w:rPr>
        <w:t xml:space="preserve">, or barriers escalating a problem with their communications service. </w:t>
      </w:r>
    </w:p>
    <w:p w14:paraId="35C43179" w14:textId="53FE1B47" w:rsidR="007E63FD" w:rsidRDefault="00460AB8" w:rsidP="008E77D0">
      <w:pPr>
        <w:jc w:val="both"/>
      </w:pPr>
      <w:r>
        <w:rPr>
          <w:color w:val="000000"/>
          <w:shd w:val="clear" w:color="auto" w:fill="FFFFFF"/>
        </w:rPr>
        <w:t>By e</w:t>
      </w:r>
      <w:r w:rsidR="0056134B">
        <w:rPr>
          <w:color w:val="000000"/>
          <w:shd w:val="clear" w:color="auto" w:fill="FFFFFF"/>
        </w:rPr>
        <w:t xml:space="preserve">xtending the </w:t>
      </w:r>
      <w:r w:rsidR="0026652F">
        <w:rPr>
          <w:color w:val="000000"/>
          <w:shd w:val="clear" w:color="auto" w:fill="FFFFFF"/>
        </w:rPr>
        <w:t>window of time</w:t>
      </w:r>
      <w:r w:rsidR="0056134B">
        <w:rPr>
          <w:color w:val="000000"/>
          <w:shd w:val="clear" w:color="auto" w:fill="FFFFFF"/>
        </w:rPr>
        <w:t xml:space="preserve"> for issuing </w:t>
      </w:r>
      <w:r w:rsidR="0026652F">
        <w:rPr>
          <w:color w:val="000000"/>
          <w:shd w:val="clear" w:color="auto" w:fill="FFFFFF"/>
        </w:rPr>
        <w:t xml:space="preserve">an IN </w:t>
      </w:r>
      <w:r w:rsidR="0056134B">
        <w:rPr>
          <w:color w:val="000000"/>
          <w:shd w:val="clear" w:color="auto" w:fill="FFFFFF"/>
        </w:rPr>
        <w:t xml:space="preserve">to 2 years after the alleged contravention </w:t>
      </w:r>
      <w:r w:rsidR="00B11940">
        <w:rPr>
          <w:color w:val="000000"/>
          <w:shd w:val="clear" w:color="auto" w:fill="FFFFFF"/>
        </w:rPr>
        <w:t>took place</w:t>
      </w:r>
      <w:r>
        <w:rPr>
          <w:color w:val="000000"/>
          <w:shd w:val="clear" w:color="auto" w:fill="FFFFFF"/>
        </w:rPr>
        <w:t>, this process would become</w:t>
      </w:r>
      <w:r w:rsidR="0048163E">
        <w:rPr>
          <w:color w:val="000000"/>
          <w:shd w:val="clear" w:color="auto" w:fill="FFFFFF"/>
        </w:rPr>
        <w:t xml:space="preserve"> consistent with the time allowed </w:t>
      </w:r>
      <w:r>
        <w:rPr>
          <w:color w:val="000000"/>
          <w:shd w:val="clear" w:color="auto" w:fill="FFFFFF"/>
        </w:rPr>
        <w:t xml:space="preserve">for consumers </w:t>
      </w:r>
      <w:r w:rsidR="0048163E">
        <w:rPr>
          <w:color w:val="000000"/>
          <w:shd w:val="clear" w:color="auto" w:fill="FFFFFF"/>
        </w:rPr>
        <w:t>to make a TIO complaint</w:t>
      </w:r>
      <w:r w:rsidR="00145394">
        <w:rPr>
          <w:color w:val="000000"/>
          <w:shd w:val="clear" w:color="auto" w:fill="FFFFFF"/>
        </w:rPr>
        <w:t xml:space="preserve"> about an issue</w:t>
      </w:r>
      <w:r w:rsidR="0048163E">
        <w:rPr>
          <w:color w:val="000000"/>
          <w:shd w:val="clear" w:color="auto" w:fill="FFFFFF"/>
        </w:rPr>
        <w:t>.</w:t>
      </w:r>
      <w:r w:rsidR="0048163E">
        <w:rPr>
          <w:rStyle w:val="FootnoteReference"/>
          <w:color w:val="000000"/>
          <w:shd w:val="clear" w:color="auto" w:fill="FFFFFF"/>
        </w:rPr>
        <w:footnoteReference w:id="8"/>
      </w:r>
      <w:r w:rsidR="009819B7">
        <w:rPr>
          <w:color w:val="000000"/>
          <w:shd w:val="clear" w:color="auto" w:fill="FFFFFF"/>
        </w:rPr>
        <w:t xml:space="preserve"> ACCAN urges the ACMA to</w:t>
      </w:r>
      <w:r w:rsidR="005415AD" w:rsidRPr="005415AD">
        <w:t xml:space="preserve"> </w:t>
      </w:r>
      <w:r w:rsidR="005415AD">
        <w:t>take the necessary steps towards increasing the timeframe for issuing INs.</w:t>
      </w:r>
    </w:p>
    <w:p w14:paraId="2A13840A" w14:textId="36FBD8F1" w:rsidR="00A564A7" w:rsidRDefault="00A564A7" w:rsidP="009107B6">
      <w:pPr>
        <w:pStyle w:val="Heading2"/>
      </w:pPr>
      <w:r>
        <w:t>Review of the Declaration</w:t>
      </w:r>
    </w:p>
    <w:p w14:paraId="62C32203" w14:textId="0407EF72" w:rsidR="00A564A7" w:rsidRPr="00A564A7" w:rsidRDefault="00D23195" w:rsidP="00302D3C">
      <w:r>
        <w:t>T</w:t>
      </w:r>
      <w:r w:rsidR="00F84BFF">
        <w:t>he Declaration</w:t>
      </w:r>
      <w:r>
        <w:t xml:space="preserve"> should </w:t>
      </w:r>
      <w:r w:rsidR="002A6483">
        <w:t xml:space="preserve">continue to </w:t>
      </w:r>
      <w:r>
        <w:t xml:space="preserve">be regularly updated with new provisions to ensure no delay in the enforcement </w:t>
      </w:r>
      <w:r w:rsidR="00002592">
        <w:t>of new telecommunications rules.</w:t>
      </w:r>
    </w:p>
    <w:p w14:paraId="39B4BD07" w14:textId="76620981" w:rsidR="00D3584B" w:rsidRPr="00D449CF" w:rsidRDefault="00D3584B" w:rsidP="009107B6">
      <w:pPr>
        <w:pStyle w:val="Heading2"/>
      </w:pPr>
      <w:r w:rsidRPr="00D449CF">
        <w:t xml:space="preserve">Broader reforms to </w:t>
      </w:r>
      <w:r w:rsidR="00D449CF" w:rsidRPr="00D449CF">
        <w:t xml:space="preserve">the ACMA infringement notice scheme </w:t>
      </w:r>
    </w:p>
    <w:p w14:paraId="1CEF285D" w14:textId="32B7F6CF" w:rsidR="00C14EDF" w:rsidRDefault="00C14EDF" w:rsidP="008E77D0">
      <w:pPr>
        <w:jc w:val="both"/>
        <w:rPr>
          <w:iCs/>
          <w:szCs w:val="20"/>
        </w:rPr>
      </w:pPr>
      <w:r>
        <w:rPr>
          <w:iCs/>
          <w:szCs w:val="20"/>
        </w:rPr>
        <w:t xml:space="preserve">ACCAN understands that broader reforms to the </w:t>
      </w:r>
      <w:r w:rsidR="00AF53F1">
        <w:rPr>
          <w:iCs/>
          <w:szCs w:val="20"/>
        </w:rPr>
        <w:t>IN</w:t>
      </w:r>
      <w:r>
        <w:rPr>
          <w:iCs/>
          <w:szCs w:val="20"/>
        </w:rPr>
        <w:t xml:space="preserve"> scheme set out under </w:t>
      </w:r>
      <w:r w:rsidR="00E70AEE">
        <w:rPr>
          <w:iCs/>
          <w:szCs w:val="20"/>
        </w:rPr>
        <w:t>S</w:t>
      </w:r>
      <w:r>
        <w:rPr>
          <w:iCs/>
          <w:szCs w:val="20"/>
        </w:rPr>
        <w:t xml:space="preserve"> </w:t>
      </w:r>
      <w:r w:rsidR="00C9358A">
        <w:rPr>
          <w:iCs/>
          <w:szCs w:val="20"/>
        </w:rPr>
        <w:t>572E</w:t>
      </w:r>
      <w:r>
        <w:rPr>
          <w:iCs/>
          <w:szCs w:val="20"/>
        </w:rPr>
        <w:t xml:space="preserve"> of the</w:t>
      </w:r>
      <w:r w:rsidR="00DA1129">
        <w:rPr>
          <w:iCs/>
          <w:szCs w:val="20"/>
        </w:rPr>
        <w:t xml:space="preserve"> </w:t>
      </w:r>
      <w:r w:rsidR="002E225B">
        <w:rPr>
          <w:iCs/>
          <w:szCs w:val="20"/>
        </w:rPr>
        <w:t>Telecommunications</w:t>
      </w:r>
      <w:r>
        <w:rPr>
          <w:iCs/>
          <w:szCs w:val="20"/>
        </w:rPr>
        <w:t xml:space="preserve"> </w:t>
      </w:r>
      <w:r w:rsidR="00F80474">
        <w:rPr>
          <w:iCs/>
          <w:szCs w:val="20"/>
        </w:rPr>
        <w:t>Act</w:t>
      </w:r>
      <w:r>
        <w:rPr>
          <w:iCs/>
          <w:szCs w:val="20"/>
        </w:rPr>
        <w:t xml:space="preserve"> are out of scope for this consultation. However, a regulatory system where the ACMA does not have the power to </w:t>
      </w:r>
      <w:r w:rsidR="00C169E4">
        <w:rPr>
          <w:iCs/>
          <w:szCs w:val="20"/>
        </w:rPr>
        <w:t xml:space="preserve">immediately </w:t>
      </w:r>
      <w:r>
        <w:rPr>
          <w:iCs/>
          <w:szCs w:val="20"/>
        </w:rPr>
        <w:t>issue a</w:t>
      </w:r>
      <w:r w:rsidR="00D9136A">
        <w:rPr>
          <w:iCs/>
          <w:szCs w:val="20"/>
        </w:rPr>
        <w:t xml:space="preserve">n </w:t>
      </w:r>
      <w:r>
        <w:rPr>
          <w:iCs/>
          <w:szCs w:val="20"/>
        </w:rPr>
        <w:t>IN related to any breach of consumer protections rules</w:t>
      </w:r>
      <w:r w:rsidR="00E17DAA">
        <w:rPr>
          <w:iCs/>
          <w:szCs w:val="20"/>
        </w:rPr>
        <w:t>, where appropriate,</w:t>
      </w:r>
      <w:r>
        <w:rPr>
          <w:iCs/>
          <w:szCs w:val="20"/>
        </w:rPr>
        <w:t xml:space="preserve"> is incomplete. </w:t>
      </w:r>
      <w:r w:rsidR="00D9136A">
        <w:rPr>
          <w:iCs/>
          <w:szCs w:val="20"/>
        </w:rPr>
        <w:t>The Australian public should be safeguarded by a regulatory system that allows the ACMA to impose swift and proportionate</w:t>
      </w:r>
      <w:r w:rsidR="007A32A1">
        <w:rPr>
          <w:iCs/>
          <w:szCs w:val="20"/>
        </w:rPr>
        <w:t xml:space="preserve"> I</w:t>
      </w:r>
      <w:r w:rsidR="00E5719C">
        <w:rPr>
          <w:iCs/>
          <w:szCs w:val="20"/>
        </w:rPr>
        <w:t>N</w:t>
      </w:r>
      <w:r w:rsidR="007A32A1">
        <w:rPr>
          <w:iCs/>
          <w:szCs w:val="20"/>
        </w:rPr>
        <w:t>s and</w:t>
      </w:r>
      <w:r w:rsidR="006A1876">
        <w:rPr>
          <w:iCs/>
          <w:szCs w:val="20"/>
        </w:rPr>
        <w:t xml:space="preserve"> other</w:t>
      </w:r>
      <w:r w:rsidR="00D9136A">
        <w:rPr>
          <w:iCs/>
          <w:szCs w:val="20"/>
        </w:rPr>
        <w:t xml:space="preserve"> civil penalties where telecommunications rules are not followed</w:t>
      </w:r>
      <w:r w:rsidR="00A04187">
        <w:rPr>
          <w:iCs/>
          <w:szCs w:val="20"/>
        </w:rPr>
        <w:t xml:space="preserve">, regardless of whether the rules are </w:t>
      </w:r>
      <w:r w:rsidR="00B503BF">
        <w:rPr>
          <w:iCs/>
          <w:szCs w:val="20"/>
        </w:rPr>
        <w:t>in industry codes or regulations</w:t>
      </w:r>
      <w:r w:rsidR="00D9136A">
        <w:rPr>
          <w:iCs/>
          <w:szCs w:val="20"/>
        </w:rPr>
        <w:t xml:space="preserve">. Two-step mechanisms where the ACMA must first issue a direction to comply or a warning before pursuing civil penalties undermine the robustness of the telecommunications regulatory system. The ACMA should be given discretionary powers to issue immediate INs </w:t>
      </w:r>
      <w:r w:rsidR="00E0457B">
        <w:rPr>
          <w:iCs/>
          <w:szCs w:val="20"/>
        </w:rPr>
        <w:t>for all contraventions of the rules it oversees, where appropriate</w:t>
      </w:r>
      <w:r w:rsidR="00D9136A">
        <w:rPr>
          <w:iCs/>
          <w:szCs w:val="20"/>
        </w:rPr>
        <w:t xml:space="preserve">. </w:t>
      </w:r>
    </w:p>
    <w:p w14:paraId="177343D7" w14:textId="6FAEDAAA" w:rsidR="001C40D8" w:rsidRDefault="00EC450B" w:rsidP="008E77D0">
      <w:pPr>
        <w:jc w:val="both"/>
      </w:pPr>
      <w:r>
        <w:t>As the ACMA expressed in its response to</w:t>
      </w:r>
      <w:r w:rsidR="00CF7985">
        <w:t xml:space="preserve"> the</w:t>
      </w:r>
      <w:r>
        <w:t xml:space="preserve"> Consumer Safeguards Review Part C, d</w:t>
      </w:r>
      <w:r w:rsidR="00C14EDF">
        <w:t>irect regulation of consumer protections is critical due to the essentiality of communications services</w:t>
      </w:r>
      <w:r>
        <w:t>.</w:t>
      </w:r>
      <w:r>
        <w:rPr>
          <w:rStyle w:val="FootnoteReference"/>
        </w:rPr>
        <w:footnoteReference w:id="9"/>
      </w:r>
      <w:r w:rsidR="00C14EDF">
        <w:t xml:space="preserve"> Thus, ACCAN urges the Australian Government to consider </w:t>
      </w:r>
      <w:r w:rsidR="00B2547C">
        <w:t xml:space="preserve">amendments </w:t>
      </w:r>
      <w:r w:rsidR="00C14EDF">
        <w:t>to the</w:t>
      </w:r>
      <w:r w:rsidR="00DA1129">
        <w:t xml:space="preserve"> Tel</w:t>
      </w:r>
      <w:r w:rsidR="0026420E">
        <w:t>e</w:t>
      </w:r>
      <w:r w:rsidR="00DA1129">
        <w:t>co</w:t>
      </w:r>
      <w:r w:rsidR="00B2547C">
        <w:t>mmunications</w:t>
      </w:r>
      <w:r w:rsidR="00C14EDF">
        <w:t xml:space="preserve"> Act </w:t>
      </w:r>
      <w:r w:rsidR="00B2547C">
        <w:t>to</w:t>
      </w:r>
      <w:r w:rsidR="00C14EDF">
        <w:t xml:space="preserve"> allow the ACMA to issue </w:t>
      </w:r>
      <w:r w:rsidR="00EB7C7A">
        <w:t xml:space="preserve">INs for breaches of </w:t>
      </w:r>
      <w:r w:rsidR="00E62487">
        <w:t>industry codes, including</w:t>
      </w:r>
      <w:r w:rsidR="00A506AA">
        <w:t xml:space="preserve"> the </w:t>
      </w:r>
      <w:r w:rsidR="00C14EDF">
        <w:t>Telecommunications Consumer Protections (</w:t>
      </w:r>
      <w:r w:rsidR="00C14EDF" w:rsidRPr="00A506AA">
        <w:rPr>
          <w:b/>
          <w:bCs/>
        </w:rPr>
        <w:t>TCP</w:t>
      </w:r>
      <w:r w:rsidR="00C14EDF">
        <w:t>) Code</w:t>
      </w:r>
      <w:r w:rsidR="00A506AA">
        <w:t xml:space="preserve">. </w:t>
      </w:r>
    </w:p>
    <w:p w14:paraId="3CB583F0" w14:textId="3083109E" w:rsidR="00C14EDF" w:rsidRDefault="001C40D8" w:rsidP="008E77D0">
      <w:pPr>
        <w:jc w:val="both"/>
      </w:pPr>
      <w:r>
        <w:t>Additionally,</w:t>
      </w:r>
      <w:r w:rsidR="008227D4">
        <w:t xml:space="preserve"> civil </w:t>
      </w:r>
      <w:r w:rsidR="005948E8">
        <w:t xml:space="preserve">penalties for breaches of </w:t>
      </w:r>
      <w:r w:rsidR="008227D4">
        <w:t>consumer protection</w:t>
      </w:r>
      <w:r w:rsidR="005948E8">
        <w:t>s</w:t>
      </w:r>
      <w:r w:rsidR="008227D4">
        <w:t xml:space="preserve"> matters should be </w:t>
      </w:r>
      <w:r w:rsidR="005948E8">
        <w:t>proportionate</w:t>
      </w:r>
      <w:r w:rsidR="008227D4">
        <w:t xml:space="preserve"> with the harm caused</w:t>
      </w:r>
      <w:r w:rsidR="005948E8">
        <w:t xml:space="preserve">. As the ACMA indicated in its Consumer Safeguards Review Part C submission, </w:t>
      </w:r>
      <w:r w:rsidR="005948E8">
        <w:lastRenderedPageBreak/>
        <w:t>pe</w:t>
      </w:r>
      <w:r w:rsidR="008375E6">
        <w:t xml:space="preserve">cuniary penalty and infringement notice amounts vary significantly and do not </w:t>
      </w:r>
      <w:r w:rsidR="00832E35">
        <w:t xml:space="preserve">always </w:t>
      </w:r>
      <w:r w:rsidR="008375E6">
        <w:t>allow the ACMA a graduated enforcement response commensurate with the harm</w:t>
      </w:r>
      <w:r w:rsidR="00832E35">
        <w:t xml:space="preserve"> caused by an alleged contravention.</w:t>
      </w:r>
      <w:r>
        <w:t xml:space="preserve"> IN </w:t>
      </w:r>
      <w:r w:rsidR="00AA1622">
        <w:t>penalty amounts</w:t>
      </w:r>
      <w:r>
        <w:t xml:space="preserve"> listed in the </w:t>
      </w:r>
      <w:r w:rsidRPr="001C40D8">
        <w:rPr>
          <w:i/>
          <w:iCs/>
        </w:rPr>
        <w:t>Telecommunications (Infringement Notice Penalties) Determination 2012</w:t>
      </w:r>
      <w:r w:rsidR="00C216CB">
        <w:rPr>
          <w:rStyle w:val="FootnoteReference"/>
        </w:rPr>
        <w:footnoteReference w:id="10"/>
      </w:r>
      <w:r w:rsidR="0096714F">
        <w:rPr>
          <w:i/>
          <w:iCs/>
        </w:rPr>
        <w:t xml:space="preserve"> </w:t>
      </w:r>
      <w:r>
        <w:t>may not offer sufficient incentive for compliance</w:t>
      </w:r>
      <w:r w:rsidR="00F20D1C">
        <w:t xml:space="preserve"> and are not consistent </w:t>
      </w:r>
      <w:r w:rsidR="00832E35">
        <w:t>with other penalty amounts – for example, for breaching a service provider rule –</w:t>
      </w:r>
      <w:r>
        <w:t xml:space="preserve"> and should be reviewed to ensure they</w:t>
      </w:r>
      <w:r w:rsidR="00AB2EB2">
        <w:t xml:space="preserve"> are modernised and more closely aligned with </w:t>
      </w:r>
      <w:r w:rsidR="00017FF5">
        <w:t xml:space="preserve">other ACMA-issued </w:t>
      </w:r>
      <w:r w:rsidR="00AB2EB2">
        <w:t>penalt</w:t>
      </w:r>
      <w:r w:rsidR="00456C80">
        <w:t>y amounts</w:t>
      </w:r>
      <w:r>
        <w:t>.</w:t>
      </w:r>
      <w:r>
        <w:rPr>
          <w:rStyle w:val="FootnoteReference"/>
        </w:rPr>
        <w:footnoteReference w:id="11"/>
      </w:r>
      <w:r w:rsidR="00704288">
        <w:t xml:space="preserve"> </w:t>
      </w:r>
    </w:p>
    <w:p w14:paraId="4510AC67" w14:textId="0CAA1C45" w:rsidR="00C47BB2" w:rsidRDefault="005C6417" w:rsidP="003367F5">
      <w:pPr>
        <w:jc w:val="both"/>
      </w:pPr>
      <w:r>
        <w:t>ACCAN</w:t>
      </w:r>
      <w:r w:rsidR="00D0323E" w:rsidRPr="00D0323E">
        <w:t xml:space="preserve"> welcome</w:t>
      </w:r>
      <w:r>
        <w:t>s</w:t>
      </w:r>
      <w:r w:rsidR="00D0323E" w:rsidRPr="00D0323E">
        <w:t xml:space="preserve"> any additional opportunities to provide input</w:t>
      </w:r>
      <w:r>
        <w:t xml:space="preserve"> on the remaking of the Declaration. P</w:t>
      </w:r>
      <w:r w:rsidR="00D0323E" w:rsidRPr="00D0323E">
        <w:t xml:space="preserve">lease do not hesitate to contact </w:t>
      </w:r>
      <w:r>
        <w:t>us</w:t>
      </w:r>
      <w:r w:rsidR="00D0323E" w:rsidRPr="00D0323E">
        <w:t xml:space="preserve"> should you require further information about any </w:t>
      </w:r>
      <w:r>
        <w:t xml:space="preserve">of the issues </w:t>
      </w:r>
      <w:r w:rsidR="00D0323E" w:rsidRPr="00D0323E">
        <w:t>raised in our submission.</w:t>
      </w:r>
    </w:p>
    <w:p w14:paraId="7DFA8827" w14:textId="038CA4CF" w:rsidR="001D5C22" w:rsidRPr="00C14EDF" w:rsidRDefault="0069548A" w:rsidP="00C14EDF">
      <w:r>
        <w:t>Yours s</w:t>
      </w:r>
      <w:r w:rsidR="001D5C22">
        <w:t>incerely,</w:t>
      </w:r>
    </w:p>
    <w:p w14:paraId="39B2107B" w14:textId="10A2FC98" w:rsidR="0066764F" w:rsidRDefault="001D6F9E" w:rsidP="00DB4F7A">
      <w:pPr>
        <w:spacing w:line="240" w:lineRule="auto"/>
      </w:pPr>
      <w:r>
        <w:br/>
        <w:t>Rebekah Sarkoezy</w:t>
      </w:r>
      <w:r w:rsidRPr="00BD42C5">
        <w:br/>
      </w:r>
      <w:r>
        <w:t>Policy Officer</w:t>
      </w:r>
      <w:r w:rsidR="00DB4F7A">
        <w:t xml:space="preserve"> </w:t>
      </w:r>
    </w:p>
    <w:p w14:paraId="518C5484" w14:textId="11C46DDA" w:rsidR="001623E5" w:rsidRDefault="001623E5" w:rsidP="00DB4F7A">
      <w:pPr>
        <w:spacing w:line="240" w:lineRule="auto"/>
      </w:pPr>
    </w:p>
    <w:p w14:paraId="44DA6994" w14:textId="77777777" w:rsidR="00EE37D7" w:rsidRDefault="00EE37D7" w:rsidP="00DB4F7A">
      <w:pPr>
        <w:spacing w:line="240" w:lineRule="auto"/>
      </w:pPr>
    </w:p>
    <w:p w14:paraId="6B20372C" w14:textId="77777777" w:rsidR="00EE37D7" w:rsidRDefault="00EE37D7" w:rsidP="00DB4F7A">
      <w:pPr>
        <w:spacing w:line="240" w:lineRule="auto"/>
      </w:pPr>
    </w:p>
    <w:p w14:paraId="2AC092E2" w14:textId="77777777" w:rsidR="00FF2A83" w:rsidRDefault="00FF2A83" w:rsidP="00DB4F7A">
      <w:pPr>
        <w:spacing w:line="240" w:lineRule="auto"/>
      </w:pPr>
    </w:p>
    <w:p w14:paraId="765D7D87" w14:textId="069EB30C" w:rsidR="00AA778F" w:rsidRDefault="001623E5" w:rsidP="00DB4F7A">
      <w:pPr>
        <w:spacing w:line="240" w:lineRule="auto"/>
      </w:pPr>
      <w:r>
        <w:t>ACCAN’s submission has been endorsed by the following organisations:</w:t>
      </w:r>
    </w:p>
    <w:p w14:paraId="176D6D74" w14:textId="1147972C" w:rsidR="007E56E3" w:rsidRDefault="00C92155" w:rsidP="00DB4F7A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453910" wp14:editId="183CEDD8">
            <wp:simplePos x="0" y="0"/>
            <wp:positionH relativeFrom="column">
              <wp:posOffset>3596259</wp:posOffset>
            </wp:positionH>
            <wp:positionV relativeFrom="paragraph">
              <wp:posOffset>57150</wp:posOffset>
            </wp:positionV>
            <wp:extent cx="1380490" cy="1380490"/>
            <wp:effectExtent l="0" t="0" r="0" b="0"/>
            <wp:wrapSquare wrapText="bothSides"/>
            <wp:docPr id="3" name="Picture 3" descr="IC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P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63060" w14:textId="3473131F" w:rsidR="007E56E3" w:rsidRDefault="00FF2A83" w:rsidP="00DB4F7A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79CB6BA" wp14:editId="58F3613F">
            <wp:simplePos x="0" y="0"/>
            <wp:positionH relativeFrom="column">
              <wp:posOffset>17780</wp:posOffset>
            </wp:positionH>
            <wp:positionV relativeFrom="paragraph">
              <wp:posOffset>17145</wp:posOffset>
            </wp:positionV>
            <wp:extent cx="2537460" cy="877570"/>
            <wp:effectExtent l="0" t="0" r="0" b="0"/>
            <wp:wrapSquare wrapText="bothSides"/>
            <wp:docPr id="2" name="Picture 2" descr="CA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0C113" w14:textId="33B59CC8" w:rsidR="007E56E3" w:rsidRDefault="007E56E3" w:rsidP="00DB4F7A">
      <w:pPr>
        <w:spacing w:line="240" w:lineRule="auto"/>
      </w:pPr>
    </w:p>
    <w:p w14:paraId="6BE5FCFF" w14:textId="3A43DCBD" w:rsidR="007E56E3" w:rsidRDefault="007E56E3" w:rsidP="00DB4F7A">
      <w:pPr>
        <w:spacing w:line="240" w:lineRule="auto"/>
      </w:pPr>
    </w:p>
    <w:p w14:paraId="4D61D782" w14:textId="464E17A2" w:rsidR="00FF2A83" w:rsidRDefault="00FF2A83" w:rsidP="00DB4F7A">
      <w:pPr>
        <w:spacing w:line="240" w:lineRule="auto"/>
      </w:pPr>
    </w:p>
    <w:p w14:paraId="1A6BC6B0" w14:textId="65B6D904" w:rsidR="001623E5" w:rsidRDefault="001623E5" w:rsidP="000D18A2">
      <w:pPr>
        <w:spacing w:line="240" w:lineRule="auto"/>
      </w:pPr>
      <w:r w:rsidRPr="000D18A2">
        <w:rPr>
          <w:b/>
          <w:bCs/>
        </w:rPr>
        <w:t>Consumer Action Law Centre</w:t>
      </w:r>
      <w:r w:rsidR="00FF2A83">
        <w:tab/>
      </w:r>
      <w:r w:rsidR="00C92155">
        <w:tab/>
      </w:r>
      <w:r w:rsidR="00C92155">
        <w:tab/>
      </w:r>
      <w:r w:rsidR="00C92155">
        <w:tab/>
      </w:r>
      <w:r w:rsidR="000D18A2">
        <w:t xml:space="preserve"> </w:t>
      </w:r>
      <w:r w:rsidR="00FF2A83" w:rsidRPr="000D18A2">
        <w:rPr>
          <w:b/>
          <w:bCs/>
        </w:rPr>
        <w:t>Isolated Children’s Parents’ Association</w:t>
      </w:r>
      <w:r w:rsidR="00FF2A83">
        <w:tab/>
      </w:r>
    </w:p>
    <w:p w14:paraId="5EF21985" w14:textId="77777777" w:rsidR="00FF2A83" w:rsidRDefault="00FF2A83" w:rsidP="00DB4F7A">
      <w:pPr>
        <w:spacing w:line="240" w:lineRule="auto"/>
      </w:pPr>
    </w:p>
    <w:p w14:paraId="483C9B35" w14:textId="74408C16" w:rsidR="00FF2A83" w:rsidRDefault="00FF2A83" w:rsidP="00DB4F7A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2A19BFAF" wp14:editId="14E03A2D">
            <wp:simplePos x="0" y="0"/>
            <wp:positionH relativeFrom="column">
              <wp:posOffset>45085</wp:posOffset>
            </wp:positionH>
            <wp:positionV relativeFrom="paragraph">
              <wp:posOffset>114935</wp:posOffset>
            </wp:positionV>
            <wp:extent cx="2193290" cy="603250"/>
            <wp:effectExtent l="0" t="0" r="0" b="6350"/>
            <wp:wrapSquare wrapText="bothSides"/>
            <wp:docPr id="6" name="Picture 6" descr="CP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PRC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55250" w14:textId="77777777" w:rsidR="00FF2A83" w:rsidRDefault="00FF2A83" w:rsidP="00DB4F7A">
      <w:pPr>
        <w:spacing w:line="240" w:lineRule="auto"/>
      </w:pPr>
    </w:p>
    <w:p w14:paraId="4537D174" w14:textId="77777777" w:rsidR="00FF2A83" w:rsidRDefault="00FF2A83" w:rsidP="00DB4F7A">
      <w:pPr>
        <w:spacing w:line="240" w:lineRule="auto"/>
      </w:pPr>
    </w:p>
    <w:p w14:paraId="5A422C3D" w14:textId="3E6509DA" w:rsidR="00FF2A83" w:rsidRPr="000D18A2" w:rsidRDefault="00FF2A83" w:rsidP="00DB4F7A">
      <w:pPr>
        <w:spacing w:line="240" w:lineRule="auto"/>
        <w:rPr>
          <w:b/>
          <w:bCs/>
        </w:rPr>
      </w:pPr>
      <w:r w:rsidRPr="000D18A2">
        <w:rPr>
          <w:b/>
          <w:bCs/>
        </w:rPr>
        <w:t>Consumer Policy Research Centre</w:t>
      </w:r>
    </w:p>
    <w:sectPr w:rsidR="00FF2A83" w:rsidRPr="000D18A2" w:rsidSect="007A5D3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60BF" w14:textId="77777777" w:rsidR="00FA686F" w:rsidRDefault="00FA686F">
      <w:pPr>
        <w:spacing w:after="0" w:line="240" w:lineRule="auto"/>
      </w:pPr>
      <w:r>
        <w:separator/>
      </w:r>
    </w:p>
  </w:endnote>
  <w:endnote w:type="continuationSeparator" w:id="0">
    <w:p w14:paraId="1806D4D9" w14:textId="77777777" w:rsidR="00FA686F" w:rsidRDefault="00FA686F">
      <w:pPr>
        <w:spacing w:after="0" w:line="240" w:lineRule="auto"/>
      </w:pPr>
      <w:r>
        <w:continuationSeparator/>
      </w:r>
    </w:p>
  </w:endnote>
  <w:endnote w:type="continuationNotice" w:id="1">
    <w:p w14:paraId="46180477" w14:textId="77777777" w:rsidR="00FA686F" w:rsidRDefault="00FA68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2BA" w14:textId="77777777" w:rsidR="00200982" w:rsidRPr="0082329E" w:rsidRDefault="00F0681B" w:rsidP="00200982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1A3380">
      <w:rPr>
        <w:noProof/>
      </w:rPr>
      <w:t>6</w:t>
    </w:r>
    <w:r w:rsidRPr="00C425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4CC2" w14:textId="77777777" w:rsidR="00200982" w:rsidRPr="00026E5B" w:rsidRDefault="00F0681B" w:rsidP="00200982">
    <w:pPr>
      <w:pStyle w:val="Footerpage1"/>
      <w:ind w:right="-1440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Australian Communications Consumer Action Network (ACCAN)</w:t>
    </w:r>
  </w:p>
  <w:p w14:paraId="75FBA5D6" w14:textId="77777777" w:rsidR="00200982" w:rsidRPr="00026E5B" w:rsidRDefault="00F0681B" w:rsidP="00200982">
    <w:pPr>
      <w:pStyle w:val="Footerpage1"/>
      <w:rPr>
        <w:i/>
        <w:color w:val="00B0F0"/>
      </w:rPr>
    </w:pPr>
    <w:r>
      <w:rPr>
        <w:i/>
        <w:color w:val="00B0F0"/>
      </w:rPr>
      <w:t xml:space="preserve">  </w:t>
    </w:r>
    <w:r w:rsidRPr="00026E5B">
      <w:rPr>
        <w:i/>
        <w:color w:val="00B0F0"/>
      </w:rPr>
      <w:t>Australia’s peak body representing communications consumers</w:t>
    </w:r>
  </w:p>
  <w:p w14:paraId="52160125" w14:textId="77777777" w:rsidR="00200982" w:rsidRPr="00026E5B" w:rsidRDefault="00F0681B" w:rsidP="00200982">
    <w:pPr>
      <w:pStyle w:val="Footerpage1"/>
      <w:ind w:right="-1440"/>
      <w:rPr>
        <w:i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CA12A0" wp14:editId="6F14B6FC">
              <wp:simplePos x="0" y="0"/>
              <wp:positionH relativeFrom="column">
                <wp:posOffset>-430924</wp:posOffset>
              </wp:positionH>
              <wp:positionV relativeFrom="paragraph">
                <wp:posOffset>90279</wp:posOffset>
              </wp:positionV>
              <wp:extent cx="6579476" cy="0"/>
              <wp:effectExtent l="0" t="19050" r="12065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47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3B0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DEE9B7" id="Straight Connector 1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95pt,7.1pt" to="484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" strokecolor="#23b0e6" strokeweight="3pt"/>
          </w:pict>
        </mc:Fallback>
      </mc:AlternateContent>
    </w:r>
  </w:p>
  <w:p w14:paraId="3FFECF35" w14:textId="77777777" w:rsidR="008547DB" w:rsidRDefault="008547DB" w:rsidP="008547DB">
    <w:pPr>
      <w:pStyle w:val="Footerpage1"/>
    </w:pPr>
    <w:r>
      <w:t xml:space="preserve">  PO Box A1158, Sydney South NSW 1235</w:t>
    </w:r>
  </w:p>
  <w:p w14:paraId="19B11E7F" w14:textId="77777777" w:rsidR="008547DB" w:rsidRDefault="008547DB" w:rsidP="008547DB">
    <w:pPr>
      <w:pStyle w:val="Footerpage1"/>
    </w:pPr>
    <w:r>
      <w:t xml:space="preserve">  Tel: (02) 9288 4000 </w:t>
    </w:r>
  </w:p>
  <w:p w14:paraId="077D3F5B" w14:textId="43226608" w:rsidR="00200982" w:rsidRPr="004D706D" w:rsidRDefault="00F0681B" w:rsidP="008547DB">
    <w:pPr>
      <w:pStyle w:val="Footerpage1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www.accan.org.au | info@accan.org.au | twitter: @ACCA</w:t>
    </w:r>
    <w:r>
      <w:rPr>
        <w:color w:val="00B0F0"/>
      </w:rPr>
      <w:t>N_AU | www.facebook.com/accanau</w:t>
    </w:r>
  </w:p>
  <w:p w14:paraId="6AF4339D" w14:textId="77777777" w:rsidR="00200982" w:rsidRDefault="00200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D8F0" w14:textId="77777777" w:rsidR="00FA686F" w:rsidRDefault="00FA686F">
      <w:pPr>
        <w:spacing w:after="0" w:line="240" w:lineRule="auto"/>
      </w:pPr>
      <w:r>
        <w:separator/>
      </w:r>
    </w:p>
  </w:footnote>
  <w:footnote w:type="continuationSeparator" w:id="0">
    <w:p w14:paraId="02218FD2" w14:textId="77777777" w:rsidR="00FA686F" w:rsidRDefault="00FA686F">
      <w:pPr>
        <w:spacing w:after="0" w:line="240" w:lineRule="auto"/>
      </w:pPr>
      <w:r>
        <w:continuationSeparator/>
      </w:r>
    </w:p>
  </w:footnote>
  <w:footnote w:type="continuationNotice" w:id="1">
    <w:p w14:paraId="2BCC1F28" w14:textId="77777777" w:rsidR="00FA686F" w:rsidRDefault="00FA686F">
      <w:pPr>
        <w:spacing w:after="0" w:line="240" w:lineRule="auto"/>
      </w:pPr>
    </w:p>
  </w:footnote>
  <w:footnote w:id="2">
    <w:p w14:paraId="3B9166FF" w14:textId="3D8B26C9" w:rsidR="009A466E" w:rsidRPr="009A466E" w:rsidRDefault="009A46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BB1641">
        <w:t xml:space="preserve"> ACMA</w:t>
      </w:r>
      <w:r>
        <w:t xml:space="preserve"> </w:t>
      </w:r>
      <w:r w:rsidR="000B7682">
        <w:t xml:space="preserve">2017, </w:t>
      </w:r>
      <w:r w:rsidR="000B7682" w:rsidRPr="000B7682">
        <w:rPr>
          <w:i/>
          <w:iCs/>
        </w:rPr>
        <w:t>Regulatory guide—No. 4: Remedial directions</w:t>
      </w:r>
      <w:r w:rsidR="000B7682">
        <w:t xml:space="preserve">, </w:t>
      </w:r>
      <w:hyperlink r:id="rId1" w:history="1">
        <w:r w:rsidR="000B7682" w:rsidRPr="00F93607">
          <w:rPr>
            <w:rStyle w:val="Hyperlink"/>
          </w:rPr>
          <w:t>https://www.acma.gov.au/sites/default/files/2019-06/Regulatory-guide-No-4-Remedial-Directions.pdf</w:t>
        </w:r>
      </w:hyperlink>
      <w:r>
        <w:t xml:space="preserve"> </w:t>
      </w:r>
    </w:p>
  </w:footnote>
  <w:footnote w:id="3">
    <w:p w14:paraId="4FB2521B" w14:textId="6C744A75" w:rsidR="009F396B" w:rsidRPr="009F396B" w:rsidRDefault="009F396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022392">
        <w:t xml:space="preserve"> ACMA,</w:t>
      </w:r>
      <w:r>
        <w:t xml:space="preserve"> </w:t>
      </w:r>
      <w:r w:rsidR="00022392" w:rsidRPr="00022392">
        <w:t>Infringement notices for breaking the telco rules</w:t>
      </w:r>
      <w:r w:rsidR="00022392">
        <w:t xml:space="preserve">, </w:t>
      </w:r>
      <w:hyperlink r:id="rId2" w:history="1">
        <w:r w:rsidR="00022392" w:rsidRPr="00F93607">
          <w:rPr>
            <w:rStyle w:val="Hyperlink"/>
          </w:rPr>
          <w:t>https://www.acma.gov.au/infringement-notices-breaking-telco-rules</w:t>
        </w:r>
      </w:hyperlink>
      <w:r>
        <w:t xml:space="preserve"> </w:t>
      </w:r>
    </w:p>
  </w:footnote>
  <w:footnote w:id="4">
    <w:p w14:paraId="3C0AFCC4" w14:textId="6403287A" w:rsidR="00785A4C" w:rsidRPr="00785A4C" w:rsidRDefault="00785A4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36E66">
        <w:t xml:space="preserve">ACMA 2021, </w:t>
      </w:r>
      <w:r w:rsidR="00F17A6A" w:rsidRPr="00F17A6A">
        <w:t>Telco breaches new network infrastructure rules by failing to publish terms and conditions</w:t>
      </w:r>
      <w:r w:rsidR="00F17A6A">
        <w:t xml:space="preserve">, </w:t>
      </w:r>
      <w:hyperlink r:id="rId3" w:history="1">
        <w:r w:rsidR="00F17A6A" w:rsidRPr="00F93607">
          <w:rPr>
            <w:rStyle w:val="Hyperlink"/>
          </w:rPr>
          <w:t>https://www.acma.gov.au/articles/2021-11/telco-breaches-new-network-infrastructure-rules-failing-publish-terms-and-conditions</w:t>
        </w:r>
      </w:hyperlink>
      <w:r>
        <w:t xml:space="preserve"> </w:t>
      </w:r>
    </w:p>
  </w:footnote>
  <w:footnote w:id="5">
    <w:p w14:paraId="3F2AA612" w14:textId="05112BA6" w:rsidR="00DA23F0" w:rsidRPr="00DA23F0" w:rsidRDefault="00DA23F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F17A6A">
        <w:t xml:space="preserve"> ACCAN 2020, ACCAN response to Consumer Safeguards Review Part C / Choice and Fairness,</w:t>
      </w:r>
      <w:r>
        <w:t xml:space="preserve"> </w:t>
      </w:r>
      <w:hyperlink r:id="rId4" w:history="1">
        <w:r w:rsidRPr="00F93607">
          <w:rPr>
            <w:rStyle w:val="Hyperlink"/>
          </w:rPr>
          <w:t>https://www.infrastructure.gov.au/sites/default/files/submissions/csr-part-c-accan-response-to-consumer-safeguards-review-part-c-choice-and-fairness.pdf</w:t>
        </w:r>
      </w:hyperlink>
      <w:r>
        <w:t xml:space="preserve"> </w:t>
      </w:r>
    </w:p>
  </w:footnote>
  <w:footnote w:id="6">
    <w:p w14:paraId="6841FD61" w14:textId="77777777" w:rsidR="00D93A19" w:rsidRPr="00FF688C" w:rsidRDefault="00D93A19" w:rsidP="00D93A1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ACCAN 2019, </w:t>
      </w:r>
      <w:r w:rsidRPr="003B4F60">
        <w:t>Response to proposed changes to international mobile roaming regulations</w:t>
      </w:r>
      <w:r>
        <w:t xml:space="preserve">, </w:t>
      </w:r>
      <w:hyperlink r:id="rId5" w:history="1">
        <w:r w:rsidRPr="00F93607">
          <w:rPr>
            <w:rStyle w:val="Hyperlink"/>
          </w:rPr>
          <w:t>https://accan.org.au/our-work/submissions/1676-response-to-proposed-changes-to-international-mobile-roaming-regulations</w:t>
        </w:r>
      </w:hyperlink>
      <w:r>
        <w:t xml:space="preserve"> </w:t>
      </w:r>
    </w:p>
  </w:footnote>
  <w:footnote w:id="7">
    <w:p w14:paraId="00C663BC" w14:textId="290FEE36" w:rsidR="00136E66" w:rsidRPr="00136E66" w:rsidRDefault="00136E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3B4F60">
        <w:t xml:space="preserve"> Telecommunications Act 1997 (Cth) S 572E.2</w:t>
      </w:r>
      <w:r w:rsidR="00CC01BC">
        <w:t xml:space="preserve">, </w:t>
      </w:r>
      <w:hyperlink r:id="rId6" w:history="1">
        <w:r w:rsidR="00CC01BC" w:rsidRPr="00F93607">
          <w:rPr>
            <w:rStyle w:val="Hyperlink"/>
          </w:rPr>
          <w:t>https://www.legislation.gov.au/Details/C2021C00558/</w:t>
        </w:r>
      </w:hyperlink>
      <w:r w:rsidR="00CC01BC">
        <w:t xml:space="preserve"> </w:t>
      </w:r>
    </w:p>
  </w:footnote>
  <w:footnote w:id="8">
    <w:p w14:paraId="4702386D" w14:textId="54A58289" w:rsidR="0048163E" w:rsidRPr="0048163E" w:rsidRDefault="004816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83EB8">
        <w:t xml:space="preserve">TIO, What we can help with, </w:t>
      </w:r>
      <w:hyperlink r:id="rId7" w:anchor=":~:text=Your%20complaint%20should%20be%20about,unsure%20if%20we%20can%20help" w:history="1">
        <w:r w:rsidR="00783EB8" w:rsidRPr="00080FCF">
          <w:rPr>
            <w:rStyle w:val="Hyperlink"/>
          </w:rPr>
          <w:t>https://www.tio.com.au/complaints/what-we-can-help-with#:~:text=Your%20complaint%20should%20be%20about,unsure%20if%20we%20can%20help</w:t>
        </w:r>
      </w:hyperlink>
      <w:r w:rsidRPr="0048163E">
        <w:t>.</w:t>
      </w:r>
      <w:r w:rsidR="00487E7D">
        <w:t xml:space="preserve"> </w:t>
      </w:r>
    </w:p>
  </w:footnote>
  <w:footnote w:id="9">
    <w:p w14:paraId="0920C71A" w14:textId="641A746F" w:rsidR="00EC450B" w:rsidRPr="00EC450B" w:rsidRDefault="00EC450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83EB8">
        <w:t xml:space="preserve">ACMA 2020, ACMA Consumer Safeguards Review Part C submission, </w:t>
      </w:r>
      <w:hyperlink r:id="rId8" w:history="1">
        <w:r w:rsidR="00783EB8" w:rsidRPr="00080FCF">
          <w:rPr>
            <w:rStyle w:val="Hyperlink"/>
          </w:rPr>
          <w:t>https://www.acma.gov.au/sites/default/files/2020-10/ACMA-submission-to-Consumer-Safeguards-Review-Part-C.pdf</w:t>
        </w:r>
      </w:hyperlink>
      <w:r w:rsidR="00487E7D">
        <w:t xml:space="preserve"> </w:t>
      </w:r>
    </w:p>
  </w:footnote>
  <w:footnote w:id="10">
    <w:p w14:paraId="11C5F45E" w14:textId="20C2DA10" w:rsidR="00C216CB" w:rsidRPr="004E5143" w:rsidRDefault="00C216CB" w:rsidP="00C216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C40D8">
        <w:t>Telecommunications (Infringement Notice Penalties) Determination 2012</w:t>
      </w:r>
      <w:r w:rsidR="00783EB8">
        <w:t xml:space="preserve">, </w:t>
      </w:r>
      <w:hyperlink r:id="rId9" w:history="1">
        <w:r w:rsidRPr="00F93607">
          <w:rPr>
            <w:rStyle w:val="Hyperlink"/>
          </w:rPr>
          <w:t>https://www.legislation.gov.au/Details/F2012L00232</w:t>
        </w:r>
      </w:hyperlink>
      <w:r>
        <w:t xml:space="preserve"> </w:t>
      </w:r>
    </w:p>
  </w:footnote>
  <w:footnote w:id="11">
    <w:p w14:paraId="06D95ECD" w14:textId="3A9F0100" w:rsidR="001C40D8" w:rsidRPr="00487E7D" w:rsidRDefault="001C40D8" w:rsidP="001C40D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8E77D0">
        <w:t xml:space="preserve"> </w:t>
      </w:r>
      <w:r w:rsidR="00783EB8">
        <w:t xml:space="preserve">ACCC 2020, ACCC Consumer Safeguards Review Part C response, </w:t>
      </w:r>
      <w:hyperlink r:id="rId10" w:history="1">
        <w:r w:rsidR="00783EB8" w:rsidRPr="00080FCF">
          <w:rPr>
            <w:rStyle w:val="Hyperlink"/>
          </w:rPr>
          <w:t>https://www.accc.gov.au/system/files/ACCC%20submission%20to%20Part%20C%20of%20the%20Consumer%20Safeguards%20Review%20-%20September%202020.pdf</w:t>
        </w:r>
      </w:hyperlink>
      <w:r>
        <w:t>, p. 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EC9E" w14:textId="77777777" w:rsidR="00200982" w:rsidRDefault="00F0681B" w:rsidP="00200982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68322" wp14:editId="7EC42B49">
          <wp:simplePos x="0" y="0"/>
          <wp:positionH relativeFrom="column">
            <wp:posOffset>5175445</wp:posOffset>
          </wp:positionH>
          <wp:positionV relativeFrom="paragraph">
            <wp:posOffset>90805</wp:posOffset>
          </wp:positionV>
          <wp:extent cx="773723" cy="358680"/>
          <wp:effectExtent l="0" t="0" r="762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" cy="35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6862" w14:textId="77777777" w:rsidR="00200982" w:rsidRDefault="00F0681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B917F6E" wp14:editId="46BD8143">
          <wp:simplePos x="0" y="0"/>
          <wp:positionH relativeFrom="column">
            <wp:posOffset>4112078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57"/>
    <w:multiLevelType w:val="hybridMultilevel"/>
    <w:tmpl w:val="A7A27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4ED"/>
    <w:multiLevelType w:val="hybridMultilevel"/>
    <w:tmpl w:val="D444E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73F1"/>
    <w:multiLevelType w:val="hybridMultilevel"/>
    <w:tmpl w:val="68D0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A1586"/>
    <w:multiLevelType w:val="hybridMultilevel"/>
    <w:tmpl w:val="F676B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61A9"/>
    <w:multiLevelType w:val="hybridMultilevel"/>
    <w:tmpl w:val="9AF41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104C"/>
    <w:multiLevelType w:val="hybridMultilevel"/>
    <w:tmpl w:val="D1148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6F09"/>
    <w:multiLevelType w:val="hybridMultilevel"/>
    <w:tmpl w:val="E276689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17668"/>
    <w:multiLevelType w:val="hybridMultilevel"/>
    <w:tmpl w:val="9DC8A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3AFD"/>
    <w:multiLevelType w:val="hybridMultilevel"/>
    <w:tmpl w:val="7C0C423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64709A3"/>
    <w:multiLevelType w:val="hybridMultilevel"/>
    <w:tmpl w:val="A0F4584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3DCA3F08"/>
    <w:multiLevelType w:val="hybridMultilevel"/>
    <w:tmpl w:val="C72C623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82FE8"/>
    <w:multiLevelType w:val="hybridMultilevel"/>
    <w:tmpl w:val="A198B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7273"/>
    <w:multiLevelType w:val="hybridMultilevel"/>
    <w:tmpl w:val="E7A416D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72970"/>
    <w:multiLevelType w:val="hybridMultilevel"/>
    <w:tmpl w:val="F0EAF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356FB"/>
    <w:multiLevelType w:val="hybridMultilevel"/>
    <w:tmpl w:val="69F66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725A1"/>
    <w:multiLevelType w:val="hybridMultilevel"/>
    <w:tmpl w:val="B5D08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A6FFA"/>
    <w:multiLevelType w:val="hybridMultilevel"/>
    <w:tmpl w:val="6954256C"/>
    <w:lvl w:ilvl="0" w:tplc="88327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90838"/>
    <w:multiLevelType w:val="hybridMultilevel"/>
    <w:tmpl w:val="061A6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2E82CAA"/>
    <w:multiLevelType w:val="hybridMultilevel"/>
    <w:tmpl w:val="5906AF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585F0D"/>
    <w:multiLevelType w:val="hybridMultilevel"/>
    <w:tmpl w:val="7C9E532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C21CCC"/>
    <w:multiLevelType w:val="hybridMultilevel"/>
    <w:tmpl w:val="006C9E68"/>
    <w:lvl w:ilvl="0" w:tplc="DC4846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411E9"/>
    <w:multiLevelType w:val="hybridMultilevel"/>
    <w:tmpl w:val="F042AC26"/>
    <w:lvl w:ilvl="0" w:tplc="B6CC4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21178"/>
    <w:multiLevelType w:val="hybridMultilevel"/>
    <w:tmpl w:val="C038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C0B34"/>
    <w:multiLevelType w:val="hybridMultilevel"/>
    <w:tmpl w:val="945AB8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02D2B"/>
    <w:multiLevelType w:val="hybridMultilevel"/>
    <w:tmpl w:val="330E1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852CB"/>
    <w:multiLevelType w:val="hybridMultilevel"/>
    <w:tmpl w:val="E4366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02C3C"/>
    <w:multiLevelType w:val="hybridMultilevel"/>
    <w:tmpl w:val="7DD85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E0A63"/>
    <w:multiLevelType w:val="hybridMultilevel"/>
    <w:tmpl w:val="63202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F60C4"/>
    <w:multiLevelType w:val="hybridMultilevel"/>
    <w:tmpl w:val="186684D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E4C05EC"/>
    <w:multiLevelType w:val="hybridMultilevel"/>
    <w:tmpl w:val="C256F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25"/>
  </w:num>
  <w:num w:numId="7">
    <w:abstractNumId w:val="2"/>
  </w:num>
  <w:num w:numId="8">
    <w:abstractNumId w:val="18"/>
  </w:num>
  <w:num w:numId="9">
    <w:abstractNumId w:val="23"/>
  </w:num>
  <w:num w:numId="10">
    <w:abstractNumId w:val="6"/>
  </w:num>
  <w:num w:numId="11">
    <w:abstractNumId w:val="27"/>
  </w:num>
  <w:num w:numId="12">
    <w:abstractNumId w:val="8"/>
  </w:num>
  <w:num w:numId="13">
    <w:abstractNumId w:val="21"/>
  </w:num>
  <w:num w:numId="14">
    <w:abstractNumId w:val="24"/>
  </w:num>
  <w:num w:numId="15">
    <w:abstractNumId w:val="16"/>
  </w:num>
  <w:num w:numId="16">
    <w:abstractNumId w:val="12"/>
  </w:num>
  <w:num w:numId="17">
    <w:abstractNumId w:val="10"/>
  </w:num>
  <w:num w:numId="18">
    <w:abstractNumId w:val="19"/>
  </w:num>
  <w:num w:numId="19">
    <w:abstractNumId w:val="14"/>
  </w:num>
  <w:num w:numId="20">
    <w:abstractNumId w:val="11"/>
  </w:num>
  <w:num w:numId="21">
    <w:abstractNumId w:val="29"/>
  </w:num>
  <w:num w:numId="22">
    <w:abstractNumId w:val="26"/>
  </w:num>
  <w:num w:numId="23">
    <w:abstractNumId w:val="22"/>
  </w:num>
  <w:num w:numId="24">
    <w:abstractNumId w:val="17"/>
  </w:num>
  <w:num w:numId="25">
    <w:abstractNumId w:val="3"/>
  </w:num>
  <w:num w:numId="26">
    <w:abstractNumId w:val="5"/>
  </w:num>
  <w:num w:numId="27">
    <w:abstractNumId w:val="4"/>
  </w:num>
  <w:num w:numId="28">
    <w:abstractNumId w:val="15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36"/>
    <w:rsid w:val="00002592"/>
    <w:rsid w:val="00002A84"/>
    <w:rsid w:val="000039D9"/>
    <w:rsid w:val="00006849"/>
    <w:rsid w:val="00006C00"/>
    <w:rsid w:val="000130E1"/>
    <w:rsid w:val="00014E08"/>
    <w:rsid w:val="0001751C"/>
    <w:rsid w:val="00017FF5"/>
    <w:rsid w:val="00020140"/>
    <w:rsid w:val="0002144A"/>
    <w:rsid w:val="0002178D"/>
    <w:rsid w:val="00021EEE"/>
    <w:rsid w:val="00022392"/>
    <w:rsid w:val="00022D35"/>
    <w:rsid w:val="00024E5A"/>
    <w:rsid w:val="00025032"/>
    <w:rsid w:val="00025FC3"/>
    <w:rsid w:val="00031DE1"/>
    <w:rsid w:val="00032441"/>
    <w:rsid w:val="000341DA"/>
    <w:rsid w:val="000345B4"/>
    <w:rsid w:val="000362DE"/>
    <w:rsid w:val="00044434"/>
    <w:rsid w:val="00052737"/>
    <w:rsid w:val="000530BA"/>
    <w:rsid w:val="00056D71"/>
    <w:rsid w:val="000576D9"/>
    <w:rsid w:val="00057A92"/>
    <w:rsid w:val="00061D64"/>
    <w:rsid w:val="00062A46"/>
    <w:rsid w:val="00063DD0"/>
    <w:rsid w:val="00066C39"/>
    <w:rsid w:val="00066CD4"/>
    <w:rsid w:val="00072C5D"/>
    <w:rsid w:val="00074521"/>
    <w:rsid w:val="00075C32"/>
    <w:rsid w:val="00077240"/>
    <w:rsid w:val="0008068C"/>
    <w:rsid w:val="000840C2"/>
    <w:rsid w:val="00086136"/>
    <w:rsid w:val="00086378"/>
    <w:rsid w:val="00090606"/>
    <w:rsid w:val="0009245D"/>
    <w:rsid w:val="000A0DE3"/>
    <w:rsid w:val="000A3806"/>
    <w:rsid w:val="000A3FBC"/>
    <w:rsid w:val="000A41A1"/>
    <w:rsid w:val="000A4520"/>
    <w:rsid w:val="000B11EF"/>
    <w:rsid w:val="000B2023"/>
    <w:rsid w:val="000B2C45"/>
    <w:rsid w:val="000B7682"/>
    <w:rsid w:val="000C231C"/>
    <w:rsid w:val="000C463F"/>
    <w:rsid w:val="000C5BAA"/>
    <w:rsid w:val="000C7431"/>
    <w:rsid w:val="000D17E4"/>
    <w:rsid w:val="000D18A2"/>
    <w:rsid w:val="000D3F85"/>
    <w:rsid w:val="000D6C9F"/>
    <w:rsid w:val="000E0A5E"/>
    <w:rsid w:val="000E1593"/>
    <w:rsid w:val="000E2A17"/>
    <w:rsid w:val="000E5CAE"/>
    <w:rsid w:val="000E624D"/>
    <w:rsid w:val="000F0991"/>
    <w:rsid w:val="000F21D4"/>
    <w:rsid w:val="000F3856"/>
    <w:rsid w:val="000F764C"/>
    <w:rsid w:val="00103999"/>
    <w:rsid w:val="00103DAC"/>
    <w:rsid w:val="00104DAD"/>
    <w:rsid w:val="00106AEC"/>
    <w:rsid w:val="00111F02"/>
    <w:rsid w:val="00113465"/>
    <w:rsid w:val="00113AE0"/>
    <w:rsid w:val="001217E2"/>
    <w:rsid w:val="001217FD"/>
    <w:rsid w:val="00121D47"/>
    <w:rsid w:val="00122DD1"/>
    <w:rsid w:val="00125060"/>
    <w:rsid w:val="00126183"/>
    <w:rsid w:val="0012636E"/>
    <w:rsid w:val="0012663D"/>
    <w:rsid w:val="001270D6"/>
    <w:rsid w:val="001275E7"/>
    <w:rsid w:val="00130E70"/>
    <w:rsid w:val="00132365"/>
    <w:rsid w:val="00134BAC"/>
    <w:rsid w:val="00135C01"/>
    <w:rsid w:val="00136E66"/>
    <w:rsid w:val="00137C51"/>
    <w:rsid w:val="00145394"/>
    <w:rsid w:val="00150873"/>
    <w:rsid w:val="0015159F"/>
    <w:rsid w:val="00151EAB"/>
    <w:rsid w:val="001537A7"/>
    <w:rsid w:val="001605C9"/>
    <w:rsid w:val="00161B2B"/>
    <w:rsid w:val="001623E5"/>
    <w:rsid w:val="00163200"/>
    <w:rsid w:val="00163B56"/>
    <w:rsid w:val="00167714"/>
    <w:rsid w:val="0017083D"/>
    <w:rsid w:val="00171821"/>
    <w:rsid w:val="001730E0"/>
    <w:rsid w:val="001754ED"/>
    <w:rsid w:val="001766A1"/>
    <w:rsid w:val="001828D8"/>
    <w:rsid w:val="00185442"/>
    <w:rsid w:val="0019340F"/>
    <w:rsid w:val="00193DB9"/>
    <w:rsid w:val="0019461C"/>
    <w:rsid w:val="0019567C"/>
    <w:rsid w:val="00196FE2"/>
    <w:rsid w:val="001A0171"/>
    <w:rsid w:val="001A2736"/>
    <w:rsid w:val="001A2BA5"/>
    <w:rsid w:val="001A3380"/>
    <w:rsid w:val="001A5738"/>
    <w:rsid w:val="001A60E4"/>
    <w:rsid w:val="001A772D"/>
    <w:rsid w:val="001B0DED"/>
    <w:rsid w:val="001B4F92"/>
    <w:rsid w:val="001B5856"/>
    <w:rsid w:val="001B5FB2"/>
    <w:rsid w:val="001B63DD"/>
    <w:rsid w:val="001B6438"/>
    <w:rsid w:val="001C40D8"/>
    <w:rsid w:val="001C4264"/>
    <w:rsid w:val="001C672F"/>
    <w:rsid w:val="001D2405"/>
    <w:rsid w:val="001D5C22"/>
    <w:rsid w:val="001D6F9E"/>
    <w:rsid w:val="001D7A1B"/>
    <w:rsid w:val="001E1AE7"/>
    <w:rsid w:val="001E3CC3"/>
    <w:rsid w:val="001E7889"/>
    <w:rsid w:val="001F013B"/>
    <w:rsid w:val="001F3911"/>
    <w:rsid w:val="001F7374"/>
    <w:rsid w:val="001F77F6"/>
    <w:rsid w:val="00200982"/>
    <w:rsid w:val="00207BED"/>
    <w:rsid w:val="00207EC8"/>
    <w:rsid w:val="00211174"/>
    <w:rsid w:val="002118F3"/>
    <w:rsid w:val="002140FC"/>
    <w:rsid w:val="0021558D"/>
    <w:rsid w:val="002366E4"/>
    <w:rsid w:val="002446C4"/>
    <w:rsid w:val="00244FE0"/>
    <w:rsid w:val="00245265"/>
    <w:rsid w:val="00251782"/>
    <w:rsid w:val="00252148"/>
    <w:rsid w:val="002567BC"/>
    <w:rsid w:val="0026030A"/>
    <w:rsid w:val="00260397"/>
    <w:rsid w:val="00261BA9"/>
    <w:rsid w:val="0026420E"/>
    <w:rsid w:val="0026652F"/>
    <w:rsid w:val="0027168A"/>
    <w:rsid w:val="002718A5"/>
    <w:rsid w:val="00272512"/>
    <w:rsid w:val="00274126"/>
    <w:rsid w:val="00274E04"/>
    <w:rsid w:val="002767A3"/>
    <w:rsid w:val="00276F66"/>
    <w:rsid w:val="00277BA3"/>
    <w:rsid w:val="002801B4"/>
    <w:rsid w:val="00280451"/>
    <w:rsid w:val="00281129"/>
    <w:rsid w:val="00281259"/>
    <w:rsid w:val="00281CE2"/>
    <w:rsid w:val="00281FF9"/>
    <w:rsid w:val="00296FA3"/>
    <w:rsid w:val="002A1728"/>
    <w:rsid w:val="002A6483"/>
    <w:rsid w:val="002B0920"/>
    <w:rsid w:val="002B429F"/>
    <w:rsid w:val="002C21D2"/>
    <w:rsid w:val="002C30D3"/>
    <w:rsid w:val="002C58B8"/>
    <w:rsid w:val="002C7F9B"/>
    <w:rsid w:val="002D0309"/>
    <w:rsid w:val="002D0E21"/>
    <w:rsid w:val="002D1707"/>
    <w:rsid w:val="002D18C5"/>
    <w:rsid w:val="002E225B"/>
    <w:rsid w:val="002E5AFB"/>
    <w:rsid w:val="002F1EFA"/>
    <w:rsid w:val="002F292E"/>
    <w:rsid w:val="002F2ADF"/>
    <w:rsid w:val="002F48F3"/>
    <w:rsid w:val="00301A71"/>
    <w:rsid w:val="00301D3A"/>
    <w:rsid w:val="003025AF"/>
    <w:rsid w:val="00302D3C"/>
    <w:rsid w:val="003065DD"/>
    <w:rsid w:val="00310CBD"/>
    <w:rsid w:val="003134D9"/>
    <w:rsid w:val="0031654A"/>
    <w:rsid w:val="00317E1B"/>
    <w:rsid w:val="0032136A"/>
    <w:rsid w:val="003367F5"/>
    <w:rsid w:val="00336BC3"/>
    <w:rsid w:val="00336F1E"/>
    <w:rsid w:val="003403FD"/>
    <w:rsid w:val="003437B0"/>
    <w:rsid w:val="00343CDD"/>
    <w:rsid w:val="003444A4"/>
    <w:rsid w:val="00351C15"/>
    <w:rsid w:val="003521C8"/>
    <w:rsid w:val="003532F3"/>
    <w:rsid w:val="00360559"/>
    <w:rsid w:val="00360987"/>
    <w:rsid w:val="00364A72"/>
    <w:rsid w:val="00370BF8"/>
    <w:rsid w:val="00372F65"/>
    <w:rsid w:val="003742A1"/>
    <w:rsid w:val="003753FF"/>
    <w:rsid w:val="00381C48"/>
    <w:rsid w:val="00383369"/>
    <w:rsid w:val="00386C98"/>
    <w:rsid w:val="0039416E"/>
    <w:rsid w:val="003A0471"/>
    <w:rsid w:val="003A2485"/>
    <w:rsid w:val="003A504A"/>
    <w:rsid w:val="003B0198"/>
    <w:rsid w:val="003B4F26"/>
    <w:rsid w:val="003B4F60"/>
    <w:rsid w:val="003C1118"/>
    <w:rsid w:val="003C3084"/>
    <w:rsid w:val="003C3577"/>
    <w:rsid w:val="003C6711"/>
    <w:rsid w:val="003D5727"/>
    <w:rsid w:val="003D7C36"/>
    <w:rsid w:val="003D7DCC"/>
    <w:rsid w:val="003E2DAA"/>
    <w:rsid w:val="003E3D2C"/>
    <w:rsid w:val="003E57DE"/>
    <w:rsid w:val="003F0FC3"/>
    <w:rsid w:val="003F3FBD"/>
    <w:rsid w:val="003F74E3"/>
    <w:rsid w:val="00401C2C"/>
    <w:rsid w:val="0040204B"/>
    <w:rsid w:val="00403105"/>
    <w:rsid w:val="00405151"/>
    <w:rsid w:val="0040553A"/>
    <w:rsid w:val="004112F5"/>
    <w:rsid w:val="004205D1"/>
    <w:rsid w:val="00426E45"/>
    <w:rsid w:val="00431DB3"/>
    <w:rsid w:val="0043310D"/>
    <w:rsid w:val="00434C0C"/>
    <w:rsid w:val="004405D5"/>
    <w:rsid w:val="004431B1"/>
    <w:rsid w:val="00443D19"/>
    <w:rsid w:val="004459D2"/>
    <w:rsid w:val="00445BB7"/>
    <w:rsid w:val="00445D76"/>
    <w:rsid w:val="004528C4"/>
    <w:rsid w:val="00453DC0"/>
    <w:rsid w:val="00455428"/>
    <w:rsid w:val="00456C63"/>
    <w:rsid w:val="00456C80"/>
    <w:rsid w:val="004572B8"/>
    <w:rsid w:val="00457A53"/>
    <w:rsid w:val="00460AB8"/>
    <w:rsid w:val="00461876"/>
    <w:rsid w:val="00461AA6"/>
    <w:rsid w:val="00470338"/>
    <w:rsid w:val="00470B4F"/>
    <w:rsid w:val="0048163E"/>
    <w:rsid w:val="00484120"/>
    <w:rsid w:val="00487E7D"/>
    <w:rsid w:val="00487EC4"/>
    <w:rsid w:val="00491F05"/>
    <w:rsid w:val="00492DA2"/>
    <w:rsid w:val="00493666"/>
    <w:rsid w:val="0049502E"/>
    <w:rsid w:val="00497F47"/>
    <w:rsid w:val="004A3908"/>
    <w:rsid w:val="004A5421"/>
    <w:rsid w:val="004A5E82"/>
    <w:rsid w:val="004A631E"/>
    <w:rsid w:val="004A6815"/>
    <w:rsid w:val="004A6866"/>
    <w:rsid w:val="004A6F23"/>
    <w:rsid w:val="004B0BBF"/>
    <w:rsid w:val="004B2773"/>
    <w:rsid w:val="004B7A5E"/>
    <w:rsid w:val="004C04CB"/>
    <w:rsid w:val="004C09B2"/>
    <w:rsid w:val="004C175A"/>
    <w:rsid w:val="004C49E2"/>
    <w:rsid w:val="004C6001"/>
    <w:rsid w:val="004C644B"/>
    <w:rsid w:val="004D01B3"/>
    <w:rsid w:val="004D1EC9"/>
    <w:rsid w:val="004D34AA"/>
    <w:rsid w:val="004D39C5"/>
    <w:rsid w:val="004D4D1C"/>
    <w:rsid w:val="004D4D32"/>
    <w:rsid w:val="004D4D8A"/>
    <w:rsid w:val="004E144C"/>
    <w:rsid w:val="004E2FD7"/>
    <w:rsid w:val="004E5143"/>
    <w:rsid w:val="004E54E8"/>
    <w:rsid w:val="004F0512"/>
    <w:rsid w:val="004F16E4"/>
    <w:rsid w:val="004F4BCB"/>
    <w:rsid w:val="004F4E15"/>
    <w:rsid w:val="004F53E8"/>
    <w:rsid w:val="004F757D"/>
    <w:rsid w:val="00500C39"/>
    <w:rsid w:val="0050401D"/>
    <w:rsid w:val="00507159"/>
    <w:rsid w:val="00510D4B"/>
    <w:rsid w:val="00511465"/>
    <w:rsid w:val="0051223B"/>
    <w:rsid w:val="0051227E"/>
    <w:rsid w:val="00512C16"/>
    <w:rsid w:val="0051315D"/>
    <w:rsid w:val="005172A4"/>
    <w:rsid w:val="00523A77"/>
    <w:rsid w:val="00531161"/>
    <w:rsid w:val="00533CCD"/>
    <w:rsid w:val="005401FE"/>
    <w:rsid w:val="00540A91"/>
    <w:rsid w:val="005415AD"/>
    <w:rsid w:val="005424F9"/>
    <w:rsid w:val="005428CD"/>
    <w:rsid w:val="00544CE4"/>
    <w:rsid w:val="0054584B"/>
    <w:rsid w:val="00552B60"/>
    <w:rsid w:val="00554E89"/>
    <w:rsid w:val="005559F4"/>
    <w:rsid w:val="00557D9A"/>
    <w:rsid w:val="0056134B"/>
    <w:rsid w:val="005623FF"/>
    <w:rsid w:val="00565E28"/>
    <w:rsid w:val="00566EB6"/>
    <w:rsid w:val="00567464"/>
    <w:rsid w:val="00571665"/>
    <w:rsid w:val="00571A94"/>
    <w:rsid w:val="00574AFF"/>
    <w:rsid w:val="005770BF"/>
    <w:rsid w:val="0058019C"/>
    <w:rsid w:val="00587E39"/>
    <w:rsid w:val="00593AF7"/>
    <w:rsid w:val="005946B9"/>
    <w:rsid w:val="005948E8"/>
    <w:rsid w:val="00594C44"/>
    <w:rsid w:val="005A23CC"/>
    <w:rsid w:val="005A2642"/>
    <w:rsid w:val="005A7E55"/>
    <w:rsid w:val="005B091B"/>
    <w:rsid w:val="005B0A64"/>
    <w:rsid w:val="005B3823"/>
    <w:rsid w:val="005B3D95"/>
    <w:rsid w:val="005B7A51"/>
    <w:rsid w:val="005B7B2B"/>
    <w:rsid w:val="005C3340"/>
    <w:rsid w:val="005C44CB"/>
    <w:rsid w:val="005C6417"/>
    <w:rsid w:val="005C6875"/>
    <w:rsid w:val="005D0532"/>
    <w:rsid w:val="005D3A52"/>
    <w:rsid w:val="005E0929"/>
    <w:rsid w:val="005E1D01"/>
    <w:rsid w:val="005E57B7"/>
    <w:rsid w:val="005F7DF4"/>
    <w:rsid w:val="0060129D"/>
    <w:rsid w:val="00604233"/>
    <w:rsid w:val="006059A8"/>
    <w:rsid w:val="0060609A"/>
    <w:rsid w:val="006104FE"/>
    <w:rsid w:val="00610888"/>
    <w:rsid w:val="006116A6"/>
    <w:rsid w:val="00612473"/>
    <w:rsid w:val="00612652"/>
    <w:rsid w:val="0061685B"/>
    <w:rsid w:val="00616D29"/>
    <w:rsid w:val="00616D2F"/>
    <w:rsid w:val="00626BB2"/>
    <w:rsid w:val="0062761A"/>
    <w:rsid w:val="006331D4"/>
    <w:rsid w:val="0063541B"/>
    <w:rsid w:val="00636CB2"/>
    <w:rsid w:val="0063714D"/>
    <w:rsid w:val="00637267"/>
    <w:rsid w:val="0064170A"/>
    <w:rsid w:val="006417CE"/>
    <w:rsid w:val="006422C6"/>
    <w:rsid w:val="0064428D"/>
    <w:rsid w:val="0064568C"/>
    <w:rsid w:val="00646957"/>
    <w:rsid w:val="006501BE"/>
    <w:rsid w:val="0065393B"/>
    <w:rsid w:val="006545DD"/>
    <w:rsid w:val="00654DC5"/>
    <w:rsid w:val="00655941"/>
    <w:rsid w:val="006608AE"/>
    <w:rsid w:val="00662263"/>
    <w:rsid w:val="006628BD"/>
    <w:rsid w:val="00665366"/>
    <w:rsid w:val="0066764F"/>
    <w:rsid w:val="006702C9"/>
    <w:rsid w:val="00671DFD"/>
    <w:rsid w:val="00672B90"/>
    <w:rsid w:val="006747FE"/>
    <w:rsid w:val="0068607D"/>
    <w:rsid w:val="006860F1"/>
    <w:rsid w:val="00691F58"/>
    <w:rsid w:val="00692275"/>
    <w:rsid w:val="00693CC5"/>
    <w:rsid w:val="0069548A"/>
    <w:rsid w:val="00696D38"/>
    <w:rsid w:val="0069798D"/>
    <w:rsid w:val="006A1876"/>
    <w:rsid w:val="006A1E4D"/>
    <w:rsid w:val="006A2265"/>
    <w:rsid w:val="006A46CD"/>
    <w:rsid w:val="006A4B35"/>
    <w:rsid w:val="006A4D2B"/>
    <w:rsid w:val="006A5C89"/>
    <w:rsid w:val="006A64C5"/>
    <w:rsid w:val="006A7027"/>
    <w:rsid w:val="006B1AE9"/>
    <w:rsid w:val="006B1AEB"/>
    <w:rsid w:val="006B514F"/>
    <w:rsid w:val="006B6387"/>
    <w:rsid w:val="006B7377"/>
    <w:rsid w:val="006C0196"/>
    <w:rsid w:val="006C5BBE"/>
    <w:rsid w:val="006C74DF"/>
    <w:rsid w:val="006D6A6A"/>
    <w:rsid w:val="006D6F63"/>
    <w:rsid w:val="006D75E8"/>
    <w:rsid w:val="006E0712"/>
    <w:rsid w:val="006E08E3"/>
    <w:rsid w:val="006E23C6"/>
    <w:rsid w:val="006E2DE3"/>
    <w:rsid w:val="006E5C2B"/>
    <w:rsid w:val="006F26D3"/>
    <w:rsid w:val="006F27D4"/>
    <w:rsid w:val="007039D9"/>
    <w:rsid w:val="00704288"/>
    <w:rsid w:val="00705139"/>
    <w:rsid w:val="007122C9"/>
    <w:rsid w:val="0071501B"/>
    <w:rsid w:val="007170D3"/>
    <w:rsid w:val="00717B54"/>
    <w:rsid w:val="00717E2E"/>
    <w:rsid w:val="0072184D"/>
    <w:rsid w:val="007318C0"/>
    <w:rsid w:val="00735194"/>
    <w:rsid w:val="00735EB8"/>
    <w:rsid w:val="00736FBA"/>
    <w:rsid w:val="00741E8F"/>
    <w:rsid w:val="00743E4F"/>
    <w:rsid w:val="0074488D"/>
    <w:rsid w:val="0074570E"/>
    <w:rsid w:val="0074602B"/>
    <w:rsid w:val="00746385"/>
    <w:rsid w:val="00753C18"/>
    <w:rsid w:val="00756D28"/>
    <w:rsid w:val="007613E7"/>
    <w:rsid w:val="0076578C"/>
    <w:rsid w:val="00773DEE"/>
    <w:rsid w:val="00774248"/>
    <w:rsid w:val="00774BCF"/>
    <w:rsid w:val="00775B87"/>
    <w:rsid w:val="007766CF"/>
    <w:rsid w:val="0078296B"/>
    <w:rsid w:val="0078393C"/>
    <w:rsid w:val="00783EB8"/>
    <w:rsid w:val="00785A4C"/>
    <w:rsid w:val="007879CC"/>
    <w:rsid w:val="007908C5"/>
    <w:rsid w:val="007908C9"/>
    <w:rsid w:val="00792D73"/>
    <w:rsid w:val="00793530"/>
    <w:rsid w:val="007944BC"/>
    <w:rsid w:val="007A009C"/>
    <w:rsid w:val="007A061F"/>
    <w:rsid w:val="007A1BEB"/>
    <w:rsid w:val="007A1C9E"/>
    <w:rsid w:val="007A2591"/>
    <w:rsid w:val="007A32A1"/>
    <w:rsid w:val="007A4B52"/>
    <w:rsid w:val="007A5D36"/>
    <w:rsid w:val="007A68A1"/>
    <w:rsid w:val="007A77F8"/>
    <w:rsid w:val="007B33BA"/>
    <w:rsid w:val="007B3B7B"/>
    <w:rsid w:val="007B538B"/>
    <w:rsid w:val="007B66E2"/>
    <w:rsid w:val="007C1AE7"/>
    <w:rsid w:val="007C1BB5"/>
    <w:rsid w:val="007C4901"/>
    <w:rsid w:val="007C6C91"/>
    <w:rsid w:val="007C7B9D"/>
    <w:rsid w:val="007C7E27"/>
    <w:rsid w:val="007D4CC8"/>
    <w:rsid w:val="007D5DEF"/>
    <w:rsid w:val="007D608B"/>
    <w:rsid w:val="007E015B"/>
    <w:rsid w:val="007E0E9D"/>
    <w:rsid w:val="007E24B6"/>
    <w:rsid w:val="007E4A9C"/>
    <w:rsid w:val="007E52CD"/>
    <w:rsid w:val="007E56E3"/>
    <w:rsid w:val="007E63FD"/>
    <w:rsid w:val="007F2DE0"/>
    <w:rsid w:val="007F4E7A"/>
    <w:rsid w:val="00802234"/>
    <w:rsid w:val="0080352B"/>
    <w:rsid w:val="008052C7"/>
    <w:rsid w:val="008101F0"/>
    <w:rsid w:val="00810E6A"/>
    <w:rsid w:val="00812754"/>
    <w:rsid w:val="00814BC9"/>
    <w:rsid w:val="0081707B"/>
    <w:rsid w:val="008227D4"/>
    <w:rsid w:val="00824D07"/>
    <w:rsid w:val="008264FA"/>
    <w:rsid w:val="00826E14"/>
    <w:rsid w:val="008303C1"/>
    <w:rsid w:val="008303F2"/>
    <w:rsid w:val="00832250"/>
    <w:rsid w:val="00832E35"/>
    <w:rsid w:val="00833ECB"/>
    <w:rsid w:val="00834584"/>
    <w:rsid w:val="00834A8D"/>
    <w:rsid w:val="00836216"/>
    <w:rsid w:val="008375E6"/>
    <w:rsid w:val="00840080"/>
    <w:rsid w:val="00840BDC"/>
    <w:rsid w:val="00851529"/>
    <w:rsid w:val="008515B6"/>
    <w:rsid w:val="00853438"/>
    <w:rsid w:val="00853DCF"/>
    <w:rsid w:val="008547DB"/>
    <w:rsid w:val="00855F03"/>
    <w:rsid w:val="00856867"/>
    <w:rsid w:val="00856F7D"/>
    <w:rsid w:val="00861923"/>
    <w:rsid w:val="0086232B"/>
    <w:rsid w:val="00862505"/>
    <w:rsid w:val="00862C0A"/>
    <w:rsid w:val="008633A2"/>
    <w:rsid w:val="0086493C"/>
    <w:rsid w:val="00865249"/>
    <w:rsid w:val="0086638F"/>
    <w:rsid w:val="008667DF"/>
    <w:rsid w:val="00874291"/>
    <w:rsid w:val="00874C05"/>
    <w:rsid w:val="00876875"/>
    <w:rsid w:val="00876AD1"/>
    <w:rsid w:val="00877DE4"/>
    <w:rsid w:val="00880915"/>
    <w:rsid w:val="008822D6"/>
    <w:rsid w:val="00882492"/>
    <w:rsid w:val="00882A26"/>
    <w:rsid w:val="00883444"/>
    <w:rsid w:val="0088458A"/>
    <w:rsid w:val="00884979"/>
    <w:rsid w:val="00886F38"/>
    <w:rsid w:val="00890F30"/>
    <w:rsid w:val="008952EF"/>
    <w:rsid w:val="00897497"/>
    <w:rsid w:val="0089767D"/>
    <w:rsid w:val="008A2443"/>
    <w:rsid w:val="008A32D2"/>
    <w:rsid w:val="008A7DB4"/>
    <w:rsid w:val="008B0D8F"/>
    <w:rsid w:val="008B11E4"/>
    <w:rsid w:val="008B1C8C"/>
    <w:rsid w:val="008B2703"/>
    <w:rsid w:val="008B6761"/>
    <w:rsid w:val="008D28EA"/>
    <w:rsid w:val="008D3059"/>
    <w:rsid w:val="008D3281"/>
    <w:rsid w:val="008D3323"/>
    <w:rsid w:val="008D4538"/>
    <w:rsid w:val="008D6210"/>
    <w:rsid w:val="008E1EBD"/>
    <w:rsid w:val="008E6279"/>
    <w:rsid w:val="008E77D0"/>
    <w:rsid w:val="008F05C4"/>
    <w:rsid w:val="008F13EC"/>
    <w:rsid w:val="008F56F4"/>
    <w:rsid w:val="008F7808"/>
    <w:rsid w:val="008F78DC"/>
    <w:rsid w:val="00902659"/>
    <w:rsid w:val="00905305"/>
    <w:rsid w:val="009107B6"/>
    <w:rsid w:val="00912373"/>
    <w:rsid w:val="00916AA4"/>
    <w:rsid w:val="00916BAD"/>
    <w:rsid w:val="00921CCF"/>
    <w:rsid w:val="00923CA6"/>
    <w:rsid w:val="00923CC1"/>
    <w:rsid w:val="00924089"/>
    <w:rsid w:val="009249BD"/>
    <w:rsid w:val="00924C5F"/>
    <w:rsid w:val="009311E3"/>
    <w:rsid w:val="0093282D"/>
    <w:rsid w:val="0093361E"/>
    <w:rsid w:val="0093372D"/>
    <w:rsid w:val="00934D3C"/>
    <w:rsid w:val="00940C92"/>
    <w:rsid w:val="00944218"/>
    <w:rsid w:val="00947F30"/>
    <w:rsid w:val="00951DFC"/>
    <w:rsid w:val="00952FAD"/>
    <w:rsid w:val="00953837"/>
    <w:rsid w:val="00953E57"/>
    <w:rsid w:val="00955677"/>
    <w:rsid w:val="00957A90"/>
    <w:rsid w:val="0096083B"/>
    <w:rsid w:val="00964685"/>
    <w:rsid w:val="0096714F"/>
    <w:rsid w:val="00970429"/>
    <w:rsid w:val="009762A1"/>
    <w:rsid w:val="00976CF0"/>
    <w:rsid w:val="009774D0"/>
    <w:rsid w:val="00977753"/>
    <w:rsid w:val="009819B7"/>
    <w:rsid w:val="00981F3D"/>
    <w:rsid w:val="00983D15"/>
    <w:rsid w:val="00985CFE"/>
    <w:rsid w:val="00991452"/>
    <w:rsid w:val="0099331F"/>
    <w:rsid w:val="00995B6D"/>
    <w:rsid w:val="00997D9E"/>
    <w:rsid w:val="009A466E"/>
    <w:rsid w:val="009A54BB"/>
    <w:rsid w:val="009A7891"/>
    <w:rsid w:val="009B0CD4"/>
    <w:rsid w:val="009B2B83"/>
    <w:rsid w:val="009B4C71"/>
    <w:rsid w:val="009C094B"/>
    <w:rsid w:val="009C0C6D"/>
    <w:rsid w:val="009C385D"/>
    <w:rsid w:val="009C3F77"/>
    <w:rsid w:val="009C6CCE"/>
    <w:rsid w:val="009D1AE9"/>
    <w:rsid w:val="009D3283"/>
    <w:rsid w:val="009D3634"/>
    <w:rsid w:val="009E22EE"/>
    <w:rsid w:val="009E2F5F"/>
    <w:rsid w:val="009F111A"/>
    <w:rsid w:val="009F396B"/>
    <w:rsid w:val="009F4086"/>
    <w:rsid w:val="009F524B"/>
    <w:rsid w:val="009F5E7B"/>
    <w:rsid w:val="00A03B0E"/>
    <w:rsid w:val="00A04187"/>
    <w:rsid w:val="00A0796F"/>
    <w:rsid w:val="00A10851"/>
    <w:rsid w:val="00A10C55"/>
    <w:rsid w:val="00A13212"/>
    <w:rsid w:val="00A13884"/>
    <w:rsid w:val="00A166FF"/>
    <w:rsid w:val="00A2058A"/>
    <w:rsid w:val="00A25492"/>
    <w:rsid w:val="00A268B1"/>
    <w:rsid w:val="00A278B5"/>
    <w:rsid w:val="00A30BF5"/>
    <w:rsid w:val="00A323BF"/>
    <w:rsid w:val="00A33D37"/>
    <w:rsid w:val="00A369C3"/>
    <w:rsid w:val="00A36CF4"/>
    <w:rsid w:val="00A376FC"/>
    <w:rsid w:val="00A4056F"/>
    <w:rsid w:val="00A42142"/>
    <w:rsid w:val="00A43E3D"/>
    <w:rsid w:val="00A506AA"/>
    <w:rsid w:val="00A53835"/>
    <w:rsid w:val="00A564A7"/>
    <w:rsid w:val="00A62CEC"/>
    <w:rsid w:val="00A62E89"/>
    <w:rsid w:val="00A63027"/>
    <w:rsid w:val="00A64D8D"/>
    <w:rsid w:val="00A73092"/>
    <w:rsid w:val="00A73C9E"/>
    <w:rsid w:val="00A753EA"/>
    <w:rsid w:val="00A8138B"/>
    <w:rsid w:val="00A83589"/>
    <w:rsid w:val="00A8659F"/>
    <w:rsid w:val="00A91F46"/>
    <w:rsid w:val="00A95CC8"/>
    <w:rsid w:val="00A97440"/>
    <w:rsid w:val="00AA1622"/>
    <w:rsid w:val="00AA321A"/>
    <w:rsid w:val="00AA778F"/>
    <w:rsid w:val="00AA7A8D"/>
    <w:rsid w:val="00AB0507"/>
    <w:rsid w:val="00AB2331"/>
    <w:rsid w:val="00AB2EB2"/>
    <w:rsid w:val="00AC1C2D"/>
    <w:rsid w:val="00AC601E"/>
    <w:rsid w:val="00AC7448"/>
    <w:rsid w:val="00AD1349"/>
    <w:rsid w:val="00AD2DC0"/>
    <w:rsid w:val="00AD7546"/>
    <w:rsid w:val="00AE02B9"/>
    <w:rsid w:val="00AE24A6"/>
    <w:rsid w:val="00AE3A9B"/>
    <w:rsid w:val="00AE466D"/>
    <w:rsid w:val="00AE4F32"/>
    <w:rsid w:val="00AE6859"/>
    <w:rsid w:val="00AE75D5"/>
    <w:rsid w:val="00AF24BE"/>
    <w:rsid w:val="00AF2E24"/>
    <w:rsid w:val="00AF49BE"/>
    <w:rsid w:val="00AF53F1"/>
    <w:rsid w:val="00AF675C"/>
    <w:rsid w:val="00B003CF"/>
    <w:rsid w:val="00B03442"/>
    <w:rsid w:val="00B042CB"/>
    <w:rsid w:val="00B04EBB"/>
    <w:rsid w:val="00B05CAC"/>
    <w:rsid w:val="00B0759E"/>
    <w:rsid w:val="00B11940"/>
    <w:rsid w:val="00B2146E"/>
    <w:rsid w:val="00B21FC8"/>
    <w:rsid w:val="00B2547C"/>
    <w:rsid w:val="00B30C5E"/>
    <w:rsid w:val="00B31ABF"/>
    <w:rsid w:val="00B3271C"/>
    <w:rsid w:val="00B356F6"/>
    <w:rsid w:val="00B4329B"/>
    <w:rsid w:val="00B45BE3"/>
    <w:rsid w:val="00B46C24"/>
    <w:rsid w:val="00B47D72"/>
    <w:rsid w:val="00B503BF"/>
    <w:rsid w:val="00B516F8"/>
    <w:rsid w:val="00B520F1"/>
    <w:rsid w:val="00B610A5"/>
    <w:rsid w:val="00B633E6"/>
    <w:rsid w:val="00B640FC"/>
    <w:rsid w:val="00B64A95"/>
    <w:rsid w:val="00B65ADE"/>
    <w:rsid w:val="00B67B32"/>
    <w:rsid w:val="00B73C34"/>
    <w:rsid w:val="00B73EF4"/>
    <w:rsid w:val="00B756A9"/>
    <w:rsid w:val="00B76659"/>
    <w:rsid w:val="00B773F7"/>
    <w:rsid w:val="00B777AA"/>
    <w:rsid w:val="00B828ED"/>
    <w:rsid w:val="00B84A76"/>
    <w:rsid w:val="00B86830"/>
    <w:rsid w:val="00B9041F"/>
    <w:rsid w:val="00B9178F"/>
    <w:rsid w:val="00B91FBC"/>
    <w:rsid w:val="00BA35C0"/>
    <w:rsid w:val="00BB1641"/>
    <w:rsid w:val="00BB2A36"/>
    <w:rsid w:val="00BC1E7F"/>
    <w:rsid w:val="00BC253D"/>
    <w:rsid w:val="00BC38F7"/>
    <w:rsid w:val="00BC5BEE"/>
    <w:rsid w:val="00BC5E7A"/>
    <w:rsid w:val="00BD15C1"/>
    <w:rsid w:val="00BD345F"/>
    <w:rsid w:val="00BD42C5"/>
    <w:rsid w:val="00BD4329"/>
    <w:rsid w:val="00BD6678"/>
    <w:rsid w:val="00BD71A1"/>
    <w:rsid w:val="00BE0ED3"/>
    <w:rsid w:val="00BE109F"/>
    <w:rsid w:val="00BE1D4A"/>
    <w:rsid w:val="00BE2D70"/>
    <w:rsid w:val="00BE4682"/>
    <w:rsid w:val="00BE4AA1"/>
    <w:rsid w:val="00BE57BB"/>
    <w:rsid w:val="00BE5EF2"/>
    <w:rsid w:val="00BF1DD0"/>
    <w:rsid w:val="00BF6213"/>
    <w:rsid w:val="00BF7077"/>
    <w:rsid w:val="00BF79E2"/>
    <w:rsid w:val="00C041A3"/>
    <w:rsid w:val="00C078EA"/>
    <w:rsid w:val="00C10481"/>
    <w:rsid w:val="00C1217A"/>
    <w:rsid w:val="00C12544"/>
    <w:rsid w:val="00C14CA4"/>
    <w:rsid w:val="00C14CE3"/>
    <w:rsid w:val="00C14EDF"/>
    <w:rsid w:val="00C155FA"/>
    <w:rsid w:val="00C169E4"/>
    <w:rsid w:val="00C216CB"/>
    <w:rsid w:val="00C22CAE"/>
    <w:rsid w:val="00C23144"/>
    <w:rsid w:val="00C24A8E"/>
    <w:rsid w:val="00C24F4F"/>
    <w:rsid w:val="00C30B67"/>
    <w:rsid w:val="00C33115"/>
    <w:rsid w:val="00C41CCA"/>
    <w:rsid w:val="00C4427A"/>
    <w:rsid w:val="00C47BB2"/>
    <w:rsid w:val="00C513C2"/>
    <w:rsid w:val="00C51C1A"/>
    <w:rsid w:val="00C52CDF"/>
    <w:rsid w:val="00C54340"/>
    <w:rsid w:val="00C609FE"/>
    <w:rsid w:val="00C61DE3"/>
    <w:rsid w:val="00C64C9B"/>
    <w:rsid w:val="00C668A5"/>
    <w:rsid w:val="00C73ADC"/>
    <w:rsid w:val="00C7435F"/>
    <w:rsid w:val="00C74D4D"/>
    <w:rsid w:val="00C90987"/>
    <w:rsid w:val="00C92155"/>
    <w:rsid w:val="00C923D4"/>
    <w:rsid w:val="00C9358A"/>
    <w:rsid w:val="00C94D36"/>
    <w:rsid w:val="00C965A4"/>
    <w:rsid w:val="00C967DE"/>
    <w:rsid w:val="00CA4583"/>
    <w:rsid w:val="00CA6773"/>
    <w:rsid w:val="00CB04D9"/>
    <w:rsid w:val="00CB0C3A"/>
    <w:rsid w:val="00CB1342"/>
    <w:rsid w:val="00CB1EDF"/>
    <w:rsid w:val="00CB2FCD"/>
    <w:rsid w:val="00CB529E"/>
    <w:rsid w:val="00CB6F86"/>
    <w:rsid w:val="00CB7C02"/>
    <w:rsid w:val="00CC01BC"/>
    <w:rsid w:val="00CC283B"/>
    <w:rsid w:val="00CC3862"/>
    <w:rsid w:val="00CC5390"/>
    <w:rsid w:val="00CC73A0"/>
    <w:rsid w:val="00CC7F94"/>
    <w:rsid w:val="00CD034D"/>
    <w:rsid w:val="00CD56D3"/>
    <w:rsid w:val="00CD6D13"/>
    <w:rsid w:val="00CE0303"/>
    <w:rsid w:val="00CE20A7"/>
    <w:rsid w:val="00CE4EF2"/>
    <w:rsid w:val="00CE644F"/>
    <w:rsid w:val="00CF1822"/>
    <w:rsid w:val="00CF6428"/>
    <w:rsid w:val="00CF6E51"/>
    <w:rsid w:val="00CF7985"/>
    <w:rsid w:val="00D02EBC"/>
    <w:rsid w:val="00D0323E"/>
    <w:rsid w:val="00D0588B"/>
    <w:rsid w:val="00D06041"/>
    <w:rsid w:val="00D1125C"/>
    <w:rsid w:val="00D128D1"/>
    <w:rsid w:val="00D13843"/>
    <w:rsid w:val="00D15B26"/>
    <w:rsid w:val="00D15F20"/>
    <w:rsid w:val="00D2295D"/>
    <w:rsid w:val="00D23195"/>
    <w:rsid w:val="00D328E5"/>
    <w:rsid w:val="00D3584B"/>
    <w:rsid w:val="00D377AC"/>
    <w:rsid w:val="00D40603"/>
    <w:rsid w:val="00D4079C"/>
    <w:rsid w:val="00D418F0"/>
    <w:rsid w:val="00D449CF"/>
    <w:rsid w:val="00D46488"/>
    <w:rsid w:val="00D466ED"/>
    <w:rsid w:val="00D50777"/>
    <w:rsid w:val="00D5651E"/>
    <w:rsid w:val="00D57128"/>
    <w:rsid w:val="00D611C0"/>
    <w:rsid w:val="00D61427"/>
    <w:rsid w:val="00D632FE"/>
    <w:rsid w:val="00D65181"/>
    <w:rsid w:val="00D72AD7"/>
    <w:rsid w:val="00D747CD"/>
    <w:rsid w:val="00D74943"/>
    <w:rsid w:val="00D80B77"/>
    <w:rsid w:val="00D81165"/>
    <w:rsid w:val="00D85024"/>
    <w:rsid w:val="00D870AE"/>
    <w:rsid w:val="00D876D2"/>
    <w:rsid w:val="00D90774"/>
    <w:rsid w:val="00D9136A"/>
    <w:rsid w:val="00D93A19"/>
    <w:rsid w:val="00D951B6"/>
    <w:rsid w:val="00D95B0C"/>
    <w:rsid w:val="00D96114"/>
    <w:rsid w:val="00D97344"/>
    <w:rsid w:val="00DA0352"/>
    <w:rsid w:val="00DA1129"/>
    <w:rsid w:val="00DA23F0"/>
    <w:rsid w:val="00DA2614"/>
    <w:rsid w:val="00DA7FA9"/>
    <w:rsid w:val="00DB4F7A"/>
    <w:rsid w:val="00DB7E65"/>
    <w:rsid w:val="00DC0E05"/>
    <w:rsid w:val="00DC27A8"/>
    <w:rsid w:val="00DC33DC"/>
    <w:rsid w:val="00DC5330"/>
    <w:rsid w:val="00DC775D"/>
    <w:rsid w:val="00DC7933"/>
    <w:rsid w:val="00DC7A00"/>
    <w:rsid w:val="00DD316E"/>
    <w:rsid w:val="00DD33C5"/>
    <w:rsid w:val="00DD3656"/>
    <w:rsid w:val="00DD3E93"/>
    <w:rsid w:val="00DD4E1A"/>
    <w:rsid w:val="00DD5568"/>
    <w:rsid w:val="00DD6989"/>
    <w:rsid w:val="00DE1615"/>
    <w:rsid w:val="00DE3D95"/>
    <w:rsid w:val="00DE4C7C"/>
    <w:rsid w:val="00DF4638"/>
    <w:rsid w:val="00DF553B"/>
    <w:rsid w:val="00DF70EB"/>
    <w:rsid w:val="00DF7833"/>
    <w:rsid w:val="00E005ED"/>
    <w:rsid w:val="00E022A6"/>
    <w:rsid w:val="00E02B15"/>
    <w:rsid w:val="00E0457B"/>
    <w:rsid w:val="00E05439"/>
    <w:rsid w:val="00E071C0"/>
    <w:rsid w:val="00E12419"/>
    <w:rsid w:val="00E146A8"/>
    <w:rsid w:val="00E17DAA"/>
    <w:rsid w:val="00E217A3"/>
    <w:rsid w:val="00E21CE0"/>
    <w:rsid w:val="00E25A9C"/>
    <w:rsid w:val="00E261B9"/>
    <w:rsid w:val="00E312DB"/>
    <w:rsid w:val="00E31D87"/>
    <w:rsid w:val="00E32D59"/>
    <w:rsid w:val="00E35BA2"/>
    <w:rsid w:val="00E40C2C"/>
    <w:rsid w:val="00E413C8"/>
    <w:rsid w:val="00E46C64"/>
    <w:rsid w:val="00E53F99"/>
    <w:rsid w:val="00E546A4"/>
    <w:rsid w:val="00E55AF0"/>
    <w:rsid w:val="00E56259"/>
    <w:rsid w:val="00E56349"/>
    <w:rsid w:val="00E5719C"/>
    <w:rsid w:val="00E62487"/>
    <w:rsid w:val="00E62DFF"/>
    <w:rsid w:val="00E63612"/>
    <w:rsid w:val="00E65DC5"/>
    <w:rsid w:val="00E70AEE"/>
    <w:rsid w:val="00E71183"/>
    <w:rsid w:val="00E7255A"/>
    <w:rsid w:val="00E762D0"/>
    <w:rsid w:val="00E81349"/>
    <w:rsid w:val="00E84BEE"/>
    <w:rsid w:val="00E84FF3"/>
    <w:rsid w:val="00E8765E"/>
    <w:rsid w:val="00E9075C"/>
    <w:rsid w:val="00E91CBC"/>
    <w:rsid w:val="00E92252"/>
    <w:rsid w:val="00E944A1"/>
    <w:rsid w:val="00EA3214"/>
    <w:rsid w:val="00EA3A0D"/>
    <w:rsid w:val="00EA691A"/>
    <w:rsid w:val="00EB0736"/>
    <w:rsid w:val="00EB0B3D"/>
    <w:rsid w:val="00EB0FB9"/>
    <w:rsid w:val="00EB32C1"/>
    <w:rsid w:val="00EB344B"/>
    <w:rsid w:val="00EB6D04"/>
    <w:rsid w:val="00EB7C7A"/>
    <w:rsid w:val="00EC34BC"/>
    <w:rsid w:val="00EC450B"/>
    <w:rsid w:val="00EC4CC7"/>
    <w:rsid w:val="00EC7219"/>
    <w:rsid w:val="00EC7AD7"/>
    <w:rsid w:val="00ED03E7"/>
    <w:rsid w:val="00ED607C"/>
    <w:rsid w:val="00ED7F0F"/>
    <w:rsid w:val="00EE1941"/>
    <w:rsid w:val="00EE233B"/>
    <w:rsid w:val="00EE28B1"/>
    <w:rsid w:val="00EE2AC2"/>
    <w:rsid w:val="00EE37D7"/>
    <w:rsid w:val="00EE709B"/>
    <w:rsid w:val="00EF1554"/>
    <w:rsid w:val="00EF1E11"/>
    <w:rsid w:val="00EF2B1E"/>
    <w:rsid w:val="00EF3A6D"/>
    <w:rsid w:val="00EF54D8"/>
    <w:rsid w:val="00EF57AC"/>
    <w:rsid w:val="00EF5BCF"/>
    <w:rsid w:val="00EF7A5E"/>
    <w:rsid w:val="00EF7B2A"/>
    <w:rsid w:val="00F0681B"/>
    <w:rsid w:val="00F06869"/>
    <w:rsid w:val="00F13CEA"/>
    <w:rsid w:val="00F155C9"/>
    <w:rsid w:val="00F17485"/>
    <w:rsid w:val="00F17A6A"/>
    <w:rsid w:val="00F20AE5"/>
    <w:rsid w:val="00F20D1C"/>
    <w:rsid w:val="00F2110A"/>
    <w:rsid w:val="00F22D09"/>
    <w:rsid w:val="00F230DD"/>
    <w:rsid w:val="00F23629"/>
    <w:rsid w:val="00F27564"/>
    <w:rsid w:val="00F319BF"/>
    <w:rsid w:val="00F322F0"/>
    <w:rsid w:val="00F3257F"/>
    <w:rsid w:val="00F32E57"/>
    <w:rsid w:val="00F42AEB"/>
    <w:rsid w:val="00F42FC4"/>
    <w:rsid w:val="00F441BE"/>
    <w:rsid w:val="00F47A31"/>
    <w:rsid w:val="00F64C59"/>
    <w:rsid w:val="00F71C7C"/>
    <w:rsid w:val="00F72F58"/>
    <w:rsid w:val="00F80474"/>
    <w:rsid w:val="00F8307D"/>
    <w:rsid w:val="00F84BFF"/>
    <w:rsid w:val="00F84D57"/>
    <w:rsid w:val="00F86B82"/>
    <w:rsid w:val="00F9170F"/>
    <w:rsid w:val="00F9507F"/>
    <w:rsid w:val="00FA17B2"/>
    <w:rsid w:val="00FA5CF6"/>
    <w:rsid w:val="00FA686F"/>
    <w:rsid w:val="00FB3FB5"/>
    <w:rsid w:val="00FB5A5C"/>
    <w:rsid w:val="00FB61EF"/>
    <w:rsid w:val="00FB6FA8"/>
    <w:rsid w:val="00FC255F"/>
    <w:rsid w:val="00FC2678"/>
    <w:rsid w:val="00FC501F"/>
    <w:rsid w:val="00FC6EE1"/>
    <w:rsid w:val="00FD18B2"/>
    <w:rsid w:val="00FD3AF2"/>
    <w:rsid w:val="00FD7D0C"/>
    <w:rsid w:val="00FE2A3B"/>
    <w:rsid w:val="00FE2BB4"/>
    <w:rsid w:val="00FE2F7F"/>
    <w:rsid w:val="00FE3CC6"/>
    <w:rsid w:val="00FE5691"/>
    <w:rsid w:val="00FF2A83"/>
    <w:rsid w:val="00FF5DD5"/>
    <w:rsid w:val="00FF688C"/>
    <w:rsid w:val="00FF7819"/>
    <w:rsid w:val="00FF7EE4"/>
    <w:rsid w:val="01FDD292"/>
    <w:rsid w:val="03343D49"/>
    <w:rsid w:val="03ABFBC1"/>
    <w:rsid w:val="03FB6761"/>
    <w:rsid w:val="04A842DD"/>
    <w:rsid w:val="07A5CA34"/>
    <w:rsid w:val="0879D5AE"/>
    <w:rsid w:val="08C96EF0"/>
    <w:rsid w:val="0B20F9A4"/>
    <w:rsid w:val="0CD6C8E2"/>
    <w:rsid w:val="0D1B25FC"/>
    <w:rsid w:val="0D458C1C"/>
    <w:rsid w:val="0E0CDA7D"/>
    <w:rsid w:val="0EF774F8"/>
    <w:rsid w:val="10B9CCE1"/>
    <w:rsid w:val="118E25D2"/>
    <w:rsid w:val="14B88DC5"/>
    <w:rsid w:val="153FD142"/>
    <w:rsid w:val="16400262"/>
    <w:rsid w:val="168BB1CA"/>
    <w:rsid w:val="16DD5E9A"/>
    <w:rsid w:val="190D0892"/>
    <w:rsid w:val="1985E77A"/>
    <w:rsid w:val="1A9E3202"/>
    <w:rsid w:val="1D415E47"/>
    <w:rsid w:val="1D9EDDA9"/>
    <w:rsid w:val="1F86CAFA"/>
    <w:rsid w:val="214B9DC9"/>
    <w:rsid w:val="2302CB33"/>
    <w:rsid w:val="240ED094"/>
    <w:rsid w:val="246FF141"/>
    <w:rsid w:val="26A87E29"/>
    <w:rsid w:val="270BE237"/>
    <w:rsid w:val="289D53CC"/>
    <w:rsid w:val="292F0F01"/>
    <w:rsid w:val="299E2144"/>
    <w:rsid w:val="2A81308F"/>
    <w:rsid w:val="2AE38681"/>
    <w:rsid w:val="2B081428"/>
    <w:rsid w:val="2B3B09B8"/>
    <w:rsid w:val="2B9EEE33"/>
    <w:rsid w:val="2BFBABBE"/>
    <w:rsid w:val="2CF1DEE6"/>
    <w:rsid w:val="2CF63441"/>
    <w:rsid w:val="2D960BA9"/>
    <w:rsid w:val="300921B9"/>
    <w:rsid w:val="3014E9D1"/>
    <w:rsid w:val="30DC9912"/>
    <w:rsid w:val="3152AA26"/>
    <w:rsid w:val="31987144"/>
    <w:rsid w:val="320C096E"/>
    <w:rsid w:val="3345A429"/>
    <w:rsid w:val="3365DF7D"/>
    <w:rsid w:val="338AD733"/>
    <w:rsid w:val="348624F1"/>
    <w:rsid w:val="369DDED0"/>
    <w:rsid w:val="371064C4"/>
    <w:rsid w:val="39788F36"/>
    <w:rsid w:val="3BEFD102"/>
    <w:rsid w:val="3D31C50C"/>
    <w:rsid w:val="40B91A68"/>
    <w:rsid w:val="40FA4FF1"/>
    <w:rsid w:val="42A044BE"/>
    <w:rsid w:val="42E39FD1"/>
    <w:rsid w:val="43FBFF56"/>
    <w:rsid w:val="43FFB094"/>
    <w:rsid w:val="44A4249E"/>
    <w:rsid w:val="45101BF9"/>
    <w:rsid w:val="464B9401"/>
    <w:rsid w:val="4CC560BF"/>
    <w:rsid w:val="4D04151A"/>
    <w:rsid w:val="4D54D746"/>
    <w:rsid w:val="4E0EF0D1"/>
    <w:rsid w:val="4E412C67"/>
    <w:rsid w:val="4F4DC1C5"/>
    <w:rsid w:val="4F5D6062"/>
    <w:rsid w:val="4FF5D099"/>
    <w:rsid w:val="5348577F"/>
    <w:rsid w:val="5441D815"/>
    <w:rsid w:val="575579AB"/>
    <w:rsid w:val="58679F10"/>
    <w:rsid w:val="59C908CE"/>
    <w:rsid w:val="5B6B783E"/>
    <w:rsid w:val="5BCA9AF6"/>
    <w:rsid w:val="5DDEE69A"/>
    <w:rsid w:val="5EE16208"/>
    <w:rsid w:val="5FB826F7"/>
    <w:rsid w:val="601A1D0B"/>
    <w:rsid w:val="63232560"/>
    <w:rsid w:val="6339AB16"/>
    <w:rsid w:val="63F757F1"/>
    <w:rsid w:val="64551E2C"/>
    <w:rsid w:val="6495636B"/>
    <w:rsid w:val="679146BB"/>
    <w:rsid w:val="686C4CBA"/>
    <w:rsid w:val="6A310B7F"/>
    <w:rsid w:val="6A5C6F67"/>
    <w:rsid w:val="6A61E10E"/>
    <w:rsid w:val="6C9DD8CB"/>
    <w:rsid w:val="6CB88AED"/>
    <w:rsid w:val="6D249D3F"/>
    <w:rsid w:val="6E9F620F"/>
    <w:rsid w:val="6F99D76B"/>
    <w:rsid w:val="703110F8"/>
    <w:rsid w:val="70DB41FD"/>
    <w:rsid w:val="70DE2D26"/>
    <w:rsid w:val="712F303C"/>
    <w:rsid w:val="72B7E760"/>
    <w:rsid w:val="73AD4C73"/>
    <w:rsid w:val="73DAC2B2"/>
    <w:rsid w:val="7601EEAE"/>
    <w:rsid w:val="7633D172"/>
    <w:rsid w:val="775121DD"/>
    <w:rsid w:val="77FD9B55"/>
    <w:rsid w:val="79C8B336"/>
    <w:rsid w:val="79D4427B"/>
    <w:rsid w:val="7BD595DF"/>
    <w:rsid w:val="7D2F853A"/>
    <w:rsid w:val="7E4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9C92C"/>
  <w15:docId w15:val="{AF88F489-87E0-435D-AE57-237A7033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F8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2DB"/>
    <w:pPr>
      <w:keepNext/>
      <w:keepLines/>
      <w:spacing w:before="120" w:after="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C15"/>
    <w:pPr>
      <w:keepNext/>
      <w:keepLines/>
      <w:spacing w:before="200" w:after="100" w:afterAutospacing="1"/>
      <w:outlineLvl w:val="1"/>
    </w:pPr>
    <w:rPr>
      <w:rFonts w:eastAsiaTheme="majorEastAsia" w:cstheme="minorHAns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851"/>
    <w:pPr>
      <w:spacing w:before="100" w:beforeAutospacing="1" w:after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3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3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7A5D36"/>
    <w:rPr>
      <w:color w:val="0000FF" w:themeColor="hyperlink"/>
      <w:u w:val="single"/>
    </w:rPr>
  </w:style>
  <w:style w:type="paragraph" w:customStyle="1" w:styleId="Footerpage1">
    <w:name w:val="Footer page 1"/>
    <w:rsid w:val="007A5D36"/>
    <w:pPr>
      <w:spacing w:line="240" w:lineRule="auto"/>
      <w:ind w:left="-754"/>
      <w:contextualSpacing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42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C30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30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312DB"/>
    <w:rPr>
      <w:rFonts w:eastAsiaTheme="majorEastAsia" w:cstheme="minorHAnsi"/>
      <w:b/>
      <w:bCs/>
      <w:sz w:val="28"/>
      <w:szCs w:val="2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214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A32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3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21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14"/>
    <w:rPr>
      <w:rFonts w:eastAsiaTheme="minorEastAsia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14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51C15"/>
    <w:rPr>
      <w:rFonts w:eastAsiaTheme="majorEastAsia" w:cstheme="minorHAnsi"/>
      <w:bCs/>
      <w:i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10851"/>
    <w:rPr>
      <w:rFonts w:eastAsiaTheme="minorEastAsia"/>
      <w:b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0796F"/>
    <w:rPr>
      <w:color w:val="605E5C"/>
      <w:shd w:val="clear" w:color="auto" w:fill="E1DFDD"/>
    </w:rPr>
  </w:style>
  <w:style w:type="paragraph" w:customStyle="1" w:styleId="BodyText1">
    <w:name w:val="Body Text1"/>
    <w:basedOn w:val="Normal"/>
    <w:qFormat/>
    <w:rsid w:val="00940C92"/>
    <w:rPr>
      <w:rFonts w:ascii="Arial" w:eastAsia="Calibri" w:hAnsi="Arial" w:cs="Arial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6E6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65181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veyoursay@acma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ma.gov.au/sites/default/files/2020-10/ACMA-submission-to-Consumer-Safeguards-Review-Part-C.pdf" TargetMode="External"/><Relationship Id="rId3" Type="http://schemas.openxmlformats.org/officeDocument/2006/relationships/hyperlink" Target="https://www.acma.gov.au/articles/2021-11/telco-breaches-new-network-infrastructure-rules-failing-publish-terms-and-conditions" TargetMode="External"/><Relationship Id="rId7" Type="http://schemas.openxmlformats.org/officeDocument/2006/relationships/hyperlink" Target="https://www.tio.com.au/complaints/what-we-can-help-with" TargetMode="External"/><Relationship Id="rId2" Type="http://schemas.openxmlformats.org/officeDocument/2006/relationships/hyperlink" Target="https://www.acma.gov.au/infringement-notices-breaking-telco-rules" TargetMode="External"/><Relationship Id="rId1" Type="http://schemas.openxmlformats.org/officeDocument/2006/relationships/hyperlink" Target="https://www.acma.gov.au/sites/default/files/2019-06/Regulatory-guide-No-4-Remedial-Directions.pdf" TargetMode="External"/><Relationship Id="rId6" Type="http://schemas.openxmlformats.org/officeDocument/2006/relationships/hyperlink" Target="https://www.legislation.gov.au/Details/C2021C00558/" TargetMode="External"/><Relationship Id="rId5" Type="http://schemas.openxmlformats.org/officeDocument/2006/relationships/hyperlink" Target="https://accan.org.au/our-work/submissions/1676-response-to-proposed-changes-to-international-mobile-roaming-regulations" TargetMode="External"/><Relationship Id="rId10" Type="http://schemas.openxmlformats.org/officeDocument/2006/relationships/hyperlink" Target="https://www.accc.gov.au/system/files/ACCC%20submission%20to%20Part%20C%20of%20the%20Consumer%20Safeguards%20Review%20-%20September%202020.pdf" TargetMode="External"/><Relationship Id="rId4" Type="http://schemas.openxmlformats.org/officeDocument/2006/relationships/hyperlink" Target="https://www.infrastructure.gov.au/sites/default/files/submissions/csr-part-c-accan-response-to-consumer-safeguards-review-part-c-choice-and-fairness.pdf" TargetMode="External"/><Relationship Id="rId9" Type="http://schemas.openxmlformats.org/officeDocument/2006/relationships/hyperlink" Target="https://www.legislation.gov.au/Details/F2012L002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fa1a33-c191-48ee-b288-192490d33fec">
      <UserInfo>
        <DisplayName>Rebekah Sarkoezy</DisplayName>
        <AccountId>16</AccountId>
        <AccountType/>
      </UserInfo>
      <UserInfo>
        <DisplayName>Meredith Lea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F4F94-1AF4-4521-991E-7AE5BA2A5212}">
  <ds:schemaRefs>
    <ds:schemaRef ds:uri="http://schemas.microsoft.com/office/2006/metadata/properties"/>
    <ds:schemaRef ds:uri="http://schemas.microsoft.com/office/infopath/2007/PartnerControls"/>
    <ds:schemaRef ds:uri="2afa1a33-c191-48ee-b288-192490d33fec"/>
  </ds:schemaRefs>
</ds:datastoreItem>
</file>

<file path=customXml/itemProps2.xml><?xml version="1.0" encoding="utf-8"?>
<ds:datastoreItem xmlns:ds="http://schemas.openxmlformats.org/officeDocument/2006/customXml" ds:itemID="{C6C21FB9-1321-4B4B-A22E-45DA56E9F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0EADF-B74E-4262-8D85-D9588AD9FF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51A666-5A32-436E-BAA7-85CE70A76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Links>
    <vt:vector size="66" baseType="variant">
      <vt:variant>
        <vt:i4>7077888</vt:i4>
      </vt:variant>
      <vt:variant>
        <vt:i4>0</vt:i4>
      </vt:variant>
      <vt:variant>
        <vt:i4>0</vt:i4>
      </vt:variant>
      <vt:variant>
        <vt:i4>5</vt:i4>
      </vt:variant>
      <vt:variant>
        <vt:lpwstr>mailto:haveyoursay@acma.gov.au</vt:lpwstr>
      </vt:variant>
      <vt:variant>
        <vt:lpwstr/>
      </vt:variant>
      <vt:variant>
        <vt:i4>5963786</vt:i4>
      </vt:variant>
      <vt:variant>
        <vt:i4>30</vt:i4>
      </vt:variant>
      <vt:variant>
        <vt:i4>0</vt:i4>
      </vt:variant>
      <vt:variant>
        <vt:i4>5</vt:i4>
      </vt:variant>
      <vt:variant>
        <vt:lpwstr>https://www.accc.gov.au/system/files/ACCC submission to Part C of the Consumer Safeguards Review - September 2020.pdf</vt:lpwstr>
      </vt:variant>
      <vt:variant>
        <vt:lpwstr/>
      </vt:variant>
      <vt:variant>
        <vt:i4>7798826</vt:i4>
      </vt:variant>
      <vt:variant>
        <vt:i4>27</vt:i4>
      </vt:variant>
      <vt:variant>
        <vt:i4>0</vt:i4>
      </vt:variant>
      <vt:variant>
        <vt:i4>5</vt:i4>
      </vt:variant>
      <vt:variant>
        <vt:lpwstr>https://www.legislation.gov.au/Details/F2012L00232</vt:lpwstr>
      </vt:variant>
      <vt:variant>
        <vt:lpwstr/>
      </vt:variant>
      <vt:variant>
        <vt:i4>262166</vt:i4>
      </vt:variant>
      <vt:variant>
        <vt:i4>24</vt:i4>
      </vt:variant>
      <vt:variant>
        <vt:i4>0</vt:i4>
      </vt:variant>
      <vt:variant>
        <vt:i4>5</vt:i4>
      </vt:variant>
      <vt:variant>
        <vt:lpwstr>https://www.acma.gov.au/sites/default/files/2020-10/ACMA-submission-to-Consumer-Safeguards-Review-Part-C.pdf</vt:lpwstr>
      </vt:variant>
      <vt:variant>
        <vt:lpwstr/>
      </vt:variant>
      <vt:variant>
        <vt:i4>2359357</vt:i4>
      </vt:variant>
      <vt:variant>
        <vt:i4>21</vt:i4>
      </vt:variant>
      <vt:variant>
        <vt:i4>0</vt:i4>
      </vt:variant>
      <vt:variant>
        <vt:i4>5</vt:i4>
      </vt:variant>
      <vt:variant>
        <vt:lpwstr>https://www.tio.com.au/complaints/what-we-can-help-with</vt:lpwstr>
      </vt:variant>
      <vt:variant>
        <vt:lpwstr>:~:text=Your%20complaint%20should%20be%20about,unsure%20if%20we%20can%20help</vt:lpwstr>
      </vt:variant>
      <vt:variant>
        <vt:i4>8126496</vt:i4>
      </vt:variant>
      <vt:variant>
        <vt:i4>18</vt:i4>
      </vt:variant>
      <vt:variant>
        <vt:i4>0</vt:i4>
      </vt:variant>
      <vt:variant>
        <vt:i4>5</vt:i4>
      </vt:variant>
      <vt:variant>
        <vt:lpwstr>https://www.legislation.gov.au/Details/C2021C00558/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https://accan.org.au/our-work/submissions/1676-response-to-proposed-changes-to-international-mobile-roaming-regulations</vt:lpwstr>
      </vt:variant>
      <vt:variant>
        <vt:lpwstr/>
      </vt:variant>
      <vt:variant>
        <vt:i4>917576</vt:i4>
      </vt:variant>
      <vt:variant>
        <vt:i4>9</vt:i4>
      </vt:variant>
      <vt:variant>
        <vt:i4>0</vt:i4>
      </vt:variant>
      <vt:variant>
        <vt:i4>5</vt:i4>
      </vt:variant>
      <vt:variant>
        <vt:lpwstr>https://www.infrastructure.gov.au/sites/default/files/submissions/csr-part-c-accan-response-to-consumer-safeguards-review-part-c-choice-and-fairness.pdf</vt:lpwstr>
      </vt:variant>
      <vt:variant>
        <vt:lpwstr/>
      </vt:variant>
      <vt:variant>
        <vt:i4>5308503</vt:i4>
      </vt:variant>
      <vt:variant>
        <vt:i4>6</vt:i4>
      </vt:variant>
      <vt:variant>
        <vt:i4>0</vt:i4>
      </vt:variant>
      <vt:variant>
        <vt:i4>5</vt:i4>
      </vt:variant>
      <vt:variant>
        <vt:lpwstr>https://www.acma.gov.au/articles/2021-11/telco-breaches-new-network-infrastructure-rules-failing-publish-terms-and-conditions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https://www.acma.gov.au/infringement-notices-breaking-telco-rules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https://www.acma.gov.au/sites/default/files/2019-06/Regulatory-guide-No-4-Remedial-Directions.pdf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Sarkoezy</dc:creator>
  <cp:keywords/>
  <cp:lastModifiedBy>Meredith Lea</cp:lastModifiedBy>
  <cp:revision>362</cp:revision>
  <cp:lastPrinted>2021-08-21T04:33:00Z</cp:lastPrinted>
  <dcterms:created xsi:type="dcterms:W3CDTF">2021-08-20T11:32:00Z</dcterms:created>
  <dcterms:modified xsi:type="dcterms:W3CDTF">2022-01-31T05:26:00Z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