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80B97" w14:textId="18C5CF41" w:rsidR="00BB3EC8" w:rsidRPr="00AD35E1" w:rsidRDefault="00BB3EC8" w:rsidP="00BB3EC8">
      <w:pPr>
        <w:pStyle w:val="Letterhead1"/>
      </w:pPr>
      <w:bookmarkStart w:id="0" w:name="_Hlk95835868"/>
      <w:r w:rsidRPr="00AD35E1">
        <w:rPr>
          <w:noProof/>
        </w:rPr>
        <w:drawing>
          <wp:anchor distT="0" distB="0" distL="114300" distR="114300" simplePos="0" relativeHeight="251658244" behindDoc="1" locked="0" layoutInCell="1" allowOverlap="1" wp14:anchorId="510F0B67" wp14:editId="493556B8">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sidRPr="00AD35E1">
        <w:rPr>
          <w:noProof/>
        </w:rPr>
        <w:drawing>
          <wp:anchor distT="0" distB="0" distL="114300" distR="114300" simplePos="0" relativeHeight="251658245" behindDoc="0" locked="0" layoutInCell="1" allowOverlap="1" wp14:anchorId="1E4CA4B1" wp14:editId="7D56D797">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AD35E1">
        <w:rPr>
          <w:noProof/>
        </w:rPr>
        <w:drawing>
          <wp:anchor distT="0" distB="0" distL="114300" distR="114300" simplePos="0" relativeHeight="251658246" behindDoc="0" locked="0" layoutInCell="1" allowOverlap="1" wp14:anchorId="0799AC07" wp14:editId="2D6938E0">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AD35E1">
        <w:rPr>
          <w:noProof/>
        </w:rPr>
        <w:drawing>
          <wp:anchor distT="0" distB="0" distL="114300" distR="114300" simplePos="0" relativeHeight="251658243" behindDoc="0" locked="0" layoutInCell="1" allowOverlap="1" wp14:anchorId="38B7A2EC" wp14:editId="77F1FE63">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AD35E1">
        <w:rPr>
          <w:noProof/>
        </w:rPr>
        <w:drawing>
          <wp:anchor distT="0" distB="0" distL="114300" distR="114300" simplePos="0" relativeHeight="251658242" behindDoc="0" locked="0" layoutInCell="1" allowOverlap="1" wp14:anchorId="19B9272F" wp14:editId="6F20FC6E">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rsidRPr="00AD35E1">
        <w:t>www.accan.org.au</w:t>
      </w:r>
    </w:p>
    <w:p w14:paraId="45F1A1EE" w14:textId="77777777" w:rsidR="00BB3EC8" w:rsidRPr="00AD35E1" w:rsidRDefault="00BB3EC8" w:rsidP="00BB3EC8">
      <w:pPr>
        <w:pStyle w:val="Letterhead1"/>
      </w:pPr>
      <w:r w:rsidRPr="00AD35E1">
        <w:t>info@accan.org.au</w:t>
      </w:r>
    </w:p>
    <w:p w14:paraId="61DE0DE3" w14:textId="77777777" w:rsidR="00BB3EC8" w:rsidRPr="00AD35E1" w:rsidRDefault="00BB3EC8" w:rsidP="00BB3EC8">
      <w:pPr>
        <w:pStyle w:val="Letterhead1"/>
      </w:pPr>
      <w:r w:rsidRPr="00AD35E1">
        <w:t>02 9288 4000</w:t>
      </w:r>
    </w:p>
    <w:p w14:paraId="1EC7A2EC" w14:textId="77777777" w:rsidR="000D3021" w:rsidRPr="00AD35E1" w:rsidRDefault="000D3021" w:rsidP="000D3021">
      <w:pPr>
        <w:tabs>
          <w:tab w:val="left" w:pos="3855"/>
        </w:tabs>
        <w:rPr>
          <w:rFonts w:ascii="Gotham" w:hAnsi="Gotham"/>
          <w:b/>
          <w:bCs/>
        </w:rPr>
      </w:pPr>
      <w:r w:rsidRPr="00AD35E1">
        <w:rPr>
          <w:noProof/>
        </w:rPr>
        <mc:AlternateContent>
          <mc:Choice Requires="wps">
            <w:drawing>
              <wp:anchor distT="0" distB="0" distL="114300" distR="114300" simplePos="0" relativeHeight="251658241" behindDoc="1" locked="0" layoutInCell="1" allowOverlap="1" wp14:anchorId="5F80F74E" wp14:editId="719C422D">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14F39AA4"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BC1E8F6" w14:textId="77777777" w:rsidR="00B47285" w:rsidRPr="00AD35E1" w:rsidRDefault="00B47285" w:rsidP="00B47285">
      <w:pPr>
        <w:tabs>
          <w:tab w:val="left" w:pos="3855"/>
        </w:tabs>
        <w:rPr>
          <w:rFonts w:ascii="Gotham" w:hAnsi="Gotham"/>
          <w:b/>
          <w:bCs/>
        </w:rPr>
      </w:pPr>
      <w:r w:rsidRPr="00AD35E1">
        <w:rPr>
          <w:noProof/>
        </w:rPr>
        <mc:AlternateContent>
          <mc:Choice Requires="wps">
            <w:drawing>
              <wp:anchor distT="0" distB="0" distL="114300" distR="114300" simplePos="0" relativeHeight="251658240" behindDoc="1" locked="0" layoutInCell="1" allowOverlap="1" wp14:anchorId="12A3A632" wp14:editId="2B2B8AB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36CF9A93"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09130C2C" w14:textId="004DA50A" w:rsidR="00F45BDC" w:rsidRPr="00AD35E1" w:rsidRDefault="008912FE" w:rsidP="00AA7049">
      <w:pPr>
        <w:tabs>
          <w:tab w:val="right" w:pos="9026"/>
        </w:tabs>
        <w:rPr>
          <w:rFonts w:ascii="Gotham Black" w:hAnsi="Gotham Black"/>
          <w:color w:val="43C7F4"/>
          <w:sz w:val="36"/>
          <w:szCs w:val="36"/>
        </w:rPr>
      </w:pPr>
      <w:r w:rsidRPr="00AD35E1">
        <w:rPr>
          <w:rFonts w:ascii="Gotham Black" w:hAnsi="Gotham Black"/>
          <w:color w:val="44C7F4"/>
          <w:sz w:val="36"/>
          <w:szCs w:val="36"/>
        </w:rPr>
        <w:t>Submission</w:t>
      </w:r>
      <w:r w:rsidR="00F45BDC" w:rsidRPr="00AD35E1">
        <w:rPr>
          <w:rFonts w:ascii="Gotham Black" w:hAnsi="Gotham Black"/>
          <w:color w:val="44C7F4"/>
          <w:sz w:val="36"/>
          <w:szCs w:val="36"/>
        </w:rPr>
        <w:tab/>
      </w:r>
      <w:r w:rsidR="00C26085" w:rsidRPr="00AD35E1">
        <w:rPr>
          <w:rFonts w:ascii="Gotham" w:hAnsi="Gotham"/>
          <w:b/>
          <w:bCs/>
        </w:rPr>
        <w:t>1</w:t>
      </w:r>
      <w:r w:rsidR="005B344F">
        <w:rPr>
          <w:rFonts w:ascii="Gotham" w:hAnsi="Gotham"/>
          <w:b/>
          <w:bCs/>
        </w:rPr>
        <w:t>5</w:t>
      </w:r>
      <w:r w:rsidR="00C26085" w:rsidRPr="00AD35E1">
        <w:rPr>
          <w:rFonts w:ascii="Gotham" w:hAnsi="Gotham"/>
          <w:b/>
          <w:bCs/>
        </w:rPr>
        <w:t xml:space="preserve"> July 2022</w:t>
      </w:r>
    </w:p>
    <w:bookmarkEnd w:id="0"/>
    <w:p w14:paraId="3AC6AF8E" w14:textId="77777777" w:rsidR="00771AA7" w:rsidRPr="00AD35E1" w:rsidRDefault="00771AA7" w:rsidP="006B1CBA"/>
    <w:p w14:paraId="73499D92" w14:textId="71BEE157" w:rsidR="009518F7" w:rsidRPr="00AD35E1" w:rsidRDefault="003053E5" w:rsidP="00C81175">
      <w:pPr>
        <w:pStyle w:val="Title"/>
        <w:jc w:val="center"/>
        <w:rPr>
          <w:lang w:val="en-AU"/>
        </w:rPr>
      </w:pPr>
      <w:bookmarkStart w:id="1" w:name="_Toc106962897"/>
      <w:bookmarkStart w:id="2" w:name="_Toc107499904"/>
      <w:bookmarkStart w:id="3" w:name="_Toc108165443"/>
      <w:r w:rsidRPr="00AD35E1">
        <w:rPr>
          <w:lang w:val="en-AU"/>
        </w:rPr>
        <w:t>Australian Code of Practice on M</w:t>
      </w:r>
      <w:r w:rsidR="00C26085" w:rsidRPr="00AD35E1">
        <w:rPr>
          <w:lang w:val="en-AU"/>
        </w:rPr>
        <w:t>isinformation and Disinformation</w:t>
      </w:r>
      <w:r w:rsidR="00656B6C" w:rsidRPr="00AD35E1">
        <w:rPr>
          <w:lang w:val="en-AU"/>
        </w:rPr>
        <w:t xml:space="preserve"> |</w:t>
      </w:r>
      <w:r w:rsidR="00C26085" w:rsidRPr="00AD35E1">
        <w:rPr>
          <w:lang w:val="en-AU"/>
        </w:rPr>
        <w:t xml:space="preserve"> 2022 Review Discussion Paper</w:t>
      </w:r>
      <w:bookmarkEnd w:id="1"/>
      <w:bookmarkEnd w:id="2"/>
      <w:bookmarkEnd w:id="3"/>
    </w:p>
    <w:p w14:paraId="6A2ED2B6" w14:textId="1693972D" w:rsidR="008B6A77" w:rsidRPr="00AD35E1" w:rsidRDefault="008B6A77" w:rsidP="00771AA7">
      <w:pPr>
        <w:pStyle w:val="Heading1"/>
        <w:jc w:val="center"/>
      </w:pPr>
      <w:bookmarkStart w:id="4" w:name="_Toc99975355"/>
      <w:bookmarkStart w:id="5" w:name="_Toc99975401"/>
      <w:bookmarkStart w:id="6" w:name="_Toc99975438"/>
      <w:bookmarkStart w:id="7" w:name="_Toc99975451"/>
      <w:bookmarkStart w:id="8" w:name="_Toc99975568"/>
      <w:bookmarkStart w:id="9" w:name="_Toc106962898"/>
      <w:bookmarkStart w:id="10" w:name="_Toc107499905"/>
      <w:bookmarkStart w:id="11" w:name="_Toc108165444"/>
      <w:r w:rsidRPr="00AD35E1">
        <w:t xml:space="preserve">Submission by the Australian Communications Consumer Action Network </w:t>
      </w:r>
      <w:r w:rsidR="0012556A" w:rsidRPr="00AD35E1">
        <w:t xml:space="preserve">(ACCAN) </w:t>
      </w:r>
      <w:r w:rsidRPr="00AD35E1">
        <w:t xml:space="preserve">to </w:t>
      </w:r>
      <w:bookmarkEnd w:id="4"/>
      <w:bookmarkEnd w:id="5"/>
      <w:bookmarkEnd w:id="6"/>
      <w:bookmarkEnd w:id="7"/>
      <w:bookmarkEnd w:id="8"/>
      <w:r w:rsidR="00C26085" w:rsidRPr="00AD35E1">
        <w:t>Digital Industry Group Inc.</w:t>
      </w:r>
      <w:bookmarkEnd w:id="9"/>
      <w:bookmarkEnd w:id="10"/>
      <w:r w:rsidR="002D57FE" w:rsidRPr="00AD35E1">
        <w:t xml:space="preserve"> (DIGI)</w:t>
      </w:r>
      <w:bookmarkEnd w:id="11"/>
    </w:p>
    <w:p w14:paraId="4FD0B005" w14:textId="77777777" w:rsidR="00FA40F3" w:rsidRPr="00AD35E1" w:rsidRDefault="00FA40F3" w:rsidP="00FA40F3"/>
    <w:p w14:paraId="215686E1" w14:textId="77777777" w:rsidR="00E95EF3" w:rsidRPr="00AD35E1" w:rsidRDefault="00E95EF3" w:rsidP="006B1CBA">
      <w:pPr>
        <w:rPr>
          <w:lang w:eastAsia="en-US"/>
        </w:rPr>
      </w:pPr>
    </w:p>
    <w:p w14:paraId="0F813BC2" w14:textId="77777777" w:rsidR="00A761CF" w:rsidRPr="00AD35E1" w:rsidRDefault="00A761CF" w:rsidP="006B1CBA">
      <w:r w:rsidRPr="00AD35E1">
        <w:br w:type="page"/>
      </w:r>
    </w:p>
    <w:p w14:paraId="6BDE4908" w14:textId="77777777" w:rsidR="00B41CA8" w:rsidRPr="00AD35E1" w:rsidRDefault="00B41CA8" w:rsidP="00B41CA8">
      <w:pPr>
        <w:spacing w:before="100" w:beforeAutospacing="1" w:after="100" w:afterAutospacing="1" w:line="240" w:lineRule="auto"/>
        <w:rPr>
          <w:rFonts w:ascii="Calibri" w:eastAsia="MS Mincho" w:hAnsi="Calibri" w:cs="Arial"/>
          <w:b/>
        </w:rPr>
      </w:pPr>
      <w:r w:rsidRPr="00AD35E1">
        <w:rPr>
          <w:rFonts w:ascii="Calibri" w:eastAsia="MS Mincho" w:hAnsi="Calibri" w:cs="Arial"/>
          <w:b/>
        </w:rPr>
        <w:lastRenderedPageBreak/>
        <w:t xml:space="preserve">About ACCAN </w:t>
      </w:r>
    </w:p>
    <w:p w14:paraId="49A4A3A7" w14:textId="77777777" w:rsidR="00B41CA8" w:rsidRPr="00AD35E1" w:rsidRDefault="00B41CA8" w:rsidP="005537B6">
      <w:r w:rsidRPr="00AD35E1">
        <w:t>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4C271F4D" w14:textId="77777777" w:rsidR="00B41CA8" w:rsidRPr="00AD35E1" w:rsidRDefault="00B41CA8" w:rsidP="005537B6">
      <w:r w:rsidRPr="00AD35E1">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14:paraId="13E89A74" w14:textId="77777777" w:rsidR="00B41CA8" w:rsidRPr="00AD35E1" w:rsidRDefault="00B41CA8" w:rsidP="00B41CA8">
      <w:pPr>
        <w:spacing w:before="100" w:beforeAutospacing="1" w:after="100" w:afterAutospacing="1" w:line="240" w:lineRule="auto"/>
        <w:rPr>
          <w:rFonts w:ascii="Calibri" w:eastAsia="MS Mincho" w:hAnsi="Calibri" w:cs="Arial"/>
          <w:b/>
        </w:rPr>
      </w:pPr>
      <w:r w:rsidRPr="00AD35E1">
        <w:rPr>
          <w:rFonts w:ascii="Calibri" w:eastAsia="MS Mincho" w:hAnsi="Calibri" w:cs="Arial"/>
          <w:b/>
        </w:rPr>
        <w:t>Contact</w:t>
      </w:r>
    </w:p>
    <w:p w14:paraId="5D7A0092" w14:textId="77777777" w:rsidR="00667345" w:rsidRPr="00AD35E1" w:rsidRDefault="007D26A2" w:rsidP="00667345">
      <w:r w:rsidRPr="00AD35E1">
        <w:t>Samuel Kininmonth</w:t>
      </w:r>
    </w:p>
    <w:p w14:paraId="2C74D63A" w14:textId="77777777" w:rsidR="007D26A2" w:rsidRPr="00AD35E1" w:rsidRDefault="007D26A2" w:rsidP="00667345">
      <w:r w:rsidRPr="00AD35E1">
        <w:t>Policy Officer</w:t>
      </w:r>
    </w:p>
    <w:p w14:paraId="194B4C35" w14:textId="77777777" w:rsidR="00B41CA8" w:rsidRPr="00AD35E1" w:rsidRDefault="00B41CA8" w:rsidP="005537B6">
      <w:r w:rsidRPr="00AD35E1">
        <w:t>PO Box A1158</w:t>
      </w:r>
      <w:r w:rsidR="005537B6" w:rsidRPr="00AD35E1">
        <w:br/>
      </w:r>
      <w:r w:rsidRPr="00AD35E1">
        <w:t>Sydney South NSW 1235</w:t>
      </w:r>
      <w:r w:rsidRPr="00AD35E1">
        <w:br/>
        <w:t xml:space="preserve">Email: </w:t>
      </w:r>
      <w:hyperlink r:id="rId21" w:history="1">
        <w:r w:rsidRPr="00AD35E1">
          <w:rPr>
            <w:color w:val="0000FF"/>
            <w:u w:val="single"/>
          </w:rPr>
          <w:t>info@accan.org.au</w:t>
        </w:r>
      </w:hyperlink>
      <w:r w:rsidRPr="00AD35E1">
        <w:rPr>
          <w:color w:val="0000FF"/>
          <w:u w:val="single"/>
        </w:rPr>
        <w:br/>
      </w:r>
      <w:r w:rsidRPr="00AD35E1">
        <w:t>Phone: (02) 9288 4000</w:t>
      </w:r>
      <w:r w:rsidRPr="00AD35E1">
        <w:br/>
        <w:t>Fax: (02) 9288 4019</w:t>
      </w:r>
      <w:r w:rsidRPr="00AD35E1">
        <w:br/>
        <w:t xml:space="preserve">Contact us through the </w:t>
      </w:r>
      <w:hyperlink r:id="rId22" w:history="1">
        <w:r w:rsidRPr="00AD35E1">
          <w:rPr>
            <w:color w:val="0000FF"/>
            <w:u w:val="single"/>
          </w:rPr>
          <w:t>National Relay Service</w:t>
        </w:r>
      </w:hyperlink>
    </w:p>
    <w:p w14:paraId="78B75E9F" w14:textId="77777777" w:rsidR="000547D7" w:rsidRPr="00AD35E1" w:rsidRDefault="000547D7">
      <w:r w:rsidRPr="00AD35E1">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067D4D13" w14:textId="77777777" w:rsidR="0090124B" w:rsidRDefault="00B41CA8" w:rsidP="009235EF">
          <w:pPr>
            <w:rPr>
              <w:noProof/>
            </w:rPr>
          </w:pPr>
          <w:r w:rsidRPr="00AD35E1">
            <w:rPr>
              <w:rStyle w:val="TitleChar"/>
              <w:lang w:val="en-AU"/>
            </w:rPr>
            <w:t>Contents</w:t>
          </w:r>
          <w:r w:rsidRPr="00AD35E1">
            <w:rPr>
              <w:rFonts w:ascii="Calibri" w:eastAsia="MS Mincho" w:hAnsi="Calibri" w:cs="Arial"/>
            </w:rPr>
            <w:fldChar w:fldCharType="begin"/>
          </w:r>
          <w:r w:rsidRPr="00AD35E1">
            <w:rPr>
              <w:rFonts w:ascii="Calibri" w:eastAsia="MS Mincho" w:hAnsi="Calibri" w:cs="Arial"/>
            </w:rPr>
            <w:instrText xml:space="preserve"> TOC \o "1-1" \h \z \u </w:instrText>
          </w:r>
          <w:r w:rsidRPr="00AD35E1">
            <w:rPr>
              <w:rFonts w:ascii="Calibri" w:eastAsia="MS Mincho" w:hAnsi="Calibri" w:cs="Arial"/>
            </w:rPr>
            <w:fldChar w:fldCharType="separate"/>
          </w:r>
        </w:p>
        <w:p w14:paraId="388CAFD8" w14:textId="19028DE1" w:rsidR="0090124B" w:rsidRDefault="00492B1E">
          <w:pPr>
            <w:pStyle w:val="TOC1"/>
            <w:tabs>
              <w:tab w:val="right" w:leader="dot" w:pos="9016"/>
            </w:tabs>
            <w:rPr>
              <w:noProof/>
            </w:rPr>
          </w:pPr>
          <w:hyperlink w:anchor="_Toc108165445" w:history="1">
            <w:r w:rsidR="0090124B" w:rsidRPr="00F11D06">
              <w:rPr>
                <w:rStyle w:val="Hyperlink"/>
                <w:noProof/>
              </w:rPr>
              <w:t>Introduction</w:t>
            </w:r>
            <w:r w:rsidR="0090124B">
              <w:rPr>
                <w:noProof/>
                <w:webHidden/>
              </w:rPr>
              <w:tab/>
            </w:r>
            <w:r w:rsidR="0090124B">
              <w:rPr>
                <w:noProof/>
                <w:webHidden/>
              </w:rPr>
              <w:fldChar w:fldCharType="begin"/>
            </w:r>
            <w:r w:rsidR="0090124B">
              <w:rPr>
                <w:noProof/>
                <w:webHidden/>
              </w:rPr>
              <w:instrText xml:space="preserve"> PAGEREF _Toc108165445 \h </w:instrText>
            </w:r>
            <w:r w:rsidR="0090124B">
              <w:rPr>
                <w:noProof/>
                <w:webHidden/>
              </w:rPr>
            </w:r>
            <w:r w:rsidR="0090124B">
              <w:rPr>
                <w:noProof/>
                <w:webHidden/>
              </w:rPr>
              <w:fldChar w:fldCharType="separate"/>
            </w:r>
            <w:r w:rsidR="005E13EC">
              <w:rPr>
                <w:noProof/>
                <w:webHidden/>
              </w:rPr>
              <w:t>4</w:t>
            </w:r>
            <w:r w:rsidR="0090124B">
              <w:rPr>
                <w:noProof/>
                <w:webHidden/>
              </w:rPr>
              <w:fldChar w:fldCharType="end"/>
            </w:r>
          </w:hyperlink>
        </w:p>
        <w:p w14:paraId="0842D594" w14:textId="6E7FF730" w:rsidR="0090124B" w:rsidRDefault="00492B1E">
          <w:pPr>
            <w:pStyle w:val="TOC1"/>
            <w:tabs>
              <w:tab w:val="right" w:leader="dot" w:pos="9016"/>
            </w:tabs>
            <w:rPr>
              <w:noProof/>
            </w:rPr>
          </w:pPr>
          <w:hyperlink w:anchor="_Toc108165446" w:history="1">
            <w:r w:rsidR="0090124B" w:rsidRPr="00F11D06">
              <w:rPr>
                <w:rStyle w:val="Hyperlink"/>
                <w:noProof/>
                <w:lang w:eastAsia="en-US"/>
              </w:rPr>
              <w:t>List of Recommendations</w:t>
            </w:r>
            <w:r w:rsidR="0090124B">
              <w:rPr>
                <w:noProof/>
                <w:webHidden/>
              </w:rPr>
              <w:tab/>
            </w:r>
            <w:r w:rsidR="0090124B">
              <w:rPr>
                <w:noProof/>
                <w:webHidden/>
              </w:rPr>
              <w:fldChar w:fldCharType="begin"/>
            </w:r>
            <w:r w:rsidR="0090124B">
              <w:rPr>
                <w:noProof/>
                <w:webHidden/>
              </w:rPr>
              <w:instrText xml:space="preserve"> PAGEREF _Toc108165446 \h </w:instrText>
            </w:r>
            <w:r w:rsidR="0090124B">
              <w:rPr>
                <w:noProof/>
                <w:webHidden/>
              </w:rPr>
            </w:r>
            <w:r w:rsidR="0090124B">
              <w:rPr>
                <w:noProof/>
                <w:webHidden/>
              </w:rPr>
              <w:fldChar w:fldCharType="separate"/>
            </w:r>
            <w:r w:rsidR="005E13EC">
              <w:rPr>
                <w:noProof/>
                <w:webHidden/>
              </w:rPr>
              <w:t>6</w:t>
            </w:r>
            <w:r w:rsidR="0090124B">
              <w:rPr>
                <w:noProof/>
                <w:webHidden/>
              </w:rPr>
              <w:fldChar w:fldCharType="end"/>
            </w:r>
          </w:hyperlink>
        </w:p>
        <w:p w14:paraId="070835A8" w14:textId="74532FCE" w:rsidR="0090124B" w:rsidRDefault="00492B1E">
          <w:pPr>
            <w:pStyle w:val="TOC1"/>
            <w:tabs>
              <w:tab w:val="right" w:leader="dot" w:pos="9016"/>
            </w:tabs>
            <w:rPr>
              <w:noProof/>
            </w:rPr>
          </w:pPr>
          <w:hyperlink w:anchor="_Toc108165447" w:history="1">
            <w:r w:rsidR="0090124B" w:rsidRPr="00F11D06">
              <w:rPr>
                <w:rStyle w:val="Hyperlink"/>
                <w:noProof/>
              </w:rPr>
              <w:t>2.1 The need to publicise the Code and complaints process</w:t>
            </w:r>
            <w:r w:rsidR="0090124B">
              <w:rPr>
                <w:noProof/>
                <w:webHidden/>
              </w:rPr>
              <w:tab/>
            </w:r>
            <w:r w:rsidR="0090124B">
              <w:rPr>
                <w:noProof/>
                <w:webHidden/>
              </w:rPr>
              <w:fldChar w:fldCharType="begin"/>
            </w:r>
            <w:r w:rsidR="0090124B">
              <w:rPr>
                <w:noProof/>
                <w:webHidden/>
              </w:rPr>
              <w:instrText xml:space="preserve"> PAGEREF _Toc108165447 \h </w:instrText>
            </w:r>
            <w:r w:rsidR="0090124B">
              <w:rPr>
                <w:noProof/>
                <w:webHidden/>
              </w:rPr>
            </w:r>
            <w:r w:rsidR="0090124B">
              <w:rPr>
                <w:noProof/>
                <w:webHidden/>
              </w:rPr>
              <w:fldChar w:fldCharType="separate"/>
            </w:r>
            <w:r w:rsidR="005E13EC">
              <w:rPr>
                <w:noProof/>
                <w:webHidden/>
              </w:rPr>
              <w:t>7</w:t>
            </w:r>
            <w:r w:rsidR="0090124B">
              <w:rPr>
                <w:noProof/>
                <w:webHidden/>
              </w:rPr>
              <w:fldChar w:fldCharType="end"/>
            </w:r>
          </w:hyperlink>
        </w:p>
        <w:p w14:paraId="60FF2BEC" w14:textId="4E434E22" w:rsidR="0090124B" w:rsidRDefault="00492B1E">
          <w:pPr>
            <w:pStyle w:val="TOC1"/>
            <w:tabs>
              <w:tab w:val="right" w:leader="dot" w:pos="9016"/>
            </w:tabs>
            <w:rPr>
              <w:noProof/>
            </w:rPr>
          </w:pPr>
          <w:hyperlink w:anchor="_Toc108165448" w:history="1">
            <w:r w:rsidR="0090124B" w:rsidRPr="00F11D06">
              <w:rPr>
                <w:rStyle w:val="Hyperlink"/>
                <w:noProof/>
              </w:rPr>
              <w:t>2.2 Response to question of including misinformation</w:t>
            </w:r>
            <w:r w:rsidR="0090124B">
              <w:rPr>
                <w:noProof/>
                <w:webHidden/>
              </w:rPr>
              <w:tab/>
            </w:r>
            <w:r w:rsidR="0090124B">
              <w:rPr>
                <w:noProof/>
                <w:webHidden/>
              </w:rPr>
              <w:fldChar w:fldCharType="begin"/>
            </w:r>
            <w:r w:rsidR="0090124B">
              <w:rPr>
                <w:noProof/>
                <w:webHidden/>
              </w:rPr>
              <w:instrText xml:space="preserve"> PAGEREF _Toc108165448 \h </w:instrText>
            </w:r>
            <w:r w:rsidR="0090124B">
              <w:rPr>
                <w:noProof/>
                <w:webHidden/>
              </w:rPr>
            </w:r>
            <w:r w:rsidR="0090124B">
              <w:rPr>
                <w:noProof/>
                <w:webHidden/>
              </w:rPr>
              <w:fldChar w:fldCharType="separate"/>
            </w:r>
            <w:r w:rsidR="005E13EC">
              <w:rPr>
                <w:noProof/>
                <w:webHidden/>
              </w:rPr>
              <w:t>8</w:t>
            </w:r>
            <w:r w:rsidR="0090124B">
              <w:rPr>
                <w:noProof/>
                <w:webHidden/>
              </w:rPr>
              <w:fldChar w:fldCharType="end"/>
            </w:r>
          </w:hyperlink>
        </w:p>
        <w:p w14:paraId="3844D7EC" w14:textId="7199DE76" w:rsidR="0090124B" w:rsidRDefault="00492B1E">
          <w:pPr>
            <w:pStyle w:val="TOC1"/>
            <w:tabs>
              <w:tab w:val="right" w:leader="dot" w:pos="9016"/>
            </w:tabs>
            <w:rPr>
              <w:noProof/>
            </w:rPr>
          </w:pPr>
          <w:hyperlink w:anchor="_Toc108165449" w:history="1">
            <w:r w:rsidR="0090124B" w:rsidRPr="00F11D06">
              <w:rPr>
                <w:rStyle w:val="Hyperlink"/>
                <w:noProof/>
                <w:lang w:eastAsia="en-US"/>
              </w:rPr>
              <w:t>2.3 Response to questions of scope</w:t>
            </w:r>
            <w:r w:rsidR="0090124B">
              <w:rPr>
                <w:noProof/>
                <w:webHidden/>
              </w:rPr>
              <w:tab/>
            </w:r>
            <w:r w:rsidR="0090124B">
              <w:rPr>
                <w:noProof/>
                <w:webHidden/>
              </w:rPr>
              <w:fldChar w:fldCharType="begin"/>
            </w:r>
            <w:r w:rsidR="0090124B">
              <w:rPr>
                <w:noProof/>
                <w:webHidden/>
              </w:rPr>
              <w:instrText xml:space="preserve"> PAGEREF _Toc108165449 \h </w:instrText>
            </w:r>
            <w:r w:rsidR="0090124B">
              <w:rPr>
                <w:noProof/>
                <w:webHidden/>
              </w:rPr>
            </w:r>
            <w:r w:rsidR="0090124B">
              <w:rPr>
                <w:noProof/>
                <w:webHidden/>
              </w:rPr>
              <w:fldChar w:fldCharType="separate"/>
            </w:r>
            <w:r w:rsidR="005E13EC">
              <w:rPr>
                <w:noProof/>
                <w:webHidden/>
              </w:rPr>
              <w:t>10</w:t>
            </w:r>
            <w:r w:rsidR="0090124B">
              <w:rPr>
                <w:noProof/>
                <w:webHidden/>
              </w:rPr>
              <w:fldChar w:fldCharType="end"/>
            </w:r>
          </w:hyperlink>
        </w:p>
        <w:p w14:paraId="441C54BF" w14:textId="6B46FA5D" w:rsidR="0090124B" w:rsidRDefault="00492B1E">
          <w:pPr>
            <w:pStyle w:val="TOC1"/>
            <w:tabs>
              <w:tab w:val="right" w:leader="dot" w:pos="9016"/>
            </w:tabs>
            <w:rPr>
              <w:noProof/>
            </w:rPr>
          </w:pPr>
          <w:hyperlink w:anchor="_Toc108165450" w:history="1">
            <w:r w:rsidR="0090124B" w:rsidRPr="00F11D06">
              <w:rPr>
                <w:rStyle w:val="Hyperlink"/>
                <w:noProof/>
              </w:rPr>
              <w:t>2.4 Response to questions of application</w:t>
            </w:r>
            <w:r w:rsidR="0090124B">
              <w:rPr>
                <w:noProof/>
                <w:webHidden/>
              </w:rPr>
              <w:tab/>
            </w:r>
            <w:r w:rsidR="0090124B">
              <w:rPr>
                <w:noProof/>
                <w:webHidden/>
              </w:rPr>
              <w:fldChar w:fldCharType="begin"/>
            </w:r>
            <w:r w:rsidR="0090124B">
              <w:rPr>
                <w:noProof/>
                <w:webHidden/>
              </w:rPr>
              <w:instrText xml:space="preserve"> PAGEREF _Toc108165450 \h </w:instrText>
            </w:r>
            <w:r w:rsidR="0090124B">
              <w:rPr>
                <w:noProof/>
                <w:webHidden/>
              </w:rPr>
            </w:r>
            <w:r w:rsidR="0090124B">
              <w:rPr>
                <w:noProof/>
                <w:webHidden/>
              </w:rPr>
              <w:fldChar w:fldCharType="separate"/>
            </w:r>
            <w:r w:rsidR="005E13EC">
              <w:rPr>
                <w:noProof/>
                <w:webHidden/>
              </w:rPr>
              <w:t>14</w:t>
            </w:r>
            <w:r w:rsidR="0090124B">
              <w:rPr>
                <w:noProof/>
                <w:webHidden/>
              </w:rPr>
              <w:fldChar w:fldCharType="end"/>
            </w:r>
          </w:hyperlink>
        </w:p>
        <w:p w14:paraId="0DEBFF54" w14:textId="15CE31C4" w:rsidR="0090124B" w:rsidRDefault="00492B1E">
          <w:pPr>
            <w:pStyle w:val="TOC1"/>
            <w:tabs>
              <w:tab w:val="right" w:leader="dot" w:pos="9016"/>
            </w:tabs>
            <w:rPr>
              <w:noProof/>
            </w:rPr>
          </w:pPr>
          <w:hyperlink w:anchor="_Toc108165451" w:history="1">
            <w:r w:rsidR="0090124B" w:rsidRPr="00F11D06">
              <w:rPr>
                <w:rStyle w:val="Hyperlink"/>
                <w:noProof/>
                <w:lang w:eastAsia="en-US"/>
              </w:rPr>
              <w:t>3. Conclusion</w:t>
            </w:r>
            <w:r w:rsidR="0090124B">
              <w:rPr>
                <w:noProof/>
                <w:webHidden/>
              </w:rPr>
              <w:tab/>
            </w:r>
            <w:r w:rsidR="0090124B">
              <w:rPr>
                <w:noProof/>
                <w:webHidden/>
              </w:rPr>
              <w:fldChar w:fldCharType="begin"/>
            </w:r>
            <w:r w:rsidR="0090124B">
              <w:rPr>
                <w:noProof/>
                <w:webHidden/>
              </w:rPr>
              <w:instrText xml:space="preserve"> PAGEREF _Toc108165451 \h </w:instrText>
            </w:r>
            <w:r w:rsidR="0090124B">
              <w:rPr>
                <w:noProof/>
                <w:webHidden/>
              </w:rPr>
            </w:r>
            <w:r w:rsidR="0090124B">
              <w:rPr>
                <w:noProof/>
                <w:webHidden/>
              </w:rPr>
              <w:fldChar w:fldCharType="separate"/>
            </w:r>
            <w:r w:rsidR="005E13EC">
              <w:rPr>
                <w:noProof/>
                <w:webHidden/>
              </w:rPr>
              <w:t>18</w:t>
            </w:r>
            <w:r w:rsidR="0090124B">
              <w:rPr>
                <w:noProof/>
                <w:webHidden/>
              </w:rPr>
              <w:fldChar w:fldCharType="end"/>
            </w:r>
          </w:hyperlink>
        </w:p>
        <w:p w14:paraId="11CA2B85" w14:textId="77777777" w:rsidR="00B41CA8" w:rsidRPr="00AD35E1" w:rsidRDefault="00B41CA8" w:rsidP="00756F51">
          <w:pPr>
            <w:tabs>
              <w:tab w:val="right" w:leader="dot" w:pos="9016"/>
            </w:tabs>
            <w:rPr>
              <w:rFonts w:ascii="Calibri" w:eastAsia="MS Mincho" w:hAnsi="Calibri" w:cs="Arial"/>
            </w:rPr>
          </w:pPr>
          <w:r w:rsidRPr="00AD35E1">
            <w:rPr>
              <w:rFonts w:ascii="Calibri" w:eastAsia="MS Mincho" w:hAnsi="Calibri" w:cs="Arial"/>
            </w:rPr>
            <w:fldChar w:fldCharType="end"/>
          </w:r>
        </w:p>
      </w:sdtContent>
    </w:sdt>
    <w:p w14:paraId="13F45699" w14:textId="77777777" w:rsidR="00756F51" w:rsidRPr="00AD35E1" w:rsidRDefault="00756F51" w:rsidP="0017456B"/>
    <w:p w14:paraId="1FAAF7C9" w14:textId="77777777" w:rsidR="005537B6" w:rsidRPr="00AD35E1" w:rsidRDefault="005537B6" w:rsidP="0017456B">
      <w:r w:rsidRPr="00AD35E1">
        <w:br w:type="page"/>
      </w:r>
    </w:p>
    <w:p w14:paraId="7CF0A971" w14:textId="77777777" w:rsidR="00B41CA8" w:rsidRPr="00AD35E1" w:rsidRDefault="00FE69FC" w:rsidP="008F5831">
      <w:pPr>
        <w:pStyle w:val="Title"/>
        <w:rPr>
          <w:lang w:val="en-AU"/>
        </w:rPr>
      </w:pPr>
      <w:bookmarkStart w:id="12" w:name="_Toc108165445"/>
      <w:r w:rsidRPr="00AD35E1">
        <w:rPr>
          <w:lang w:val="en-AU"/>
        </w:rPr>
        <w:lastRenderedPageBreak/>
        <w:t>Introduction</w:t>
      </w:r>
      <w:bookmarkEnd w:id="12"/>
    </w:p>
    <w:p w14:paraId="684B2B2C" w14:textId="221EFA11" w:rsidR="00010CC4" w:rsidRPr="00AD35E1" w:rsidRDefault="00BE10F0" w:rsidP="00756F51">
      <w:pPr>
        <w:rPr>
          <w:lang w:eastAsia="en-US"/>
        </w:rPr>
      </w:pPr>
      <w:r w:rsidRPr="00AD35E1">
        <w:rPr>
          <w:lang w:eastAsia="en-US"/>
        </w:rPr>
        <w:t>The Australian Communications Consumer Action Network (ACCAN) thanks Digital Industr</w:t>
      </w:r>
      <w:r w:rsidR="007E506E" w:rsidRPr="00AD35E1">
        <w:rPr>
          <w:lang w:eastAsia="en-US"/>
        </w:rPr>
        <w:t>ies Group Inc.</w:t>
      </w:r>
      <w:r w:rsidR="00D91DC8" w:rsidRPr="00AD35E1">
        <w:rPr>
          <w:lang w:eastAsia="en-US"/>
        </w:rPr>
        <w:t xml:space="preserve"> (DIGI)</w:t>
      </w:r>
      <w:r w:rsidR="007E506E" w:rsidRPr="00AD35E1">
        <w:rPr>
          <w:lang w:eastAsia="en-US"/>
        </w:rPr>
        <w:t xml:space="preserve"> for the opportunity to provide feedback to the </w:t>
      </w:r>
      <w:r w:rsidR="007E506E" w:rsidRPr="00AD35E1">
        <w:rPr>
          <w:i/>
          <w:iCs/>
          <w:lang w:eastAsia="en-US"/>
        </w:rPr>
        <w:t xml:space="preserve">Australian </w:t>
      </w:r>
      <w:r w:rsidR="00D91DC8" w:rsidRPr="00AD35E1">
        <w:rPr>
          <w:i/>
          <w:iCs/>
          <w:lang w:eastAsia="en-US"/>
        </w:rPr>
        <w:t>Code of Practice</w:t>
      </w:r>
      <w:r w:rsidR="0061173F" w:rsidRPr="00AD35E1">
        <w:rPr>
          <w:i/>
          <w:iCs/>
          <w:lang w:eastAsia="en-US"/>
        </w:rPr>
        <w:t xml:space="preserve"> on Disinformation and Misinformation</w:t>
      </w:r>
      <w:r w:rsidR="0061173F" w:rsidRPr="00AD35E1">
        <w:rPr>
          <w:lang w:eastAsia="en-US"/>
        </w:rPr>
        <w:t xml:space="preserve"> (ACPDM or “the Code”).</w:t>
      </w:r>
      <w:r w:rsidR="00C708CC" w:rsidRPr="00AD35E1">
        <w:rPr>
          <w:rStyle w:val="FootnoteReference"/>
          <w:lang w:eastAsia="en-US"/>
        </w:rPr>
        <w:footnoteReference w:id="2"/>
      </w:r>
      <w:r w:rsidR="00317C53" w:rsidRPr="00AD35E1">
        <w:rPr>
          <w:lang w:eastAsia="en-US"/>
        </w:rPr>
        <w:t xml:space="preserve"> The A</w:t>
      </w:r>
      <w:r w:rsidR="00445375" w:rsidRPr="00AD35E1">
        <w:rPr>
          <w:lang w:eastAsia="en-US"/>
        </w:rPr>
        <w:t>CPDM was rel</w:t>
      </w:r>
      <w:r w:rsidR="007C3DC6" w:rsidRPr="00AD35E1">
        <w:rPr>
          <w:lang w:eastAsia="en-US"/>
        </w:rPr>
        <w:t>eased in 2021 and is now</w:t>
      </w:r>
      <w:r w:rsidR="00380FCD" w:rsidRPr="00AD35E1">
        <w:rPr>
          <w:lang w:eastAsia="en-US"/>
        </w:rPr>
        <w:t xml:space="preserve"> due for a scheduled review. In</w:t>
      </w:r>
      <w:r w:rsidR="00E30E11" w:rsidRPr="00AD35E1">
        <w:rPr>
          <w:lang w:eastAsia="en-US"/>
        </w:rPr>
        <w:t xml:space="preserve"> June 2</w:t>
      </w:r>
      <w:r w:rsidR="00DD3D5F" w:rsidRPr="00AD35E1">
        <w:rPr>
          <w:lang w:eastAsia="en-US"/>
        </w:rPr>
        <w:t>022 DIGI released a discussion paper titled</w:t>
      </w:r>
      <w:r w:rsidR="00583A65" w:rsidRPr="00AD35E1">
        <w:rPr>
          <w:lang w:eastAsia="en-US"/>
        </w:rPr>
        <w:t xml:space="preserve"> </w:t>
      </w:r>
      <w:r w:rsidR="007B53DD" w:rsidRPr="00AD35E1">
        <w:rPr>
          <w:i/>
          <w:iCs/>
          <w:lang w:eastAsia="en-US"/>
        </w:rPr>
        <w:t>Australian Code of Practice on Misinformation</w:t>
      </w:r>
      <w:r w:rsidR="00A8617B" w:rsidRPr="00AD35E1">
        <w:rPr>
          <w:i/>
          <w:iCs/>
          <w:lang w:eastAsia="en-US"/>
        </w:rPr>
        <w:t xml:space="preserve"> and Disinformation </w:t>
      </w:r>
      <w:r w:rsidR="001C1075" w:rsidRPr="00AD35E1">
        <w:rPr>
          <w:i/>
          <w:iCs/>
          <w:lang w:eastAsia="en-US"/>
        </w:rPr>
        <w:t xml:space="preserve">| </w:t>
      </w:r>
      <w:r w:rsidR="00A8617B" w:rsidRPr="00AD35E1">
        <w:rPr>
          <w:i/>
          <w:iCs/>
          <w:lang w:eastAsia="en-US"/>
        </w:rPr>
        <w:t>2022 Review Discussion Paper</w:t>
      </w:r>
      <w:r w:rsidR="00A8617B" w:rsidRPr="00AD35E1">
        <w:rPr>
          <w:lang w:eastAsia="en-US"/>
        </w:rPr>
        <w:t>.</w:t>
      </w:r>
      <w:r w:rsidR="008E6E79" w:rsidRPr="00AD35E1">
        <w:rPr>
          <w:rStyle w:val="FootnoteReference"/>
          <w:lang w:eastAsia="en-US"/>
        </w:rPr>
        <w:footnoteReference w:id="3"/>
      </w:r>
      <w:r w:rsidR="00B6513D" w:rsidRPr="00AD35E1">
        <w:rPr>
          <w:lang w:eastAsia="en-US"/>
        </w:rPr>
        <w:t xml:space="preserve"> </w:t>
      </w:r>
      <w:r w:rsidR="0038553C" w:rsidRPr="00AD35E1">
        <w:rPr>
          <w:lang w:eastAsia="en-US"/>
        </w:rPr>
        <w:t xml:space="preserve">The review will </w:t>
      </w:r>
      <w:r w:rsidR="00226E8F" w:rsidRPr="00AD35E1">
        <w:rPr>
          <w:lang w:eastAsia="en-US"/>
        </w:rPr>
        <w:t>draw on</w:t>
      </w:r>
      <w:r w:rsidR="0038553C" w:rsidRPr="00AD35E1">
        <w:rPr>
          <w:lang w:eastAsia="en-US"/>
        </w:rPr>
        <w:t xml:space="preserve"> </w:t>
      </w:r>
      <w:r w:rsidR="00365940" w:rsidRPr="00AD35E1">
        <w:rPr>
          <w:lang w:eastAsia="en-US"/>
        </w:rPr>
        <w:t xml:space="preserve">stakeholder submissions as well as </w:t>
      </w:r>
      <w:r w:rsidR="008E4291" w:rsidRPr="00AD35E1">
        <w:rPr>
          <w:lang w:eastAsia="en-US"/>
        </w:rPr>
        <w:t>a 2021 review of the ACPDM by the Australian</w:t>
      </w:r>
      <w:r w:rsidR="00316509" w:rsidRPr="00AD35E1">
        <w:rPr>
          <w:lang w:eastAsia="en-US"/>
        </w:rPr>
        <w:t xml:space="preserve"> Communications and Media Authority (ACMA).</w:t>
      </w:r>
      <w:r w:rsidR="00BF184F" w:rsidRPr="00AD35E1">
        <w:rPr>
          <w:rStyle w:val="FootnoteReference"/>
          <w:lang w:eastAsia="en-US"/>
        </w:rPr>
        <w:footnoteReference w:id="4"/>
      </w:r>
      <w:r w:rsidR="00316509" w:rsidRPr="00AD35E1">
        <w:rPr>
          <w:lang w:eastAsia="en-US"/>
        </w:rPr>
        <w:t xml:space="preserve"> ACMA’s report</w:t>
      </w:r>
      <w:r w:rsidR="00F342C0" w:rsidRPr="00AD35E1">
        <w:rPr>
          <w:lang w:eastAsia="en-US"/>
        </w:rPr>
        <w:t xml:space="preserve"> on the Code</w:t>
      </w:r>
      <w:r w:rsidR="00A2729B" w:rsidRPr="00AD35E1">
        <w:rPr>
          <w:lang w:eastAsia="en-US"/>
        </w:rPr>
        <w:t xml:space="preserve">, </w:t>
      </w:r>
      <w:r w:rsidR="007E13BB" w:rsidRPr="00AD35E1">
        <w:rPr>
          <w:lang w:eastAsia="en-US"/>
        </w:rPr>
        <w:t xml:space="preserve">publicly released in March 2022, </w:t>
      </w:r>
      <w:r w:rsidR="00860B38" w:rsidRPr="00AD35E1">
        <w:rPr>
          <w:lang w:eastAsia="en-US"/>
        </w:rPr>
        <w:t xml:space="preserve">listed 48 findings and </w:t>
      </w:r>
      <w:r w:rsidR="007E13BB" w:rsidRPr="00AD35E1">
        <w:rPr>
          <w:lang w:eastAsia="en-US"/>
        </w:rPr>
        <w:t xml:space="preserve">made </w:t>
      </w:r>
      <w:r w:rsidR="00860B38" w:rsidRPr="00AD35E1">
        <w:rPr>
          <w:lang w:eastAsia="en-US"/>
        </w:rPr>
        <w:t xml:space="preserve">five </w:t>
      </w:r>
      <w:r w:rsidR="0041796A" w:rsidRPr="00AD35E1">
        <w:rPr>
          <w:lang w:eastAsia="en-US"/>
        </w:rPr>
        <w:t xml:space="preserve">recommendations. </w:t>
      </w:r>
      <w:r w:rsidR="00937AB9" w:rsidRPr="00AD35E1">
        <w:rPr>
          <w:lang w:eastAsia="en-US"/>
        </w:rPr>
        <w:t>ACCAN’s submission draws on both the Discussion</w:t>
      </w:r>
      <w:r w:rsidR="00F342C0" w:rsidRPr="00AD35E1">
        <w:rPr>
          <w:lang w:eastAsia="en-US"/>
        </w:rPr>
        <w:t xml:space="preserve"> paper and </w:t>
      </w:r>
      <w:r w:rsidR="002B6748" w:rsidRPr="00AD35E1">
        <w:rPr>
          <w:lang w:eastAsia="en-US"/>
        </w:rPr>
        <w:t>the ACMA’s 2021 repor</w:t>
      </w:r>
      <w:r w:rsidR="003056F6" w:rsidRPr="00AD35E1">
        <w:rPr>
          <w:lang w:eastAsia="en-US"/>
        </w:rPr>
        <w:t>t</w:t>
      </w:r>
      <w:r w:rsidR="002B6748" w:rsidRPr="00AD35E1">
        <w:rPr>
          <w:lang w:eastAsia="en-US"/>
        </w:rPr>
        <w:t>.</w:t>
      </w:r>
    </w:p>
    <w:p w14:paraId="70A2116C" w14:textId="7F17303F" w:rsidR="009D22F6" w:rsidRPr="00AD35E1" w:rsidRDefault="00FB7F4D" w:rsidP="009D22F6">
      <w:pPr>
        <w:rPr>
          <w:lang w:eastAsia="en-US"/>
        </w:rPr>
      </w:pPr>
      <w:r w:rsidRPr="00AD35E1">
        <w:rPr>
          <w:lang w:eastAsia="en-US"/>
        </w:rPr>
        <w:t>The review is timely</w:t>
      </w:r>
      <w:r w:rsidR="009A13F8" w:rsidRPr="00AD35E1">
        <w:rPr>
          <w:lang w:eastAsia="en-US"/>
        </w:rPr>
        <w:t>.</w:t>
      </w:r>
      <w:r w:rsidR="00C6070E" w:rsidRPr="00AD35E1">
        <w:rPr>
          <w:lang w:eastAsia="en-US"/>
        </w:rPr>
        <w:t xml:space="preserve"> Australians are still concerned by online misinformation and</w:t>
      </w:r>
      <w:r w:rsidR="00D56390" w:rsidRPr="00AD35E1">
        <w:rPr>
          <w:lang w:eastAsia="en-US"/>
        </w:rPr>
        <w:t xml:space="preserve"> </w:t>
      </w:r>
      <w:r w:rsidR="0087274C" w:rsidRPr="00AD35E1">
        <w:rPr>
          <w:lang w:eastAsia="en-US"/>
        </w:rPr>
        <w:t>the global policy</w:t>
      </w:r>
      <w:r w:rsidR="00562237" w:rsidRPr="00AD35E1">
        <w:rPr>
          <w:lang w:eastAsia="en-US"/>
        </w:rPr>
        <w:t xml:space="preserve"> discussion around mis- and disinformation</w:t>
      </w:r>
      <w:r w:rsidR="008434CD" w:rsidRPr="00AD35E1">
        <w:rPr>
          <w:lang w:eastAsia="en-US"/>
        </w:rPr>
        <w:t xml:space="preserve"> continues</w:t>
      </w:r>
      <w:r w:rsidR="009E4B60" w:rsidRPr="00AD35E1">
        <w:rPr>
          <w:lang w:eastAsia="en-US"/>
        </w:rPr>
        <w:t xml:space="preserve"> to develop</w:t>
      </w:r>
      <w:r w:rsidR="008434CD" w:rsidRPr="00AD35E1">
        <w:rPr>
          <w:lang w:eastAsia="en-US"/>
        </w:rPr>
        <w:t>.</w:t>
      </w:r>
      <w:r w:rsidR="00963C95" w:rsidRPr="00AD35E1">
        <w:rPr>
          <w:lang w:eastAsia="en-US"/>
        </w:rPr>
        <w:t xml:space="preserve"> For example,</w:t>
      </w:r>
      <w:r w:rsidR="00E62F7A" w:rsidRPr="00AD35E1">
        <w:rPr>
          <w:lang w:eastAsia="en-US"/>
        </w:rPr>
        <w:t xml:space="preserve"> </w:t>
      </w:r>
      <w:r w:rsidR="00963C95" w:rsidRPr="00AD35E1">
        <w:rPr>
          <w:lang w:eastAsia="en-US"/>
        </w:rPr>
        <w:t>t</w:t>
      </w:r>
      <w:r w:rsidR="00191473" w:rsidRPr="00AD35E1">
        <w:rPr>
          <w:lang w:eastAsia="en-US"/>
        </w:rPr>
        <w:t xml:space="preserve">he </w:t>
      </w:r>
      <w:r w:rsidR="007F2148" w:rsidRPr="00AD35E1">
        <w:rPr>
          <w:lang w:eastAsia="en-US"/>
        </w:rPr>
        <w:t>European</w:t>
      </w:r>
      <w:r w:rsidR="00191473" w:rsidRPr="00AD35E1">
        <w:rPr>
          <w:lang w:eastAsia="en-US"/>
        </w:rPr>
        <w:t xml:space="preserve"> Union (EU) </w:t>
      </w:r>
      <w:r w:rsidR="0093299F" w:rsidRPr="00AD35E1">
        <w:rPr>
          <w:lang w:eastAsia="en-US"/>
        </w:rPr>
        <w:t>has</w:t>
      </w:r>
      <w:r w:rsidR="002C7A5C" w:rsidRPr="00AD35E1">
        <w:rPr>
          <w:lang w:eastAsia="en-US"/>
        </w:rPr>
        <w:t xml:space="preserve"> </w:t>
      </w:r>
      <w:r w:rsidR="0093299F" w:rsidRPr="00AD35E1">
        <w:rPr>
          <w:lang w:eastAsia="en-US"/>
        </w:rPr>
        <w:t>recently “strengthened”</w:t>
      </w:r>
      <w:r w:rsidR="008B7798" w:rsidRPr="00AD35E1">
        <w:rPr>
          <w:lang w:eastAsia="en-US"/>
        </w:rPr>
        <w:t xml:space="preserve"> its Code of Practice on Disinformation.</w:t>
      </w:r>
      <w:r w:rsidR="007F2148" w:rsidRPr="00AD35E1">
        <w:rPr>
          <w:rStyle w:val="FootnoteReference"/>
          <w:lang w:eastAsia="en-US"/>
        </w:rPr>
        <w:footnoteReference w:id="5"/>
      </w:r>
      <w:r w:rsidR="000E6BFC" w:rsidRPr="00AD35E1">
        <w:rPr>
          <w:lang w:eastAsia="en-US"/>
        </w:rPr>
        <w:t xml:space="preserve"> </w:t>
      </w:r>
      <w:r w:rsidR="00AE428A" w:rsidRPr="00AD35E1">
        <w:rPr>
          <w:lang w:eastAsia="en-US"/>
        </w:rPr>
        <w:t>Misinformation</w:t>
      </w:r>
      <w:r w:rsidR="00D543C6" w:rsidRPr="00AD35E1">
        <w:rPr>
          <w:lang w:eastAsia="en-US"/>
        </w:rPr>
        <w:t xml:space="preserve"> is</w:t>
      </w:r>
      <w:r w:rsidR="00944951" w:rsidRPr="00AD35E1">
        <w:rPr>
          <w:lang w:eastAsia="en-US"/>
        </w:rPr>
        <w:t xml:space="preserve"> broadly</w:t>
      </w:r>
      <w:r w:rsidR="00D543C6" w:rsidRPr="00AD35E1">
        <w:rPr>
          <w:lang w:eastAsia="en-US"/>
        </w:rPr>
        <w:t xml:space="preserve"> defined </w:t>
      </w:r>
      <w:r w:rsidR="00A712B5" w:rsidRPr="00AD35E1">
        <w:rPr>
          <w:lang w:eastAsia="en-US"/>
        </w:rPr>
        <w:t>in the</w:t>
      </w:r>
      <w:r w:rsidR="00944951" w:rsidRPr="00AD35E1">
        <w:rPr>
          <w:lang w:eastAsia="en-US"/>
        </w:rPr>
        <w:t xml:space="preserve"> Australian</w:t>
      </w:r>
      <w:r w:rsidR="00A712B5" w:rsidRPr="00AD35E1">
        <w:rPr>
          <w:lang w:eastAsia="en-US"/>
        </w:rPr>
        <w:t xml:space="preserve"> Code as Digital Content that is verifiably false or misleading</w:t>
      </w:r>
      <w:r w:rsidR="006A451F" w:rsidRPr="00AD35E1">
        <w:rPr>
          <w:lang w:eastAsia="en-US"/>
        </w:rPr>
        <w:t xml:space="preserve"> or deceptive that is propagated by</w:t>
      </w:r>
      <w:r w:rsidR="007E64F0" w:rsidRPr="00AD35E1">
        <w:rPr>
          <w:lang w:eastAsia="en-US"/>
        </w:rPr>
        <w:t xml:space="preserve"> users of</w:t>
      </w:r>
      <w:r w:rsidR="006A451F" w:rsidRPr="00AD35E1">
        <w:rPr>
          <w:lang w:eastAsia="en-US"/>
        </w:rPr>
        <w:t xml:space="preserve"> digital platforms</w:t>
      </w:r>
      <w:r w:rsidR="007E64F0" w:rsidRPr="00AD35E1">
        <w:rPr>
          <w:lang w:eastAsia="en-US"/>
        </w:rPr>
        <w:t xml:space="preserve"> and the</w:t>
      </w:r>
      <w:r w:rsidR="00BF6100" w:rsidRPr="00AD35E1">
        <w:rPr>
          <w:lang w:eastAsia="en-US"/>
        </w:rPr>
        <w:t xml:space="preserve"> dissemination of which is reasonably likely (but may not be </w:t>
      </w:r>
      <w:r w:rsidR="000F7E5D" w:rsidRPr="00AD35E1">
        <w:rPr>
          <w:lang w:eastAsia="en-US"/>
        </w:rPr>
        <w:t>clearly intended</w:t>
      </w:r>
      <w:r w:rsidR="00BF6100" w:rsidRPr="00AD35E1">
        <w:rPr>
          <w:lang w:eastAsia="en-US"/>
        </w:rPr>
        <w:t xml:space="preserve"> to) cause Harm.</w:t>
      </w:r>
      <w:r w:rsidR="00B54A25" w:rsidRPr="00AD35E1">
        <w:rPr>
          <w:rStyle w:val="FootnoteReference"/>
          <w:lang w:eastAsia="en-US"/>
        </w:rPr>
        <w:footnoteReference w:id="6"/>
      </w:r>
      <w:r w:rsidR="007A0A45" w:rsidRPr="00AD35E1">
        <w:rPr>
          <w:lang w:eastAsia="en-US"/>
        </w:rPr>
        <w:t xml:space="preserve"> Disinformation is </w:t>
      </w:r>
      <w:r w:rsidR="009D22F6" w:rsidRPr="00AD35E1">
        <w:rPr>
          <w:lang w:eastAsia="en-US"/>
        </w:rPr>
        <w:t>identified as Digital Content that is verifiably false or misleading or deceptive</w:t>
      </w:r>
      <w:r w:rsidR="00B553CF" w:rsidRPr="00AD35E1">
        <w:rPr>
          <w:lang w:eastAsia="en-US"/>
        </w:rPr>
        <w:t xml:space="preserve">, </w:t>
      </w:r>
      <w:r w:rsidR="009D22F6" w:rsidRPr="00AD35E1">
        <w:rPr>
          <w:lang w:eastAsia="en-US"/>
        </w:rPr>
        <w:t>is propagated amongst users of digital platforms via Inauthentic Behaviours and</w:t>
      </w:r>
      <w:r w:rsidR="00B553CF" w:rsidRPr="00AD35E1">
        <w:rPr>
          <w:lang w:eastAsia="en-US"/>
        </w:rPr>
        <w:t xml:space="preserve"> </w:t>
      </w:r>
      <w:r w:rsidR="009D22F6" w:rsidRPr="00AD35E1">
        <w:rPr>
          <w:lang w:eastAsia="en-US"/>
        </w:rPr>
        <w:t>the dissemination of which is reasonably likely to cause Harm.</w:t>
      </w:r>
      <w:r w:rsidR="00236A5A" w:rsidRPr="00AD35E1">
        <w:rPr>
          <w:rStyle w:val="FootnoteReference"/>
          <w:lang w:eastAsia="en-US"/>
        </w:rPr>
        <w:footnoteReference w:id="7"/>
      </w:r>
      <w:r w:rsidR="00772205" w:rsidRPr="00AD35E1">
        <w:rPr>
          <w:lang w:eastAsia="en-US"/>
        </w:rPr>
        <w:t xml:space="preserve"> </w:t>
      </w:r>
      <w:r w:rsidR="000F7E5D" w:rsidRPr="00AD35E1">
        <w:rPr>
          <w:lang w:eastAsia="en-US"/>
        </w:rPr>
        <w:t>Put simply</w:t>
      </w:r>
      <w:r w:rsidR="006A4AE9" w:rsidRPr="00AD35E1">
        <w:rPr>
          <w:lang w:eastAsia="en-US"/>
        </w:rPr>
        <w:t xml:space="preserve">, misinformation often refers to </w:t>
      </w:r>
      <w:r w:rsidR="0003477E" w:rsidRPr="00AD35E1">
        <w:rPr>
          <w:lang w:eastAsia="en-US"/>
        </w:rPr>
        <w:t xml:space="preserve">content shared through normal use of a service while disinformation </w:t>
      </w:r>
      <w:r w:rsidR="00BF3C02" w:rsidRPr="00AD35E1">
        <w:rPr>
          <w:lang w:eastAsia="en-US"/>
        </w:rPr>
        <w:t>often</w:t>
      </w:r>
      <w:r w:rsidR="0003477E" w:rsidRPr="00AD35E1">
        <w:rPr>
          <w:lang w:eastAsia="en-US"/>
        </w:rPr>
        <w:t xml:space="preserve"> refer</w:t>
      </w:r>
      <w:r w:rsidR="00BF3C02" w:rsidRPr="00AD35E1">
        <w:rPr>
          <w:lang w:eastAsia="en-US"/>
        </w:rPr>
        <w:t>s</w:t>
      </w:r>
      <w:r w:rsidR="0003477E" w:rsidRPr="00AD35E1">
        <w:rPr>
          <w:lang w:eastAsia="en-US"/>
        </w:rPr>
        <w:t xml:space="preserve"> to an intentional effort</w:t>
      </w:r>
      <w:r w:rsidR="00BC3796" w:rsidRPr="00AD35E1">
        <w:rPr>
          <w:lang w:eastAsia="en-US"/>
        </w:rPr>
        <w:t xml:space="preserve"> to spread </w:t>
      </w:r>
      <w:r w:rsidR="00AB6427" w:rsidRPr="00AD35E1">
        <w:rPr>
          <w:lang w:eastAsia="en-US"/>
        </w:rPr>
        <w:t xml:space="preserve">misinformation. </w:t>
      </w:r>
    </w:p>
    <w:p w14:paraId="457BA5EC" w14:textId="22908B3A" w:rsidR="00444C58" w:rsidRPr="00AD35E1" w:rsidRDefault="00FB0976" w:rsidP="00756F51">
      <w:pPr>
        <w:rPr>
          <w:lang w:eastAsia="en-US"/>
        </w:rPr>
      </w:pPr>
      <w:r w:rsidRPr="00AD35E1">
        <w:rPr>
          <w:lang w:eastAsia="en-US"/>
        </w:rPr>
        <w:t xml:space="preserve">This submission will provide ACCAN’s perspective on the questions raised in the Discussion paper. As the leading voice for communications consumers in Australia, ACCAN </w:t>
      </w:r>
      <w:r w:rsidR="00505788" w:rsidRPr="00AD35E1">
        <w:rPr>
          <w:lang w:eastAsia="en-US"/>
        </w:rPr>
        <w:t>submitted to the draft Code</w:t>
      </w:r>
      <w:r w:rsidR="000D47EF" w:rsidRPr="00AD35E1">
        <w:rPr>
          <w:lang w:eastAsia="en-US"/>
        </w:rPr>
        <w:t xml:space="preserve"> in 2020</w:t>
      </w:r>
      <w:r w:rsidR="00C45F94">
        <w:rPr>
          <w:lang w:eastAsia="en-US"/>
        </w:rPr>
        <w:t xml:space="preserve"> </w:t>
      </w:r>
      <w:r w:rsidR="00983DF7">
        <w:rPr>
          <w:lang w:eastAsia="en-US"/>
        </w:rPr>
        <w:t>and wrote about the complaints process in 2022</w:t>
      </w:r>
      <w:r w:rsidR="00B85425" w:rsidRPr="00AD35E1">
        <w:rPr>
          <w:lang w:eastAsia="en-US"/>
        </w:rPr>
        <w:t>.</w:t>
      </w:r>
      <w:r w:rsidR="000855B4">
        <w:rPr>
          <w:rStyle w:val="FootnoteReference"/>
          <w:lang w:eastAsia="en-US"/>
        </w:rPr>
        <w:footnoteReference w:id="8"/>
      </w:r>
      <w:r w:rsidR="00B85425" w:rsidRPr="00AD35E1">
        <w:rPr>
          <w:lang w:eastAsia="en-US"/>
        </w:rPr>
        <w:t xml:space="preserve"> </w:t>
      </w:r>
      <w:r w:rsidR="00B31DE7" w:rsidRPr="00AD35E1">
        <w:rPr>
          <w:lang w:eastAsia="en-US"/>
        </w:rPr>
        <w:t xml:space="preserve">It is good to </w:t>
      </w:r>
      <w:r w:rsidR="00D358FD" w:rsidRPr="00AD35E1">
        <w:rPr>
          <w:lang w:eastAsia="en-US"/>
        </w:rPr>
        <w:t xml:space="preserve">see that the ACMA intends to continue to monitor the Code and that DIGI is </w:t>
      </w:r>
      <w:r w:rsidR="00D33316" w:rsidRPr="00AD35E1">
        <w:rPr>
          <w:lang w:eastAsia="en-US"/>
        </w:rPr>
        <w:t>supportive of that engagement.</w:t>
      </w:r>
      <w:r w:rsidR="00713A7C" w:rsidRPr="00AD35E1">
        <w:rPr>
          <w:lang w:eastAsia="en-US"/>
        </w:rPr>
        <w:t xml:space="preserve"> </w:t>
      </w:r>
    </w:p>
    <w:p w14:paraId="4756E7C9" w14:textId="00BAB943" w:rsidR="003D0A91" w:rsidRPr="00AD35E1" w:rsidRDefault="003D0A91" w:rsidP="00756F51">
      <w:r w:rsidRPr="00AD35E1">
        <w:rPr>
          <w:lang w:eastAsia="en-US"/>
        </w:rPr>
        <w:lastRenderedPageBreak/>
        <w:t>The following submission</w:t>
      </w:r>
      <w:r w:rsidR="005F1DD1" w:rsidRPr="00AD35E1">
        <w:rPr>
          <w:lang w:eastAsia="en-US"/>
        </w:rPr>
        <w:t xml:space="preserve"> is divided into four sections. The first section</w:t>
      </w:r>
      <w:r w:rsidR="005008EF" w:rsidRPr="00AD35E1">
        <w:rPr>
          <w:lang w:eastAsia="en-US"/>
        </w:rPr>
        <w:t xml:space="preserve"> responds to the pressing need to better publicise the Code</w:t>
      </w:r>
      <w:r w:rsidR="00785481" w:rsidRPr="00AD35E1">
        <w:rPr>
          <w:lang w:eastAsia="en-US"/>
        </w:rPr>
        <w:t xml:space="preserve"> to the Australian public. The following three sections</w:t>
      </w:r>
      <w:r w:rsidRPr="00AD35E1">
        <w:rPr>
          <w:lang w:eastAsia="en-US"/>
        </w:rPr>
        <w:t xml:space="preserve"> </w:t>
      </w:r>
      <w:r w:rsidR="00896DB3" w:rsidRPr="00AD35E1">
        <w:rPr>
          <w:lang w:eastAsia="en-US"/>
        </w:rPr>
        <w:t xml:space="preserve">engage with the eight questions raised in the discussion paper. </w:t>
      </w:r>
      <w:r w:rsidR="00785481" w:rsidRPr="00AD35E1">
        <w:rPr>
          <w:lang w:eastAsia="en-US"/>
        </w:rPr>
        <w:t>Section two</w:t>
      </w:r>
      <w:r w:rsidR="00AE5672" w:rsidRPr="00AD35E1">
        <w:rPr>
          <w:lang w:eastAsia="en-US"/>
        </w:rPr>
        <w:t xml:space="preserve"> engages with question eight to reiterate ACCAN’s firm support for misinformation to remain in the Code. </w:t>
      </w:r>
      <w:r w:rsidR="00785481" w:rsidRPr="00AD35E1">
        <w:rPr>
          <w:lang w:eastAsia="en-US"/>
        </w:rPr>
        <w:t>Section three</w:t>
      </w:r>
      <w:r w:rsidR="00AE5672" w:rsidRPr="00AD35E1">
        <w:rPr>
          <w:lang w:eastAsia="en-US"/>
        </w:rPr>
        <w:t xml:space="preserve"> addresses questions of </w:t>
      </w:r>
      <w:r w:rsidR="000A5B48" w:rsidRPr="00AD35E1">
        <w:rPr>
          <w:lang w:eastAsia="en-US"/>
        </w:rPr>
        <w:t xml:space="preserve">scope in the Code. </w:t>
      </w:r>
      <w:r w:rsidR="00785481" w:rsidRPr="00AD35E1">
        <w:rPr>
          <w:lang w:eastAsia="en-US"/>
        </w:rPr>
        <w:t>Section four</w:t>
      </w:r>
      <w:r w:rsidR="000A5B48" w:rsidRPr="00AD35E1">
        <w:rPr>
          <w:lang w:eastAsia="en-US"/>
        </w:rPr>
        <w:t xml:space="preserve"> </w:t>
      </w:r>
      <w:r w:rsidR="00FC3674" w:rsidRPr="00AD35E1">
        <w:rPr>
          <w:lang w:eastAsia="en-US"/>
        </w:rPr>
        <w:t>speaks to</w:t>
      </w:r>
      <w:r w:rsidR="000A5B48" w:rsidRPr="00AD35E1">
        <w:rPr>
          <w:lang w:eastAsia="en-US"/>
        </w:rPr>
        <w:t xml:space="preserve"> questions of clarification in the Code.</w:t>
      </w:r>
      <w:r w:rsidR="002D7A8B" w:rsidRPr="00AD35E1">
        <w:rPr>
          <w:lang w:eastAsia="en-US"/>
        </w:rPr>
        <w:t xml:space="preserve"> ACCAN makes </w:t>
      </w:r>
      <w:r w:rsidR="009351FC" w:rsidRPr="00AD35E1">
        <w:rPr>
          <w:lang w:eastAsia="en-US"/>
        </w:rPr>
        <w:t>1</w:t>
      </w:r>
      <w:r w:rsidR="00BF5AB0">
        <w:rPr>
          <w:lang w:eastAsia="en-US"/>
        </w:rPr>
        <w:t>2</w:t>
      </w:r>
      <w:r w:rsidR="002D7A8B" w:rsidRPr="00AD35E1">
        <w:rPr>
          <w:lang w:eastAsia="en-US"/>
        </w:rPr>
        <w:t xml:space="preserve"> </w:t>
      </w:r>
      <w:r w:rsidR="00965CED" w:rsidRPr="00AD35E1">
        <w:rPr>
          <w:lang w:eastAsia="en-US"/>
        </w:rPr>
        <w:t>recommendations</w:t>
      </w:r>
      <w:r w:rsidR="00E414A2" w:rsidRPr="00AD35E1">
        <w:rPr>
          <w:lang w:eastAsia="en-US"/>
        </w:rPr>
        <w:t xml:space="preserve"> across these </w:t>
      </w:r>
      <w:r w:rsidR="00FC3674" w:rsidRPr="00AD35E1">
        <w:rPr>
          <w:lang w:eastAsia="en-US"/>
        </w:rPr>
        <w:t>four</w:t>
      </w:r>
      <w:r w:rsidR="00E414A2" w:rsidRPr="00AD35E1">
        <w:rPr>
          <w:lang w:eastAsia="en-US"/>
        </w:rPr>
        <w:t xml:space="preserve"> sections.</w:t>
      </w:r>
      <w:r w:rsidR="0014626C" w:rsidRPr="00AD35E1">
        <w:rPr>
          <w:lang w:eastAsia="en-US"/>
        </w:rPr>
        <w:t xml:space="preserve"> ACCAN is </w:t>
      </w:r>
      <w:r w:rsidR="00F07B88" w:rsidRPr="00AD35E1">
        <w:rPr>
          <w:lang w:eastAsia="en-US"/>
        </w:rPr>
        <w:t>available</w:t>
      </w:r>
      <w:r w:rsidR="0014626C" w:rsidRPr="00AD35E1">
        <w:rPr>
          <w:lang w:eastAsia="en-US"/>
        </w:rPr>
        <w:t xml:space="preserve"> to provide further information on any of the</w:t>
      </w:r>
      <w:r w:rsidR="00F07B88" w:rsidRPr="00AD35E1">
        <w:rPr>
          <w:lang w:eastAsia="en-US"/>
        </w:rPr>
        <w:t xml:space="preserve"> recommendations made in this submission.</w:t>
      </w:r>
    </w:p>
    <w:p w14:paraId="7465AD27" w14:textId="77777777" w:rsidR="00444C58" w:rsidRPr="00AD35E1" w:rsidRDefault="00444C58" w:rsidP="00756F51"/>
    <w:p w14:paraId="7BB0962B" w14:textId="77777777" w:rsidR="00CE79B2" w:rsidRPr="00AD35E1" w:rsidRDefault="00CE79B2" w:rsidP="00F24947">
      <w:r w:rsidRPr="00AD35E1">
        <w:br w:type="page"/>
      </w:r>
    </w:p>
    <w:p w14:paraId="398BCD3B" w14:textId="5880C1D4" w:rsidR="003A11DE" w:rsidRPr="00AD35E1" w:rsidRDefault="00B41CA8" w:rsidP="00662F53">
      <w:pPr>
        <w:pStyle w:val="Title"/>
        <w:rPr>
          <w:lang w:val="en-AU" w:eastAsia="en-US"/>
        </w:rPr>
      </w:pPr>
      <w:bookmarkStart w:id="13" w:name="_Toc108165446"/>
      <w:r w:rsidRPr="00AD35E1">
        <w:rPr>
          <w:lang w:val="en-AU" w:eastAsia="en-US"/>
        </w:rPr>
        <w:lastRenderedPageBreak/>
        <w:t>List of Recommendations</w:t>
      </w:r>
      <w:bookmarkEnd w:id="13"/>
    </w:p>
    <w:p w14:paraId="70403AA6" w14:textId="0544E11B" w:rsidR="009F64E2" w:rsidRDefault="009F64E2" w:rsidP="009F64E2">
      <w:pPr>
        <w:pStyle w:val="Recommendation"/>
        <w:numPr>
          <w:ilvl w:val="0"/>
          <w:numId w:val="29"/>
        </w:numPr>
      </w:pPr>
      <w:r w:rsidRPr="00AD35E1">
        <w:t>The Code should be meaningfully publicised to the Australian public across a range of advertising channels including broadcast television, radio, print, out</w:t>
      </w:r>
      <w:r w:rsidR="006C207B">
        <w:t>door advertising</w:t>
      </w:r>
      <w:r w:rsidR="00FD28F0">
        <w:t>,</w:t>
      </w:r>
      <w:r w:rsidRPr="00AD35E1">
        <w:t xml:space="preserve"> and digital platforms. Signatories</w:t>
      </w:r>
      <w:r w:rsidR="00557C0B">
        <w:t xml:space="preserve"> to</w:t>
      </w:r>
      <w:r w:rsidRPr="00AD35E1">
        <w:t xml:space="preserve"> the Code should provide </w:t>
      </w:r>
      <w:r w:rsidR="004A024A">
        <w:t xml:space="preserve">appropriate funding to </w:t>
      </w:r>
      <w:r w:rsidRPr="00AD35E1">
        <w:t xml:space="preserve">DIGI </w:t>
      </w:r>
      <w:r w:rsidR="00D12ACB">
        <w:t>to</w:t>
      </w:r>
      <w:r w:rsidR="004A024A">
        <w:t xml:space="preserve"> carry out </w:t>
      </w:r>
      <w:r w:rsidR="0014389B">
        <w:t>this</w:t>
      </w:r>
      <w:r w:rsidR="00D5459B">
        <w:t xml:space="preserve"> public education </w:t>
      </w:r>
      <w:r w:rsidR="0014389B">
        <w:t>initiative</w:t>
      </w:r>
      <w:r w:rsidR="00D5459B">
        <w:t>.</w:t>
      </w:r>
    </w:p>
    <w:p w14:paraId="7EF50AA2" w14:textId="4C7FC9D1" w:rsidR="00FE7699" w:rsidRPr="00AD35E1" w:rsidRDefault="00A07293" w:rsidP="009F64E2">
      <w:pPr>
        <w:pStyle w:val="Recommendation"/>
        <w:numPr>
          <w:ilvl w:val="0"/>
          <w:numId w:val="29"/>
        </w:numPr>
      </w:pPr>
      <w:r>
        <w:t>The Code should con</w:t>
      </w:r>
      <w:r w:rsidR="008B5015">
        <w:t>tinue to address both misinformation and disinformation.</w:t>
      </w:r>
    </w:p>
    <w:p w14:paraId="43CCABBE" w14:textId="77777777" w:rsidR="00FE7699" w:rsidRPr="00AD35E1" w:rsidRDefault="00FE7699" w:rsidP="00FE7699">
      <w:pPr>
        <w:pStyle w:val="Recommendation"/>
        <w:numPr>
          <w:ilvl w:val="0"/>
          <w:numId w:val="29"/>
        </w:numPr>
      </w:pPr>
      <w:r w:rsidRPr="00AD35E1">
        <w:t>The Code should be amended to require signatories to provide users with tools and educational materials to better control how their data is used and how digital content is presented to them via recommender systems.</w:t>
      </w:r>
    </w:p>
    <w:p w14:paraId="6FE90828" w14:textId="77777777" w:rsidR="00E141AC" w:rsidRPr="00AD35E1" w:rsidRDefault="00E141AC" w:rsidP="00E141AC">
      <w:pPr>
        <w:pStyle w:val="Recommendation"/>
        <w:numPr>
          <w:ilvl w:val="0"/>
          <w:numId w:val="29"/>
        </w:numPr>
        <w:rPr>
          <w:rStyle w:val="normaltextrun"/>
          <w:rFonts w:cs="Calibri"/>
        </w:rPr>
      </w:pPr>
      <w:r w:rsidRPr="00AD35E1">
        <w:rPr>
          <w:rStyle w:val="normaltextrun"/>
          <w:rFonts w:cs="Calibri"/>
        </w:rPr>
        <w:t>ACCAN supports the ACMA’s recommendations that the ACMA should continue to play a role in overseeing The Code, including its scope.</w:t>
      </w:r>
    </w:p>
    <w:p w14:paraId="5B663565" w14:textId="7970D563" w:rsidR="00E141AC" w:rsidRPr="00AD35E1" w:rsidRDefault="00E141AC" w:rsidP="00E141AC">
      <w:pPr>
        <w:pStyle w:val="Recommendation"/>
        <w:numPr>
          <w:ilvl w:val="0"/>
          <w:numId w:val="29"/>
        </w:numPr>
      </w:pPr>
      <w:r w:rsidRPr="00AD35E1">
        <w:t xml:space="preserve">Section 7 of the Code should include a clause that DIGI will </w:t>
      </w:r>
      <w:r w:rsidR="00FE13FB">
        <w:t>maintain</w:t>
      </w:r>
      <w:r w:rsidRPr="00AD35E1">
        <w:t xml:space="preserve"> a complete and up-to-date list of all Code signatories.</w:t>
      </w:r>
    </w:p>
    <w:p w14:paraId="6CDBDD19" w14:textId="77777777" w:rsidR="00E32A3D" w:rsidRPr="00AD35E1" w:rsidRDefault="00E32A3D" w:rsidP="00E32A3D">
      <w:pPr>
        <w:pStyle w:val="Recommendation"/>
        <w:numPr>
          <w:ilvl w:val="0"/>
          <w:numId w:val="29"/>
        </w:numPr>
      </w:pPr>
      <w:r w:rsidRPr="00AD35E1">
        <w:t>Section 5.27 of the Code should be amended to provide more detail around an annual stakeholder event.</w:t>
      </w:r>
    </w:p>
    <w:p w14:paraId="14528A9C" w14:textId="77777777" w:rsidR="00D1280A" w:rsidRDefault="00D1280A" w:rsidP="00D1280A">
      <w:pPr>
        <w:pStyle w:val="Recommendation"/>
        <w:numPr>
          <w:ilvl w:val="0"/>
          <w:numId w:val="29"/>
        </w:numPr>
      </w:pPr>
      <w:r w:rsidRPr="00D1280A">
        <w:t xml:space="preserve">The decision on whether to include private messaging services in the Code should be revisited in the next review. A well-informed consideration requires careful balance between the minimisation of harms and freedom of expression. </w:t>
      </w:r>
    </w:p>
    <w:p w14:paraId="5ACB5C01" w14:textId="06701140" w:rsidR="00017729" w:rsidRPr="00AD35E1" w:rsidRDefault="00017729" w:rsidP="00D1280A">
      <w:pPr>
        <w:pStyle w:val="Recommendation"/>
        <w:numPr>
          <w:ilvl w:val="0"/>
          <w:numId w:val="29"/>
        </w:numPr>
      </w:pPr>
      <w:r w:rsidRPr="00D1280A">
        <w:rPr>
          <w:rStyle w:val="normaltextrun"/>
          <w:rFonts w:cs="Calibri"/>
        </w:rPr>
        <w:t>The Code should be amended so that professional news is not exempted from misinformation considerations</w:t>
      </w:r>
      <w:r w:rsidR="006C7EA0" w:rsidRPr="00D1280A">
        <w:rPr>
          <w:rStyle w:val="normaltextrun"/>
          <w:rFonts w:cs="Calibri"/>
        </w:rPr>
        <w:t>.</w:t>
      </w:r>
      <w:r w:rsidRPr="00D1280A">
        <w:rPr>
          <w:rStyle w:val="normaltextrun"/>
          <w:rFonts w:cs="Calibri"/>
        </w:rPr>
        <w:t xml:space="preserve"> </w:t>
      </w:r>
      <w:r w:rsidR="006C7EA0" w:rsidRPr="00D1280A">
        <w:rPr>
          <w:rStyle w:val="normaltextrun"/>
          <w:rFonts w:cs="Calibri"/>
        </w:rPr>
        <w:t>N</w:t>
      </w:r>
      <w:r w:rsidRPr="00D1280A">
        <w:rPr>
          <w:rStyle w:val="normaltextrun"/>
          <w:rFonts w:cs="Calibri"/>
        </w:rPr>
        <w:t xml:space="preserve">ews aggregation services should be included in the scope of the </w:t>
      </w:r>
      <w:r w:rsidR="005636A8" w:rsidRPr="00D1280A">
        <w:rPr>
          <w:rStyle w:val="normaltextrun"/>
          <w:rFonts w:cs="Calibri"/>
        </w:rPr>
        <w:t>C</w:t>
      </w:r>
      <w:r w:rsidRPr="00D1280A">
        <w:rPr>
          <w:rStyle w:val="normaltextrun"/>
          <w:rFonts w:cs="Calibri"/>
        </w:rPr>
        <w:t>ode.</w:t>
      </w:r>
    </w:p>
    <w:p w14:paraId="0EA589CA" w14:textId="5C2E8880" w:rsidR="00017729" w:rsidRPr="00AD35E1" w:rsidRDefault="00017729" w:rsidP="00017729">
      <w:pPr>
        <w:pStyle w:val="Recommendation"/>
        <w:numPr>
          <w:ilvl w:val="0"/>
          <w:numId w:val="29"/>
        </w:numPr>
      </w:pPr>
      <w:r w:rsidRPr="00AD35E1">
        <w:t xml:space="preserve">The Code should </w:t>
      </w:r>
      <w:r w:rsidR="005C5E21">
        <w:t>require</w:t>
      </w:r>
      <w:r w:rsidRPr="00AD35E1">
        <w:t xml:space="preserve"> an opt-out</w:t>
      </w:r>
      <w:r w:rsidR="00FE1A14">
        <w:t xml:space="preserve"> approach</w:t>
      </w:r>
      <w:r w:rsidRPr="00AD35E1">
        <w:t xml:space="preserve"> to optional commitments to ensure maximum protection for consumers and transparency for stakeholders.</w:t>
      </w:r>
    </w:p>
    <w:p w14:paraId="0A61F63B" w14:textId="79128043" w:rsidR="00004746" w:rsidRPr="00004746" w:rsidRDefault="00004746" w:rsidP="00017729">
      <w:pPr>
        <w:pStyle w:val="Recommendation"/>
        <w:numPr>
          <w:ilvl w:val="0"/>
          <w:numId w:val="29"/>
        </w:numPr>
        <w:rPr>
          <w:rFonts w:cs="Calibri"/>
        </w:rPr>
      </w:pPr>
      <w:r w:rsidRPr="00AD35E1">
        <w:t>“</w:t>
      </w:r>
      <w:r w:rsidR="00086478">
        <w:t>I</w:t>
      </w:r>
      <w:r w:rsidRPr="00AD35E1">
        <w:t>mminent” should be removed from the definition of harm in section 3.4 of the Code.</w:t>
      </w:r>
    </w:p>
    <w:p w14:paraId="4BB7ACB7" w14:textId="4CD10963" w:rsidR="00017729" w:rsidRPr="00AD35E1" w:rsidRDefault="00017729" w:rsidP="00017729">
      <w:pPr>
        <w:pStyle w:val="Recommendation"/>
        <w:numPr>
          <w:ilvl w:val="0"/>
          <w:numId w:val="29"/>
        </w:numPr>
        <w:rPr>
          <w:rStyle w:val="normaltextrun"/>
          <w:rFonts w:cs="Calibri"/>
        </w:rPr>
      </w:pPr>
      <w:r w:rsidRPr="00AD35E1">
        <w:rPr>
          <w:rStyle w:val="normaltextrun"/>
          <w:rFonts w:cs="Calibri"/>
        </w:rPr>
        <w:t>Issues-based advertising should be clearly defined in the Code but should not be excluded from considerations of misinformation. Users should be provided with greater transparency as to the source of issues-based advertising and provided with tools to control advertising they see as well as report mis- and disinformation.</w:t>
      </w:r>
    </w:p>
    <w:p w14:paraId="2C062983" w14:textId="79220789" w:rsidR="00123555" w:rsidRPr="00123555" w:rsidRDefault="00123555" w:rsidP="00123555">
      <w:pPr>
        <w:pStyle w:val="Recommendation"/>
        <w:numPr>
          <w:ilvl w:val="0"/>
          <w:numId w:val="29"/>
        </w:numPr>
        <w:rPr>
          <w:rStyle w:val="scxw218924026"/>
          <w:rFonts w:cs="Calibri"/>
        </w:rPr>
      </w:pPr>
      <w:r w:rsidRPr="00123555">
        <w:rPr>
          <w:rStyle w:val="normaltextrun"/>
          <w:rFonts w:cs="Calibri"/>
        </w:rPr>
        <w:t>ACCAN supports DIGI’s proposed definition of sponsored content. ACCAN supports the ACMA’s requirement for greater transparency and proactive measures to reflect</w:t>
      </w:r>
      <w:r w:rsidR="00661664">
        <w:rPr>
          <w:rStyle w:val="normaltextrun"/>
          <w:rFonts w:cs="Calibri"/>
        </w:rPr>
        <w:t xml:space="preserve"> digital</w:t>
      </w:r>
      <w:r w:rsidRPr="00123555">
        <w:rPr>
          <w:rStyle w:val="normaltextrun"/>
          <w:rFonts w:cs="Calibri"/>
        </w:rPr>
        <w:t xml:space="preserve"> platforms</w:t>
      </w:r>
      <w:r w:rsidR="00661664">
        <w:rPr>
          <w:rStyle w:val="normaltextrun"/>
          <w:rFonts w:cs="Calibri"/>
        </w:rPr>
        <w:t>’</w:t>
      </w:r>
      <w:r w:rsidRPr="00123555">
        <w:rPr>
          <w:rStyle w:val="normaltextrun"/>
          <w:rFonts w:cs="Calibri"/>
        </w:rPr>
        <w:t xml:space="preserve"> increased responsibility regarding sponsored content.</w:t>
      </w:r>
    </w:p>
    <w:p w14:paraId="27436162" w14:textId="77777777" w:rsidR="00017729" w:rsidRPr="00AD35E1" w:rsidRDefault="00017729" w:rsidP="00123555">
      <w:pPr>
        <w:pStyle w:val="Recommendation"/>
        <w:numPr>
          <w:ilvl w:val="0"/>
          <w:numId w:val="0"/>
        </w:numPr>
        <w:ind w:left="851"/>
        <w:rPr>
          <w:rStyle w:val="normaltextrun"/>
          <w:rFonts w:cs="Calibri"/>
        </w:rPr>
      </w:pPr>
    </w:p>
    <w:p w14:paraId="2AC0E9D3" w14:textId="77777777" w:rsidR="00756F51" w:rsidRPr="00AD35E1" w:rsidRDefault="00756F51" w:rsidP="00756F51">
      <w:pPr>
        <w:rPr>
          <w:lang w:eastAsia="en-US"/>
        </w:rPr>
      </w:pPr>
    </w:p>
    <w:p w14:paraId="683460B6" w14:textId="34700F52" w:rsidR="007E2DEE" w:rsidRPr="00AD35E1" w:rsidRDefault="00CE79B2" w:rsidP="008C766C">
      <w:pPr>
        <w:rPr>
          <w:lang w:eastAsia="en-US"/>
        </w:rPr>
      </w:pPr>
      <w:r w:rsidRPr="00AD35E1">
        <w:rPr>
          <w:lang w:eastAsia="en-US"/>
        </w:rPr>
        <w:br w:type="page"/>
      </w:r>
      <w:bookmarkStart w:id="14" w:name="_Toc99975404"/>
      <w:bookmarkStart w:id="15" w:name="_Toc99975455"/>
      <w:r w:rsidR="003573DB" w:rsidRPr="00AD35E1">
        <w:rPr>
          <w:lang w:eastAsia="en-US"/>
        </w:rPr>
        <w:lastRenderedPageBreak/>
        <w:t xml:space="preserve">Responses to </w:t>
      </w:r>
      <w:bookmarkEnd w:id="14"/>
      <w:bookmarkEnd w:id="15"/>
      <w:r w:rsidR="009A42D2" w:rsidRPr="00AD35E1">
        <w:rPr>
          <w:lang w:eastAsia="en-US"/>
        </w:rPr>
        <w:t>ACPMD 2022 Review Discussion Paper</w:t>
      </w:r>
      <w:bookmarkStart w:id="16" w:name="_Toc99975405"/>
      <w:bookmarkStart w:id="17" w:name="_Toc99975456"/>
      <w:bookmarkStart w:id="18" w:name="_Toc99975573"/>
    </w:p>
    <w:p w14:paraId="3A9336B1" w14:textId="2D121FF2" w:rsidR="00553ABF" w:rsidRPr="00AD35E1" w:rsidRDefault="00553ABF" w:rsidP="00662F53">
      <w:pPr>
        <w:pStyle w:val="Heading1"/>
      </w:pPr>
      <w:bookmarkStart w:id="19" w:name="_Toc108165447"/>
      <w:r w:rsidRPr="00AD35E1">
        <w:t xml:space="preserve">2.1 The need to publicise the </w:t>
      </w:r>
      <w:r w:rsidR="005E5442" w:rsidRPr="00AD35E1">
        <w:t>Code and complaints process</w:t>
      </w:r>
      <w:bookmarkEnd w:id="19"/>
    </w:p>
    <w:p w14:paraId="57FAA248" w14:textId="45928309" w:rsidR="00B47A6A" w:rsidRPr="00AD35E1" w:rsidRDefault="006A1333" w:rsidP="00612103">
      <w:r w:rsidRPr="00AD35E1">
        <w:t xml:space="preserve">Effective codes of practice rely on </w:t>
      </w:r>
      <w:r w:rsidR="003A5347" w:rsidRPr="00AD35E1">
        <w:t>consumers</w:t>
      </w:r>
      <w:r w:rsidR="00491647" w:rsidRPr="00AD35E1">
        <w:t xml:space="preserve"> knowing that codes exist and easily being able to access and navigate the complaints</w:t>
      </w:r>
      <w:r w:rsidR="00784E7E" w:rsidRPr="00AD35E1">
        <w:t xml:space="preserve"> process. As the Australian Competition and Consumer</w:t>
      </w:r>
      <w:r w:rsidR="00F91F89" w:rsidRPr="00AD35E1">
        <w:t xml:space="preserve"> Commission</w:t>
      </w:r>
      <w:r w:rsidR="00311650" w:rsidRPr="00AD35E1">
        <w:t xml:space="preserve"> (ACCC)</w:t>
      </w:r>
      <w:r w:rsidR="00F91F89" w:rsidRPr="00AD35E1">
        <w:t xml:space="preserve"> states, an </w:t>
      </w:r>
      <w:r w:rsidRPr="00AD35E1">
        <w:t>“effective code should incorporate a strategy that will raise consumers’ awareness of</w:t>
      </w:r>
      <w:r w:rsidR="00F91F89" w:rsidRPr="00AD35E1">
        <w:t xml:space="preserve"> </w:t>
      </w:r>
      <w:r w:rsidRPr="00AD35E1">
        <w:t>the code and its contents, including its complaints handling provisions”</w:t>
      </w:r>
      <w:r w:rsidR="00F91F89" w:rsidRPr="00AD35E1">
        <w:t>.</w:t>
      </w:r>
      <w:r w:rsidRPr="00AD35E1">
        <w:rPr>
          <w:rStyle w:val="FootnoteReference"/>
        </w:rPr>
        <w:footnoteReference w:id="9"/>
      </w:r>
      <w:r w:rsidR="00F91F89" w:rsidRPr="00AD35E1">
        <w:t xml:space="preserve"> </w:t>
      </w:r>
      <w:r w:rsidR="000459BF" w:rsidRPr="00AD35E1">
        <w:t xml:space="preserve">This point is echoed again by the ACMA in its recent </w:t>
      </w:r>
      <w:r w:rsidR="00081B1B" w:rsidRPr="00AD35E1">
        <w:t>position paper for content providers</w:t>
      </w:r>
      <w:r w:rsidR="000E3C59" w:rsidRPr="00AD35E1">
        <w:t>. The ACMA notes that best practice</w:t>
      </w:r>
      <w:r w:rsidR="00612103" w:rsidRPr="00AD35E1">
        <w:t xml:space="preserve"> approaches to transparency in industry codes should </w:t>
      </w:r>
    </w:p>
    <w:p w14:paraId="2AAF260D" w14:textId="247153DC" w:rsidR="00612103" w:rsidRPr="00AD35E1" w:rsidRDefault="00612103" w:rsidP="00B47A6A">
      <w:pPr>
        <w:pStyle w:val="Quote"/>
        <w:numPr>
          <w:ilvl w:val="0"/>
          <w:numId w:val="35"/>
        </w:numPr>
      </w:pPr>
      <w:r w:rsidRPr="00AD35E1">
        <w:t>Provide clear information about how to complain about possible violations of those</w:t>
      </w:r>
      <w:r w:rsidR="00B47A6A" w:rsidRPr="00AD35E1">
        <w:t xml:space="preserve"> </w:t>
      </w:r>
      <w:r w:rsidRPr="00AD35E1">
        <w:t>protections and how unresolved complaints may be escalated and to whom</w:t>
      </w:r>
      <w:r w:rsidR="00B47A6A" w:rsidRPr="00AD35E1">
        <w:t>.</w:t>
      </w:r>
    </w:p>
    <w:p w14:paraId="79697CAE" w14:textId="6F869030" w:rsidR="00BD241A" w:rsidRPr="00AD35E1" w:rsidRDefault="00612103" w:rsidP="00BD241A">
      <w:pPr>
        <w:pStyle w:val="Quote"/>
        <w:numPr>
          <w:ilvl w:val="0"/>
          <w:numId w:val="35"/>
        </w:numPr>
      </w:pPr>
      <w:r w:rsidRPr="00AD35E1">
        <w:t>Promote to audiences that protections exist and what they can do if they think</w:t>
      </w:r>
      <w:r w:rsidR="00B47A6A" w:rsidRPr="00AD35E1">
        <w:t xml:space="preserve"> </w:t>
      </w:r>
      <w:r w:rsidRPr="00AD35E1">
        <w:t>there is a problem</w:t>
      </w:r>
      <w:r w:rsidR="004660CE" w:rsidRPr="00AD35E1">
        <w:t xml:space="preserve"> </w:t>
      </w:r>
      <w:r w:rsidRPr="00AD35E1">
        <w:rPr>
          <w:rStyle w:val="FootnoteReference"/>
        </w:rPr>
        <w:footnoteReference w:id="10"/>
      </w:r>
    </w:p>
    <w:p w14:paraId="3481BE3D" w14:textId="64E17F9B" w:rsidR="004660CE" w:rsidRPr="00AD35E1" w:rsidRDefault="00764B5F" w:rsidP="004660CE">
      <w:r w:rsidRPr="00AD35E1">
        <w:t xml:space="preserve">Industry </w:t>
      </w:r>
      <w:r w:rsidR="00FB1118" w:rsidRPr="00AD35E1">
        <w:t xml:space="preserve">codes need to be </w:t>
      </w:r>
      <w:r w:rsidR="00067177">
        <w:t>effectively</w:t>
      </w:r>
      <w:r w:rsidR="00FB1118" w:rsidRPr="00AD35E1">
        <w:t xml:space="preserve"> promoted to </w:t>
      </w:r>
      <w:r w:rsidR="00171797" w:rsidRPr="00AD35E1">
        <w:t>the public</w:t>
      </w:r>
      <w:r w:rsidR="00FB1118" w:rsidRPr="00AD35E1">
        <w:t xml:space="preserve"> to ensure that </w:t>
      </w:r>
      <w:r w:rsidR="00171797" w:rsidRPr="00AD35E1">
        <w:t>consumers are</w:t>
      </w:r>
      <w:r w:rsidR="00FB1118" w:rsidRPr="00AD35E1">
        <w:t xml:space="preserve"> aware that </w:t>
      </w:r>
      <w:r w:rsidR="00171797" w:rsidRPr="00AD35E1">
        <w:t>the codes</w:t>
      </w:r>
      <w:r w:rsidR="00FB1118" w:rsidRPr="00AD35E1">
        <w:t xml:space="preserve"> exist but also</w:t>
      </w:r>
      <w:r w:rsidR="00F73732" w:rsidRPr="00AD35E1">
        <w:t xml:space="preserve"> </w:t>
      </w:r>
      <w:r w:rsidR="00A73CD9">
        <w:t>educate</w:t>
      </w:r>
      <w:r w:rsidR="00F73732" w:rsidRPr="00AD35E1">
        <w:t xml:space="preserve"> consumers</w:t>
      </w:r>
      <w:r w:rsidR="003772D9">
        <w:t xml:space="preserve"> </w:t>
      </w:r>
      <w:r w:rsidR="00883E00">
        <w:t xml:space="preserve">on how they </w:t>
      </w:r>
      <w:r w:rsidR="009C1AF8">
        <w:t xml:space="preserve">can </w:t>
      </w:r>
      <w:r w:rsidR="005348F6" w:rsidRPr="00AD35E1">
        <w:t xml:space="preserve">apply </w:t>
      </w:r>
      <w:r w:rsidR="00F73732" w:rsidRPr="00AD35E1">
        <w:t>the codes</w:t>
      </w:r>
      <w:r w:rsidR="005348F6" w:rsidRPr="00AD35E1">
        <w:t xml:space="preserve"> in their lives.</w:t>
      </w:r>
    </w:p>
    <w:p w14:paraId="71A0066C" w14:textId="2C9AEC24" w:rsidR="006A1333" w:rsidRPr="00AD35E1" w:rsidRDefault="00E23905" w:rsidP="002B3282">
      <w:r w:rsidRPr="00AD35E1">
        <w:t>The recently revised</w:t>
      </w:r>
      <w:r w:rsidR="005348F6" w:rsidRPr="00AD35E1">
        <w:t xml:space="preserve"> EU code</w:t>
      </w:r>
      <w:r w:rsidR="00C92F52" w:rsidRPr="00AD35E1">
        <w:t xml:space="preserve"> of practice partly addresses this need through</w:t>
      </w:r>
      <w:r w:rsidR="000E62FD" w:rsidRPr="00AD35E1">
        <w:t xml:space="preserve"> measure 17.2 on enhancing media literacy:</w:t>
      </w:r>
    </w:p>
    <w:p w14:paraId="50AD7FAF" w14:textId="1937D6B2" w:rsidR="002B3282" w:rsidRPr="00AD35E1" w:rsidRDefault="002B3282" w:rsidP="00613E5F">
      <w:pPr>
        <w:pStyle w:val="Quote"/>
      </w:pPr>
      <w:r w:rsidRPr="00AD35E1">
        <w:t>Relevant Signatories will develop, promote and/or support or continue to run activities to improve media literacy and critical thinking such as campaigns to raise awareness about</w:t>
      </w:r>
      <w:r w:rsidR="00613E5F" w:rsidRPr="00AD35E1">
        <w:t xml:space="preserve"> </w:t>
      </w:r>
      <w:r w:rsidRPr="00AD35E1">
        <w:t>Disinformation, as well as the TTPs that are being used by malicious actors, among the general</w:t>
      </w:r>
      <w:r w:rsidR="00613E5F" w:rsidRPr="00AD35E1">
        <w:t xml:space="preserve"> </w:t>
      </w:r>
      <w:r w:rsidRPr="00AD35E1">
        <w:t>public across the European Union, also considering the involvement of vulnerable communities.</w:t>
      </w:r>
      <w:r w:rsidRPr="00AD35E1">
        <w:rPr>
          <w:rStyle w:val="FootnoteReference"/>
        </w:rPr>
        <w:footnoteReference w:id="11"/>
      </w:r>
    </w:p>
    <w:p w14:paraId="0507081E" w14:textId="09282D7E" w:rsidR="00613E5F" w:rsidRPr="00AD35E1" w:rsidRDefault="00F56DA8" w:rsidP="00613E5F">
      <w:r w:rsidRPr="00AD35E1">
        <w:t xml:space="preserve">However, the EU code falls short of explicit </w:t>
      </w:r>
      <w:r w:rsidR="00E80404">
        <w:t xml:space="preserve">commitments to promote the code </w:t>
      </w:r>
      <w:r w:rsidR="00FC51DA">
        <w:t>across a wide range of media.</w:t>
      </w:r>
    </w:p>
    <w:p w14:paraId="32F27080" w14:textId="293DF0B3" w:rsidR="00F47F19" w:rsidRPr="00AD35E1" w:rsidRDefault="00586967" w:rsidP="005E6C40">
      <w:r>
        <w:t>Noting that</w:t>
      </w:r>
      <w:r w:rsidR="00EA7AEC" w:rsidRPr="00AD35E1">
        <w:t xml:space="preserve"> the ACCC and ACMA</w:t>
      </w:r>
      <w:r>
        <w:t xml:space="preserve"> argue</w:t>
      </w:r>
      <w:r w:rsidR="00EA7AEC" w:rsidRPr="00AD35E1">
        <w:t xml:space="preserve"> that effective industry codes require effective public awareness</w:t>
      </w:r>
      <w:r>
        <w:t>,</w:t>
      </w:r>
      <w:r w:rsidR="00EA7AEC" w:rsidRPr="00AD35E1">
        <w:t xml:space="preserve"> ACCAN recommends that </w:t>
      </w:r>
      <w:r w:rsidR="005F0675" w:rsidRPr="00AD35E1">
        <w:t xml:space="preserve">a meaningful publicity campaign </w:t>
      </w:r>
      <w:r w:rsidR="00DA05AE" w:rsidRPr="00AD35E1">
        <w:t>should be a priority</w:t>
      </w:r>
      <w:r w:rsidR="006269F6">
        <w:t>.</w:t>
      </w:r>
      <w:r w:rsidR="00606862">
        <w:t xml:space="preserve"> As DIGI’s ACPDM Ann</w:t>
      </w:r>
      <w:r w:rsidR="009A10B4">
        <w:t xml:space="preserve">ual Report notes, there were only eight complaints </w:t>
      </w:r>
      <w:r w:rsidR="00DB2F63">
        <w:t xml:space="preserve">received through the complaints portal since it was launched and none of them were deemed eligible </w:t>
      </w:r>
      <w:r w:rsidR="002835F0">
        <w:t>to progress to the</w:t>
      </w:r>
      <w:r w:rsidR="00FF49CF">
        <w:t xml:space="preserve"> complaints</w:t>
      </w:r>
      <w:r w:rsidR="002835F0">
        <w:t xml:space="preserve"> sub-committee.</w:t>
      </w:r>
      <w:r w:rsidR="00306876">
        <w:rPr>
          <w:rStyle w:val="FootnoteReference"/>
        </w:rPr>
        <w:footnoteReference w:id="12"/>
      </w:r>
      <w:r w:rsidR="00AE67DC">
        <w:t xml:space="preserve"> </w:t>
      </w:r>
      <w:r w:rsidR="00D43502">
        <w:t>Clearly more</w:t>
      </w:r>
      <w:r w:rsidR="00F67C6E">
        <w:t xml:space="preserve"> work is required </w:t>
      </w:r>
      <w:r w:rsidR="00DA05AE" w:rsidRPr="00AD35E1">
        <w:t>to ensure that the Australian public</w:t>
      </w:r>
      <w:r w:rsidR="00F67C6E">
        <w:t xml:space="preserve"> is aware</w:t>
      </w:r>
      <w:r w:rsidR="00DA05AE" w:rsidRPr="00AD35E1">
        <w:t xml:space="preserve"> that the </w:t>
      </w:r>
      <w:r w:rsidR="00A61290">
        <w:lastRenderedPageBreak/>
        <w:t>C</w:t>
      </w:r>
      <w:r w:rsidR="00DA05AE" w:rsidRPr="00AD35E1">
        <w:t>ode exists</w:t>
      </w:r>
      <w:r w:rsidR="00DF6CE3">
        <w:t>, what the commit</w:t>
      </w:r>
      <w:r w:rsidR="00225FB3">
        <w:t>ments</w:t>
      </w:r>
      <w:r w:rsidR="00C11A8B">
        <w:t xml:space="preserve"> mean</w:t>
      </w:r>
      <w:r w:rsidR="00DA05AE" w:rsidRPr="00AD35E1">
        <w:t xml:space="preserve"> and what</w:t>
      </w:r>
      <w:r w:rsidR="008361BE">
        <w:t xml:space="preserve"> a member of the public should</w:t>
      </w:r>
      <w:r w:rsidR="00DB251F" w:rsidRPr="00AD35E1">
        <w:t xml:space="preserve"> do if the</w:t>
      </w:r>
      <w:r w:rsidR="002706CF">
        <w:t xml:space="preserve">y think that a signatory </w:t>
      </w:r>
      <w:r w:rsidR="00B95961">
        <w:t xml:space="preserve">has breached their </w:t>
      </w:r>
      <w:r w:rsidR="00C11A8B">
        <w:t xml:space="preserve">commitments </w:t>
      </w:r>
      <w:r w:rsidR="00A61290">
        <w:t>in the Code</w:t>
      </w:r>
      <w:r w:rsidR="00DB251F" w:rsidRPr="00AD35E1">
        <w:t>. To ens</w:t>
      </w:r>
      <w:r w:rsidR="00607801" w:rsidRPr="00AD35E1">
        <w:t>ure that the campaign reaches those that are less digitally included</w:t>
      </w:r>
      <w:r w:rsidR="002440EB">
        <w:t>,</w:t>
      </w:r>
      <w:r w:rsidR="00607801" w:rsidRPr="00AD35E1">
        <w:t xml:space="preserve"> it should</w:t>
      </w:r>
      <w:r w:rsidR="00DC732D" w:rsidRPr="00AD35E1">
        <w:t xml:space="preserve"> use a range of advertising channels</w:t>
      </w:r>
      <w:r w:rsidR="00FD28F0">
        <w:t>,</w:t>
      </w:r>
      <w:r w:rsidR="00DC732D" w:rsidRPr="00AD35E1">
        <w:t xml:space="preserve"> including broadcast television, radio, print, ou</w:t>
      </w:r>
      <w:r w:rsidR="00DD3AEF">
        <w:t>tdoor advertising</w:t>
      </w:r>
      <w:r w:rsidR="00DC732D" w:rsidRPr="00AD35E1">
        <w:t xml:space="preserve"> and digital platforms. </w:t>
      </w:r>
      <w:r w:rsidR="008F3B11" w:rsidRPr="00AD35E1">
        <w:t>The publicity campaign should be</w:t>
      </w:r>
      <w:r w:rsidR="00CF1CC7" w:rsidRPr="00AD35E1">
        <w:t xml:space="preserve"> managed by DIGI and</w:t>
      </w:r>
      <w:r w:rsidR="008F3B11" w:rsidRPr="00AD35E1">
        <w:t xml:space="preserve"> paid for by</w:t>
      </w:r>
      <w:r w:rsidR="00CF1CC7" w:rsidRPr="00AD35E1">
        <w:t xml:space="preserve"> signatories to the Code.</w:t>
      </w:r>
    </w:p>
    <w:p w14:paraId="3B919755" w14:textId="4847CB09" w:rsidR="00BB6858" w:rsidRDefault="00BB6858" w:rsidP="00BB6858">
      <w:pPr>
        <w:pStyle w:val="Recommendation"/>
        <w:numPr>
          <w:ilvl w:val="0"/>
          <w:numId w:val="37"/>
        </w:numPr>
      </w:pPr>
      <w:r w:rsidRPr="00AD35E1">
        <w:t>The Code should be meaningfully publicised to the Australian public across a range of advertising channels including broadcast television, radio, print, out</w:t>
      </w:r>
      <w:r>
        <w:t>door advertising</w:t>
      </w:r>
      <w:r w:rsidR="00FD28F0">
        <w:t>,</w:t>
      </w:r>
      <w:r w:rsidRPr="00AD35E1">
        <w:t xml:space="preserve"> and digital platforms. Signatories</w:t>
      </w:r>
      <w:r>
        <w:t xml:space="preserve"> to</w:t>
      </w:r>
      <w:r w:rsidRPr="00AD35E1">
        <w:t xml:space="preserve"> the Code should provide </w:t>
      </w:r>
      <w:r>
        <w:t xml:space="preserve">appropriate funding to </w:t>
      </w:r>
      <w:r w:rsidRPr="00AD35E1">
        <w:t xml:space="preserve">DIGI </w:t>
      </w:r>
      <w:r>
        <w:t>to carry out this public education initiative.</w:t>
      </w:r>
    </w:p>
    <w:p w14:paraId="72EE8FDF" w14:textId="77777777" w:rsidR="003821A9" w:rsidRPr="00AD35E1" w:rsidRDefault="003821A9" w:rsidP="005E6C40"/>
    <w:p w14:paraId="38FDE724" w14:textId="105E0C28" w:rsidR="00662F53" w:rsidRPr="00AD35E1" w:rsidRDefault="007E2DEE" w:rsidP="00662F53">
      <w:pPr>
        <w:pStyle w:val="Heading1"/>
      </w:pPr>
      <w:bookmarkStart w:id="20" w:name="_Toc108165448"/>
      <w:r w:rsidRPr="00AD35E1">
        <w:t>2.</w:t>
      </w:r>
      <w:r w:rsidR="005E5442" w:rsidRPr="00AD35E1">
        <w:t>2</w:t>
      </w:r>
      <w:r w:rsidRPr="00AD35E1">
        <w:t xml:space="preserve"> Response to question of including misinformation</w:t>
      </w:r>
      <w:bookmarkEnd w:id="20"/>
    </w:p>
    <w:p w14:paraId="15D55164" w14:textId="633DA155" w:rsidR="00006A76" w:rsidRPr="00AD35E1" w:rsidRDefault="007E2DEE" w:rsidP="00BC5711">
      <w:pPr>
        <w:pStyle w:val="Heading3"/>
      </w:pPr>
      <w:r w:rsidRPr="00AD35E1">
        <w:rPr>
          <w:rStyle w:val="normaltextrun"/>
          <w:rFonts w:ascii="Calibri" w:hAnsi="Calibri" w:cs="Calibri"/>
          <w:sz w:val="22"/>
          <w:lang w:val="en-AU"/>
        </w:rPr>
        <w:t>8) Is the code meeting the needs of industry and the community to balance concerns about</w:t>
      </w:r>
      <w:r w:rsidRPr="00AD35E1">
        <w:rPr>
          <w:rStyle w:val="scxw218924026"/>
          <w:rFonts w:ascii="Calibri" w:hAnsi="Calibri" w:cs="Calibri"/>
          <w:sz w:val="22"/>
          <w:lang w:val="en-AU"/>
        </w:rPr>
        <w:t> </w:t>
      </w:r>
      <w:r w:rsidRPr="00AD35E1">
        <w:br/>
      </w:r>
      <w:r w:rsidRPr="00AD35E1">
        <w:rPr>
          <w:rStyle w:val="normaltextrun"/>
          <w:rFonts w:ascii="Calibri" w:hAnsi="Calibri" w:cs="Calibri"/>
          <w:sz w:val="22"/>
          <w:lang w:val="en-AU"/>
        </w:rPr>
        <w:t>misinformation and disinformation with the need to protect freedom of expression online?</w:t>
      </w:r>
      <w:r w:rsidRPr="00AD35E1">
        <w:rPr>
          <w:rStyle w:val="eop"/>
          <w:rFonts w:ascii="Calibri" w:eastAsiaTheme="majorEastAsia" w:hAnsi="Calibri" w:cs="Calibri"/>
          <w:sz w:val="22"/>
          <w:lang w:val="en-AU"/>
        </w:rPr>
        <w:t> </w:t>
      </w:r>
    </w:p>
    <w:p w14:paraId="33A02ABE" w14:textId="015876A3" w:rsidR="004736A2" w:rsidRPr="00AD35E1" w:rsidRDefault="00006A76" w:rsidP="008055A1">
      <w:pPr>
        <w:rPr>
          <w:lang w:eastAsia="en-US"/>
        </w:rPr>
      </w:pPr>
      <w:r w:rsidRPr="00AD35E1">
        <w:rPr>
          <w:lang w:eastAsia="en-US"/>
        </w:rPr>
        <w:t>Balancing concerns around misinformation and disinformation and online freedom of expression is important.</w:t>
      </w:r>
      <w:r w:rsidR="00E74440" w:rsidRPr="00AD35E1">
        <w:rPr>
          <w:lang w:eastAsia="en-US"/>
        </w:rPr>
        <w:t xml:space="preserve"> </w:t>
      </w:r>
      <w:r w:rsidR="004736A2" w:rsidRPr="00AD35E1">
        <w:rPr>
          <w:lang w:eastAsia="en-US"/>
        </w:rPr>
        <w:t>Section 2.1 of the ACPMD affirms The Code’s commitment to protecting the Australian community’s freedom of expression. Question eight of the</w:t>
      </w:r>
      <w:r w:rsidR="00E74440" w:rsidRPr="00AD35E1">
        <w:rPr>
          <w:lang w:eastAsia="en-US"/>
        </w:rPr>
        <w:t xml:space="preserve"> Discussion Paper asks if the Code </w:t>
      </w:r>
      <w:r w:rsidR="008B6093">
        <w:rPr>
          <w:lang w:eastAsia="en-US"/>
        </w:rPr>
        <w:t>strikes</w:t>
      </w:r>
      <w:r w:rsidR="00E74440" w:rsidRPr="00AD35E1">
        <w:rPr>
          <w:lang w:eastAsia="en-US"/>
        </w:rPr>
        <w:t xml:space="preserve"> the right balance between </w:t>
      </w:r>
      <w:r w:rsidR="00FA0005" w:rsidRPr="00AD35E1">
        <w:rPr>
          <w:lang w:eastAsia="en-US"/>
        </w:rPr>
        <w:t>public interest and freedom of speech by including misinformation in addition to disinformation.</w:t>
      </w:r>
      <w:r w:rsidR="00E74440" w:rsidRPr="00AD35E1">
        <w:rPr>
          <w:lang w:eastAsia="en-US"/>
        </w:rPr>
        <w:t xml:space="preserve"> However, the decision whether to continue to include misinformation within the ACPMD is not a binary decision between allowing or preventing misinformation online. It should be recognised as </w:t>
      </w:r>
      <w:r w:rsidR="00FA0005" w:rsidRPr="00AD35E1">
        <w:rPr>
          <w:lang w:eastAsia="en-US"/>
        </w:rPr>
        <w:t>an effort to reduce the effects of digital platform design that has contributed to public concern.</w:t>
      </w:r>
    </w:p>
    <w:p w14:paraId="22948475" w14:textId="3B71FA7A" w:rsidR="00006A76" w:rsidRPr="00AD35E1" w:rsidRDefault="00FA0005" w:rsidP="004736A2">
      <w:pPr>
        <w:rPr>
          <w:lang w:eastAsia="en-US"/>
        </w:rPr>
      </w:pPr>
      <w:r w:rsidRPr="00AD35E1">
        <w:rPr>
          <w:lang w:eastAsia="en-US"/>
        </w:rPr>
        <w:t>While conspiracy theories predate digital platforms, much of the public concern around misinformation and disinformation stems from the design of digital platforms.</w:t>
      </w:r>
      <w:r w:rsidR="004736A2" w:rsidRPr="00AD35E1">
        <w:rPr>
          <w:lang w:eastAsia="en-US"/>
        </w:rPr>
        <w:t xml:space="preserve"> </w:t>
      </w:r>
      <w:r w:rsidR="00006A76" w:rsidRPr="00AD35E1">
        <w:rPr>
          <w:lang w:eastAsia="en-US"/>
        </w:rPr>
        <w:t>Section 1.2 of The Code notes that disinformation and misinformation are part of a “wider, multifaceted social problem which involves a range of offline and online behaviours”</w:t>
      </w:r>
      <w:r w:rsidR="008055A1" w:rsidRPr="00AD35E1">
        <w:rPr>
          <w:lang w:eastAsia="en-US"/>
        </w:rPr>
        <w:t>.</w:t>
      </w:r>
      <w:r w:rsidR="00367B91" w:rsidRPr="00AD35E1">
        <w:rPr>
          <w:rStyle w:val="FootnoteReference"/>
          <w:lang w:eastAsia="en-US"/>
        </w:rPr>
        <w:footnoteReference w:id="13"/>
      </w:r>
      <w:r w:rsidR="008055A1" w:rsidRPr="00AD35E1">
        <w:rPr>
          <w:lang w:eastAsia="en-US"/>
        </w:rPr>
        <w:t xml:space="preserve"> </w:t>
      </w:r>
      <w:r w:rsidR="004736A2" w:rsidRPr="00AD35E1">
        <w:rPr>
          <w:lang w:eastAsia="en-US"/>
        </w:rPr>
        <w:t>There is little doubt that online misinformation and disinformation are linked to larger</w:t>
      </w:r>
      <w:r w:rsidR="00B6458C" w:rsidRPr="00AD35E1">
        <w:rPr>
          <w:lang w:eastAsia="en-US"/>
        </w:rPr>
        <w:t xml:space="preserve"> social and</w:t>
      </w:r>
      <w:r w:rsidR="004736A2" w:rsidRPr="00AD35E1">
        <w:rPr>
          <w:lang w:eastAsia="en-US"/>
        </w:rPr>
        <w:t xml:space="preserve"> political </w:t>
      </w:r>
      <w:r w:rsidR="00B66ED1" w:rsidRPr="00AD35E1">
        <w:rPr>
          <w:lang w:eastAsia="en-US"/>
        </w:rPr>
        <w:t>contexts</w:t>
      </w:r>
      <w:r w:rsidR="004736A2" w:rsidRPr="00AD35E1">
        <w:rPr>
          <w:lang w:eastAsia="en-US"/>
        </w:rPr>
        <w:t xml:space="preserve"> but that the design of digital platforms contributes to that </w:t>
      </w:r>
      <w:r w:rsidR="00296551" w:rsidRPr="00AD35E1">
        <w:rPr>
          <w:lang w:eastAsia="en-US"/>
        </w:rPr>
        <w:t>milieu</w:t>
      </w:r>
      <w:r w:rsidR="004736A2" w:rsidRPr="00AD35E1">
        <w:rPr>
          <w:lang w:eastAsia="en-US"/>
        </w:rPr>
        <w:t>. Finding five in the ACMA’s report found that “Misinformation typically stems from small online conspiratorial communities, but can be amplified by influential individuals, digital platform design, as well as the media”.</w:t>
      </w:r>
      <w:r w:rsidR="006B448B" w:rsidRPr="00AD35E1">
        <w:rPr>
          <w:rStyle w:val="FootnoteReference"/>
          <w:lang w:eastAsia="en-US"/>
        </w:rPr>
        <w:footnoteReference w:id="14"/>
      </w:r>
      <w:r w:rsidR="004736A2" w:rsidRPr="00AD35E1">
        <w:rPr>
          <w:lang w:eastAsia="en-US"/>
        </w:rPr>
        <w:t xml:space="preserve"> It noted that </w:t>
      </w:r>
    </w:p>
    <w:p w14:paraId="36AA3048" w14:textId="420600CA" w:rsidR="004736A2" w:rsidRPr="00AD35E1" w:rsidRDefault="004736A2" w:rsidP="00D668DC">
      <w:pPr>
        <w:ind w:left="720"/>
        <w:rPr>
          <w:lang w:eastAsia="en-US"/>
        </w:rPr>
      </w:pPr>
      <w:r w:rsidRPr="00AD35E1">
        <w:rPr>
          <w:lang w:eastAsia="en-US"/>
        </w:rPr>
        <w:lastRenderedPageBreak/>
        <w:t>Online misinformation is often characterised as a ‘rabbit hole’. The user journey may start innocuously, such as by engaging with a piece of online content raising legitimate concerns around vaccine safety. However, surrounding discussions often contain pathways to misinformation, such as links to anti-vaccine conspiracy websites, or invitations to join online communities of like-minded people.</w:t>
      </w:r>
      <w:r w:rsidR="0038789C" w:rsidRPr="00AD35E1">
        <w:rPr>
          <w:rStyle w:val="FootnoteReference"/>
          <w:lang w:eastAsia="en-US"/>
        </w:rPr>
        <w:footnoteReference w:id="15"/>
      </w:r>
    </w:p>
    <w:p w14:paraId="3A0B0157" w14:textId="77777777" w:rsidR="004736A2" w:rsidRPr="00AD35E1" w:rsidRDefault="004736A2" w:rsidP="004736A2">
      <w:pPr>
        <w:rPr>
          <w:lang w:eastAsia="en-US"/>
        </w:rPr>
      </w:pPr>
      <w:r w:rsidRPr="00AD35E1">
        <w:rPr>
          <w:lang w:eastAsia="en-US"/>
        </w:rPr>
        <w:t xml:space="preserve">In other words, the design of digital platforms can contribute to and accelerate the spread of misinformation and disinformation. </w:t>
      </w:r>
    </w:p>
    <w:p w14:paraId="3A0E8450" w14:textId="5521E069" w:rsidR="00006A76" w:rsidRPr="00AD35E1" w:rsidRDefault="00885059" w:rsidP="007E2DEE">
      <w:pPr>
        <w:rPr>
          <w:lang w:eastAsia="en-US"/>
        </w:rPr>
      </w:pPr>
      <w:r w:rsidRPr="00AD35E1">
        <w:rPr>
          <w:lang w:eastAsia="en-US"/>
        </w:rPr>
        <w:t xml:space="preserve">Recognising that </w:t>
      </w:r>
      <w:r w:rsidR="00E965C6" w:rsidRPr="00AD35E1">
        <w:rPr>
          <w:lang w:eastAsia="en-US"/>
        </w:rPr>
        <w:t>p</w:t>
      </w:r>
      <w:r w:rsidR="008C2711" w:rsidRPr="00AD35E1">
        <w:rPr>
          <w:lang w:eastAsia="en-US"/>
        </w:rPr>
        <w:t xml:space="preserve">latform design contributes to the spread of misinformation, it is </w:t>
      </w:r>
      <w:r w:rsidR="00CA5C22" w:rsidRPr="00AD35E1">
        <w:rPr>
          <w:lang w:eastAsia="en-US"/>
        </w:rPr>
        <w:t xml:space="preserve">important that misinformation is kept in the code. </w:t>
      </w:r>
      <w:r w:rsidR="008574B0" w:rsidRPr="00AD35E1">
        <w:rPr>
          <w:lang w:eastAsia="en-US"/>
        </w:rPr>
        <w:t xml:space="preserve">Finding </w:t>
      </w:r>
      <w:r w:rsidR="005E536C" w:rsidRPr="00AD35E1">
        <w:rPr>
          <w:lang w:eastAsia="en-US"/>
        </w:rPr>
        <w:t>23 of the ACMA’s report noted that “The code covers both disinformation and misinformation. This is one of the key strengths of the code, and is an improvement on the current EU Code</w:t>
      </w:r>
      <w:r w:rsidR="000A6074" w:rsidRPr="00AD35E1">
        <w:rPr>
          <w:lang w:eastAsia="en-US"/>
        </w:rPr>
        <w:t>”.</w:t>
      </w:r>
      <w:r w:rsidR="009353CA" w:rsidRPr="00AD35E1">
        <w:rPr>
          <w:rStyle w:val="FootnoteReference"/>
          <w:lang w:eastAsia="en-US"/>
        </w:rPr>
        <w:footnoteReference w:id="16"/>
      </w:r>
      <w:r w:rsidR="000A6074" w:rsidRPr="00AD35E1">
        <w:rPr>
          <w:lang w:eastAsia="en-US"/>
        </w:rPr>
        <w:t xml:space="preserve"> </w:t>
      </w:r>
      <w:r w:rsidR="00A269EF" w:rsidRPr="00AD35E1">
        <w:rPr>
          <w:lang w:eastAsia="en-US"/>
        </w:rPr>
        <w:t>ACCAN agrees with the ACMA an</w:t>
      </w:r>
      <w:r w:rsidR="00D35931" w:rsidRPr="00AD35E1">
        <w:rPr>
          <w:lang w:eastAsia="en-US"/>
        </w:rPr>
        <w:t xml:space="preserve">d supports the </w:t>
      </w:r>
      <w:r w:rsidR="00B61285" w:rsidRPr="00AD35E1">
        <w:rPr>
          <w:lang w:eastAsia="en-US"/>
        </w:rPr>
        <w:t>decision to keep misinformation</w:t>
      </w:r>
      <w:r w:rsidR="005E5DA0" w:rsidRPr="00AD35E1">
        <w:rPr>
          <w:lang w:eastAsia="en-US"/>
        </w:rPr>
        <w:t xml:space="preserve"> in the Code.</w:t>
      </w:r>
    </w:p>
    <w:p w14:paraId="63E982FE" w14:textId="77777777" w:rsidR="00F142AE" w:rsidRPr="00AD35E1" w:rsidRDefault="00F142AE" w:rsidP="00F142AE">
      <w:pPr>
        <w:pStyle w:val="Recommendation"/>
      </w:pPr>
      <w:r>
        <w:t>The Code should continue to address both misinformation and disinformation.</w:t>
      </w:r>
    </w:p>
    <w:p w14:paraId="24B176DE" w14:textId="0BACB506" w:rsidR="005E1042" w:rsidRPr="00AD35E1" w:rsidRDefault="000C4A7E" w:rsidP="007C2F11">
      <w:pPr>
        <w:rPr>
          <w:lang w:eastAsia="en-US"/>
        </w:rPr>
      </w:pPr>
      <w:r w:rsidRPr="00AD35E1">
        <w:rPr>
          <w:lang w:eastAsia="en-US"/>
        </w:rPr>
        <w:t>R</w:t>
      </w:r>
      <w:r w:rsidR="00600516" w:rsidRPr="00AD35E1">
        <w:rPr>
          <w:lang w:eastAsia="en-US"/>
        </w:rPr>
        <w:t xml:space="preserve">ecognising </w:t>
      </w:r>
      <w:r w:rsidR="001B38DB" w:rsidRPr="00AD35E1">
        <w:rPr>
          <w:lang w:eastAsia="en-US"/>
        </w:rPr>
        <w:t xml:space="preserve">that the </w:t>
      </w:r>
      <w:r w:rsidR="00B1596F" w:rsidRPr="00AD35E1">
        <w:rPr>
          <w:lang w:eastAsia="en-US"/>
        </w:rPr>
        <w:t>sys</w:t>
      </w:r>
      <w:r w:rsidR="00A369E5" w:rsidRPr="00AD35E1">
        <w:rPr>
          <w:lang w:eastAsia="en-US"/>
        </w:rPr>
        <w:t>tem design of platforms</w:t>
      </w:r>
      <w:r w:rsidR="00F4675A" w:rsidRPr="00AD35E1">
        <w:rPr>
          <w:lang w:eastAsia="en-US"/>
        </w:rPr>
        <w:t xml:space="preserve"> contributes to</w:t>
      </w:r>
      <w:r w:rsidR="008F4505">
        <w:rPr>
          <w:lang w:eastAsia="en-US"/>
        </w:rPr>
        <w:t xml:space="preserve"> the dissemination</w:t>
      </w:r>
      <w:r w:rsidR="00315EB4">
        <w:rPr>
          <w:lang w:eastAsia="en-US"/>
        </w:rPr>
        <w:t xml:space="preserve"> of</w:t>
      </w:r>
      <w:r w:rsidR="00F4675A" w:rsidRPr="00AD35E1">
        <w:rPr>
          <w:lang w:eastAsia="en-US"/>
        </w:rPr>
        <w:t xml:space="preserve"> misinformation</w:t>
      </w:r>
      <w:r w:rsidR="0033035B" w:rsidRPr="00AD35E1">
        <w:rPr>
          <w:lang w:eastAsia="en-US"/>
        </w:rPr>
        <w:t xml:space="preserve">, the </w:t>
      </w:r>
      <w:r w:rsidR="00D34410">
        <w:rPr>
          <w:lang w:eastAsia="en-US"/>
        </w:rPr>
        <w:t>C</w:t>
      </w:r>
      <w:r w:rsidR="0033035B" w:rsidRPr="00AD35E1">
        <w:rPr>
          <w:lang w:eastAsia="en-US"/>
        </w:rPr>
        <w:t xml:space="preserve">ode should include </w:t>
      </w:r>
      <w:r w:rsidR="00680A0E" w:rsidRPr="00AD35E1">
        <w:rPr>
          <w:lang w:eastAsia="en-US"/>
        </w:rPr>
        <w:t xml:space="preserve">more detailed commitments from signatories </w:t>
      </w:r>
      <w:r w:rsidR="00814AFE" w:rsidRPr="00AD35E1">
        <w:rPr>
          <w:lang w:eastAsia="en-US"/>
        </w:rPr>
        <w:t>to</w:t>
      </w:r>
      <w:r w:rsidR="00C5614F" w:rsidRPr="00AD35E1">
        <w:rPr>
          <w:lang w:eastAsia="en-US"/>
        </w:rPr>
        <w:t xml:space="preserve"> empowe</w:t>
      </w:r>
      <w:r w:rsidR="00814AFE" w:rsidRPr="00AD35E1">
        <w:rPr>
          <w:lang w:eastAsia="en-US"/>
        </w:rPr>
        <w:t>r and inform</w:t>
      </w:r>
      <w:r w:rsidR="00686970" w:rsidRPr="00AD35E1">
        <w:rPr>
          <w:lang w:eastAsia="en-US"/>
        </w:rPr>
        <w:t xml:space="preserve"> consumers</w:t>
      </w:r>
      <w:r w:rsidR="00915B25" w:rsidRPr="00AD35E1">
        <w:rPr>
          <w:lang w:eastAsia="en-US"/>
        </w:rPr>
        <w:t>.</w:t>
      </w:r>
      <w:r w:rsidR="00AC7AD3" w:rsidRPr="00AD35E1">
        <w:rPr>
          <w:lang w:eastAsia="en-US"/>
        </w:rPr>
        <w:t xml:space="preserve"> The ACMA</w:t>
      </w:r>
      <w:r w:rsidR="002A35DB" w:rsidRPr="00AD35E1">
        <w:rPr>
          <w:lang w:eastAsia="en-US"/>
        </w:rPr>
        <w:t xml:space="preserve"> report</w:t>
      </w:r>
      <w:r w:rsidR="00A62F74" w:rsidRPr="00AD35E1">
        <w:rPr>
          <w:lang w:eastAsia="en-US"/>
        </w:rPr>
        <w:t xml:space="preserve"> notes that </w:t>
      </w:r>
    </w:p>
    <w:p w14:paraId="2AD28994" w14:textId="03FB1393" w:rsidR="001A1811" w:rsidRPr="00AD35E1" w:rsidRDefault="001A1811" w:rsidP="001820BE">
      <w:pPr>
        <w:pStyle w:val="Quote"/>
        <w:rPr>
          <w:lang w:eastAsia="en-US"/>
        </w:rPr>
      </w:pPr>
      <w:r w:rsidRPr="00AD35E1">
        <w:rPr>
          <w:lang w:eastAsia="en-US"/>
        </w:rPr>
        <w:t>More-detailed commitments to improve the online information environment could</w:t>
      </w:r>
      <w:r w:rsidR="001820BE" w:rsidRPr="00AD35E1">
        <w:rPr>
          <w:lang w:eastAsia="en-US"/>
        </w:rPr>
        <w:t xml:space="preserve"> </w:t>
      </w:r>
      <w:r w:rsidRPr="00AD35E1">
        <w:rPr>
          <w:lang w:eastAsia="en-US"/>
        </w:rPr>
        <w:t>include measures that address the role that system design can play in the propagation</w:t>
      </w:r>
      <w:r w:rsidR="001820BE" w:rsidRPr="00AD35E1">
        <w:rPr>
          <w:lang w:eastAsia="en-US"/>
        </w:rPr>
        <w:t xml:space="preserve"> </w:t>
      </w:r>
      <w:r w:rsidRPr="00AD35E1">
        <w:rPr>
          <w:lang w:eastAsia="en-US"/>
        </w:rPr>
        <w:t>of disinformation and misinformation, and a commitment to increased transparency</w:t>
      </w:r>
      <w:r w:rsidR="001820BE" w:rsidRPr="00AD35E1">
        <w:rPr>
          <w:lang w:eastAsia="en-US"/>
        </w:rPr>
        <w:t xml:space="preserve"> </w:t>
      </w:r>
      <w:r w:rsidRPr="00AD35E1">
        <w:rPr>
          <w:lang w:eastAsia="en-US"/>
        </w:rPr>
        <w:t>over the criteria that platforms (or their algorithms) use to assess the quality of</w:t>
      </w:r>
      <w:r w:rsidR="001820BE" w:rsidRPr="00AD35E1">
        <w:rPr>
          <w:lang w:eastAsia="en-US"/>
        </w:rPr>
        <w:t xml:space="preserve"> </w:t>
      </w:r>
      <w:r w:rsidRPr="00AD35E1">
        <w:rPr>
          <w:lang w:eastAsia="en-US"/>
        </w:rPr>
        <w:t>information and to prioritise content.</w:t>
      </w:r>
      <w:r w:rsidR="001820BE" w:rsidRPr="00AD35E1">
        <w:rPr>
          <w:rStyle w:val="FootnoteReference"/>
          <w:lang w:eastAsia="en-US"/>
        </w:rPr>
        <w:footnoteReference w:id="17"/>
      </w:r>
    </w:p>
    <w:p w14:paraId="1B3A8F16" w14:textId="45EF1E96" w:rsidR="00915B25" w:rsidRPr="00AD35E1" w:rsidRDefault="00C02813" w:rsidP="007C2F11">
      <w:pPr>
        <w:rPr>
          <w:lang w:eastAsia="en-US"/>
        </w:rPr>
      </w:pPr>
      <w:r w:rsidRPr="00AD35E1">
        <w:rPr>
          <w:lang w:eastAsia="en-US"/>
        </w:rPr>
        <w:t xml:space="preserve">As research </w:t>
      </w:r>
      <w:r w:rsidR="009168B6" w:rsidRPr="00AD35E1">
        <w:rPr>
          <w:lang w:eastAsia="en-US"/>
        </w:rPr>
        <w:t xml:space="preserve">commissioned by DIGI has found, </w:t>
      </w:r>
      <w:r w:rsidR="0082710A" w:rsidRPr="00AD35E1">
        <w:rPr>
          <w:lang w:eastAsia="en-US"/>
        </w:rPr>
        <w:t xml:space="preserve">people </w:t>
      </w:r>
      <w:r w:rsidR="00437B31" w:rsidRPr="00AD35E1">
        <w:rPr>
          <w:lang w:eastAsia="en-US"/>
        </w:rPr>
        <w:t>use different definitions of misinformation.</w:t>
      </w:r>
      <w:r w:rsidR="009612CC">
        <w:rPr>
          <w:rStyle w:val="FootnoteReference"/>
          <w:lang w:eastAsia="en-US"/>
        </w:rPr>
        <w:footnoteReference w:id="18"/>
      </w:r>
      <w:r w:rsidR="00437B31" w:rsidRPr="00AD35E1">
        <w:rPr>
          <w:lang w:eastAsia="en-US"/>
        </w:rPr>
        <w:t xml:space="preserve"> This indicates the need for</w:t>
      </w:r>
      <w:r w:rsidR="001330D7" w:rsidRPr="00AD35E1">
        <w:rPr>
          <w:lang w:eastAsia="en-US"/>
        </w:rPr>
        <w:t xml:space="preserve"> more public education and information</w:t>
      </w:r>
      <w:r w:rsidR="009670BA" w:rsidRPr="00AD35E1">
        <w:rPr>
          <w:lang w:eastAsia="en-US"/>
        </w:rPr>
        <w:t xml:space="preserve"> tools and</w:t>
      </w:r>
      <w:r w:rsidR="001330D7" w:rsidRPr="00AD35E1">
        <w:rPr>
          <w:lang w:eastAsia="en-US"/>
        </w:rPr>
        <w:t xml:space="preserve"> resources.</w:t>
      </w:r>
      <w:r w:rsidR="009670BA" w:rsidRPr="00AD35E1">
        <w:rPr>
          <w:lang w:eastAsia="en-US"/>
        </w:rPr>
        <w:t xml:space="preserve"> These </w:t>
      </w:r>
      <w:r w:rsidR="00CE5CC3" w:rsidRPr="00AD35E1">
        <w:rPr>
          <w:lang w:eastAsia="en-US"/>
        </w:rPr>
        <w:t xml:space="preserve">tools and resources should </w:t>
      </w:r>
      <w:r w:rsidR="00561802" w:rsidRPr="00AD35E1">
        <w:rPr>
          <w:lang w:eastAsia="en-US"/>
        </w:rPr>
        <w:t>provide users with greater ability to understand</w:t>
      </w:r>
      <w:r w:rsidR="00BB4011" w:rsidRPr="00AD35E1">
        <w:rPr>
          <w:lang w:eastAsia="en-US"/>
        </w:rPr>
        <w:t xml:space="preserve"> and control</w:t>
      </w:r>
      <w:r w:rsidR="00561802" w:rsidRPr="00AD35E1">
        <w:rPr>
          <w:lang w:eastAsia="en-US"/>
        </w:rPr>
        <w:t xml:space="preserve"> how</w:t>
      </w:r>
      <w:r w:rsidR="0079303A" w:rsidRPr="00AD35E1">
        <w:rPr>
          <w:lang w:eastAsia="en-US"/>
        </w:rPr>
        <w:t xml:space="preserve"> digital services use</w:t>
      </w:r>
      <w:r w:rsidR="00561802" w:rsidRPr="00AD35E1">
        <w:rPr>
          <w:lang w:eastAsia="en-US"/>
        </w:rPr>
        <w:t xml:space="preserve"> </w:t>
      </w:r>
      <w:r w:rsidR="00564820" w:rsidRPr="00AD35E1">
        <w:rPr>
          <w:lang w:eastAsia="en-US"/>
        </w:rPr>
        <w:t>personal</w:t>
      </w:r>
      <w:r w:rsidR="00BC0759" w:rsidRPr="00AD35E1">
        <w:rPr>
          <w:lang w:eastAsia="en-US"/>
        </w:rPr>
        <w:t xml:space="preserve"> data </w:t>
      </w:r>
      <w:r w:rsidR="00564820" w:rsidRPr="00AD35E1">
        <w:rPr>
          <w:lang w:eastAsia="en-US"/>
        </w:rPr>
        <w:t>in conjunction with</w:t>
      </w:r>
      <w:r w:rsidR="00BC0759" w:rsidRPr="00AD35E1">
        <w:rPr>
          <w:lang w:eastAsia="en-US"/>
        </w:rPr>
        <w:t xml:space="preserve"> the system design of platforms, including recommender systems</w:t>
      </w:r>
      <w:r w:rsidR="00564820" w:rsidRPr="00AD35E1">
        <w:rPr>
          <w:lang w:eastAsia="en-US"/>
        </w:rPr>
        <w:t xml:space="preserve">. </w:t>
      </w:r>
      <w:r w:rsidR="003C20D7" w:rsidRPr="00AD35E1">
        <w:rPr>
          <w:lang w:eastAsia="en-US"/>
        </w:rPr>
        <w:t>This</w:t>
      </w:r>
      <w:r w:rsidR="007D446A" w:rsidRPr="00AD35E1">
        <w:rPr>
          <w:lang w:eastAsia="en-US"/>
        </w:rPr>
        <w:t xml:space="preserve"> need is reflected in comm</w:t>
      </w:r>
      <w:r w:rsidR="003272A0" w:rsidRPr="00AD35E1">
        <w:rPr>
          <w:lang w:eastAsia="en-US"/>
        </w:rPr>
        <w:t>itment 19 of the EU’s Strengthened</w:t>
      </w:r>
      <w:r w:rsidR="006A62D5" w:rsidRPr="00AD35E1">
        <w:rPr>
          <w:lang w:eastAsia="en-US"/>
        </w:rPr>
        <w:t xml:space="preserve"> Code of Practice:</w:t>
      </w:r>
    </w:p>
    <w:p w14:paraId="424664CC" w14:textId="79067092" w:rsidR="006A62D5" w:rsidRPr="00AD35E1" w:rsidRDefault="0008748C" w:rsidP="0081424F">
      <w:pPr>
        <w:pStyle w:val="Quote"/>
        <w:rPr>
          <w:lang w:eastAsia="en-US"/>
        </w:rPr>
      </w:pPr>
      <w:r w:rsidRPr="00AD35E1">
        <w:rPr>
          <w:lang w:eastAsia="en-US"/>
        </w:rPr>
        <w:lastRenderedPageBreak/>
        <w:t>Relevant Signatories using recommender systems commit to make them</w:t>
      </w:r>
      <w:r w:rsidRPr="00AD35E1">
        <w:rPr>
          <w:lang w:eastAsia="en-US"/>
        </w:rPr>
        <w:br/>
        <w:t>transparent to the recipients regarding the main criteria and parameters used for prioritising</w:t>
      </w:r>
      <w:r w:rsidR="0081424F" w:rsidRPr="00AD35E1">
        <w:rPr>
          <w:lang w:eastAsia="en-US"/>
        </w:rPr>
        <w:t xml:space="preserve"> </w:t>
      </w:r>
      <w:r w:rsidRPr="00AD35E1">
        <w:rPr>
          <w:lang w:eastAsia="en-US"/>
        </w:rPr>
        <w:t>or deprioritising information, and provide options to users about recommender systems, and</w:t>
      </w:r>
      <w:r w:rsidR="0081424F" w:rsidRPr="00AD35E1">
        <w:rPr>
          <w:lang w:eastAsia="en-US"/>
        </w:rPr>
        <w:t xml:space="preserve"> </w:t>
      </w:r>
      <w:r w:rsidRPr="00AD35E1">
        <w:rPr>
          <w:lang w:eastAsia="en-US"/>
        </w:rPr>
        <w:t>make available information on those options.</w:t>
      </w:r>
      <w:r w:rsidR="00D8617C" w:rsidRPr="00AD35E1">
        <w:rPr>
          <w:rStyle w:val="FootnoteReference"/>
          <w:lang w:eastAsia="en-US"/>
        </w:rPr>
        <w:footnoteReference w:id="19"/>
      </w:r>
    </w:p>
    <w:p w14:paraId="44536916" w14:textId="1310B089" w:rsidR="00D8617C" w:rsidRPr="00AD35E1" w:rsidRDefault="00734860" w:rsidP="007C2F11">
      <w:pPr>
        <w:rPr>
          <w:lang w:eastAsia="en-US"/>
        </w:rPr>
      </w:pPr>
      <w:r w:rsidRPr="00AD35E1">
        <w:rPr>
          <w:lang w:eastAsia="en-US"/>
        </w:rPr>
        <w:t>C</w:t>
      </w:r>
      <w:r w:rsidR="00D8617C" w:rsidRPr="00AD35E1">
        <w:rPr>
          <w:lang w:eastAsia="en-US"/>
        </w:rPr>
        <w:t>ommitment</w:t>
      </w:r>
      <w:r w:rsidRPr="00AD35E1">
        <w:rPr>
          <w:lang w:eastAsia="en-US"/>
        </w:rPr>
        <w:t xml:space="preserve"> 19</w:t>
      </w:r>
      <w:r w:rsidR="00D8617C" w:rsidRPr="00AD35E1">
        <w:rPr>
          <w:lang w:eastAsia="en-US"/>
        </w:rPr>
        <w:t xml:space="preserve"> </w:t>
      </w:r>
      <w:r w:rsidRPr="00AD35E1">
        <w:rPr>
          <w:lang w:eastAsia="en-US"/>
        </w:rPr>
        <w:t xml:space="preserve">requires signatories to </w:t>
      </w:r>
      <w:r w:rsidR="00446C31" w:rsidRPr="00AD35E1">
        <w:rPr>
          <w:lang w:eastAsia="en-US"/>
        </w:rPr>
        <w:t xml:space="preserve">provide users with more transparency about and control over </w:t>
      </w:r>
      <w:r w:rsidR="004E2EBE" w:rsidRPr="00AD35E1">
        <w:rPr>
          <w:lang w:eastAsia="en-US"/>
        </w:rPr>
        <w:t>recommendations systems.</w:t>
      </w:r>
      <w:r w:rsidR="004169B0" w:rsidRPr="00AD35E1">
        <w:rPr>
          <w:lang w:eastAsia="en-US"/>
        </w:rPr>
        <w:t xml:space="preserve"> The </w:t>
      </w:r>
      <w:r w:rsidR="00D75E05" w:rsidRPr="00AD35E1">
        <w:rPr>
          <w:lang w:eastAsia="en-US"/>
        </w:rPr>
        <w:t xml:space="preserve">commitment also requires signatories to report on how </w:t>
      </w:r>
      <w:r w:rsidR="00B4775A" w:rsidRPr="00AD35E1">
        <w:rPr>
          <w:lang w:eastAsia="en-US"/>
        </w:rPr>
        <w:t>effe</w:t>
      </w:r>
      <w:r w:rsidR="0081424F" w:rsidRPr="00AD35E1">
        <w:rPr>
          <w:lang w:eastAsia="en-US"/>
        </w:rPr>
        <w:t>ctive the new control settings have been in aggregate.</w:t>
      </w:r>
      <w:r w:rsidR="0081424F" w:rsidRPr="00AD35E1">
        <w:rPr>
          <w:rStyle w:val="FootnoteReference"/>
          <w:lang w:eastAsia="en-US"/>
        </w:rPr>
        <w:footnoteReference w:id="20"/>
      </w:r>
      <w:r w:rsidR="00D660FA" w:rsidRPr="00AD35E1">
        <w:rPr>
          <w:lang w:eastAsia="en-US"/>
        </w:rPr>
        <w:t xml:space="preserve"> The measures </w:t>
      </w:r>
      <w:r w:rsidR="008435BB" w:rsidRPr="00AD35E1">
        <w:rPr>
          <w:lang w:eastAsia="en-US"/>
        </w:rPr>
        <w:t>to empower users outlined in commitment 19 of</w:t>
      </w:r>
      <w:r w:rsidR="00D660FA" w:rsidRPr="00AD35E1">
        <w:rPr>
          <w:lang w:eastAsia="en-US"/>
        </w:rPr>
        <w:t xml:space="preserve"> the recent EU </w:t>
      </w:r>
      <w:r w:rsidR="0049323A" w:rsidRPr="00AD35E1">
        <w:rPr>
          <w:lang w:eastAsia="en-US"/>
        </w:rPr>
        <w:t>Disinformation Code of Practice should be adapted for the Austra</w:t>
      </w:r>
      <w:r w:rsidR="008435BB" w:rsidRPr="00AD35E1">
        <w:rPr>
          <w:lang w:eastAsia="en-US"/>
        </w:rPr>
        <w:t>lian Code of Practice.</w:t>
      </w:r>
    </w:p>
    <w:p w14:paraId="626E82DD" w14:textId="7CA9DDA9" w:rsidR="007C2F11" w:rsidRPr="00AD35E1" w:rsidRDefault="008435BB" w:rsidP="00AA420F">
      <w:pPr>
        <w:pStyle w:val="Recommendation"/>
      </w:pPr>
      <w:r w:rsidRPr="00AD35E1">
        <w:t>The Code should</w:t>
      </w:r>
      <w:r w:rsidR="008D2004" w:rsidRPr="00AD35E1">
        <w:t xml:space="preserve"> be amended to require signatories to provide u</w:t>
      </w:r>
      <w:r w:rsidR="007C2F11" w:rsidRPr="00AD35E1">
        <w:t xml:space="preserve">sers with </w:t>
      </w:r>
      <w:r w:rsidR="003461BF" w:rsidRPr="00AD35E1">
        <w:t xml:space="preserve">tools and educational materials to </w:t>
      </w:r>
      <w:r w:rsidR="00582F01" w:rsidRPr="00AD35E1">
        <w:t>better control how</w:t>
      </w:r>
      <w:r w:rsidR="0053178E" w:rsidRPr="00AD35E1">
        <w:t xml:space="preserve"> their data is used</w:t>
      </w:r>
      <w:r w:rsidR="00A85C5D" w:rsidRPr="00AD35E1">
        <w:t xml:space="preserve"> and</w:t>
      </w:r>
      <w:r w:rsidR="0053178E" w:rsidRPr="00AD35E1">
        <w:t xml:space="preserve"> how </w:t>
      </w:r>
      <w:r w:rsidR="004417AF" w:rsidRPr="00AD35E1">
        <w:t>digital content is presented to them</w:t>
      </w:r>
      <w:r w:rsidR="0053178E" w:rsidRPr="00AD35E1">
        <w:t xml:space="preserve"> </w:t>
      </w:r>
      <w:r w:rsidR="00A85C5D" w:rsidRPr="00AD35E1">
        <w:t xml:space="preserve">via </w:t>
      </w:r>
      <w:r w:rsidR="00F9428D" w:rsidRPr="00AD35E1">
        <w:t>recommender systems.</w:t>
      </w:r>
    </w:p>
    <w:p w14:paraId="5C483057" w14:textId="7267A65F" w:rsidR="003573DB" w:rsidRPr="00AD35E1" w:rsidRDefault="001F37F6" w:rsidP="00047413">
      <w:pPr>
        <w:pStyle w:val="Heading1"/>
        <w:rPr>
          <w:lang w:eastAsia="en-US"/>
        </w:rPr>
      </w:pPr>
      <w:bookmarkStart w:id="21" w:name="_Toc108165449"/>
      <w:r w:rsidRPr="00AD35E1">
        <w:rPr>
          <w:lang w:eastAsia="en-US"/>
        </w:rPr>
        <w:t>2.</w:t>
      </w:r>
      <w:r w:rsidR="005E5442" w:rsidRPr="00AD35E1">
        <w:rPr>
          <w:lang w:eastAsia="en-US"/>
        </w:rPr>
        <w:t>3</w:t>
      </w:r>
      <w:r w:rsidRPr="00AD35E1">
        <w:rPr>
          <w:lang w:eastAsia="en-US"/>
        </w:rPr>
        <w:t xml:space="preserve"> </w:t>
      </w:r>
      <w:r w:rsidR="003573DB" w:rsidRPr="00AD35E1">
        <w:rPr>
          <w:lang w:eastAsia="en-US"/>
        </w:rPr>
        <w:t xml:space="preserve">Response to </w:t>
      </w:r>
      <w:bookmarkEnd w:id="16"/>
      <w:bookmarkEnd w:id="17"/>
      <w:bookmarkEnd w:id="18"/>
      <w:r w:rsidRPr="00AD35E1">
        <w:rPr>
          <w:lang w:eastAsia="en-US"/>
        </w:rPr>
        <w:t>questions of scope</w:t>
      </w:r>
      <w:bookmarkEnd w:id="21"/>
    </w:p>
    <w:p w14:paraId="58736607" w14:textId="36A612F0" w:rsidR="001F37F6" w:rsidRPr="00A36818" w:rsidRDefault="001F37F6" w:rsidP="00A36818">
      <w:pPr>
        <w:pStyle w:val="Heading3"/>
      </w:pPr>
      <w:r w:rsidRPr="00A36818">
        <w:rPr>
          <w:rStyle w:val="normaltextrun"/>
        </w:rPr>
        <w:t>1) Should the ACPDM cover a broader scope of signatories? If so should:</w:t>
      </w:r>
      <w:r w:rsidRPr="00A36818">
        <w:rPr>
          <w:rStyle w:val="scxw218924026"/>
        </w:rPr>
        <w:t> </w:t>
      </w:r>
      <w:r w:rsidRPr="00A36818">
        <w:br/>
      </w:r>
      <w:r w:rsidRPr="00A36818">
        <w:rPr>
          <w:rStyle w:val="normaltextrun"/>
        </w:rPr>
        <w:t>a) the ACMA have a continued role in identifying those services that are within the scope</w:t>
      </w:r>
      <w:r w:rsidRPr="00A36818">
        <w:rPr>
          <w:rStyle w:val="scxw218924026"/>
        </w:rPr>
        <w:t> </w:t>
      </w:r>
      <w:r w:rsidRPr="00A36818">
        <w:br/>
      </w:r>
      <w:r w:rsidRPr="00A36818">
        <w:rPr>
          <w:rStyle w:val="normaltextrun"/>
        </w:rPr>
        <w:t>of the code; and</w:t>
      </w:r>
      <w:r w:rsidRPr="00A36818">
        <w:rPr>
          <w:rStyle w:val="scxw218924026"/>
        </w:rPr>
        <w:t> </w:t>
      </w:r>
      <w:r w:rsidRPr="00A36818">
        <w:br/>
      </w:r>
      <w:r w:rsidRPr="00A36818">
        <w:rPr>
          <w:rStyle w:val="normaltextrun"/>
        </w:rPr>
        <w:t>b) what should the criteria be for a company’s eligibility to participate in the code?</w:t>
      </w:r>
      <w:r w:rsidRPr="00A36818">
        <w:rPr>
          <w:rStyle w:val="eop"/>
        </w:rPr>
        <w:t> </w:t>
      </w:r>
    </w:p>
    <w:p w14:paraId="2A0637DD" w14:textId="30AF31BF" w:rsidR="009E5621" w:rsidRPr="00AD35E1" w:rsidRDefault="005E41D1" w:rsidP="00EB76F7">
      <w:pPr>
        <w:rPr>
          <w:rStyle w:val="normaltextrun"/>
          <w:rFonts w:ascii="Calibri" w:hAnsi="Calibri" w:cs="Calibri"/>
        </w:rPr>
      </w:pPr>
      <w:r w:rsidRPr="00AD35E1">
        <w:rPr>
          <w:rStyle w:val="normaltextrun"/>
          <w:rFonts w:ascii="Calibri" w:hAnsi="Calibri" w:cs="Calibri"/>
        </w:rPr>
        <w:t xml:space="preserve">Question one of </w:t>
      </w:r>
      <w:r w:rsidR="00134A65" w:rsidRPr="00AD35E1">
        <w:rPr>
          <w:rStyle w:val="normaltextrun"/>
          <w:rFonts w:ascii="Calibri" w:hAnsi="Calibri" w:cs="Calibri"/>
        </w:rPr>
        <w:t>t</w:t>
      </w:r>
      <w:r w:rsidRPr="00AD35E1">
        <w:rPr>
          <w:rStyle w:val="normaltextrun"/>
          <w:rFonts w:ascii="Calibri" w:hAnsi="Calibri" w:cs="Calibri"/>
        </w:rPr>
        <w:t xml:space="preserve">he Discussion paper asks </w:t>
      </w:r>
      <w:r w:rsidR="00CB076D" w:rsidRPr="00AD35E1">
        <w:rPr>
          <w:rStyle w:val="normaltextrun"/>
          <w:rFonts w:ascii="Calibri" w:hAnsi="Calibri" w:cs="Calibri"/>
        </w:rPr>
        <w:t xml:space="preserve">whether </w:t>
      </w:r>
      <w:r w:rsidR="00863BBE" w:rsidRPr="00AD35E1">
        <w:rPr>
          <w:rStyle w:val="normaltextrun"/>
          <w:rFonts w:ascii="Calibri" w:hAnsi="Calibri" w:cs="Calibri"/>
        </w:rPr>
        <w:t>the Code should cover a broader range of signatories and inquires</w:t>
      </w:r>
      <w:r w:rsidRPr="00AD35E1">
        <w:rPr>
          <w:rStyle w:val="normaltextrun"/>
          <w:rFonts w:ascii="Calibri" w:hAnsi="Calibri" w:cs="Calibri"/>
        </w:rPr>
        <w:t xml:space="preserve"> </w:t>
      </w:r>
      <w:r w:rsidR="001D2489" w:rsidRPr="00AD35E1">
        <w:rPr>
          <w:rStyle w:val="normaltextrun"/>
          <w:rFonts w:ascii="Calibri" w:hAnsi="Calibri" w:cs="Calibri"/>
        </w:rPr>
        <w:t xml:space="preserve">how </w:t>
      </w:r>
      <w:r w:rsidR="00885BB1" w:rsidRPr="00AD35E1">
        <w:rPr>
          <w:rStyle w:val="normaltextrun"/>
          <w:rFonts w:ascii="Calibri" w:hAnsi="Calibri" w:cs="Calibri"/>
        </w:rPr>
        <w:t xml:space="preserve">signatories should be identified. </w:t>
      </w:r>
      <w:r w:rsidR="006B6825" w:rsidRPr="00AD35E1">
        <w:rPr>
          <w:rStyle w:val="normaltextrun"/>
          <w:rFonts w:ascii="Calibri" w:hAnsi="Calibri" w:cs="Calibri"/>
        </w:rPr>
        <w:t>The first part of the question inquires</w:t>
      </w:r>
      <w:r w:rsidR="008E49EE" w:rsidRPr="00AD35E1">
        <w:rPr>
          <w:rStyle w:val="normaltextrun"/>
          <w:rFonts w:ascii="Calibri" w:hAnsi="Calibri" w:cs="Calibri"/>
        </w:rPr>
        <w:t xml:space="preserve"> as to what role </w:t>
      </w:r>
      <w:r w:rsidR="00D65EB0" w:rsidRPr="00AD35E1">
        <w:rPr>
          <w:rStyle w:val="normaltextrun"/>
          <w:rFonts w:ascii="Calibri" w:hAnsi="Calibri" w:cs="Calibri"/>
        </w:rPr>
        <w:t>the ACMA should play.</w:t>
      </w:r>
    </w:p>
    <w:p w14:paraId="75CC81A1" w14:textId="381BECD1" w:rsidR="00A46396" w:rsidRPr="00AD35E1" w:rsidRDefault="00BA6F87" w:rsidP="00382164">
      <w:pPr>
        <w:rPr>
          <w:rStyle w:val="normaltextrun"/>
          <w:rFonts w:ascii="Calibri" w:hAnsi="Calibri" w:cs="Calibri"/>
        </w:rPr>
      </w:pPr>
      <w:r w:rsidRPr="00AD35E1">
        <w:rPr>
          <w:rStyle w:val="normaltextrun"/>
          <w:rFonts w:ascii="Calibri" w:hAnsi="Calibri" w:cs="Calibri"/>
        </w:rPr>
        <w:t>Recommendations</w:t>
      </w:r>
      <w:r w:rsidR="00BE4223" w:rsidRPr="00AD35E1">
        <w:rPr>
          <w:rStyle w:val="normaltextrun"/>
          <w:rFonts w:ascii="Calibri" w:hAnsi="Calibri" w:cs="Calibri"/>
        </w:rPr>
        <w:t xml:space="preserve"> </w:t>
      </w:r>
      <w:r w:rsidR="00503C47" w:rsidRPr="00AD35E1">
        <w:rPr>
          <w:rStyle w:val="normaltextrun"/>
          <w:rFonts w:ascii="Calibri" w:hAnsi="Calibri" w:cs="Calibri"/>
        </w:rPr>
        <w:t>two</w:t>
      </w:r>
      <w:r w:rsidRPr="00AD35E1">
        <w:rPr>
          <w:rStyle w:val="normaltextrun"/>
          <w:rFonts w:ascii="Calibri" w:hAnsi="Calibri" w:cs="Calibri"/>
        </w:rPr>
        <w:t>, three</w:t>
      </w:r>
      <w:r w:rsidR="00503C47" w:rsidRPr="00AD35E1">
        <w:rPr>
          <w:rStyle w:val="normaltextrun"/>
          <w:rFonts w:ascii="Calibri" w:hAnsi="Calibri" w:cs="Calibri"/>
        </w:rPr>
        <w:t xml:space="preserve"> and four in the ACMA’s report rel</w:t>
      </w:r>
      <w:r w:rsidR="009D2E1E" w:rsidRPr="00AD35E1">
        <w:rPr>
          <w:rStyle w:val="normaltextrun"/>
          <w:rFonts w:ascii="Calibri" w:hAnsi="Calibri" w:cs="Calibri"/>
        </w:rPr>
        <w:t xml:space="preserve">ate to the ACMA’s continued </w:t>
      </w:r>
      <w:r w:rsidR="00A72AA9" w:rsidRPr="00AD35E1">
        <w:rPr>
          <w:rStyle w:val="normaltextrun"/>
          <w:rFonts w:ascii="Calibri" w:hAnsi="Calibri" w:cs="Calibri"/>
        </w:rPr>
        <w:t>role in identifying potential signatories and t</w:t>
      </w:r>
      <w:r w:rsidR="00652B7A" w:rsidRPr="00AD35E1">
        <w:rPr>
          <w:rStyle w:val="normaltextrun"/>
          <w:rFonts w:ascii="Calibri" w:hAnsi="Calibri" w:cs="Calibri"/>
        </w:rPr>
        <w:t>he criteria for a company to be eligible to participate in the code.</w:t>
      </w:r>
      <w:r w:rsidR="009D2E1E" w:rsidRPr="00AD35E1">
        <w:rPr>
          <w:rStyle w:val="normaltextrun"/>
          <w:rFonts w:ascii="Calibri" w:hAnsi="Calibri" w:cs="Calibri"/>
        </w:rPr>
        <w:t xml:space="preserve"> </w:t>
      </w:r>
    </w:p>
    <w:p w14:paraId="524CDA8F" w14:textId="0394C54A" w:rsidR="00C63CE9" w:rsidRPr="00AD35E1" w:rsidRDefault="00C63CE9" w:rsidP="004A3C37">
      <w:pPr>
        <w:pStyle w:val="Quote"/>
      </w:pPr>
      <w:r w:rsidRPr="00AD35E1">
        <w:rPr>
          <w:b/>
          <w:bCs/>
        </w:rPr>
        <w:t>Recommendation 2</w:t>
      </w:r>
      <w:r w:rsidRPr="00AD35E1">
        <w:t>: The ACMA will continue to oversee the operation of the code</w:t>
      </w:r>
      <w:r w:rsidR="00024B75" w:rsidRPr="00AD35E1">
        <w:t xml:space="preserve"> </w:t>
      </w:r>
      <w:r w:rsidRPr="00AD35E1">
        <w:t>and should report to government on its effectiveness no later than the end of the</w:t>
      </w:r>
      <w:r w:rsidR="00024B75" w:rsidRPr="00AD35E1">
        <w:t xml:space="preserve"> </w:t>
      </w:r>
      <w:r w:rsidRPr="00AD35E1">
        <w:t>2022–23 financial year. The ACMA should also continue to undertake relevant</w:t>
      </w:r>
      <w:r w:rsidR="00024B75" w:rsidRPr="00AD35E1">
        <w:t xml:space="preserve"> </w:t>
      </w:r>
      <w:r w:rsidRPr="00AD35E1">
        <w:t>research to inform government on the state of disinformation and misinformation in</w:t>
      </w:r>
      <w:r w:rsidR="00024B75" w:rsidRPr="00AD35E1">
        <w:t xml:space="preserve"> </w:t>
      </w:r>
      <w:r w:rsidRPr="00AD35E1">
        <w:t>Australia.</w:t>
      </w:r>
      <w:r w:rsidRPr="00AD35E1">
        <w:br/>
      </w:r>
      <w:r w:rsidRPr="00AD35E1">
        <w:rPr>
          <w:b/>
          <w:bCs/>
        </w:rPr>
        <w:t>Recommendation 3</w:t>
      </w:r>
      <w:r w:rsidRPr="00AD35E1">
        <w:t>: To incentivise greater transparency, the ACMA should be</w:t>
      </w:r>
      <w:r w:rsidRPr="00AD35E1">
        <w:br/>
        <w:t>provided with formal information-gathering powers (including powers to make record</w:t>
      </w:r>
      <w:r w:rsidR="00024B75" w:rsidRPr="00AD35E1">
        <w:t xml:space="preserve"> </w:t>
      </w:r>
      <w:r w:rsidRPr="00AD35E1">
        <w:t>keeping rules) to oversee digital platforms, including the ability to request Australia-specific data on the effectiveness of measures to address</w:t>
      </w:r>
      <w:r w:rsidR="00024B75" w:rsidRPr="00AD35E1">
        <w:t xml:space="preserve"> </w:t>
      </w:r>
      <w:r w:rsidRPr="00AD35E1">
        <w:t>disinformation and</w:t>
      </w:r>
      <w:r w:rsidR="00024B75" w:rsidRPr="00AD35E1">
        <w:t xml:space="preserve"> </w:t>
      </w:r>
      <w:r w:rsidRPr="00AD35E1">
        <w:t>misinformation.</w:t>
      </w:r>
      <w:r w:rsidRPr="00AD35E1">
        <w:br/>
      </w:r>
      <w:r w:rsidRPr="00AD35E1">
        <w:rPr>
          <w:b/>
          <w:bCs/>
        </w:rPr>
        <w:t>Recommendation 4</w:t>
      </w:r>
      <w:r w:rsidRPr="00AD35E1">
        <w:t xml:space="preserve">: The government should provide the ACMA with reserve </w:t>
      </w:r>
      <w:r w:rsidRPr="00AD35E1">
        <w:lastRenderedPageBreak/>
        <w:t>powers</w:t>
      </w:r>
      <w:r w:rsidR="00024B75" w:rsidRPr="00AD35E1">
        <w:t xml:space="preserve"> </w:t>
      </w:r>
      <w:r w:rsidRPr="00AD35E1">
        <w:t>to register industry codes, enforce industry code compliance, and make standards</w:t>
      </w:r>
      <w:r w:rsidR="00024B75" w:rsidRPr="00AD35E1">
        <w:t xml:space="preserve"> </w:t>
      </w:r>
      <w:r w:rsidRPr="00AD35E1">
        <w:t>relating to the activities of digital platforms’ corporations. These powers would provide</w:t>
      </w:r>
      <w:r w:rsidR="00024B75" w:rsidRPr="00AD35E1">
        <w:t xml:space="preserve"> </w:t>
      </w:r>
      <w:r w:rsidRPr="00AD35E1">
        <w:t>a mechanism for further intervention if code administration arrangements prove</w:t>
      </w:r>
      <w:r w:rsidR="00024B75" w:rsidRPr="00AD35E1">
        <w:t xml:space="preserve"> </w:t>
      </w:r>
      <w:r w:rsidRPr="00AD35E1">
        <w:t>inadequate, or the voluntary industry code fails.</w:t>
      </w:r>
      <w:r w:rsidR="00A23507" w:rsidRPr="00AD35E1">
        <w:rPr>
          <w:rStyle w:val="FootnoteReference"/>
        </w:rPr>
        <w:footnoteReference w:id="21"/>
      </w:r>
    </w:p>
    <w:p w14:paraId="5181F7D0" w14:textId="16924D56" w:rsidR="00F70C72" w:rsidRPr="00AD35E1" w:rsidRDefault="00196CFE" w:rsidP="00EB76F7">
      <w:pPr>
        <w:rPr>
          <w:rStyle w:val="normaltextrun"/>
          <w:rFonts w:ascii="Calibri" w:hAnsi="Calibri" w:cs="Calibri"/>
        </w:rPr>
      </w:pPr>
      <w:r w:rsidRPr="00AD35E1">
        <w:rPr>
          <w:rStyle w:val="normaltextrun"/>
          <w:rFonts w:ascii="Calibri" w:hAnsi="Calibri" w:cs="Calibri"/>
        </w:rPr>
        <w:t>These recommendations indicate that the ACMA sees a need for</w:t>
      </w:r>
      <w:r w:rsidR="003B58D5" w:rsidRPr="00AD35E1">
        <w:rPr>
          <w:rStyle w:val="normaltextrun"/>
          <w:rFonts w:ascii="Calibri" w:hAnsi="Calibri" w:cs="Calibri"/>
        </w:rPr>
        <w:t xml:space="preserve"> a</w:t>
      </w:r>
      <w:r w:rsidRPr="00AD35E1">
        <w:rPr>
          <w:rStyle w:val="normaltextrun"/>
          <w:rFonts w:ascii="Calibri" w:hAnsi="Calibri" w:cs="Calibri"/>
        </w:rPr>
        <w:t xml:space="preserve"> continued </w:t>
      </w:r>
      <w:r w:rsidR="003B58D5" w:rsidRPr="00AD35E1">
        <w:rPr>
          <w:rStyle w:val="normaltextrun"/>
          <w:rFonts w:ascii="Calibri" w:hAnsi="Calibri" w:cs="Calibri"/>
        </w:rPr>
        <w:t>role in monitoring the code including questions of scope.</w:t>
      </w:r>
      <w:r w:rsidR="006B68E6" w:rsidRPr="00AD35E1">
        <w:rPr>
          <w:rStyle w:val="normaltextrun"/>
          <w:rFonts w:ascii="Calibri" w:hAnsi="Calibri" w:cs="Calibri"/>
        </w:rPr>
        <w:t xml:space="preserve"> </w:t>
      </w:r>
      <w:r w:rsidR="00970184" w:rsidRPr="00AD35E1">
        <w:rPr>
          <w:rStyle w:val="normaltextrun"/>
          <w:rFonts w:ascii="Calibri" w:hAnsi="Calibri" w:cs="Calibri"/>
        </w:rPr>
        <w:t>In a</w:t>
      </w:r>
      <w:r w:rsidR="00A17459" w:rsidRPr="00AD35E1">
        <w:rPr>
          <w:rStyle w:val="normaltextrun"/>
          <w:rFonts w:ascii="Calibri" w:hAnsi="Calibri" w:cs="Calibri"/>
        </w:rPr>
        <w:t xml:space="preserve"> recent</w:t>
      </w:r>
      <w:r w:rsidR="00970184" w:rsidRPr="00AD35E1">
        <w:rPr>
          <w:rStyle w:val="normaltextrun"/>
          <w:rFonts w:ascii="Calibri" w:hAnsi="Calibri" w:cs="Calibri"/>
        </w:rPr>
        <w:t xml:space="preserve"> media </w:t>
      </w:r>
      <w:r w:rsidR="00A17459" w:rsidRPr="00AD35E1">
        <w:rPr>
          <w:rStyle w:val="normaltextrun"/>
          <w:rFonts w:ascii="Calibri" w:hAnsi="Calibri" w:cs="Calibri"/>
        </w:rPr>
        <w:t xml:space="preserve">release DIGI has indicated that it agrees with </w:t>
      </w:r>
      <w:r w:rsidRPr="00AD35E1">
        <w:rPr>
          <w:rStyle w:val="normaltextrun"/>
          <w:rFonts w:ascii="Calibri" w:hAnsi="Calibri" w:cs="Calibri"/>
        </w:rPr>
        <w:t>the ACMA’s</w:t>
      </w:r>
      <w:r w:rsidR="00A17459" w:rsidRPr="00AD35E1">
        <w:rPr>
          <w:rStyle w:val="normaltextrun"/>
          <w:rFonts w:ascii="Calibri" w:hAnsi="Calibri" w:cs="Calibri"/>
        </w:rPr>
        <w:t xml:space="preserve"> recommendations.</w:t>
      </w:r>
      <w:r w:rsidR="00BF1ADD" w:rsidRPr="00AD35E1">
        <w:rPr>
          <w:rStyle w:val="FootnoteReference"/>
          <w:rFonts w:ascii="Calibri" w:hAnsi="Calibri" w:cs="Calibri"/>
        </w:rPr>
        <w:footnoteReference w:id="22"/>
      </w:r>
      <w:r w:rsidR="00915EDD" w:rsidRPr="00AD35E1">
        <w:rPr>
          <w:rStyle w:val="normaltextrun"/>
          <w:rFonts w:ascii="Calibri" w:hAnsi="Calibri" w:cs="Calibri"/>
        </w:rPr>
        <w:t xml:space="preserve"> Given the dynamic nature of misinformation and disinformation and the </w:t>
      </w:r>
      <w:r w:rsidR="00F50430" w:rsidRPr="00AD35E1">
        <w:rPr>
          <w:rStyle w:val="normaltextrun"/>
          <w:rFonts w:ascii="Calibri" w:hAnsi="Calibri" w:cs="Calibri"/>
        </w:rPr>
        <w:t>novelty of the Code</w:t>
      </w:r>
      <w:r w:rsidR="00D54EE0" w:rsidRPr="00AD35E1">
        <w:rPr>
          <w:rStyle w:val="normaltextrun"/>
          <w:rFonts w:ascii="Calibri" w:hAnsi="Calibri" w:cs="Calibri"/>
        </w:rPr>
        <w:t xml:space="preserve"> ACCAN supports the ACMA’s </w:t>
      </w:r>
      <w:r w:rsidR="00F50430" w:rsidRPr="00AD35E1">
        <w:rPr>
          <w:rStyle w:val="normaltextrun"/>
          <w:rFonts w:ascii="Calibri" w:hAnsi="Calibri" w:cs="Calibri"/>
        </w:rPr>
        <w:t xml:space="preserve">continued role in monitoring the code including </w:t>
      </w:r>
      <w:r w:rsidR="00302E10" w:rsidRPr="00AD35E1">
        <w:rPr>
          <w:rStyle w:val="normaltextrun"/>
          <w:rFonts w:ascii="Calibri" w:hAnsi="Calibri" w:cs="Calibri"/>
        </w:rPr>
        <w:t xml:space="preserve">its scope. An example of this is discussed below </w:t>
      </w:r>
      <w:r w:rsidR="004F436D" w:rsidRPr="00AD35E1">
        <w:rPr>
          <w:rStyle w:val="normaltextrun"/>
          <w:rFonts w:ascii="Calibri" w:hAnsi="Calibri" w:cs="Calibri"/>
        </w:rPr>
        <w:t>in regard</w:t>
      </w:r>
      <w:r w:rsidR="004F436D">
        <w:rPr>
          <w:rStyle w:val="normaltextrun"/>
          <w:rFonts w:ascii="Calibri" w:hAnsi="Calibri" w:cs="Calibri"/>
        </w:rPr>
        <w:t xml:space="preserve"> to</w:t>
      </w:r>
      <w:r w:rsidR="00302E10" w:rsidRPr="00AD35E1">
        <w:rPr>
          <w:rStyle w:val="normaltextrun"/>
          <w:rFonts w:ascii="Calibri" w:hAnsi="Calibri" w:cs="Calibri"/>
        </w:rPr>
        <w:t xml:space="preserve"> question five</w:t>
      </w:r>
      <w:r w:rsidR="00776527" w:rsidRPr="00AD35E1">
        <w:rPr>
          <w:rStyle w:val="normaltextrun"/>
          <w:rFonts w:ascii="Calibri" w:hAnsi="Calibri" w:cs="Calibri"/>
        </w:rPr>
        <w:t xml:space="preserve"> of the code and the inclusion of private messaging services.</w:t>
      </w:r>
    </w:p>
    <w:p w14:paraId="3B6F6C4D" w14:textId="452E6E5D" w:rsidR="00FB63F5" w:rsidRPr="00AD35E1" w:rsidRDefault="00FB63F5" w:rsidP="00382164">
      <w:pPr>
        <w:pStyle w:val="Recommendation"/>
        <w:rPr>
          <w:rStyle w:val="normaltextrun"/>
          <w:rFonts w:cs="Calibri"/>
        </w:rPr>
      </w:pPr>
      <w:r w:rsidRPr="00AD35E1">
        <w:rPr>
          <w:rStyle w:val="normaltextrun"/>
          <w:rFonts w:cs="Calibri"/>
        </w:rPr>
        <w:t xml:space="preserve">ACCAN </w:t>
      </w:r>
      <w:r w:rsidR="00F54D45" w:rsidRPr="00AD35E1">
        <w:rPr>
          <w:rStyle w:val="normaltextrun"/>
          <w:rFonts w:cs="Calibri"/>
        </w:rPr>
        <w:t xml:space="preserve">supports the ACMA’s recommendations </w:t>
      </w:r>
      <w:r w:rsidR="00F60B02" w:rsidRPr="00AD35E1">
        <w:rPr>
          <w:rStyle w:val="normaltextrun"/>
          <w:rFonts w:cs="Calibri"/>
        </w:rPr>
        <w:t>that the ACMA</w:t>
      </w:r>
      <w:r w:rsidR="0061725F" w:rsidRPr="00AD35E1">
        <w:rPr>
          <w:rStyle w:val="normaltextrun"/>
          <w:rFonts w:cs="Calibri"/>
        </w:rPr>
        <w:t xml:space="preserve"> should</w:t>
      </w:r>
      <w:r w:rsidR="00F54D45" w:rsidRPr="00AD35E1">
        <w:rPr>
          <w:rStyle w:val="normaltextrun"/>
          <w:rFonts w:cs="Calibri"/>
        </w:rPr>
        <w:t xml:space="preserve"> continue to play a role in overseeing The Code, including its scope.</w:t>
      </w:r>
    </w:p>
    <w:p w14:paraId="50CD15AA" w14:textId="633892EB" w:rsidR="00F54D45" w:rsidRPr="00AD35E1" w:rsidRDefault="00A07A57" w:rsidP="001D59D1">
      <w:pPr>
        <w:rPr>
          <w:rStyle w:val="normaltextrun"/>
          <w:rFonts w:ascii="Calibri" w:hAnsi="Calibri" w:cs="Calibri"/>
        </w:rPr>
      </w:pPr>
      <w:r w:rsidRPr="00AD35E1">
        <w:rPr>
          <w:rStyle w:val="normaltextrun"/>
          <w:rFonts w:ascii="Calibri" w:hAnsi="Calibri" w:cs="Calibri"/>
        </w:rPr>
        <w:t>Regarding the</w:t>
      </w:r>
      <w:r w:rsidR="007B6C0F" w:rsidRPr="00AD35E1">
        <w:rPr>
          <w:rStyle w:val="normaltextrun"/>
          <w:rFonts w:ascii="Calibri" w:hAnsi="Calibri" w:cs="Calibri"/>
        </w:rPr>
        <w:t xml:space="preserve"> </w:t>
      </w:r>
      <w:r w:rsidR="009D7E12" w:rsidRPr="00AD35E1">
        <w:rPr>
          <w:rStyle w:val="normaltextrun"/>
          <w:rFonts w:ascii="Calibri" w:hAnsi="Calibri" w:cs="Calibri"/>
        </w:rPr>
        <w:t>sub question</w:t>
      </w:r>
      <w:r w:rsidR="007B6C0F" w:rsidRPr="00AD35E1">
        <w:rPr>
          <w:rStyle w:val="normaltextrun"/>
          <w:rFonts w:ascii="Calibri" w:hAnsi="Calibri" w:cs="Calibri"/>
        </w:rPr>
        <w:t xml:space="preserve"> </w:t>
      </w:r>
      <w:r w:rsidR="0009060B" w:rsidRPr="00AD35E1">
        <w:rPr>
          <w:rStyle w:val="normaltextrun"/>
          <w:rFonts w:ascii="Calibri" w:hAnsi="Calibri" w:cs="Calibri"/>
        </w:rPr>
        <w:t>of platform criteria</w:t>
      </w:r>
      <w:r w:rsidR="00DB70A7" w:rsidRPr="00AD35E1">
        <w:rPr>
          <w:rStyle w:val="normaltextrun"/>
          <w:rFonts w:ascii="Calibri" w:hAnsi="Calibri" w:cs="Calibri"/>
        </w:rPr>
        <w:t xml:space="preserve"> for inclusion in the code</w:t>
      </w:r>
      <w:r w:rsidR="0009060B" w:rsidRPr="00AD35E1">
        <w:rPr>
          <w:rStyle w:val="normaltextrun"/>
          <w:rFonts w:ascii="Calibri" w:hAnsi="Calibri" w:cs="Calibri"/>
        </w:rPr>
        <w:t>,</w:t>
      </w:r>
      <w:r w:rsidR="00DB70A7" w:rsidRPr="00AD35E1">
        <w:rPr>
          <w:rStyle w:val="normaltextrun"/>
          <w:rFonts w:ascii="Calibri" w:hAnsi="Calibri" w:cs="Calibri"/>
        </w:rPr>
        <w:t xml:space="preserve"> the</w:t>
      </w:r>
      <w:r w:rsidR="0009060B" w:rsidRPr="00AD35E1">
        <w:rPr>
          <w:rStyle w:val="normaltextrun"/>
          <w:rFonts w:ascii="Calibri" w:hAnsi="Calibri" w:cs="Calibri"/>
        </w:rPr>
        <w:t xml:space="preserve"> </w:t>
      </w:r>
      <w:r w:rsidR="007B6C0F" w:rsidRPr="00AD35E1">
        <w:rPr>
          <w:rStyle w:val="normaltextrun"/>
          <w:rFonts w:ascii="Calibri" w:hAnsi="Calibri" w:cs="Calibri"/>
        </w:rPr>
        <w:t>current threshold of one million</w:t>
      </w:r>
      <w:r w:rsidR="0053513D" w:rsidRPr="00AD35E1">
        <w:rPr>
          <w:rStyle w:val="normaltextrun"/>
          <w:rFonts w:ascii="Calibri" w:hAnsi="Calibri" w:cs="Calibri"/>
        </w:rPr>
        <w:t xml:space="preserve"> active</w:t>
      </w:r>
      <w:r w:rsidR="007B6C0F" w:rsidRPr="00AD35E1">
        <w:rPr>
          <w:rStyle w:val="normaltextrun"/>
          <w:rFonts w:ascii="Calibri" w:hAnsi="Calibri" w:cs="Calibri"/>
        </w:rPr>
        <w:t xml:space="preserve"> mon</w:t>
      </w:r>
      <w:r w:rsidR="0053513D" w:rsidRPr="00AD35E1">
        <w:rPr>
          <w:rStyle w:val="normaltextrun"/>
          <w:rFonts w:ascii="Calibri" w:hAnsi="Calibri" w:cs="Calibri"/>
        </w:rPr>
        <w:t>thly users</w:t>
      </w:r>
      <w:r w:rsidR="00DB70A7" w:rsidRPr="00AD35E1">
        <w:rPr>
          <w:rStyle w:val="normaltextrun"/>
          <w:rFonts w:ascii="Calibri" w:hAnsi="Calibri" w:cs="Calibri"/>
        </w:rPr>
        <w:t xml:space="preserve"> </w:t>
      </w:r>
      <w:r w:rsidR="00664AB8" w:rsidRPr="00AD35E1">
        <w:rPr>
          <w:rStyle w:val="normaltextrun"/>
          <w:rFonts w:ascii="Calibri" w:hAnsi="Calibri" w:cs="Calibri"/>
        </w:rPr>
        <w:t xml:space="preserve">should be </w:t>
      </w:r>
      <w:r w:rsidR="009577E7" w:rsidRPr="00AD35E1">
        <w:rPr>
          <w:rStyle w:val="normaltextrun"/>
          <w:rFonts w:ascii="Calibri" w:hAnsi="Calibri" w:cs="Calibri"/>
        </w:rPr>
        <w:t xml:space="preserve">taken </w:t>
      </w:r>
      <w:r w:rsidR="00DC6071" w:rsidRPr="00AD35E1">
        <w:rPr>
          <w:rStyle w:val="normaltextrun"/>
          <w:rFonts w:ascii="Calibri" w:hAnsi="Calibri" w:cs="Calibri"/>
        </w:rPr>
        <w:t>as a guide and sho</w:t>
      </w:r>
      <w:r w:rsidR="00442911">
        <w:rPr>
          <w:rStyle w:val="normaltextrun"/>
          <w:rFonts w:ascii="Calibri" w:hAnsi="Calibri" w:cs="Calibri"/>
        </w:rPr>
        <w:t>uld not</w:t>
      </w:r>
      <w:r w:rsidR="00DC6071" w:rsidRPr="00AD35E1">
        <w:rPr>
          <w:rStyle w:val="normaltextrun"/>
          <w:rFonts w:ascii="Calibri" w:hAnsi="Calibri" w:cs="Calibri"/>
        </w:rPr>
        <w:t xml:space="preserve"> preclude DIGI and the ACMA from encouraging companies to join if they have been identified</w:t>
      </w:r>
      <w:r w:rsidR="00B96D25" w:rsidRPr="00AD35E1">
        <w:rPr>
          <w:rStyle w:val="normaltextrun"/>
          <w:rFonts w:ascii="Calibri" w:hAnsi="Calibri" w:cs="Calibri"/>
        </w:rPr>
        <w:t xml:space="preserve"> as</w:t>
      </w:r>
      <w:r w:rsidR="003F6337" w:rsidRPr="00AD35E1">
        <w:rPr>
          <w:rStyle w:val="normaltextrun"/>
          <w:rFonts w:ascii="Calibri" w:hAnsi="Calibri" w:cs="Calibri"/>
        </w:rPr>
        <w:t xml:space="preserve"> sources of mis and disinformation. </w:t>
      </w:r>
      <w:r w:rsidR="00FD10AE" w:rsidRPr="00AD35E1">
        <w:rPr>
          <w:rStyle w:val="normaltextrun"/>
          <w:rFonts w:ascii="Calibri" w:hAnsi="Calibri" w:cs="Calibri"/>
        </w:rPr>
        <w:t>Finding 18 of the ACMA’s report</w:t>
      </w:r>
      <w:r w:rsidR="00D23D7F" w:rsidRPr="00AD35E1">
        <w:rPr>
          <w:rStyle w:val="normaltextrun"/>
          <w:rFonts w:ascii="Calibri" w:hAnsi="Calibri" w:cs="Calibri"/>
        </w:rPr>
        <w:t xml:space="preserve"> noted that </w:t>
      </w:r>
      <w:r w:rsidR="000D5DB2" w:rsidRPr="00AD35E1">
        <w:rPr>
          <w:rStyle w:val="normaltextrun"/>
          <w:rFonts w:ascii="Calibri" w:hAnsi="Calibri" w:cs="Calibri"/>
        </w:rPr>
        <w:t>DIGI should encourage popular platforms to sign up to the code</w:t>
      </w:r>
      <w:r w:rsidR="002D3111" w:rsidRPr="00AD35E1">
        <w:rPr>
          <w:rStyle w:val="normaltextrun"/>
          <w:rFonts w:ascii="Calibri" w:hAnsi="Calibri" w:cs="Calibri"/>
        </w:rPr>
        <w:t>:</w:t>
      </w:r>
    </w:p>
    <w:p w14:paraId="2B62E308" w14:textId="19AB9BF8" w:rsidR="00D23D7F" w:rsidRPr="00AD35E1" w:rsidRDefault="00D23D7F" w:rsidP="006E1410">
      <w:pPr>
        <w:pStyle w:val="Quote"/>
      </w:pPr>
      <w:r w:rsidRPr="00AD35E1">
        <w:t>DIGI should continue to encourage other popular platforms, like</w:t>
      </w:r>
      <w:r w:rsidRPr="00AD35E1">
        <w:br/>
        <w:t>Snapchat and Reddit, to sign up to the code, even if they do not meet</w:t>
      </w:r>
      <w:r w:rsidRPr="00AD35E1">
        <w:br/>
        <w:t>the proposed threshold of one million active monthly users. DIGI should</w:t>
      </w:r>
      <w:r w:rsidRPr="00AD35E1">
        <w:br/>
        <w:t>actively publicise the involvement of any additional code signatories as</w:t>
      </w:r>
      <w:r w:rsidRPr="00AD35E1">
        <w:br/>
        <w:t>soon as practicable after their signing.</w:t>
      </w:r>
      <w:r w:rsidR="00AE33AA" w:rsidRPr="00AD35E1">
        <w:rPr>
          <w:rStyle w:val="FootnoteReference"/>
        </w:rPr>
        <w:footnoteReference w:id="23"/>
      </w:r>
    </w:p>
    <w:p w14:paraId="2637AF30" w14:textId="0D21D5A8" w:rsidR="006E6F01" w:rsidRPr="00AD35E1" w:rsidRDefault="00B05D16" w:rsidP="008C1FFA">
      <w:r w:rsidRPr="00AD35E1">
        <w:t>ACCAN</w:t>
      </w:r>
      <w:r w:rsidR="004D38F8" w:rsidRPr="00AD35E1">
        <w:t xml:space="preserve"> agrees with the ACMA</w:t>
      </w:r>
      <w:r w:rsidR="00BD48A6" w:rsidRPr="00AD35E1">
        <w:t xml:space="preserve"> that the threshold should not discourage </w:t>
      </w:r>
      <w:r w:rsidR="004D773C" w:rsidRPr="00AD35E1">
        <w:t>DIGI from engaging</w:t>
      </w:r>
      <w:r w:rsidR="00214D92" w:rsidRPr="00AD35E1">
        <w:t xml:space="preserve"> with</w:t>
      </w:r>
      <w:r w:rsidR="004D773C" w:rsidRPr="00AD35E1">
        <w:t xml:space="preserve"> other platforms to </w:t>
      </w:r>
      <w:r w:rsidR="00214D92" w:rsidRPr="00AD35E1">
        <w:t>consider becoming signatories to The Code.</w:t>
      </w:r>
      <w:r w:rsidR="00A813B8" w:rsidRPr="00AD35E1">
        <w:t xml:space="preserve"> </w:t>
      </w:r>
    </w:p>
    <w:p w14:paraId="3366B122" w14:textId="208B2598" w:rsidR="006E1410" w:rsidRPr="00AD35E1" w:rsidRDefault="00A813B8" w:rsidP="008C1FFA">
      <w:r w:rsidRPr="00AD35E1">
        <w:t>ACCAN</w:t>
      </w:r>
      <w:r w:rsidR="00384378" w:rsidRPr="00AD35E1">
        <w:t xml:space="preserve"> also</w:t>
      </w:r>
      <w:r w:rsidRPr="00AD35E1">
        <w:t xml:space="preserve"> notes that</w:t>
      </w:r>
      <w:r w:rsidR="008C1FFA" w:rsidRPr="00AD35E1">
        <w:t xml:space="preserve"> the</w:t>
      </w:r>
      <w:r w:rsidRPr="00AD35E1">
        <w:t xml:space="preserve"> AC</w:t>
      </w:r>
      <w:r w:rsidR="006E6BC6" w:rsidRPr="00AD35E1">
        <w:t xml:space="preserve">MA </w:t>
      </w:r>
      <w:r w:rsidR="008C1FFA" w:rsidRPr="00AD35E1">
        <w:t>“remains concerned about the lack of transparency surrounding the signing of new digital platforms after the code’s commencement date</w:t>
      </w:r>
      <w:r w:rsidR="00675529" w:rsidRPr="00AD35E1">
        <w:t>”.</w:t>
      </w:r>
      <w:r w:rsidR="003E1F1E" w:rsidRPr="00AD35E1">
        <w:rPr>
          <w:rStyle w:val="FootnoteReference"/>
        </w:rPr>
        <w:footnoteReference w:id="24"/>
      </w:r>
      <w:r w:rsidR="00675529" w:rsidRPr="00AD35E1">
        <w:t xml:space="preserve"> </w:t>
      </w:r>
      <w:r w:rsidR="00384378" w:rsidRPr="00AD35E1">
        <w:t>In its submissio</w:t>
      </w:r>
      <w:r w:rsidR="00244019" w:rsidRPr="00AD35E1">
        <w:t>n</w:t>
      </w:r>
      <w:r w:rsidR="00836F5F" w:rsidRPr="00AD35E1">
        <w:t xml:space="preserve"> to the draft code</w:t>
      </w:r>
      <w:r w:rsidR="00244019" w:rsidRPr="00AD35E1">
        <w:t xml:space="preserve"> ACCAN recommended that </w:t>
      </w:r>
      <w:r w:rsidR="00E12A2F" w:rsidRPr="00AD35E1">
        <w:t>“there be an additional clause in this section</w:t>
      </w:r>
      <w:r w:rsidR="008A2823" w:rsidRPr="00AD35E1">
        <w:t xml:space="preserve"> [section 7]</w:t>
      </w:r>
      <w:r w:rsidR="00E12A2F" w:rsidRPr="00AD35E1">
        <w:t xml:space="preserve">, </w:t>
      </w:r>
      <w:r w:rsidR="00E12A2F" w:rsidRPr="00AD35E1">
        <w:lastRenderedPageBreak/>
        <w:t>requiring DIGI to publish a complete and up-to-date list of all Code signatories”</w:t>
      </w:r>
      <w:r w:rsidR="008A2823" w:rsidRPr="00AD35E1">
        <w:t>.</w:t>
      </w:r>
      <w:r w:rsidR="008B0C50" w:rsidRPr="00AD35E1">
        <w:rPr>
          <w:rStyle w:val="FootnoteReference"/>
        </w:rPr>
        <w:footnoteReference w:id="25"/>
      </w:r>
      <w:r w:rsidR="008A2823" w:rsidRPr="00AD35E1">
        <w:t xml:space="preserve"> ACCAN </w:t>
      </w:r>
      <w:r w:rsidR="00D52649">
        <w:t>asserts</w:t>
      </w:r>
      <w:r w:rsidR="008A2823" w:rsidRPr="00AD35E1">
        <w:t xml:space="preserve"> that </w:t>
      </w:r>
      <w:r w:rsidR="005C75BF" w:rsidRPr="00AD35E1">
        <w:t>maintaining an up</w:t>
      </w:r>
      <w:r w:rsidR="00DC19B3" w:rsidRPr="00AD35E1">
        <w:t>-</w:t>
      </w:r>
      <w:r w:rsidR="005C75BF" w:rsidRPr="00AD35E1">
        <w:t>to</w:t>
      </w:r>
      <w:r w:rsidR="00DC19B3" w:rsidRPr="00AD35E1">
        <w:t>-</w:t>
      </w:r>
      <w:r w:rsidR="005C75BF" w:rsidRPr="00AD35E1">
        <w:t>date list</w:t>
      </w:r>
      <w:r w:rsidR="00DC19B3" w:rsidRPr="00AD35E1">
        <w:t xml:space="preserve"> of Code signatories would </w:t>
      </w:r>
      <w:r w:rsidR="00900326" w:rsidRPr="00AD35E1">
        <w:t xml:space="preserve">facilitate greater </w:t>
      </w:r>
      <w:r w:rsidR="003476D6" w:rsidRPr="00AD35E1">
        <w:t xml:space="preserve">public </w:t>
      </w:r>
      <w:r w:rsidR="00900326" w:rsidRPr="00AD35E1">
        <w:t>transparency and accountability with the code.</w:t>
      </w:r>
    </w:p>
    <w:p w14:paraId="25A6431B" w14:textId="6D7258FC" w:rsidR="00210CB7" w:rsidRPr="00AD35E1" w:rsidRDefault="00BB6357" w:rsidP="000E50BF">
      <w:pPr>
        <w:pStyle w:val="Recommendation"/>
      </w:pPr>
      <w:r w:rsidRPr="000E50BF">
        <w:t>Section</w:t>
      </w:r>
      <w:r w:rsidRPr="00BB6357">
        <w:t xml:space="preserve"> 7 of the Code should include a clause that DIGI will maintain a complete and up-to-date list of all Code signatories.</w:t>
      </w:r>
      <w:r>
        <w:t xml:space="preserve"> </w:t>
      </w:r>
    </w:p>
    <w:p w14:paraId="4948DB58" w14:textId="1CACB978" w:rsidR="00E571F0" w:rsidRPr="00AD35E1" w:rsidRDefault="005D09AB" w:rsidP="006219CE">
      <w:pPr>
        <w:rPr>
          <w:rStyle w:val="normaltextrun"/>
          <w:rFonts w:ascii="Calibri" w:hAnsi="Calibri" w:cs="Calibri"/>
        </w:rPr>
      </w:pPr>
      <w:r w:rsidRPr="00AD35E1">
        <w:rPr>
          <w:rStyle w:val="normaltextrun"/>
          <w:rFonts w:ascii="Calibri" w:hAnsi="Calibri" w:cs="Calibri"/>
        </w:rPr>
        <w:t xml:space="preserve">The ACMA’s report’s fifth </w:t>
      </w:r>
      <w:r w:rsidR="001337A4" w:rsidRPr="00AD35E1">
        <w:rPr>
          <w:rStyle w:val="normaltextrun"/>
          <w:rFonts w:ascii="Calibri" w:hAnsi="Calibri" w:cs="Calibri"/>
        </w:rPr>
        <w:t xml:space="preserve">recommendation </w:t>
      </w:r>
      <w:r w:rsidR="003B4B53" w:rsidRPr="00AD35E1">
        <w:rPr>
          <w:rStyle w:val="normaltextrun"/>
          <w:rFonts w:ascii="Calibri" w:hAnsi="Calibri" w:cs="Calibri"/>
        </w:rPr>
        <w:t>concerns cooperation between stakeholders</w:t>
      </w:r>
      <w:r w:rsidR="004554F2" w:rsidRPr="00AD35E1">
        <w:rPr>
          <w:rStyle w:val="normaltextrun"/>
          <w:rFonts w:ascii="Calibri" w:hAnsi="Calibri" w:cs="Calibri"/>
        </w:rPr>
        <w:t>. The ACMA recommends that</w:t>
      </w:r>
    </w:p>
    <w:p w14:paraId="075077AF" w14:textId="7D883E27" w:rsidR="008C0BC7" w:rsidRPr="00AD35E1" w:rsidRDefault="008C0BC7" w:rsidP="000C177C">
      <w:pPr>
        <w:pStyle w:val="Quote"/>
      </w:pPr>
      <w:r w:rsidRPr="00AD35E1">
        <w:t>In addition to existing monitoring capabilities, the government</w:t>
      </w:r>
      <w:r w:rsidRPr="00AD35E1">
        <w:br/>
        <w:t>should consider establishing a Misinformation and Disinformation Action Group to</w:t>
      </w:r>
      <w:r w:rsidR="000C177C" w:rsidRPr="00AD35E1">
        <w:t xml:space="preserve"> </w:t>
      </w:r>
      <w:r w:rsidRPr="00AD35E1">
        <w:t>support collaboration and information-sharing between digital platforms, government</w:t>
      </w:r>
      <w:r w:rsidR="000C177C" w:rsidRPr="00AD35E1">
        <w:t xml:space="preserve"> </w:t>
      </w:r>
      <w:r w:rsidRPr="00AD35E1">
        <w:t>agencies, researchers and NGOs on issues relating to disinformation and</w:t>
      </w:r>
      <w:r w:rsidR="000C177C" w:rsidRPr="00AD35E1">
        <w:t xml:space="preserve"> </w:t>
      </w:r>
      <w:r w:rsidRPr="00AD35E1">
        <w:t>misinformation.</w:t>
      </w:r>
      <w:r w:rsidRPr="00AD35E1">
        <w:rPr>
          <w:rStyle w:val="FootnoteReference"/>
          <w:rFonts w:ascii="Calibri" w:hAnsi="Calibri" w:cs="Calibri"/>
        </w:rPr>
        <w:footnoteReference w:id="26"/>
      </w:r>
    </w:p>
    <w:p w14:paraId="16887B73" w14:textId="4097F906" w:rsidR="00DA401F" w:rsidRPr="00AD35E1" w:rsidRDefault="004554F2" w:rsidP="00532263">
      <w:pPr>
        <w:pStyle w:val="paragraph"/>
        <w:textAlignment w:val="baseline"/>
        <w:rPr>
          <w:rFonts w:ascii="Calibri" w:hAnsi="Calibri" w:cs="Calibri"/>
          <w:sz w:val="22"/>
          <w:szCs w:val="22"/>
        </w:rPr>
      </w:pPr>
      <w:r w:rsidRPr="00AD35E1">
        <w:rPr>
          <w:rFonts w:ascii="Calibri" w:hAnsi="Calibri" w:cs="Calibri"/>
          <w:sz w:val="22"/>
          <w:szCs w:val="22"/>
        </w:rPr>
        <w:t>This</w:t>
      </w:r>
      <w:r w:rsidR="00E1684B" w:rsidRPr="00AD35E1">
        <w:rPr>
          <w:rFonts w:ascii="Calibri" w:hAnsi="Calibri" w:cs="Calibri"/>
          <w:sz w:val="22"/>
          <w:szCs w:val="22"/>
        </w:rPr>
        <w:t xml:space="preserve"> echoes a </w:t>
      </w:r>
      <w:r w:rsidR="00332C8E" w:rsidRPr="00AD35E1">
        <w:rPr>
          <w:rFonts w:ascii="Calibri" w:hAnsi="Calibri" w:cs="Calibri"/>
          <w:sz w:val="22"/>
          <w:szCs w:val="22"/>
        </w:rPr>
        <w:t xml:space="preserve">suggestion ACCAN made to the </w:t>
      </w:r>
      <w:r w:rsidR="00BE3D98" w:rsidRPr="00AD35E1">
        <w:rPr>
          <w:rFonts w:ascii="Calibri" w:hAnsi="Calibri" w:cs="Calibri"/>
          <w:sz w:val="22"/>
          <w:szCs w:val="22"/>
        </w:rPr>
        <w:t>draft Code regarding section 5.27. Section 5.</w:t>
      </w:r>
      <w:r w:rsidR="00627DC2" w:rsidRPr="00AD35E1">
        <w:rPr>
          <w:rFonts w:ascii="Calibri" w:hAnsi="Calibri" w:cs="Calibri"/>
          <w:sz w:val="22"/>
          <w:szCs w:val="22"/>
        </w:rPr>
        <w:t xml:space="preserve">27 states that </w:t>
      </w:r>
      <w:r w:rsidR="00532263" w:rsidRPr="00AD35E1">
        <w:rPr>
          <w:rFonts w:ascii="Calibri" w:hAnsi="Calibri" w:cs="Calibri"/>
          <w:sz w:val="22"/>
          <w:szCs w:val="22"/>
        </w:rPr>
        <w:t>“Relevant Signatories commit to convene an annual event to foster discussions regarding Disinformation and Misinformation within academia and Civil Society”</w:t>
      </w:r>
      <w:r w:rsidR="0056563F" w:rsidRPr="00AD35E1">
        <w:rPr>
          <w:rFonts w:ascii="Calibri" w:hAnsi="Calibri" w:cs="Calibri"/>
          <w:sz w:val="22"/>
          <w:szCs w:val="22"/>
        </w:rPr>
        <w:t xml:space="preserve">. </w:t>
      </w:r>
      <w:r w:rsidR="001758ED" w:rsidRPr="00AD35E1">
        <w:rPr>
          <w:rFonts w:ascii="Calibri" w:hAnsi="Calibri" w:cs="Calibri"/>
          <w:sz w:val="22"/>
          <w:szCs w:val="22"/>
        </w:rPr>
        <w:t>ACCAN suggests that this clause clarify what “relevant signatories” means and how they will be identified. Additionally, there needs to be clarity on how this will be publicised and promoted to interested stakeholders.</w:t>
      </w:r>
    </w:p>
    <w:p w14:paraId="58F0EBD9" w14:textId="3CCB52D2" w:rsidR="008C0BC7" w:rsidRPr="009A0348" w:rsidRDefault="005F19B9" w:rsidP="009A0348">
      <w:pPr>
        <w:pStyle w:val="Recommendation"/>
        <w:rPr>
          <w:rStyle w:val="normaltextrun"/>
        </w:rPr>
      </w:pPr>
      <w:r w:rsidRPr="00AD35E1">
        <w:t xml:space="preserve">Section 5.27 of the Code should be amended to </w:t>
      </w:r>
      <w:r w:rsidR="000B4669" w:rsidRPr="00AD35E1">
        <w:t>provide more detail</w:t>
      </w:r>
      <w:r w:rsidR="004A7721" w:rsidRPr="00AD35E1">
        <w:t xml:space="preserve"> around </w:t>
      </w:r>
      <w:r w:rsidR="00E141AC" w:rsidRPr="00AD35E1">
        <w:t>a</w:t>
      </w:r>
      <w:r w:rsidR="001921BB" w:rsidRPr="00AD35E1">
        <w:t>n annual</w:t>
      </w:r>
      <w:r w:rsidR="004A7721" w:rsidRPr="00AD35E1">
        <w:t xml:space="preserve"> </w:t>
      </w:r>
      <w:r w:rsidR="001921BB" w:rsidRPr="00AD35E1">
        <w:t>stakeholder</w:t>
      </w:r>
      <w:r w:rsidR="004A7721" w:rsidRPr="00AD35E1">
        <w:t xml:space="preserve"> event</w:t>
      </w:r>
      <w:r w:rsidR="00E32A3D" w:rsidRPr="00AD35E1">
        <w:t>.</w:t>
      </w:r>
    </w:p>
    <w:p w14:paraId="001EF049" w14:textId="77777777" w:rsidR="001F37F6" w:rsidRPr="00AD35E1" w:rsidRDefault="001F37F6" w:rsidP="00BC5711">
      <w:pPr>
        <w:pStyle w:val="Heading3"/>
        <w:rPr>
          <w:rStyle w:val="eop"/>
          <w:rFonts w:ascii="Calibri" w:eastAsiaTheme="majorEastAsia" w:hAnsi="Calibri" w:cs="Calibri"/>
          <w:sz w:val="22"/>
          <w:lang w:val="en-AU"/>
        </w:rPr>
      </w:pPr>
      <w:r w:rsidRPr="00AD35E1">
        <w:rPr>
          <w:rStyle w:val="normaltextrun"/>
          <w:rFonts w:ascii="Calibri" w:hAnsi="Calibri" w:cs="Calibri"/>
          <w:sz w:val="22"/>
          <w:lang w:val="en-AU"/>
        </w:rPr>
        <w:t>5) Should the code be extended to include private messaging services?</w:t>
      </w:r>
      <w:r w:rsidRPr="00AD35E1">
        <w:rPr>
          <w:rStyle w:val="eop"/>
          <w:rFonts w:ascii="Calibri" w:eastAsiaTheme="majorEastAsia" w:hAnsi="Calibri" w:cs="Calibri"/>
          <w:sz w:val="22"/>
          <w:lang w:val="en-AU"/>
        </w:rPr>
        <w:t> </w:t>
      </w:r>
    </w:p>
    <w:p w14:paraId="0F44AD75" w14:textId="2785BECC" w:rsidR="00EE5AEA" w:rsidRPr="00AD35E1" w:rsidRDefault="003E1A90" w:rsidP="006219CE">
      <w:r w:rsidRPr="00AD35E1">
        <w:rPr>
          <w:rStyle w:val="normaltextrun"/>
          <w:rFonts w:ascii="Calibri" w:hAnsi="Calibri" w:cs="Calibri"/>
        </w:rPr>
        <w:t xml:space="preserve">The ACMA’s report notes that there are </w:t>
      </w:r>
      <w:r w:rsidR="00EE5AEA" w:rsidRPr="00AD35E1">
        <w:t>“growing concerns</w:t>
      </w:r>
      <w:r w:rsidRPr="00AD35E1">
        <w:t>”</w:t>
      </w:r>
      <w:r w:rsidR="00EE5AEA" w:rsidRPr="00AD35E1">
        <w:t xml:space="preserve"> that</w:t>
      </w:r>
      <w:r w:rsidR="00801C32" w:rsidRPr="00AD35E1">
        <w:t xml:space="preserve"> messaging</w:t>
      </w:r>
      <w:r w:rsidR="00EE5AEA" w:rsidRPr="00AD35E1">
        <w:t xml:space="preserve"> </w:t>
      </w:r>
      <w:r w:rsidRPr="00AD35E1">
        <w:t xml:space="preserve">platforms such as </w:t>
      </w:r>
      <w:r w:rsidR="00801C32" w:rsidRPr="00AD35E1">
        <w:t>Facebook Messenger, Telegram, WhatsApp and WeChat</w:t>
      </w:r>
      <w:r w:rsidR="00EE5AEA" w:rsidRPr="00AD35E1">
        <w:t xml:space="preserve"> </w:t>
      </w:r>
      <w:r w:rsidRPr="00AD35E1">
        <w:t>“</w:t>
      </w:r>
      <w:r w:rsidR="00EE5AEA" w:rsidRPr="00AD35E1">
        <w:t>are potential hotspots for misinformation”</w:t>
      </w:r>
      <w:r w:rsidR="00BA1922" w:rsidRPr="00AD35E1">
        <w:t>.</w:t>
      </w:r>
      <w:r w:rsidR="0093028E" w:rsidRPr="00AD35E1">
        <w:rPr>
          <w:rStyle w:val="FootnoteReference"/>
        </w:rPr>
        <w:footnoteReference w:id="27"/>
      </w:r>
      <w:r w:rsidR="00BA1922" w:rsidRPr="00AD35E1">
        <w:t xml:space="preserve"> Finding 25 of the ACMA’s</w:t>
      </w:r>
      <w:r w:rsidR="0093028E" w:rsidRPr="00AD35E1">
        <w:t xml:space="preserve"> </w:t>
      </w:r>
      <w:r w:rsidR="00BA1922" w:rsidRPr="00AD35E1">
        <w:t xml:space="preserve">report argues that </w:t>
      </w:r>
    </w:p>
    <w:p w14:paraId="7B715AA9" w14:textId="1EE5A007" w:rsidR="00BA1922" w:rsidRPr="00AD35E1" w:rsidRDefault="00BA1922" w:rsidP="0091596B">
      <w:pPr>
        <w:pStyle w:val="Quote"/>
      </w:pPr>
      <w:r w:rsidRPr="00AD35E1">
        <w:t>Private messaging services should be included within the scope of the</w:t>
      </w:r>
      <w:r w:rsidRPr="00AD35E1">
        <w:br/>
        <w:t>code as these are known vectors of disinformation and misinformation.</w:t>
      </w:r>
      <w:r w:rsidRPr="00AD35E1">
        <w:br/>
      </w:r>
      <w:r w:rsidRPr="00AD35E1">
        <w:lastRenderedPageBreak/>
        <w:t>These should be included with appropriate caveats on the right to</w:t>
      </w:r>
      <w:r w:rsidRPr="00AD35E1">
        <w:br/>
        <w:t>privacy.</w:t>
      </w:r>
      <w:r w:rsidR="0093028E" w:rsidRPr="00AD35E1">
        <w:rPr>
          <w:rStyle w:val="FootnoteReference"/>
        </w:rPr>
        <w:footnoteReference w:id="28"/>
      </w:r>
    </w:p>
    <w:p w14:paraId="529C30F7" w14:textId="58BA889A" w:rsidR="000F0308" w:rsidRPr="00AD35E1" w:rsidRDefault="006A6D43" w:rsidP="006219CE">
      <w:r w:rsidRPr="00AD35E1">
        <w:t xml:space="preserve">The ACMA also cites discussions in </w:t>
      </w:r>
      <w:r w:rsidR="00877C13" w:rsidRPr="00AD35E1">
        <w:t>the European Unio</w:t>
      </w:r>
      <w:r w:rsidR="00A23F8C" w:rsidRPr="00AD35E1">
        <w:t>n</w:t>
      </w:r>
      <w:r w:rsidR="00877C13" w:rsidRPr="00AD35E1">
        <w:t xml:space="preserve"> that </w:t>
      </w:r>
      <w:r w:rsidR="00224EFC" w:rsidRPr="00AD35E1">
        <w:t xml:space="preserve">messaging services </w:t>
      </w:r>
      <w:r w:rsidR="00FA4B67" w:rsidRPr="00AD35E1">
        <w:t>could</w:t>
      </w:r>
      <w:r w:rsidR="00224EFC" w:rsidRPr="00AD35E1">
        <w:t xml:space="preserve"> be included </w:t>
      </w:r>
      <w:r w:rsidR="00785F4B" w:rsidRPr="00AD35E1">
        <w:t xml:space="preserve">in its </w:t>
      </w:r>
      <w:r w:rsidR="009A70C8" w:rsidRPr="00AD35E1">
        <w:t>Code of Practice on Disinformation</w:t>
      </w:r>
      <w:r w:rsidR="00224EFC" w:rsidRPr="00AD35E1">
        <w:t>.</w:t>
      </w:r>
      <w:r w:rsidR="009A70C8" w:rsidRPr="00AD35E1">
        <w:t xml:space="preserve"> </w:t>
      </w:r>
      <w:r w:rsidR="00793551" w:rsidRPr="00AD35E1">
        <w:t>A</w:t>
      </w:r>
      <w:r w:rsidR="00A23F8C" w:rsidRPr="00AD35E1">
        <w:t xml:space="preserve"> European Commission</w:t>
      </w:r>
      <w:r w:rsidR="00142EAB" w:rsidRPr="00AD35E1">
        <w:t xml:space="preserve"> (EC)</w:t>
      </w:r>
      <w:r w:rsidR="00A23F8C" w:rsidRPr="00AD35E1">
        <w:t xml:space="preserve"> Guidance</w:t>
      </w:r>
      <w:r w:rsidR="007A4B30" w:rsidRPr="00AD35E1">
        <w:t xml:space="preserve"> notes that </w:t>
      </w:r>
      <w:r w:rsidR="00142EAB" w:rsidRPr="00AD35E1">
        <w:t>messaging services can “can also be misused to fuel disinformation and misinformation”</w:t>
      </w:r>
      <w:r w:rsidR="00FA4B67" w:rsidRPr="00AD35E1">
        <w:t xml:space="preserve"> and </w:t>
      </w:r>
      <w:r w:rsidR="00636A83" w:rsidRPr="00AD35E1">
        <w:t>should be considered as long as actions are coterminous with</w:t>
      </w:r>
      <w:r w:rsidR="003051E4" w:rsidRPr="00AD35E1">
        <w:t xml:space="preserve"> people’s right to privacy. </w:t>
      </w:r>
      <w:r w:rsidR="00142EAB" w:rsidRPr="00AD35E1">
        <w:t>The EC</w:t>
      </w:r>
      <w:r w:rsidR="00A23F8C" w:rsidRPr="00AD35E1">
        <w:t xml:space="preserve"> </w:t>
      </w:r>
      <w:r w:rsidR="00793551" w:rsidRPr="00AD35E1">
        <w:t xml:space="preserve">advocates for </w:t>
      </w:r>
      <w:r w:rsidR="00695D5E" w:rsidRPr="00AD35E1">
        <w:t>features that</w:t>
      </w:r>
      <w:r w:rsidR="0021264F" w:rsidRPr="00AD35E1">
        <w:t xml:space="preserve"> </w:t>
      </w:r>
      <w:r w:rsidR="00B81FAF" w:rsidRPr="00AD35E1">
        <w:t>add “friction” to the spread of misinformation</w:t>
      </w:r>
      <w:r w:rsidR="00F07786" w:rsidRPr="00AD35E1">
        <w:t xml:space="preserve">. </w:t>
      </w:r>
      <w:r w:rsidR="004674C3" w:rsidRPr="00AD35E1">
        <w:t>As the EC notes, such</w:t>
      </w:r>
    </w:p>
    <w:p w14:paraId="1E4EB42A" w14:textId="305B476D" w:rsidR="001F37F6" w:rsidRPr="00AD35E1" w:rsidRDefault="00D627A8" w:rsidP="006219CE">
      <w:pPr>
        <w:pStyle w:val="Quote"/>
      </w:pPr>
      <w:r w:rsidRPr="00AD35E1">
        <w:t>solutions should be compatible with the nature of these services and in particular the</w:t>
      </w:r>
      <w:r w:rsidR="00C90781" w:rsidRPr="00AD35E1">
        <w:t xml:space="preserve"> </w:t>
      </w:r>
      <w:r w:rsidRPr="00AD35E1">
        <w:t>right to private communications, without any weakening of the encryption. Such features</w:t>
      </w:r>
      <w:r w:rsidR="00C90781" w:rsidRPr="00AD35E1">
        <w:t xml:space="preserve"> </w:t>
      </w:r>
      <w:r w:rsidRPr="00AD35E1">
        <w:t>could, for example, help users to verify whether particular content they receive has been</w:t>
      </w:r>
      <w:r w:rsidR="00C90781" w:rsidRPr="00AD35E1">
        <w:t xml:space="preserve"> </w:t>
      </w:r>
      <w:r w:rsidRPr="00AD35E1">
        <w:t>fact-checked as false. This could be achieved e.g. through solutions that make visible</w:t>
      </w:r>
      <w:r w:rsidR="00C90781" w:rsidRPr="00AD35E1">
        <w:t xml:space="preserve"> </w:t>
      </w:r>
      <w:r w:rsidRPr="00AD35E1">
        <w:t>fact-checking labels when content from social media is disseminated over a messaging</w:t>
      </w:r>
      <w:r w:rsidR="00C90781" w:rsidRPr="00AD35E1">
        <w:t xml:space="preserve"> </w:t>
      </w:r>
      <w:r w:rsidRPr="00AD35E1">
        <w:t>app. Signatories could also consider solutions that enable users to check content they</w:t>
      </w:r>
      <w:r w:rsidR="00C90781" w:rsidRPr="00AD35E1">
        <w:t xml:space="preserve"> </w:t>
      </w:r>
      <w:r w:rsidRPr="00AD35E1">
        <w:t>received over a messaging application against a repository of fact-checks.</w:t>
      </w:r>
      <w:r w:rsidR="000F0308" w:rsidRPr="00AD35E1">
        <w:rPr>
          <w:rStyle w:val="FootnoteReference"/>
        </w:rPr>
        <w:footnoteReference w:id="29"/>
      </w:r>
    </w:p>
    <w:p w14:paraId="73408141" w14:textId="06242F4A" w:rsidR="004D061F" w:rsidRPr="00AD35E1" w:rsidRDefault="00DB7767" w:rsidP="006219CE">
      <w:pPr>
        <w:rPr>
          <w:rStyle w:val="normaltextrun"/>
          <w:rFonts w:ascii="Calibri" w:hAnsi="Calibri" w:cs="Calibri"/>
        </w:rPr>
      </w:pPr>
      <w:r w:rsidRPr="00AD35E1">
        <w:rPr>
          <w:rStyle w:val="normaltextrun"/>
          <w:rFonts w:ascii="Calibri" w:hAnsi="Calibri" w:cs="Calibri"/>
        </w:rPr>
        <w:t xml:space="preserve">It appears that both the EC and the ACMA are advocating for </w:t>
      </w:r>
      <w:r w:rsidR="00054687" w:rsidRPr="00AD35E1">
        <w:rPr>
          <w:rStyle w:val="normaltextrun"/>
          <w:rFonts w:ascii="Calibri" w:hAnsi="Calibri" w:cs="Calibri"/>
        </w:rPr>
        <w:t>automated mechanisms that</w:t>
      </w:r>
      <w:r w:rsidR="002C103D" w:rsidRPr="00AD35E1">
        <w:rPr>
          <w:rStyle w:val="normaltextrun"/>
          <w:rFonts w:ascii="Calibri" w:hAnsi="Calibri" w:cs="Calibri"/>
        </w:rPr>
        <w:t xml:space="preserve"> slow mis and disinformation without</w:t>
      </w:r>
      <w:r w:rsidR="00E328DA" w:rsidRPr="00AD35E1">
        <w:rPr>
          <w:rStyle w:val="normaltextrun"/>
          <w:rFonts w:ascii="Calibri" w:hAnsi="Calibri" w:cs="Calibri"/>
        </w:rPr>
        <w:t xml:space="preserve"> the need for platforms to</w:t>
      </w:r>
      <w:r w:rsidR="00D233E1" w:rsidRPr="00AD35E1">
        <w:rPr>
          <w:rStyle w:val="normaltextrun"/>
          <w:rFonts w:ascii="Calibri" w:hAnsi="Calibri" w:cs="Calibri"/>
        </w:rPr>
        <w:t xml:space="preserve"> “</w:t>
      </w:r>
      <w:r w:rsidR="00E328DA" w:rsidRPr="00AD35E1">
        <w:rPr>
          <w:rStyle w:val="normaltextrun"/>
          <w:rFonts w:ascii="Calibri" w:hAnsi="Calibri" w:cs="Calibri"/>
        </w:rPr>
        <w:t>access or view the content</w:t>
      </w:r>
      <w:r w:rsidR="00D233E1" w:rsidRPr="00AD35E1">
        <w:rPr>
          <w:rStyle w:val="normaltextrun"/>
          <w:rFonts w:ascii="Calibri" w:hAnsi="Calibri" w:cs="Calibri"/>
        </w:rPr>
        <w:t>”</w:t>
      </w:r>
      <w:r w:rsidR="00E328DA" w:rsidRPr="00AD35E1">
        <w:rPr>
          <w:rStyle w:val="normaltextrun"/>
          <w:rFonts w:ascii="Calibri" w:hAnsi="Calibri" w:cs="Calibri"/>
        </w:rPr>
        <w:t xml:space="preserve"> and</w:t>
      </w:r>
      <w:r w:rsidR="006D3C4A" w:rsidRPr="00AD35E1">
        <w:rPr>
          <w:rStyle w:val="normaltextrun"/>
          <w:rFonts w:ascii="Calibri" w:hAnsi="Calibri" w:cs="Calibri"/>
        </w:rPr>
        <w:t xml:space="preserve"> that</w:t>
      </w:r>
      <w:r w:rsidR="00E328DA" w:rsidRPr="00AD35E1">
        <w:rPr>
          <w:rStyle w:val="normaltextrun"/>
          <w:rFonts w:ascii="Calibri" w:hAnsi="Calibri" w:cs="Calibri"/>
        </w:rPr>
        <w:t xml:space="preserve"> “there should be no requirement or expectation that digital platforms should monitor private conversations between users”</w:t>
      </w:r>
      <w:r w:rsidR="00D50DAC" w:rsidRPr="00AD35E1">
        <w:rPr>
          <w:rStyle w:val="normaltextrun"/>
          <w:rFonts w:ascii="Calibri" w:hAnsi="Calibri" w:cs="Calibri"/>
        </w:rPr>
        <w:t>.</w:t>
      </w:r>
      <w:r w:rsidR="00CA6750" w:rsidRPr="00AD35E1">
        <w:rPr>
          <w:rStyle w:val="FootnoteReference"/>
          <w:rFonts w:ascii="Calibri" w:hAnsi="Calibri" w:cs="Calibri"/>
        </w:rPr>
        <w:footnoteReference w:id="30"/>
      </w:r>
      <w:r w:rsidR="00D50DAC" w:rsidRPr="00AD35E1">
        <w:rPr>
          <w:rStyle w:val="normaltextrun"/>
          <w:rFonts w:ascii="Calibri" w:hAnsi="Calibri" w:cs="Calibri"/>
        </w:rPr>
        <w:t xml:space="preserve"> </w:t>
      </w:r>
      <w:r w:rsidR="003F7F7D" w:rsidRPr="00AD35E1">
        <w:rPr>
          <w:rStyle w:val="normaltextrun"/>
          <w:rFonts w:ascii="Calibri" w:hAnsi="Calibri" w:cs="Calibri"/>
        </w:rPr>
        <w:t xml:space="preserve">The ACMA’s report specifically mentions </w:t>
      </w:r>
      <w:r w:rsidR="00EC54C2" w:rsidRPr="00AD35E1">
        <w:rPr>
          <w:rStyle w:val="normaltextrun"/>
          <w:rFonts w:ascii="Calibri" w:hAnsi="Calibri" w:cs="Calibri"/>
        </w:rPr>
        <w:t>“online groups and semi-public channels such as one-to-many or many-to-many messaging services”.</w:t>
      </w:r>
      <w:r w:rsidR="003944DB" w:rsidRPr="00AD35E1">
        <w:rPr>
          <w:rStyle w:val="normaltextrun"/>
          <w:rFonts w:ascii="Calibri" w:hAnsi="Calibri" w:cs="Calibri"/>
        </w:rPr>
        <w:t xml:space="preserve"> </w:t>
      </w:r>
      <w:r w:rsidR="000261B8" w:rsidRPr="00AD35E1">
        <w:rPr>
          <w:rStyle w:val="normaltextrun"/>
          <w:rFonts w:ascii="Calibri" w:hAnsi="Calibri" w:cs="Calibri"/>
        </w:rPr>
        <w:t>Several</w:t>
      </w:r>
      <w:r w:rsidR="004D061F" w:rsidRPr="00AD35E1">
        <w:rPr>
          <w:rStyle w:val="normaltextrun"/>
          <w:rFonts w:ascii="Calibri" w:hAnsi="Calibri" w:cs="Calibri"/>
        </w:rPr>
        <w:t xml:space="preserve"> academic</w:t>
      </w:r>
      <w:r w:rsidR="00216632" w:rsidRPr="00AD35E1">
        <w:rPr>
          <w:rStyle w:val="normaltextrun"/>
          <w:rFonts w:ascii="Calibri" w:hAnsi="Calibri" w:cs="Calibri"/>
        </w:rPr>
        <w:t xml:space="preserve"> studies </w:t>
      </w:r>
      <w:r w:rsidR="000261B8" w:rsidRPr="00AD35E1">
        <w:rPr>
          <w:rStyle w:val="normaltextrun"/>
          <w:rFonts w:ascii="Calibri" w:hAnsi="Calibri" w:cs="Calibri"/>
        </w:rPr>
        <w:t>of misinformation on private messaging services</w:t>
      </w:r>
      <w:r w:rsidR="00B81CA6" w:rsidRPr="00AD35E1">
        <w:rPr>
          <w:rStyle w:val="normaltextrun"/>
          <w:rFonts w:ascii="Calibri" w:hAnsi="Calibri" w:cs="Calibri"/>
        </w:rPr>
        <w:t>, particularly WhatsApp</w:t>
      </w:r>
      <w:r w:rsidR="00DF4368" w:rsidRPr="00AD35E1">
        <w:rPr>
          <w:rStyle w:val="normaltextrun"/>
          <w:rFonts w:ascii="Calibri" w:hAnsi="Calibri" w:cs="Calibri"/>
        </w:rPr>
        <w:t>,</w:t>
      </w:r>
      <w:r w:rsidR="00DE25EC" w:rsidRPr="00AD35E1">
        <w:rPr>
          <w:rStyle w:val="normaltextrun"/>
          <w:rFonts w:ascii="Calibri" w:hAnsi="Calibri" w:cs="Calibri"/>
        </w:rPr>
        <w:t xml:space="preserve"> </w:t>
      </w:r>
      <w:r w:rsidR="00766A74" w:rsidRPr="00AD35E1">
        <w:rPr>
          <w:rStyle w:val="normaltextrun"/>
          <w:rFonts w:ascii="Calibri" w:hAnsi="Calibri" w:cs="Calibri"/>
        </w:rPr>
        <w:t>argue that misinformation is a serious problem on these services and suggest</w:t>
      </w:r>
      <w:r w:rsidR="00131845" w:rsidRPr="00AD35E1">
        <w:rPr>
          <w:rStyle w:val="normaltextrun"/>
          <w:rFonts w:ascii="Calibri" w:hAnsi="Calibri" w:cs="Calibri"/>
        </w:rPr>
        <w:t xml:space="preserve"> intervention</w:t>
      </w:r>
      <w:r w:rsidR="002959DE" w:rsidRPr="00AD35E1">
        <w:rPr>
          <w:rStyle w:val="normaltextrun"/>
          <w:rFonts w:ascii="Calibri" w:hAnsi="Calibri" w:cs="Calibri"/>
        </w:rPr>
        <w:t xml:space="preserve"> through technical means</w:t>
      </w:r>
      <w:r w:rsidR="00131845" w:rsidRPr="00AD35E1">
        <w:rPr>
          <w:rStyle w:val="normaltextrun"/>
          <w:rFonts w:ascii="Calibri" w:hAnsi="Calibri" w:cs="Calibri"/>
        </w:rPr>
        <w:t xml:space="preserve">. </w:t>
      </w:r>
      <w:r w:rsidR="002959DE" w:rsidRPr="00AD35E1">
        <w:rPr>
          <w:rStyle w:val="FootnoteReference"/>
          <w:rFonts w:ascii="Calibri" w:hAnsi="Calibri" w:cs="Calibri"/>
        </w:rPr>
        <w:footnoteReference w:id="31"/>
      </w:r>
    </w:p>
    <w:p w14:paraId="31558ED2" w14:textId="484B9B37" w:rsidR="00791ECF" w:rsidRPr="00AD35E1" w:rsidRDefault="00085734" w:rsidP="00683186">
      <w:pPr>
        <w:rPr>
          <w:rStyle w:val="normaltextrun"/>
          <w:rFonts w:ascii="Calibri" w:hAnsi="Calibri" w:cs="Calibri"/>
        </w:rPr>
      </w:pPr>
      <w:r w:rsidRPr="00AD35E1">
        <w:rPr>
          <w:rStyle w:val="normaltextrun"/>
          <w:rFonts w:ascii="Calibri" w:hAnsi="Calibri" w:cs="Calibri"/>
        </w:rPr>
        <w:t xml:space="preserve">ACCAN agrees </w:t>
      </w:r>
      <w:r w:rsidR="00861889" w:rsidRPr="00AD35E1">
        <w:rPr>
          <w:rStyle w:val="normaltextrun"/>
          <w:rFonts w:ascii="Calibri" w:hAnsi="Calibri" w:cs="Calibri"/>
        </w:rPr>
        <w:t>messaging services</w:t>
      </w:r>
      <w:r w:rsidR="00E450E9" w:rsidRPr="00AD35E1">
        <w:rPr>
          <w:rStyle w:val="normaltextrun"/>
          <w:rFonts w:ascii="Calibri" w:hAnsi="Calibri" w:cs="Calibri"/>
        </w:rPr>
        <w:t xml:space="preserve"> are an </w:t>
      </w:r>
      <w:r w:rsidR="00A21754" w:rsidRPr="00AD35E1">
        <w:rPr>
          <w:rStyle w:val="normaltextrun"/>
          <w:rFonts w:ascii="Calibri" w:hAnsi="Calibri" w:cs="Calibri"/>
        </w:rPr>
        <w:t>important area to consider in terms of dis</w:t>
      </w:r>
      <w:r w:rsidR="00F7074F">
        <w:rPr>
          <w:rStyle w:val="normaltextrun"/>
          <w:rFonts w:ascii="Calibri" w:hAnsi="Calibri" w:cs="Calibri"/>
        </w:rPr>
        <w:t>-</w:t>
      </w:r>
      <w:r w:rsidR="00A21754" w:rsidRPr="00AD35E1">
        <w:rPr>
          <w:rStyle w:val="normaltextrun"/>
          <w:rFonts w:ascii="Calibri" w:hAnsi="Calibri" w:cs="Calibri"/>
        </w:rPr>
        <w:t xml:space="preserve"> and misinformation. ACCAN</w:t>
      </w:r>
      <w:r w:rsidR="00366E5F" w:rsidRPr="00AD35E1">
        <w:rPr>
          <w:rStyle w:val="normaltextrun"/>
          <w:rFonts w:ascii="Calibri" w:hAnsi="Calibri" w:cs="Calibri"/>
        </w:rPr>
        <w:t xml:space="preserve"> also agrees that</w:t>
      </w:r>
      <w:r w:rsidR="008D5BFC" w:rsidRPr="00AD35E1">
        <w:rPr>
          <w:rStyle w:val="normaltextrun"/>
          <w:rFonts w:ascii="Calibri" w:hAnsi="Calibri" w:cs="Calibri"/>
        </w:rPr>
        <w:t xml:space="preserve"> people</w:t>
      </w:r>
      <w:r w:rsidR="00E938AC" w:rsidRPr="00AD35E1">
        <w:rPr>
          <w:rStyle w:val="normaltextrun"/>
          <w:rFonts w:ascii="Calibri" w:hAnsi="Calibri" w:cs="Calibri"/>
        </w:rPr>
        <w:t>’s messaging privacy should be protected.</w:t>
      </w:r>
      <w:r w:rsidR="007917A2" w:rsidRPr="00AD35E1">
        <w:rPr>
          <w:rStyle w:val="normaltextrun"/>
          <w:rFonts w:ascii="Calibri" w:hAnsi="Calibri" w:cs="Calibri"/>
        </w:rPr>
        <w:t xml:space="preserve"> While the Strengthened code of practice in the EU</w:t>
      </w:r>
      <w:r w:rsidR="00B93E84" w:rsidRPr="00AD35E1">
        <w:rPr>
          <w:rStyle w:val="normaltextrun"/>
          <w:rFonts w:ascii="Calibri" w:hAnsi="Calibri" w:cs="Calibri"/>
        </w:rPr>
        <w:t xml:space="preserve"> includes a commitment (25) to curb misinformation on </w:t>
      </w:r>
      <w:r w:rsidR="00A95BFD" w:rsidRPr="00AD35E1">
        <w:rPr>
          <w:rStyle w:val="normaltextrun"/>
          <w:rFonts w:ascii="Calibri" w:hAnsi="Calibri" w:cs="Calibri"/>
        </w:rPr>
        <w:t>messaging apps, there is li</w:t>
      </w:r>
      <w:r w:rsidR="009775BF" w:rsidRPr="00AD35E1">
        <w:rPr>
          <w:rStyle w:val="normaltextrun"/>
          <w:rFonts w:ascii="Calibri" w:hAnsi="Calibri" w:cs="Calibri"/>
        </w:rPr>
        <w:t xml:space="preserve">mited detail around how </w:t>
      </w:r>
      <w:r w:rsidR="00F868BF" w:rsidRPr="00AD35E1">
        <w:rPr>
          <w:rStyle w:val="normaltextrun"/>
          <w:rFonts w:ascii="Calibri" w:hAnsi="Calibri" w:cs="Calibri"/>
        </w:rPr>
        <w:t>it will be carried out.</w:t>
      </w:r>
      <w:r w:rsidR="00E938AC" w:rsidRPr="00AD35E1">
        <w:rPr>
          <w:rStyle w:val="normaltextrun"/>
          <w:rFonts w:ascii="Calibri" w:hAnsi="Calibri" w:cs="Calibri"/>
        </w:rPr>
        <w:t xml:space="preserve"> </w:t>
      </w:r>
      <w:r w:rsidR="00CA7C9A" w:rsidRPr="00AD35E1">
        <w:rPr>
          <w:rStyle w:val="normaltextrun"/>
          <w:rFonts w:ascii="Calibri" w:hAnsi="Calibri" w:cs="Calibri"/>
        </w:rPr>
        <w:t xml:space="preserve">In ACCAN’s view there is not </w:t>
      </w:r>
      <w:r w:rsidR="00507096" w:rsidRPr="00AD35E1">
        <w:rPr>
          <w:rStyle w:val="normaltextrun"/>
          <w:rFonts w:ascii="Calibri" w:hAnsi="Calibri" w:cs="Calibri"/>
        </w:rPr>
        <w:t>yet enough information about</w:t>
      </w:r>
      <w:r w:rsidR="00CC384D" w:rsidRPr="00AD35E1">
        <w:rPr>
          <w:rStyle w:val="normaltextrun"/>
          <w:rFonts w:ascii="Calibri" w:hAnsi="Calibri" w:cs="Calibri"/>
        </w:rPr>
        <w:t xml:space="preserve"> the </w:t>
      </w:r>
      <w:r w:rsidR="00136463" w:rsidRPr="00AD35E1">
        <w:rPr>
          <w:rStyle w:val="normaltextrun"/>
          <w:rFonts w:ascii="Calibri" w:hAnsi="Calibri" w:cs="Calibri"/>
        </w:rPr>
        <w:t xml:space="preserve">prevalence of misinformation on private messaging services </w:t>
      </w:r>
      <w:r w:rsidR="00416217" w:rsidRPr="00AD35E1">
        <w:rPr>
          <w:rStyle w:val="normaltextrun"/>
          <w:rFonts w:ascii="Calibri" w:hAnsi="Calibri" w:cs="Calibri"/>
        </w:rPr>
        <w:t xml:space="preserve">in Australia </w:t>
      </w:r>
      <w:r w:rsidR="00136463" w:rsidRPr="00AD35E1">
        <w:rPr>
          <w:rStyle w:val="normaltextrun"/>
          <w:rFonts w:ascii="Calibri" w:hAnsi="Calibri" w:cs="Calibri"/>
        </w:rPr>
        <w:t xml:space="preserve">or mechanisms that could </w:t>
      </w:r>
      <w:r w:rsidR="00416217" w:rsidRPr="00AD35E1">
        <w:rPr>
          <w:rStyle w:val="normaltextrun"/>
          <w:rFonts w:ascii="Calibri" w:hAnsi="Calibri" w:cs="Calibri"/>
        </w:rPr>
        <w:t>limit the spread of mis</w:t>
      </w:r>
      <w:r w:rsidR="009B05D4">
        <w:rPr>
          <w:rStyle w:val="normaltextrun"/>
          <w:rFonts w:ascii="Calibri" w:hAnsi="Calibri" w:cs="Calibri"/>
        </w:rPr>
        <w:t>-</w:t>
      </w:r>
      <w:r w:rsidR="00416217" w:rsidRPr="00AD35E1">
        <w:rPr>
          <w:rStyle w:val="normaltextrun"/>
          <w:rFonts w:ascii="Calibri" w:hAnsi="Calibri" w:cs="Calibri"/>
        </w:rPr>
        <w:t xml:space="preserve"> and disinformation while </w:t>
      </w:r>
      <w:r w:rsidR="00D65311" w:rsidRPr="00AD35E1">
        <w:rPr>
          <w:rStyle w:val="normaltextrun"/>
          <w:rFonts w:ascii="Calibri" w:hAnsi="Calibri" w:cs="Calibri"/>
        </w:rPr>
        <w:t>paying due regard for the protection of</w:t>
      </w:r>
      <w:r w:rsidR="00E56E4E">
        <w:rPr>
          <w:rStyle w:val="normaltextrun"/>
          <w:rFonts w:ascii="Calibri" w:hAnsi="Calibri" w:cs="Calibri"/>
        </w:rPr>
        <w:t xml:space="preserve"> user’s</w:t>
      </w:r>
      <w:r w:rsidR="00D65311" w:rsidRPr="00AD35E1">
        <w:rPr>
          <w:rStyle w:val="normaltextrun"/>
          <w:rFonts w:ascii="Calibri" w:hAnsi="Calibri" w:cs="Calibri"/>
        </w:rPr>
        <w:t xml:space="preserve"> privacy.</w:t>
      </w:r>
      <w:r w:rsidR="00791ECF">
        <w:rPr>
          <w:rStyle w:val="normaltextrun"/>
          <w:rFonts w:ascii="Calibri" w:hAnsi="Calibri" w:cs="Calibri"/>
        </w:rPr>
        <w:t xml:space="preserve"> </w:t>
      </w:r>
      <w:r w:rsidR="00907269">
        <w:rPr>
          <w:rStyle w:val="normaltextrun"/>
          <w:rFonts w:ascii="Calibri" w:hAnsi="Calibri" w:cs="Calibri"/>
        </w:rPr>
        <w:t xml:space="preserve">If, in future, private messaging </w:t>
      </w:r>
      <w:r w:rsidR="0021714E">
        <w:rPr>
          <w:rStyle w:val="normaltextrun"/>
          <w:rFonts w:ascii="Calibri" w:hAnsi="Calibri" w:cs="Calibri"/>
        </w:rPr>
        <w:t xml:space="preserve">services are included in </w:t>
      </w:r>
      <w:r w:rsidR="0021714E">
        <w:rPr>
          <w:rStyle w:val="normaltextrun"/>
          <w:rFonts w:ascii="Calibri" w:hAnsi="Calibri" w:cs="Calibri"/>
        </w:rPr>
        <w:lastRenderedPageBreak/>
        <w:t>the Code</w:t>
      </w:r>
      <w:r w:rsidR="00401B19">
        <w:rPr>
          <w:rStyle w:val="normaltextrun"/>
          <w:rFonts w:ascii="Calibri" w:hAnsi="Calibri" w:cs="Calibri"/>
        </w:rPr>
        <w:t>, measures to introduce “friction” should be</w:t>
      </w:r>
      <w:r w:rsidR="00791ECF" w:rsidRPr="00791ECF">
        <w:rPr>
          <w:rStyle w:val="normaltextrun"/>
          <w:rFonts w:ascii="Calibri" w:hAnsi="Calibri" w:cs="Calibri"/>
        </w:rPr>
        <w:t xml:space="preserve"> subject to significant scrutiny and reporting.</w:t>
      </w:r>
      <w:r w:rsidR="00683186">
        <w:rPr>
          <w:rStyle w:val="normaltextrun"/>
          <w:rFonts w:ascii="Calibri" w:hAnsi="Calibri" w:cs="Calibri"/>
        </w:rPr>
        <w:t xml:space="preserve"> </w:t>
      </w:r>
      <w:r w:rsidR="00B6378C">
        <w:rPr>
          <w:rStyle w:val="normaltextrun"/>
          <w:rFonts w:ascii="Calibri" w:hAnsi="Calibri" w:cs="Calibri"/>
        </w:rPr>
        <w:t>Proposals for these</w:t>
      </w:r>
      <w:r w:rsidR="005B1C76">
        <w:rPr>
          <w:rStyle w:val="normaltextrun"/>
          <w:rFonts w:ascii="Calibri" w:hAnsi="Calibri" w:cs="Calibri"/>
        </w:rPr>
        <w:t xml:space="preserve"> measures should also be </w:t>
      </w:r>
      <w:r w:rsidR="00F25473">
        <w:rPr>
          <w:rStyle w:val="normaltextrun"/>
          <w:rFonts w:ascii="Calibri" w:hAnsi="Calibri" w:cs="Calibri"/>
        </w:rPr>
        <w:t xml:space="preserve">developed in close consultation with </w:t>
      </w:r>
      <w:r w:rsidR="003D1E20">
        <w:rPr>
          <w:rStyle w:val="normaltextrun"/>
          <w:rFonts w:ascii="Calibri" w:hAnsi="Calibri" w:cs="Calibri"/>
        </w:rPr>
        <w:t>civil society</w:t>
      </w:r>
      <w:r w:rsidR="00F25473">
        <w:rPr>
          <w:rStyle w:val="normaltextrun"/>
          <w:rFonts w:ascii="Calibri" w:hAnsi="Calibri" w:cs="Calibri"/>
        </w:rPr>
        <w:t xml:space="preserve"> </w:t>
      </w:r>
      <w:r w:rsidR="00F25473" w:rsidRPr="00791ECF">
        <w:rPr>
          <w:rStyle w:val="normaltextrun"/>
          <w:rFonts w:ascii="Calibri" w:hAnsi="Calibri" w:cs="Calibri"/>
        </w:rPr>
        <w:t>to limit the risk of scope creep or censorship</w:t>
      </w:r>
      <w:r w:rsidR="00F25473">
        <w:rPr>
          <w:rStyle w:val="normaltextrun"/>
          <w:rFonts w:ascii="Calibri" w:hAnsi="Calibri" w:cs="Calibri"/>
        </w:rPr>
        <w:t>.</w:t>
      </w:r>
    </w:p>
    <w:p w14:paraId="351F3F5E" w14:textId="009DBDF8" w:rsidR="00BC105F" w:rsidRDefault="007F44B2" w:rsidP="00AA5CC5">
      <w:pPr>
        <w:pStyle w:val="Recommendation"/>
      </w:pPr>
      <w:r>
        <w:t>The</w:t>
      </w:r>
      <w:r w:rsidR="00E33669">
        <w:t xml:space="preserve"> decision</w:t>
      </w:r>
      <w:r w:rsidR="00FA0727">
        <w:t xml:space="preserve"> on whether</w:t>
      </w:r>
      <w:r w:rsidR="008E0594">
        <w:t xml:space="preserve"> to</w:t>
      </w:r>
      <w:r>
        <w:t xml:space="preserve"> inclu</w:t>
      </w:r>
      <w:r w:rsidR="008E0594">
        <w:t>de</w:t>
      </w:r>
      <w:r>
        <w:t xml:space="preserve"> private messaging</w:t>
      </w:r>
      <w:r w:rsidR="00E56E4E">
        <w:t xml:space="preserve"> services in the Code should be revisited in the next review.</w:t>
      </w:r>
      <w:r w:rsidR="0048394C" w:rsidRPr="0048394C">
        <w:t xml:space="preserve"> </w:t>
      </w:r>
      <w:r w:rsidR="00B026B3">
        <w:t xml:space="preserve">A </w:t>
      </w:r>
      <w:r w:rsidR="00FC311E">
        <w:t>well-informed</w:t>
      </w:r>
      <w:r w:rsidR="00B026B3">
        <w:t xml:space="preserve"> consideration requires </w:t>
      </w:r>
      <w:r w:rsidR="00BC105F">
        <w:t>c</w:t>
      </w:r>
      <w:r w:rsidR="00A4538B">
        <w:t>areful</w:t>
      </w:r>
      <w:r w:rsidR="003655A4">
        <w:t xml:space="preserve"> balance between</w:t>
      </w:r>
      <w:r w:rsidR="001C288A">
        <w:t xml:space="preserve"> the minimisation of</w:t>
      </w:r>
      <w:r w:rsidR="003655A4">
        <w:t xml:space="preserve"> </w:t>
      </w:r>
      <w:r w:rsidR="00974CE3">
        <w:t xml:space="preserve">harms and freedom of expression. </w:t>
      </w:r>
    </w:p>
    <w:p w14:paraId="495B0D2D" w14:textId="132EDAF8" w:rsidR="00C142AD" w:rsidRPr="00AD35E1" w:rsidRDefault="001F37F6" w:rsidP="00BC5711">
      <w:pPr>
        <w:pStyle w:val="Heading3"/>
        <w:rPr>
          <w:rFonts w:eastAsiaTheme="majorEastAsia"/>
        </w:rPr>
      </w:pPr>
      <w:r w:rsidRPr="00AD35E1">
        <w:rPr>
          <w:rStyle w:val="normaltextrun"/>
          <w:rFonts w:ascii="Calibri" w:hAnsi="Calibri" w:cs="Calibri"/>
          <w:sz w:val="22"/>
          <w:lang w:val="en-AU"/>
        </w:rPr>
        <w:t>4) Should the exemption for professional news content be revised so that it is clearer? Should the</w:t>
      </w:r>
      <w:r w:rsidRPr="00AD35E1">
        <w:rPr>
          <w:rStyle w:val="scxw218924026"/>
          <w:rFonts w:ascii="Calibri" w:hAnsi="Calibri" w:cs="Calibri"/>
          <w:sz w:val="22"/>
          <w:lang w:val="en-AU"/>
        </w:rPr>
        <w:t> </w:t>
      </w:r>
      <w:r w:rsidRPr="00AD35E1">
        <w:br/>
      </w:r>
      <w:r w:rsidRPr="00AD35E1">
        <w:rPr>
          <w:rStyle w:val="normaltextrun"/>
          <w:rFonts w:ascii="Calibri" w:hAnsi="Calibri" w:cs="Calibri"/>
          <w:sz w:val="22"/>
          <w:lang w:val="en-AU"/>
        </w:rPr>
        <w:t>code be extended to cover news aggregation services?</w:t>
      </w:r>
      <w:r w:rsidRPr="00AD35E1">
        <w:rPr>
          <w:rStyle w:val="eop"/>
          <w:rFonts w:ascii="Calibri" w:eastAsiaTheme="majorEastAsia" w:hAnsi="Calibri" w:cs="Calibri"/>
          <w:sz w:val="22"/>
          <w:lang w:val="en-AU"/>
        </w:rPr>
        <w:t> </w:t>
      </w:r>
    </w:p>
    <w:p w14:paraId="3045EB78" w14:textId="55C31547" w:rsidR="001F37F6" w:rsidRPr="00AD35E1" w:rsidRDefault="00E61E25" w:rsidP="009A0348">
      <w:pPr>
        <w:rPr>
          <w:rStyle w:val="eop"/>
          <w:rFonts w:ascii="Calibri" w:eastAsiaTheme="majorEastAsia" w:hAnsi="Calibri" w:cs="Calibri"/>
        </w:rPr>
      </w:pPr>
      <w:r w:rsidRPr="00AD35E1">
        <w:rPr>
          <w:rStyle w:val="normaltextrun"/>
          <w:rFonts w:ascii="Calibri" w:hAnsi="Calibri" w:cs="Calibri"/>
        </w:rPr>
        <w:t xml:space="preserve">In its review of the Code, the ACMA </w:t>
      </w:r>
      <w:r w:rsidR="00917032" w:rsidRPr="00AD35E1">
        <w:rPr>
          <w:rStyle w:val="normaltextrun"/>
          <w:rFonts w:ascii="Calibri" w:hAnsi="Calibri" w:cs="Calibri"/>
        </w:rPr>
        <w:t xml:space="preserve">argues </w:t>
      </w:r>
      <w:r w:rsidRPr="00AD35E1">
        <w:rPr>
          <w:rStyle w:val="normaltextrun"/>
          <w:rFonts w:ascii="Calibri" w:hAnsi="Calibri" w:cs="Calibri"/>
        </w:rPr>
        <w:t>that</w:t>
      </w:r>
      <w:r w:rsidR="00FA2BFA" w:rsidRPr="00AD35E1">
        <w:rPr>
          <w:rStyle w:val="normaltextrun"/>
          <w:rFonts w:ascii="Calibri" w:hAnsi="Calibri" w:cs="Calibri"/>
        </w:rPr>
        <w:t xml:space="preserve"> </w:t>
      </w:r>
      <w:r w:rsidR="00F93C89" w:rsidRPr="00AD35E1">
        <w:rPr>
          <w:rStyle w:val="normaltextrun"/>
          <w:rFonts w:ascii="Calibri" w:hAnsi="Calibri" w:cs="Calibri"/>
        </w:rPr>
        <w:t>professional news should not be excluded from misinformation</w:t>
      </w:r>
      <w:r w:rsidR="00917032" w:rsidRPr="00AD35E1">
        <w:rPr>
          <w:rStyle w:val="normaltextrun"/>
          <w:rFonts w:ascii="Calibri" w:hAnsi="Calibri" w:cs="Calibri"/>
        </w:rPr>
        <w:t xml:space="preserve"> and that news aggregators should</w:t>
      </w:r>
      <w:r w:rsidR="00931E55" w:rsidRPr="00AD35E1">
        <w:rPr>
          <w:rStyle w:val="normaltextrun"/>
          <w:rFonts w:ascii="Calibri" w:hAnsi="Calibri" w:cs="Calibri"/>
        </w:rPr>
        <w:t xml:space="preserve"> clearly</w:t>
      </w:r>
      <w:r w:rsidR="00917032" w:rsidRPr="00AD35E1">
        <w:rPr>
          <w:rStyle w:val="normaltextrun"/>
          <w:rFonts w:ascii="Calibri" w:hAnsi="Calibri" w:cs="Calibri"/>
        </w:rPr>
        <w:t xml:space="preserve"> be included</w:t>
      </w:r>
      <w:r w:rsidR="00AA1F9F" w:rsidRPr="00AD35E1">
        <w:rPr>
          <w:rStyle w:val="normaltextrun"/>
          <w:rFonts w:ascii="Calibri" w:hAnsi="Calibri" w:cs="Calibri"/>
        </w:rPr>
        <w:t xml:space="preserve"> in the Code</w:t>
      </w:r>
      <w:r w:rsidRPr="00AD35E1">
        <w:rPr>
          <w:rStyle w:val="eop"/>
          <w:rFonts w:ascii="Calibri" w:eastAsiaTheme="majorEastAsia" w:hAnsi="Calibri" w:cs="Calibri"/>
        </w:rPr>
        <w:t>.</w:t>
      </w:r>
      <w:r w:rsidR="00C902B1" w:rsidRPr="00AD35E1">
        <w:rPr>
          <w:rStyle w:val="FootnoteReference"/>
          <w:rFonts w:ascii="Calibri" w:eastAsiaTheme="majorEastAsia" w:hAnsi="Calibri" w:cs="Calibri"/>
        </w:rPr>
        <w:footnoteReference w:id="32"/>
      </w:r>
      <w:r w:rsidR="00CD66DD" w:rsidRPr="00AD35E1">
        <w:rPr>
          <w:rStyle w:val="normaltextrun"/>
          <w:rFonts w:ascii="Calibri" w:eastAsiaTheme="majorEastAsia" w:hAnsi="Calibri" w:cs="Calibri"/>
        </w:rPr>
        <w:t xml:space="preserve"> </w:t>
      </w:r>
      <w:r w:rsidR="001F37F6" w:rsidRPr="00AD35E1">
        <w:rPr>
          <w:rStyle w:val="normaltextrun"/>
          <w:rFonts w:ascii="Calibri" w:hAnsi="Calibri" w:cs="Calibri"/>
        </w:rPr>
        <w:t>Finding 26 of the ACMA report</w:t>
      </w:r>
      <w:r w:rsidR="00635BA5" w:rsidRPr="00AD35E1">
        <w:rPr>
          <w:rStyle w:val="eop"/>
          <w:rFonts w:ascii="Calibri" w:eastAsiaTheme="majorEastAsia" w:hAnsi="Calibri" w:cs="Calibri"/>
        </w:rPr>
        <w:t xml:space="preserve"> argues that</w:t>
      </w:r>
    </w:p>
    <w:p w14:paraId="33A34ABD" w14:textId="38141AE3" w:rsidR="00635BA5" w:rsidRPr="00AD35E1" w:rsidRDefault="00635BA5" w:rsidP="00FA7973">
      <w:pPr>
        <w:pStyle w:val="Quote"/>
      </w:pPr>
      <w:r w:rsidRPr="00AD35E1">
        <w:t>The code should clarify that the exclusion of professional news content</w:t>
      </w:r>
      <w:r w:rsidRPr="00AD35E1">
        <w:br/>
        <w:t>applies only to the application of counter-misinformation measures. It</w:t>
      </w:r>
      <w:r w:rsidRPr="00AD35E1">
        <w:br/>
        <w:t>should also clarify that news aggregation services are in scope.</w:t>
      </w:r>
      <w:r w:rsidR="00C902B1" w:rsidRPr="00AD35E1">
        <w:rPr>
          <w:rStyle w:val="FootnoteReference"/>
        </w:rPr>
        <w:footnoteReference w:id="33"/>
      </w:r>
    </w:p>
    <w:p w14:paraId="61734D97" w14:textId="410457C1" w:rsidR="00C051A4" w:rsidRPr="00AD35E1" w:rsidRDefault="00C051A4" w:rsidP="00EB76F7">
      <w:r w:rsidRPr="00AD35E1">
        <w:t>ACCAN supports the decision to</w:t>
      </w:r>
      <w:r w:rsidR="009925CF" w:rsidRPr="00AD35E1">
        <w:t xml:space="preserve"> remove the exclusion of news content from </w:t>
      </w:r>
      <w:r w:rsidR="00BC7796" w:rsidRPr="00AD35E1">
        <w:t>misinformation considerations and to explicitly</w:t>
      </w:r>
      <w:r w:rsidRPr="00AD35E1">
        <w:t xml:space="preserve"> include news aggregators in the </w:t>
      </w:r>
      <w:r w:rsidR="00BC7796" w:rsidRPr="00AD35E1">
        <w:t>C</w:t>
      </w:r>
      <w:r w:rsidRPr="00AD35E1">
        <w:t>ode.</w:t>
      </w:r>
    </w:p>
    <w:p w14:paraId="74A2FD4A" w14:textId="6EE36EDD" w:rsidR="001F37F6" w:rsidRPr="00AD35E1" w:rsidRDefault="00275BC7" w:rsidP="001D7A90">
      <w:pPr>
        <w:pStyle w:val="Recommendation"/>
      </w:pPr>
      <w:r w:rsidRPr="00AD35E1">
        <w:rPr>
          <w:rStyle w:val="normaltextrun"/>
          <w:rFonts w:cs="Calibri"/>
        </w:rPr>
        <w:t>The Code should be amended so that p</w:t>
      </w:r>
      <w:r w:rsidR="00BC7796" w:rsidRPr="00AD35E1">
        <w:rPr>
          <w:rStyle w:val="normaltextrun"/>
          <w:rFonts w:cs="Calibri"/>
        </w:rPr>
        <w:t xml:space="preserve">rofessional news </w:t>
      </w:r>
      <w:r w:rsidR="001D7A90" w:rsidRPr="00AD35E1">
        <w:rPr>
          <w:rStyle w:val="normaltextrun"/>
          <w:rFonts w:cs="Calibri"/>
        </w:rPr>
        <w:t>is not</w:t>
      </w:r>
      <w:r w:rsidR="00BC7796" w:rsidRPr="00AD35E1">
        <w:rPr>
          <w:rStyle w:val="normaltextrun"/>
          <w:rFonts w:cs="Calibri"/>
        </w:rPr>
        <w:t xml:space="preserve"> exempted from misinformation considerations</w:t>
      </w:r>
      <w:r w:rsidR="000675C7">
        <w:rPr>
          <w:rStyle w:val="normaltextrun"/>
          <w:rFonts w:cs="Calibri"/>
        </w:rPr>
        <w:t>.</w:t>
      </w:r>
      <w:r w:rsidR="00BC7796" w:rsidRPr="00AD35E1">
        <w:rPr>
          <w:rStyle w:val="normaltextrun"/>
          <w:rFonts w:cs="Calibri"/>
        </w:rPr>
        <w:t xml:space="preserve"> </w:t>
      </w:r>
      <w:r w:rsidR="000675C7">
        <w:rPr>
          <w:rStyle w:val="normaltextrun"/>
          <w:rFonts w:cs="Calibri"/>
        </w:rPr>
        <w:t>N</w:t>
      </w:r>
      <w:r w:rsidR="001D6F3D" w:rsidRPr="00AD35E1">
        <w:rPr>
          <w:rStyle w:val="normaltextrun"/>
          <w:rFonts w:cs="Calibri"/>
        </w:rPr>
        <w:t xml:space="preserve">ews aggregation services should be included </w:t>
      </w:r>
      <w:r w:rsidR="001D7A90" w:rsidRPr="00AD35E1">
        <w:rPr>
          <w:rStyle w:val="normaltextrun"/>
          <w:rFonts w:cs="Calibri"/>
        </w:rPr>
        <w:t xml:space="preserve">in the scope of the </w:t>
      </w:r>
      <w:r w:rsidR="000675C7">
        <w:rPr>
          <w:rStyle w:val="normaltextrun"/>
          <w:rFonts w:cs="Calibri"/>
        </w:rPr>
        <w:t>C</w:t>
      </w:r>
      <w:r w:rsidR="001D7A90" w:rsidRPr="00AD35E1">
        <w:rPr>
          <w:rStyle w:val="normaltextrun"/>
          <w:rFonts w:cs="Calibri"/>
        </w:rPr>
        <w:t>ode.</w:t>
      </w:r>
    </w:p>
    <w:p w14:paraId="2BDBED5B" w14:textId="316E9C89" w:rsidR="001F37F6" w:rsidRPr="00AD35E1" w:rsidRDefault="001F37F6" w:rsidP="001F37F6">
      <w:pPr>
        <w:pStyle w:val="Heading1"/>
      </w:pPr>
      <w:bookmarkStart w:id="22" w:name="_Toc108165450"/>
      <w:r w:rsidRPr="00AD35E1">
        <w:rPr>
          <w:rStyle w:val="eop"/>
        </w:rPr>
        <w:t>2.</w:t>
      </w:r>
      <w:r w:rsidR="005E5442" w:rsidRPr="00AD35E1">
        <w:rPr>
          <w:rStyle w:val="eop"/>
        </w:rPr>
        <w:t>4</w:t>
      </w:r>
      <w:r w:rsidRPr="00AD35E1">
        <w:rPr>
          <w:rStyle w:val="eop"/>
        </w:rPr>
        <w:t xml:space="preserve"> Response to questions of application</w:t>
      </w:r>
      <w:bookmarkEnd w:id="22"/>
    </w:p>
    <w:p w14:paraId="269CC32D" w14:textId="77777777" w:rsidR="00C339D6" w:rsidRPr="00AD35E1" w:rsidRDefault="001F37F6" w:rsidP="001F37F6">
      <w:pPr>
        <w:pStyle w:val="paragraph"/>
        <w:textAlignment w:val="baseline"/>
      </w:pPr>
      <w:r w:rsidRPr="00AD35E1">
        <w:rPr>
          <w:rStyle w:val="eop"/>
          <w:rFonts w:ascii="Calibri" w:eastAsiaTheme="majorEastAsia" w:hAnsi="Calibri" w:cs="Calibri"/>
          <w:sz w:val="22"/>
          <w:szCs w:val="22"/>
        </w:rPr>
        <w:t> </w:t>
      </w:r>
      <w:r w:rsidR="00C339D6" w:rsidRPr="00AD35E1">
        <w:rPr>
          <w:rStyle w:val="normaltextrun"/>
          <w:rFonts w:ascii="Calibri" w:hAnsi="Calibri" w:cs="Calibri"/>
          <w:sz w:val="22"/>
          <w:szCs w:val="22"/>
        </w:rPr>
        <w:t>Questions regarding a</w:t>
      </w:r>
      <w:r w:rsidRPr="00AD35E1">
        <w:rPr>
          <w:rStyle w:val="normaltextrun"/>
          <w:rFonts w:ascii="Calibri" w:hAnsi="Calibri" w:cs="Calibri"/>
          <w:sz w:val="22"/>
          <w:szCs w:val="22"/>
        </w:rPr>
        <w:t xml:space="preserve">pplication of the </w:t>
      </w:r>
      <w:r w:rsidR="00C339D6" w:rsidRPr="00AD35E1">
        <w:rPr>
          <w:rStyle w:val="normaltextrun"/>
          <w:rFonts w:ascii="Calibri" w:hAnsi="Calibri" w:cs="Calibri"/>
          <w:sz w:val="22"/>
          <w:szCs w:val="22"/>
        </w:rPr>
        <w:t>C</w:t>
      </w:r>
      <w:r w:rsidRPr="00AD35E1">
        <w:rPr>
          <w:rStyle w:val="normaltextrun"/>
          <w:rFonts w:ascii="Calibri" w:hAnsi="Calibri" w:cs="Calibri"/>
          <w:sz w:val="22"/>
          <w:szCs w:val="22"/>
        </w:rPr>
        <w:t>ode</w:t>
      </w:r>
      <w:r w:rsidR="00C339D6" w:rsidRPr="00AD35E1">
        <w:rPr>
          <w:rStyle w:val="eop"/>
          <w:rFonts w:ascii="Calibri" w:eastAsiaTheme="majorEastAsia" w:hAnsi="Calibri" w:cs="Calibri"/>
          <w:sz w:val="22"/>
          <w:szCs w:val="22"/>
        </w:rPr>
        <w:t>.</w:t>
      </w:r>
    </w:p>
    <w:p w14:paraId="616C833A" w14:textId="6D979695" w:rsidR="001F37F6" w:rsidRPr="00AD35E1" w:rsidRDefault="001F37F6" w:rsidP="00BC5711">
      <w:pPr>
        <w:pStyle w:val="Heading3"/>
        <w:rPr>
          <w:rStyle w:val="eop"/>
          <w:lang w:val="en-AU"/>
        </w:rPr>
      </w:pPr>
      <w:r w:rsidRPr="00AD35E1">
        <w:rPr>
          <w:rStyle w:val="scxw218924026"/>
          <w:rFonts w:ascii="Calibri" w:hAnsi="Calibri" w:cs="Calibri"/>
          <w:sz w:val="22"/>
          <w:lang w:val="en-AU"/>
        </w:rPr>
        <w:t> </w:t>
      </w:r>
      <w:r w:rsidRPr="00AD35E1">
        <w:rPr>
          <w:rStyle w:val="normaltextrun"/>
          <w:rFonts w:ascii="Calibri" w:hAnsi="Calibri" w:cs="Calibri"/>
          <w:sz w:val="22"/>
          <w:lang w:val="en-AU"/>
        </w:rPr>
        <w:t>2) Should the ACPDM take an opt-out rather than an opt-in approach to the optional commitments</w:t>
      </w:r>
      <w:r w:rsidRPr="00AD35E1">
        <w:rPr>
          <w:rStyle w:val="scxw218924026"/>
          <w:rFonts w:ascii="Calibri" w:hAnsi="Calibri" w:cs="Calibri"/>
          <w:sz w:val="22"/>
          <w:lang w:val="en-AU"/>
        </w:rPr>
        <w:t> </w:t>
      </w:r>
      <w:r w:rsidRPr="00AD35E1">
        <w:br/>
      </w:r>
      <w:r w:rsidRPr="00AD35E1">
        <w:rPr>
          <w:rStyle w:val="normaltextrun"/>
          <w:rFonts w:ascii="Calibri" w:hAnsi="Calibri" w:cs="Calibri"/>
          <w:sz w:val="22"/>
          <w:lang w:val="en-AU"/>
        </w:rPr>
        <w:t>under the code?</w:t>
      </w:r>
      <w:r w:rsidRPr="00AD35E1">
        <w:rPr>
          <w:rStyle w:val="eop"/>
          <w:rFonts w:ascii="Calibri" w:eastAsiaTheme="majorEastAsia" w:hAnsi="Calibri" w:cs="Calibri"/>
          <w:sz w:val="22"/>
          <w:lang w:val="en-AU"/>
        </w:rPr>
        <w:t> </w:t>
      </w:r>
    </w:p>
    <w:p w14:paraId="1AF338B1" w14:textId="1535722A" w:rsidR="00535311" w:rsidRPr="00AD35E1" w:rsidRDefault="00535311" w:rsidP="005112A3">
      <w:r w:rsidRPr="00AD35E1">
        <w:t>Finding 22 of the ACMA report</w:t>
      </w:r>
      <w:r w:rsidR="003326A2" w:rsidRPr="00AD35E1">
        <w:t xml:space="preserve"> </w:t>
      </w:r>
      <w:r w:rsidR="002B56DA" w:rsidRPr="00AD35E1">
        <w:t xml:space="preserve">notes that </w:t>
      </w:r>
    </w:p>
    <w:p w14:paraId="6DF7B98D" w14:textId="29D72CCB" w:rsidR="002B56DA" w:rsidRPr="00AD35E1" w:rsidRDefault="002B56DA" w:rsidP="005D7918">
      <w:pPr>
        <w:pStyle w:val="Quote"/>
      </w:pPr>
      <w:r w:rsidRPr="00AD35E1">
        <w:t>The code should be strengthened by taking an opt-out approach. Opting</w:t>
      </w:r>
      <w:r w:rsidRPr="00AD35E1">
        <w:br/>
        <w:t>out of an outcome should be permitted only where the outcome is not</w:t>
      </w:r>
      <w:r w:rsidRPr="00AD35E1">
        <w:br/>
      </w:r>
      <w:r w:rsidRPr="00AD35E1">
        <w:lastRenderedPageBreak/>
        <w:t>relevant to the signatory’s services. Signatories should provide</w:t>
      </w:r>
      <w:r w:rsidRPr="00AD35E1">
        <w:br/>
        <w:t>adequate justification when opting out.</w:t>
      </w:r>
      <w:r w:rsidR="00A57921" w:rsidRPr="00AD35E1">
        <w:rPr>
          <w:rStyle w:val="FootnoteReference"/>
        </w:rPr>
        <w:footnoteReference w:id="34"/>
      </w:r>
    </w:p>
    <w:p w14:paraId="434CB252" w14:textId="2DBA08A8" w:rsidR="008F5DC7" w:rsidRPr="00AD35E1" w:rsidRDefault="00FF02DF" w:rsidP="005112A3">
      <w:r w:rsidRPr="00AD35E1">
        <w:t xml:space="preserve">The Code should provide the maximum protection for consumers and adopting an </w:t>
      </w:r>
      <w:r w:rsidR="000A7C1F" w:rsidRPr="00AD35E1">
        <w:t xml:space="preserve">opt-out approach ensures that </w:t>
      </w:r>
      <w:r w:rsidR="00AA4AB3" w:rsidRPr="00AD35E1">
        <w:t>the</w:t>
      </w:r>
      <w:r w:rsidR="00DE4870" w:rsidRPr="00AD35E1">
        <w:t xml:space="preserve">re is as much coverage as possible. </w:t>
      </w:r>
      <w:r w:rsidR="005B1920" w:rsidRPr="00AD35E1">
        <w:t>DIGI suggests that</w:t>
      </w:r>
      <w:r w:rsidR="000B6886" w:rsidRPr="00AD35E1">
        <w:t xml:space="preserve"> many of the existing signatories are subscribed</w:t>
      </w:r>
      <w:r w:rsidR="00B07225" w:rsidRPr="00AD35E1">
        <w:t xml:space="preserve"> to all the measures in the Code and</w:t>
      </w:r>
      <w:r w:rsidR="005B1920" w:rsidRPr="00AD35E1">
        <w:t xml:space="preserve"> the opt-in approach could be kept with an annual review mechanism</w:t>
      </w:r>
      <w:r w:rsidR="00A54500" w:rsidRPr="00AD35E1">
        <w:t>. However</w:t>
      </w:r>
      <w:r w:rsidR="004C1B4E" w:rsidRPr="00AD35E1">
        <w:t>,</w:t>
      </w:r>
      <w:r w:rsidR="00A54500" w:rsidRPr="00AD35E1">
        <w:t xml:space="preserve"> </w:t>
      </w:r>
      <w:r w:rsidR="00B81329" w:rsidRPr="00AD35E1">
        <w:t xml:space="preserve">an opt-out approach </w:t>
      </w:r>
      <w:r w:rsidR="008F3705" w:rsidRPr="00AD35E1">
        <w:t xml:space="preserve">could </w:t>
      </w:r>
      <w:r w:rsidR="00AF03DF" w:rsidRPr="00AD35E1">
        <w:t>encourage further action to prevent mis</w:t>
      </w:r>
      <w:r w:rsidR="009A0348">
        <w:t>-</w:t>
      </w:r>
      <w:r w:rsidR="00AF03DF" w:rsidRPr="00AD35E1">
        <w:t xml:space="preserve"> and disinformation while providin</w:t>
      </w:r>
      <w:r w:rsidR="00672133" w:rsidRPr="00AD35E1">
        <w:t xml:space="preserve">g stakeholders with transparency where a platform wishes to be </w:t>
      </w:r>
      <w:r w:rsidR="008F5DC7" w:rsidRPr="00AD35E1">
        <w:t>excluded from a measure.</w:t>
      </w:r>
    </w:p>
    <w:p w14:paraId="75D46844" w14:textId="0E582B05" w:rsidR="002B56DA" w:rsidRPr="00AD35E1" w:rsidRDefault="008F5DC7" w:rsidP="00AA374C">
      <w:pPr>
        <w:pStyle w:val="Recommendation"/>
      </w:pPr>
      <w:r w:rsidRPr="00AD35E1">
        <w:t xml:space="preserve">The </w:t>
      </w:r>
      <w:r w:rsidR="00017729" w:rsidRPr="00AD35E1">
        <w:t>Code</w:t>
      </w:r>
      <w:r w:rsidRPr="00AD35E1">
        <w:t xml:space="preserve"> should</w:t>
      </w:r>
      <w:r w:rsidR="003E5E42">
        <w:t xml:space="preserve"> require an</w:t>
      </w:r>
      <w:r w:rsidRPr="00AD35E1">
        <w:t xml:space="preserve"> opt-out</w:t>
      </w:r>
      <w:r w:rsidR="002561EE" w:rsidRPr="00AD35E1">
        <w:t xml:space="preserve"> </w:t>
      </w:r>
      <w:r w:rsidR="003E5E42">
        <w:t>approach</w:t>
      </w:r>
      <w:r w:rsidRPr="00AD35E1">
        <w:t xml:space="preserve"> to</w:t>
      </w:r>
      <w:r w:rsidR="009E1656" w:rsidRPr="00AD35E1">
        <w:t xml:space="preserve"> optional commitments to ensure maximum protection for consumers and transparency for stakeholders.</w:t>
      </w:r>
    </w:p>
    <w:p w14:paraId="6B599D74" w14:textId="0A191B12" w:rsidR="00AA374C" w:rsidRPr="00AD35E1" w:rsidRDefault="001F37F6" w:rsidP="00BC5711">
      <w:pPr>
        <w:pStyle w:val="Heading3"/>
        <w:rPr>
          <w:rStyle w:val="normaltextrun"/>
          <w:lang w:val="en-AU"/>
        </w:rPr>
      </w:pPr>
      <w:r w:rsidRPr="00AD35E1">
        <w:rPr>
          <w:rStyle w:val="scxw218924026"/>
          <w:rFonts w:ascii="Calibri" w:hAnsi="Calibri" w:cs="Calibri"/>
          <w:sz w:val="22"/>
          <w:lang w:val="en-AU"/>
        </w:rPr>
        <w:t> </w:t>
      </w:r>
      <w:r w:rsidRPr="00AD35E1">
        <w:rPr>
          <w:rStyle w:val="normaltextrun"/>
          <w:rFonts w:ascii="Calibri" w:hAnsi="Calibri" w:cs="Calibri"/>
          <w:sz w:val="22"/>
          <w:lang w:val="en-AU"/>
        </w:rPr>
        <w:t>3) Should the definition of harm be amended to deal with concerns about the narrowness of</w:t>
      </w:r>
      <w:r w:rsidRPr="00AD35E1">
        <w:rPr>
          <w:rStyle w:val="scxw218924026"/>
          <w:rFonts w:ascii="Calibri" w:hAnsi="Calibri" w:cs="Calibri"/>
          <w:sz w:val="22"/>
          <w:lang w:val="en-AU"/>
        </w:rPr>
        <w:t> </w:t>
      </w:r>
      <w:r w:rsidRPr="00AD35E1">
        <w:br/>
      </w:r>
      <w:r w:rsidRPr="00AD35E1">
        <w:rPr>
          <w:rStyle w:val="normaltextrun"/>
          <w:rFonts w:ascii="Calibri" w:hAnsi="Calibri" w:cs="Calibri"/>
          <w:sz w:val="22"/>
          <w:lang w:val="en-AU"/>
        </w:rPr>
        <w:t>'serious and imminent threat' language?</w:t>
      </w:r>
      <w:r w:rsidRPr="00AD35E1">
        <w:rPr>
          <w:rStyle w:val="eop"/>
          <w:rFonts w:ascii="Calibri" w:eastAsiaTheme="majorEastAsia" w:hAnsi="Calibri" w:cs="Calibri"/>
          <w:sz w:val="22"/>
          <w:lang w:val="en-AU"/>
        </w:rPr>
        <w:t> </w:t>
      </w:r>
    </w:p>
    <w:p w14:paraId="19152ADF" w14:textId="0262360A" w:rsidR="001F37F6" w:rsidRPr="00AD35E1" w:rsidRDefault="001F37F6" w:rsidP="001F37F6">
      <w:pPr>
        <w:pStyle w:val="paragraph"/>
        <w:textAlignment w:val="baseline"/>
        <w:rPr>
          <w:rStyle w:val="eop"/>
          <w:rFonts w:ascii="Calibri" w:eastAsiaTheme="majorEastAsia" w:hAnsi="Calibri" w:cs="Calibri"/>
          <w:sz w:val="22"/>
          <w:szCs w:val="22"/>
        </w:rPr>
      </w:pPr>
      <w:r w:rsidRPr="00AD35E1">
        <w:rPr>
          <w:rStyle w:val="normaltextrun"/>
          <w:rFonts w:ascii="Calibri" w:hAnsi="Calibri" w:cs="Calibri"/>
          <w:sz w:val="22"/>
          <w:szCs w:val="22"/>
        </w:rPr>
        <w:t>Finding 24 of ACMA report</w:t>
      </w:r>
      <w:r w:rsidRPr="00AD35E1">
        <w:rPr>
          <w:rStyle w:val="eop"/>
          <w:rFonts w:ascii="Calibri" w:eastAsiaTheme="majorEastAsia" w:hAnsi="Calibri" w:cs="Calibri"/>
          <w:sz w:val="22"/>
          <w:szCs w:val="22"/>
        </w:rPr>
        <w:t> </w:t>
      </w:r>
      <w:r w:rsidR="005D7918" w:rsidRPr="00AD35E1">
        <w:rPr>
          <w:rStyle w:val="eop"/>
          <w:rFonts w:ascii="Calibri" w:eastAsiaTheme="majorEastAsia" w:hAnsi="Calibri" w:cs="Calibri"/>
          <w:sz w:val="22"/>
          <w:szCs w:val="22"/>
        </w:rPr>
        <w:t>argues that</w:t>
      </w:r>
    </w:p>
    <w:p w14:paraId="5FDED695" w14:textId="1559D8DD" w:rsidR="005D7918" w:rsidRPr="00AD35E1" w:rsidRDefault="005D7918" w:rsidP="0044577A">
      <w:pPr>
        <w:pStyle w:val="Quote"/>
      </w:pPr>
      <w:r w:rsidRPr="00AD35E1">
        <w:t>The definition of harm in the code is too narrow to provide adequate</w:t>
      </w:r>
      <w:r w:rsidRPr="00AD35E1">
        <w:br/>
        <w:t>safeguards against the full range of harms caused by the propagation of</w:t>
      </w:r>
      <w:r w:rsidRPr="00AD35E1">
        <w:br/>
        <w:t>disinformation and misinformation.</w:t>
      </w:r>
      <w:r w:rsidR="00B10680" w:rsidRPr="00AD35E1">
        <w:rPr>
          <w:rStyle w:val="FootnoteReference"/>
        </w:rPr>
        <w:footnoteReference w:id="35"/>
      </w:r>
    </w:p>
    <w:p w14:paraId="38AB53B4" w14:textId="555E2792" w:rsidR="008A2182" w:rsidRPr="00AD35E1" w:rsidRDefault="008A2182" w:rsidP="001F37F6">
      <w:pPr>
        <w:pStyle w:val="paragraph"/>
        <w:textAlignment w:val="baseline"/>
        <w:rPr>
          <w:rStyle w:val="normaltextrun"/>
          <w:rFonts w:ascii="Calibri" w:hAnsi="Calibri" w:cs="Calibri"/>
          <w:sz w:val="22"/>
          <w:szCs w:val="22"/>
        </w:rPr>
      </w:pPr>
      <w:r w:rsidRPr="00AD35E1">
        <w:rPr>
          <w:rStyle w:val="normaltextrun"/>
          <w:rFonts w:ascii="Calibri" w:hAnsi="Calibri" w:cs="Calibri"/>
          <w:sz w:val="22"/>
          <w:szCs w:val="22"/>
        </w:rPr>
        <w:t xml:space="preserve">The ACMA recommends that </w:t>
      </w:r>
      <w:r w:rsidR="00AA7061" w:rsidRPr="00AD35E1">
        <w:rPr>
          <w:rStyle w:val="normaltextrun"/>
          <w:rFonts w:ascii="Calibri" w:hAnsi="Calibri" w:cs="Calibri"/>
          <w:sz w:val="22"/>
          <w:szCs w:val="22"/>
        </w:rPr>
        <w:t>“imm</w:t>
      </w:r>
      <w:r w:rsidR="00B06BD6" w:rsidRPr="00AD35E1">
        <w:rPr>
          <w:rStyle w:val="normaltextrun"/>
          <w:rFonts w:ascii="Calibri" w:hAnsi="Calibri" w:cs="Calibri"/>
          <w:sz w:val="22"/>
          <w:szCs w:val="22"/>
        </w:rPr>
        <w:t>inent</w:t>
      </w:r>
      <w:r w:rsidR="00AA7061" w:rsidRPr="00AD35E1">
        <w:rPr>
          <w:rStyle w:val="normaltextrun"/>
          <w:rFonts w:ascii="Calibri" w:hAnsi="Calibri" w:cs="Calibri"/>
          <w:sz w:val="22"/>
          <w:szCs w:val="22"/>
        </w:rPr>
        <w:t>”</w:t>
      </w:r>
      <w:r w:rsidR="00F2715E" w:rsidRPr="00AD35E1">
        <w:rPr>
          <w:rStyle w:val="normaltextrun"/>
          <w:rFonts w:ascii="Calibri" w:hAnsi="Calibri" w:cs="Calibri"/>
          <w:sz w:val="22"/>
          <w:szCs w:val="22"/>
        </w:rPr>
        <w:t xml:space="preserve"> should be removed from the Code’s definition of harm as</w:t>
      </w:r>
      <w:r w:rsidR="00A32769" w:rsidRPr="00AD35E1">
        <w:rPr>
          <w:rStyle w:val="normaltextrun"/>
          <w:rFonts w:ascii="Calibri" w:hAnsi="Calibri" w:cs="Calibri"/>
          <w:sz w:val="22"/>
          <w:szCs w:val="22"/>
        </w:rPr>
        <w:t xml:space="preserve"> an “imm</w:t>
      </w:r>
      <w:r w:rsidR="00541792" w:rsidRPr="00AD35E1">
        <w:rPr>
          <w:rStyle w:val="normaltextrun"/>
          <w:rFonts w:ascii="Calibri" w:hAnsi="Calibri" w:cs="Calibri"/>
          <w:sz w:val="22"/>
          <w:szCs w:val="22"/>
        </w:rPr>
        <w:t>i</w:t>
      </w:r>
      <w:r w:rsidR="00A32769" w:rsidRPr="00AD35E1">
        <w:rPr>
          <w:rStyle w:val="normaltextrun"/>
          <w:rFonts w:ascii="Calibri" w:hAnsi="Calibri" w:cs="Calibri"/>
          <w:sz w:val="22"/>
          <w:szCs w:val="22"/>
        </w:rPr>
        <w:t xml:space="preserve">nent and serious threat”. </w:t>
      </w:r>
      <w:r w:rsidR="00136699" w:rsidRPr="00AD35E1">
        <w:rPr>
          <w:rStyle w:val="normaltextrun"/>
          <w:rFonts w:ascii="Calibri" w:hAnsi="Calibri" w:cs="Calibri"/>
          <w:sz w:val="22"/>
          <w:szCs w:val="22"/>
        </w:rPr>
        <w:t>According to the ACMA the</w:t>
      </w:r>
      <w:r w:rsidR="007A077C" w:rsidRPr="00AD35E1">
        <w:rPr>
          <w:rStyle w:val="normaltextrun"/>
          <w:rFonts w:ascii="Calibri" w:hAnsi="Calibri" w:cs="Calibri"/>
          <w:sz w:val="22"/>
          <w:szCs w:val="22"/>
        </w:rPr>
        <w:t xml:space="preserve"> test whether a harm is</w:t>
      </w:r>
      <w:r w:rsidR="00136699" w:rsidRPr="00AD35E1">
        <w:rPr>
          <w:rStyle w:val="normaltextrun"/>
          <w:rFonts w:ascii="Calibri" w:hAnsi="Calibri" w:cs="Calibri"/>
          <w:sz w:val="22"/>
          <w:szCs w:val="22"/>
        </w:rPr>
        <w:t xml:space="preserve"> “imm</w:t>
      </w:r>
      <w:r w:rsidR="009E65CE" w:rsidRPr="00AD35E1">
        <w:rPr>
          <w:rStyle w:val="normaltextrun"/>
          <w:rFonts w:ascii="Calibri" w:hAnsi="Calibri" w:cs="Calibri"/>
          <w:sz w:val="22"/>
          <w:szCs w:val="22"/>
        </w:rPr>
        <w:t>i</w:t>
      </w:r>
      <w:r w:rsidR="00136699" w:rsidRPr="00AD35E1">
        <w:rPr>
          <w:rStyle w:val="normaltextrun"/>
          <w:rFonts w:ascii="Calibri" w:hAnsi="Calibri" w:cs="Calibri"/>
          <w:sz w:val="22"/>
          <w:szCs w:val="22"/>
        </w:rPr>
        <w:t xml:space="preserve">nent” </w:t>
      </w:r>
      <w:r w:rsidR="007A077C" w:rsidRPr="00AD35E1">
        <w:rPr>
          <w:rStyle w:val="normaltextrun"/>
          <w:rFonts w:ascii="Calibri" w:hAnsi="Calibri" w:cs="Calibri"/>
          <w:sz w:val="22"/>
          <w:szCs w:val="22"/>
        </w:rPr>
        <w:t xml:space="preserve">could exclude some </w:t>
      </w:r>
      <w:r w:rsidR="00A40567" w:rsidRPr="00AD35E1">
        <w:rPr>
          <w:rStyle w:val="normaltextrun"/>
          <w:rFonts w:ascii="Calibri" w:hAnsi="Calibri" w:cs="Calibri"/>
          <w:sz w:val="22"/>
          <w:szCs w:val="22"/>
        </w:rPr>
        <w:t xml:space="preserve">cumulative </w:t>
      </w:r>
      <w:r w:rsidR="00A52647" w:rsidRPr="00AD35E1">
        <w:rPr>
          <w:rStyle w:val="normaltextrun"/>
          <w:rFonts w:ascii="Calibri" w:hAnsi="Calibri" w:cs="Calibri"/>
          <w:sz w:val="22"/>
          <w:szCs w:val="22"/>
        </w:rPr>
        <w:t>harms. DIGI proposes including a note</w:t>
      </w:r>
      <w:r w:rsidR="002B44B4" w:rsidRPr="00AD35E1">
        <w:rPr>
          <w:rStyle w:val="normaltextrun"/>
          <w:rFonts w:ascii="Calibri" w:hAnsi="Calibri" w:cs="Calibri"/>
          <w:sz w:val="22"/>
          <w:szCs w:val="22"/>
        </w:rPr>
        <w:t xml:space="preserve"> in the definition of harm</w:t>
      </w:r>
      <w:r w:rsidR="002677F9" w:rsidRPr="00AD35E1">
        <w:rPr>
          <w:rStyle w:val="normaltextrun"/>
          <w:rFonts w:ascii="Calibri" w:hAnsi="Calibri" w:cs="Calibri"/>
          <w:sz w:val="22"/>
          <w:szCs w:val="22"/>
        </w:rPr>
        <w:t xml:space="preserve"> (section 3.4)</w:t>
      </w:r>
      <w:r w:rsidR="002B44B4" w:rsidRPr="00AD35E1">
        <w:rPr>
          <w:rStyle w:val="normaltextrun"/>
          <w:rFonts w:ascii="Calibri" w:hAnsi="Calibri" w:cs="Calibri"/>
          <w:sz w:val="22"/>
          <w:szCs w:val="22"/>
        </w:rPr>
        <w:t xml:space="preserve"> that reads</w:t>
      </w:r>
      <w:r w:rsidR="00727243" w:rsidRPr="00AD35E1">
        <w:rPr>
          <w:rStyle w:val="normaltextrun"/>
          <w:rFonts w:ascii="Calibri" w:hAnsi="Calibri" w:cs="Calibri"/>
          <w:sz w:val="22"/>
          <w:szCs w:val="22"/>
        </w:rPr>
        <w:t>,</w:t>
      </w:r>
    </w:p>
    <w:p w14:paraId="503782AF" w14:textId="6E8AC1CE" w:rsidR="002677F9" w:rsidRPr="00AD35E1" w:rsidRDefault="002677F9" w:rsidP="00C4100E">
      <w:pPr>
        <w:pStyle w:val="Quote"/>
      </w:pPr>
      <w:r w:rsidRPr="00AD35E1">
        <w:rPr>
          <w:u w:val="single"/>
        </w:rPr>
        <w:t>Note</w:t>
      </w:r>
      <w:r w:rsidRPr="00AD35E1">
        <w:t>: an imminent and serious threat includes a situation where an accumulation of harms creates a persistent serious and imminent threat to A or B.</w:t>
      </w:r>
      <w:r w:rsidR="00912073" w:rsidRPr="00AD35E1">
        <w:rPr>
          <w:rStyle w:val="FootnoteReference"/>
          <w:rFonts w:ascii="Calibri" w:hAnsi="Calibri" w:cs="Calibri"/>
        </w:rPr>
        <w:footnoteReference w:id="36"/>
      </w:r>
    </w:p>
    <w:p w14:paraId="68256723" w14:textId="52C29668" w:rsidR="00301DDF" w:rsidRPr="00AD35E1" w:rsidRDefault="00A9119F" w:rsidP="001F37F6">
      <w:pPr>
        <w:pStyle w:val="paragraph"/>
        <w:textAlignment w:val="baseline"/>
        <w:rPr>
          <w:rFonts w:ascii="Calibri" w:hAnsi="Calibri" w:cs="Calibri"/>
          <w:sz w:val="22"/>
          <w:szCs w:val="22"/>
        </w:rPr>
      </w:pPr>
      <w:r w:rsidRPr="00AD35E1">
        <w:rPr>
          <w:rStyle w:val="normaltextrun"/>
          <w:rFonts w:ascii="Calibri" w:hAnsi="Calibri" w:cs="Calibri"/>
          <w:sz w:val="22"/>
          <w:szCs w:val="22"/>
        </w:rPr>
        <w:t xml:space="preserve">ACCAN agrees that the inclusion of imminent </w:t>
      </w:r>
      <w:r w:rsidR="005C187B" w:rsidRPr="00AD35E1">
        <w:rPr>
          <w:rStyle w:val="normaltextrun"/>
          <w:rFonts w:ascii="Calibri" w:hAnsi="Calibri" w:cs="Calibri"/>
          <w:sz w:val="22"/>
          <w:szCs w:val="22"/>
        </w:rPr>
        <w:t xml:space="preserve">may make it harder for consumers to understand the </w:t>
      </w:r>
      <w:r w:rsidR="00D7158E" w:rsidRPr="00AD35E1">
        <w:rPr>
          <w:rStyle w:val="normaltextrun"/>
          <w:rFonts w:ascii="Calibri" w:hAnsi="Calibri" w:cs="Calibri"/>
          <w:sz w:val="22"/>
          <w:szCs w:val="22"/>
        </w:rPr>
        <w:t xml:space="preserve">definition and potentially </w:t>
      </w:r>
      <w:r w:rsidR="00D7158E" w:rsidRPr="00AD35E1">
        <w:rPr>
          <w:rFonts w:ascii="Calibri" w:hAnsi="Calibri" w:cs="Calibri"/>
          <w:sz w:val="22"/>
          <w:szCs w:val="22"/>
        </w:rPr>
        <w:t>complicate the public uptake of the code.</w:t>
      </w:r>
      <w:r w:rsidR="00D7158E" w:rsidRPr="00AD35E1">
        <w:rPr>
          <w:rStyle w:val="normaltextrun"/>
          <w:rFonts w:ascii="Calibri" w:hAnsi="Calibri" w:cs="Calibri"/>
          <w:sz w:val="22"/>
          <w:szCs w:val="22"/>
        </w:rPr>
        <w:t xml:space="preserve"> </w:t>
      </w:r>
      <w:r w:rsidR="00A223B7" w:rsidRPr="00AD35E1">
        <w:rPr>
          <w:rFonts w:ascii="Calibri" w:hAnsi="Calibri" w:cs="Calibri"/>
          <w:sz w:val="22"/>
          <w:szCs w:val="22"/>
        </w:rPr>
        <w:t>While including a note on the cumulative effect</w:t>
      </w:r>
      <w:r w:rsidR="005E3A55" w:rsidRPr="00AD35E1">
        <w:rPr>
          <w:rFonts w:ascii="Calibri" w:hAnsi="Calibri" w:cs="Calibri"/>
          <w:sz w:val="22"/>
          <w:szCs w:val="22"/>
        </w:rPr>
        <w:t xml:space="preserve"> could go some way towards addressing this need</w:t>
      </w:r>
      <w:r w:rsidR="00876F0D" w:rsidRPr="00AD35E1">
        <w:rPr>
          <w:rFonts w:ascii="Calibri" w:hAnsi="Calibri" w:cs="Calibri"/>
          <w:sz w:val="22"/>
          <w:szCs w:val="22"/>
        </w:rPr>
        <w:t xml:space="preserve">, it would be clearer for consumers and other stakeholders to </w:t>
      </w:r>
      <w:r w:rsidR="004F714D" w:rsidRPr="00AD35E1">
        <w:rPr>
          <w:rFonts w:ascii="Calibri" w:hAnsi="Calibri" w:cs="Calibri"/>
          <w:sz w:val="22"/>
          <w:szCs w:val="22"/>
        </w:rPr>
        <w:t>simply remove</w:t>
      </w:r>
      <w:r w:rsidR="00EA4DD3" w:rsidRPr="00AD35E1">
        <w:rPr>
          <w:rFonts w:ascii="Calibri" w:hAnsi="Calibri" w:cs="Calibri"/>
          <w:sz w:val="22"/>
          <w:szCs w:val="22"/>
        </w:rPr>
        <w:t xml:space="preserve"> </w:t>
      </w:r>
      <w:r w:rsidR="00876F0D" w:rsidRPr="00AD35E1">
        <w:rPr>
          <w:rFonts w:ascii="Calibri" w:hAnsi="Calibri" w:cs="Calibri"/>
          <w:sz w:val="22"/>
          <w:szCs w:val="22"/>
        </w:rPr>
        <w:t>“</w:t>
      </w:r>
      <w:r w:rsidR="00EA4DD3" w:rsidRPr="00AD35E1">
        <w:rPr>
          <w:rFonts w:ascii="Calibri" w:hAnsi="Calibri" w:cs="Calibri"/>
          <w:sz w:val="22"/>
          <w:szCs w:val="22"/>
        </w:rPr>
        <w:t>imminent</w:t>
      </w:r>
      <w:r w:rsidR="00876F0D" w:rsidRPr="00AD35E1">
        <w:rPr>
          <w:rFonts w:ascii="Calibri" w:hAnsi="Calibri" w:cs="Calibri"/>
          <w:sz w:val="22"/>
          <w:szCs w:val="22"/>
        </w:rPr>
        <w:t>” from the definition</w:t>
      </w:r>
      <w:r w:rsidR="00EA4DD3" w:rsidRPr="00AD35E1">
        <w:rPr>
          <w:rFonts w:ascii="Calibri" w:hAnsi="Calibri" w:cs="Calibri"/>
          <w:sz w:val="22"/>
          <w:szCs w:val="22"/>
        </w:rPr>
        <w:t>.</w:t>
      </w:r>
    </w:p>
    <w:p w14:paraId="5C1A5CF7" w14:textId="2D7881EC" w:rsidR="001F37F6" w:rsidRPr="00AD35E1" w:rsidRDefault="00327A71" w:rsidP="002D7A8B">
      <w:pPr>
        <w:pStyle w:val="Recommendation"/>
      </w:pPr>
      <w:r w:rsidRPr="00AD35E1">
        <w:lastRenderedPageBreak/>
        <w:t>“</w:t>
      </w:r>
      <w:r w:rsidR="0047179E">
        <w:t>I</w:t>
      </w:r>
      <w:r w:rsidRPr="00AD35E1">
        <w:t>mminent” should be removed</w:t>
      </w:r>
      <w:r w:rsidR="002076A6" w:rsidRPr="00AD35E1">
        <w:t xml:space="preserve"> from the definition of harm in </w:t>
      </w:r>
      <w:r w:rsidR="0083314C" w:rsidRPr="00AD35E1">
        <w:t>section 3.4 of the Code.</w:t>
      </w:r>
      <w:r w:rsidR="001F37F6" w:rsidRPr="00AD35E1">
        <w:br/>
      </w:r>
    </w:p>
    <w:p w14:paraId="7A6D5328" w14:textId="265D4948" w:rsidR="001F37F6" w:rsidRPr="00AD35E1" w:rsidRDefault="001F37F6" w:rsidP="00BC5711">
      <w:pPr>
        <w:pStyle w:val="Heading3"/>
      </w:pPr>
      <w:r w:rsidRPr="00AD35E1">
        <w:rPr>
          <w:rStyle w:val="scxw218924026"/>
          <w:rFonts w:ascii="Calibri" w:hAnsi="Calibri" w:cs="Calibri"/>
          <w:sz w:val="22"/>
          <w:lang w:val="en-AU"/>
        </w:rPr>
        <w:t> </w:t>
      </w:r>
      <w:r w:rsidRPr="00AD35E1">
        <w:rPr>
          <w:rStyle w:val="normaltextrun"/>
          <w:rFonts w:ascii="Calibri" w:hAnsi="Calibri" w:cs="Calibri"/>
          <w:sz w:val="22"/>
          <w:lang w:val="en-AU"/>
        </w:rPr>
        <w:t>6) Should the approach of the code to issues-based advertising be clarified?</w:t>
      </w:r>
      <w:r w:rsidRPr="00AD35E1">
        <w:rPr>
          <w:rStyle w:val="eop"/>
          <w:rFonts w:ascii="Calibri" w:eastAsiaTheme="majorEastAsia" w:hAnsi="Calibri" w:cs="Calibri"/>
          <w:sz w:val="22"/>
          <w:lang w:val="en-AU"/>
        </w:rPr>
        <w:t> </w:t>
      </w:r>
    </w:p>
    <w:p w14:paraId="0DE63306" w14:textId="560E868E" w:rsidR="00DC23AA" w:rsidRPr="00AD35E1" w:rsidRDefault="008D1A8F" w:rsidP="009A0348">
      <w:pPr>
        <w:rPr>
          <w:rStyle w:val="normaltextrun"/>
          <w:rFonts w:ascii="Calibri" w:hAnsi="Calibri" w:cs="Calibri"/>
        </w:rPr>
      </w:pPr>
      <w:r w:rsidRPr="00AD35E1">
        <w:rPr>
          <w:rStyle w:val="normaltextrun"/>
          <w:rFonts w:ascii="Calibri" w:hAnsi="Calibri" w:cs="Calibri"/>
        </w:rPr>
        <w:t>Political advertising is excluded from</w:t>
      </w:r>
      <w:r w:rsidR="00FA6343" w:rsidRPr="00AD35E1">
        <w:rPr>
          <w:rStyle w:val="normaltextrun"/>
          <w:rFonts w:ascii="Calibri" w:hAnsi="Calibri" w:cs="Calibri"/>
        </w:rPr>
        <w:t xml:space="preserve"> the code</w:t>
      </w:r>
      <w:r w:rsidR="00FB6C4C" w:rsidRPr="00AD35E1">
        <w:rPr>
          <w:rStyle w:val="normaltextrun"/>
          <w:rFonts w:ascii="Calibri" w:hAnsi="Calibri" w:cs="Calibri"/>
        </w:rPr>
        <w:t xml:space="preserve"> </w:t>
      </w:r>
      <w:r w:rsidR="0047671A" w:rsidRPr="00AD35E1">
        <w:rPr>
          <w:rStyle w:val="normaltextrun"/>
          <w:rFonts w:ascii="Calibri" w:hAnsi="Calibri" w:cs="Calibri"/>
        </w:rPr>
        <w:t>except</w:t>
      </w:r>
      <w:r w:rsidR="006B5088" w:rsidRPr="00AD35E1">
        <w:rPr>
          <w:rStyle w:val="normaltextrun"/>
          <w:rFonts w:ascii="Calibri" w:hAnsi="Calibri" w:cs="Calibri"/>
        </w:rPr>
        <w:t xml:space="preserve"> for </w:t>
      </w:r>
      <w:r w:rsidR="009C2E60" w:rsidRPr="00AD35E1">
        <w:rPr>
          <w:rStyle w:val="normaltextrun"/>
          <w:rFonts w:ascii="Calibri" w:hAnsi="Calibri" w:cs="Calibri"/>
        </w:rPr>
        <w:t>when it</w:t>
      </w:r>
      <w:r w:rsidR="001C756C" w:rsidRPr="00AD35E1">
        <w:rPr>
          <w:rStyle w:val="normaltextrun"/>
          <w:rFonts w:ascii="Calibri" w:hAnsi="Calibri" w:cs="Calibri"/>
        </w:rPr>
        <w:t xml:space="preserve"> falls in the scope of disinformation</w:t>
      </w:r>
      <w:r w:rsidR="00724BF4" w:rsidRPr="00AD35E1">
        <w:rPr>
          <w:rStyle w:val="normaltextrun"/>
          <w:rFonts w:ascii="Calibri" w:hAnsi="Calibri" w:cs="Calibri"/>
        </w:rPr>
        <w:t>.</w:t>
      </w:r>
      <w:r w:rsidR="000513B1" w:rsidRPr="00AD35E1">
        <w:rPr>
          <w:rStyle w:val="normaltextrun"/>
          <w:rFonts w:ascii="Calibri" w:hAnsi="Calibri" w:cs="Calibri"/>
        </w:rPr>
        <w:t xml:space="preserve"> </w:t>
      </w:r>
      <w:r w:rsidR="00550286" w:rsidRPr="00AD35E1">
        <w:rPr>
          <w:rStyle w:val="normaltextrun"/>
          <w:rFonts w:ascii="Calibri" w:hAnsi="Calibri" w:cs="Calibri"/>
        </w:rPr>
        <w:t>However</w:t>
      </w:r>
      <w:r w:rsidR="009635F5" w:rsidRPr="00AD35E1">
        <w:rPr>
          <w:rStyle w:val="normaltextrun"/>
          <w:rFonts w:ascii="Calibri" w:hAnsi="Calibri" w:cs="Calibri"/>
        </w:rPr>
        <w:t>,</w:t>
      </w:r>
      <w:r w:rsidR="00FC5BFF" w:rsidRPr="00AD35E1">
        <w:rPr>
          <w:rStyle w:val="normaltextrun"/>
          <w:rFonts w:ascii="Calibri" w:hAnsi="Calibri" w:cs="Calibri"/>
        </w:rPr>
        <w:t xml:space="preserve"> in its review of the Code t</w:t>
      </w:r>
      <w:r w:rsidR="007B1F4E" w:rsidRPr="00AD35E1">
        <w:rPr>
          <w:rStyle w:val="normaltextrun"/>
          <w:rFonts w:ascii="Calibri" w:hAnsi="Calibri" w:cs="Calibri"/>
        </w:rPr>
        <w:t xml:space="preserve">he ACMA </w:t>
      </w:r>
      <w:r w:rsidR="00FC5BFF" w:rsidRPr="00AD35E1">
        <w:rPr>
          <w:rStyle w:val="normaltextrun"/>
          <w:rFonts w:ascii="Calibri" w:hAnsi="Calibri" w:cs="Calibri"/>
        </w:rPr>
        <w:t>notes its</w:t>
      </w:r>
      <w:r w:rsidR="007B1F4E" w:rsidRPr="00AD35E1">
        <w:rPr>
          <w:rStyle w:val="normaltextrun"/>
          <w:rFonts w:ascii="Calibri" w:hAnsi="Calibri" w:cs="Calibri"/>
        </w:rPr>
        <w:t xml:space="preserve"> concern</w:t>
      </w:r>
      <w:r w:rsidR="00FC5BFF" w:rsidRPr="00AD35E1">
        <w:rPr>
          <w:rStyle w:val="normaltextrun"/>
          <w:rFonts w:ascii="Calibri" w:hAnsi="Calibri" w:cs="Calibri"/>
        </w:rPr>
        <w:t xml:space="preserve"> </w:t>
      </w:r>
      <w:r w:rsidR="004A46B0" w:rsidRPr="00AD35E1">
        <w:rPr>
          <w:rStyle w:val="normaltextrun"/>
          <w:rFonts w:ascii="Calibri" w:hAnsi="Calibri" w:cs="Calibri"/>
        </w:rPr>
        <w:t>regarding the</w:t>
      </w:r>
      <w:r w:rsidR="007B1F4E" w:rsidRPr="00AD35E1">
        <w:rPr>
          <w:rStyle w:val="normaltextrun"/>
          <w:rFonts w:ascii="Calibri" w:hAnsi="Calibri" w:cs="Calibri"/>
        </w:rPr>
        <w:t xml:space="preserve"> lack of </w:t>
      </w:r>
      <w:r w:rsidR="00DF3F9A" w:rsidRPr="00AD35E1">
        <w:rPr>
          <w:rStyle w:val="normaltextrun"/>
          <w:rFonts w:ascii="Calibri" w:hAnsi="Calibri" w:cs="Calibri"/>
        </w:rPr>
        <w:t>clarity</w:t>
      </w:r>
      <w:r w:rsidR="004A46B0" w:rsidRPr="00AD35E1">
        <w:rPr>
          <w:rStyle w:val="normaltextrun"/>
          <w:rFonts w:ascii="Calibri" w:hAnsi="Calibri" w:cs="Calibri"/>
        </w:rPr>
        <w:t xml:space="preserve"> around issues</w:t>
      </w:r>
      <w:r w:rsidR="004D780B" w:rsidRPr="00AD35E1">
        <w:rPr>
          <w:rStyle w:val="normaltextrun"/>
          <w:rFonts w:ascii="Calibri" w:hAnsi="Calibri" w:cs="Calibri"/>
        </w:rPr>
        <w:t>-</w:t>
      </w:r>
      <w:r w:rsidR="004A46B0" w:rsidRPr="00AD35E1">
        <w:rPr>
          <w:rStyle w:val="normaltextrun"/>
          <w:rFonts w:ascii="Calibri" w:hAnsi="Calibri" w:cs="Calibri"/>
        </w:rPr>
        <w:t>based advertising</w:t>
      </w:r>
      <w:r w:rsidR="00AE60B7" w:rsidRPr="00AD35E1">
        <w:rPr>
          <w:rStyle w:val="normaltextrun"/>
          <w:rFonts w:ascii="Calibri" w:hAnsi="Calibri" w:cs="Calibri"/>
        </w:rPr>
        <w:t>.</w:t>
      </w:r>
      <w:r w:rsidR="00927F33" w:rsidRPr="00AD35E1">
        <w:rPr>
          <w:rStyle w:val="normaltextrun"/>
          <w:rFonts w:ascii="Calibri" w:hAnsi="Calibri" w:cs="Calibri"/>
        </w:rPr>
        <w:t xml:space="preserve"> Issues</w:t>
      </w:r>
      <w:r w:rsidR="00D1449C" w:rsidRPr="00AD35E1">
        <w:rPr>
          <w:rStyle w:val="normaltextrun"/>
          <w:rFonts w:ascii="Calibri" w:hAnsi="Calibri" w:cs="Calibri"/>
        </w:rPr>
        <w:t>-</w:t>
      </w:r>
      <w:r w:rsidR="00927F33" w:rsidRPr="00AD35E1">
        <w:rPr>
          <w:rStyle w:val="normaltextrun"/>
          <w:rFonts w:ascii="Calibri" w:hAnsi="Calibri" w:cs="Calibri"/>
        </w:rPr>
        <w:t>based advertising</w:t>
      </w:r>
      <w:r w:rsidR="004B13F1" w:rsidRPr="00AD35E1">
        <w:rPr>
          <w:rStyle w:val="normaltextrun"/>
          <w:rFonts w:ascii="Calibri" w:hAnsi="Calibri" w:cs="Calibri"/>
        </w:rPr>
        <w:t xml:space="preserve"> refers to </w:t>
      </w:r>
    </w:p>
    <w:p w14:paraId="67404DF2" w14:textId="5D7B8C5E" w:rsidR="00DC23AA" w:rsidRPr="00AD35E1" w:rsidRDefault="00DC23AA" w:rsidP="00C34D6B">
      <w:pPr>
        <w:pStyle w:val="Quote"/>
        <w:rPr>
          <w:rStyle w:val="normaltextrun"/>
          <w:rFonts w:ascii="Calibri" w:hAnsi="Calibri" w:cs="Calibri"/>
        </w:rPr>
      </w:pPr>
      <w:r w:rsidRPr="00AD35E1">
        <w:rPr>
          <w:rStyle w:val="normaltextrun"/>
          <w:rFonts w:ascii="Calibri" w:hAnsi="Calibri" w:cs="Calibri"/>
        </w:rPr>
        <w:t>sponsored and paid-for content that is intended to bring awareness to, advocate for, or call for action on certain topics that</w:t>
      </w:r>
      <w:r w:rsidR="00DC19E8" w:rsidRPr="00AD35E1">
        <w:rPr>
          <w:rStyle w:val="normaltextrun"/>
          <w:rFonts w:ascii="Calibri" w:hAnsi="Calibri" w:cs="Calibri"/>
        </w:rPr>
        <w:t xml:space="preserve"> </w:t>
      </w:r>
      <w:r w:rsidRPr="00AD35E1">
        <w:rPr>
          <w:rStyle w:val="normaltextrun"/>
          <w:rFonts w:ascii="Calibri" w:hAnsi="Calibri" w:cs="Calibri"/>
        </w:rPr>
        <w:t>are widely discussed in the public sphere, such as political and social issues.</w:t>
      </w:r>
      <w:r w:rsidR="00421AC0" w:rsidRPr="00AD35E1">
        <w:rPr>
          <w:rStyle w:val="FootnoteReference"/>
          <w:rFonts w:ascii="Calibri" w:hAnsi="Calibri" w:cs="Calibri"/>
        </w:rPr>
        <w:footnoteReference w:id="37"/>
      </w:r>
    </w:p>
    <w:p w14:paraId="3BC28E8F" w14:textId="7FD10C94" w:rsidR="00890F37" w:rsidRPr="00AD35E1" w:rsidRDefault="00926FC4" w:rsidP="009A0348">
      <w:pPr>
        <w:rPr>
          <w:rStyle w:val="normaltextrun"/>
          <w:rFonts w:ascii="Calibri" w:hAnsi="Calibri" w:cs="Calibri"/>
        </w:rPr>
      </w:pPr>
      <w:r w:rsidRPr="00AD35E1">
        <w:rPr>
          <w:rStyle w:val="normaltextrun"/>
          <w:rFonts w:ascii="Calibri" w:hAnsi="Calibri" w:cs="Calibri"/>
        </w:rPr>
        <w:t>In its re</w:t>
      </w:r>
      <w:r w:rsidR="00B438A3" w:rsidRPr="00AD35E1">
        <w:rPr>
          <w:rStyle w:val="normaltextrun"/>
          <w:rFonts w:ascii="Calibri" w:hAnsi="Calibri" w:cs="Calibri"/>
        </w:rPr>
        <w:t>view of the Code the ACMA</w:t>
      </w:r>
      <w:r w:rsidR="00F56640" w:rsidRPr="00AD35E1">
        <w:rPr>
          <w:rStyle w:val="normaltextrun"/>
          <w:rFonts w:ascii="Calibri" w:hAnsi="Calibri" w:cs="Calibri"/>
        </w:rPr>
        <w:t xml:space="preserve"> </w:t>
      </w:r>
      <w:r w:rsidR="00B438A3" w:rsidRPr="00AD35E1">
        <w:rPr>
          <w:rStyle w:val="normaltextrun"/>
          <w:rFonts w:ascii="Calibri" w:hAnsi="Calibri" w:cs="Calibri"/>
        </w:rPr>
        <w:t>argues that</w:t>
      </w:r>
      <w:r w:rsidR="00CC00F5" w:rsidRPr="00AD35E1">
        <w:rPr>
          <w:rStyle w:val="normaltextrun"/>
          <w:rFonts w:ascii="Calibri" w:hAnsi="Calibri" w:cs="Calibri"/>
        </w:rPr>
        <w:t xml:space="preserve"> issues-based advertising</w:t>
      </w:r>
      <w:r w:rsidR="00B438A3" w:rsidRPr="00AD35E1">
        <w:rPr>
          <w:rStyle w:val="normaltextrun"/>
          <w:rFonts w:ascii="Calibri" w:hAnsi="Calibri" w:cs="Calibri"/>
        </w:rPr>
        <w:t xml:space="preserve"> </w:t>
      </w:r>
      <w:r w:rsidR="00CC00F5" w:rsidRPr="00AD35E1">
        <w:rPr>
          <w:rStyle w:val="normaltextrun"/>
          <w:rFonts w:ascii="Calibri" w:hAnsi="Calibri" w:cs="Calibri"/>
        </w:rPr>
        <w:t>“is a known vector of misinformation” and that</w:t>
      </w:r>
      <w:r w:rsidR="007A3AEC" w:rsidRPr="00AD35E1">
        <w:rPr>
          <w:rStyle w:val="normaltextrun"/>
          <w:rFonts w:ascii="Calibri" w:hAnsi="Calibri" w:cs="Calibri"/>
        </w:rPr>
        <w:t xml:space="preserve"> it has</w:t>
      </w:r>
      <w:r w:rsidR="006A67A0" w:rsidRPr="00AD35E1">
        <w:rPr>
          <w:rStyle w:val="normaltextrun"/>
          <w:rFonts w:ascii="Calibri" w:hAnsi="Calibri" w:cs="Calibri"/>
        </w:rPr>
        <w:t xml:space="preserve"> “</w:t>
      </w:r>
      <w:r w:rsidR="006A67A0" w:rsidRPr="00AD35E1">
        <w:t>particular concern about the ability of micro-targeting technologies, which rely on user data, to direct advertisements containing false or misleading information at particular groups and not others</w:t>
      </w:r>
      <w:r w:rsidR="006A67A0" w:rsidRPr="00AD35E1">
        <w:rPr>
          <w:rStyle w:val="normaltextrun"/>
          <w:rFonts w:ascii="Calibri" w:hAnsi="Calibri" w:cs="Calibri"/>
        </w:rPr>
        <w:t>”</w:t>
      </w:r>
      <w:r w:rsidR="00F56640" w:rsidRPr="00AD35E1">
        <w:rPr>
          <w:rStyle w:val="normaltextrun"/>
          <w:rFonts w:ascii="Calibri" w:hAnsi="Calibri" w:cs="Calibri"/>
        </w:rPr>
        <w:t>.</w:t>
      </w:r>
      <w:r w:rsidR="00397A1C" w:rsidRPr="00AD35E1">
        <w:rPr>
          <w:rStyle w:val="FootnoteReference"/>
          <w:rFonts w:ascii="Calibri" w:hAnsi="Calibri" w:cs="Calibri"/>
        </w:rPr>
        <w:footnoteReference w:id="38"/>
      </w:r>
      <w:r w:rsidR="00CB77AB" w:rsidRPr="00AD35E1">
        <w:rPr>
          <w:rStyle w:val="normaltextrun"/>
          <w:rFonts w:ascii="Calibri" w:hAnsi="Calibri" w:cs="Calibri"/>
        </w:rPr>
        <w:t xml:space="preserve"> </w:t>
      </w:r>
      <w:r w:rsidR="00E836EB" w:rsidRPr="00AD35E1">
        <w:rPr>
          <w:rStyle w:val="normaltextrun"/>
          <w:rFonts w:ascii="Calibri" w:hAnsi="Calibri" w:cs="Calibri"/>
        </w:rPr>
        <w:t xml:space="preserve">The </w:t>
      </w:r>
      <w:r w:rsidR="009D6550" w:rsidRPr="00AD35E1">
        <w:rPr>
          <w:rStyle w:val="normaltextrun"/>
          <w:rFonts w:ascii="Calibri" w:hAnsi="Calibri" w:cs="Calibri"/>
        </w:rPr>
        <w:t>ACMA</w:t>
      </w:r>
      <w:r w:rsidR="00E836EB" w:rsidRPr="00AD35E1">
        <w:rPr>
          <w:rStyle w:val="normaltextrun"/>
          <w:rFonts w:ascii="Calibri" w:hAnsi="Calibri" w:cs="Calibri"/>
        </w:rPr>
        <w:t xml:space="preserve"> </w:t>
      </w:r>
      <w:r w:rsidR="00890F37" w:rsidRPr="00AD35E1">
        <w:rPr>
          <w:rStyle w:val="normaltextrun"/>
          <w:rFonts w:ascii="Calibri" w:hAnsi="Calibri" w:cs="Calibri"/>
        </w:rPr>
        <w:t>recommends that in</w:t>
      </w:r>
    </w:p>
    <w:p w14:paraId="519578BD" w14:textId="18ED6274" w:rsidR="0025492A" w:rsidRPr="00AD35E1" w:rsidRDefault="00576B39" w:rsidP="000F42C6">
      <w:pPr>
        <w:pStyle w:val="Quote"/>
      </w:pPr>
      <w:r w:rsidRPr="00AD35E1">
        <w:t>addition to improving public awareness of the source of political</w:t>
      </w:r>
      <w:r w:rsidRPr="00AD35E1">
        <w:br/>
        <w:t>advertising, the code should also cover the source of issues-based</w:t>
      </w:r>
      <w:r w:rsidRPr="00AD35E1">
        <w:br/>
        <w:t>advertising.</w:t>
      </w:r>
      <w:r w:rsidR="00FE4F4E" w:rsidRPr="00AD35E1">
        <w:rPr>
          <w:rStyle w:val="FootnoteReference"/>
        </w:rPr>
        <w:footnoteReference w:id="39"/>
      </w:r>
    </w:p>
    <w:p w14:paraId="19DC89A7" w14:textId="4C83E939" w:rsidR="00223092" w:rsidRPr="00AD35E1" w:rsidRDefault="00223092" w:rsidP="009A0348">
      <w:r w:rsidRPr="00AD35E1">
        <w:t>To pr</w:t>
      </w:r>
      <w:r w:rsidR="008C31AC" w:rsidRPr="00AD35E1">
        <w:t>event this inclusion from unduly limiting political expression through paid</w:t>
      </w:r>
      <w:r w:rsidR="0057364E" w:rsidRPr="00AD35E1">
        <w:t xml:space="preserve"> media, the ACMA </w:t>
      </w:r>
      <w:r w:rsidR="007B4903" w:rsidRPr="00AD35E1">
        <w:t>recommends</w:t>
      </w:r>
      <w:r w:rsidR="0057364E" w:rsidRPr="00AD35E1">
        <w:t xml:space="preserve"> that the Code adopt a similar approach to the EU code</w:t>
      </w:r>
      <w:r w:rsidR="004F1D31" w:rsidRPr="00AD35E1">
        <w:t xml:space="preserve"> that </w:t>
      </w:r>
      <w:r w:rsidR="001949A0" w:rsidRPr="00AD35E1">
        <w:t>seeks to</w:t>
      </w:r>
      <w:r w:rsidR="00A36E4D" w:rsidRPr="00AD35E1">
        <w:t xml:space="preserve"> provide more transparency around </w:t>
      </w:r>
      <w:r w:rsidR="007B4903" w:rsidRPr="00AD35E1">
        <w:t>targeting</w:t>
      </w:r>
      <w:r w:rsidR="004250A1" w:rsidRPr="00AD35E1">
        <w:t xml:space="preserve">. The EU code also tasks signatories with </w:t>
      </w:r>
      <w:r w:rsidR="00703CB5" w:rsidRPr="00AD35E1">
        <w:t xml:space="preserve">defining issues-based advertising in such a way </w:t>
      </w:r>
      <w:r w:rsidR="0068706A" w:rsidRPr="00AD35E1">
        <w:t xml:space="preserve">to not limit </w:t>
      </w:r>
      <w:r w:rsidR="007B4903" w:rsidRPr="00AD35E1">
        <w:t>reporting or legitimate political expression.</w:t>
      </w:r>
      <w:r w:rsidR="00736D73" w:rsidRPr="00AD35E1">
        <w:t xml:space="preserve"> </w:t>
      </w:r>
    </w:p>
    <w:p w14:paraId="644DF7B2" w14:textId="6BD314D8" w:rsidR="00A92E10" w:rsidRPr="00AD35E1" w:rsidRDefault="007E0751" w:rsidP="009A0348">
      <w:r w:rsidRPr="00AD35E1">
        <w:t>In the Discussion paper</w:t>
      </w:r>
      <w:r w:rsidR="002C5670" w:rsidRPr="00AD35E1">
        <w:t xml:space="preserve"> DIGI argues that it would be difficult to </w:t>
      </w:r>
      <w:r w:rsidR="00A724EC" w:rsidRPr="00AD35E1">
        <w:t>distinguish</w:t>
      </w:r>
      <w:r w:rsidR="002C5670" w:rsidRPr="00AD35E1">
        <w:t xml:space="preserve"> issues-based</w:t>
      </w:r>
      <w:r w:rsidR="007079B5" w:rsidRPr="00AD35E1">
        <w:t xml:space="preserve"> advertising from other </w:t>
      </w:r>
      <w:r w:rsidR="00A724EC" w:rsidRPr="00AD35E1">
        <w:t>categories</w:t>
      </w:r>
      <w:r w:rsidR="00E709F3" w:rsidRPr="00AD35E1">
        <w:t xml:space="preserve"> of advertising, risking</w:t>
      </w:r>
      <w:r w:rsidR="00C916BF" w:rsidRPr="00AD35E1">
        <w:t xml:space="preserve"> citizens’ ability to</w:t>
      </w:r>
      <w:r w:rsidR="00981A97" w:rsidRPr="00AD35E1">
        <w:t xml:space="preserve"> use advertising to advocate on areas of public concern.</w:t>
      </w:r>
      <w:r w:rsidR="000F1BD9" w:rsidRPr="00AD35E1">
        <w:t xml:space="preserve"> DIGI proposes the </w:t>
      </w:r>
      <w:r w:rsidR="006072B7" w:rsidRPr="00AD35E1">
        <w:t>inclusion</w:t>
      </w:r>
      <w:r w:rsidR="000F1BD9" w:rsidRPr="00AD35E1">
        <w:t xml:space="preserve"> of a note to section 4.4 that </w:t>
      </w:r>
      <w:r w:rsidR="00EB114D" w:rsidRPr="00AD35E1">
        <w:t xml:space="preserve">excludes advertising “for the purpose of general advocacy </w:t>
      </w:r>
      <w:r w:rsidR="00A3370E" w:rsidRPr="00AD35E1">
        <w:t>on social issues</w:t>
      </w:r>
      <w:r w:rsidR="00EB114D" w:rsidRPr="00AD35E1">
        <w:t>”</w:t>
      </w:r>
      <w:r w:rsidR="00A3370E" w:rsidRPr="00AD35E1">
        <w:t>.</w:t>
      </w:r>
      <w:r w:rsidR="00A3370E" w:rsidRPr="00AD35E1">
        <w:rPr>
          <w:rStyle w:val="FootnoteReference"/>
          <w:rFonts w:ascii="Calibri" w:hAnsi="Calibri" w:cs="Calibri"/>
        </w:rPr>
        <w:footnoteReference w:id="40"/>
      </w:r>
      <w:r w:rsidR="00840A52" w:rsidRPr="00AD35E1">
        <w:t xml:space="preserve"> The proposed revisions in the code do not include</w:t>
      </w:r>
      <w:r w:rsidR="00D07A70" w:rsidRPr="00AD35E1">
        <w:t xml:space="preserve"> a definition of “general advocacy”</w:t>
      </w:r>
      <w:r w:rsidR="00CA288D" w:rsidRPr="00AD35E1">
        <w:t xml:space="preserve"> or </w:t>
      </w:r>
      <w:r w:rsidR="00A50459" w:rsidRPr="00AD35E1">
        <w:t>include provisions to provide users with greater transparency around</w:t>
      </w:r>
      <w:r w:rsidR="008C7D3D" w:rsidRPr="00AD35E1">
        <w:t xml:space="preserve"> issues-based advertising.</w:t>
      </w:r>
      <w:r w:rsidR="000D6A43" w:rsidRPr="00AD35E1">
        <w:t xml:space="preserve"> In sum, political advertising is overseen by electoral laws and is exempted from the code except where it is deemed to be disinformation but there is less clarity around advertising that addresses political and social issues but is not linked to elections.</w:t>
      </w:r>
      <w:r w:rsidR="000D7D59" w:rsidRPr="00AD35E1">
        <w:t xml:space="preserve"> </w:t>
      </w:r>
      <w:r w:rsidR="00192A7B" w:rsidRPr="00AD35E1">
        <w:t>The</w:t>
      </w:r>
      <w:r w:rsidR="0083709C" w:rsidRPr="00AD35E1">
        <w:t xml:space="preserve"> </w:t>
      </w:r>
      <w:r w:rsidR="0083709C" w:rsidRPr="00AD35E1">
        <w:lastRenderedPageBreak/>
        <w:t>balance is between protecting users from being targeted</w:t>
      </w:r>
      <w:r w:rsidR="00FE2A5C" w:rsidRPr="00AD35E1">
        <w:t xml:space="preserve"> with misinformation that is excluded by the code and </w:t>
      </w:r>
      <w:r w:rsidR="00ED1D54" w:rsidRPr="00AD35E1">
        <w:t xml:space="preserve">ensuring that </w:t>
      </w:r>
      <w:r w:rsidR="001A4616" w:rsidRPr="00AD35E1">
        <w:t xml:space="preserve">advertising is still available </w:t>
      </w:r>
      <w:r w:rsidR="006F7447" w:rsidRPr="00AD35E1">
        <w:t>for advocacy.</w:t>
      </w:r>
    </w:p>
    <w:p w14:paraId="71751EBC" w14:textId="65A30BC8" w:rsidR="00B547DC" w:rsidRPr="00AD35E1" w:rsidRDefault="00736D73" w:rsidP="009A0348">
      <w:r w:rsidRPr="00AD35E1">
        <w:t>ACCAN understand</w:t>
      </w:r>
      <w:r w:rsidR="00324EAC" w:rsidRPr="00AD35E1">
        <w:t>s that ensuring political expression is important</w:t>
      </w:r>
      <w:r w:rsidR="006E3652" w:rsidRPr="00AD35E1">
        <w:t xml:space="preserve"> and that paid media is an important channel for advocacy.</w:t>
      </w:r>
      <w:r w:rsidR="00C42077" w:rsidRPr="00AD35E1">
        <w:t xml:space="preserve"> </w:t>
      </w:r>
      <w:r w:rsidR="00DD312A" w:rsidRPr="00AD35E1">
        <w:t xml:space="preserve">However, given that </w:t>
      </w:r>
      <w:r w:rsidR="00670386" w:rsidRPr="00AD35E1">
        <w:t>issues-based advertising may be used as a vector of misinformation</w:t>
      </w:r>
      <w:r w:rsidR="005A7D07" w:rsidRPr="00AD35E1">
        <w:t xml:space="preserve"> to micro-target individuals</w:t>
      </w:r>
      <w:r w:rsidR="00F154A6" w:rsidRPr="00AD35E1">
        <w:t xml:space="preserve"> it seems that it would be important to include </w:t>
      </w:r>
      <w:r w:rsidR="005634A3" w:rsidRPr="00AD35E1">
        <w:t>issues</w:t>
      </w:r>
      <w:r w:rsidR="003317B9" w:rsidRPr="00AD35E1">
        <w:t>-based advertising</w:t>
      </w:r>
      <w:r w:rsidR="003D3AF6" w:rsidRPr="00AD35E1">
        <w:t xml:space="preserve"> </w:t>
      </w:r>
      <w:r w:rsidR="00290B45" w:rsidRPr="00AD35E1">
        <w:t xml:space="preserve">in the Code. </w:t>
      </w:r>
      <w:r w:rsidR="00275371" w:rsidRPr="00AD35E1">
        <w:t xml:space="preserve">This would provide a mechanism to address paid misinformation campaigns that </w:t>
      </w:r>
      <w:r w:rsidR="007E027B" w:rsidRPr="00AD35E1">
        <w:t xml:space="preserve">fall outside of electoral laws. </w:t>
      </w:r>
      <w:r w:rsidR="00EC664B" w:rsidRPr="00AD35E1">
        <w:t>ACCAN</w:t>
      </w:r>
      <w:r w:rsidR="007E027B" w:rsidRPr="00AD35E1">
        <w:t xml:space="preserve"> also strongly</w:t>
      </w:r>
      <w:r w:rsidR="00EC664B" w:rsidRPr="00AD35E1">
        <w:t xml:space="preserve"> supports measures that offer users greater transparency</w:t>
      </w:r>
      <w:r w:rsidR="00A336D2" w:rsidRPr="00AD35E1">
        <w:t xml:space="preserve"> around ad targeting</w:t>
      </w:r>
      <w:r w:rsidR="00E10064" w:rsidRPr="00AD35E1">
        <w:t xml:space="preserve"> and the source of political advertising</w:t>
      </w:r>
      <w:r w:rsidR="007E027B" w:rsidRPr="00AD35E1">
        <w:t>. As well as</w:t>
      </w:r>
      <w:r w:rsidR="000974F4" w:rsidRPr="00AD35E1">
        <w:t xml:space="preserve"> tools</w:t>
      </w:r>
      <w:r w:rsidR="007E027B" w:rsidRPr="00AD35E1">
        <w:t xml:space="preserve"> for users</w:t>
      </w:r>
      <w:r w:rsidR="000974F4" w:rsidRPr="00AD35E1">
        <w:t xml:space="preserve"> to control their </w:t>
      </w:r>
      <w:r w:rsidR="00A336D2" w:rsidRPr="00AD35E1">
        <w:t xml:space="preserve">experience on digital platforms. </w:t>
      </w:r>
    </w:p>
    <w:p w14:paraId="0A668B22" w14:textId="55668E2F" w:rsidR="00237B16" w:rsidRPr="00AD35E1" w:rsidRDefault="00C02696" w:rsidP="00FA7973">
      <w:pPr>
        <w:pStyle w:val="Recommendation"/>
        <w:rPr>
          <w:rStyle w:val="normaltextrun"/>
          <w:rFonts w:cs="Calibri"/>
        </w:rPr>
      </w:pPr>
      <w:r w:rsidRPr="00AD35E1">
        <w:rPr>
          <w:rStyle w:val="normaltextrun"/>
          <w:rFonts w:cs="Calibri"/>
        </w:rPr>
        <w:t>Issues</w:t>
      </w:r>
      <w:r w:rsidR="004C6978" w:rsidRPr="00AD35E1">
        <w:rPr>
          <w:rStyle w:val="normaltextrun"/>
          <w:rFonts w:cs="Calibri"/>
        </w:rPr>
        <w:t>-</w:t>
      </w:r>
      <w:r w:rsidRPr="00AD35E1">
        <w:rPr>
          <w:rStyle w:val="normaltextrun"/>
          <w:rFonts w:cs="Calibri"/>
        </w:rPr>
        <w:t xml:space="preserve">based advertising should be clearly </w:t>
      </w:r>
      <w:r w:rsidR="004C6978" w:rsidRPr="00AD35E1">
        <w:rPr>
          <w:rStyle w:val="normaltextrun"/>
          <w:rFonts w:cs="Calibri"/>
        </w:rPr>
        <w:t xml:space="preserve">defined in the Code but should not be excluded from </w:t>
      </w:r>
      <w:r w:rsidR="00560173" w:rsidRPr="00AD35E1">
        <w:rPr>
          <w:rStyle w:val="normaltextrun"/>
          <w:rFonts w:cs="Calibri"/>
        </w:rPr>
        <w:t xml:space="preserve">considerations of misinformation. Users should be </w:t>
      </w:r>
      <w:r w:rsidR="00514B92" w:rsidRPr="00AD35E1">
        <w:rPr>
          <w:rStyle w:val="normaltextrun"/>
          <w:rFonts w:cs="Calibri"/>
        </w:rPr>
        <w:t xml:space="preserve">provided with greater transparency </w:t>
      </w:r>
      <w:r w:rsidR="00E53EB8" w:rsidRPr="00AD35E1">
        <w:rPr>
          <w:rStyle w:val="normaltextrun"/>
          <w:rFonts w:cs="Calibri"/>
        </w:rPr>
        <w:t xml:space="preserve">as to the source of issues-based advertising and provided with </w:t>
      </w:r>
      <w:r w:rsidR="00AB2EEC" w:rsidRPr="00AD35E1">
        <w:rPr>
          <w:rStyle w:val="normaltextrun"/>
          <w:rFonts w:cs="Calibri"/>
        </w:rPr>
        <w:t xml:space="preserve">tools to </w:t>
      </w:r>
      <w:r w:rsidR="009D2842" w:rsidRPr="00AD35E1">
        <w:rPr>
          <w:rStyle w:val="normaltextrun"/>
          <w:rFonts w:cs="Calibri"/>
        </w:rPr>
        <w:t>control advertising they see as well as report mis- and disinformation.</w:t>
      </w:r>
    </w:p>
    <w:p w14:paraId="06170CAA" w14:textId="05573DB9" w:rsidR="001F37F6" w:rsidRPr="00AD35E1" w:rsidRDefault="001F37F6" w:rsidP="00BC5711">
      <w:pPr>
        <w:pStyle w:val="Heading3"/>
      </w:pPr>
      <w:r w:rsidRPr="00AD35E1">
        <w:rPr>
          <w:rStyle w:val="scxw218924026"/>
          <w:rFonts w:ascii="Calibri" w:hAnsi="Calibri" w:cs="Calibri"/>
          <w:sz w:val="22"/>
          <w:lang w:val="en-AU"/>
        </w:rPr>
        <w:t> </w:t>
      </w:r>
      <w:r w:rsidRPr="00AD35E1">
        <w:rPr>
          <w:rStyle w:val="normaltextrun"/>
          <w:rFonts w:ascii="Calibri" w:hAnsi="Calibri" w:cs="Calibri"/>
          <w:sz w:val="22"/>
          <w:lang w:val="en-AU"/>
        </w:rPr>
        <w:t>7) Should the code better define paid and sponsored content?</w:t>
      </w:r>
      <w:r w:rsidRPr="00AD35E1">
        <w:rPr>
          <w:rStyle w:val="eop"/>
          <w:rFonts w:ascii="Calibri" w:eastAsiaTheme="majorEastAsia" w:hAnsi="Calibri" w:cs="Calibri"/>
          <w:sz w:val="22"/>
          <w:lang w:val="en-AU"/>
        </w:rPr>
        <w:t> </w:t>
      </w:r>
    </w:p>
    <w:p w14:paraId="3D4D9526" w14:textId="6C093574" w:rsidR="001F37F6" w:rsidRPr="00AD35E1" w:rsidRDefault="0029656C" w:rsidP="00F81512">
      <w:r w:rsidRPr="00AD35E1">
        <w:rPr>
          <w:rStyle w:val="eop"/>
          <w:rFonts w:ascii="Calibri" w:eastAsiaTheme="majorEastAsia" w:hAnsi="Calibri" w:cs="Calibri"/>
        </w:rPr>
        <w:t>T</w:t>
      </w:r>
      <w:r w:rsidR="00F62A8A" w:rsidRPr="00AD35E1">
        <w:rPr>
          <w:rStyle w:val="eop"/>
          <w:rFonts w:ascii="Calibri" w:eastAsiaTheme="majorEastAsia" w:hAnsi="Calibri" w:cs="Calibri"/>
        </w:rPr>
        <w:t xml:space="preserve">he ACMA recommends that </w:t>
      </w:r>
      <w:r w:rsidR="002663B8" w:rsidRPr="00AD35E1">
        <w:rPr>
          <w:rStyle w:val="eop"/>
          <w:rFonts w:ascii="Calibri" w:eastAsiaTheme="majorEastAsia" w:hAnsi="Calibri" w:cs="Calibri"/>
        </w:rPr>
        <w:t>“treatment of paid and sponsored content should be made clearer in the code”</w:t>
      </w:r>
      <w:r w:rsidR="00A60397" w:rsidRPr="00AD35E1">
        <w:rPr>
          <w:rStyle w:val="eop"/>
          <w:rFonts w:ascii="Calibri" w:eastAsiaTheme="majorEastAsia" w:hAnsi="Calibri" w:cs="Calibri"/>
        </w:rPr>
        <w:t xml:space="preserve"> </w:t>
      </w:r>
      <w:r w:rsidR="00D10EDA" w:rsidRPr="00AD35E1">
        <w:rPr>
          <w:rStyle w:val="eop"/>
          <w:rFonts w:ascii="Calibri" w:eastAsiaTheme="majorEastAsia" w:hAnsi="Calibri" w:cs="Calibri"/>
        </w:rPr>
        <w:t>and that the code should define sponsored content</w:t>
      </w:r>
      <w:r w:rsidR="00B73D36">
        <w:rPr>
          <w:rStyle w:val="eop"/>
          <w:rFonts w:ascii="Calibri" w:eastAsiaTheme="majorEastAsia" w:hAnsi="Calibri" w:cs="Calibri"/>
        </w:rPr>
        <w:t>.</w:t>
      </w:r>
      <w:r w:rsidR="00984BED" w:rsidRPr="00AD35E1">
        <w:rPr>
          <w:rStyle w:val="FootnoteReference"/>
          <w:rFonts w:ascii="Calibri" w:eastAsiaTheme="majorEastAsia" w:hAnsi="Calibri" w:cs="Calibri"/>
        </w:rPr>
        <w:footnoteReference w:id="41"/>
      </w:r>
      <w:r w:rsidR="002E5ADD" w:rsidRPr="00AD35E1">
        <w:rPr>
          <w:rStyle w:val="eop"/>
          <w:rFonts w:ascii="Calibri" w:eastAsiaTheme="majorEastAsia" w:hAnsi="Calibri" w:cs="Calibri"/>
        </w:rPr>
        <w:t xml:space="preserve"> DIGI proposes that </w:t>
      </w:r>
      <w:r w:rsidR="00ED6643" w:rsidRPr="00AD35E1">
        <w:rPr>
          <w:rStyle w:val="eop"/>
          <w:rFonts w:ascii="Calibri" w:eastAsiaTheme="majorEastAsia" w:hAnsi="Calibri" w:cs="Calibri"/>
        </w:rPr>
        <w:t xml:space="preserve">sponsored content should be defined in section three of the code as </w:t>
      </w:r>
      <w:r w:rsidR="00EB1CF3" w:rsidRPr="00AD35E1">
        <w:rPr>
          <w:rStyle w:val="eop"/>
          <w:rFonts w:ascii="Calibri" w:eastAsiaTheme="majorEastAsia" w:hAnsi="Calibri" w:cs="Calibri"/>
        </w:rPr>
        <w:t>“a paid arrangement between a social media service and an account-holder under which the social media service promotes content posted on the service beyond the account holder’s list of followers”</w:t>
      </w:r>
      <w:r w:rsidR="00FA3036" w:rsidRPr="00AD35E1">
        <w:rPr>
          <w:rStyle w:val="eop"/>
          <w:rFonts w:ascii="Calibri" w:eastAsiaTheme="majorEastAsia" w:hAnsi="Calibri" w:cs="Calibri"/>
        </w:rPr>
        <w:t>.</w:t>
      </w:r>
      <w:r w:rsidR="001E728C" w:rsidRPr="00AD35E1">
        <w:rPr>
          <w:rStyle w:val="FootnoteReference"/>
          <w:rFonts w:ascii="Calibri" w:eastAsiaTheme="majorEastAsia" w:hAnsi="Calibri" w:cs="Calibri"/>
        </w:rPr>
        <w:footnoteReference w:id="42"/>
      </w:r>
    </w:p>
    <w:p w14:paraId="645F9FE7" w14:textId="72D8CF97" w:rsidR="001F37F6" w:rsidRPr="00AD35E1" w:rsidRDefault="008C4600" w:rsidP="00F81512">
      <w:r w:rsidRPr="00AD35E1">
        <w:rPr>
          <w:rStyle w:val="normaltextrun"/>
          <w:rFonts w:ascii="Calibri" w:hAnsi="Calibri" w:cs="Calibri"/>
        </w:rPr>
        <w:t xml:space="preserve">ACCAN agrees with the ACMA that </w:t>
      </w:r>
      <w:r w:rsidR="005B196C" w:rsidRPr="00AD35E1">
        <w:rPr>
          <w:rStyle w:val="normaltextrun"/>
          <w:rFonts w:ascii="Calibri" w:hAnsi="Calibri" w:cs="Calibri"/>
        </w:rPr>
        <w:t>digital platforms have a great responsibility for paid and sponsored</w:t>
      </w:r>
      <w:r w:rsidR="001B46B0" w:rsidRPr="00AD35E1">
        <w:rPr>
          <w:rStyle w:val="normaltextrun"/>
          <w:rFonts w:ascii="Calibri" w:hAnsi="Calibri" w:cs="Calibri"/>
        </w:rPr>
        <w:t xml:space="preserve"> content. ACCAN supports </w:t>
      </w:r>
      <w:r w:rsidR="00A3233E" w:rsidRPr="00AD35E1">
        <w:rPr>
          <w:rStyle w:val="normaltextrun"/>
          <w:rFonts w:ascii="Calibri" w:hAnsi="Calibri" w:cs="Calibri"/>
        </w:rPr>
        <w:t>DIGI’s proposed definition of sponsored content</w:t>
      </w:r>
      <w:r w:rsidR="004D64E2" w:rsidRPr="00AD35E1">
        <w:rPr>
          <w:rStyle w:val="normaltextrun"/>
          <w:rFonts w:ascii="Calibri" w:hAnsi="Calibri" w:cs="Calibri"/>
        </w:rPr>
        <w:t xml:space="preserve"> to be included</w:t>
      </w:r>
      <w:r w:rsidR="00882DF1" w:rsidRPr="00AD35E1">
        <w:rPr>
          <w:rStyle w:val="normaltextrun"/>
          <w:rFonts w:ascii="Calibri" w:hAnsi="Calibri" w:cs="Calibri"/>
        </w:rPr>
        <w:t xml:space="preserve"> in section three of the Code. While DIGI’s </w:t>
      </w:r>
      <w:r w:rsidR="00E559B7" w:rsidRPr="00AD35E1">
        <w:rPr>
          <w:rStyle w:val="normaltextrun"/>
          <w:rFonts w:ascii="Calibri" w:hAnsi="Calibri" w:cs="Calibri"/>
        </w:rPr>
        <w:t>proposed amendment</w:t>
      </w:r>
      <w:r w:rsidR="00882DF1" w:rsidRPr="00AD35E1">
        <w:rPr>
          <w:rStyle w:val="normaltextrun"/>
          <w:rFonts w:ascii="Calibri" w:hAnsi="Calibri" w:cs="Calibri"/>
        </w:rPr>
        <w:t xml:space="preserve"> does defin</w:t>
      </w:r>
      <w:r w:rsidR="00E559B7" w:rsidRPr="00AD35E1">
        <w:rPr>
          <w:rStyle w:val="normaltextrun"/>
          <w:rFonts w:ascii="Calibri" w:hAnsi="Calibri" w:cs="Calibri"/>
        </w:rPr>
        <w:t>e</w:t>
      </w:r>
      <w:r w:rsidR="008D19C4" w:rsidRPr="00AD35E1">
        <w:rPr>
          <w:rStyle w:val="normaltextrun"/>
          <w:rFonts w:ascii="Calibri" w:hAnsi="Calibri" w:cs="Calibri"/>
        </w:rPr>
        <w:t xml:space="preserve"> sponsored content, </w:t>
      </w:r>
      <w:r w:rsidR="004A0EB6" w:rsidRPr="00AD35E1">
        <w:rPr>
          <w:rStyle w:val="normaltextrun"/>
          <w:rFonts w:ascii="Calibri" w:hAnsi="Calibri" w:cs="Calibri"/>
        </w:rPr>
        <w:t xml:space="preserve">signatories should </w:t>
      </w:r>
      <w:r w:rsidR="00A63D7C" w:rsidRPr="00AD35E1">
        <w:rPr>
          <w:rStyle w:val="normaltextrun"/>
          <w:rFonts w:ascii="Calibri" w:hAnsi="Calibri" w:cs="Calibri"/>
        </w:rPr>
        <w:t>provide greater clarity and</w:t>
      </w:r>
      <w:r w:rsidR="00910A80" w:rsidRPr="00AD35E1">
        <w:rPr>
          <w:rStyle w:val="normaltextrun"/>
          <w:rFonts w:ascii="Calibri" w:hAnsi="Calibri" w:cs="Calibri"/>
        </w:rPr>
        <w:t xml:space="preserve"> </w:t>
      </w:r>
      <w:r w:rsidR="00BD2CCC" w:rsidRPr="00AD35E1">
        <w:rPr>
          <w:rStyle w:val="normaltextrun"/>
          <w:rFonts w:ascii="Calibri" w:hAnsi="Calibri" w:cs="Calibri"/>
        </w:rPr>
        <w:t>“implement more proactive measures”</w:t>
      </w:r>
      <w:r w:rsidR="00D6787E" w:rsidRPr="00AD35E1">
        <w:rPr>
          <w:rStyle w:val="normaltextrun"/>
          <w:rFonts w:ascii="Calibri" w:hAnsi="Calibri" w:cs="Calibri"/>
        </w:rPr>
        <w:t xml:space="preserve"> as recommended by the ACMA.</w:t>
      </w:r>
      <w:r w:rsidR="00D6787E" w:rsidRPr="00AD35E1">
        <w:rPr>
          <w:rStyle w:val="FootnoteReference"/>
          <w:rFonts w:ascii="Calibri" w:hAnsi="Calibri" w:cs="Calibri"/>
        </w:rPr>
        <w:footnoteReference w:id="43"/>
      </w:r>
    </w:p>
    <w:p w14:paraId="28C44183" w14:textId="67046252" w:rsidR="00AE7111" w:rsidRPr="00AD35E1" w:rsidRDefault="00721B58" w:rsidP="00910A80">
      <w:pPr>
        <w:pStyle w:val="Recommendation"/>
        <w:rPr>
          <w:rStyle w:val="scxw218924026"/>
          <w:rFonts w:cs="Calibri"/>
        </w:rPr>
      </w:pPr>
      <w:r w:rsidRPr="00AD35E1">
        <w:rPr>
          <w:rStyle w:val="normaltextrun"/>
          <w:rFonts w:cs="Calibri"/>
        </w:rPr>
        <w:t>ACCAN supports DIGI’s proposed definition of sponsored content</w:t>
      </w:r>
      <w:r w:rsidR="00EF4CC2" w:rsidRPr="00AD35E1">
        <w:rPr>
          <w:rStyle w:val="normaltextrun"/>
          <w:rFonts w:cs="Calibri"/>
        </w:rPr>
        <w:t xml:space="preserve">. ACCAN supports </w:t>
      </w:r>
      <w:r w:rsidR="00910A80" w:rsidRPr="00AD35E1">
        <w:rPr>
          <w:rStyle w:val="normaltextrun"/>
          <w:rFonts w:cs="Calibri"/>
        </w:rPr>
        <w:t>the</w:t>
      </w:r>
      <w:r w:rsidR="00A175AD" w:rsidRPr="00AD35E1">
        <w:rPr>
          <w:rStyle w:val="normaltextrun"/>
          <w:rFonts w:cs="Calibri"/>
        </w:rPr>
        <w:t xml:space="preserve"> ACMA’s</w:t>
      </w:r>
      <w:r w:rsidR="00910A80" w:rsidRPr="00AD35E1">
        <w:rPr>
          <w:rStyle w:val="normaltextrun"/>
          <w:rFonts w:cs="Calibri"/>
        </w:rPr>
        <w:t xml:space="preserve"> requirement for</w:t>
      </w:r>
      <w:r w:rsidR="00A63D7C" w:rsidRPr="00AD35E1">
        <w:rPr>
          <w:rStyle w:val="normaltextrun"/>
          <w:rFonts w:cs="Calibri"/>
        </w:rPr>
        <w:t xml:space="preserve"> greater transparency</w:t>
      </w:r>
      <w:r w:rsidR="00910A80" w:rsidRPr="00AD35E1">
        <w:rPr>
          <w:rStyle w:val="normaltextrun"/>
          <w:rFonts w:cs="Calibri"/>
        </w:rPr>
        <w:t xml:space="preserve"> </w:t>
      </w:r>
      <w:r w:rsidR="00A63D7C" w:rsidRPr="00AD35E1">
        <w:rPr>
          <w:rStyle w:val="normaltextrun"/>
          <w:rFonts w:cs="Calibri"/>
        </w:rPr>
        <w:t xml:space="preserve">and </w:t>
      </w:r>
      <w:r w:rsidR="00EF4CC2" w:rsidRPr="00AD35E1">
        <w:rPr>
          <w:rStyle w:val="normaltextrun"/>
          <w:rFonts w:cs="Calibri"/>
        </w:rPr>
        <w:t>proactive measures</w:t>
      </w:r>
      <w:r w:rsidR="00A76552" w:rsidRPr="00AD35E1">
        <w:rPr>
          <w:rStyle w:val="normaltextrun"/>
          <w:rFonts w:cs="Calibri"/>
        </w:rPr>
        <w:t xml:space="preserve"> to reflect</w:t>
      </w:r>
      <w:r w:rsidR="00F45EB3">
        <w:rPr>
          <w:rStyle w:val="normaltextrun"/>
          <w:rFonts w:cs="Calibri"/>
        </w:rPr>
        <w:t xml:space="preserve"> digital</w:t>
      </w:r>
      <w:r w:rsidR="00A76552" w:rsidRPr="00AD35E1">
        <w:rPr>
          <w:rStyle w:val="normaltextrun"/>
          <w:rFonts w:cs="Calibri"/>
        </w:rPr>
        <w:t xml:space="preserve"> platforms</w:t>
      </w:r>
      <w:r w:rsidR="00A073BB">
        <w:rPr>
          <w:rStyle w:val="normaltextrun"/>
          <w:rFonts w:cs="Calibri"/>
        </w:rPr>
        <w:t>’</w:t>
      </w:r>
      <w:r w:rsidR="00A76552" w:rsidRPr="00AD35E1">
        <w:rPr>
          <w:rStyle w:val="normaltextrun"/>
          <w:rFonts w:cs="Calibri"/>
        </w:rPr>
        <w:t xml:space="preserve"> increased responsibility regarding sponsored content.</w:t>
      </w:r>
    </w:p>
    <w:p w14:paraId="623E405A" w14:textId="039A66DD" w:rsidR="00B41CA8" w:rsidRPr="00AD35E1" w:rsidRDefault="005E5442" w:rsidP="00071F03">
      <w:pPr>
        <w:pStyle w:val="Title"/>
        <w:rPr>
          <w:lang w:val="en-AU" w:eastAsia="en-US"/>
        </w:rPr>
      </w:pPr>
      <w:bookmarkStart w:id="23" w:name="_Toc108165451"/>
      <w:r w:rsidRPr="00AD35E1">
        <w:rPr>
          <w:lang w:val="en-AU" w:eastAsia="en-US"/>
        </w:rPr>
        <w:lastRenderedPageBreak/>
        <w:t xml:space="preserve">3. </w:t>
      </w:r>
      <w:r w:rsidR="0055201B" w:rsidRPr="00AD35E1">
        <w:rPr>
          <w:lang w:val="en-AU" w:eastAsia="en-US"/>
        </w:rPr>
        <w:t>Conclusion</w:t>
      </w:r>
      <w:bookmarkEnd w:id="23"/>
    </w:p>
    <w:p w14:paraId="03276D04" w14:textId="6B3B5632" w:rsidR="00353C9D" w:rsidRPr="00AD35E1" w:rsidRDefault="00803C69" w:rsidP="00F81512">
      <w:pPr>
        <w:rPr>
          <w:lang w:eastAsia="en-US"/>
        </w:rPr>
      </w:pPr>
      <w:r w:rsidRPr="00AD35E1">
        <w:rPr>
          <w:lang w:eastAsia="en-US"/>
        </w:rPr>
        <w:t xml:space="preserve"> Addressing m</w:t>
      </w:r>
      <w:r w:rsidR="00841F7E" w:rsidRPr="00AD35E1">
        <w:rPr>
          <w:lang w:eastAsia="en-US"/>
        </w:rPr>
        <w:t xml:space="preserve">is- and </w:t>
      </w:r>
      <w:r w:rsidRPr="00AD35E1">
        <w:rPr>
          <w:lang w:eastAsia="en-US"/>
        </w:rPr>
        <w:t>d</w:t>
      </w:r>
      <w:r w:rsidR="00841F7E" w:rsidRPr="00AD35E1">
        <w:rPr>
          <w:lang w:eastAsia="en-US"/>
        </w:rPr>
        <w:t>isinformation</w:t>
      </w:r>
      <w:r w:rsidR="00356E05" w:rsidRPr="00AD35E1">
        <w:rPr>
          <w:lang w:eastAsia="en-US"/>
        </w:rPr>
        <w:t xml:space="preserve"> will require </w:t>
      </w:r>
      <w:r w:rsidRPr="00AD35E1">
        <w:rPr>
          <w:lang w:eastAsia="en-US"/>
        </w:rPr>
        <w:t xml:space="preserve">continued </w:t>
      </w:r>
      <w:r w:rsidR="00356E05" w:rsidRPr="00AD35E1">
        <w:rPr>
          <w:lang w:eastAsia="en-US"/>
        </w:rPr>
        <w:t xml:space="preserve">cooperation </w:t>
      </w:r>
      <w:r w:rsidRPr="00AD35E1">
        <w:rPr>
          <w:lang w:eastAsia="en-US"/>
        </w:rPr>
        <w:t>between</w:t>
      </w:r>
      <w:r w:rsidR="00356E05" w:rsidRPr="00AD35E1">
        <w:rPr>
          <w:lang w:eastAsia="en-US"/>
        </w:rPr>
        <w:t xml:space="preserve"> relevant stakeholders and</w:t>
      </w:r>
      <w:r w:rsidRPr="00AD35E1">
        <w:rPr>
          <w:lang w:eastAsia="en-US"/>
        </w:rPr>
        <w:t xml:space="preserve"> ACCAN thanks DIGI for the opportunity to contr</w:t>
      </w:r>
      <w:r w:rsidR="00EC7214" w:rsidRPr="00AD35E1">
        <w:rPr>
          <w:lang w:eastAsia="en-US"/>
        </w:rPr>
        <w:t xml:space="preserve">ibute to the review. </w:t>
      </w:r>
      <w:r w:rsidR="00151101" w:rsidRPr="00AD35E1">
        <w:rPr>
          <w:rFonts w:cstheme="minorHAnsi"/>
        </w:rPr>
        <w:t>ACCAN is happy to discuss any of the comments made in this submission</w:t>
      </w:r>
      <w:r w:rsidR="00E14C64" w:rsidRPr="00AD35E1">
        <w:rPr>
          <w:rFonts w:cstheme="minorHAnsi"/>
        </w:rPr>
        <w:t>.</w:t>
      </w:r>
    </w:p>
    <w:p w14:paraId="1A8DF691" w14:textId="77777777" w:rsidR="00353C9D" w:rsidRPr="00AD35E1" w:rsidRDefault="00353C9D" w:rsidP="00353C9D"/>
    <w:p w14:paraId="5338D06D" w14:textId="77777777" w:rsidR="00353C9D" w:rsidRPr="00AD35E1" w:rsidRDefault="00353C9D" w:rsidP="001F37F6">
      <w:pPr>
        <w:pStyle w:val="FundingAcknowledgement"/>
        <w:rPr>
          <w:bCs/>
          <w:lang w:val="en-AU"/>
        </w:rPr>
      </w:pPr>
      <w:r w:rsidRPr="00AD35E1">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p>
    <w:sectPr w:rsidR="00353C9D" w:rsidRPr="00AD35E1"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5D8A" w14:textId="77777777" w:rsidR="00475456" w:rsidRDefault="00475456">
      <w:pPr>
        <w:spacing w:after="0" w:line="240" w:lineRule="auto"/>
      </w:pPr>
      <w:r>
        <w:separator/>
      </w:r>
    </w:p>
    <w:p w14:paraId="66EE6A72" w14:textId="77777777" w:rsidR="00475456" w:rsidRDefault="00475456"/>
  </w:endnote>
  <w:endnote w:type="continuationSeparator" w:id="0">
    <w:p w14:paraId="55087813" w14:textId="77777777" w:rsidR="00475456" w:rsidRDefault="00475456">
      <w:pPr>
        <w:spacing w:after="0" w:line="240" w:lineRule="auto"/>
      </w:pPr>
      <w:r>
        <w:continuationSeparator/>
      </w:r>
    </w:p>
    <w:p w14:paraId="40F3474C" w14:textId="77777777" w:rsidR="00475456" w:rsidRDefault="00475456"/>
  </w:endnote>
  <w:endnote w:type="continuationNotice" w:id="1">
    <w:p w14:paraId="1C237B16" w14:textId="77777777" w:rsidR="00475456" w:rsidRDefault="00475456">
      <w:pPr>
        <w:spacing w:after="0" w:line="240" w:lineRule="auto"/>
      </w:pPr>
    </w:p>
    <w:p w14:paraId="1835B7FD" w14:textId="77777777" w:rsidR="00475456" w:rsidRDefault="00475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434E72-B91B-45BD-B713-0538ADE294BF}"/>
    <w:embedBold r:id="rId2" w:fontKey="{5E66D92A-0E7D-4E41-854B-76ED7CBF84CA}"/>
    <w:embedItalic r:id="rId3" w:fontKey="{CADF7E15-C5E6-4BF3-93BB-6B908B4BD86D}"/>
    <w:embedBoldItalic r:id="rId4" w:fontKey="{BB3558B0-F455-4DB8-B3A4-F7AA1851441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5A414C4-7422-4B10-92D5-F25AB286AD07}"/>
    <w:embedItalic r:id="rId6" w:fontKey="{7BF07FC9-BFD7-45C0-B8DD-ECE4DDDAA320}"/>
  </w:font>
  <w:font w:name="Tahoma">
    <w:panose1 w:val="020B0604030504040204"/>
    <w:charset w:val="00"/>
    <w:family w:val="swiss"/>
    <w:pitch w:val="variable"/>
    <w:sig w:usb0="E1002EFF" w:usb1="C000605B" w:usb2="00000029" w:usb3="00000000" w:csb0="000101FF" w:csb1="00000000"/>
    <w:embedRegular r:id="rId7" w:fontKey="{D2FD866C-B8F4-4D63-A9FA-93694A62DD65}"/>
  </w:font>
  <w:font w:name="Gotham">
    <w:panose1 w:val="02000604040000020004"/>
    <w:charset w:val="00"/>
    <w:family w:val="auto"/>
    <w:pitch w:val="variable"/>
    <w:sig w:usb0="800000A7" w:usb1="00000000" w:usb2="00000000" w:usb3="00000000" w:csb0="00000009" w:csb1="00000000"/>
    <w:embedBold r:id="rId8" w:fontKey="{A6AD9214-7C51-4111-A47B-5B9DC99D4B18}"/>
    <w:embedBoldItalic r:id="rId9" w:fontKey="{A18B2B1B-EFEE-4334-8AFD-64ACF06DC87F}"/>
  </w:font>
  <w:font w:name="Trebuchet MS">
    <w:panose1 w:val="020B0603020202020204"/>
    <w:charset w:val="00"/>
    <w:family w:val="swiss"/>
    <w:pitch w:val="variable"/>
    <w:sig w:usb0="00000687" w:usb1="00000000" w:usb2="00000000" w:usb3="00000000" w:csb0="0000009F" w:csb1="00000000"/>
    <w:embedRegular r:id="rId10" w:fontKey="{7EA86CF4-286C-47DE-A706-F94BBB69A91E}"/>
  </w:font>
  <w:font w:name="Gotham Black">
    <w:panose1 w:val="02000603040000020004"/>
    <w:charset w:val="00"/>
    <w:family w:val="auto"/>
    <w:pitch w:val="variable"/>
    <w:sig w:usb0="A00000AF" w:usb1="40000048" w:usb2="00000000" w:usb3="00000000" w:csb0="00000111" w:csb1="00000000"/>
    <w:embedRegular r:id="rId11" w:fontKey="{3BE7D29A-4AD5-4D22-80B7-154F6C470A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A8ACDD3"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p w14:paraId="5A06C50F" w14:textId="77777777" w:rsidR="00A75493" w:rsidRDefault="00A754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5778E5A4"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540E9AD2"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21EEC" w14:textId="77777777" w:rsidR="00475456" w:rsidRDefault="00475456">
      <w:pPr>
        <w:spacing w:after="0" w:line="240" w:lineRule="auto"/>
      </w:pPr>
      <w:r>
        <w:separator/>
      </w:r>
    </w:p>
    <w:p w14:paraId="2DE92238" w14:textId="77777777" w:rsidR="00475456" w:rsidRDefault="00475456"/>
  </w:footnote>
  <w:footnote w:type="continuationSeparator" w:id="0">
    <w:p w14:paraId="216CF184" w14:textId="77777777" w:rsidR="00475456" w:rsidRDefault="00475456">
      <w:pPr>
        <w:spacing w:after="0" w:line="240" w:lineRule="auto"/>
      </w:pPr>
      <w:r>
        <w:continuationSeparator/>
      </w:r>
    </w:p>
    <w:p w14:paraId="6B7A140A" w14:textId="77777777" w:rsidR="00475456" w:rsidRDefault="00475456"/>
  </w:footnote>
  <w:footnote w:type="continuationNotice" w:id="1">
    <w:p w14:paraId="05927E5F" w14:textId="77777777" w:rsidR="00475456" w:rsidRDefault="00475456">
      <w:pPr>
        <w:spacing w:after="0" w:line="240" w:lineRule="auto"/>
      </w:pPr>
    </w:p>
    <w:p w14:paraId="6006C50C" w14:textId="77777777" w:rsidR="00475456" w:rsidRDefault="00475456"/>
  </w:footnote>
  <w:footnote w:id="2">
    <w:p w14:paraId="5966F166" w14:textId="0E1823F6" w:rsidR="00C708CC" w:rsidRPr="00C708CC" w:rsidRDefault="00C708CC" w:rsidP="0053691E">
      <w:pPr>
        <w:pStyle w:val="FootnoteText"/>
        <w:rPr>
          <w:lang w:val="en-US"/>
        </w:rPr>
      </w:pPr>
      <w:r>
        <w:rPr>
          <w:rStyle w:val="FootnoteReference"/>
        </w:rPr>
        <w:footnoteRef/>
      </w:r>
      <w:r>
        <w:t xml:space="preserve"> </w:t>
      </w:r>
      <w:r>
        <w:rPr>
          <w:lang w:val="en-US"/>
        </w:rPr>
        <w:t>DIGI 2021</w:t>
      </w:r>
      <w:r w:rsidR="0053691E">
        <w:rPr>
          <w:lang w:val="en-US"/>
        </w:rPr>
        <w:t xml:space="preserve">. </w:t>
      </w:r>
      <w:r w:rsidR="0053691E" w:rsidRPr="0053691E">
        <w:rPr>
          <w:i/>
          <w:iCs/>
          <w:lang w:val="en-US"/>
        </w:rPr>
        <w:t>Australian Code of Practice on Disinformation and Misinformation</w:t>
      </w:r>
      <w:r w:rsidR="0053691E">
        <w:rPr>
          <w:lang w:val="en-US"/>
        </w:rPr>
        <w:t xml:space="preserve">. Available at: </w:t>
      </w:r>
      <w:hyperlink r:id="rId1" w:history="1">
        <w:r w:rsidR="0053691E" w:rsidRPr="004C3DE4">
          <w:rPr>
            <w:rStyle w:val="Hyperlink"/>
            <w:lang w:val="en-US"/>
          </w:rPr>
          <w:t>https://digi.org.au/wp-content/uploads/2021/10/Australian-Code-of-Practice-on-Disinformation-and-Misinformation-FINAL-WORD-UPDATED-OCTOBER-11-2021.pdf</w:t>
        </w:r>
      </w:hyperlink>
      <w:r w:rsidR="0053691E">
        <w:rPr>
          <w:lang w:val="en-US"/>
        </w:rPr>
        <w:t xml:space="preserve"> </w:t>
      </w:r>
    </w:p>
  </w:footnote>
  <w:footnote w:id="3">
    <w:p w14:paraId="65AE6EFE" w14:textId="4ECF4972" w:rsidR="008E6E79" w:rsidRPr="008E6E79" w:rsidRDefault="008E6E79">
      <w:pPr>
        <w:pStyle w:val="FootnoteText"/>
        <w:rPr>
          <w:lang w:val="en-US"/>
        </w:rPr>
      </w:pPr>
      <w:r>
        <w:rPr>
          <w:rStyle w:val="FootnoteReference"/>
        </w:rPr>
        <w:footnoteRef/>
      </w:r>
      <w:r>
        <w:t xml:space="preserve"> </w:t>
      </w:r>
      <w:r w:rsidR="006C086D">
        <w:rPr>
          <w:lang w:val="en-US"/>
        </w:rPr>
        <w:t>DIGI 2022.</w:t>
      </w:r>
      <w:r w:rsidR="00812484">
        <w:rPr>
          <w:lang w:val="en-US"/>
        </w:rPr>
        <w:t xml:space="preserve"> </w:t>
      </w:r>
      <w:r w:rsidR="00812484" w:rsidRPr="007850B5">
        <w:rPr>
          <w:i/>
          <w:iCs/>
          <w:lang w:val="en-US" w:eastAsia="en-US"/>
        </w:rPr>
        <w:t xml:space="preserve">Australian Code of Practice on Misinformation and Disinformation </w:t>
      </w:r>
      <w:r w:rsidR="00812484">
        <w:rPr>
          <w:i/>
          <w:iCs/>
          <w:lang w:val="en-US" w:eastAsia="en-US"/>
        </w:rPr>
        <w:t xml:space="preserve">| </w:t>
      </w:r>
      <w:r w:rsidR="00812484" w:rsidRPr="007850B5">
        <w:rPr>
          <w:i/>
          <w:iCs/>
          <w:lang w:val="en-US" w:eastAsia="en-US"/>
        </w:rPr>
        <w:t>2022 Review Discussion Paper</w:t>
      </w:r>
      <w:r w:rsidR="00812484">
        <w:rPr>
          <w:i/>
          <w:iCs/>
          <w:lang w:val="en-US" w:eastAsia="en-US"/>
        </w:rPr>
        <w:t>.</w:t>
      </w:r>
      <w:r w:rsidR="006C086D">
        <w:rPr>
          <w:lang w:val="en-US"/>
        </w:rPr>
        <w:t xml:space="preserve"> Available at: </w:t>
      </w:r>
      <w:hyperlink r:id="rId2" w:history="1">
        <w:r w:rsidR="006C086D" w:rsidRPr="004C3DE4">
          <w:rPr>
            <w:rStyle w:val="Hyperlink"/>
            <w:lang w:val="en-US"/>
          </w:rPr>
          <w:t>https://digi.org.au/disinformation-code/code-review/</w:t>
        </w:r>
      </w:hyperlink>
      <w:r w:rsidR="006C086D">
        <w:rPr>
          <w:lang w:val="en-US"/>
        </w:rPr>
        <w:t xml:space="preserve"> </w:t>
      </w:r>
    </w:p>
  </w:footnote>
  <w:footnote w:id="4">
    <w:p w14:paraId="4E4D720E" w14:textId="30BBCD15" w:rsidR="00BF184F" w:rsidRPr="00BF184F" w:rsidRDefault="00BF184F">
      <w:pPr>
        <w:pStyle w:val="FootnoteText"/>
        <w:rPr>
          <w:lang w:val="en-US"/>
        </w:rPr>
      </w:pPr>
      <w:r>
        <w:rPr>
          <w:rStyle w:val="FootnoteReference"/>
        </w:rPr>
        <w:footnoteRef/>
      </w:r>
      <w:r>
        <w:t xml:space="preserve"> </w:t>
      </w:r>
      <w:r>
        <w:rPr>
          <w:lang w:val="en-US"/>
        </w:rPr>
        <w:t>ACMA 2021</w:t>
      </w:r>
      <w:r w:rsidR="0081381C">
        <w:rPr>
          <w:lang w:val="en-US"/>
        </w:rPr>
        <w:t xml:space="preserve">. </w:t>
      </w:r>
      <w:r w:rsidR="0081381C" w:rsidRPr="0081381C">
        <w:rPr>
          <w:i/>
          <w:iCs/>
          <w:lang w:val="en-US"/>
        </w:rPr>
        <w:t>Report to government on the adequacy of digital platforms’ disinformation and news quality measures.</w:t>
      </w:r>
      <w:r w:rsidR="0081381C">
        <w:rPr>
          <w:lang w:val="en-US"/>
        </w:rPr>
        <w:t xml:space="preserve"> Available at: </w:t>
      </w:r>
      <w:hyperlink r:id="rId3" w:history="1">
        <w:r w:rsidR="0081381C" w:rsidRPr="004C3DE4">
          <w:rPr>
            <w:rStyle w:val="Hyperlink"/>
            <w:lang w:val="en-US"/>
          </w:rPr>
          <w:t>https://www.acma.gov.au/report-government-adequacy-digital-platforms-disinformation-and-news-quality-measures</w:t>
        </w:r>
      </w:hyperlink>
      <w:r w:rsidR="0081381C">
        <w:rPr>
          <w:lang w:val="en-US"/>
        </w:rPr>
        <w:t xml:space="preserve"> </w:t>
      </w:r>
    </w:p>
  </w:footnote>
  <w:footnote w:id="5">
    <w:p w14:paraId="35041374" w14:textId="308105FC" w:rsidR="007F2148" w:rsidRPr="007F2148" w:rsidRDefault="007F2148">
      <w:pPr>
        <w:pStyle w:val="FootnoteText"/>
        <w:rPr>
          <w:lang w:val="en-US"/>
        </w:rPr>
      </w:pPr>
      <w:r>
        <w:rPr>
          <w:rStyle w:val="FootnoteReference"/>
        </w:rPr>
        <w:footnoteRef/>
      </w:r>
      <w:r>
        <w:t xml:space="preserve"> </w:t>
      </w:r>
      <w:r>
        <w:rPr>
          <w:lang w:val="en-US"/>
        </w:rPr>
        <w:t>European Commission 2022</w:t>
      </w:r>
      <w:r w:rsidR="00146773">
        <w:rPr>
          <w:lang w:val="en-US"/>
        </w:rPr>
        <w:t>.</w:t>
      </w:r>
      <w:r w:rsidR="00576B0C">
        <w:rPr>
          <w:lang w:val="en-US"/>
        </w:rPr>
        <w:t xml:space="preserve"> </w:t>
      </w:r>
      <w:r w:rsidR="00576B0C" w:rsidRPr="00576B0C">
        <w:rPr>
          <w:i/>
          <w:iCs/>
          <w:lang w:val="en-US"/>
        </w:rPr>
        <w:t>2022 Strengthened Code of Practice on Disinformation</w:t>
      </w:r>
      <w:r w:rsidR="00576B0C">
        <w:rPr>
          <w:lang w:val="en-US"/>
        </w:rPr>
        <w:t>. Available at:</w:t>
      </w:r>
      <w:r>
        <w:rPr>
          <w:lang w:val="en-US"/>
        </w:rPr>
        <w:t xml:space="preserve"> </w:t>
      </w:r>
      <w:hyperlink r:id="rId4" w:history="1">
        <w:r w:rsidRPr="004C3DE4">
          <w:rPr>
            <w:rStyle w:val="Hyperlink"/>
            <w:lang w:val="en-US"/>
          </w:rPr>
          <w:t>https://digital-strategy.ec.europa.eu/en/library/2022-strengthened-code-practice-disinformation</w:t>
        </w:r>
      </w:hyperlink>
      <w:r>
        <w:rPr>
          <w:lang w:val="en-US"/>
        </w:rPr>
        <w:t xml:space="preserve"> </w:t>
      </w:r>
    </w:p>
  </w:footnote>
  <w:footnote w:id="6">
    <w:p w14:paraId="25192ABE" w14:textId="1ECD40B7" w:rsidR="00B54A25" w:rsidRPr="00B54A25" w:rsidRDefault="00B54A25">
      <w:pPr>
        <w:pStyle w:val="FootnoteText"/>
        <w:rPr>
          <w:lang w:val="en-US"/>
        </w:rPr>
      </w:pPr>
      <w:r>
        <w:rPr>
          <w:rStyle w:val="FootnoteReference"/>
        </w:rPr>
        <w:footnoteRef/>
      </w:r>
      <w:r>
        <w:t xml:space="preserve"> </w:t>
      </w:r>
      <w:r>
        <w:rPr>
          <w:lang w:val="en-US"/>
        </w:rPr>
        <w:t>DIGI 2021</w:t>
      </w:r>
      <w:r w:rsidR="00131D8C">
        <w:rPr>
          <w:lang w:val="en-US"/>
        </w:rPr>
        <w:t>, p.6</w:t>
      </w:r>
      <w:r>
        <w:rPr>
          <w:lang w:val="en-US"/>
        </w:rPr>
        <w:t xml:space="preserve">. </w:t>
      </w:r>
      <w:r w:rsidRPr="0053691E">
        <w:rPr>
          <w:i/>
          <w:iCs/>
          <w:lang w:val="en-US"/>
        </w:rPr>
        <w:t>Australian Code of Practice on Disinformation and Misinformation</w:t>
      </w:r>
      <w:r>
        <w:rPr>
          <w:lang w:val="en-US"/>
        </w:rPr>
        <w:t xml:space="preserve">. Available at: </w:t>
      </w:r>
      <w:hyperlink r:id="rId5" w:history="1">
        <w:r w:rsidRPr="004C3DE4">
          <w:rPr>
            <w:rStyle w:val="Hyperlink"/>
            <w:lang w:val="en-US"/>
          </w:rPr>
          <w:t>https://digi.org.au/wp-content/uploads/2021/10/Australian-Code-of-Practice-on-Disinformation-and-Misinformation-FINAL-WORD-UPDATED-OCTOBER-11-2021.pdf</w:t>
        </w:r>
      </w:hyperlink>
    </w:p>
  </w:footnote>
  <w:footnote w:id="7">
    <w:p w14:paraId="15B7F3A3" w14:textId="232A6031" w:rsidR="00236A5A" w:rsidRPr="00236A5A" w:rsidRDefault="00236A5A">
      <w:pPr>
        <w:pStyle w:val="FootnoteText"/>
        <w:rPr>
          <w:lang w:val="en-US"/>
        </w:rPr>
      </w:pPr>
      <w:r>
        <w:rPr>
          <w:rStyle w:val="FootnoteReference"/>
        </w:rPr>
        <w:footnoteRef/>
      </w:r>
      <w:r>
        <w:t xml:space="preserve"> </w:t>
      </w:r>
      <w:r>
        <w:rPr>
          <w:lang w:val="en-US"/>
        </w:rPr>
        <w:t xml:space="preserve">DIGI 2021, p.5. </w:t>
      </w:r>
      <w:r w:rsidRPr="0053691E">
        <w:rPr>
          <w:i/>
          <w:iCs/>
          <w:lang w:val="en-US"/>
        </w:rPr>
        <w:t>Australian Code of Practice on Disinformation and Misinformation</w:t>
      </w:r>
      <w:r>
        <w:rPr>
          <w:lang w:val="en-US"/>
        </w:rPr>
        <w:t xml:space="preserve">. Available at: </w:t>
      </w:r>
      <w:hyperlink r:id="rId6" w:history="1">
        <w:r w:rsidRPr="004C3DE4">
          <w:rPr>
            <w:rStyle w:val="Hyperlink"/>
            <w:lang w:val="en-US"/>
          </w:rPr>
          <w:t>https://digi.org.au/wp-content/uploads/2021/10/Australian-Code-of-Practice-on-Disinformation-and-Misinformation-FINAL-WORD-UPDATED-OCTOBER-11-2021.pdf</w:t>
        </w:r>
      </w:hyperlink>
    </w:p>
  </w:footnote>
  <w:footnote w:id="8">
    <w:p w14:paraId="1E39F3CF" w14:textId="78EF1DAC" w:rsidR="000855B4" w:rsidRPr="000855B4" w:rsidRDefault="000855B4">
      <w:pPr>
        <w:pStyle w:val="FootnoteText"/>
        <w:rPr>
          <w:lang w:val="en-US"/>
        </w:rPr>
      </w:pPr>
      <w:r>
        <w:rPr>
          <w:rStyle w:val="FootnoteReference"/>
        </w:rPr>
        <w:footnoteRef/>
      </w:r>
      <w:r>
        <w:t xml:space="preserve"> </w:t>
      </w:r>
      <w:r>
        <w:rPr>
          <w:lang w:val="en-US"/>
        </w:rPr>
        <w:t>ACCAN 2022</w:t>
      </w:r>
      <w:r w:rsidR="005463B1">
        <w:rPr>
          <w:lang w:val="en-US"/>
        </w:rPr>
        <w:t>.</w:t>
      </w:r>
      <w:r w:rsidR="005463B1" w:rsidRPr="005463B1">
        <w:t xml:space="preserve"> </w:t>
      </w:r>
      <w:r w:rsidR="005463B1" w:rsidRPr="00CE1CA7">
        <w:rPr>
          <w:i/>
          <w:iCs/>
          <w:lang w:val="en-US"/>
        </w:rPr>
        <w:t>Disinformation and Misinformation on Digital Platforms</w:t>
      </w:r>
      <w:r w:rsidR="00CE1CA7">
        <w:rPr>
          <w:lang w:val="en-US"/>
        </w:rPr>
        <w:t>.</w:t>
      </w:r>
      <w:r w:rsidR="005463B1">
        <w:rPr>
          <w:lang w:val="en-US"/>
        </w:rPr>
        <w:t xml:space="preserve"> Available at: </w:t>
      </w:r>
      <w:hyperlink r:id="rId7" w:history="1">
        <w:r w:rsidR="005463B1" w:rsidRPr="002A54C9">
          <w:rPr>
            <w:rStyle w:val="Hyperlink"/>
            <w:lang w:val="en-US"/>
          </w:rPr>
          <w:t>https://accan.org.au/media-centre/hot-issues-blog/1960-disinformation-and-misinformation-on-digital-platforms</w:t>
        </w:r>
      </w:hyperlink>
      <w:r w:rsidR="005463B1">
        <w:rPr>
          <w:lang w:val="en-US"/>
        </w:rPr>
        <w:t xml:space="preserve"> </w:t>
      </w:r>
    </w:p>
  </w:footnote>
  <w:footnote w:id="9">
    <w:p w14:paraId="1BBC465B" w14:textId="77777777" w:rsidR="006A1333" w:rsidRPr="00382BFD" w:rsidRDefault="006A1333" w:rsidP="006A1333">
      <w:pPr>
        <w:pStyle w:val="FootnoteText"/>
        <w:rPr>
          <w:lang w:val="en-US"/>
        </w:rPr>
      </w:pPr>
      <w:r>
        <w:rPr>
          <w:rStyle w:val="FootnoteReference"/>
        </w:rPr>
        <w:footnoteRef/>
      </w:r>
      <w:r>
        <w:t xml:space="preserve"> </w:t>
      </w:r>
      <w:r>
        <w:rPr>
          <w:lang w:val="en-US"/>
        </w:rPr>
        <w:t xml:space="preserve">ACCC 2011, p.11. </w:t>
      </w:r>
      <w:r w:rsidRPr="00766C75">
        <w:rPr>
          <w:i/>
          <w:iCs/>
          <w:lang w:val="en-US"/>
        </w:rPr>
        <w:t>Guidelines for developing effective voluntary industry codes of conduct</w:t>
      </w:r>
      <w:r>
        <w:rPr>
          <w:lang w:val="en-US"/>
        </w:rPr>
        <w:t xml:space="preserve">. Available at: </w:t>
      </w:r>
      <w:hyperlink r:id="rId8" w:history="1">
        <w:r w:rsidRPr="00B85E09">
          <w:rPr>
            <w:rStyle w:val="Hyperlink"/>
            <w:lang w:val="en-US"/>
          </w:rPr>
          <w:t>https://www.accc.gov.au/system/files/Guidelines%20for%20developing%20effective%20voluntary%20industry%20codes%20of%20conduct.pdf</w:t>
        </w:r>
      </w:hyperlink>
      <w:r>
        <w:rPr>
          <w:lang w:val="en-US"/>
        </w:rPr>
        <w:t xml:space="preserve"> </w:t>
      </w:r>
    </w:p>
  </w:footnote>
  <w:footnote w:id="10">
    <w:p w14:paraId="550D68E4" w14:textId="77777777" w:rsidR="00612103" w:rsidRPr="000D5F4D" w:rsidRDefault="00612103" w:rsidP="00612103">
      <w:pPr>
        <w:pStyle w:val="FootnoteText"/>
        <w:rPr>
          <w:lang w:val="en-US"/>
        </w:rPr>
      </w:pPr>
      <w:r>
        <w:rPr>
          <w:rStyle w:val="FootnoteReference"/>
        </w:rPr>
        <w:footnoteRef/>
      </w:r>
      <w:r>
        <w:t xml:space="preserve"> </w:t>
      </w:r>
      <w:r>
        <w:rPr>
          <w:lang w:val="en-US"/>
        </w:rPr>
        <w:t xml:space="preserve">ACMA 2022, p.39. </w:t>
      </w:r>
      <w:r w:rsidRPr="00B15922">
        <w:rPr>
          <w:i/>
          <w:iCs/>
          <w:lang w:val="en-US"/>
        </w:rPr>
        <w:t>What audiences want – Audience expectations for content safeguards</w:t>
      </w:r>
      <w:r>
        <w:rPr>
          <w:lang w:val="en-US"/>
        </w:rPr>
        <w:t xml:space="preserve">. Available at: </w:t>
      </w:r>
      <w:hyperlink r:id="rId9" w:history="1">
        <w:r w:rsidRPr="00B85E09">
          <w:rPr>
            <w:rStyle w:val="Hyperlink"/>
            <w:lang w:val="en-US"/>
          </w:rPr>
          <w:t>https://www.acma.gov.au/publications/2022-06/report/what-audiences-want-audience-expectations-content-safeguards</w:t>
        </w:r>
      </w:hyperlink>
      <w:r>
        <w:rPr>
          <w:lang w:val="en-US"/>
        </w:rPr>
        <w:t xml:space="preserve"> </w:t>
      </w:r>
    </w:p>
  </w:footnote>
  <w:footnote w:id="11">
    <w:p w14:paraId="2B08312B" w14:textId="77777777" w:rsidR="002B3282" w:rsidRPr="000C3855" w:rsidRDefault="002B3282" w:rsidP="002B3282">
      <w:pPr>
        <w:pStyle w:val="FootnoteText"/>
        <w:rPr>
          <w:lang w:val="en-US"/>
        </w:rPr>
      </w:pPr>
      <w:r>
        <w:rPr>
          <w:rStyle w:val="FootnoteReference"/>
        </w:rPr>
        <w:footnoteRef/>
      </w:r>
      <w:r>
        <w:t xml:space="preserve"> </w:t>
      </w:r>
      <w:r>
        <w:rPr>
          <w:lang w:val="en-US"/>
        </w:rPr>
        <w:t xml:space="preserve">European Commission 2022, p.19. </w:t>
      </w:r>
      <w:r w:rsidRPr="00576B0C">
        <w:rPr>
          <w:i/>
          <w:iCs/>
          <w:lang w:val="en-US"/>
        </w:rPr>
        <w:t>2022 Strengthened Code of Practice on Disinformation</w:t>
      </w:r>
      <w:r>
        <w:rPr>
          <w:lang w:val="en-US"/>
        </w:rPr>
        <w:t xml:space="preserve">. Available at: </w:t>
      </w:r>
      <w:hyperlink r:id="rId10" w:history="1">
        <w:r w:rsidRPr="004C3DE4">
          <w:rPr>
            <w:rStyle w:val="Hyperlink"/>
            <w:lang w:val="en-US"/>
          </w:rPr>
          <w:t>https://digital-strategy.ec.europa.eu/en/library/2022-strengthened-code-practice-disinformation</w:t>
        </w:r>
      </w:hyperlink>
    </w:p>
  </w:footnote>
  <w:footnote w:id="12">
    <w:p w14:paraId="78E8F68D" w14:textId="7FADC6AE" w:rsidR="00306876" w:rsidRPr="00306876" w:rsidRDefault="00306876" w:rsidP="00130864">
      <w:pPr>
        <w:pStyle w:val="FootnoteText"/>
        <w:rPr>
          <w:lang w:val="en-US"/>
        </w:rPr>
      </w:pPr>
      <w:r>
        <w:rPr>
          <w:rStyle w:val="FootnoteReference"/>
        </w:rPr>
        <w:footnoteRef/>
      </w:r>
      <w:r>
        <w:t xml:space="preserve"> </w:t>
      </w:r>
      <w:r>
        <w:rPr>
          <w:lang w:val="en-US"/>
        </w:rPr>
        <w:t>DIGI 2022</w:t>
      </w:r>
      <w:r w:rsidR="00643F9B">
        <w:rPr>
          <w:lang w:val="en-US"/>
        </w:rPr>
        <w:t>, p.12-13.</w:t>
      </w:r>
      <w:r w:rsidR="00130864" w:rsidRPr="00130864">
        <w:t xml:space="preserve"> </w:t>
      </w:r>
      <w:r w:rsidR="00130864" w:rsidRPr="00130864">
        <w:rPr>
          <w:i/>
          <w:iCs/>
          <w:lang w:val="en-US"/>
        </w:rPr>
        <w:t>Australian Code of Practice on Disinformation and Misinformation |Annual Report</w:t>
      </w:r>
      <w:r w:rsidR="00130864">
        <w:rPr>
          <w:lang w:val="en-US"/>
        </w:rPr>
        <w:t>.</w:t>
      </w:r>
      <w:r w:rsidR="00643F9B">
        <w:rPr>
          <w:lang w:val="en-US"/>
        </w:rPr>
        <w:t xml:space="preserve"> </w:t>
      </w:r>
      <w:r w:rsidR="00312E2A">
        <w:rPr>
          <w:lang w:val="en-US"/>
        </w:rPr>
        <w:t xml:space="preserve">Available at: </w:t>
      </w:r>
      <w:hyperlink r:id="rId11" w:history="1">
        <w:r w:rsidR="00312E2A" w:rsidRPr="002A54C9">
          <w:rPr>
            <w:rStyle w:val="Hyperlink"/>
            <w:lang w:val="en-US"/>
          </w:rPr>
          <w:t>https://digi.org.au/wp-content/uploads/2022/05/ACPDM-_-Annual-Report-_-Published-June-6-2022-FINAL.pdf</w:t>
        </w:r>
      </w:hyperlink>
      <w:r w:rsidR="00312E2A">
        <w:rPr>
          <w:lang w:val="en-US"/>
        </w:rPr>
        <w:t xml:space="preserve"> </w:t>
      </w:r>
    </w:p>
  </w:footnote>
  <w:footnote w:id="13">
    <w:p w14:paraId="6FB49A77" w14:textId="52AE2DD4" w:rsidR="00367B91" w:rsidRPr="00C708CC" w:rsidRDefault="00367B91" w:rsidP="00367B91">
      <w:pPr>
        <w:pStyle w:val="FootnoteText"/>
        <w:rPr>
          <w:lang w:val="en-US"/>
        </w:rPr>
      </w:pPr>
      <w:r>
        <w:rPr>
          <w:rStyle w:val="FootnoteReference"/>
        </w:rPr>
        <w:footnoteRef/>
      </w:r>
      <w:r>
        <w:t xml:space="preserve"> </w:t>
      </w:r>
      <w:r>
        <w:rPr>
          <w:lang w:val="en-US"/>
        </w:rPr>
        <w:t>DIGI 2021</w:t>
      </w:r>
      <w:r w:rsidR="00D267F7">
        <w:rPr>
          <w:lang w:val="en-US"/>
        </w:rPr>
        <w:t>,</w:t>
      </w:r>
      <w:r>
        <w:rPr>
          <w:lang w:val="en-US"/>
        </w:rPr>
        <w:t xml:space="preserve"> </w:t>
      </w:r>
      <w:r w:rsidR="00D267F7">
        <w:rPr>
          <w:lang w:val="en-US"/>
        </w:rPr>
        <w:t>p.2</w:t>
      </w:r>
      <w:r>
        <w:rPr>
          <w:lang w:val="en-US"/>
        </w:rPr>
        <w:t xml:space="preserve">. </w:t>
      </w:r>
      <w:r w:rsidRPr="0053691E">
        <w:rPr>
          <w:i/>
          <w:iCs/>
          <w:lang w:val="en-US"/>
        </w:rPr>
        <w:t>Australian Code of Practice on Disinformation and Misinformation</w:t>
      </w:r>
      <w:r>
        <w:rPr>
          <w:lang w:val="en-US"/>
        </w:rPr>
        <w:t xml:space="preserve">. Available at: </w:t>
      </w:r>
      <w:hyperlink r:id="rId12" w:history="1">
        <w:r w:rsidRPr="004C3DE4">
          <w:rPr>
            <w:rStyle w:val="Hyperlink"/>
            <w:lang w:val="en-US"/>
          </w:rPr>
          <w:t>https://digi.org.au/wp-content/uploads/2021/10/Australian-Code-of-Practice-on-Disinformation-and-Misinformation-FINAL-WORD-UPDATED-OCTOBER-11-2021.pdf</w:t>
        </w:r>
      </w:hyperlink>
      <w:r>
        <w:rPr>
          <w:lang w:val="en-US"/>
        </w:rPr>
        <w:t xml:space="preserve"> </w:t>
      </w:r>
    </w:p>
    <w:p w14:paraId="5427BD49" w14:textId="7E96C794" w:rsidR="00367B91" w:rsidRPr="00367B91" w:rsidRDefault="00367B91">
      <w:pPr>
        <w:pStyle w:val="FootnoteText"/>
        <w:rPr>
          <w:lang w:val="en-US"/>
        </w:rPr>
      </w:pPr>
    </w:p>
  </w:footnote>
  <w:footnote w:id="14">
    <w:p w14:paraId="06B6B134" w14:textId="78018F42" w:rsidR="006B448B" w:rsidRPr="006B448B" w:rsidRDefault="006B448B">
      <w:pPr>
        <w:pStyle w:val="FootnoteText"/>
        <w:rPr>
          <w:lang w:val="en-US"/>
        </w:rPr>
      </w:pPr>
      <w:r>
        <w:rPr>
          <w:rStyle w:val="FootnoteReference"/>
        </w:rPr>
        <w:footnoteRef/>
      </w:r>
      <w:r>
        <w:t xml:space="preserve"> </w:t>
      </w:r>
      <w:r>
        <w:rPr>
          <w:lang w:val="en-US"/>
        </w:rPr>
        <w:t xml:space="preserve">ACMA 2021, </w:t>
      </w:r>
      <w:r w:rsidR="0038789C">
        <w:rPr>
          <w:lang w:val="en-US"/>
        </w:rPr>
        <w:t>p.29</w:t>
      </w:r>
      <w:r>
        <w:rPr>
          <w:lang w:val="en-US"/>
        </w:rPr>
        <w:t xml:space="preserve">. </w:t>
      </w:r>
      <w:r w:rsidRPr="0081381C">
        <w:rPr>
          <w:i/>
          <w:iCs/>
          <w:lang w:val="en-US"/>
        </w:rPr>
        <w:t>Report to government on the adequacy of digital platforms’ disinformation and news quality measures.</w:t>
      </w:r>
      <w:r>
        <w:rPr>
          <w:lang w:val="en-US"/>
        </w:rPr>
        <w:t xml:space="preserve"> Available at: </w:t>
      </w:r>
      <w:hyperlink r:id="rId13" w:history="1">
        <w:r w:rsidRPr="004C3DE4">
          <w:rPr>
            <w:rStyle w:val="Hyperlink"/>
            <w:lang w:val="en-US"/>
          </w:rPr>
          <w:t>https://www.acma.gov.au/report-government-adequacy-digital-platforms-disinformation-and-news-quality-measures</w:t>
        </w:r>
      </w:hyperlink>
    </w:p>
  </w:footnote>
  <w:footnote w:id="15">
    <w:p w14:paraId="7B59273C" w14:textId="3DCF8CB5" w:rsidR="0038789C" w:rsidRPr="0038789C" w:rsidRDefault="0038789C">
      <w:pPr>
        <w:pStyle w:val="FootnoteText"/>
        <w:rPr>
          <w:lang w:val="en-US"/>
        </w:rPr>
      </w:pPr>
      <w:r>
        <w:rPr>
          <w:rStyle w:val="FootnoteReference"/>
        </w:rPr>
        <w:footnoteRef/>
      </w:r>
      <w:r>
        <w:t xml:space="preserve"> </w:t>
      </w:r>
      <w:r>
        <w:rPr>
          <w:lang w:val="en-US"/>
        </w:rPr>
        <w:t xml:space="preserve">ACMA 2021, p.24. </w:t>
      </w:r>
      <w:r w:rsidRPr="0081381C">
        <w:rPr>
          <w:i/>
          <w:iCs/>
          <w:lang w:val="en-US"/>
        </w:rPr>
        <w:t>Report to government on the adequacy of digital platforms’ disinformation and news quality measures.</w:t>
      </w:r>
      <w:r>
        <w:rPr>
          <w:lang w:val="en-US"/>
        </w:rPr>
        <w:t xml:space="preserve"> Available at: </w:t>
      </w:r>
      <w:hyperlink r:id="rId14" w:history="1">
        <w:r w:rsidRPr="004C3DE4">
          <w:rPr>
            <w:rStyle w:val="Hyperlink"/>
            <w:lang w:val="en-US"/>
          </w:rPr>
          <w:t>https://www.acma.gov.au/report-government-adequacy-digital-platforms-disinformation-and-news-quality-measures</w:t>
        </w:r>
      </w:hyperlink>
    </w:p>
  </w:footnote>
  <w:footnote w:id="16">
    <w:p w14:paraId="1CF4D22D" w14:textId="1B9912B5" w:rsidR="009353CA" w:rsidRPr="009353CA" w:rsidRDefault="009353CA">
      <w:pPr>
        <w:pStyle w:val="FootnoteText"/>
        <w:rPr>
          <w:lang w:val="en-US"/>
        </w:rPr>
      </w:pPr>
      <w:r>
        <w:rPr>
          <w:rStyle w:val="FootnoteReference"/>
        </w:rPr>
        <w:footnoteRef/>
      </w:r>
      <w:r>
        <w:t xml:space="preserve"> </w:t>
      </w:r>
      <w:r>
        <w:rPr>
          <w:lang w:val="en-US"/>
        </w:rPr>
        <w:t xml:space="preserve">ACMA 2021, p.87. </w:t>
      </w:r>
      <w:r w:rsidRPr="0081381C">
        <w:rPr>
          <w:i/>
          <w:iCs/>
          <w:lang w:val="en-US"/>
        </w:rPr>
        <w:t>Report to government on the adequacy of digital platforms’ disinformation and news quality measures.</w:t>
      </w:r>
      <w:r>
        <w:rPr>
          <w:lang w:val="en-US"/>
        </w:rPr>
        <w:t xml:space="preserve"> Available at: </w:t>
      </w:r>
      <w:hyperlink r:id="rId15" w:history="1">
        <w:r w:rsidRPr="004C3DE4">
          <w:rPr>
            <w:rStyle w:val="Hyperlink"/>
            <w:lang w:val="en-US"/>
          </w:rPr>
          <w:t>https://www.acma.gov.au/report-government-adequacy-digital-platforms-disinformation-and-news-quality-measures</w:t>
        </w:r>
      </w:hyperlink>
    </w:p>
  </w:footnote>
  <w:footnote w:id="17">
    <w:p w14:paraId="522AAE8A" w14:textId="67FB40A1" w:rsidR="001820BE" w:rsidRPr="001820BE" w:rsidRDefault="001820BE">
      <w:pPr>
        <w:pStyle w:val="FootnoteText"/>
        <w:rPr>
          <w:lang w:val="en-US"/>
        </w:rPr>
      </w:pPr>
      <w:r>
        <w:rPr>
          <w:rStyle w:val="FootnoteReference"/>
        </w:rPr>
        <w:footnoteRef/>
      </w:r>
      <w:r>
        <w:t xml:space="preserve"> </w:t>
      </w:r>
      <w:r w:rsidR="00C5198E">
        <w:rPr>
          <w:lang w:val="en-US"/>
        </w:rPr>
        <w:t xml:space="preserve">ACMA 2021, p.59. </w:t>
      </w:r>
      <w:r w:rsidR="00C5198E" w:rsidRPr="0081381C">
        <w:rPr>
          <w:i/>
          <w:iCs/>
          <w:lang w:val="en-US"/>
        </w:rPr>
        <w:t>Report to government on the adequacy of digital platforms’ disinformation and news quality measures.</w:t>
      </w:r>
      <w:r w:rsidR="00C5198E">
        <w:rPr>
          <w:lang w:val="en-US"/>
        </w:rPr>
        <w:t xml:space="preserve"> Available at: </w:t>
      </w:r>
      <w:hyperlink r:id="rId16" w:history="1">
        <w:r w:rsidR="00C5198E" w:rsidRPr="004C3DE4">
          <w:rPr>
            <w:rStyle w:val="Hyperlink"/>
            <w:lang w:val="en-US"/>
          </w:rPr>
          <w:t>https://www.acma.gov.au/report-government-adequacy-digital-platforms-disinformation-and-news-quality-measures</w:t>
        </w:r>
      </w:hyperlink>
    </w:p>
  </w:footnote>
  <w:footnote w:id="18">
    <w:p w14:paraId="01753145" w14:textId="5AC2D858" w:rsidR="009612CC" w:rsidRPr="009612CC" w:rsidRDefault="009612CC" w:rsidP="00C07486">
      <w:pPr>
        <w:pStyle w:val="FootnoteText"/>
        <w:rPr>
          <w:lang w:val="en-US"/>
        </w:rPr>
      </w:pPr>
      <w:r>
        <w:rPr>
          <w:rStyle w:val="FootnoteReference"/>
        </w:rPr>
        <w:footnoteRef/>
      </w:r>
      <w:r>
        <w:t xml:space="preserve"> </w:t>
      </w:r>
      <w:r>
        <w:rPr>
          <w:lang w:val="en-US"/>
        </w:rPr>
        <w:t>DIGI</w:t>
      </w:r>
      <w:r w:rsidR="007C3544">
        <w:rPr>
          <w:lang w:val="en-US"/>
        </w:rPr>
        <w:t xml:space="preserve"> 2022.</w:t>
      </w:r>
      <w:r w:rsidR="00F43A81">
        <w:rPr>
          <w:lang w:val="en-US"/>
        </w:rPr>
        <w:t xml:space="preserve"> </w:t>
      </w:r>
      <w:r w:rsidR="00C07486" w:rsidRPr="00C07486">
        <w:rPr>
          <w:lang w:val="en-US"/>
        </w:rPr>
        <w:t>Australian Code of Practice on</w:t>
      </w:r>
      <w:r w:rsidR="00C07486">
        <w:rPr>
          <w:lang w:val="en-US"/>
        </w:rPr>
        <w:t xml:space="preserve"> </w:t>
      </w:r>
      <w:r w:rsidR="00C07486" w:rsidRPr="00C07486">
        <w:rPr>
          <w:lang w:val="en-US"/>
        </w:rPr>
        <w:t>Disinformation and Misinformation |Annual Report</w:t>
      </w:r>
      <w:r w:rsidR="00C07486">
        <w:rPr>
          <w:lang w:val="en-US"/>
        </w:rPr>
        <w:t>.</w:t>
      </w:r>
      <w:r w:rsidR="007C3544">
        <w:rPr>
          <w:lang w:val="en-US"/>
        </w:rPr>
        <w:t xml:space="preserve"> Available at: </w:t>
      </w:r>
      <w:hyperlink r:id="rId17" w:history="1">
        <w:r w:rsidR="007C3544" w:rsidRPr="002A54C9">
          <w:rPr>
            <w:rStyle w:val="Hyperlink"/>
            <w:lang w:val="en-US"/>
          </w:rPr>
          <w:t>https://digi.org.au/wp-content/uploads/2022/05/ACPDM-_-Annual-Report-_-Published-June-6-2022-FINAL.pdf</w:t>
        </w:r>
      </w:hyperlink>
      <w:r w:rsidR="007C3544">
        <w:rPr>
          <w:lang w:val="en-US"/>
        </w:rPr>
        <w:t xml:space="preserve"> </w:t>
      </w:r>
    </w:p>
  </w:footnote>
  <w:footnote w:id="19">
    <w:p w14:paraId="73DC33A7" w14:textId="533D31B7" w:rsidR="00D8617C" w:rsidRPr="00D8617C" w:rsidRDefault="00D8617C">
      <w:pPr>
        <w:pStyle w:val="FootnoteText"/>
        <w:rPr>
          <w:lang w:val="en-US"/>
        </w:rPr>
      </w:pPr>
      <w:r>
        <w:rPr>
          <w:rStyle w:val="FootnoteReference"/>
        </w:rPr>
        <w:footnoteRef/>
      </w:r>
      <w:r>
        <w:t xml:space="preserve"> </w:t>
      </w:r>
      <w:r w:rsidR="00AC75A5">
        <w:rPr>
          <w:lang w:val="en-US"/>
        </w:rPr>
        <w:t xml:space="preserve">European Commission 2022, p.21. </w:t>
      </w:r>
      <w:r w:rsidR="00AC75A5" w:rsidRPr="00576B0C">
        <w:rPr>
          <w:i/>
          <w:iCs/>
          <w:lang w:val="en-US"/>
        </w:rPr>
        <w:t>2022 Strengthened Code of Practice on Disinformation</w:t>
      </w:r>
      <w:r w:rsidR="00AC75A5">
        <w:rPr>
          <w:lang w:val="en-US"/>
        </w:rPr>
        <w:t xml:space="preserve">. Available at: </w:t>
      </w:r>
      <w:hyperlink r:id="rId18" w:history="1">
        <w:r w:rsidR="00AC75A5" w:rsidRPr="004C3DE4">
          <w:rPr>
            <w:rStyle w:val="Hyperlink"/>
            <w:lang w:val="en-US"/>
          </w:rPr>
          <w:t>https://digital-strategy.ec.europa.eu/en/library/2022-strengthened-code-practice-disinformation</w:t>
        </w:r>
      </w:hyperlink>
      <w:r w:rsidR="00AC75A5">
        <w:rPr>
          <w:lang w:val="en-US"/>
        </w:rPr>
        <w:t xml:space="preserve"> </w:t>
      </w:r>
    </w:p>
  </w:footnote>
  <w:footnote w:id="20">
    <w:p w14:paraId="11B3F6BF" w14:textId="142E1A20" w:rsidR="0081424F" w:rsidRPr="0081424F" w:rsidRDefault="0081424F">
      <w:pPr>
        <w:pStyle w:val="FootnoteText"/>
        <w:rPr>
          <w:lang w:val="en-US"/>
        </w:rPr>
      </w:pPr>
      <w:r>
        <w:rPr>
          <w:rStyle w:val="FootnoteReference"/>
        </w:rPr>
        <w:footnoteRef/>
      </w:r>
      <w:r>
        <w:t xml:space="preserve"> </w:t>
      </w:r>
      <w:r w:rsidR="00AC75A5">
        <w:rPr>
          <w:lang w:val="en-US"/>
        </w:rPr>
        <w:t xml:space="preserve">European Commission 2022, p.21. </w:t>
      </w:r>
      <w:r w:rsidR="00AC75A5" w:rsidRPr="00576B0C">
        <w:rPr>
          <w:i/>
          <w:iCs/>
          <w:lang w:val="en-US"/>
        </w:rPr>
        <w:t>2022 Strengthened Code of Practice on Disinformation</w:t>
      </w:r>
      <w:r w:rsidR="00AC75A5">
        <w:rPr>
          <w:lang w:val="en-US"/>
        </w:rPr>
        <w:t xml:space="preserve">. Available at: </w:t>
      </w:r>
      <w:hyperlink r:id="rId19" w:history="1">
        <w:r w:rsidR="00AC75A5" w:rsidRPr="004C3DE4">
          <w:rPr>
            <w:rStyle w:val="Hyperlink"/>
            <w:lang w:val="en-US"/>
          </w:rPr>
          <w:t>https://digital-strategy.ec.europa.eu/en/library/2022-strengthened-code-practice-disinformation</w:t>
        </w:r>
      </w:hyperlink>
    </w:p>
  </w:footnote>
  <w:footnote w:id="21">
    <w:p w14:paraId="54D5E0CC" w14:textId="1E519F3B" w:rsidR="00A23507" w:rsidRPr="00A23507" w:rsidRDefault="00A23507">
      <w:pPr>
        <w:pStyle w:val="FootnoteText"/>
        <w:rPr>
          <w:lang w:val="en-US"/>
        </w:rPr>
      </w:pPr>
      <w:r>
        <w:rPr>
          <w:rStyle w:val="FootnoteReference"/>
        </w:rPr>
        <w:footnoteRef/>
      </w:r>
      <w:r>
        <w:t xml:space="preserve"> </w:t>
      </w:r>
      <w:r>
        <w:rPr>
          <w:lang w:val="en-US"/>
        </w:rPr>
        <w:t xml:space="preserve">ACMA 2021, p.85. </w:t>
      </w:r>
      <w:r w:rsidRPr="0081381C">
        <w:rPr>
          <w:i/>
          <w:iCs/>
          <w:lang w:val="en-US"/>
        </w:rPr>
        <w:t>Report to government on the adequacy of digital platforms’ disinformation and news quality measures.</w:t>
      </w:r>
      <w:r>
        <w:rPr>
          <w:lang w:val="en-US"/>
        </w:rPr>
        <w:t xml:space="preserve"> Available at: </w:t>
      </w:r>
      <w:hyperlink r:id="rId20" w:history="1">
        <w:r w:rsidRPr="004C3DE4">
          <w:rPr>
            <w:rStyle w:val="Hyperlink"/>
            <w:lang w:val="en-US"/>
          </w:rPr>
          <w:t>https://www.acma.gov.au/report-government-adequacy-digital-platforms-disinformation-and-news-quality-measures</w:t>
        </w:r>
      </w:hyperlink>
    </w:p>
  </w:footnote>
  <w:footnote w:id="22">
    <w:p w14:paraId="13AA8D7C" w14:textId="784E2009" w:rsidR="00BF1ADD" w:rsidRPr="00BF1ADD" w:rsidRDefault="00BF1ADD">
      <w:pPr>
        <w:pStyle w:val="FootnoteText"/>
        <w:rPr>
          <w:lang w:val="en-US"/>
        </w:rPr>
      </w:pPr>
      <w:r>
        <w:rPr>
          <w:rStyle w:val="FootnoteReference"/>
        </w:rPr>
        <w:footnoteRef/>
      </w:r>
      <w:r>
        <w:t xml:space="preserve"> </w:t>
      </w:r>
      <w:r w:rsidR="005251FE">
        <w:rPr>
          <w:lang w:val="en-US"/>
        </w:rPr>
        <w:t xml:space="preserve">DIGI 2022. </w:t>
      </w:r>
      <w:r w:rsidR="005251FE" w:rsidRPr="005251FE">
        <w:rPr>
          <w:i/>
          <w:iCs/>
          <w:lang w:val="en-US"/>
        </w:rPr>
        <w:t>DIGI welcomes release of ACMA report on Mis/Disinformation Code and supports its five key recommendations</w:t>
      </w:r>
      <w:r w:rsidR="005251FE">
        <w:rPr>
          <w:lang w:val="en-US"/>
        </w:rPr>
        <w:t xml:space="preserve">. Available at: </w:t>
      </w:r>
      <w:hyperlink r:id="rId21" w:history="1">
        <w:r w:rsidR="005251FE" w:rsidRPr="004C3DE4">
          <w:rPr>
            <w:rStyle w:val="Hyperlink"/>
            <w:lang w:val="en-US"/>
          </w:rPr>
          <w:t>https://digi.org.au/digi-welcomes-release-of-acma-report-on-misdisinformation-code-and-supports-its-five-key-recommendations/</w:t>
        </w:r>
      </w:hyperlink>
      <w:r w:rsidR="005251FE">
        <w:rPr>
          <w:lang w:val="en-US"/>
        </w:rPr>
        <w:t xml:space="preserve"> </w:t>
      </w:r>
    </w:p>
  </w:footnote>
  <w:footnote w:id="23">
    <w:p w14:paraId="23A1EDF7" w14:textId="17C2642A" w:rsidR="00AE33AA" w:rsidRPr="00AE33AA" w:rsidRDefault="00AE33AA">
      <w:pPr>
        <w:pStyle w:val="FootnoteText"/>
        <w:rPr>
          <w:lang w:val="en-US"/>
        </w:rPr>
      </w:pPr>
      <w:r>
        <w:rPr>
          <w:rStyle w:val="FootnoteReference"/>
        </w:rPr>
        <w:footnoteRef/>
      </w:r>
      <w:r>
        <w:t xml:space="preserve"> </w:t>
      </w:r>
      <w:r>
        <w:rPr>
          <w:lang w:val="en-US"/>
        </w:rPr>
        <w:t xml:space="preserve">ACMA 2021, p.86. </w:t>
      </w:r>
      <w:r w:rsidRPr="0081381C">
        <w:rPr>
          <w:i/>
          <w:iCs/>
          <w:lang w:val="en-US"/>
        </w:rPr>
        <w:t>Report to government on the adequacy of digital platforms’ disinformation and news quality measures.</w:t>
      </w:r>
      <w:r>
        <w:rPr>
          <w:lang w:val="en-US"/>
        </w:rPr>
        <w:t xml:space="preserve"> Available at: </w:t>
      </w:r>
      <w:hyperlink r:id="rId22" w:history="1">
        <w:r w:rsidRPr="004C3DE4">
          <w:rPr>
            <w:rStyle w:val="Hyperlink"/>
            <w:lang w:val="en-US"/>
          </w:rPr>
          <w:t>https://www.acma.gov.au/report-government-adequacy-digital-platforms-disinformation-and-news-quality-measures</w:t>
        </w:r>
      </w:hyperlink>
    </w:p>
  </w:footnote>
  <w:footnote w:id="24">
    <w:p w14:paraId="0B519E47" w14:textId="095D242F" w:rsidR="003E1F1E" w:rsidRPr="003E1F1E" w:rsidRDefault="003E1F1E">
      <w:pPr>
        <w:pStyle w:val="FootnoteText"/>
        <w:rPr>
          <w:lang w:val="en-US"/>
        </w:rPr>
      </w:pPr>
      <w:r>
        <w:rPr>
          <w:rStyle w:val="FootnoteReference"/>
        </w:rPr>
        <w:footnoteRef/>
      </w:r>
      <w:r>
        <w:t xml:space="preserve"> </w:t>
      </w:r>
      <w:r>
        <w:rPr>
          <w:lang w:val="en-US"/>
        </w:rPr>
        <w:t xml:space="preserve">ACMA 2021, p.45. </w:t>
      </w:r>
      <w:r w:rsidRPr="0081381C">
        <w:rPr>
          <w:i/>
          <w:iCs/>
          <w:lang w:val="en-US"/>
        </w:rPr>
        <w:t>Report to government on the adequacy of digital platforms’ disinformation and news quality measures.</w:t>
      </w:r>
      <w:r>
        <w:rPr>
          <w:lang w:val="en-US"/>
        </w:rPr>
        <w:t xml:space="preserve"> Available at: </w:t>
      </w:r>
      <w:hyperlink r:id="rId23" w:history="1">
        <w:r w:rsidRPr="004C3DE4">
          <w:rPr>
            <w:rStyle w:val="Hyperlink"/>
            <w:lang w:val="en-US"/>
          </w:rPr>
          <w:t>https://www.acma.gov.au/report-government-adequacy-digital-platforms-disinformation-and-news-quality-measures</w:t>
        </w:r>
      </w:hyperlink>
    </w:p>
  </w:footnote>
  <w:footnote w:id="25">
    <w:p w14:paraId="4FD80CB1" w14:textId="1D05A1E9" w:rsidR="008B0C50" w:rsidRPr="008B0C50" w:rsidRDefault="008B0C50">
      <w:pPr>
        <w:pStyle w:val="FootnoteText"/>
        <w:rPr>
          <w:lang w:val="en-US"/>
        </w:rPr>
      </w:pPr>
      <w:r>
        <w:rPr>
          <w:rStyle w:val="FootnoteReference"/>
        </w:rPr>
        <w:footnoteRef/>
      </w:r>
      <w:r>
        <w:t xml:space="preserve"> </w:t>
      </w:r>
      <w:r w:rsidRPr="00655267">
        <w:rPr>
          <w:i/>
          <w:iCs/>
          <w:lang w:val="en-US"/>
        </w:rPr>
        <w:t>ACCAN 20</w:t>
      </w:r>
      <w:r w:rsidR="00762105" w:rsidRPr="00655267">
        <w:rPr>
          <w:i/>
          <w:iCs/>
          <w:lang w:val="en-US"/>
        </w:rPr>
        <w:t>20.</w:t>
      </w:r>
      <w:r w:rsidR="00546E23" w:rsidRPr="00655267">
        <w:rPr>
          <w:i/>
          <w:iCs/>
          <w:lang w:val="en-US"/>
        </w:rPr>
        <w:t xml:space="preserve"> </w:t>
      </w:r>
      <w:r w:rsidR="00655267" w:rsidRPr="00655267">
        <w:rPr>
          <w:i/>
          <w:iCs/>
          <w:lang w:val="en-US"/>
        </w:rPr>
        <w:t>DIGI Draft Disinformation Code</w:t>
      </w:r>
      <w:r w:rsidR="00655267">
        <w:rPr>
          <w:lang w:val="en-US"/>
        </w:rPr>
        <w:t>.</w:t>
      </w:r>
      <w:r w:rsidR="00917183">
        <w:rPr>
          <w:lang w:val="en-US"/>
        </w:rPr>
        <w:t xml:space="preserve"> Available at:</w:t>
      </w:r>
      <w:r w:rsidR="00762105">
        <w:rPr>
          <w:lang w:val="en-US"/>
        </w:rPr>
        <w:t xml:space="preserve"> </w:t>
      </w:r>
      <w:hyperlink r:id="rId24" w:history="1">
        <w:r w:rsidR="006A68E1" w:rsidRPr="004C3DE4">
          <w:rPr>
            <w:rStyle w:val="Hyperlink"/>
            <w:lang w:val="en-US"/>
          </w:rPr>
          <w:t>https://accan.org.au/accans-work/submissions/1822-draft-disinformation-code</w:t>
        </w:r>
      </w:hyperlink>
    </w:p>
  </w:footnote>
  <w:footnote w:id="26">
    <w:p w14:paraId="42A9CE34" w14:textId="70561979" w:rsidR="008C0BC7" w:rsidRPr="008C0BC7" w:rsidRDefault="008C0BC7">
      <w:pPr>
        <w:pStyle w:val="FootnoteText"/>
        <w:rPr>
          <w:lang w:val="en-US"/>
        </w:rPr>
      </w:pPr>
      <w:r>
        <w:rPr>
          <w:rStyle w:val="FootnoteReference"/>
        </w:rPr>
        <w:footnoteRef/>
      </w:r>
      <w:r>
        <w:t xml:space="preserve"> </w:t>
      </w:r>
      <w:r w:rsidR="00036E43">
        <w:rPr>
          <w:lang w:val="en-US"/>
        </w:rPr>
        <w:t xml:space="preserve">ACMA 2021, p.85. </w:t>
      </w:r>
      <w:r w:rsidR="00036E43" w:rsidRPr="0081381C">
        <w:rPr>
          <w:i/>
          <w:iCs/>
          <w:lang w:val="en-US"/>
        </w:rPr>
        <w:t>Report to government on the adequacy of digital platforms’ disinformation and news quality measures.</w:t>
      </w:r>
      <w:r w:rsidR="00036E43">
        <w:rPr>
          <w:lang w:val="en-US"/>
        </w:rPr>
        <w:t xml:space="preserve"> Available at: </w:t>
      </w:r>
      <w:hyperlink r:id="rId25" w:history="1">
        <w:r w:rsidR="00036E43" w:rsidRPr="004C3DE4">
          <w:rPr>
            <w:rStyle w:val="Hyperlink"/>
            <w:lang w:val="en-US"/>
          </w:rPr>
          <w:t>https://www.acma.gov.au/report-government-adequacy-digital-platforms-disinformation-and-news-quality-measures</w:t>
        </w:r>
      </w:hyperlink>
    </w:p>
  </w:footnote>
  <w:footnote w:id="27">
    <w:p w14:paraId="50F55686" w14:textId="634130B8" w:rsidR="0093028E" w:rsidRPr="0093028E" w:rsidRDefault="0093028E">
      <w:pPr>
        <w:pStyle w:val="FootnoteText"/>
        <w:rPr>
          <w:lang w:val="en-US"/>
        </w:rPr>
      </w:pPr>
      <w:r>
        <w:rPr>
          <w:rStyle w:val="FootnoteReference"/>
        </w:rPr>
        <w:footnoteRef/>
      </w:r>
      <w:r>
        <w:t xml:space="preserve"> </w:t>
      </w:r>
      <w:r>
        <w:rPr>
          <w:lang w:val="en-US"/>
        </w:rPr>
        <w:t xml:space="preserve">ACMA 2021, p.46. </w:t>
      </w:r>
      <w:r w:rsidRPr="0081381C">
        <w:rPr>
          <w:i/>
          <w:iCs/>
          <w:lang w:val="en-US"/>
        </w:rPr>
        <w:t>Report to government on the adequacy of digital platforms’ disinformation and news quality measures.</w:t>
      </w:r>
      <w:r>
        <w:rPr>
          <w:lang w:val="en-US"/>
        </w:rPr>
        <w:t xml:space="preserve"> Available at: </w:t>
      </w:r>
      <w:hyperlink r:id="rId26" w:history="1">
        <w:r w:rsidRPr="004C3DE4">
          <w:rPr>
            <w:rStyle w:val="Hyperlink"/>
            <w:lang w:val="en-US"/>
          </w:rPr>
          <w:t>https://www.acma.gov.au/report-government-adequacy-digital-platforms-disinformation-and-news-quality-measures</w:t>
        </w:r>
      </w:hyperlink>
    </w:p>
  </w:footnote>
  <w:footnote w:id="28">
    <w:p w14:paraId="6A38E8A3" w14:textId="2E64C9EA" w:rsidR="0093028E" w:rsidRPr="0093028E" w:rsidRDefault="0093028E">
      <w:pPr>
        <w:pStyle w:val="FootnoteText"/>
        <w:rPr>
          <w:lang w:val="en-US"/>
        </w:rPr>
      </w:pPr>
      <w:r>
        <w:rPr>
          <w:rStyle w:val="FootnoteReference"/>
        </w:rPr>
        <w:footnoteRef/>
      </w:r>
      <w:r>
        <w:t xml:space="preserve"> </w:t>
      </w:r>
      <w:r>
        <w:rPr>
          <w:lang w:val="en-US"/>
        </w:rPr>
        <w:t xml:space="preserve">ACMA 2021, p.87. </w:t>
      </w:r>
      <w:r w:rsidRPr="0081381C">
        <w:rPr>
          <w:i/>
          <w:iCs/>
          <w:lang w:val="en-US"/>
        </w:rPr>
        <w:t>Report to government on the adequacy of digital platforms’ disinformation and news quality measures.</w:t>
      </w:r>
      <w:r>
        <w:rPr>
          <w:lang w:val="en-US"/>
        </w:rPr>
        <w:t xml:space="preserve"> Available at: </w:t>
      </w:r>
      <w:hyperlink r:id="rId27" w:history="1">
        <w:r w:rsidRPr="004C3DE4">
          <w:rPr>
            <w:rStyle w:val="Hyperlink"/>
            <w:lang w:val="en-US"/>
          </w:rPr>
          <w:t>https://www.acma.gov.au/report-government-adequacy-digital-platforms-disinformation-and-news-quality-measures</w:t>
        </w:r>
      </w:hyperlink>
    </w:p>
  </w:footnote>
  <w:footnote w:id="29">
    <w:p w14:paraId="268C8082" w14:textId="51D1705A" w:rsidR="003F3E3C" w:rsidRPr="003F3E3C" w:rsidRDefault="000F0308" w:rsidP="003F3E3C">
      <w:pPr>
        <w:pStyle w:val="FootnoteText"/>
        <w:rPr>
          <w:i/>
          <w:iCs/>
        </w:rPr>
      </w:pPr>
      <w:r>
        <w:rPr>
          <w:rStyle w:val="FootnoteReference"/>
        </w:rPr>
        <w:footnoteRef/>
      </w:r>
      <w:r>
        <w:t xml:space="preserve"> Europea</w:t>
      </w:r>
      <w:r w:rsidR="003F3E3C">
        <w:t>n Commission 2021,</w:t>
      </w:r>
      <w:r w:rsidR="00723007">
        <w:t xml:space="preserve"> p.16.</w:t>
      </w:r>
      <w:r w:rsidR="003F3E3C">
        <w:t xml:space="preserve"> </w:t>
      </w:r>
      <w:r w:rsidR="003F3E3C" w:rsidRPr="003F3E3C">
        <w:rPr>
          <w:i/>
          <w:iCs/>
        </w:rPr>
        <w:t>European Commission Guidance on Strengthening the Code of Practice on</w:t>
      </w:r>
    </w:p>
    <w:p w14:paraId="772AD42A" w14:textId="1DBACF41" w:rsidR="000F0308" w:rsidRDefault="003F3E3C" w:rsidP="003F3E3C">
      <w:pPr>
        <w:pStyle w:val="FootnoteText"/>
      </w:pPr>
      <w:r w:rsidRPr="003F3E3C">
        <w:rPr>
          <w:i/>
          <w:iCs/>
        </w:rPr>
        <w:t>Disinformation</w:t>
      </w:r>
      <w:r w:rsidR="00723007">
        <w:t>.</w:t>
      </w:r>
      <w:r>
        <w:t xml:space="preserve"> Available at:</w:t>
      </w:r>
      <w:r w:rsidR="000F0308">
        <w:t xml:space="preserve"> </w:t>
      </w:r>
      <w:hyperlink r:id="rId28" w:history="1">
        <w:r w:rsidR="000F0308" w:rsidRPr="00B53F8F">
          <w:rPr>
            <w:rStyle w:val="Hyperlink"/>
          </w:rPr>
          <w:t>https://digital-strategy.ec.europa.eu/en/library/guidance-strengthening-code-practice-disinformation</w:t>
        </w:r>
      </w:hyperlink>
      <w:r w:rsidR="000F0308">
        <w:t xml:space="preserve"> </w:t>
      </w:r>
    </w:p>
  </w:footnote>
  <w:footnote w:id="30">
    <w:p w14:paraId="3C6F3E68" w14:textId="55A84E24" w:rsidR="00CA6750" w:rsidRPr="00CA6750" w:rsidRDefault="00CA6750">
      <w:pPr>
        <w:pStyle w:val="FootnoteText"/>
        <w:rPr>
          <w:lang w:val="en-US"/>
        </w:rPr>
      </w:pPr>
      <w:r>
        <w:rPr>
          <w:rStyle w:val="FootnoteReference"/>
        </w:rPr>
        <w:footnoteRef/>
      </w:r>
      <w:r>
        <w:t xml:space="preserve"> </w:t>
      </w:r>
      <w:r>
        <w:rPr>
          <w:lang w:val="en-US"/>
        </w:rPr>
        <w:t xml:space="preserve">ACMA 2021, p.54. </w:t>
      </w:r>
      <w:r w:rsidRPr="0081381C">
        <w:rPr>
          <w:i/>
          <w:iCs/>
          <w:lang w:val="en-US"/>
        </w:rPr>
        <w:t>Report to government on the adequacy of digital platforms’ disinformation and news quality measures.</w:t>
      </w:r>
      <w:r>
        <w:rPr>
          <w:lang w:val="en-US"/>
        </w:rPr>
        <w:t xml:space="preserve"> Available at: </w:t>
      </w:r>
      <w:hyperlink r:id="rId29" w:history="1">
        <w:r w:rsidRPr="004C3DE4">
          <w:rPr>
            <w:rStyle w:val="Hyperlink"/>
            <w:lang w:val="en-US"/>
          </w:rPr>
          <w:t>https://www.acma.gov.au/report-government-adequacy-digital-platforms-disinformation-and-news-quality-measures</w:t>
        </w:r>
      </w:hyperlink>
    </w:p>
  </w:footnote>
  <w:footnote w:id="31">
    <w:p w14:paraId="473D9E16" w14:textId="6366FF92" w:rsidR="002959DE" w:rsidRPr="002959DE" w:rsidRDefault="002959DE">
      <w:pPr>
        <w:pStyle w:val="FootnoteText"/>
        <w:rPr>
          <w:lang w:val="en-US"/>
        </w:rPr>
      </w:pPr>
      <w:r>
        <w:rPr>
          <w:rStyle w:val="FootnoteReference"/>
        </w:rPr>
        <w:footnoteRef/>
      </w:r>
      <w:r>
        <w:t xml:space="preserve"> </w:t>
      </w:r>
      <w:r>
        <w:rPr>
          <w:lang w:val="en-US"/>
        </w:rPr>
        <w:t xml:space="preserve">For example see: </w:t>
      </w:r>
      <w:r w:rsidR="002858C4" w:rsidRPr="002858C4">
        <w:rPr>
          <w:lang w:val="en-US"/>
        </w:rPr>
        <w:t xml:space="preserve">Reis, J., Melo, P.D.F., Garimella, K. and Benevenuto, F., 2020. </w:t>
      </w:r>
      <w:r w:rsidR="002858C4" w:rsidRPr="001F3E3B">
        <w:rPr>
          <w:i/>
          <w:iCs/>
          <w:lang w:val="en-US"/>
        </w:rPr>
        <w:t>Can WhatsApp benefit from debunked fact-checked stories to reduce misinformation?</w:t>
      </w:r>
      <w:r w:rsidR="002858C4" w:rsidRPr="002858C4">
        <w:rPr>
          <w:lang w:val="en-US"/>
        </w:rPr>
        <w:t>. arXiv preprint arXiv:2006.02471.</w:t>
      </w:r>
      <w:r w:rsidR="002A00AB">
        <w:rPr>
          <w:lang w:val="en-US"/>
        </w:rPr>
        <w:t xml:space="preserve"> and: </w:t>
      </w:r>
      <w:r w:rsidR="002A00AB" w:rsidRPr="002A00AB">
        <w:rPr>
          <w:lang w:val="en-US"/>
        </w:rPr>
        <w:t xml:space="preserve">Banaji, S., Bhat, R., Agarwal, A., Passanha, N., and Sadhana Pravin, M. 2019. </w:t>
      </w:r>
      <w:r w:rsidR="002A00AB" w:rsidRPr="001F3E3B">
        <w:rPr>
          <w:i/>
          <w:iCs/>
          <w:lang w:val="en-US"/>
        </w:rPr>
        <w:t>Whatsapp vigilantes: an exploration of citizen reception and circulation of whatsapp misinformation linked to mob violence in india</w:t>
      </w:r>
      <w:r w:rsidR="002A00AB" w:rsidRPr="002A00AB">
        <w:rPr>
          <w:lang w:val="en-US"/>
        </w:rPr>
        <w:t xml:space="preserve">. Available at: </w:t>
      </w:r>
      <w:hyperlink r:id="rId30" w:history="1">
        <w:r w:rsidR="002A00AB" w:rsidRPr="00B85E09">
          <w:rPr>
            <w:rStyle w:val="Hyperlink"/>
            <w:lang w:val="en-US"/>
          </w:rPr>
          <w:t>https://blogs.lse.ac.uk/medialse/2019/11/11/whatsapp-vigilantes-an-exploration-of-citizen-reception-and-circulation-of-whatsapp-misinformation-linked-to-mob-violence-in-india/</w:t>
        </w:r>
      </w:hyperlink>
      <w:r w:rsidR="002A00AB">
        <w:rPr>
          <w:lang w:val="en-US"/>
        </w:rPr>
        <w:t xml:space="preserve"> </w:t>
      </w:r>
    </w:p>
  </w:footnote>
  <w:footnote w:id="32">
    <w:p w14:paraId="4F390D5F" w14:textId="73456A4C" w:rsidR="00C902B1" w:rsidRPr="00C902B1" w:rsidRDefault="00C902B1">
      <w:pPr>
        <w:pStyle w:val="FootnoteText"/>
        <w:rPr>
          <w:lang w:val="en-US"/>
        </w:rPr>
      </w:pPr>
      <w:r>
        <w:rPr>
          <w:rStyle w:val="FootnoteReference"/>
        </w:rPr>
        <w:footnoteRef/>
      </w:r>
      <w:r>
        <w:t xml:space="preserve"> </w:t>
      </w:r>
      <w:r>
        <w:rPr>
          <w:lang w:val="en-US"/>
        </w:rPr>
        <w:t xml:space="preserve">ACMA 2021, p.55-56. </w:t>
      </w:r>
      <w:r w:rsidRPr="0081381C">
        <w:rPr>
          <w:i/>
          <w:iCs/>
          <w:lang w:val="en-US"/>
        </w:rPr>
        <w:t>Report to government on the adequacy of digital platforms’ disinformation and news quality measures.</w:t>
      </w:r>
      <w:r>
        <w:rPr>
          <w:lang w:val="en-US"/>
        </w:rPr>
        <w:t xml:space="preserve"> Available at: </w:t>
      </w:r>
      <w:hyperlink r:id="rId31" w:history="1">
        <w:r w:rsidRPr="004C3DE4">
          <w:rPr>
            <w:rStyle w:val="Hyperlink"/>
            <w:lang w:val="en-US"/>
          </w:rPr>
          <w:t>https://www.acma.gov.au/report-government-adequacy-digital-platforms-disinformation-and-news-quality-measures</w:t>
        </w:r>
      </w:hyperlink>
    </w:p>
  </w:footnote>
  <w:footnote w:id="33">
    <w:p w14:paraId="765844FD" w14:textId="2FEE0B5E" w:rsidR="00C902B1" w:rsidRPr="00C902B1" w:rsidRDefault="00C902B1">
      <w:pPr>
        <w:pStyle w:val="FootnoteText"/>
        <w:rPr>
          <w:lang w:val="en-US"/>
        </w:rPr>
      </w:pPr>
      <w:r>
        <w:rPr>
          <w:rStyle w:val="FootnoteReference"/>
        </w:rPr>
        <w:footnoteRef/>
      </w:r>
      <w:r>
        <w:t xml:space="preserve"> </w:t>
      </w:r>
      <w:r w:rsidR="000500F3">
        <w:rPr>
          <w:lang w:val="en-US"/>
        </w:rPr>
        <w:t xml:space="preserve">ACMA 2021, p.87. </w:t>
      </w:r>
      <w:r w:rsidR="000500F3" w:rsidRPr="0081381C">
        <w:rPr>
          <w:i/>
          <w:iCs/>
          <w:lang w:val="en-US"/>
        </w:rPr>
        <w:t>Report to government on the adequacy of digital platforms’ disinformation and news quality measures.</w:t>
      </w:r>
      <w:r w:rsidR="000500F3">
        <w:rPr>
          <w:lang w:val="en-US"/>
        </w:rPr>
        <w:t xml:space="preserve"> Available at: </w:t>
      </w:r>
      <w:hyperlink r:id="rId32" w:history="1">
        <w:r w:rsidR="000500F3" w:rsidRPr="004C3DE4">
          <w:rPr>
            <w:rStyle w:val="Hyperlink"/>
            <w:lang w:val="en-US"/>
          </w:rPr>
          <w:t>https://www.acma.gov.au/report-government-adequacy-digital-platforms-disinformation-and-news-quality-measures</w:t>
        </w:r>
      </w:hyperlink>
    </w:p>
  </w:footnote>
  <w:footnote w:id="34">
    <w:p w14:paraId="3EDE251D" w14:textId="1B7092DD" w:rsidR="00A57921" w:rsidRPr="00A57921" w:rsidRDefault="00A57921">
      <w:pPr>
        <w:pStyle w:val="FootnoteText"/>
        <w:rPr>
          <w:lang w:val="en-US"/>
        </w:rPr>
      </w:pPr>
      <w:r>
        <w:rPr>
          <w:rStyle w:val="FootnoteReference"/>
        </w:rPr>
        <w:footnoteRef/>
      </w:r>
      <w:r>
        <w:t xml:space="preserve"> </w:t>
      </w:r>
      <w:r>
        <w:rPr>
          <w:lang w:val="en-US"/>
        </w:rPr>
        <w:t xml:space="preserve">ACMA 2021, p.87. </w:t>
      </w:r>
      <w:r w:rsidRPr="0081381C">
        <w:rPr>
          <w:i/>
          <w:iCs/>
          <w:lang w:val="en-US"/>
        </w:rPr>
        <w:t>Report to government on the adequacy of digital platforms’ disinformation and news quality measures.</w:t>
      </w:r>
      <w:r>
        <w:rPr>
          <w:lang w:val="en-US"/>
        </w:rPr>
        <w:t xml:space="preserve"> Available at: </w:t>
      </w:r>
      <w:hyperlink r:id="rId33" w:history="1">
        <w:r w:rsidRPr="004C3DE4">
          <w:rPr>
            <w:rStyle w:val="Hyperlink"/>
            <w:lang w:val="en-US"/>
          </w:rPr>
          <w:t>https://www.acma.gov.au/report-government-adequacy-digital-platforms-disinformation-and-news-quality-measures</w:t>
        </w:r>
      </w:hyperlink>
    </w:p>
  </w:footnote>
  <w:footnote w:id="35">
    <w:p w14:paraId="32E16230" w14:textId="4F5AA25B" w:rsidR="00B10680" w:rsidRPr="00B10680" w:rsidRDefault="00B10680">
      <w:pPr>
        <w:pStyle w:val="FootnoteText"/>
        <w:rPr>
          <w:lang w:val="en-US"/>
        </w:rPr>
      </w:pPr>
      <w:r>
        <w:rPr>
          <w:rStyle w:val="FootnoteReference"/>
        </w:rPr>
        <w:footnoteRef/>
      </w:r>
      <w:r>
        <w:t xml:space="preserve"> </w:t>
      </w:r>
      <w:r>
        <w:rPr>
          <w:lang w:val="en-US"/>
        </w:rPr>
        <w:t xml:space="preserve">ACMA 2021, p.87. </w:t>
      </w:r>
      <w:r w:rsidRPr="0081381C">
        <w:rPr>
          <w:i/>
          <w:iCs/>
          <w:lang w:val="en-US"/>
        </w:rPr>
        <w:t>Report to government on the adequacy of digital platforms’ disinformation and news quality measures.</w:t>
      </w:r>
      <w:r>
        <w:rPr>
          <w:lang w:val="en-US"/>
        </w:rPr>
        <w:t xml:space="preserve"> Available at: </w:t>
      </w:r>
      <w:hyperlink r:id="rId34" w:history="1">
        <w:r w:rsidRPr="004C3DE4">
          <w:rPr>
            <w:rStyle w:val="Hyperlink"/>
            <w:lang w:val="en-US"/>
          </w:rPr>
          <w:t>https://www.acma.gov.au/report-government-adequacy-digital-platforms-disinformation-and-news-quality-measures</w:t>
        </w:r>
      </w:hyperlink>
    </w:p>
  </w:footnote>
  <w:footnote w:id="36">
    <w:p w14:paraId="5C39EA5B" w14:textId="4AB8DEC1" w:rsidR="00912073" w:rsidRPr="00912073" w:rsidRDefault="00912073">
      <w:pPr>
        <w:pStyle w:val="FootnoteText"/>
        <w:rPr>
          <w:lang w:val="en-US"/>
        </w:rPr>
      </w:pPr>
      <w:r>
        <w:rPr>
          <w:rStyle w:val="FootnoteReference"/>
        </w:rPr>
        <w:footnoteRef/>
      </w:r>
      <w:r>
        <w:t xml:space="preserve"> </w:t>
      </w:r>
      <w:r>
        <w:rPr>
          <w:lang w:val="en-US"/>
        </w:rPr>
        <w:t>DIGI 2022</w:t>
      </w:r>
      <w:r w:rsidR="00575587">
        <w:rPr>
          <w:lang w:val="en-US"/>
        </w:rPr>
        <w:t>, p.8</w:t>
      </w:r>
      <w:r>
        <w:rPr>
          <w:lang w:val="en-US"/>
        </w:rPr>
        <w:t xml:space="preserve">. </w:t>
      </w:r>
      <w:r w:rsidRPr="007850B5">
        <w:rPr>
          <w:i/>
          <w:iCs/>
          <w:lang w:val="en-US" w:eastAsia="en-US"/>
        </w:rPr>
        <w:t xml:space="preserve">Australian Code of Practice on Misinformation and Disinformation </w:t>
      </w:r>
      <w:r>
        <w:rPr>
          <w:i/>
          <w:iCs/>
          <w:lang w:val="en-US" w:eastAsia="en-US"/>
        </w:rPr>
        <w:t xml:space="preserve">| </w:t>
      </w:r>
      <w:r w:rsidRPr="007850B5">
        <w:rPr>
          <w:i/>
          <w:iCs/>
          <w:lang w:val="en-US" w:eastAsia="en-US"/>
        </w:rPr>
        <w:t>2022 Review Discussion Paper</w:t>
      </w:r>
      <w:r>
        <w:rPr>
          <w:i/>
          <w:iCs/>
          <w:lang w:val="en-US" w:eastAsia="en-US"/>
        </w:rPr>
        <w:t>.</w:t>
      </w:r>
      <w:r>
        <w:rPr>
          <w:lang w:val="en-US"/>
        </w:rPr>
        <w:t xml:space="preserve"> Available at: </w:t>
      </w:r>
      <w:hyperlink r:id="rId35" w:history="1">
        <w:r w:rsidRPr="004C3DE4">
          <w:rPr>
            <w:rStyle w:val="Hyperlink"/>
            <w:lang w:val="en-US"/>
          </w:rPr>
          <w:t>https://digi.org.au/disinformation-code/code-review/</w:t>
        </w:r>
      </w:hyperlink>
      <w:r>
        <w:rPr>
          <w:lang w:val="en-US"/>
        </w:rPr>
        <w:t xml:space="preserve"> </w:t>
      </w:r>
    </w:p>
  </w:footnote>
  <w:footnote w:id="37">
    <w:p w14:paraId="67C4CB9C" w14:textId="47415AAF" w:rsidR="00421AC0" w:rsidRPr="00421AC0" w:rsidRDefault="00421AC0">
      <w:pPr>
        <w:pStyle w:val="FootnoteText"/>
        <w:rPr>
          <w:lang w:val="en-US"/>
        </w:rPr>
      </w:pPr>
      <w:r>
        <w:rPr>
          <w:rStyle w:val="FootnoteReference"/>
        </w:rPr>
        <w:footnoteRef/>
      </w:r>
      <w:r>
        <w:t xml:space="preserve"> </w:t>
      </w:r>
      <w:r w:rsidR="00397A1C">
        <w:rPr>
          <w:lang w:val="en-US"/>
        </w:rPr>
        <w:t xml:space="preserve">ACMA 2021, p.56. </w:t>
      </w:r>
      <w:r w:rsidR="00397A1C" w:rsidRPr="0081381C">
        <w:rPr>
          <w:i/>
          <w:iCs/>
          <w:lang w:val="en-US"/>
        </w:rPr>
        <w:t>Report to government on the adequacy of digital platforms’ disinformation and news quality measures.</w:t>
      </w:r>
      <w:r w:rsidR="00397A1C">
        <w:rPr>
          <w:lang w:val="en-US"/>
        </w:rPr>
        <w:t xml:space="preserve"> Available at: </w:t>
      </w:r>
      <w:hyperlink r:id="rId36" w:history="1">
        <w:r w:rsidR="00397A1C" w:rsidRPr="004C3DE4">
          <w:rPr>
            <w:rStyle w:val="Hyperlink"/>
            <w:lang w:val="en-US"/>
          </w:rPr>
          <w:t>https://www.acma.gov.au/report-government-adequacy-digital-platforms-disinformation-and-news-quality-measures</w:t>
        </w:r>
      </w:hyperlink>
    </w:p>
  </w:footnote>
  <w:footnote w:id="38">
    <w:p w14:paraId="62D2708E" w14:textId="5EBA8C83" w:rsidR="00397A1C" w:rsidRPr="00397A1C" w:rsidRDefault="00397A1C">
      <w:pPr>
        <w:pStyle w:val="FootnoteText"/>
        <w:rPr>
          <w:lang w:val="en-US"/>
        </w:rPr>
      </w:pPr>
      <w:r>
        <w:rPr>
          <w:rStyle w:val="FootnoteReference"/>
        </w:rPr>
        <w:footnoteRef/>
      </w:r>
      <w:r>
        <w:t xml:space="preserve"> </w:t>
      </w:r>
      <w:r>
        <w:rPr>
          <w:lang w:val="en-US"/>
        </w:rPr>
        <w:t xml:space="preserve">ACMA 2021, p.56. </w:t>
      </w:r>
      <w:r w:rsidRPr="0081381C">
        <w:rPr>
          <w:i/>
          <w:iCs/>
          <w:lang w:val="en-US"/>
        </w:rPr>
        <w:t>Report to government on the adequacy of digital platforms’ disinformation and news quality measures.</w:t>
      </w:r>
      <w:r>
        <w:rPr>
          <w:lang w:val="en-US"/>
        </w:rPr>
        <w:t xml:space="preserve"> Available at: </w:t>
      </w:r>
      <w:hyperlink r:id="rId37" w:history="1">
        <w:r w:rsidRPr="004C3DE4">
          <w:rPr>
            <w:rStyle w:val="Hyperlink"/>
            <w:lang w:val="en-US"/>
          </w:rPr>
          <w:t>https://www.acma.gov.au/report-government-adequacy-digital-platforms-disinformation-and-news-quality-measures</w:t>
        </w:r>
      </w:hyperlink>
    </w:p>
  </w:footnote>
  <w:footnote w:id="39">
    <w:p w14:paraId="65E6C977" w14:textId="25F42FA4" w:rsidR="00FE4F4E" w:rsidRPr="00FE4F4E" w:rsidRDefault="00FE4F4E">
      <w:pPr>
        <w:pStyle w:val="FootnoteText"/>
        <w:rPr>
          <w:lang w:val="en-US"/>
        </w:rPr>
      </w:pPr>
      <w:r>
        <w:rPr>
          <w:rStyle w:val="FootnoteReference"/>
        </w:rPr>
        <w:footnoteRef/>
      </w:r>
      <w:r>
        <w:t xml:space="preserve"> </w:t>
      </w:r>
      <w:r>
        <w:rPr>
          <w:lang w:val="en-US"/>
        </w:rPr>
        <w:t xml:space="preserve">ACMA 2021, p.87. </w:t>
      </w:r>
      <w:r w:rsidRPr="0081381C">
        <w:rPr>
          <w:i/>
          <w:iCs/>
          <w:lang w:val="en-US"/>
        </w:rPr>
        <w:t>Report to government on the adequacy of digital platforms’ disinformation and news quality measures.</w:t>
      </w:r>
      <w:r>
        <w:rPr>
          <w:lang w:val="en-US"/>
        </w:rPr>
        <w:t xml:space="preserve"> Available at: </w:t>
      </w:r>
      <w:hyperlink r:id="rId38" w:history="1">
        <w:r w:rsidRPr="004C3DE4">
          <w:rPr>
            <w:rStyle w:val="Hyperlink"/>
            <w:lang w:val="en-US"/>
          </w:rPr>
          <w:t>https://www.acma.gov.au/report-government-adequacy-digital-platforms-disinformation-and-news-quality-measures</w:t>
        </w:r>
      </w:hyperlink>
    </w:p>
  </w:footnote>
  <w:footnote w:id="40">
    <w:p w14:paraId="105C177E" w14:textId="27F94561" w:rsidR="00A3370E" w:rsidRPr="00A3370E" w:rsidRDefault="00A3370E">
      <w:pPr>
        <w:pStyle w:val="FootnoteText"/>
        <w:rPr>
          <w:lang w:val="en-US"/>
        </w:rPr>
      </w:pPr>
      <w:r>
        <w:rPr>
          <w:rStyle w:val="FootnoteReference"/>
        </w:rPr>
        <w:footnoteRef/>
      </w:r>
      <w:r>
        <w:t xml:space="preserve"> </w:t>
      </w:r>
      <w:r w:rsidR="00B33BFC">
        <w:rPr>
          <w:lang w:val="en-US"/>
        </w:rPr>
        <w:t xml:space="preserve">DIGI 2022, p.13. </w:t>
      </w:r>
      <w:r w:rsidR="00B33BFC" w:rsidRPr="007850B5">
        <w:rPr>
          <w:i/>
          <w:iCs/>
          <w:lang w:val="en-US" w:eastAsia="en-US"/>
        </w:rPr>
        <w:t xml:space="preserve">Australian Code of Practice on Misinformation and Disinformation </w:t>
      </w:r>
      <w:r w:rsidR="00B33BFC">
        <w:rPr>
          <w:i/>
          <w:iCs/>
          <w:lang w:val="en-US" w:eastAsia="en-US"/>
        </w:rPr>
        <w:t xml:space="preserve">| </w:t>
      </w:r>
      <w:r w:rsidR="00B33BFC" w:rsidRPr="007850B5">
        <w:rPr>
          <w:i/>
          <w:iCs/>
          <w:lang w:val="en-US" w:eastAsia="en-US"/>
        </w:rPr>
        <w:t>2022 Review Discussion Paper</w:t>
      </w:r>
      <w:r w:rsidR="00B33BFC">
        <w:rPr>
          <w:i/>
          <w:iCs/>
          <w:lang w:val="en-US" w:eastAsia="en-US"/>
        </w:rPr>
        <w:t>.</w:t>
      </w:r>
      <w:r w:rsidR="00B33BFC">
        <w:rPr>
          <w:lang w:val="en-US"/>
        </w:rPr>
        <w:t xml:space="preserve"> Available at: </w:t>
      </w:r>
      <w:hyperlink r:id="rId39" w:history="1">
        <w:r w:rsidR="00B33BFC" w:rsidRPr="004C3DE4">
          <w:rPr>
            <w:rStyle w:val="Hyperlink"/>
            <w:lang w:val="en-US"/>
          </w:rPr>
          <w:t>https://digi.org.au/disinformation-code/code-review/</w:t>
        </w:r>
      </w:hyperlink>
      <w:r w:rsidR="00B33BFC">
        <w:rPr>
          <w:lang w:val="en-US"/>
        </w:rPr>
        <w:t xml:space="preserve"> </w:t>
      </w:r>
    </w:p>
  </w:footnote>
  <w:footnote w:id="41">
    <w:p w14:paraId="4C52F692" w14:textId="56169CBC" w:rsidR="00984BED" w:rsidRPr="00984BED" w:rsidRDefault="00984BED">
      <w:pPr>
        <w:pStyle w:val="FootnoteText"/>
        <w:rPr>
          <w:lang w:val="en-US"/>
        </w:rPr>
      </w:pPr>
      <w:r>
        <w:rPr>
          <w:rStyle w:val="FootnoteReference"/>
        </w:rPr>
        <w:footnoteRef/>
      </w:r>
      <w:r>
        <w:t xml:space="preserve"> </w:t>
      </w:r>
      <w:r w:rsidR="009979B2">
        <w:rPr>
          <w:lang w:val="en-US"/>
        </w:rPr>
        <w:t xml:space="preserve">ACMA 2021, p.57. </w:t>
      </w:r>
      <w:r w:rsidR="009979B2" w:rsidRPr="0081381C">
        <w:rPr>
          <w:i/>
          <w:iCs/>
          <w:lang w:val="en-US"/>
        </w:rPr>
        <w:t>Report to government on the adequacy of digital platforms’ disinformation and news quality measures.</w:t>
      </w:r>
      <w:r w:rsidR="009979B2">
        <w:rPr>
          <w:lang w:val="en-US"/>
        </w:rPr>
        <w:t xml:space="preserve"> Available at: </w:t>
      </w:r>
      <w:hyperlink r:id="rId40" w:history="1">
        <w:r w:rsidR="009979B2" w:rsidRPr="004C3DE4">
          <w:rPr>
            <w:rStyle w:val="Hyperlink"/>
            <w:lang w:val="en-US"/>
          </w:rPr>
          <w:t>https://www.acma.gov.au/report-government-adequacy-digital-platforms-disinformation-and-news-quality-measures</w:t>
        </w:r>
      </w:hyperlink>
    </w:p>
  </w:footnote>
  <w:footnote w:id="42">
    <w:p w14:paraId="058B8783" w14:textId="69DD21CA" w:rsidR="001E728C" w:rsidRPr="001E728C" w:rsidRDefault="001E728C">
      <w:pPr>
        <w:pStyle w:val="FootnoteText"/>
        <w:rPr>
          <w:lang w:val="en-US"/>
        </w:rPr>
      </w:pPr>
      <w:r>
        <w:rPr>
          <w:rStyle w:val="FootnoteReference"/>
        </w:rPr>
        <w:footnoteRef/>
      </w:r>
      <w:r>
        <w:t xml:space="preserve"> </w:t>
      </w:r>
      <w:r w:rsidR="00D62047">
        <w:rPr>
          <w:lang w:val="en-US"/>
        </w:rPr>
        <w:t xml:space="preserve">DIGI 2022, p.13. </w:t>
      </w:r>
      <w:r w:rsidR="00D62047" w:rsidRPr="007850B5">
        <w:rPr>
          <w:i/>
          <w:iCs/>
          <w:lang w:val="en-US" w:eastAsia="en-US"/>
        </w:rPr>
        <w:t xml:space="preserve">Australian Code of Practice on Misinformation and Disinformation </w:t>
      </w:r>
      <w:r w:rsidR="00D62047">
        <w:rPr>
          <w:i/>
          <w:iCs/>
          <w:lang w:val="en-US" w:eastAsia="en-US"/>
        </w:rPr>
        <w:t xml:space="preserve">| </w:t>
      </w:r>
      <w:r w:rsidR="00D62047" w:rsidRPr="007850B5">
        <w:rPr>
          <w:i/>
          <w:iCs/>
          <w:lang w:val="en-US" w:eastAsia="en-US"/>
        </w:rPr>
        <w:t>2022 Review Discussion Paper</w:t>
      </w:r>
      <w:r w:rsidR="00D62047">
        <w:rPr>
          <w:i/>
          <w:iCs/>
          <w:lang w:val="en-US" w:eastAsia="en-US"/>
        </w:rPr>
        <w:t>.</w:t>
      </w:r>
      <w:r w:rsidR="00D62047">
        <w:rPr>
          <w:lang w:val="en-US"/>
        </w:rPr>
        <w:t xml:space="preserve"> Available at: </w:t>
      </w:r>
      <w:hyperlink r:id="rId41" w:history="1">
        <w:r w:rsidR="00D62047" w:rsidRPr="004C3DE4">
          <w:rPr>
            <w:rStyle w:val="Hyperlink"/>
            <w:lang w:val="en-US"/>
          </w:rPr>
          <w:t>https://digi.org.au/disinformation-code/code-review/</w:t>
        </w:r>
      </w:hyperlink>
      <w:r w:rsidR="00D62047">
        <w:rPr>
          <w:lang w:val="en-US"/>
        </w:rPr>
        <w:t xml:space="preserve"> </w:t>
      </w:r>
    </w:p>
  </w:footnote>
  <w:footnote w:id="43">
    <w:p w14:paraId="3D589654" w14:textId="41EB2DF0" w:rsidR="00D6787E" w:rsidRPr="00D6787E" w:rsidRDefault="00D6787E">
      <w:pPr>
        <w:pStyle w:val="FootnoteText"/>
        <w:rPr>
          <w:lang w:val="en-US"/>
        </w:rPr>
      </w:pPr>
      <w:r>
        <w:rPr>
          <w:rStyle w:val="FootnoteReference"/>
        </w:rPr>
        <w:footnoteRef/>
      </w:r>
      <w:r>
        <w:t xml:space="preserve"> </w:t>
      </w:r>
      <w:r w:rsidR="00D62047">
        <w:rPr>
          <w:lang w:val="en-US"/>
        </w:rPr>
        <w:t xml:space="preserve">ACMA 2021, p.57. </w:t>
      </w:r>
      <w:r w:rsidR="00D62047" w:rsidRPr="0081381C">
        <w:rPr>
          <w:i/>
          <w:iCs/>
          <w:lang w:val="en-US"/>
        </w:rPr>
        <w:t>Report to government on the adequacy of digital platforms’ disinformation and news quality measures.</w:t>
      </w:r>
      <w:r w:rsidR="00D62047">
        <w:rPr>
          <w:lang w:val="en-US"/>
        </w:rPr>
        <w:t xml:space="preserve"> Available at: </w:t>
      </w:r>
      <w:hyperlink r:id="rId42" w:history="1">
        <w:r w:rsidR="00D62047" w:rsidRPr="004C3DE4">
          <w:rPr>
            <w:rStyle w:val="Hyperlink"/>
            <w:lang w:val="en-US"/>
          </w:rPr>
          <w:t>https://www.acma.gov.au/report-government-adequacy-digital-platforms-disinformation-and-news-quality-measures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AE8F" w14:textId="77777777" w:rsidR="00A75493" w:rsidRDefault="00AD3EFC" w:rsidP="00E42CDF">
    <w:pPr>
      <w:tabs>
        <w:tab w:val="left" w:pos="1843"/>
      </w:tabs>
      <w:ind w:hanging="851"/>
    </w:pPr>
    <w:r>
      <w:rPr>
        <w:noProof/>
      </w:rPr>
      <w:drawing>
        <wp:anchor distT="0" distB="0" distL="114300" distR="114300" simplePos="0" relativeHeight="251658240" behindDoc="0" locked="0" layoutInCell="1" allowOverlap="1" wp14:anchorId="65EC1370" wp14:editId="2CB2936B">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8241" behindDoc="1" locked="0" layoutInCell="1" allowOverlap="1" wp14:anchorId="59CE40A4" wp14:editId="5892CC70">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490783B3"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9F7563"/>
    <w:multiLevelType w:val="hybridMultilevel"/>
    <w:tmpl w:val="39F278A8"/>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15:restartNumberingAfterBreak="0">
    <w:nsid w:val="337C5FB2"/>
    <w:multiLevelType w:val="multilevel"/>
    <w:tmpl w:val="6AFEEB4C"/>
    <w:numStyleLink w:val="Bullets"/>
  </w:abstractNum>
  <w:abstractNum w:abstractNumId="4" w15:restartNumberingAfterBreak="0">
    <w:nsid w:val="35F41370"/>
    <w:multiLevelType w:val="multilevel"/>
    <w:tmpl w:val="9A50870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16cid:durableId="296303459">
    <w:abstractNumId w:val="10"/>
  </w:num>
  <w:num w:numId="2" w16cid:durableId="810445453">
    <w:abstractNumId w:val="2"/>
  </w:num>
  <w:num w:numId="3" w16cid:durableId="621152141">
    <w:abstractNumId w:val="3"/>
  </w:num>
  <w:num w:numId="4" w16cid:durableId="1542788392">
    <w:abstractNumId w:val="6"/>
  </w:num>
  <w:num w:numId="5" w16cid:durableId="96172960">
    <w:abstractNumId w:val="7"/>
  </w:num>
  <w:num w:numId="6" w16cid:durableId="488449692">
    <w:abstractNumId w:val="9"/>
  </w:num>
  <w:num w:numId="7" w16cid:durableId="1449738276">
    <w:abstractNumId w:val="4"/>
    <w:lvlOverride w:ilvl="0">
      <w:lvl w:ilvl="0">
        <w:start w:val="1"/>
        <w:numFmt w:val="decimal"/>
        <w:pStyle w:val="Recommendation"/>
        <w:lvlText w:val="Recommendation %1:"/>
        <w:lvlJc w:val="left"/>
        <w:pPr>
          <w:ind w:left="851" w:firstLine="0"/>
        </w:pPr>
        <w:rPr>
          <w:rFonts w:hint="default"/>
          <w:b/>
          <w:bCs/>
        </w:rPr>
      </w:lvl>
    </w:lvlOverride>
  </w:num>
  <w:num w:numId="8" w16cid:durableId="1721243031">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1687515259">
    <w:abstractNumId w:val="8"/>
  </w:num>
  <w:num w:numId="10" w16cid:durableId="1343121858">
    <w:abstractNumId w:val="0"/>
  </w:num>
  <w:num w:numId="11" w16cid:durableId="451703546">
    <w:abstractNumId w:val="5"/>
  </w:num>
  <w:num w:numId="12" w16cid:durableId="720514587">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70073301">
    <w:abstractNumId w:val="4"/>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568610139">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1311593201">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532305720">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737239251">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462232570">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1502309799">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624888591">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1711566753">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771201825">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86214192">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991713205">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526165469">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86551335">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776020555">
    <w:abstractNumId w:val="4"/>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1627738722">
    <w:abstractNumId w:val="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1034504221">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773474722">
    <w:abstractNumId w:val="4"/>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859469144">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2" w16cid:durableId="1676687591">
    <w:abstractNumId w:val="4"/>
    <w:lvlOverride w:ilvl="0">
      <w:lvl w:ilvl="0">
        <w:start w:val="1"/>
        <w:numFmt w:val="decimal"/>
        <w:pStyle w:val="Recommendation"/>
        <w:lvlText w:val="Recommendation %1:"/>
        <w:lvlJc w:val="left"/>
        <w:pPr>
          <w:ind w:left="851" w:firstLine="0"/>
        </w:pPr>
        <w:rPr>
          <w:rFonts w:hint="default"/>
          <w:b/>
          <w:bCs/>
        </w:rPr>
      </w:lvl>
    </w:lvlOverride>
  </w:num>
  <w:num w:numId="33" w16cid:durableId="1902713132">
    <w:abstractNumId w:val="4"/>
    <w:lvlOverride w:ilvl="0">
      <w:lvl w:ilvl="0">
        <w:start w:val="1"/>
        <w:numFmt w:val="decimal"/>
        <w:pStyle w:val="Recommendation"/>
        <w:lvlText w:val="Recommendation %1:"/>
        <w:lvlJc w:val="left"/>
        <w:pPr>
          <w:ind w:left="851" w:firstLine="0"/>
        </w:pPr>
        <w:rPr>
          <w:b/>
          <w:bCs/>
        </w:rPr>
      </w:lvl>
    </w:lvlOverride>
  </w:num>
  <w:num w:numId="34" w16cid:durableId="2108843468">
    <w:abstractNumId w:val="4"/>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5" w16cid:durableId="426776197">
    <w:abstractNumId w:val="1"/>
  </w:num>
  <w:num w:numId="36" w16cid:durableId="1303929174">
    <w:abstractNumId w:val="4"/>
  </w:num>
  <w:num w:numId="37" w16cid:durableId="576942160">
    <w:abstractNumId w:val="4"/>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8" w16cid:durableId="1590313143">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E6"/>
    <w:rsid w:val="0000073D"/>
    <w:rsid w:val="00001455"/>
    <w:rsid w:val="00002592"/>
    <w:rsid w:val="00002A84"/>
    <w:rsid w:val="000039D9"/>
    <w:rsid w:val="00004746"/>
    <w:rsid w:val="00006849"/>
    <w:rsid w:val="00006A76"/>
    <w:rsid w:val="00006C00"/>
    <w:rsid w:val="00010CC4"/>
    <w:rsid w:val="000130E1"/>
    <w:rsid w:val="00014E08"/>
    <w:rsid w:val="0001751C"/>
    <w:rsid w:val="00017729"/>
    <w:rsid w:val="000177F0"/>
    <w:rsid w:val="00017FF5"/>
    <w:rsid w:val="00020140"/>
    <w:rsid w:val="00020C0D"/>
    <w:rsid w:val="0002144A"/>
    <w:rsid w:val="0002178D"/>
    <w:rsid w:val="00021EEE"/>
    <w:rsid w:val="00022392"/>
    <w:rsid w:val="00022D35"/>
    <w:rsid w:val="00023BBD"/>
    <w:rsid w:val="00024B75"/>
    <w:rsid w:val="00024E5A"/>
    <w:rsid w:val="00025032"/>
    <w:rsid w:val="00025FC3"/>
    <w:rsid w:val="000261B8"/>
    <w:rsid w:val="00031ABE"/>
    <w:rsid w:val="00031DE1"/>
    <w:rsid w:val="00032441"/>
    <w:rsid w:val="00034122"/>
    <w:rsid w:val="000341DA"/>
    <w:rsid w:val="000345B4"/>
    <w:rsid w:val="0003477E"/>
    <w:rsid w:val="00035D76"/>
    <w:rsid w:val="000362DE"/>
    <w:rsid w:val="00036E43"/>
    <w:rsid w:val="00040073"/>
    <w:rsid w:val="00040FC3"/>
    <w:rsid w:val="00044434"/>
    <w:rsid w:val="00044CD0"/>
    <w:rsid w:val="000459BF"/>
    <w:rsid w:val="00047413"/>
    <w:rsid w:val="000500F3"/>
    <w:rsid w:val="00050C11"/>
    <w:rsid w:val="000513B1"/>
    <w:rsid w:val="00052386"/>
    <w:rsid w:val="00052737"/>
    <w:rsid w:val="00052D56"/>
    <w:rsid w:val="000530BA"/>
    <w:rsid w:val="00054687"/>
    <w:rsid w:val="000547D7"/>
    <w:rsid w:val="000557BC"/>
    <w:rsid w:val="00056D71"/>
    <w:rsid w:val="000576D9"/>
    <w:rsid w:val="00057A92"/>
    <w:rsid w:val="00060221"/>
    <w:rsid w:val="00061D64"/>
    <w:rsid w:val="00062A46"/>
    <w:rsid w:val="00063DD0"/>
    <w:rsid w:val="00066C39"/>
    <w:rsid w:val="00066CD4"/>
    <w:rsid w:val="00067177"/>
    <w:rsid w:val="000675C7"/>
    <w:rsid w:val="00071F03"/>
    <w:rsid w:val="00072C5D"/>
    <w:rsid w:val="00074521"/>
    <w:rsid w:val="00074DB7"/>
    <w:rsid w:val="00075C32"/>
    <w:rsid w:val="00077240"/>
    <w:rsid w:val="0008068C"/>
    <w:rsid w:val="0008167B"/>
    <w:rsid w:val="00081B1B"/>
    <w:rsid w:val="000840C2"/>
    <w:rsid w:val="000855B4"/>
    <w:rsid w:val="00085734"/>
    <w:rsid w:val="00086136"/>
    <w:rsid w:val="00086378"/>
    <w:rsid w:val="00086478"/>
    <w:rsid w:val="0008748C"/>
    <w:rsid w:val="00090606"/>
    <w:rsid w:val="0009060B"/>
    <w:rsid w:val="0009245D"/>
    <w:rsid w:val="000974F4"/>
    <w:rsid w:val="000A0DE3"/>
    <w:rsid w:val="000A2BF2"/>
    <w:rsid w:val="000A3806"/>
    <w:rsid w:val="000A3FBC"/>
    <w:rsid w:val="000A41A1"/>
    <w:rsid w:val="000A4520"/>
    <w:rsid w:val="000A55EE"/>
    <w:rsid w:val="000A5B48"/>
    <w:rsid w:val="000A6074"/>
    <w:rsid w:val="000A7C1F"/>
    <w:rsid w:val="000B11EF"/>
    <w:rsid w:val="000B2023"/>
    <w:rsid w:val="000B2C45"/>
    <w:rsid w:val="000B4669"/>
    <w:rsid w:val="000B6886"/>
    <w:rsid w:val="000B7682"/>
    <w:rsid w:val="000C177C"/>
    <w:rsid w:val="000C231C"/>
    <w:rsid w:val="000C30D6"/>
    <w:rsid w:val="000C3855"/>
    <w:rsid w:val="000C463F"/>
    <w:rsid w:val="000C4A7E"/>
    <w:rsid w:val="000C5BAA"/>
    <w:rsid w:val="000C7431"/>
    <w:rsid w:val="000C75C3"/>
    <w:rsid w:val="000C76CE"/>
    <w:rsid w:val="000D0D3C"/>
    <w:rsid w:val="000D17E4"/>
    <w:rsid w:val="000D18A2"/>
    <w:rsid w:val="000D3021"/>
    <w:rsid w:val="000D3793"/>
    <w:rsid w:val="000D3F85"/>
    <w:rsid w:val="000D47EF"/>
    <w:rsid w:val="000D5DB2"/>
    <w:rsid w:val="000D5F4D"/>
    <w:rsid w:val="000D6A43"/>
    <w:rsid w:val="000D6C9F"/>
    <w:rsid w:val="000D7D59"/>
    <w:rsid w:val="000E0A5E"/>
    <w:rsid w:val="000E1185"/>
    <w:rsid w:val="000E1593"/>
    <w:rsid w:val="000E2A17"/>
    <w:rsid w:val="000E3C59"/>
    <w:rsid w:val="000E50BF"/>
    <w:rsid w:val="000E5CAE"/>
    <w:rsid w:val="000E624D"/>
    <w:rsid w:val="000E62FD"/>
    <w:rsid w:val="000E6BFC"/>
    <w:rsid w:val="000F0308"/>
    <w:rsid w:val="000F05E0"/>
    <w:rsid w:val="000F0991"/>
    <w:rsid w:val="000F1BD9"/>
    <w:rsid w:val="000F21D4"/>
    <w:rsid w:val="000F2E7F"/>
    <w:rsid w:val="000F3856"/>
    <w:rsid w:val="000F42C6"/>
    <w:rsid w:val="000F73E8"/>
    <w:rsid w:val="000F764C"/>
    <w:rsid w:val="000F7E5D"/>
    <w:rsid w:val="00103999"/>
    <w:rsid w:val="00103DAC"/>
    <w:rsid w:val="00104DAD"/>
    <w:rsid w:val="001051A3"/>
    <w:rsid w:val="00106AEC"/>
    <w:rsid w:val="00111F02"/>
    <w:rsid w:val="00113465"/>
    <w:rsid w:val="00113AE0"/>
    <w:rsid w:val="0011651C"/>
    <w:rsid w:val="001208E7"/>
    <w:rsid w:val="001217E2"/>
    <w:rsid w:val="001217FD"/>
    <w:rsid w:val="00121D0E"/>
    <w:rsid w:val="00121D47"/>
    <w:rsid w:val="00122DD1"/>
    <w:rsid w:val="00123555"/>
    <w:rsid w:val="00125060"/>
    <w:rsid w:val="0012556A"/>
    <w:rsid w:val="00126183"/>
    <w:rsid w:val="0012636E"/>
    <w:rsid w:val="001265FB"/>
    <w:rsid w:val="0012663D"/>
    <w:rsid w:val="001270D6"/>
    <w:rsid w:val="001275E7"/>
    <w:rsid w:val="00130864"/>
    <w:rsid w:val="00130E70"/>
    <w:rsid w:val="00131845"/>
    <w:rsid w:val="00131D8C"/>
    <w:rsid w:val="00132365"/>
    <w:rsid w:val="001330D7"/>
    <w:rsid w:val="001337A4"/>
    <w:rsid w:val="00134A65"/>
    <w:rsid w:val="00134BAC"/>
    <w:rsid w:val="00135C01"/>
    <w:rsid w:val="00136463"/>
    <w:rsid w:val="00136699"/>
    <w:rsid w:val="001368B2"/>
    <w:rsid w:val="00136E66"/>
    <w:rsid w:val="00137C51"/>
    <w:rsid w:val="001406CB"/>
    <w:rsid w:val="00142EAB"/>
    <w:rsid w:val="001437AB"/>
    <w:rsid w:val="0014389B"/>
    <w:rsid w:val="00145394"/>
    <w:rsid w:val="0014626C"/>
    <w:rsid w:val="00146773"/>
    <w:rsid w:val="00150873"/>
    <w:rsid w:val="00151101"/>
    <w:rsid w:val="001514F8"/>
    <w:rsid w:val="0015159F"/>
    <w:rsid w:val="00151EAB"/>
    <w:rsid w:val="001531E7"/>
    <w:rsid w:val="001537A7"/>
    <w:rsid w:val="0016030F"/>
    <w:rsid w:val="001605C9"/>
    <w:rsid w:val="00161B2B"/>
    <w:rsid w:val="001623E5"/>
    <w:rsid w:val="00163200"/>
    <w:rsid w:val="00163B56"/>
    <w:rsid w:val="00167714"/>
    <w:rsid w:val="0017083D"/>
    <w:rsid w:val="00171797"/>
    <w:rsid w:val="00171821"/>
    <w:rsid w:val="00171E8F"/>
    <w:rsid w:val="001730E0"/>
    <w:rsid w:val="0017456B"/>
    <w:rsid w:val="001754ED"/>
    <w:rsid w:val="001758ED"/>
    <w:rsid w:val="001766A1"/>
    <w:rsid w:val="0017714B"/>
    <w:rsid w:val="00177273"/>
    <w:rsid w:val="001820BE"/>
    <w:rsid w:val="001828D8"/>
    <w:rsid w:val="00185442"/>
    <w:rsid w:val="00191473"/>
    <w:rsid w:val="00191853"/>
    <w:rsid w:val="001921BB"/>
    <w:rsid w:val="00192A7B"/>
    <w:rsid w:val="0019340F"/>
    <w:rsid w:val="00193DB9"/>
    <w:rsid w:val="0019461C"/>
    <w:rsid w:val="001949A0"/>
    <w:rsid w:val="0019567C"/>
    <w:rsid w:val="00196CFE"/>
    <w:rsid w:val="00196FE2"/>
    <w:rsid w:val="001A0171"/>
    <w:rsid w:val="001A1811"/>
    <w:rsid w:val="001A2736"/>
    <w:rsid w:val="001A2BA5"/>
    <w:rsid w:val="001A3380"/>
    <w:rsid w:val="001A4616"/>
    <w:rsid w:val="001A4B1A"/>
    <w:rsid w:val="001A5738"/>
    <w:rsid w:val="001A60E4"/>
    <w:rsid w:val="001A772D"/>
    <w:rsid w:val="001B0DED"/>
    <w:rsid w:val="001B1EC0"/>
    <w:rsid w:val="001B2A2A"/>
    <w:rsid w:val="001B38DB"/>
    <w:rsid w:val="001B46B0"/>
    <w:rsid w:val="001B4F92"/>
    <w:rsid w:val="001B5389"/>
    <w:rsid w:val="001B55B3"/>
    <w:rsid w:val="001B5856"/>
    <w:rsid w:val="001B5B9A"/>
    <w:rsid w:val="001B5FB2"/>
    <w:rsid w:val="001B63DD"/>
    <w:rsid w:val="001B6438"/>
    <w:rsid w:val="001B7940"/>
    <w:rsid w:val="001C0B11"/>
    <w:rsid w:val="001C0E5C"/>
    <w:rsid w:val="001C1075"/>
    <w:rsid w:val="001C288A"/>
    <w:rsid w:val="001C40D8"/>
    <w:rsid w:val="001C4264"/>
    <w:rsid w:val="001C5B99"/>
    <w:rsid w:val="001C672F"/>
    <w:rsid w:val="001C756C"/>
    <w:rsid w:val="001D2405"/>
    <w:rsid w:val="001D2489"/>
    <w:rsid w:val="001D4FF2"/>
    <w:rsid w:val="001D59D1"/>
    <w:rsid w:val="001D5C22"/>
    <w:rsid w:val="001D6F3D"/>
    <w:rsid w:val="001D6F9E"/>
    <w:rsid w:val="001D7A1B"/>
    <w:rsid w:val="001D7A90"/>
    <w:rsid w:val="001E1AE7"/>
    <w:rsid w:val="001E3CC3"/>
    <w:rsid w:val="001E728C"/>
    <w:rsid w:val="001E7889"/>
    <w:rsid w:val="001F013B"/>
    <w:rsid w:val="001F2CA2"/>
    <w:rsid w:val="001F37F6"/>
    <w:rsid w:val="001F3911"/>
    <w:rsid w:val="001F3E3B"/>
    <w:rsid w:val="001F59D4"/>
    <w:rsid w:val="001F7374"/>
    <w:rsid w:val="001F77F6"/>
    <w:rsid w:val="00200982"/>
    <w:rsid w:val="002076A6"/>
    <w:rsid w:val="00207BED"/>
    <w:rsid w:val="00207EC8"/>
    <w:rsid w:val="00210CB7"/>
    <w:rsid w:val="00211174"/>
    <w:rsid w:val="002118F3"/>
    <w:rsid w:val="0021264F"/>
    <w:rsid w:val="002140FC"/>
    <w:rsid w:val="0021413E"/>
    <w:rsid w:val="00214D92"/>
    <w:rsid w:val="0021558D"/>
    <w:rsid w:val="00215D55"/>
    <w:rsid w:val="00216632"/>
    <w:rsid w:val="0021714E"/>
    <w:rsid w:val="00223092"/>
    <w:rsid w:val="00223450"/>
    <w:rsid w:val="00224EFC"/>
    <w:rsid w:val="00225E78"/>
    <w:rsid w:val="00225FB3"/>
    <w:rsid w:val="00226E8F"/>
    <w:rsid w:val="0023499C"/>
    <w:rsid w:val="002366E4"/>
    <w:rsid w:val="00236A5A"/>
    <w:rsid w:val="00237B16"/>
    <w:rsid w:val="002417EF"/>
    <w:rsid w:val="00244019"/>
    <w:rsid w:val="002440EB"/>
    <w:rsid w:val="002446C4"/>
    <w:rsid w:val="00244FE0"/>
    <w:rsid w:val="00245265"/>
    <w:rsid w:val="0024554B"/>
    <w:rsid w:val="00245C97"/>
    <w:rsid w:val="00247D67"/>
    <w:rsid w:val="00251782"/>
    <w:rsid w:val="00252148"/>
    <w:rsid w:val="0025492A"/>
    <w:rsid w:val="002561EE"/>
    <w:rsid w:val="002567BC"/>
    <w:rsid w:val="0026030A"/>
    <w:rsid w:val="00260397"/>
    <w:rsid w:val="00261BA9"/>
    <w:rsid w:val="002627BC"/>
    <w:rsid w:val="0026341D"/>
    <w:rsid w:val="0026420E"/>
    <w:rsid w:val="002663B8"/>
    <w:rsid w:val="0026652F"/>
    <w:rsid w:val="002677F9"/>
    <w:rsid w:val="0027002F"/>
    <w:rsid w:val="002706CF"/>
    <w:rsid w:val="0027168A"/>
    <w:rsid w:val="002718A5"/>
    <w:rsid w:val="00272512"/>
    <w:rsid w:val="00274126"/>
    <w:rsid w:val="00274E04"/>
    <w:rsid w:val="00275371"/>
    <w:rsid w:val="00275BC7"/>
    <w:rsid w:val="002767A3"/>
    <w:rsid w:val="00276F66"/>
    <w:rsid w:val="00277456"/>
    <w:rsid w:val="00277BA3"/>
    <w:rsid w:val="002801B4"/>
    <w:rsid w:val="00280451"/>
    <w:rsid w:val="00281129"/>
    <w:rsid w:val="00281259"/>
    <w:rsid w:val="00281CE2"/>
    <w:rsid w:val="00281FF9"/>
    <w:rsid w:val="002835F0"/>
    <w:rsid w:val="002858C4"/>
    <w:rsid w:val="002870DA"/>
    <w:rsid w:val="00290B45"/>
    <w:rsid w:val="00293E90"/>
    <w:rsid w:val="002959DE"/>
    <w:rsid w:val="00296551"/>
    <w:rsid w:val="0029656C"/>
    <w:rsid w:val="00296FA3"/>
    <w:rsid w:val="002972BF"/>
    <w:rsid w:val="002A00AB"/>
    <w:rsid w:val="002A1728"/>
    <w:rsid w:val="002A24BD"/>
    <w:rsid w:val="002A35DB"/>
    <w:rsid w:val="002A6483"/>
    <w:rsid w:val="002B0920"/>
    <w:rsid w:val="002B0CDE"/>
    <w:rsid w:val="002B3282"/>
    <w:rsid w:val="002B3E4D"/>
    <w:rsid w:val="002B429F"/>
    <w:rsid w:val="002B44B4"/>
    <w:rsid w:val="002B56DA"/>
    <w:rsid w:val="002B6748"/>
    <w:rsid w:val="002C103D"/>
    <w:rsid w:val="002C21D2"/>
    <w:rsid w:val="002C30D3"/>
    <w:rsid w:val="002C403A"/>
    <w:rsid w:val="002C5670"/>
    <w:rsid w:val="002C58B8"/>
    <w:rsid w:val="002C7A5C"/>
    <w:rsid w:val="002C7F9B"/>
    <w:rsid w:val="002D004C"/>
    <w:rsid w:val="002D0309"/>
    <w:rsid w:val="002D0E21"/>
    <w:rsid w:val="002D145E"/>
    <w:rsid w:val="002D1707"/>
    <w:rsid w:val="002D18C5"/>
    <w:rsid w:val="002D3111"/>
    <w:rsid w:val="002D374C"/>
    <w:rsid w:val="002D57FE"/>
    <w:rsid w:val="002D7A8B"/>
    <w:rsid w:val="002D7ACE"/>
    <w:rsid w:val="002E225B"/>
    <w:rsid w:val="002E2550"/>
    <w:rsid w:val="002E3790"/>
    <w:rsid w:val="002E5ADD"/>
    <w:rsid w:val="002E5AFB"/>
    <w:rsid w:val="002F1EFA"/>
    <w:rsid w:val="002F292E"/>
    <w:rsid w:val="002F2ADF"/>
    <w:rsid w:val="002F48F3"/>
    <w:rsid w:val="00301A71"/>
    <w:rsid w:val="00301D3A"/>
    <w:rsid w:val="00301DDF"/>
    <w:rsid w:val="003025AF"/>
    <w:rsid w:val="00302D3C"/>
    <w:rsid w:val="00302E10"/>
    <w:rsid w:val="003051E4"/>
    <w:rsid w:val="003053E5"/>
    <w:rsid w:val="003056F6"/>
    <w:rsid w:val="003065DD"/>
    <w:rsid w:val="00306876"/>
    <w:rsid w:val="00310CBD"/>
    <w:rsid w:val="00310CFC"/>
    <w:rsid w:val="00311650"/>
    <w:rsid w:val="00311C8D"/>
    <w:rsid w:val="00312E2A"/>
    <w:rsid w:val="003134D9"/>
    <w:rsid w:val="00315186"/>
    <w:rsid w:val="00315EB4"/>
    <w:rsid w:val="00316509"/>
    <w:rsid w:val="0031654A"/>
    <w:rsid w:val="00317C53"/>
    <w:rsid w:val="00317E1B"/>
    <w:rsid w:val="0032136A"/>
    <w:rsid w:val="00323A21"/>
    <w:rsid w:val="00324442"/>
    <w:rsid w:val="00324EAC"/>
    <w:rsid w:val="00326D69"/>
    <w:rsid w:val="003272A0"/>
    <w:rsid w:val="00327A71"/>
    <w:rsid w:val="0033035B"/>
    <w:rsid w:val="003317B9"/>
    <w:rsid w:val="003326A2"/>
    <w:rsid w:val="00332C8E"/>
    <w:rsid w:val="003336B2"/>
    <w:rsid w:val="003367F5"/>
    <w:rsid w:val="00336BC3"/>
    <w:rsid w:val="00336F1E"/>
    <w:rsid w:val="003403FD"/>
    <w:rsid w:val="003418F1"/>
    <w:rsid w:val="00343392"/>
    <w:rsid w:val="003437B0"/>
    <w:rsid w:val="00343CDD"/>
    <w:rsid w:val="003444A4"/>
    <w:rsid w:val="00344C2E"/>
    <w:rsid w:val="00345569"/>
    <w:rsid w:val="003456BA"/>
    <w:rsid w:val="003461BF"/>
    <w:rsid w:val="003476D6"/>
    <w:rsid w:val="00351C15"/>
    <w:rsid w:val="003521C8"/>
    <w:rsid w:val="003532F3"/>
    <w:rsid w:val="00353C9D"/>
    <w:rsid w:val="00356E05"/>
    <w:rsid w:val="003573DB"/>
    <w:rsid w:val="00360559"/>
    <w:rsid w:val="00360987"/>
    <w:rsid w:val="00364A72"/>
    <w:rsid w:val="003655A4"/>
    <w:rsid w:val="00365940"/>
    <w:rsid w:val="003667B4"/>
    <w:rsid w:val="00366E5F"/>
    <w:rsid w:val="00366FD2"/>
    <w:rsid w:val="00367B91"/>
    <w:rsid w:val="00370BF8"/>
    <w:rsid w:val="00372F65"/>
    <w:rsid w:val="003742A1"/>
    <w:rsid w:val="003753FF"/>
    <w:rsid w:val="003772D9"/>
    <w:rsid w:val="00380FCD"/>
    <w:rsid w:val="00381C48"/>
    <w:rsid w:val="00382164"/>
    <w:rsid w:val="003821A9"/>
    <w:rsid w:val="00382BFD"/>
    <w:rsid w:val="00382F29"/>
    <w:rsid w:val="00383369"/>
    <w:rsid w:val="00384378"/>
    <w:rsid w:val="0038553C"/>
    <w:rsid w:val="00386C98"/>
    <w:rsid w:val="0038789C"/>
    <w:rsid w:val="00390A65"/>
    <w:rsid w:val="0039416E"/>
    <w:rsid w:val="003944DB"/>
    <w:rsid w:val="0039539F"/>
    <w:rsid w:val="00397A1C"/>
    <w:rsid w:val="003A0471"/>
    <w:rsid w:val="003A11DE"/>
    <w:rsid w:val="003A2485"/>
    <w:rsid w:val="003A409F"/>
    <w:rsid w:val="003A504A"/>
    <w:rsid w:val="003A5347"/>
    <w:rsid w:val="003A6E6B"/>
    <w:rsid w:val="003B0198"/>
    <w:rsid w:val="003B4B53"/>
    <w:rsid w:val="003B4F26"/>
    <w:rsid w:val="003B4F60"/>
    <w:rsid w:val="003B58D5"/>
    <w:rsid w:val="003C1118"/>
    <w:rsid w:val="003C20D7"/>
    <w:rsid w:val="003C3084"/>
    <w:rsid w:val="003C3577"/>
    <w:rsid w:val="003C6711"/>
    <w:rsid w:val="003D0A91"/>
    <w:rsid w:val="003D1E20"/>
    <w:rsid w:val="003D3AF6"/>
    <w:rsid w:val="003D50F0"/>
    <w:rsid w:val="003D5727"/>
    <w:rsid w:val="003D7C36"/>
    <w:rsid w:val="003D7DCC"/>
    <w:rsid w:val="003E1A90"/>
    <w:rsid w:val="003E1F1E"/>
    <w:rsid w:val="003E2DAA"/>
    <w:rsid w:val="003E3D2C"/>
    <w:rsid w:val="003E41FB"/>
    <w:rsid w:val="003E57DE"/>
    <w:rsid w:val="003E5E42"/>
    <w:rsid w:val="003F0824"/>
    <w:rsid w:val="003F0FC1"/>
    <w:rsid w:val="003F0FC3"/>
    <w:rsid w:val="003F13BA"/>
    <w:rsid w:val="003F3E3C"/>
    <w:rsid w:val="003F3FBD"/>
    <w:rsid w:val="003F6337"/>
    <w:rsid w:val="003F74E3"/>
    <w:rsid w:val="003F7F7D"/>
    <w:rsid w:val="0040153B"/>
    <w:rsid w:val="00401B19"/>
    <w:rsid w:val="00401C2C"/>
    <w:rsid w:val="0040204B"/>
    <w:rsid w:val="00402F4B"/>
    <w:rsid w:val="00403105"/>
    <w:rsid w:val="00405151"/>
    <w:rsid w:val="0040544A"/>
    <w:rsid w:val="0040553A"/>
    <w:rsid w:val="004065CB"/>
    <w:rsid w:val="004112F5"/>
    <w:rsid w:val="00413F63"/>
    <w:rsid w:val="00416217"/>
    <w:rsid w:val="004169B0"/>
    <w:rsid w:val="0041796A"/>
    <w:rsid w:val="00417C8F"/>
    <w:rsid w:val="004203E8"/>
    <w:rsid w:val="004205D1"/>
    <w:rsid w:val="00421AC0"/>
    <w:rsid w:val="004250A1"/>
    <w:rsid w:val="00426E45"/>
    <w:rsid w:val="00431DB3"/>
    <w:rsid w:val="0043310D"/>
    <w:rsid w:val="00434911"/>
    <w:rsid w:val="00434C0C"/>
    <w:rsid w:val="00437B31"/>
    <w:rsid w:val="004405D5"/>
    <w:rsid w:val="00441073"/>
    <w:rsid w:val="004417AF"/>
    <w:rsid w:val="00442911"/>
    <w:rsid w:val="004431B1"/>
    <w:rsid w:val="00443D19"/>
    <w:rsid w:val="00444C58"/>
    <w:rsid w:val="00445375"/>
    <w:rsid w:val="0044577A"/>
    <w:rsid w:val="004459D2"/>
    <w:rsid w:val="00445BB7"/>
    <w:rsid w:val="00445D76"/>
    <w:rsid w:val="00446C31"/>
    <w:rsid w:val="00447D11"/>
    <w:rsid w:val="00451585"/>
    <w:rsid w:val="004523A4"/>
    <w:rsid w:val="004528C4"/>
    <w:rsid w:val="00453DC0"/>
    <w:rsid w:val="00454AA6"/>
    <w:rsid w:val="00455428"/>
    <w:rsid w:val="004554F2"/>
    <w:rsid w:val="004566FE"/>
    <w:rsid w:val="00456C63"/>
    <w:rsid w:val="00456C80"/>
    <w:rsid w:val="004572B8"/>
    <w:rsid w:val="00457A53"/>
    <w:rsid w:val="00460AB8"/>
    <w:rsid w:val="00461876"/>
    <w:rsid w:val="00461AA6"/>
    <w:rsid w:val="00464172"/>
    <w:rsid w:val="004652AC"/>
    <w:rsid w:val="004660CE"/>
    <w:rsid w:val="00466159"/>
    <w:rsid w:val="004674C3"/>
    <w:rsid w:val="00470338"/>
    <w:rsid w:val="00470B4F"/>
    <w:rsid w:val="0047179E"/>
    <w:rsid w:val="00472A35"/>
    <w:rsid w:val="004736A2"/>
    <w:rsid w:val="00475456"/>
    <w:rsid w:val="0047671A"/>
    <w:rsid w:val="004804FA"/>
    <w:rsid w:val="0048163E"/>
    <w:rsid w:val="004827DF"/>
    <w:rsid w:val="0048394C"/>
    <w:rsid w:val="00484120"/>
    <w:rsid w:val="00485FF8"/>
    <w:rsid w:val="00487E7D"/>
    <w:rsid w:val="00487EC4"/>
    <w:rsid w:val="00491647"/>
    <w:rsid w:val="00491F05"/>
    <w:rsid w:val="00492B1E"/>
    <w:rsid w:val="00492DA2"/>
    <w:rsid w:val="0049323A"/>
    <w:rsid w:val="00493666"/>
    <w:rsid w:val="00493B93"/>
    <w:rsid w:val="0049502E"/>
    <w:rsid w:val="00497F47"/>
    <w:rsid w:val="004A024A"/>
    <w:rsid w:val="004A0EB6"/>
    <w:rsid w:val="004A3908"/>
    <w:rsid w:val="004A3C37"/>
    <w:rsid w:val="004A46B0"/>
    <w:rsid w:val="004A4B15"/>
    <w:rsid w:val="004A5421"/>
    <w:rsid w:val="004A59D4"/>
    <w:rsid w:val="004A5E82"/>
    <w:rsid w:val="004A631E"/>
    <w:rsid w:val="004A6815"/>
    <w:rsid w:val="004A6866"/>
    <w:rsid w:val="004A6F23"/>
    <w:rsid w:val="004A7400"/>
    <w:rsid w:val="004A7721"/>
    <w:rsid w:val="004B0BBF"/>
    <w:rsid w:val="004B13F1"/>
    <w:rsid w:val="004B2773"/>
    <w:rsid w:val="004B5646"/>
    <w:rsid w:val="004B7A5E"/>
    <w:rsid w:val="004C04CB"/>
    <w:rsid w:val="004C09B2"/>
    <w:rsid w:val="004C175A"/>
    <w:rsid w:val="004C1B4E"/>
    <w:rsid w:val="004C49E2"/>
    <w:rsid w:val="004C4CCD"/>
    <w:rsid w:val="004C6001"/>
    <w:rsid w:val="004C644B"/>
    <w:rsid w:val="004C6978"/>
    <w:rsid w:val="004D01B3"/>
    <w:rsid w:val="004D061F"/>
    <w:rsid w:val="004D1EC9"/>
    <w:rsid w:val="004D34AA"/>
    <w:rsid w:val="004D38F8"/>
    <w:rsid w:val="004D39C5"/>
    <w:rsid w:val="004D4D1C"/>
    <w:rsid w:val="004D4D32"/>
    <w:rsid w:val="004D4D8A"/>
    <w:rsid w:val="004D4DCD"/>
    <w:rsid w:val="004D64E2"/>
    <w:rsid w:val="004D773C"/>
    <w:rsid w:val="004D780B"/>
    <w:rsid w:val="004E0F37"/>
    <w:rsid w:val="004E144C"/>
    <w:rsid w:val="004E2EBE"/>
    <w:rsid w:val="004E2FD7"/>
    <w:rsid w:val="004E5143"/>
    <w:rsid w:val="004E54E8"/>
    <w:rsid w:val="004F0512"/>
    <w:rsid w:val="004F1249"/>
    <w:rsid w:val="004F16E4"/>
    <w:rsid w:val="004F1D31"/>
    <w:rsid w:val="004F436D"/>
    <w:rsid w:val="004F4BCB"/>
    <w:rsid w:val="004F4E15"/>
    <w:rsid w:val="004F53E8"/>
    <w:rsid w:val="004F714D"/>
    <w:rsid w:val="004F757D"/>
    <w:rsid w:val="005008EF"/>
    <w:rsid w:val="00500C39"/>
    <w:rsid w:val="00500CF8"/>
    <w:rsid w:val="0050168D"/>
    <w:rsid w:val="00503C47"/>
    <w:rsid w:val="0050401D"/>
    <w:rsid w:val="00505788"/>
    <w:rsid w:val="00507096"/>
    <w:rsid w:val="00507159"/>
    <w:rsid w:val="00510D4B"/>
    <w:rsid w:val="005112A3"/>
    <w:rsid w:val="00511326"/>
    <w:rsid w:val="00511465"/>
    <w:rsid w:val="0051223B"/>
    <w:rsid w:val="0051227E"/>
    <w:rsid w:val="00512C16"/>
    <w:rsid w:val="0051315D"/>
    <w:rsid w:val="00514B92"/>
    <w:rsid w:val="005172A4"/>
    <w:rsid w:val="005207E9"/>
    <w:rsid w:val="0052164F"/>
    <w:rsid w:val="00523A77"/>
    <w:rsid w:val="005251FE"/>
    <w:rsid w:val="00531161"/>
    <w:rsid w:val="0053178E"/>
    <w:rsid w:val="00532263"/>
    <w:rsid w:val="00533A15"/>
    <w:rsid w:val="00533CCD"/>
    <w:rsid w:val="005348F6"/>
    <w:rsid w:val="0053513D"/>
    <w:rsid w:val="00535311"/>
    <w:rsid w:val="0053691E"/>
    <w:rsid w:val="005401FE"/>
    <w:rsid w:val="0054039C"/>
    <w:rsid w:val="00540A91"/>
    <w:rsid w:val="005415AD"/>
    <w:rsid w:val="00541792"/>
    <w:rsid w:val="00542492"/>
    <w:rsid w:val="005424F9"/>
    <w:rsid w:val="005428CD"/>
    <w:rsid w:val="00542D7D"/>
    <w:rsid w:val="00544CE4"/>
    <w:rsid w:val="0054584B"/>
    <w:rsid w:val="00545CB4"/>
    <w:rsid w:val="005463B1"/>
    <w:rsid w:val="00546E23"/>
    <w:rsid w:val="00550286"/>
    <w:rsid w:val="00550DB7"/>
    <w:rsid w:val="00550E1D"/>
    <w:rsid w:val="0055201B"/>
    <w:rsid w:val="00552B60"/>
    <w:rsid w:val="005537B6"/>
    <w:rsid w:val="005537DA"/>
    <w:rsid w:val="00553ABF"/>
    <w:rsid w:val="00554E89"/>
    <w:rsid w:val="005559F4"/>
    <w:rsid w:val="00557C0B"/>
    <w:rsid w:val="00557D9A"/>
    <w:rsid w:val="00560173"/>
    <w:rsid w:val="0056134B"/>
    <w:rsid w:val="00561802"/>
    <w:rsid w:val="00562237"/>
    <w:rsid w:val="005623FF"/>
    <w:rsid w:val="005632C8"/>
    <w:rsid w:val="005634A3"/>
    <w:rsid w:val="005636A8"/>
    <w:rsid w:val="00564820"/>
    <w:rsid w:val="0056563F"/>
    <w:rsid w:val="00565E28"/>
    <w:rsid w:val="00566EB6"/>
    <w:rsid w:val="00567464"/>
    <w:rsid w:val="0057130A"/>
    <w:rsid w:val="005714D4"/>
    <w:rsid w:val="00571665"/>
    <w:rsid w:val="00571A94"/>
    <w:rsid w:val="00573258"/>
    <w:rsid w:val="0057364E"/>
    <w:rsid w:val="00574AFF"/>
    <w:rsid w:val="00575587"/>
    <w:rsid w:val="00576B0C"/>
    <w:rsid w:val="00576B39"/>
    <w:rsid w:val="00576D4A"/>
    <w:rsid w:val="005770BF"/>
    <w:rsid w:val="0058019C"/>
    <w:rsid w:val="00582F01"/>
    <w:rsid w:val="00583A65"/>
    <w:rsid w:val="005842A4"/>
    <w:rsid w:val="00585E1B"/>
    <w:rsid w:val="00586967"/>
    <w:rsid w:val="00587E39"/>
    <w:rsid w:val="00591A24"/>
    <w:rsid w:val="00593AF7"/>
    <w:rsid w:val="005946B9"/>
    <w:rsid w:val="005948E8"/>
    <w:rsid w:val="00594C44"/>
    <w:rsid w:val="005A23CC"/>
    <w:rsid w:val="005A2642"/>
    <w:rsid w:val="005A5745"/>
    <w:rsid w:val="005A6986"/>
    <w:rsid w:val="005A7D07"/>
    <w:rsid w:val="005A7E55"/>
    <w:rsid w:val="005B091B"/>
    <w:rsid w:val="005B0A64"/>
    <w:rsid w:val="005B1920"/>
    <w:rsid w:val="005B196C"/>
    <w:rsid w:val="005B1C76"/>
    <w:rsid w:val="005B2C5F"/>
    <w:rsid w:val="005B344F"/>
    <w:rsid w:val="005B3823"/>
    <w:rsid w:val="005B3D95"/>
    <w:rsid w:val="005B7792"/>
    <w:rsid w:val="005B7A51"/>
    <w:rsid w:val="005B7B2B"/>
    <w:rsid w:val="005B7B82"/>
    <w:rsid w:val="005C187B"/>
    <w:rsid w:val="005C3340"/>
    <w:rsid w:val="005C33DB"/>
    <w:rsid w:val="005C44CB"/>
    <w:rsid w:val="005C4C17"/>
    <w:rsid w:val="005C5E21"/>
    <w:rsid w:val="005C6417"/>
    <w:rsid w:val="005C6875"/>
    <w:rsid w:val="005C75BF"/>
    <w:rsid w:val="005C7A76"/>
    <w:rsid w:val="005D0532"/>
    <w:rsid w:val="005D09AB"/>
    <w:rsid w:val="005D3A52"/>
    <w:rsid w:val="005D5F0B"/>
    <w:rsid w:val="005D7918"/>
    <w:rsid w:val="005E0929"/>
    <w:rsid w:val="005E1042"/>
    <w:rsid w:val="005E13EC"/>
    <w:rsid w:val="005E1D01"/>
    <w:rsid w:val="005E2537"/>
    <w:rsid w:val="005E3A55"/>
    <w:rsid w:val="005E41D1"/>
    <w:rsid w:val="005E536C"/>
    <w:rsid w:val="005E5442"/>
    <w:rsid w:val="005E57B7"/>
    <w:rsid w:val="005E5DA0"/>
    <w:rsid w:val="005E6C40"/>
    <w:rsid w:val="005F0675"/>
    <w:rsid w:val="005F19B9"/>
    <w:rsid w:val="005F1DD1"/>
    <w:rsid w:val="005F7AF4"/>
    <w:rsid w:val="005F7DF4"/>
    <w:rsid w:val="00600516"/>
    <w:rsid w:val="0060129D"/>
    <w:rsid w:val="00603334"/>
    <w:rsid w:val="00604233"/>
    <w:rsid w:val="006059A8"/>
    <w:rsid w:val="0060609A"/>
    <w:rsid w:val="006060DF"/>
    <w:rsid w:val="00606862"/>
    <w:rsid w:val="00606E77"/>
    <w:rsid w:val="006072B7"/>
    <w:rsid w:val="00607801"/>
    <w:rsid w:val="006104FE"/>
    <w:rsid w:val="00610888"/>
    <w:rsid w:val="006116A6"/>
    <w:rsid w:val="0061173F"/>
    <w:rsid w:val="00612103"/>
    <w:rsid w:val="00612473"/>
    <w:rsid w:val="00612652"/>
    <w:rsid w:val="00613E5F"/>
    <w:rsid w:val="00615122"/>
    <w:rsid w:val="0061685B"/>
    <w:rsid w:val="00616D29"/>
    <w:rsid w:val="00616D2F"/>
    <w:rsid w:val="0061725F"/>
    <w:rsid w:val="006219CE"/>
    <w:rsid w:val="00622BA8"/>
    <w:rsid w:val="00623FFD"/>
    <w:rsid w:val="006269F6"/>
    <w:rsid w:val="00626BB2"/>
    <w:rsid w:val="0062761A"/>
    <w:rsid w:val="00627DC2"/>
    <w:rsid w:val="00632978"/>
    <w:rsid w:val="006331D4"/>
    <w:rsid w:val="0063541B"/>
    <w:rsid w:val="00635BA5"/>
    <w:rsid w:val="00636A83"/>
    <w:rsid w:val="00636CB2"/>
    <w:rsid w:val="0063714D"/>
    <w:rsid w:val="00637267"/>
    <w:rsid w:val="006375D5"/>
    <w:rsid w:val="0064170A"/>
    <w:rsid w:val="006417CE"/>
    <w:rsid w:val="006422C6"/>
    <w:rsid w:val="00643F9B"/>
    <w:rsid w:val="0064428D"/>
    <w:rsid w:val="0064568C"/>
    <w:rsid w:val="00646957"/>
    <w:rsid w:val="00647674"/>
    <w:rsid w:val="006501BE"/>
    <w:rsid w:val="006505C6"/>
    <w:rsid w:val="00652B7A"/>
    <w:rsid w:val="0065393B"/>
    <w:rsid w:val="006545DD"/>
    <w:rsid w:val="00654DC5"/>
    <w:rsid w:val="00655267"/>
    <w:rsid w:val="00655941"/>
    <w:rsid w:val="00656B6C"/>
    <w:rsid w:val="00657EAA"/>
    <w:rsid w:val="006608AE"/>
    <w:rsid w:val="00661664"/>
    <w:rsid w:val="00662263"/>
    <w:rsid w:val="006628BD"/>
    <w:rsid w:val="00662F53"/>
    <w:rsid w:val="00664AB8"/>
    <w:rsid w:val="00665366"/>
    <w:rsid w:val="0066651C"/>
    <w:rsid w:val="00667345"/>
    <w:rsid w:val="006673CE"/>
    <w:rsid w:val="0066764F"/>
    <w:rsid w:val="006702A2"/>
    <w:rsid w:val="006702C9"/>
    <w:rsid w:val="00670386"/>
    <w:rsid w:val="006713AD"/>
    <w:rsid w:val="006714A9"/>
    <w:rsid w:val="00671DFD"/>
    <w:rsid w:val="00672133"/>
    <w:rsid w:val="00672B90"/>
    <w:rsid w:val="006742AF"/>
    <w:rsid w:val="006747FE"/>
    <w:rsid w:val="00675529"/>
    <w:rsid w:val="00680A0E"/>
    <w:rsid w:val="00683186"/>
    <w:rsid w:val="0068607D"/>
    <w:rsid w:val="006860F1"/>
    <w:rsid w:val="00686970"/>
    <w:rsid w:val="0068706A"/>
    <w:rsid w:val="00691F58"/>
    <w:rsid w:val="00692275"/>
    <w:rsid w:val="006925D8"/>
    <w:rsid w:val="00693CC5"/>
    <w:rsid w:val="006949B6"/>
    <w:rsid w:val="0069548A"/>
    <w:rsid w:val="00695D5E"/>
    <w:rsid w:val="00696D38"/>
    <w:rsid w:val="0069798D"/>
    <w:rsid w:val="006A1333"/>
    <w:rsid w:val="006A1876"/>
    <w:rsid w:val="006A1E4D"/>
    <w:rsid w:val="006A2027"/>
    <w:rsid w:val="006A2265"/>
    <w:rsid w:val="006A30FD"/>
    <w:rsid w:val="006A451F"/>
    <w:rsid w:val="006A46CD"/>
    <w:rsid w:val="006A4AE9"/>
    <w:rsid w:val="006A4B35"/>
    <w:rsid w:val="006A4D24"/>
    <w:rsid w:val="006A4D2B"/>
    <w:rsid w:val="006A5C89"/>
    <w:rsid w:val="006A62D5"/>
    <w:rsid w:val="006A64C5"/>
    <w:rsid w:val="006A67A0"/>
    <w:rsid w:val="006A68E1"/>
    <w:rsid w:val="006A6D43"/>
    <w:rsid w:val="006A7027"/>
    <w:rsid w:val="006B1AE9"/>
    <w:rsid w:val="006B1AEB"/>
    <w:rsid w:val="006B1CBA"/>
    <w:rsid w:val="006B3927"/>
    <w:rsid w:val="006B448B"/>
    <w:rsid w:val="006B5088"/>
    <w:rsid w:val="006B514F"/>
    <w:rsid w:val="006B6387"/>
    <w:rsid w:val="006B6825"/>
    <w:rsid w:val="006B68E6"/>
    <w:rsid w:val="006B7377"/>
    <w:rsid w:val="006B7E19"/>
    <w:rsid w:val="006C0196"/>
    <w:rsid w:val="006C0815"/>
    <w:rsid w:val="006C086D"/>
    <w:rsid w:val="006C207B"/>
    <w:rsid w:val="006C2547"/>
    <w:rsid w:val="006C5BBE"/>
    <w:rsid w:val="006C74DF"/>
    <w:rsid w:val="006C7EA0"/>
    <w:rsid w:val="006D3C4A"/>
    <w:rsid w:val="006D3CC3"/>
    <w:rsid w:val="006D5F32"/>
    <w:rsid w:val="006D6A6A"/>
    <w:rsid w:val="006D6F63"/>
    <w:rsid w:val="006D75E8"/>
    <w:rsid w:val="006D7CE3"/>
    <w:rsid w:val="006E0712"/>
    <w:rsid w:val="006E08E3"/>
    <w:rsid w:val="006E102C"/>
    <w:rsid w:val="006E1410"/>
    <w:rsid w:val="006E191F"/>
    <w:rsid w:val="006E23C6"/>
    <w:rsid w:val="006E2DE3"/>
    <w:rsid w:val="006E3652"/>
    <w:rsid w:val="006E5C2B"/>
    <w:rsid w:val="006E6BC6"/>
    <w:rsid w:val="006E6F01"/>
    <w:rsid w:val="006F202E"/>
    <w:rsid w:val="006F2221"/>
    <w:rsid w:val="006F26D3"/>
    <w:rsid w:val="006F27D4"/>
    <w:rsid w:val="006F6FDF"/>
    <w:rsid w:val="006F7447"/>
    <w:rsid w:val="00702153"/>
    <w:rsid w:val="007039D9"/>
    <w:rsid w:val="00703CB5"/>
    <w:rsid w:val="00704288"/>
    <w:rsid w:val="00705139"/>
    <w:rsid w:val="007079B5"/>
    <w:rsid w:val="00710CB3"/>
    <w:rsid w:val="007122C9"/>
    <w:rsid w:val="0071236E"/>
    <w:rsid w:val="00713A7C"/>
    <w:rsid w:val="00714300"/>
    <w:rsid w:val="0071501B"/>
    <w:rsid w:val="007170D3"/>
    <w:rsid w:val="00717B54"/>
    <w:rsid w:val="00717E2E"/>
    <w:rsid w:val="00720001"/>
    <w:rsid w:val="0072054B"/>
    <w:rsid w:val="00720AE7"/>
    <w:rsid w:val="0072184D"/>
    <w:rsid w:val="00721B58"/>
    <w:rsid w:val="00723007"/>
    <w:rsid w:val="007245FF"/>
    <w:rsid w:val="00724BF4"/>
    <w:rsid w:val="00727243"/>
    <w:rsid w:val="00727AC1"/>
    <w:rsid w:val="007318C0"/>
    <w:rsid w:val="00734199"/>
    <w:rsid w:val="00734860"/>
    <w:rsid w:val="00735194"/>
    <w:rsid w:val="00735EB8"/>
    <w:rsid w:val="00736D73"/>
    <w:rsid w:val="00736FBA"/>
    <w:rsid w:val="00737FE8"/>
    <w:rsid w:val="00740C71"/>
    <w:rsid w:val="00741D70"/>
    <w:rsid w:val="00741E8F"/>
    <w:rsid w:val="007427BB"/>
    <w:rsid w:val="00742EAC"/>
    <w:rsid w:val="00743E4F"/>
    <w:rsid w:val="0074488D"/>
    <w:rsid w:val="0074570E"/>
    <w:rsid w:val="0074602B"/>
    <w:rsid w:val="00746385"/>
    <w:rsid w:val="00747066"/>
    <w:rsid w:val="00753C18"/>
    <w:rsid w:val="00756090"/>
    <w:rsid w:val="00756D28"/>
    <w:rsid w:val="00756F51"/>
    <w:rsid w:val="0075797B"/>
    <w:rsid w:val="007613E7"/>
    <w:rsid w:val="00762105"/>
    <w:rsid w:val="00764B5F"/>
    <w:rsid w:val="0076578C"/>
    <w:rsid w:val="0076606E"/>
    <w:rsid w:val="007665E0"/>
    <w:rsid w:val="00766679"/>
    <w:rsid w:val="00766A74"/>
    <w:rsid w:val="00766C75"/>
    <w:rsid w:val="00767F5D"/>
    <w:rsid w:val="00771AA7"/>
    <w:rsid w:val="00772205"/>
    <w:rsid w:val="00773DEE"/>
    <w:rsid w:val="00774248"/>
    <w:rsid w:val="00774BCF"/>
    <w:rsid w:val="00775B87"/>
    <w:rsid w:val="00776527"/>
    <w:rsid w:val="007766CF"/>
    <w:rsid w:val="00776FC3"/>
    <w:rsid w:val="007805EF"/>
    <w:rsid w:val="0078296B"/>
    <w:rsid w:val="0078393C"/>
    <w:rsid w:val="00783EB8"/>
    <w:rsid w:val="00784E7E"/>
    <w:rsid w:val="007850B5"/>
    <w:rsid w:val="00785481"/>
    <w:rsid w:val="00785A4C"/>
    <w:rsid w:val="00785F4B"/>
    <w:rsid w:val="007879CC"/>
    <w:rsid w:val="007908C5"/>
    <w:rsid w:val="007908C9"/>
    <w:rsid w:val="007917A2"/>
    <w:rsid w:val="00791ECF"/>
    <w:rsid w:val="00792D73"/>
    <w:rsid w:val="0079303A"/>
    <w:rsid w:val="00793530"/>
    <w:rsid w:val="00793551"/>
    <w:rsid w:val="007944BC"/>
    <w:rsid w:val="00794D3F"/>
    <w:rsid w:val="007A009C"/>
    <w:rsid w:val="007A061F"/>
    <w:rsid w:val="007A077C"/>
    <w:rsid w:val="007A0A45"/>
    <w:rsid w:val="007A1BEB"/>
    <w:rsid w:val="007A1C9E"/>
    <w:rsid w:val="007A2591"/>
    <w:rsid w:val="007A32A1"/>
    <w:rsid w:val="007A3AEC"/>
    <w:rsid w:val="007A4B30"/>
    <w:rsid w:val="007A4B52"/>
    <w:rsid w:val="007A4DA9"/>
    <w:rsid w:val="007A5D36"/>
    <w:rsid w:val="007A68A1"/>
    <w:rsid w:val="007A77F8"/>
    <w:rsid w:val="007B1E9D"/>
    <w:rsid w:val="007B1F4E"/>
    <w:rsid w:val="007B33BA"/>
    <w:rsid w:val="007B3B7B"/>
    <w:rsid w:val="007B4903"/>
    <w:rsid w:val="007B538B"/>
    <w:rsid w:val="007B53DD"/>
    <w:rsid w:val="007B66E2"/>
    <w:rsid w:val="007B6C0F"/>
    <w:rsid w:val="007C0A88"/>
    <w:rsid w:val="007C0B67"/>
    <w:rsid w:val="007C1AE7"/>
    <w:rsid w:val="007C1BB5"/>
    <w:rsid w:val="007C2F11"/>
    <w:rsid w:val="007C3544"/>
    <w:rsid w:val="007C3CFC"/>
    <w:rsid w:val="007C3DC6"/>
    <w:rsid w:val="007C4901"/>
    <w:rsid w:val="007C5ADE"/>
    <w:rsid w:val="007C6C91"/>
    <w:rsid w:val="007C7B9D"/>
    <w:rsid w:val="007C7E27"/>
    <w:rsid w:val="007D16B8"/>
    <w:rsid w:val="007D26A2"/>
    <w:rsid w:val="007D446A"/>
    <w:rsid w:val="007D4CC8"/>
    <w:rsid w:val="007D4E4F"/>
    <w:rsid w:val="007D5DEF"/>
    <w:rsid w:val="007D608B"/>
    <w:rsid w:val="007D63F6"/>
    <w:rsid w:val="007E015B"/>
    <w:rsid w:val="007E027B"/>
    <w:rsid w:val="007E0751"/>
    <w:rsid w:val="007E0E9D"/>
    <w:rsid w:val="007E13BB"/>
    <w:rsid w:val="007E16DE"/>
    <w:rsid w:val="007E1925"/>
    <w:rsid w:val="007E24B6"/>
    <w:rsid w:val="007E2DEE"/>
    <w:rsid w:val="007E4A9C"/>
    <w:rsid w:val="007E506E"/>
    <w:rsid w:val="007E52CD"/>
    <w:rsid w:val="007E56E3"/>
    <w:rsid w:val="007E5FE7"/>
    <w:rsid w:val="007E63FD"/>
    <w:rsid w:val="007E64F0"/>
    <w:rsid w:val="007E6610"/>
    <w:rsid w:val="007F2148"/>
    <w:rsid w:val="007F2DE0"/>
    <w:rsid w:val="007F44B2"/>
    <w:rsid w:val="007F4E7A"/>
    <w:rsid w:val="007F7382"/>
    <w:rsid w:val="00801C32"/>
    <w:rsid w:val="00802234"/>
    <w:rsid w:val="0080352B"/>
    <w:rsid w:val="00803C69"/>
    <w:rsid w:val="008052C7"/>
    <w:rsid w:val="008055A1"/>
    <w:rsid w:val="0080615E"/>
    <w:rsid w:val="008101F0"/>
    <w:rsid w:val="00810E6A"/>
    <w:rsid w:val="00812484"/>
    <w:rsid w:val="00812754"/>
    <w:rsid w:val="0081381C"/>
    <w:rsid w:val="0081424F"/>
    <w:rsid w:val="00814AFE"/>
    <w:rsid w:val="00814BC9"/>
    <w:rsid w:val="0081707B"/>
    <w:rsid w:val="00817FA9"/>
    <w:rsid w:val="008227D4"/>
    <w:rsid w:val="00824D07"/>
    <w:rsid w:val="008264FA"/>
    <w:rsid w:val="00826E14"/>
    <w:rsid w:val="0082710A"/>
    <w:rsid w:val="008303C1"/>
    <w:rsid w:val="008303F2"/>
    <w:rsid w:val="00832250"/>
    <w:rsid w:val="00832E35"/>
    <w:rsid w:val="0083314C"/>
    <w:rsid w:val="00833ECB"/>
    <w:rsid w:val="00834584"/>
    <w:rsid w:val="00834A8D"/>
    <w:rsid w:val="008361BE"/>
    <w:rsid w:val="00836216"/>
    <w:rsid w:val="00836F5F"/>
    <w:rsid w:val="0083709C"/>
    <w:rsid w:val="008375E6"/>
    <w:rsid w:val="00840080"/>
    <w:rsid w:val="00840A52"/>
    <w:rsid w:val="00840BDC"/>
    <w:rsid w:val="00841C1A"/>
    <w:rsid w:val="00841F7E"/>
    <w:rsid w:val="008434CD"/>
    <w:rsid w:val="008435BB"/>
    <w:rsid w:val="008454FA"/>
    <w:rsid w:val="00851529"/>
    <w:rsid w:val="008515B6"/>
    <w:rsid w:val="008518A2"/>
    <w:rsid w:val="00853438"/>
    <w:rsid w:val="00853DCF"/>
    <w:rsid w:val="008547DB"/>
    <w:rsid w:val="00855F03"/>
    <w:rsid w:val="00856867"/>
    <w:rsid w:val="00856F7D"/>
    <w:rsid w:val="0085727F"/>
    <w:rsid w:val="008574B0"/>
    <w:rsid w:val="00860B38"/>
    <w:rsid w:val="00861889"/>
    <w:rsid w:val="00861923"/>
    <w:rsid w:val="0086232B"/>
    <w:rsid w:val="00862505"/>
    <w:rsid w:val="00862C0A"/>
    <w:rsid w:val="008633A2"/>
    <w:rsid w:val="00863BBE"/>
    <w:rsid w:val="0086493C"/>
    <w:rsid w:val="00865249"/>
    <w:rsid w:val="0086638F"/>
    <w:rsid w:val="008667DF"/>
    <w:rsid w:val="00867840"/>
    <w:rsid w:val="0087274C"/>
    <w:rsid w:val="00874291"/>
    <w:rsid w:val="00874C05"/>
    <w:rsid w:val="00876875"/>
    <w:rsid w:val="00876AD1"/>
    <w:rsid w:val="00876F0D"/>
    <w:rsid w:val="00877C13"/>
    <w:rsid w:val="00877DE4"/>
    <w:rsid w:val="008805B1"/>
    <w:rsid w:val="00880915"/>
    <w:rsid w:val="008822D6"/>
    <w:rsid w:val="00882492"/>
    <w:rsid w:val="00882A26"/>
    <w:rsid w:val="00882DF1"/>
    <w:rsid w:val="00883444"/>
    <w:rsid w:val="00883E00"/>
    <w:rsid w:val="0088458A"/>
    <w:rsid w:val="00884979"/>
    <w:rsid w:val="00885059"/>
    <w:rsid w:val="00885BB1"/>
    <w:rsid w:val="00885C1B"/>
    <w:rsid w:val="00886F38"/>
    <w:rsid w:val="0088720C"/>
    <w:rsid w:val="00890F30"/>
    <w:rsid w:val="00890F37"/>
    <w:rsid w:val="008912FE"/>
    <w:rsid w:val="008952EF"/>
    <w:rsid w:val="00896DB3"/>
    <w:rsid w:val="00897497"/>
    <w:rsid w:val="0089767D"/>
    <w:rsid w:val="008A2182"/>
    <w:rsid w:val="008A2443"/>
    <w:rsid w:val="008A2823"/>
    <w:rsid w:val="008A32D2"/>
    <w:rsid w:val="008A7DB4"/>
    <w:rsid w:val="008B0C50"/>
    <w:rsid w:val="008B0D8F"/>
    <w:rsid w:val="008B11E4"/>
    <w:rsid w:val="008B18F2"/>
    <w:rsid w:val="008B1C8C"/>
    <w:rsid w:val="008B2703"/>
    <w:rsid w:val="008B456D"/>
    <w:rsid w:val="008B5015"/>
    <w:rsid w:val="008B6093"/>
    <w:rsid w:val="008B6761"/>
    <w:rsid w:val="008B6A77"/>
    <w:rsid w:val="008B7798"/>
    <w:rsid w:val="008C0BC7"/>
    <w:rsid w:val="008C1FFA"/>
    <w:rsid w:val="008C2711"/>
    <w:rsid w:val="008C31AC"/>
    <w:rsid w:val="008C4600"/>
    <w:rsid w:val="008C766C"/>
    <w:rsid w:val="008C7D3D"/>
    <w:rsid w:val="008D19C4"/>
    <w:rsid w:val="008D1A8F"/>
    <w:rsid w:val="008D1CCE"/>
    <w:rsid w:val="008D2004"/>
    <w:rsid w:val="008D220B"/>
    <w:rsid w:val="008D28EA"/>
    <w:rsid w:val="008D3059"/>
    <w:rsid w:val="008D3281"/>
    <w:rsid w:val="008D3323"/>
    <w:rsid w:val="008D4538"/>
    <w:rsid w:val="008D5BFC"/>
    <w:rsid w:val="008D6210"/>
    <w:rsid w:val="008E0229"/>
    <w:rsid w:val="008E0594"/>
    <w:rsid w:val="008E1EBD"/>
    <w:rsid w:val="008E3AF8"/>
    <w:rsid w:val="008E4291"/>
    <w:rsid w:val="008E49EE"/>
    <w:rsid w:val="008E573D"/>
    <w:rsid w:val="008E6279"/>
    <w:rsid w:val="008E6E79"/>
    <w:rsid w:val="008E77D0"/>
    <w:rsid w:val="008F05C4"/>
    <w:rsid w:val="008F13EC"/>
    <w:rsid w:val="008F3705"/>
    <w:rsid w:val="008F3B11"/>
    <w:rsid w:val="008F4505"/>
    <w:rsid w:val="008F56F4"/>
    <w:rsid w:val="008F5831"/>
    <w:rsid w:val="008F5DC7"/>
    <w:rsid w:val="008F7808"/>
    <w:rsid w:val="008F78DC"/>
    <w:rsid w:val="00900326"/>
    <w:rsid w:val="009010D2"/>
    <w:rsid w:val="0090124B"/>
    <w:rsid w:val="00902659"/>
    <w:rsid w:val="0090436E"/>
    <w:rsid w:val="00905305"/>
    <w:rsid w:val="00907269"/>
    <w:rsid w:val="009107B6"/>
    <w:rsid w:val="00910A80"/>
    <w:rsid w:val="00910E2E"/>
    <w:rsid w:val="00912073"/>
    <w:rsid w:val="00912373"/>
    <w:rsid w:val="0091596B"/>
    <w:rsid w:val="00915B25"/>
    <w:rsid w:val="00915EDD"/>
    <w:rsid w:val="009168B6"/>
    <w:rsid w:val="00916AA4"/>
    <w:rsid w:val="00916BAD"/>
    <w:rsid w:val="00917032"/>
    <w:rsid w:val="00917183"/>
    <w:rsid w:val="00921CCF"/>
    <w:rsid w:val="009235EF"/>
    <w:rsid w:val="00923CA6"/>
    <w:rsid w:val="00923CC1"/>
    <w:rsid w:val="00924089"/>
    <w:rsid w:val="009249BD"/>
    <w:rsid w:val="00924C5F"/>
    <w:rsid w:val="00926FC4"/>
    <w:rsid w:val="00927F33"/>
    <w:rsid w:val="0093028E"/>
    <w:rsid w:val="009311E3"/>
    <w:rsid w:val="00931E55"/>
    <w:rsid w:val="0093282D"/>
    <w:rsid w:val="0093299F"/>
    <w:rsid w:val="0093361E"/>
    <w:rsid w:val="0093372D"/>
    <w:rsid w:val="00934D3C"/>
    <w:rsid w:val="009351FC"/>
    <w:rsid w:val="009353CA"/>
    <w:rsid w:val="00937AB9"/>
    <w:rsid w:val="00940C92"/>
    <w:rsid w:val="00944218"/>
    <w:rsid w:val="00944951"/>
    <w:rsid w:val="0094505E"/>
    <w:rsid w:val="00947F30"/>
    <w:rsid w:val="009518F7"/>
    <w:rsid w:val="00951DFC"/>
    <w:rsid w:val="00952FAD"/>
    <w:rsid w:val="00953837"/>
    <w:rsid w:val="00953E57"/>
    <w:rsid w:val="00955677"/>
    <w:rsid w:val="0095706D"/>
    <w:rsid w:val="009577E7"/>
    <w:rsid w:val="009578C8"/>
    <w:rsid w:val="00957A90"/>
    <w:rsid w:val="0096083B"/>
    <w:rsid w:val="009612CC"/>
    <w:rsid w:val="00962372"/>
    <w:rsid w:val="009635F5"/>
    <w:rsid w:val="00963627"/>
    <w:rsid w:val="00963C95"/>
    <w:rsid w:val="00964685"/>
    <w:rsid w:val="00965CED"/>
    <w:rsid w:val="00966C34"/>
    <w:rsid w:val="009670BA"/>
    <w:rsid w:val="0096714F"/>
    <w:rsid w:val="00967CEB"/>
    <w:rsid w:val="00970184"/>
    <w:rsid w:val="00970429"/>
    <w:rsid w:val="00974CE3"/>
    <w:rsid w:val="009762A1"/>
    <w:rsid w:val="00976CF0"/>
    <w:rsid w:val="009774D0"/>
    <w:rsid w:val="009775BF"/>
    <w:rsid w:val="00977753"/>
    <w:rsid w:val="009819B7"/>
    <w:rsid w:val="00981A97"/>
    <w:rsid w:val="00981D87"/>
    <w:rsid w:val="00981F3D"/>
    <w:rsid w:val="00983111"/>
    <w:rsid w:val="00983D15"/>
    <w:rsid w:val="00983DF7"/>
    <w:rsid w:val="00984BED"/>
    <w:rsid w:val="00985CFE"/>
    <w:rsid w:val="00991452"/>
    <w:rsid w:val="009925CF"/>
    <w:rsid w:val="0099331F"/>
    <w:rsid w:val="00995B6D"/>
    <w:rsid w:val="009979B2"/>
    <w:rsid w:val="00997D9E"/>
    <w:rsid w:val="009A0348"/>
    <w:rsid w:val="009A10B4"/>
    <w:rsid w:val="009A13F8"/>
    <w:rsid w:val="009A42D2"/>
    <w:rsid w:val="009A466E"/>
    <w:rsid w:val="009A48FB"/>
    <w:rsid w:val="009A54BB"/>
    <w:rsid w:val="009A70C8"/>
    <w:rsid w:val="009A7485"/>
    <w:rsid w:val="009A7891"/>
    <w:rsid w:val="009B05D4"/>
    <w:rsid w:val="009B0CD4"/>
    <w:rsid w:val="009B1073"/>
    <w:rsid w:val="009B2B83"/>
    <w:rsid w:val="009B4C71"/>
    <w:rsid w:val="009C094B"/>
    <w:rsid w:val="009C0C6D"/>
    <w:rsid w:val="009C1AF8"/>
    <w:rsid w:val="009C2E60"/>
    <w:rsid w:val="009C385D"/>
    <w:rsid w:val="009C3F77"/>
    <w:rsid w:val="009C6CCE"/>
    <w:rsid w:val="009D1AE9"/>
    <w:rsid w:val="009D22F6"/>
    <w:rsid w:val="009D2842"/>
    <w:rsid w:val="009D2E1E"/>
    <w:rsid w:val="009D3283"/>
    <w:rsid w:val="009D3634"/>
    <w:rsid w:val="009D6550"/>
    <w:rsid w:val="009D7969"/>
    <w:rsid w:val="009D7E12"/>
    <w:rsid w:val="009E1656"/>
    <w:rsid w:val="009E22EE"/>
    <w:rsid w:val="009E2F5F"/>
    <w:rsid w:val="009E4B60"/>
    <w:rsid w:val="009E5621"/>
    <w:rsid w:val="009E65CE"/>
    <w:rsid w:val="009F111A"/>
    <w:rsid w:val="009F2B74"/>
    <w:rsid w:val="009F396B"/>
    <w:rsid w:val="009F4086"/>
    <w:rsid w:val="009F4F86"/>
    <w:rsid w:val="009F524B"/>
    <w:rsid w:val="009F5E7B"/>
    <w:rsid w:val="009F64E2"/>
    <w:rsid w:val="00A0060F"/>
    <w:rsid w:val="00A03B0E"/>
    <w:rsid w:val="00A04187"/>
    <w:rsid w:val="00A04CDF"/>
    <w:rsid w:val="00A055B5"/>
    <w:rsid w:val="00A06737"/>
    <w:rsid w:val="00A07293"/>
    <w:rsid w:val="00A073BB"/>
    <w:rsid w:val="00A0796F"/>
    <w:rsid w:val="00A07A57"/>
    <w:rsid w:val="00A10851"/>
    <w:rsid w:val="00A10C55"/>
    <w:rsid w:val="00A13212"/>
    <w:rsid w:val="00A13884"/>
    <w:rsid w:val="00A1391F"/>
    <w:rsid w:val="00A166FF"/>
    <w:rsid w:val="00A17459"/>
    <w:rsid w:val="00A175AD"/>
    <w:rsid w:val="00A2058A"/>
    <w:rsid w:val="00A21754"/>
    <w:rsid w:val="00A223B7"/>
    <w:rsid w:val="00A23507"/>
    <w:rsid w:val="00A23F8C"/>
    <w:rsid w:val="00A25492"/>
    <w:rsid w:val="00A268B1"/>
    <w:rsid w:val="00A269EF"/>
    <w:rsid w:val="00A2729B"/>
    <w:rsid w:val="00A278B5"/>
    <w:rsid w:val="00A30BF5"/>
    <w:rsid w:val="00A3233E"/>
    <w:rsid w:val="00A323BF"/>
    <w:rsid w:val="00A32769"/>
    <w:rsid w:val="00A336D2"/>
    <w:rsid w:val="00A3370E"/>
    <w:rsid w:val="00A33D37"/>
    <w:rsid w:val="00A36818"/>
    <w:rsid w:val="00A369C3"/>
    <w:rsid w:val="00A369E5"/>
    <w:rsid w:val="00A36CF4"/>
    <w:rsid w:val="00A36E4D"/>
    <w:rsid w:val="00A376FC"/>
    <w:rsid w:val="00A40567"/>
    <w:rsid w:val="00A4056F"/>
    <w:rsid w:val="00A408AE"/>
    <w:rsid w:val="00A42142"/>
    <w:rsid w:val="00A43E3D"/>
    <w:rsid w:val="00A4538B"/>
    <w:rsid w:val="00A46396"/>
    <w:rsid w:val="00A50459"/>
    <w:rsid w:val="00A506AA"/>
    <w:rsid w:val="00A51DD8"/>
    <w:rsid w:val="00A523E4"/>
    <w:rsid w:val="00A52647"/>
    <w:rsid w:val="00A53835"/>
    <w:rsid w:val="00A54500"/>
    <w:rsid w:val="00A564A7"/>
    <w:rsid w:val="00A57921"/>
    <w:rsid w:val="00A60397"/>
    <w:rsid w:val="00A61290"/>
    <w:rsid w:val="00A62CEC"/>
    <w:rsid w:val="00A62E89"/>
    <w:rsid w:val="00A62F74"/>
    <w:rsid w:val="00A63027"/>
    <w:rsid w:val="00A63D7C"/>
    <w:rsid w:val="00A64501"/>
    <w:rsid w:val="00A64D8D"/>
    <w:rsid w:val="00A70B23"/>
    <w:rsid w:val="00A712B5"/>
    <w:rsid w:val="00A724EC"/>
    <w:rsid w:val="00A72AA9"/>
    <w:rsid w:val="00A73092"/>
    <w:rsid w:val="00A7334C"/>
    <w:rsid w:val="00A73C9E"/>
    <w:rsid w:val="00A73CD9"/>
    <w:rsid w:val="00A753EA"/>
    <w:rsid w:val="00A75493"/>
    <w:rsid w:val="00A761CF"/>
    <w:rsid w:val="00A76552"/>
    <w:rsid w:val="00A8069C"/>
    <w:rsid w:val="00A8138B"/>
    <w:rsid w:val="00A813B8"/>
    <w:rsid w:val="00A816AC"/>
    <w:rsid w:val="00A81815"/>
    <w:rsid w:val="00A83589"/>
    <w:rsid w:val="00A83EE6"/>
    <w:rsid w:val="00A8414F"/>
    <w:rsid w:val="00A85C5D"/>
    <w:rsid w:val="00A8617B"/>
    <w:rsid w:val="00A8659F"/>
    <w:rsid w:val="00A9119F"/>
    <w:rsid w:val="00A91F46"/>
    <w:rsid w:val="00A92E10"/>
    <w:rsid w:val="00A95BFD"/>
    <w:rsid w:val="00A95CC8"/>
    <w:rsid w:val="00A95E91"/>
    <w:rsid w:val="00A97440"/>
    <w:rsid w:val="00AA1622"/>
    <w:rsid w:val="00AA1F9F"/>
    <w:rsid w:val="00AA321A"/>
    <w:rsid w:val="00AA374C"/>
    <w:rsid w:val="00AA420F"/>
    <w:rsid w:val="00AA4AB3"/>
    <w:rsid w:val="00AA5CC5"/>
    <w:rsid w:val="00AA7049"/>
    <w:rsid w:val="00AA7061"/>
    <w:rsid w:val="00AA778F"/>
    <w:rsid w:val="00AA7A8D"/>
    <w:rsid w:val="00AB0507"/>
    <w:rsid w:val="00AB21DE"/>
    <w:rsid w:val="00AB2331"/>
    <w:rsid w:val="00AB2742"/>
    <w:rsid w:val="00AB2EB2"/>
    <w:rsid w:val="00AB2EEC"/>
    <w:rsid w:val="00AB4466"/>
    <w:rsid w:val="00AB6427"/>
    <w:rsid w:val="00AC0134"/>
    <w:rsid w:val="00AC1C2D"/>
    <w:rsid w:val="00AC601E"/>
    <w:rsid w:val="00AC7448"/>
    <w:rsid w:val="00AC75A5"/>
    <w:rsid w:val="00AC7AD3"/>
    <w:rsid w:val="00AD0C6D"/>
    <w:rsid w:val="00AD1349"/>
    <w:rsid w:val="00AD2DC0"/>
    <w:rsid w:val="00AD35E1"/>
    <w:rsid w:val="00AD3EFC"/>
    <w:rsid w:val="00AD4DA4"/>
    <w:rsid w:val="00AD50EF"/>
    <w:rsid w:val="00AD7546"/>
    <w:rsid w:val="00AE02B9"/>
    <w:rsid w:val="00AE24A6"/>
    <w:rsid w:val="00AE33AA"/>
    <w:rsid w:val="00AE3A9B"/>
    <w:rsid w:val="00AE428A"/>
    <w:rsid w:val="00AE466D"/>
    <w:rsid w:val="00AE4F32"/>
    <w:rsid w:val="00AE5672"/>
    <w:rsid w:val="00AE60B7"/>
    <w:rsid w:val="00AE67DC"/>
    <w:rsid w:val="00AE6859"/>
    <w:rsid w:val="00AE6F8B"/>
    <w:rsid w:val="00AE7111"/>
    <w:rsid w:val="00AE75D5"/>
    <w:rsid w:val="00AE76CB"/>
    <w:rsid w:val="00AF03DF"/>
    <w:rsid w:val="00AF24BE"/>
    <w:rsid w:val="00AF2E24"/>
    <w:rsid w:val="00AF3793"/>
    <w:rsid w:val="00AF49BE"/>
    <w:rsid w:val="00AF53F1"/>
    <w:rsid w:val="00AF675C"/>
    <w:rsid w:val="00B003CF"/>
    <w:rsid w:val="00B0137E"/>
    <w:rsid w:val="00B026B3"/>
    <w:rsid w:val="00B02C81"/>
    <w:rsid w:val="00B03442"/>
    <w:rsid w:val="00B042CB"/>
    <w:rsid w:val="00B04EBB"/>
    <w:rsid w:val="00B05CAC"/>
    <w:rsid w:val="00B05D16"/>
    <w:rsid w:val="00B06BD6"/>
    <w:rsid w:val="00B07225"/>
    <w:rsid w:val="00B0759E"/>
    <w:rsid w:val="00B10680"/>
    <w:rsid w:val="00B11940"/>
    <w:rsid w:val="00B13EC5"/>
    <w:rsid w:val="00B15922"/>
    <w:rsid w:val="00B1596F"/>
    <w:rsid w:val="00B2146E"/>
    <w:rsid w:val="00B21FC8"/>
    <w:rsid w:val="00B2547C"/>
    <w:rsid w:val="00B257E2"/>
    <w:rsid w:val="00B30C5E"/>
    <w:rsid w:val="00B30CC2"/>
    <w:rsid w:val="00B31602"/>
    <w:rsid w:val="00B31ABF"/>
    <w:rsid w:val="00B31BCA"/>
    <w:rsid w:val="00B31DE7"/>
    <w:rsid w:val="00B3271C"/>
    <w:rsid w:val="00B33BFC"/>
    <w:rsid w:val="00B356F6"/>
    <w:rsid w:val="00B419BC"/>
    <w:rsid w:val="00B41CA8"/>
    <w:rsid w:val="00B4329B"/>
    <w:rsid w:val="00B438A3"/>
    <w:rsid w:val="00B45BE3"/>
    <w:rsid w:val="00B46C24"/>
    <w:rsid w:val="00B47285"/>
    <w:rsid w:val="00B4775A"/>
    <w:rsid w:val="00B47A6A"/>
    <w:rsid w:val="00B47D72"/>
    <w:rsid w:val="00B503BF"/>
    <w:rsid w:val="00B516F8"/>
    <w:rsid w:val="00B520F1"/>
    <w:rsid w:val="00B52A3A"/>
    <w:rsid w:val="00B547DC"/>
    <w:rsid w:val="00B54A25"/>
    <w:rsid w:val="00B553CF"/>
    <w:rsid w:val="00B610A5"/>
    <w:rsid w:val="00B61285"/>
    <w:rsid w:val="00B633E6"/>
    <w:rsid w:val="00B6378C"/>
    <w:rsid w:val="00B640FC"/>
    <w:rsid w:val="00B6458C"/>
    <w:rsid w:val="00B64A95"/>
    <w:rsid w:val="00B6513D"/>
    <w:rsid w:val="00B65ADE"/>
    <w:rsid w:val="00B66ED1"/>
    <w:rsid w:val="00B67B32"/>
    <w:rsid w:val="00B70D87"/>
    <w:rsid w:val="00B70FE0"/>
    <w:rsid w:val="00B73665"/>
    <w:rsid w:val="00B73C34"/>
    <w:rsid w:val="00B73D36"/>
    <w:rsid w:val="00B73EF4"/>
    <w:rsid w:val="00B756A9"/>
    <w:rsid w:val="00B76659"/>
    <w:rsid w:val="00B773F7"/>
    <w:rsid w:val="00B777AA"/>
    <w:rsid w:val="00B80FF6"/>
    <w:rsid w:val="00B81329"/>
    <w:rsid w:val="00B81824"/>
    <w:rsid w:val="00B81CA6"/>
    <w:rsid w:val="00B81FAF"/>
    <w:rsid w:val="00B828ED"/>
    <w:rsid w:val="00B84A76"/>
    <w:rsid w:val="00B85425"/>
    <w:rsid w:val="00B86830"/>
    <w:rsid w:val="00B9041F"/>
    <w:rsid w:val="00B90E7B"/>
    <w:rsid w:val="00B9178F"/>
    <w:rsid w:val="00B91FBC"/>
    <w:rsid w:val="00B9341A"/>
    <w:rsid w:val="00B93E84"/>
    <w:rsid w:val="00B95961"/>
    <w:rsid w:val="00B96D25"/>
    <w:rsid w:val="00B97128"/>
    <w:rsid w:val="00BA1922"/>
    <w:rsid w:val="00BA35C0"/>
    <w:rsid w:val="00BA6F87"/>
    <w:rsid w:val="00BA7CD1"/>
    <w:rsid w:val="00BA7DA2"/>
    <w:rsid w:val="00BB1641"/>
    <w:rsid w:val="00BB2A36"/>
    <w:rsid w:val="00BB36A4"/>
    <w:rsid w:val="00BB3EC8"/>
    <w:rsid w:val="00BB4011"/>
    <w:rsid w:val="00BB552E"/>
    <w:rsid w:val="00BB6357"/>
    <w:rsid w:val="00BB6560"/>
    <w:rsid w:val="00BB6858"/>
    <w:rsid w:val="00BB7650"/>
    <w:rsid w:val="00BC0759"/>
    <w:rsid w:val="00BC105F"/>
    <w:rsid w:val="00BC1E7F"/>
    <w:rsid w:val="00BC253D"/>
    <w:rsid w:val="00BC3796"/>
    <w:rsid w:val="00BC38F7"/>
    <w:rsid w:val="00BC5711"/>
    <w:rsid w:val="00BC5BEE"/>
    <w:rsid w:val="00BC5E7A"/>
    <w:rsid w:val="00BC7796"/>
    <w:rsid w:val="00BC7A92"/>
    <w:rsid w:val="00BD0804"/>
    <w:rsid w:val="00BD15C1"/>
    <w:rsid w:val="00BD241A"/>
    <w:rsid w:val="00BD2CCC"/>
    <w:rsid w:val="00BD345F"/>
    <w:rsid w:val="00BD3E25"/>
    <w:rsid w:val="00BD42C5"/>
    <w:rsid w:val="00BD4329"/>
    <w:rsid w:val="00BD48A6"/>
    <w:rsid w:val="00BD6678"/>
    <w:rsid w:val="00BD71A1"/>
    <w:rsid w:val="00BE0ED3"/>
    <w:rsid w:val="00BE0F60"/>
    <w:rsid w:val="00BE109F"/>
    <w:rsid w:val="00BE10F0"/>
    <w:rsid w:val="00BE1D4A"/>
    <w:rsid w:val="00BE2D70"/>
    <w:rsid w:val="00BE3D98"/>
    <w:rsid w:val="00BE4223"/>
    <w:rsid w:val="00BE4682"/>
    <w:rsid w:val="00BE4AA1"/>
    <w:rsid w:val="00BE57BB"/>
    <w:rsid w:val="00BE5EF2"/>
    <w:rsid w:val="00BE7529"/>
    <w:rsid w:val="00BF184F"/>
    <w:rsid w:val="00BF1ADD"/>
    <w:rsid w:val="00BF1DD0"/>
    <w:rsid w:val="00BF3067"/>
    <w:rsid w:val="00BF39A8"/>
    <w:rsid w:val="00BF3C02"/>
    <w:rsid w:val="00BF5AB0"/>
    <w:rsid w:val="00BF6100"/>
    <w:rsid w:val="00BF6213"/>
    <w:rsid w:val="00BF6D6F"/>
    <w:rsid w:val="00BF7077"/>
    <w:rsid w:val="00BF79E2"/>
    <w:rsid w:val="00C020E0"/>
    <w:rsid w:val="00C02696"/>
    <w:rsid w:val="00C02813"/>
    <w:rsid w:val="00C041A3"/>
    <w:rsid w:val="00C05032"/>
    <w:rsid w:val="00C051A4"/>
    <w:rsid w:val="00C05D9C"/>
    <w:rsid w:val="00C07486"/>
    <w:rsid w:val="00C078EA"/>
    <w:rsid w:val="00C10481"/>
    <w:rsid w:val="00C10729"/>
    <w:rsid w:val="00C11A8B"/>
    <w:rsid w:val="00C1217A"/>
    <w:rsid w:val="00C12544"/>
    <w:rsid w:val="00C142AD"/>
    <w:rsid w:val="00C14CA4"/>
    <w:rsid w:val="00C14CE3"/>
    <w:rsid w:val="00C14EDF"/>
    <w:rsid w:val="00C155FA"/>
    <w:rsid w:val="00C15FEF"/>
    <w:rsid w:val="00C169E4"/>
    <w:rsid w:val="00C1798D"/>
    <w:rsid w:val="00C216CB"/>
    <w:rsid w:val="00C22258"/>
    <w:rsid w:val="00C22682"/>
    <w:rsid w:val="00C22C39"/>
    <w:rsid w:val="00C22CAE"/>
    <w:rsid w:val="00C22FDE"/>
    <w:rsid w:val="00C23144"/>
    <w:rsid w:val="00C2343E"/>
    <w:rsid w:val="00C23608"/>
    <w:rsid w:val="00C24A8E"/>
    <w:rsid w:val="00C24D98"/>
    <w:rsid w:val="00C24F4F"/>
    <w:rsid w:val="00C2591C"/>
    <w:rsid w:val="00C26085"/>
    <w:rsid w:val="00C26EDD"/>
    <w:rsid w:val="00C30B67"/>
    <w:rsid w:val="00C31E55"/>
    <w:rsid w:val="00C33115"/>
    <w:rsid w:val="00C339D6"/>
    <w:rsid w:val="00C34D6B"/>
    <w:rsid w:val="00C4100E"/>
    <w:rsid w:val="00C41CCA"/>
    <w:rsid w:val="00C42077"/>
    <w:rsid w:val="00C43919"/>
    <w:rsid w:val="00C4427A"/>
    <w:rsid w:val="00C44D5A"/>
    <w:rsid w:val="00C45F94"/>
    <w:rsid w:val="00C47BB2"/>
    <w:rsid w:val="00C513C2"/>
    <w:rsid w:val="00C5198E"/>
    <w:rsid w:val="00C51C1A"/>
    <w:rsid w:val="00C52CDF"/>
    <w:rsid w:val="00C5416A"/>
    <w:rsid w:val="00C54340"/>
    <w:rsid w:val="00C55EC5"/>
    <w:rsid w:val="00C5614F"/>
    <w:rsid w:val="00C6070E"/>
    <w:rsid w:val="00C609FE"/>
    <w:rsid w:val="00C61DE3"/>
    <w:rsid w:val="00C61E8A"/>
    <w:rsid w:val="00C63CE9"/>
    <w:rsid w:val="00C647A6"/>
    <w:rsid w:val="00C64AAC"/>
    <w:rsid w:val="00C64C9B"/>
    <w:rsid w:val="00C668A5"/>
    <w:rsid w:val="00C676B2"/>
    <w:rsid w:val="00C6785C"/>
    <w:rsid w:val="00C708CC"/>
    <w:rsid w:val="00C70BD6"/>
    <w:rsid w:val="00C72A64"/>
    <w:rsid w:val="00C73ADC"/>
    <w:rsid w:val="00C7435F"/>
    <w:rsid w:val="00C74D4D"/>
    <w:rsid w:val="00C751C8"/>
    <w:rsid w:val="00C75B59"/>
    <w:rsid w:val="00C76979"/>
    <w:rsid w:val="00C81175"/>
    <w:rsid w:val="00C81308"/>
    <w:rsid w:val="00C902B1"/>
    <w:rsid w:val="00C90781"/>
    <w:rsid w:val="00C90987"/>
    <w:rsid w:val="00C916BF"/>
    <w:rsid w:val="00C92155"/>
    <w:rsid w:val="00C92313"/>
    <w:rsid w:val="00C923D4"/>
    <w:rsid w:val="00C92F52"/>
    <w:rsid w:val="00C9358A"/>
    <w:rsid w:val="00C93CBA"/>
    <w:rsid w:val="00C94D36"/>
    <w:rsid w:val="00C965A4"/>
    <w:rsid w:val="00C967DE"/>
    <w:rsid w:val="00CA2277"/>
    <w:rsid w:val="00CA2853"/>
    <w:rsid w:val="00CA288D"/>
    <w:rsid w:val="00CA4583"/>
    <w:rsid w:val="00CA5C22"/>
    <w:rsid w:val="00CA6750"/>
    <w:rsid w:val="00CA6773"/>
    <w:rsid w:val="00CA7C9A"/>
    <w:rsid w:val="00CB04D9"/>
    <w:rsid w:val="00CB076D"/>
    <w:rsid w:val="00CB0C3A"/>
    <w:rsid w:val="00CB1342"/>
    <w:rsid w:val="00CB1EDF"/>
    <w:rsid w:val="00CB2FCD"/>
    <w:rsid w:val="00CB4C64"/>
    <w:rsid w:val="00CB529E"/>
    <w:rsid w:val="00CB6F86"/>
    <w:rsid w:val="00CB77AB"/>
    <w:rsid w:val="00CB7C02"/>
    <w:rsid w:val="00CC00F5"/>
    <w:rsid w:val="00CC01BC"/>
    <w:rsid w:val="00CC1C96"/>
    <w:rsid w:val="00CC283B"/>
    <w:rsid w:val="00CC2BC9"/>
    <w:rsid w:val="00CC384D"/>
    <w:rsid w:val="00CC3862"/>
    <w:rsid w:val="00CC5390"/>
    <w:rsid w:val="00CC73A0"/>
    <w:rsid w:val="00CC7F94"/>
    <w:rsid w:val="00CD034D"/>
    <w:rsid w:val="00CD0D19"/>
    <w:rsid w:val="00CD56D3"/>
    <w:rsid w:val="00CD66DD"/>
    <w:rsid w:val="00CD6D13"/>
    <w:rsid w:val="00CE0303"/>
    <w:rsid w:val="00CE1CA7"/>
    <w:rsid w:val="00CE20A7"/>
    <w:rsid w:val="00CE3002"/>
    <w:rsid w:val="00CE4EF2"/>
    <w:rsid w:val="00CE5CC3"/>
    <w:rsid w:val="00CE644F"/>
    <w:rsid w:val="00CE79B2"/>
    <w:rsid w:val="00CF1822"/>
    <w:rsid w:val="00CF1CC7"/>
    <w:rsid w:val="00CF6428"/>
    <w:rsid w:val="00CF6E51"/>
    <w:rsid w:val="00CF7985"/>
    <w:rsid w:val="00D018AA"/>
    <w:rsid w:val="00D01C3F"/>
    <w:rsid w:val="00D02EBC"/>
    <w:rsid w:val="00D0323E"/>
    <w:rsid w:val="00D03C47"/>
    <w:rsid w:val="00D0588B"/>
    <w:rsid w:val="00D06041"/>
    <w:rsid w:val="00D068E0"/>
    <w:rsid w:val="00D07A70"/>
    <w:rsid w:val="00D07AC9"/>
    <w:rsid w:val="00D07FBF"/>
    <w:rsid w:val="00D10EDA"/>
    <w:rsid w:val="00D1125C"/>
    <w:rsid w:val="00D1280A"/>
    <w:rsid w:val="00D128D1"/>
    <w:rsid w:val="00D12ACB"/>
    <w:rsid w:val="00D13843"/>
    <w:rsid w:val="00D1449C"/>
    <w:rsid w:val="00D15B26"/>
    <w:rsid w:val="00D15F20"/>
    <w:rsid w:val="00D2295D"/>
    <w:rsid w:val="00D23195"/>
    <w:rsid w:val="00D233E1"/>
    <w:rsid w:val="00D23D7F"/>
    <w:rsid w:val="00D25EE2"/>
    <w:rsid w:val="00D26541"/>
    <w:rsid w:val="00D267F7"/>
    <w:rsid w:val="00D305F4"/>
    <w:rsid w:val="00D31906"/>
    <w:rsid w:val="00D328E5"/>
    <w:rsid w:val="00D32F41"/>
    <w:rsid w:val="00D33316"/>
    <w:rsid w:val="00D33692"/>
    <w:rsid w:val="00D342C9"/>
    <w:rsid w:val="00D34410"/>
    <w:rsid w:val="00D34842"/>
    <w:rsid w:val="00D3584B"/>
    <w:rsid w:val="00D358FD"/>
    <w:rsid w:val="00D35931"/>
    <w:rsid w:val="00D36A1E"/>
    <w:rsid w:val="00D370BA"/>
    <w:rsid w:val="00D377AC"/>
    <w:rsid w:val="00D40603"/>
    <w:rsid w:val="00D4079C"/>
    <w:rsid w:val="00D418F0"/>
    <w:rsid w:val="00D43502"/>
    <w:rsid w:val="00D449CF"/>
    <w:rsid w:val="00D45E79"/>
    <w:rsid w:val="00D46488"/>
    <w:rsid w:val="00D466ED"/>
    <w:rsid w:val="00D50777"/>
    <w:rsid w:val="00D50DAC"/>
    <w:rsid w:val="00D52649"/>
    <w:rsid w:val="00D53D44"/>
    <w:rsid w:val="00D543C6"/>
    <w:rsid w:val="00D5459B"/>
    <w:rsid w:val="00D548C2"/>
    <w:rsid w:val="00D54EE0"/>
    <w:rsid w:val="00D560F9"/>
    <w:rsid w:val="00D56390"/>
    <w:rsid w:val="00D5651E"/>
    <w:rsid w:val="00D57128"/>
    <w:rsid w:val="00D611C0"/>
    <w:rsid w:val="00D61427"/>
    <w:rsid w:val="00D61F75"/>
    <w:rsid w:val="00D62047"/>
    <w:rsid w:val="00D627A8"/>
    <w:rsid w:val="00D632FE"/>
    <w:rsid w:val="00D65181"/>
    <w:rsid w:val="00D65311"/>
    <w:rsid w:val="00D65975"/>
    <w:rsid w:val="00D65EB0"/>
    <w:rsid w:val="00D660FA"/>
    <w:rsid w:val="00D668DC"/>
    <w:rsid w:val="00D6787E"/>
    <w:rsid w:val="00D70E3F"/>
    <w:rsid w:val="00D71505"/>
    <w:rsid w:val="00D7158E"/>
    <w:rsid w:val="00D72AD7"/>
    <w:rsid w:val="00D747CD"/>
    <w:rsid w:val="00D74943"/>
    <w:rsid w:val="00D75E05"/>
    <w:rsid w:val="00D80B77"/>
    <w:rsid w:val="00D81165"/>
    <w:rsid w:val="00D845E4"/>
    <w:rsid w:val="00D85024"/>
    <w:rsid w:val="00D8617C"/>
    <w:rsid w:val="00D870AE"/>
    <w:rsid w:val="00D876D2"/>
    <w:rsid w:val="00D90774"/>
    <w:rsid w:val="00D9136A"/>
    <w:rsid w:val="00D91DC8"/>
    <w:rsid w:val="00D93A19"/>
    <w:rsid w:val="00D951B6"/>
    <w:rsid w:val="00D95B0C"/>
    <w:rsid w:val="00D96114"/>
    <w:rsid w:val="00D97344"/>
    <w:rsid w:val="00DA0352"/>
    <w:rsid w:val="00DA05AE"/>
    <w:rsid w:val="00DA1129"/>
    <w:rsid w:val="00DA23F0"/>
    <w:rsid w:val="00DA2614"/>
    <w:rsid w:val="00DA401F"/>
    <w:rsid w:val="00DA60B1"/>
    <w:rsid w:val="00DA78A6"/>
    <w:rsid w:val="00DA7FA9"/>
    <w:rsid w:val="00DB251F"/>
    <w:rsid w:val="00DB2F63"/>
    <w:rsid w:val="00DB4506"/>
    <w:rsid w:val="00DB4F7A"/>
    <w:rsid w:val="00DB6736"/>
    <w:rsid w:val="00DB70A7"/>
    <w:rsid w:val="00DB7767"/>
    <w:rsid w:val="00DB7E65"/>
    <w:rsid w:val="00DC00C7"/>
    <w:rsid w:val="00DC0E05"/>
    <w:rsid w:val="00DC19B3"/>
    <w:rsid w:val="00DC19E8"/>
    <w:rsid w:val="00DC23AA"/>
    <w:rsid w:val="00DC27A8"/>
    <w:rsid w:val="00DC33DC"/>
    <w:rsid w:val="00DC5330"/>
    <w:rsid w:val="00DC5E24"/>
    <w:rsid w:val="00DC6071"/>
    <w:rsid w:val="00DC732D"/>
    <w:rsid w:val="00DC775D"/>
    <w:rsid w:val="00DC77AF"/>
    <w:rsid w:val="00DC7933"/>
    <w:rsid w:val="00DC7A00"/>
    <w:rsid w:val="00DD312A"/>
    <w:rsid w:val="00DD316E"/>
    <w:rsid w:val="00DD33C5"/>
    <w:rsid w:val="00DD3656"/>
    <w:rsid w:val="00DD3AEF"/>
    <w:rsid w:val="00DD3D5F"/>
    <w:rsid w:val="00DD3E93"/>
    <w:rsid w:val="00DD4E1A"/>
    <w:rsid w:val="00DD5568"/>
    <w:rsid w:val="00DD6989"/>
    <w:rsid w:val="00DE1615"/>
    <w:rsid w:val="00DE25EC"/>
    <w:rsid w:val="00DE2B63"/>
    <w:rsid w:val="00DE3D95"/>
    <w:rsid w:val="00DE4870"/>
    <w:rsid w:val="00DE4C7C"/>
    <w:rsid w:val="00DF2903"/>
    <w:rsid w:val="00DF2A48"/>
    <w:rsid w:val="00DF3F9A"/>
    <w:rsid w:val="00DF4368"/>
    <w:rsid w:val="00DF4638"/>
    <w:rsid w:val="00DF553B"/>
    <w:rsid w:val="00DF6CA7"/>
    <w:rsid w:val="00DF6CE3"/>
    <w:rsid w:val="00DF70EB"/>
    <w:rsid w:val="00DF7833"/>
    <w:rsid w:val="00E005ED"/>
    <w:rsid w:val="00E022A6"/>
    <w:rsid w:val="00E02886"/>
    <w:rsid w:val="00E02B15"/>
    <w:rsid w:val="00E03C26"/>
    <w:rsid w:val="00E0457B"/>
    <w:rsid w:val="00E05439"/>
    <w:rsid w:val="00E069A1"/>
    <w:rsid w:val="00E071C0"/>
    <w:rsid w:val="00E10064"/>
    <w:rsid w:val="00E1199D"/>
    <w:rsid w:val="00E12419"/>
    <w:rsid w:val="00E12A2F"/>
    <w:rsid w:val="00E141AC"/>
    <w:rsid w:val="00E146A8"/>
    <w:rsid w:val="00E14C64"/>
    <w:rsid w:val="00E1684B"/>
    <w:rsid w:val="00E17DAA"/>
    <w:rsid w:val="00E217A3"/>
    <w:rsid w:val="00E21CE0"/>
    <w:rsid w:val="00E23905"/>
    <w:rsid w:val="00E2533D"/>
    <w:rsid w:val="00E25467"/>
    <w:rsid w:val="00E257E7"/>
    <w:rsid w:val="00E25A9C"/>
    <w:rsid w:val="00E261B9"/>
    <w:rsid w:val="00E30E11"/>
    <w:rsid w:val="00E312DB"/>
    <w:rsid w:val="00E31D87"/>
    <w:rsid w:val="00E328DA"/>
    <w:rsid w:val="00E32A3D"/>
    <w:rsid w:val="00E32D59"/>
    <w:rsid w:val="00E33669"/>
    <w:rsid w:val="00E3588A"/>
    <w:rsid w:val="00E35BA2"/>
    <w:rsid w:val="00E37957"/>
    <w:rsid w:val="00E40C2C"/>
    <w:rsid w:val="00E413C8"/>
    <w:rsid w:val="00E414A2"/>
    <w:rsid w:val="00E41F45"/>
    <w:rsid w:val="00E42CDF"/>
    <w:rsid w:val="00E450E9"/>
    <w:rsid w:val="00E4669D"/>
    <w:rsid w:val="00E46C64"/>
    <w:rsid w:val="00E53EB8"/>
    <w:rsid w:val="00E53F99"/>
    <w:rsid w:val="00E546A4"/>
    <w:rsid w:val="00E553CC"/>
    <w:rsid w:val="00E559B7"/>
    <w:rsid w:val="00E55AF0"/>
    <w:rsid w:val="00E56259"/>
    <w:rsid w:val="00E56349"/>
    <w:rsid w:val="00E563EA"/>
    <w:rsid w:val="00E56E4E"/>
    <w:rsid w:val="00E5719C"/>
    <w:rsid w:val="00E571F0"/>
    <w:rsid w:val="00E61E25"/>
    <w:rsid w:val="00E62487"/>
    <w:rsid w:val="00E6285D"/>
    <w:rsid w:val="00E62DFF"/>
    <w:rsid w:val="00E62F7A"/>
    <w:rsid w:val="00E63612"/>
    <w:rsid w:val="00E65DC5"/>
    <w:rsid w:val="00E709F3"/>
    <w:rsid w:val="00E70AEE"/>
    <w:rsid w:val="00E71183"/>
    <w:rsid w:val="00E7255A"/>
    <w:rsid w:val="00E73531"/>
    <w:rsid w:val="00E73EF7"/>
    <w:rsid w:val="00E74440"/>
    <w:rsid w:val="00E762D0"/>
    <w:rsid w:val="00E80404"/>
    <w:rsid w:val="00E81349"/>
    <w:rsid w:val="00E8317B"/>
    <w:rsid w:val="00E836EB"/>
    <w:rsid w:val="00E84BEE"/>
    <w:rsid w:val="00E84FF3"/>
    <w:rsid w:val="00E8765E"/>
    <w:rsid w:val="00E9075C"/>
    <w:rsid w:val="00E91CBC"/>
    <w:rsid w:val="00E92252"/>
    <w:rsid w:val="00E938AC"/>
    <w:rsid w:val="00E944A1"/>
    <w:rsid w:val="00E95454"/>
    <w:rsid w:val="00E9577D"/>
    <w:rsid w:val="00E95BD5"/>
    <w:rsid w:val="00E95EF3"/>
    <w:rsid w:val="00E965C6"/>
    <w:rsid w:val="00E9787B"/>
    <w:rsid w:val="00EA3214"/>
    <w:rsid w:val="00EA3A0D"/>
    <w:rsid w:val="00EA4DD3"/>
    <w:rsid w:val="00EA6604"/>
    <w:rsid w:val="00EA691A"/>
    <w:rsid w:val="00EA7AEC"/>
    <w:rsid w:val="00EB0736"/>
    <w:rsid w:val="00EB0B3D"/>
    <w:rsid w:val="00EB0FB9"/>
    <w:rsid w:val="00EB114D"/>
    <w:rsid w:val="00EB1CF3"/>
    <w:rsid w:val="00EB32C1"/>
    <w:rsid w:val="00EB344B"/>
    <w:rsid w:val="00EB44F4"/>
    <w:rsid w:val="00EB6929"/>
    <w:rsid w:val="00EB6D04"/>
    <w:rsid w:val="00EB76F7"/>
    <w:rsid w:val="00EB7C7A"/>
    <w:rsid w:val="00EC343E"/>
    <w:rsid w:val="00EC34BC"/>
    <w:rsid w:val="00EC450B"/>
    <w:rsid w:val="00EC4CC7"/>
    <w:rsid w:val="00EC5378"/>
    <w:rsid w:val="00EC54C2"/>
    <w:rsid w:val="00EC664B"/>
    <w:rsid w:val="00EC7214"/>
    <w:rsid w:val="00EC7219"/>
    <w:rsid w:val="00EC7AD7"/>
    <w:rsid w:val="00ED03E7"/>
    <w:rsid w:val="00ED1D54"/>
    <w:rsid w:val="00ED607C"/>
    <w:rsid w:val="00ED6643"/>
    <w:rsid w:val="00ED7F0F"/>
    <w:rsid w:val="00EE1941"/>
    <w:rsid w:val="00EE233B"/>
    <w:rsid w:val="00EE28B1"/>
    <w:rsid w:val="00EE2AC2"/>
    <w:rsid w:val="00EE37D7"/>
    <w:rsid w:val="00EE5822"/>
    <w:rsid w:val="00EE5AEA"/>
    <w:rsid w:val="00EE709B"/>
    <w:rsid w:val="00EF1554"/>
    <w:rsid w:val="00EF1D98"/>
    <w:rsid w:val="00EF1E11"/>
    <w:rsid w:val="00EF255F"/>
    <w:rsid w:val="00EF259E"/>
    <w:rsid w:val="00EF2B1E"/>
    <w:rsid w:val="00EF317A"/>
    <w:rsid w:val="00EF3A6D"/>
    <w:rsid w:val="00EF4CC2"/>
    <w:rsid w:val="00EF4EF5"/>
    <w:rsid w:val="00EF54D8"/>
    <w:rsid w:val="00EF57AC"/>
    <w:rsid w:val="00EF5BCF"/>
    <w:rsid w:val="00EF7A5E"/>
    <w:rsid w:val="00EF7B2A"/>
    <w:rsid w:val="00F0607C"/>
    <w:rsid w:val="00F0681B"/>
    <w:rsid w:val="00F06869"/>
    <w:rsid w:val="00F07786"/>
    <w:rsid w:val="00F07B88"/>
    <w:rsid w:val="00F13CEA"/>
    <w:rsid w:val="00F140A0"/>
    <w:rsid w:val="00F142AE"/>
    <w:rsid w:val="00F14AC6"/>
    <w:rsid w:val="00F154A6"/>
    <w:rsid w:val="00F155C9"/>
    <w:rsid w:val="00F17485"/>
    <w:rsid w:val="00F17A6A"/>
    <w:rsid w:val="00F20AE5"/>
    <w:rsid w:val="00F20D1C"/>
    <w:rsid w:val="00F2110A"/>
    <w:rsid w:val="00F22D09"/>
    <w:rsid w:val="00F230DD"/>
    <w:rsid w:val="00F23629"/>
    <w:rsid w:val="00F24870"/>
    <w:rsid w:val="00F24947"/>
    <w:rsid w:val="00F25473"/>
    <w:rsid w:val="00F2715E"/>
    <w:rsid w:val="00F27564"/>
    <w:rsid w:val="00F31056"/>
    <w:rsid w:val="00F319BF"/>
    <w:rsid w:val="00F322F0"/>
    <w:rsid w:val="00F3257F"/>
    <w:rsid w:val="00F32E57"/>
    <w:rsid w:val="00F342C0"/>
    <w:rsid w:val="00F42AEB"/>
    <w:rsid w:val="00F42FC4"/>
    <w:rsid w:val="00F43260"/>
    <w:rsid w:val="00F43A81"/>
    <w:rsid w:val="00F441BE"/>
    <w:rsid w:val="00F449D8"/>
    <w:rsid w:val="00F45BDC"/>
    <w:rsid w:val="00F45EB3"/>
    <w:rsid w:val="00F4675A"/>
    <w:rsid w:val="00F47A31"/>
    <w:rsid w:val="00F47F19"/>
    <w:rsid w:val="00F50430"/>
    <w:rsid w:val="00F52609"/>
    <w:rsid w:val="00F53BCF"/>
    <w:rsid w:val="00F540C7"/>
    <w:rsid w:val="00F54D45"/>
    <w:rsid w:val="00F56640"/>
    <w:rsid w:val="00F56DA8"/>
    <w:rsid w:val="00F571E7"/>
    <w:rsid w:val="00F60B02"/>
    <w:rsid w:val="00F614F4"/>
    <w:rsid w:val="00F62A8A"/>
    <w:rsid w:val="00F64C59"/>
    <w:rsid w:val="00F67C6E"/>
    <w:rsid w:val="00F7074F"/>
    <w:rsid w:val="00F70C72"/>
    <w:rsid w:val="00F71C7C"/>
    <w:rsid w:val="00F71D1E"/>
    <w:rsid w:val="00F72F58"/>
    <w:rsid w:val="00F73732"/>
    <w:rsid w:val="00F80474"/>
    <w:rsid w:val="00F81512"/>
    <w:rsid w:val="00F81A2E"/>
    <w:rsid w:val="00F8307D"/>
    <w:rsid w:val="00F84AEB"/>
    <w:rsid w:val="00F84BFF"/>
    <w:rsid w:val="00F84D57"/>
    <w:rsid w:val="00F868BF"/>
    <w:rsid w:val="00F86B82"/>
    <w:rsid w:val="00F9170F"/>
    <w:rsid w:val="00F91F89"/>
    <w:rsid w:val="00F93A2C"/>
    <w:rsid w:val="00F93C89"/>
    <w:rsid w:val="00F9428D"/>
    <w:rsid w:val="00F9507F"/>
    <w:rsid w:val="00F96BB5"/>
    <w:rsid w:val="00FA0005"/>
    <w:rsid w:val="00FA0727"/>
    <w:rsid w:val="00FA17B2"/>
    <w:rsid w:val="00FA2385"/>
    <w:rsid w:val="00FA2BFA"/>
    <w:rsid w:val="00FA3036"/>
    <w:rsid w:val="00FA34CC"/>
    <w:rsid w:val="00FA40F3"/>
    <w:rsid w:val="00FA4B67"/>
    <w:rsid w:val="00FA5CF6"/>
    <w:rsid w:val="00FA6343"/>
    <w:rsid w:val="00FA686F"/>
    <w:rsid w:val="00FA6AD7"/>
    <w:rsid w:val="00FA7973"/>
    <w:rsid w:val="00FB0976"/>
    <w:rsid w:val="00FB1118"/>
    <w:rsid w:val="00FB2211"/>
    <w:rsid w:val="00FB3FB5"/>
    <w:rsid w:val="00FB5A5C"/>
    <w:rsid w:val="00FB61EF"/>
    <w:rsid w:val="00FB63F5"/>
    <w:rsid w:val="00FB6C4C"/>
    <w:rsid w:val="00FB6FA8"/>
    <w:rsid w:val="00FB7F4D"/>
    <w:rsid w:val="00FC255F"/>
    <w:rsid w:val="00FC2678"/>
    <w:rsid w:val="00FC311E"/>
    <w:rsid w:val="00FC3674"/>
    <w:rsid w:val="00FC501F"/>
    <w:rsid w:val="00FC51DA"/>
    <w:rsid w:val="00FC538D"/>
    <w:rsid w:val="00FC5BCC"/>
    <w:rsid w:val="00FC5BFF"/>
    <w:rsid w:val="00FC6EE1"/>
    <w:rsid w:val="00FC6F43"/>
    <w:rsid w:val="00FD10AE"/>
    <w:rsid w:val="00FD10CD"/>
    <w:rsid w:val="00FD18B2"/>
    <w:rsid w:val="00FD28F0"/>
    <w:rsid w:val="00FD299A"/>
    <w:rsid w:val="00FD3AF2"/>
    <w:rsid w:val="00FD606C"/>
    <w:rsid w:val="00FD7D0C"/>
    <w:rsid w:val="00FE13FB"/>
    <w:rsid w:val="00FE1A14"/>
    <w:rsid w:val="00FE2A3B"/>
    <w:rsid w:val="00FE2A5C"/>
    <w:rsid w:val="00FE2BB4"/>
    <w:rsid w:val="00FE2D09"/>
    <w:rsid w:val="00FE2F7F"/>
    <w:rsid w:val="00FE3CC6"/>
    <w:rsid w:val="00FE4F4E"/>
    <w:rsid w:val="00FE5691"/>
    <w:rsid w:val="00FE69FC"/>
    <w:rsid w:val="00FE7699"/>
    <w:rsid w:val="00FF02DF"/>
    <w:rsid w:val="00FF2A83"/>
    <w:rsid w:val="00FF49CF"/>
    <w:rsid w:val="00FF5123"/>
    <w:rsid w:val="00FF5DD5"/>
    <w:rsid w:val="00FF5ECF"/>
    <w:rsid w:val="00FF688C"/>
    <w:rsid w:val="00FF68E0"/>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F39E"/>
  <w15:docId w15:val="{34F05B9B-2439-4CE7-B350-71BC953B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A36818"/>
    <w:pPr>
      <w:keepNext/>
      <w:keepLines/>
      <w:shd w:val="clear" w:color="auto" w:fill="F2F2F2" w:themeFill="background1" w:themeFillShade="F2"/>
      <w:spacing w:before="100" w:beforeAutospacing="1" w:after="240" w:line="240" w:lineRule="auto"/>
      <w:outlineLvl w:val="2"/>
    </w:pPr>
    <w:rPr>
      <w:rFonts w:ascii="Arial" w:eastAsia="MS Gothic" w:hAnsi="Arial" w:cs="Times New Roman"/>
      <w:bCs/>
      <w:iCs/>
      <w:sz w:val="20"/>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A36818"/>
    <w:rPr>
      <w:rFonts w:ascii="Arial" w:eastAsia="MS Gothic" w:hAnsi="Arial" w:cs="Times New Roman"/>
      <w:bCs/>
      <w:iCs/>
      <w:sz w:val="20"/>
      <w:shd w:val="clear" w:color="auto" w:fill="F2F2F2" w:themeFill="background1" w:themeFillShade="F2"/>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767F5D"/>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38"/>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38"/>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paragraph" w:customStyle="1" w:styleId="paragraph">
    <w:name w:val="paragraph"/>
    <w:basedOn w:val="Normal"/>
    <w:rsid w:val="001F37F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1F37F6"/>
  </w:style>
  <w:style w:type="character" w:customStyle="1" w:styleId="scxw218924026">
    <w:name w:val="scxw218924026"/>
    <w:basedOn w:val="DefaultParagraphFont"/>
    <w:rsid w:val="001F37F6"/>
  </w:style>
  <w:style w:type="character" w:customStyle="1" w:styleId="eop">
    <w:name w:val="eop"/>
    <w:basedOn w:val="DefaultParagraphFont"/>
    <w:rsid w:val="001F37F6"/>
  </w:style>
  <w:style w:type="paragraph" w:styleId="FootnoteText">
    <w:name w:val="footnote text"/>
    <w:basedOn w:val="Normal"/>
    <w:link w:val="FootnoteTextChar"/>
    <w:uiPriority w:val="99"/>
    <w:semiHidden/>
    <w:unhideWhenUsed/>
    <w:rsid w:val="000F03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0308"/>
    <w:rPr>
      <w:rFonts w:eastAsiaTheme="minorEastAsia"/>
      <w:sz w:val="20"/>
      <w:szCs w:val="20"/>
      <w:lang w:eastAsia="en-AU"/>
    </w:rPr>
  </w:style>
  <w:style w:type="paragraph" w:styleId="TOC1">
    <w:name w:val="toc 1"/>
    <w:basedOn w:val="Normal"/>
    <w:next w:val="Normal"/>
    <w:autoRedefine/>
    <w:uiPriority w:val="39"/>
    <w:unhideWhenUsed/>
    <w:rsid w:val="009A42D2"/>
    <w:pPr>
      <w:spacing w:after="100"/>
    </w:pPr>
  </w:style>
  <w:style w:type="paragraph" w:styleId="Quote">
    <w:name w:val="Quote"/>
    <w:basedOn w:val="Normal"/>
    <w:next w:val="Normal"/>
    <w:link w:val="QuoteChar"/>
    <w:uiPriority w:val="29"/>
    <w:qFormat/>
    <w:rsid w:val="00024B75"/>
    <w:pPr>
      <w:spacing w:before="200" w:after="160"/>
      <w:ind w:left="862" w:right="862"/>
      <w:contextualSpacing/>
    </w:pPr>
    <w:rPr>
      <w:iCs/>
    </w:rPr>
  </w:style>
  <w:style w:type="character" w:customStyle="1" w:styleId="QuoteChar">
    <w:name w:val="Quote Char"/>
    <w:basedOn w:val="DefaultParagraphFont"/>
    <w:link w:val="Quote"/>
    <w:uiPriority w:val="29"/>
    <w:rsid w:val="00024B75"/>
    <w:rPr>
      <w:rFonts w:eastAsiaTheme="minorEastAsia"/>
      <w:iCs/>
      <w:lang w:eastAsia="en-AU"/>
    </w:rPr>
  </w:style>
  <w:style w:type="paragraph" w:styleId="Header">
    <w:name w:val="header"/>
    <w:basedOn w:val="Normal"/>
    <w:link w:val="HeaderChar"/>
    <w:uiPriority w:val="99"/>
    <w:semiHidden/>
    <w:unhideWhenUsed/>
    <w:rsid w:val="007245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45FF"/>
    <w:rPr>
      <w:rFonts w:eastAsiaTheme="minorEastAsia"/>
      <w:lang w:eastAsia="en-AU"/>
    </w:rPr>
  </w:style>
  <w:style w:type="paragraph" w:styleId="Footer">
    <w:name w:val="footer"/>
    <w:basedOn w:val="Normal"/>
    <w:link w:val="FooterChar"/>
    <w:uiPriority w:val="99"/>
    <w:semiHidden/>
    <w:unhideWhenUsed/>
    <w:rsid w:val="007245F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45FF"/>
    <w:rPr>
      <w:rFonts w:eastAsiaTheme="minorEastAsia"/>
      <w:lang w:eastAsia="en-AU"/>
    </w:rPr>
  </w:style>
  <w:style w:type="paragraph" w:styleId="CommentText">
    <w:name w:val="annotation text"/>
    <w:basedOn w:val="Normal"/>
    <w:link w:val="CommentTextChar"/>
    <w:uiPriority w:val="99"/>
    <w:unhideWhenUsed/>
    <w:rsid w:val="00323A21"/>
    <w:pPr>
      <w:spacing w:line="240" w:lineRule="auto"/>
    </w:pPr>
    <w:rPr>
      <w:sz w:val="20"/>
      <w:szCs w:val="20"/>
    </w:rPr>
  </w:style>
  <w:style w:type="character" w:customStyle="1" w:styleId="CommentTextChar">
    <w:name w:val="Comment Text Char"/>
    <w:basedOn w:val="DefaultParagraphFont"/>
    <w:link w:val="CommentText"/>
    <w:uiPriority w:val="99"/>
    <w:rsid w:val="00323A21"/>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50878057">
      <w:bodyDiv w:val="1"/>
      <w:marLeft w:val="0"/>
      <w:marRight w:val="0"/>
      <w:marTop w:val="0"/>
      <w:marBottom w:val="0"/>
      <w:divBdr>
        <w:top w:val="none" w:sz="0" w:space="0" w:color="auto"/>
        <w:left w:val="none" w:sz="0" w:space="0" w:color="auto"/>
        <w:bottom w:val="none" w:sz="0" w:space="0" w:color="auto"/>
        <w:right w:val="none" w:sz="0" w:space="0" w:color="auto"/>
      </w:divBdr>
      <w:divsChild>
        <w:div w:id="35931647">
          <w:marLeft w:val="0"/>
          <w:marRight w:val="0"/>
          <w:marTop w:val="0"/>
          <w:marBottom w:val="0"/>
          <w:divBdr>
            <w:top w:val="none" w:sz="0" w:space="0" w:color="auto"/>
            <w:left w:val="none" w:sz="0" w:space="0" w:color="auto"/>
            <w:bottom w:val="none" w:sz="0" w:space="0" w:color="auto"/>
            <w:right w:val="none" w:sz="0" w:space="0" w:color="auto"/>
          </w:divBdr>
        </w:div>
        <w:div w:id="83651253">
          <w:marLeft w:val="0"/>
          <w:marRight w:val="0"/>
          <w:marTop w:val="0"/>
          <w:marBottom w:val="0"/>
          <w:divBdr>
            <w:top w:val="none" w:sz="0" w:space="0" w:color="auto"/>
            <w:left w:val="none" w:sz="0" w:space="0" w:color="auto"/>
            <w:bottom w:val="none" w:sz="0" w:space="0" w:color="auto"/>
            <w:right w:val="none" w:sz="0" w:space="0" w:color="auto"/>
          </w:divBdr>
        </w:div>
        <w:div w:id="87972929">
          <w:marLeft w:val="0"/>
          <w:marRight w:val="0"/>
          <w:marTop w:val="0"/>
          <w:marBottom w:val="0"/>
          <w:divBdr>
            <w:top w:val="none" w:sz="0" w:space="0" w:color="auto"/>
            <w:left w:val="none" w:sz="0" w:space="0" w:color="auto"/>
            <w:bottom w:val="none" w:sz="0" w:space="0" w:color="auto"/>
            <w:right w:val="none" w:sz="0" w:space="0" w:color="auto"/>
          </w:divBdr>
        </w:div>
        <w:div w:id="99640744">
          <w:marLeft w:val="0"/>
          <w:marRight w:val="0"/>
          <w:marTop w:val="0"/>
          <w:marBottom w:val="0"/>
          <w:divBdr>
            <w:top w:val="none" w:sz="0" w:space="0" w:color="auto"/>
            <w:left w:val="none" w:sz="0" w:space="0" w:color="auto"/>
            <w:bottom w:val="none" w:sz="0" w:space="0" w:color="auto"/>
            <w:right w:val="none" w:sz="0" w:space="0" w:color="auto"/>
          </w:divBdr>
        </w:div>
        <w:div w:id="164252300">
          <w:marLeft w:val="0"/>
          <w:marRight w:val="0"/>
          <w:marTop w:val="0"/>
          <w:marBottom w:val="0"/>
          <w:divBdr>
            <w:top w:val="none" w:sz="0" w:space="0" w:color="auto"/>
            <w:left w:val="none" w:sz="0" w:space="0" w:color="auto"/>
            <w:bottom w:val="none" w:sz="0" w:space="0" w:color="auto"/>
            <w:right w:val="none" w:sz="0" w:space="0" w:color="auto"/>
          </w:divBdr>
        </w:div>
        <w:div w:id="194269993">
          <w:marLeft w:val="0"/>
          <w:marRight w:val="0"/>
          <w:marTop w:val="0"/>
          <w:marBottom w:val="0"/>
          <w:divBdr>
            <w:top w:val="none" w:sz="0" w:space="0" w:color="auto"/>
            <w:left w:val="none" w:sz="0" w:space="0" w:color="auto"/>
            <w:bottom w:val="none" w:sz="0" w:space="0" w:color="auto"/>
            <w:right w:val="none" w:sz="0" w:space="0" w:color="auto"/>
          </w:divBdr>
        </w:div>
        <w:div w:id="283467464">
          <w:marLeft w:val="0"/>
          <w:marRight w:val="0"/>
          <w:marTop w:val="0"/>
          <w:marBottom w:val="0"/>
          <w:divBdr>
            <w:top w:val="none" w:sz="0" w:space="0" w:color="auto"/>
            <w:left w:val="none" w:sz="0" w:space="0" w:color="auto"/>
            <w:bottom w:val="none" w:sz="0" w:space="0" w:color="auto"/>
            <w:right w:val="none" w:sz="0" w:space="0" w:color="auto"/>
          </w:divBdr>
        </w:div>
        <w:div w:id="361128346">
          <w:marLeft w:val="0"/>
          <w:marRight w:val="0"/>
          <w:marTop w:val="0"/>
          <w:marBottom w:val="0"/>
          <w:divBdr>
            <w:top w:val="none" w:sz="0" w:space="0" w:color="auto"/>
            <w:left w:val="none" w:sz="0" w:space="0" w:color="auto"/>
            <w:bottom w:val="none" w:sz="0" w:space="0" w:color="auto"/>
            <w:right w:val="none" w:sz="0" w:space="0" w:color="auto"/>
          </w:divBdr>
        </w:div>
        <w:div w:id="390347243">
          <w:marLeft w:val="0"/>
          <w:marRight w:val="0"/>
          <w:marTop w:val="0"/>
          <w:marBottom w:val="0"/>
          <w:divBdr>
            <w:top w:val="none" w:sz="0" w:space="0" w:color="auto"/>
            <w:left w:val="none" w:sz="0" w:space="0" w:color="auto"/>
            <w:bottom w:val="none" w:sz="0" w:space="0" w:color="auto"/>
            <w:right w:val="none" w:sz="0" w:space="0" w:color="auto"/>
          </w:divBdr>
        </w:div>
        <w:div w:id="580334093">
          <w:marLeft w:val="0"/>
          <w:marRight w:val="0"/>
          <w:marTop w:val="0"/>
          <w:marBottom w:val="0"/>
          <w:divBdr>
            <w:top w:val="none" w:sz="0" w:space="0" w:color="auto"/>
            <w:left w:val="none" w:sz="0" w:space="0" w:color="auto"/>
            <w:bottom w:val="none" w:sz="0" w:space="0" w:color="auto"/>
            <w:right w:val="none" w:sz="0" w:space="0" w:color="auto"/>
          </w:divBdr>
        </w:div>
        <w:div w:id="817847034">
          <w:marLeft w:val="0"/>
          <w:marRight w:val="0"/>
          <w:marTop w:val="0"/>
          <w:marBottom w:val="0"/>
          <w:divBdr>
            <w:top w:val="none" w:sz="0" w:space="0" w:color="auto"/>
            <w:left w:val="none" w:sz="0" w:space="0" w:color="auto"/>
            <w:bottom w:val="none" w:sz="0" w:space="0" w:color="auto"/>
            <w:right w:val="none" w:sz="0" w:space="0" w:color="auto"/>
          </w:divBdr>
        </w:div>
        <w:div w:id="830683003">
          <w:marLeft w:val="0"/>
          <w:marRight w:val="0"/>
          <w:marTop w:val="0"/>
          <w:marBottom w:val="0"/>
          <w:divBdr>
            <w:top w:val="none" w:sz="0" w:space="0" w:color="auto"/>
            <w:left w:val="none" w:sz="0" w:space="0" w:color="auto"/>
            <w:bottom w:val="none" w:sz="0" w:space="0" w:color="auto"/>
            <w:right w:val="none" w:sz="0" w:space="0" w:color="auto"/>
          </w:divBdr>
        </w:div>
        <w:div w:id="1026910748">
          <w:marLeft w:val="0"/>
          <w:marRight w:val="0"/>
          <w:marTop w:val="0"/>
          <w:marBottom w:val="0"/>
          <w:divBdr>
            <w:top w:val="none" w:sz="0" w:space="0" w:color="auto"/>
            <w:left w:val="none" w:sz="0" w:space="0" w:color="auto"/>
            <w:bottom w:val="none" w:sz="0" w:space="0" w:color="auto"/>
            <w:right w:val="none" w:sz="0" w:space="0" w:color="auto"/>
          </w:divBdr>
        </w:div>
        <w:div w:id="1086610749">
          <w:marLeft w:val="0"/>
          <w:marRight w:val="0"/>
          <w:marTop w:val="0"/>
          <w:marBottom w:val="0"/>
          <w:divBdr>
            <w:top w:val="none" w:sz="0" w:space="0" w:color="auto"/>
            <w:left w:val="none" w:sz="0" w:space="0" w:color="auto"/>
            <w:bottom w:val="none" w:sz="0" w:space="0" w:color="auto"/>
            <w:right w:val="none" w:sz="0" w:space="0" w:color="auto"/>
          </w:divBdr>
        </w:div>
        <w:div w:id="1130511165">
          <w:marLeft w:val="0"/>
          <w:marRight w:val="0"/>
          <w:marTop w:val="0"/>
          <w:marBottom w:val="0"/>
          <w:divBdr>
            <w:top w:val="none" w:sz="0" w:space="0" w:color="auto"/>
            <w:left w:val="none" w:sz="0" w:space="0" w:color="auto"/>
            <w:bottom w:val="none" w:sz="0" w:space="0" w:color="auto"/>
            <w:right w:val="none" w:sz="0" w:space="0" w:color="auto"/>
          </w:divBdr>
        </w:div>
        <w:div w:id="1463965755">
          <w:marLeft w:val="0"/>
          <w:marRight w:val="0"/>
          <w:marTop w:val="0"/>
          <w:marBottom w:val="0"/>
          <w:divBdr>
            <w:top w:val="none" w:sz="0" w:space="0" w:color="auto"/>
            <w:left w:val="none" w:sz="0" w:space="0" w:color="auto"/>
            <w:bottom w:val="none" w:sz="0" w:space="0" w:color="auto"/>
            <w:right w:val="none" w:sz="0" w:space="0" w:color="auto"/>
          </w:divBdr>
        </w:div>
        <w:div w:id="1505313963">
          <w:marLeft w:val="0"/>
          <w:marRight w:val="0"/>
          <w:marTop w:val="0"/>
          <w:marBottom w:val="0"/>
          <w:divBdr>
            <w:top w:val="none" w:sz="0" w:space="0" w:color="auto"/>
            <w:left w:val="none" w:sz="0" w:space="0" w:color="auto"/>
            <w:bottom w:val="none" w:sz="0" w:space="0" w:color="auto"/>
            <w:right w:val="none" w:sz="0" w:space="0" w:color="auto"/>
          </w:divBdr>
        </w:div>
        <w:div w:id="1641232862">
          <w:marLeft w:val="0"/>
          <w:marRight w:val="0"/>
          <w:marTop w:val="0"/>
          <w:marBottom w:val="0"/>
          <w:divBdr>
            <w:top w:val="none" w:sz="0" w:space="0" w:color="auto"/>
            <w:left w:val="none" w:sz="0" w:space="0" w:color="auto"/>
            <w:bottom w:val="none" w:sz="0" w:space="0" w:color="auto"/>
            <w:right w:val="none" w:sz="0" w:space="0" w:color="auto"/>
          </w:divBdr>
        </w:div>
        <w:div w:id="1676688723">
          <w:marLeft w:val="0"/>
          <w:marRight w:val="0"/>
          <w:marTop w:val="0"/>
          <w:marBottom w:val="0"/>
          <w:divBdr>
            <w:top w:val="none" w:sz="0" w:space="0" w:color="auto"/>
            <w:left w:val="none" w:sz="0" w:space="0" w:color="auto"/>
            <w:bottom w:val="none" w:sz="0" w:space="0" w:color="auto"/>
            <w:right w:val="none" w:sz="0" w:space="0" w:color="auto"/>
          </w:divBdr>
        </w:div>
        <w:div w:id="1725905144">
          <w:marLeft w:val="0"/>
          <w:marRight w:val="0"/>
          <w:marTop w:val="0"/>
          <w:marBottom w:val="0"/>
          <w:divBdr>
            <w:top w:val="none" w:sz="0" w:space="0" w:color="auto"/>
            <w:left w:val="none" w:sz="0" w:space="0" w:color="auto"/>
            <w:bottom w:val="none" w:sz="0" w:space="0" w:color="auto"/>
            <w:right w:val="none" w:sz="0" w:space="0" w:color="auto"/>
          </w:divBdr>
        </w:div>
        <w:div w:id="1749109357">
          <w:marLeft w:val="0"/>
          <w:marRight w:val="0"/>
          <w:marTop w:val="0"/>
          <w:marBottom w:val="0"/>
          <w:divBdr>
            <w:top w:val="none" w:sz="0" w:space="0" w:color="auto"/>
            <w:left w:val="none" w:sz="0" w:space="0" w:color="auto"/>
            <w:bottom w:val="none" w:sz="0" w:space="0" w:color="auto"/>
            <w:right w:val="none" w:sz="0" w:space="0" w:color="auto"/>
          </w:divBdr>
        </w:div>
        <w:div w:id="1836066535">
          <w:marLeft w:val="0"/>
          <w:marRight w:val="0"/>
          <w:marTop w:val="0"/>
          <w:marBottom w:val="0"/>
          <w:divBdr>
            <w:top w:val="none" w:sz="0" w:space="0" w:color="auto"/>
            <w:left w:val="none" w:sz="0" w:space="0" w:color="auto"/>
            <w:bottom w:val="none" w:sz="0" w:space="0" w:color="auto"/>
            <w:right w:val="none" w:sz="0" w:space="0" w:color="auto"/>
          </w:divBdr>
        </w:div>
        <w:div w:id="1863350421">
          <w:marLeft w:val="0"/>
          <w:marRight w:val="0"/>
          <w:marTop w:val="0"/>
          <w:marBottom w:val="0"/>
          <w:divBdr>
            <w:top w:val="none" w:sz="0" w:space="0" w:color="auto"/>
            <w:left w:val="none" w:sz="0" w:space="0" w:color="auto"/>
            <w:bottom w:val="none" w:sz="0" w:space="0" w:color="auto"/>
            <w:right w:val="none" w:sz="0" w:space="0" w:color="auto"/>
          </w:divBdr>
        </w:div>
        <w:div w:id="1866626636">
          <w:marLeft w:val="0"/>
          <w:marRight w:val="0"/>
          <w:marTop w:val="0"/>
          <w:marBottom w:val="0"/>
          <w:divBdr>
            <w:top w:val="none" w:sz="0" w:space="0" w:color="auto"/>
            <w:left w:val="none" w:sz="0" w:space="0" w:color="auto"/>
            <w:bottom w:val="none" w:sz="0" w:space="0" w:color="auto"/>
            <w:right w:val="none" w:sz="0" w:space="0" w:color="auto"/>
          </w:divBdr>
        </w:div>
        <w:div w:id="1963610588">
          <w:marLeft w:val="0"/>
          <w:marRight w:val="0"/>
          <w:marTop w:val="0"/>
          <w:marBottom w:val="0"/>
          <w:divBdr>
            <w:top w:val="none" w:sz="0" w:space="0" w:color="auto"/>
            <w:left w:val="none" w:sz="0" w:space="0" w:color="auto"/>
            <w:bottom w:val="none" w:sz="0" w:space="0" w:color="auto"/>
            <w:right w:val="none" w:sz="0" w:space="0" w:color="auto"/>
          </w:divBdr>
        </w:div>
        <w:div w:id="1970553377">
          <w:marLeft w:val="0"/>
          <w:marRight w:val="0"/>
          <w:marTop w:val="0"/>
          <w:marBottom w:val="0"/>
          <w:divBdr>
            <w:top w:val="none" w:sz="0" w:space="0" w:color="auto"/>
            <w:left w:val="none" w:sz="0" w:space="0" w:color="auto"/>
            <w:bottom w:val="none" w:sz="0" w:space="0" w:color="auto"/>
            <w:right w:val="none" w:sz="0" w:space="0" w:color="auto"/>
          </w:divBdr>
        </w:div>
        <w:div w:id="2039889093">
          <w:marLeft w:val="0"/>
          <w:marRight w:val="0"/>
          <w:marTop w:val="0"/>
          <w:marBottom w:val="0"/>
          <w:divBdr>
            <w:top w:val="none" w:sz="0" w:space="0" w:color="auto"/>
            <w:left w:val="none" w:sz="0" w:space="0" w:color="auto"/>
            <w:bottom w:val="none" w:sz="0" w:space="0" w:color="auto"/>
            <w:right w:val="none" w:sz="0" w:space="0" w:color="auto"/>
          </w:divBdr>
        </w:div>
        <w:div w:id="2076201440">
          <w:marLeft w:val="0"/>
          <w:marRight w:val="0"/>
          <w:marTop w:val="0"/>
          <w:marBottom w:val="0"/>
          <w:divBdr>
            <w:top w:val="none" w:sz="0" w:space="0" w:color="auto"/>
            <w:left w:val="none" w:sz="0" w:space="0" w:color="auto"/>
            <w:bottom w:val="none" w:sz="0" w:space="0" w:color="auto"/>
            <w:right w:val="none" w:sz="0" w:space="0" w:color="auto"/>
          </w:divBdr>
        </w:div>
        <w:div w:id="2095663713">
          <w:marLeft w:val="0"/>
          <w:marRight w:val="0"/>
          <w:marTop w:val="0"/>
          <w:marBottom w:val="0"/>
          <w:divBdr>
            <w:top w:val="none" w:sz="0" w:space="0" w:color="auto"/>
            <w:left w:val="none" w:sz="0" w:space="0" w:color="auto"/>
            <w:bottom w:val="none" w:sz="0" w:space="0" w:color="auto"/>
            <w:right w:val="none" w:sz="0" w:space="0" w:color="auto"/>
          </w:divBdr>
        </w:div>
      </w:divsChild>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4443623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7685479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290159693">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19817282">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238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acma.gov.au/report-government-adequacy-digital-platforms-disinformation-and-news-quality-measures" TargetMode="External"/><Relationship Id="rId18" Type="http://schemas.openxmlformats.org/officeDocument/2006/relationships/hyperlink" Target="https://digital-strategy.ec.europa.eu/en/library/2022-strengthened-code-practice-disinformation" TargetMode="External"/><Relationship Id="rId26" Type="http://schemas.openxmlformats.org/officeDocument/2006/relationships/hyperlink" Target="https://www.acma.gov.au/report-government-adequacy-digital-platforms-disinformation-and-news-quality-measures" TargetMode="External"/><Relationship Id="rId39" Type="http://schemas.openxmlformats.org/officeDocument/2006/relationships/hyperlink" Target="https://digi.org.au/disinformation-code/code-review/" TargetMode="External"/><Relationship Id="rId21" Type="http://schemas.openxmlformats.org/officeDocument/2006/relationships/hyperlink" Target="https://digi.org.au/digi-welcomes-release-of-acma-report-on-misdisinformation-code-and-supports-its-five-key-recommendations/" TargetMode="External"/><Relationship Id="rId34" Type="http://schemas.openxmlformats.org/officeDocument/2006/relationships/hyperlink" Target="https://www.acma.gov.au/report-government-adequacy-digital-platforms-disinformation-and-news-quality-measures" TargetMode="External"/><Relationship Id="rId42" Type="http://schemas.openxmlformats.org/officeDocument/2006/relationships/hyperlink" Target="https://www.acma.gov.au/report-government-adequacy-digital-platforms-disinformation-and-news-quality-measures" TargetMode="External"/><Relationship Id="rId7" Type="http://schemas.openxmlformats.org/officeDocument/2006/relationships/hyperlink" Target="https://accan.org.au/media-centre/hot-issues-blog/1960-disinformation-and-misinformation-on-digital-platforms" TargetMode="External"/><Relationship Id="rId2" Type="http://schemas.openxmlformats.org/officeDocument/2006/relationships/hyperlink" Target="https://digi.org.au/disinformation-code/code-review/" TargetMode="External"/><Relationship Id="rId16" Type="http://schemas.openxmlformats.org/officeDocument/2006/relationships/hyperlink" Target="https://www.acma.gov.au/report-government-adequacy-digital-platforms-disinformation-and-news-quality-measures" TargetMode="External"/><Relationship Id="rId20" Type="http://schemas.openxmlformats.org/officeDocument/2006/relationships/hyperlink" Target="https://www.acma.gov.au/report-government-adequacy-digital-platforms-disinformation-and-news-quality-measures" TargetMode="External"/><Relationship Id="rId29" Type="http://schemas.openxmlformats.org/officeDocument/2006/relationships/hyperlink" Target="https://www.acma.gov.au/report-government-adequacy-digital-platforms-disinformation-and-news-quality-measures" TargetMode="External"/><Relationship Id="rId41" Type="http://schemas.openxmlformats.org/officeDocument/2006/relationships/hyperlink" Target="https://digi.org.au/disinformation-code/code-review/" TargetMode="External"/><Relationship Id="rId1" Type="http://schemas.openxmlformats.org/officeDocument/2006/relationships/hyperlink" Target="https://digi.org.au/wp-content/uploads/2021/10/Australian-Code-of-Practice-on-Disinformation-and-Misinformation-FINAL-WORD-UPDATED-OCTOBER-11-2021.pdf" TargetMode="External"/><Relationship Id="rId6" Type="http://schemas.openxmlformats.org/officeDocument/2006/relationships/hyperlink" Target="https://digi.org.au/wp-content/uploads/2021/10/Australian-Code-of-Practice-on-Disinformation-and-Misinformation-FINAL-WORD-UPDATED-OCTOBER-11-2021.pdf" TargetMode="External"/><Relationship Id="rId11" Type="http://schemas.openxmlformats.org/officeDocument/2006/relationships/hyperlink" Target="https://digi.org.au/wp-content/uploads/2022/05/ACPDM-_-Annual-Report-_-Published-June-6-2022-FINAL.pdf" TargetMode="External"/><Relationship Id="rId24" Type="http://schemas.openxmlformats.org/officeDocument/2006/relationships/hyperlink" Target="https://accan.org.au/accans-work/submissions/1822-draft-disinformation-code=" TargetMode="External"/><Relationship Id="rId32" Type="http://schemas.openxmlformats.org/officeDocument/2006/relationships/hyperlink" Target="https://www.acma.gov.au/report-government-adequacy-digital-platforms-disinformation-and-news-quality-measures" TargetMode="External"/><Relationship Id="rId37" Type="http://schemas.openxmlformats.org/officeDocument/2006/relationships/hyperlink" Target="https://www.acma.gov.au/report-government-adequacy-digital-platforms-disinformation-and-news-quality-measures" TargetMode="External"/><Relationship Id="rId40" Type="http://schemas.openxmlformats.org/officeDocument/2006/relationships/hyperlink" Target="https://www.acma.gov.au/report-government-adequacy-digital-platforms-disinformation-and-news-quality-measures" TargetMode="External"/><Relationship Id="rId5" Type="http://schemas.openxmlformats.org/officeDocument/2006/relationships/hyperlink" Target="https://digi.org.au/wp-content/uploads/2021/10/Australian-Code-of-Practice-on-Disinformation-and-Misinformation-FINAL-WORD-UPDATED-OCTOBER-11-2021.pdf" TargetMode="External"/><Relationship Id="rId15" Type="http://schemas.openxmlformats.org/officeDocument/2006/relationships/hyperlink" Target="https://www.acma.gov.au/report-government-adequacy-digital-platforms-disinformation-and-news-quality-measures" TargetMode="External"/><Relationship Id="rId23" Type="http://schemas.openxmlformats.org/officeDocument/2006/relationships/hyperlink" Target="https://www.acma.gov.au/report-government-adequacy-digital-platforms-disinformation-and-news-quality-measures" TargetMode="External"/><Relationship Id="rId28" Type="http://schemas.openxmlformats.org/officeDocument/2006/relationships/hyperlink" Target="https://digital-strategy.ec.europa.eu/en/library/guidance-strengthening-code-practice-disinformation" TargetMode="External"/><Relationship Id="rId36" Type="http://schemas.openxmlformats.org/officeDocument/2006/relationships/hyperlink" Target="https://www.acma.gov.au/report-government-adequacy-digital-platforms-disinformation-and-news-quality-measures" TargetMode="External"/><Relationship Id="rId10" Type="http://schemas.openxmlformats.org/officeDocument/2006/relationships/hyperlink" Target="https://digital-strategy.ec.europa.eu/en/library/2022-strengthened-code-practice-disinformation" TargetMode="External"/><Relationship Id="rId19" Type="http://schemas.openxmlformats.org/officeDocument/2006/relationships/hyperlink" Target="https://digital-strategy.ec.europa.eu/en/library/2022-strengthened-code-practice-disinformation" TargetMode="External"/><Relationship Id="rId31" Type="http://schemas.openxmlformats.org/officeDocument/2006/relationships/hyperlink" Target="https://www.acma.gov.au/report-government-adequacy-digital-platforms-disinformation-and-news-quality-measures" TargetMode="External"/><Relationship Id="rId4" Type="http://schemas.openxmlformats.org/officeDocument/2006/relationships/hyperlink" Target="https://digital-strategy.ec.europa.eu/en/library/2022-strengthened-code-practice-disinformation" TargetMode="External"/><Relationship Id="rId9" Type="http://schemas.openxmlformats.org/officeDocument/2006/relationships/hyperlink" Target="https://www.acma.gov.au/publications/2022-06/report/what-audiences-want-audience-expectations-content-safeguards" TargetMode="External"/><Relationship Id="rId14" Type="http://schemas.openxmlformats.org/officeDocument/2006/relationships/hyperlink" Target="https://www.acma.gov.au/report-government-adequacy-digital-platforms-disinformation-and-news-quality-measures" TargetMode="External"/><Relationship Id="rId22" Type="http://schemas.openxmlformats.org/officeDocument/2006/relationships/hyperlink" Target="https://www.acma.gov.au/report-government-adequacy-digital-platforms-disinformation-and-news-quality-measures" TargetMode="External"/><Relationship Id="rId27" Type="http://schemas.openxmlformats.org/officeDocument/2006/relationships/hyperlink" Target="https://www.acma.gov.au/report-government-adequacy-digital-platforms-disinformation-and-news-quality-measures" TargetMode="External"/><Relationship Id="rId30" Type="http://schemas.openxmlformats.org/officeDocument/2006/relationships/hyperlink" Target="https://blogs.lse.ac.uk/medialse/2019/11/11/whatsapp-vigilantes-an-exploration-of-citizen-reception-and-circulation-of-whatsapp-misinformation-linked-to-mob-violence-in-india/" TargetMode="External"/><Relationship Id="rId35" Type="http://schemas.openxmlformats.org/officeDocument/2006/relationships/hyperlink" Target="https://digi.org.au/disinformation-code/code-review/" TargetMode="External"/><Relationship Id="rId8" Type="http://schemas.openxmlformats.org/officeDocument/2006/relationships/hyperlink" Target="https://www.accc.gov.au/system/files/Guidelines%20for%20developing%20effective%20voluntary%20industry%20codes%20of%20conduct.pdf" TargetMode="External"/><Relationship Id="rId3" Type="http://schemas.openxmlformats.org/officeDocument/2006/relationships/hyperlink" Target="https://www.acma.gov.au/report-government-adequacy-digital-platforms-disinformation-and-news-quality-measures" TargetMode="External"/><Relationship Id="rId12" Type="http://schemas.openxmlformats.org/officeDocument/2006/relationships/hyperlink" Target="https://digi.org.au/wp-content/uploads/2021/10/Australian-Code-of-Practice-on-Disinformation-and-Misinformation-FINAL-WORD-UPDATED-OCTOBER-11-2021.pdf" TargetMode="External"/><Relationship Id="rId17" Type="http://schemas.openxmlformats.org/officeDocument/2006/relationships/hyperlink" Target="https://digi.org.au/wp-content/uploads/2022/05/ACPDM-_-Annual-Report-_-Published-June-6-2022-FINAL.pdf" TargetMode="External"/><Relationship Id="rId25" Type="http://schemas.openxmlformats.org/officeDocument/2006/relationships/hyperlink" Target="https://www.acma.gov.au/report-government-adequacy-digital-platforms-disinformation-and-news-quality-measures" TargetMode="External"/><Relationship Id="rId33" Type="http://schemas.openxmlformats.org/officeDocument/2006/relationships/hyperlink" Target="https://www.acma.gov.au/report-government-adequacy-digital-platforms-disinformation-and-news-quality-measures" TargetMode="External"/><Relationship Id="rId38" Type="http://schemas.openxmlformats.org/officeDocument/2006/relationships/hyperlink" Target="https://www.acma.gov.au/report-government-adequacy-digital-platforms-disinformation-and-news-quality-measur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8" ma:contentTypeDescription="Create a new document." ma:contentTypeScope="" ma:versionID="50cf06032a004ba008789ce131e074db">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5ea0b0677e818e3767f8e41906bc8cf4"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C05124-7510-5642-99BD-2F28AB244A1D}">
  <ds:schemaRefs>
    <ds:schemaRef ds:uri="http://schemas.openxmlformats.org/officeDocument/2006/bibliography"/>
  </ds:schemaRefs>
</ds:datastoreItem>
</file>

<file path=customXml/itemProps2.xml><?xml version="1.0" encoding="utf-8"?>
<ds:datastoreItem xmlns:ds="http://schemas.openxmlformats.org/officeDocument/2006/customXml" ds:itemID="{AA777538-8D31-4555-9E72-D7C4193D3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18</Pages>
  <Words>4714</Words>
  <Characters>26870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Richard Van Der Male</cp:lastModifiedBy>
  <cp:revision>45</cp:revision>
  <cp:lastPrinted>2022-07-17T22:59:00Z</cp:lastPrinted>
  <dcterms:created xsi:type="dcterms:W3CDTF">2022-07-13T06:48:00Z</dcterms:created>
  <dcterms:modified xsi:type="dcterms:W3CDTF">2022-07-17T22:59:00Z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ies>
</file>