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7E6E5" w14:textId="6DA5F1DF" w:rsidR="00C7127B" w:rsidRDefault="00D44538" w:rsidP="00C7127B">
      <w:pPr>
        <w:spacing w:after="0"/>
        <w:rPr>
          <w:rFonts w:cstheme="minorHAnsi"/>
          <w:sz w:val="23"/>
          <w:szCs w:val="23"/>
        </w:rPr>
      </w:pPr>
      <w:r w:rsidRPr="00562A34">
        <w:rPr>
          <w:rFonts w:cstheme="minorHAnsi"/>
          <w:sz w:val="23"/>
          <w:szCs w:val="23"/>
        </w:rPr>
        <w:t>17 May, 2022</w:t>
      </w:r>
    </w:p>
    <w:p w14:paraId="123CEFFA" w14:textId="46CEF5F4" w:rsidR="00562A34" w:rsidRDefault="00562A34" w:rsidP="00C7127B">
      <w:pPr>
        <w:spacing w:after="0"/>
        <w:rPr>
          <w:rFonts w:cstheme="minorHAnsi"/>
          <w:sz w:val="23"/>
          <w:szCs w:val="23"/>
        </w:rPr>
      </w:pPr>
    </w:p>
    <w:p w14:paraId="0CBE6AF5" w14:textId="77777777" w:rsidR="00562A34" w:rsidRPr="00562A34" w:rsidRDefault="00562A34" w:rsidP="00C7127B">
      <w:pPr>
        <w:spacing w:after="0"/>
        <w:rPr>
          <w:rFonts w:cstheme="minorHAnsi"/>
          <w:sz w:val="23"/>
          <w:szCs w:val="23"/>
        </w:rPr>
      </w:pPr>
    </w:p>
    <w:p w14:paraId="6E626EE9" w14:textId="77777777" w:rsidR="00D44538" w:rsidRPr="001F15C4" w:rsidRDefault="00D44538" w:rsidP="00C7127B">
      <w:pPr>
        <w:spacing w:after="0"/>
        <w:rPr>
          <w:rFonts w:cstheme="minorHAnsi"/>
          <w:color w:val="333333"/>
          <w:sz w:val="23"/>
          <w:szCs w:val="23"/>
        </w:rPr>
      </w:pPr>
      <w:r w:rsidRPr="001F15C4">
        <w:rPr>
          <w:rFonts w:cstheme="minorHAnsi"/>
          <w:color w:val="333333"/>
          <w:sz w:val="23"/>
          <w:szCs w:val="23"/>
        </w:rPr>
        <w:t>Paul Kamaras</w:t>
      </w:r>
    </w:p>
    <w:p w14:paraId="51C73294" w14:textId="04181EF0" w:rsidR="00D44538" w:rsidRPr="00562A34" w:rsidRDefault="00D44538" w:rsidP="00C7127B">
      <w:pPr>
        <w:spacing w:after="0"/>
        <w:rPr>
          <w:rFonts w:cstheme="minorHAnsi"/>
          <w:color w:val="000000"/>
          <w:sz w:val="23"/>
          <w:szCs w:val="23"/>
        </w:rPr>
      </w:pPr>
      <w:r w:rsidRPr="00562A34">
        <w:rPr>
          <w:rFonts w:cstheme="minorHAnsi"/>
          <w:color w:val="000000"/>
          <w:sz w:val="23"/>
          <w:szCs w:val="23"/>
        </w:rPr>
        <w:t>Diversity, Localism and Accessibility Section – Content Safeguards Branch</w:t>
      </w:r>
    </w:p>
    <w:p w14:paraId="13D49BE0" w14:textId="278D151A" w:rsidR="00C7127B" w:rsidRPr="00562A34" w:rsidRDefault="00D44538" w:rsidP="00C7127B">
      <w:pPr>
        <w:spacing w:after="0"/>
        <w:rPr>
          <w:rFonts w:cstheme="minorHAnsi"/>
          <w:sz w:val="23"/>
          <w:szCs w:val="23"/>
        </w:rPr>
      </w:pPr>
      <w:r w:rsidRPr="00562A34">
        <w:rPr>
          <w:rFonts w:cstheme="minorHAnsi"/>
          <w:sz w:val="23"/>
          <w:szCs w:val="23"/>
        </w:rPr>
        <w:t>Australian Communications and Medi Authority</w:t>
      </w:r>
    </w:p>
    <w:p w14:paraId="5E6C92CD" w14:textId="3008ED22" w:rsidR="00C7127B" w:rsidRDefault="00C7127B" w:rsidP="00F40EFC">
      <w:pPr>
        <w:tabs>
          <w:tab w:val="left" w:pos="993"/>
        </w:tabs>
        <w:spacing w:after="0"/>
        <w:rPr>
          <w:rFonts w:cstheme="minorHAnsi"/>
          <w:sz w:val="23"/>
          <w:szCs w:val="23"/>
        </w:rPr>
      </w:pPr>
      <w:r w:rsidRPr="00562A34">
        <w:rPr>
          <w:rFonts w:cstheme="minorHAnsi"/>
          <w:sz w:val="23"/>
          <w:szCs w:val="23"/>
        </w:rPr>
        <w:t>Via email:</w:t>
      </w:r>
      <w:r w:rsidR="00562A34">
        <w:rPr>
          <w:rFonts w:cstheme="minorHAnsi"/>
          <w:sz w:val="23"/>
          <w:szCs w:val="23"/>
        </w:rPr>
        <w:t xml:space="preserve"> </w:t>
      </w:r>
      <w:hyperlink r:id="rId11" w:history="1">
        <w:r w:rsidR="00F40EFC" w:rsidRPr="00A8629C">
          <w:rPr>
            <w:rStyle w:val="Hyperlink"/>
            <w:rFonts w:cstheme="minorHAnsi"/>
            <w:sz w:val="23"/>
            <w:szCs w:val="23"/>
          </w:rPr>
          <w:t>Paul.Kamaras@acma.org.au</w:t>
        </w:r>
      </w:hyperlink>
    </w:p>
    <w:p w14:paraId="4CAB6E09" w14:textId="101742DF" w:rsidR="00F40EFC" w:rsidRDefault="00F40EFC" w:rsidP="00F40EFC">
      <w:pPr>
        <w:tabs>
          <w:tab w:val="left" w:pos="993"/>
        </w:tabs>
        <w:spacing w:after="0"/>
        <w:rPr>
          <w:rFonts w:cstheme="minorHAnsi"/>
          <w:sz w:val="23"/>
          <w:szCs w:val="23"/>
        </w:rPr>
      </w:pPr>
      <w:r>
        <w:rPr>
          <w:rFonts w:cstheme="minorHAnsi"/>
          <w:sz w:val="23"/>
          <w:szCs w:val="23"/>
        </w:rPr>
        <w:tab/>
      </w:r>
      <w:hyperlink r:id="rId12" w:history="1">
        <w:r>
          <w:rPr>
            <w:rStyle w:val="Hyperlink"/>
          </w:rPr>
          <w:t>captioning@acma.gov.au</w:t>
        </w:r>
      </w:hyperlink>
    </w:p>
    <w:p w14:paraId="0DFCFF12" w14:textId="77777777" w:rsidR="00F40EFC" w:rsidRPr="00562A34" w:rsidRDefault="00F40EFC" w:rsidP="00C7127B">
      <w:pPr>
        <w:spacing w:after="0"/>
        <w:rPr>
          <w:rFonts w:cstheme="minorHAnsi"/>
          <w:sz w:val="23"/>
          <w:szCs w:val="23"/>
        </w:rPr>
      </w:pPr>
    </w:p>
    <w:p w14:paraId="68500C04" w14:textId="23D6B1B6" w:rsidR="00C7127B" w:rsidRPr="00562A34" w:rsidRDefault="004D168E" w:rsidP="00C7127B">
      <w:pPr>
        <w:pStyle w:val="BodyText1"/>
        <w:rPr>
          <w:rFonts w:asciiTheme="minorHAnsi" w:eastAsiaTheme="minorEastAsia" w:hAnsiTheme="minorHAnsi" w:cstheme="minorHAnsi"/>
          <w:color w:val="auto"/>
          <w:sz w:val="23"/>
          <w:szCs w:val="23"/>
          <w:lang w:eastAsia="en-AU"/>
        </w:rPr>
      </w:pPr>
      <w:r w:rsidRPr="00562A34">
        <w:rPr>
          <w:rFonts w:asciiTheme="minorHAnsi" w:eastAsiaTheme="minorEastAsia" w:hAnsiTheme="minorHAnsi" w:cstheme="minorHAnsi"/>
          <w:color w:val="auto"/>
          <w:sz w:val="23"/>
          <w:szCs w:val="23"/>
          <w:lang w:eastAsia="en-AU"/>
        </w:rPr>
        <w:t>Dear Paul,</w:t>
      </w:r>
    </w:p>
    <w:p w14:paraId="6519FA62" w14:textId="608912DC" w:rsidR="004D168E" w:rsidRPr="00562A34" w:rsidRDefault="004D168E" w:rsidP="004D168E">
      <w:pPr>
        <w:rPr>
          <w:rFonts w:cstheme="minorHAnsi"/>
          <w:sz w:val="23"/>
          <w:szCs w:val="23"/>
        </w:rPr>
      </w:pPr>
      <w:r w:rsidRPr="00562A34">
        <w:rPr>
          <w:rFonts w:cstheme="minorHAnsi"/>
          <w:sz w:val="23"/>
          <w:szCs w:val="23"/>
        </w:rPr>
        <w:t xml:space="preserve">ACCAN appreciates the opportunity to comment on the Draft Captioning Target Reduction Orders for </w:t>
      </w:r>
      <w:r w:rsidR="00F40EFC">
        <w:rPr>
          <w:rFonts w:cstheme="minorHAnsi"/>
          <w:sz w:val="23"/>
          <w:szCs w:val="23"/>
        </w:rPr>
        <w:t xml:space="preserve">    </w:t>
      </w:r>
      <w:r w:rsidRPr="00562A34">
        <w:rPr>
          <w:rFonts w:cstheme="minorHAnsi"/>
          <w:sz w:val="23"/>
          <w:szCs w:val="23"/>
        </w:rPr>
        <w:t>2021-22.</w:t>
      </w:r>
    </w:p>
    <w:p w14:paraId="30A773A5" w14:textId="77777777" w:rsidR="004D168E" w:rsidRPr="00562A34" w:rsidRDefault="004D168E" w:rsidP="004D168E">
      <w:pPr>
        <w:rPr>
          <w:rFonts w:cstheme="minorHAnsi"/>
          <w:sz w:val="23"/>
          <w:szCs w:val="23"/>
        </w:rPr>
      </w:pPr>
      <w:r w:rsidRPr="00562A34">
        <w:rPr>
          <w:rFonts w:cstheme="minorHAnsi"/>
          <w:sz w:val="23"/>
          <w:szCs w:val="23"/>
        </w:rPr>
        <w:t>ACCAN strongly argues that captioning on all television services regardless of type or content is in the best interests of the Australian community, and in particular, the one in six Australians who are deaf or hearing impaired.  ACCAN has long held that the reduction of captioning targets will significantly inhibit the potential of reaching the mandated goal of 100 percent captioning by 2032, enshrined in the broadcast services act 1992</w:t>
      </w:r>
      <w:r w:rsidRPr="00562A34">
        <w:rPr>
          <w:rStyle w:val="FootnoteReference"/>
          <w:rFonts w:cstheme="minorHAnsi"/>
          <w:sz w:val="23"/>
          <w:szCs w:val="23"/>
        </w:rPr>
        <w:footnoteReference w:id="1"/>
      </w:r>
      <w:r w:rsidRPr="00562A34">
        <w:rPr>
          <w:rFonts w:cstheme="minorHAnsi"/>
          <w:sz w:val="23"/>
          <w:szCs w:val="23"/>
        </w:rPr>
        <w:t>, and severely disadvantages individuals, such as people on the autism spectrum and people who are deaf or hearing impaired, for whom the captioning of television services is essential.</w:t>
      </w:r>
    </w:p>
    <w:p w14:paraId="28E46048" w14:textId="77777777" w:rsidR="004D168E" w:rsidRPr="00562A34" w:rsidRDefault="004D168E" w:rsidP="004D168E">
      <w:pPr>
        <w:rPr>
          <w:rFonts w:cstheme="minorHAnsi"/>
          <w:sz w:val="23"/>
          <w:szCs w:val="23"/>
        </w:rPr>
      </w:pPr>
      <w:r w:rsidRPr="00562A34">
        <w:rPr>
          <w:rFonts w:cstheme="minorHAnsi"/>
          <w:sz w:val="23"/>
          <w:szCs w:val="23"/>
        </w:rPr>
        <w:t>Whilst strongly advocating for any simplification of process or regulation which will improve the potential of meeting this target, ACCAN understands the current difficulties in captioning channels such as racing and live sports; particularly where there is already a significant amount of visual or printed information available on-screen, and captioning the commentary serves no inherent purpose –a designated racing channel is an exemplar of this.</w:t>
      </w:r>
    </w:p>
    <w:p w14:paraId="4A502923" w14:textId="77777777" w:rsidR="004D168E" w:rsidRPr="00562A34" w:rsidRDefault="004D168E" w:rsidP="004D168E">
      <w:pPr>
        <w:rPr>
          <w:rFonts w:cstheme="minorHAnsi"/>
          <w:sz w:val="23"/>
          <w:szCs w:val="23"/>
        </w:rPr>
      </w:pPr>
      <w:r w:rsidRPr="00562A34">
        <w:rPr>
          <w:rFonts w:cstheme="minorHAnsi"/>
          <w:sz w:val="23"/>
          <w:szCs w:val="23"/>
        </w:rPr>
        <w:t>ACCAN’s position is that whilst supporting the legislated requirement of 100 percent captioning on all television services by 2032, the potential benefit is not significant enough to consumers in the instance of the listed services in these draft orders given that all of them are racing channels.  Therefore, ACCAN sees no impediment to the acceptance of these orders, provided that:</w:t>
      </w:r>
    </w:p>
    <w:p w14:paraId="00470367" w14:textId="3CCD1384" w:rsidR="004D168E" w:rsidRPr="00562A34" w:rsidRDefault="004D168E" w:rsidP="004D168E">
      <w:pPr>
        <w:pStyle w:val="ListParagraph"/>
        <w:numPr>
          <w:ilvl w:val="0"/>
          <w:numId w:val="1"/>
        </w:numPr>
        <w:rPr>
          <w:rFonts w:cstheme="minorHAnsi"/>
          <w:sz w:val="23"/>
          <w:szCs w:val="23"/>
        </w:rPr>
      </w:pPr>
      <w:r w:rsidRPr="00562A34">
        <w:rPr>
          <w:rFonts w:cstheme="minorHAnsi"/>
          <w:sz w:val="23"/>
          <w:szCs w:val="23"/>
        </w:rPr>
        <w:t xml:space="preserve"> All information such as statistics, form information, odds</w:t>
      </w:r>
      <w:r w:rsidR="00340D22">
        <w:rPr>
          <w:rFonts w:cstheme="minorHAnsi"/>
          <w:sz w:val="23"/>
          <w:szCs w:val="23"/>
        </w:rPr>
        <w:t>,</w:t>
      </w:r>
      <w:r w:rsidRPr="00562A34">
        <w:rPr>
          <w:rFonts w:cstheme="minorHAnsi"/>
          <w:sz w:val="23"/>
          <w:szCs w:val="23"/>
        </w:rPr>
        <w:t xml:space="preserve"> </w:t>
      </w:r>
      <w:r w:rsidR="00340D22">
        <w:rPr>
          <w:rFonts w:cstheme="minorHAnsi"/>
          <w:sz w:val="23"/>
          <w:szCs w:val="23"/>
        </w:rPr>
        <w:t>etc</w:t>
      </w:r>
      <w:r w:rsidRPr="00562A34">
        <w:rPr>
          <w:rFonts w:cstheme="minorHAnsi"/>
          <w:sz w:val="23"/>
          <w:szCs w:val="23"/>
        </w:rPr>
        <w:t>, is printed on-screen</w:t>
      </w:r>
    </w:p>
    <w:p w14:paraId="3F5A382C" w14:textId="77777777" w:rsidR="004D168E" w:rsidRPr="00562A34" w:rsidRDefault="004D168E" w:rsidP="004D168E">
      <w:pPr>
        <w:pStyle w:val="ListParagraph"/>
        <w:numPr>
          <w:ilvl w:val="0"/>
          <w:numId w:val="1"/>
        </w:numPr>
        <w:rPr>
          <w:rFonts w:cstheme="minorHAnsi"/>
          <w:sz w:val="23"/>
          <w:szCs w:val="23"/>
        </w:rPr>
      </w:pPr>
      <w:r w:rsidRPr="00562A34">
        <w:rPr>
          <w:rFonts w:cstheme="minorHAnsi"/>
          <w:sz w:val="23"/>
          <w:szCs w:val="23"/>
        </w:rPr>
        <w:t>As the technology for the provisioning of captioning improves year on year, exemptions such as these continue to be reviewed annually with an expectation that racing services will be included in the 100 percent of captioned programmes by 2032.</w:t>
      </w:r>
    </w:p>
    <w:p w14:paraId="0329BAD8" w14:textId="1FDB2109" w:rsidR="004D168E" w:rsidRDefault="004D168E" w:rsidP="004D168E">
      <w:pPr>
        <w:rPr>
          <w:rFonts w:cstheme="minorHAnsi"/>
          <w:sz w:val="23"/>
          <w:szCs w:val="23"/>
        </w:rPr>
      </w:pPr>
      <w:r w:rsidRPr="00562A34">
        <w:rPr>
          <w:rFonts w:cstheme="minorHAnsi"/>
          <w:sz w:val="23"/>
          <w:szCs w:val="23"/>
        </w:rPr>
        <w:t>Please do not hesitate to reach out should you have any questions or require any further clarification.</w:t>
      </w:r>
    </w:p>
    <w:p w14:paraId="3669D27B" w14:textId="77777777" w:rsidR="00562A34" w:rsidRDefault="004D168E" w:rsidP="00562A34">
      <w:pPr>
        <w:spacing w:after="0"/>
        <w:rPr>
          <w:rFonts w:cstheme="minorHAnsi"/>
          <w:sz w:val="23"/>
          <w:szCs w:val="23"/>
        </w:rPr>
      </w:pPr>
      <w:r w:rsidRPr="00562A34">
        <w:rPr>
          <w:rFonts w:cstheme="minorHAnsi"/>
          <w:sz w:val="23"/>
          <w:szCs w:val="23"/>
        </w:rPr>
        <w:t>Vaughn Bennison</w:t>
      </w:r>
    </w:p>
    <w:p w14:paraId="3A36F795" w14:textId="677CB648" w:rsidR="004D168E" w:rsidRPr="00562A34" w:rsidRDefault="004D168E" w:rsidP="00562A34">
      <w:pPr>
        <w:spacing w:after="0"/>
        <w:rPr>
          <w:rFonts w:cstheme="minorHAnsi"/>
          <w:sz w:val="23"/>
          <w:szCs w:val="23"/>
        </w:rPr>
      </w:pPr>
      <w:r w:rsidRPr="00562A34">
        <w:rPr>
          <w:rFonts w:cstheme="minorHAnsi"/>
          <w:sz w:val="23"/>
          <w:szCs w:val="23"/>
        </w:rPr>
        <w:t>Disability Policy Officer</w:t>
      </w:r>
    </w:p>
    <w:p w14:paraId="61E9F282" w14:textId="05A56000" w:rsidR="00C7127B" w:rsidRDefault="004D168E" w:rsidP="00F40EFC">
      <w:pPr>
        <w:spacing w:after="0"/>
        <w:rPr>
          <w:rFonts w:cstheme="minorHAnsi"/>
          <w:sz w:val="23"/>
          <w:szCs w:val="23"/>
        </w:rPr>
      </w:pPr>
      <w:r w:rsidRPr="00562A34">
        <w:rPr>
          <w:rFonts w:cstheme="minorHAnsi"/>
          <w:sz w:val="23"/>
          <w:szCs w:val="23"/>
        </w:rPr>
        <w:t>Australian Communications Consumer Action Network</w:t>
      </w:r>
    </w:p>
    <w:p w14:paraId="3460822B" w14:textId="3A756037" w:rsidR="00F40EFC" w:rsidRDefault="006C41B8" w:rsidP="00F40EFC">
      <w:pPr>
        <w:spacing w:after="0"/>
        <w:rPr>
          <w:rFonts w:cstheme="minorHAnsi"/>
        </w:rPr>
      </w:pPr>
      <w:hyperlink r:id="rId13" w:history="1">
        <w:r w:rsidR="00F40EFC" w:rsidRPr="00A8629C">
          <w:rPr>
            <w:rStyle w:val="Hyperlink"/>
            <w:rFonts w:cstheme="minorHAnsi"/>
            <w:sz w:val="23"/>
            <w:szCs w:val="23"/>
          </w:rPr>
          <w:t>Vaughn.Bennison@accan.org.au</w:t>
        </w:r>
      </w:hyperlink>
      <w:r w:rsidR="00F40EFC">
        <w:rPr>
          <w:rFonts w:cstheme="minorHAnsi"/>
          <w:sz w:val="23"/>
          <w:szCs w:val="23"/>
        </w:rPr>
        <w:t xml:space="preserve"> </w:t>
      </w:r>
    </w:p>
    <w:sectPr w:rsidR="00F40EFC" w:rsidSect="00562A34">
      <w:headerReference w:type="default" r:id="rId14"/>
      <w:footerReference w:type="default" r:id="rId15"/>
      <w:headerReference w:type="first" r:id="rId16"/>
      <w:footerReference w:type="first" r:id="rId17"/>
      <w:pgSz w:w="11906" w:h="16838"/>
      <w:pgMar w:top="1134" w:right="851" w:bottom="1134" w:left="851"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7A97F" w14:textId="77777777" w:rsidR="006C41B8" w:rsidRDefault="006C41B8" w:rsidP="00C7127B">
      <w:pPr>
        <w:spacing w:after="0" w:line="240" w:lineRule="auto"/>
      </w:pPr>
      <w:r>
        <w:separator/>
      </w:r>
    </w:p>
  </w:endnote>
  <w:endnote w:type="continuationSeparator" w:id="0">
    <w:p w14:paraId="20866AAF" w14:textId="77777777" w:rsidR="006C41B8" w:rsidRDefault="006C41B8" w:rsidP="00C7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C9DF" w14:textId="77777777" w:rsidR="00C7127B" w:rsidRPr="00E05115" w:rsidRDefault="00C7127B" w:rsidP="00C7127B">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A265E3">
      <w:rPr>
        <w:noProof/>
      </w:rPr>
      <w:t>2</w:t>
    </w:r>
    <w:r w:rsidRPr="00C4251E">
      <w:rPr>
        <w:noProof/>
      </w:rPr>
      <w:fldChar w:fldCharType="end"/>
    </w:r>
  </w:p>
  <w:p w14:paraId="71C84C05" w14:textId="77777777" w:rsidR="00C7127B" w:rsidRDefault="00C71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1F44" w14:textId="530AB196" w:rsidR="007949B6" w:rsidRPr="00E05115" w:rsidRDefault="007949B6" w:rsidP="00562A34">
    <w:pPr>
      <w:spacing w:after="0"/>
      <w:rPr>
        <w:color w:val="23B0E6"/>
      </w:rPr>
    </w:pPr>
    <w:r w:rsidRPr="00E05115">
      <w:rPr>
        <w:color w:val="23B0E6"/>
      </w:rPr>
      <w:t>Australian Communications Consumer Action Network (ACCAN)</w:t>
    </w:r>
  </w:p>
  <w:p w14:paraId="0D125065" w14:textId="77777777" w:rsidR="007949B6" w:rsidRDefault="007949B6" w:rsidP="00562A34">
    <w:pPr>
      <w:spacing w:after="0"/>
      <w:rPr>
        <w:i/>
        <w:color w:val="23B0E6"/>
      </w:rPr>
    </w:pPr>
    <w:r w:rsidRPr="00E05115">
      <w:rPr>
        <w:i/>
        <w:color w:val="23B0E6"/>
      </w:rPr>
      <w:t xml:space="preserve">Australia’s peak </w:t>
    </w:r>
    <w:r>
      <w:rPr>
        <w:i/>
        <w:color w:val="23B0E6"/>
      </w:rPr>
      <w:t>body representing communications consumers</w:t>
    </w:r>
  </w:p>
  <w:p w14:paraId="12A2DA42" w14:textId="77777777" w:rsidR="007949B6" w:rsidRPr="00E05115" w:rsidRDefault="007949B6" w:rsidP="00562A34">
    <w:pPr>
      <w:spacing w:after="0"/>
      <w:ind w:left="-567"/>
      <w:rPr>
        <w:i/>
        <w:color w:val="23B0E6"/>
      </w:rPr>
    </w:pPr>
    <w:r>
      <w:rPr>
        <w:noProof/>
      </w:rPr>
      <mc:AlternateContent>
        <mc:Choice Requires="wps">
          <w:drawing>
            <wp:anchor distT="0" distB="0" distL="114300" distR="114300" simplePos="0" relativeHeight="251665408" behindDoc="0" locked="0" layoutInCell="1" allowOverlap="1" wp14:anchorId="2F924923" wp14:editId="4D47B57F">
              <wp:simplePos x="0" y="0"/>
              <wp:positionH relativeFrom="margin">
                <wp:align>right</wp:align>
              </wp:positionH>
              <wp:positionV relativeFrom="paragraph">
                <wp:posOffset>106680</wp:posOffset>
              </wp:positionV>
              <wp:extent cx="646176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646176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B91DB7" id="Straight Connector 1" o:spid="_x0000_s1026" style="position:absolute;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57.6pt,8.4pt" to="966.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" strokecolor="#23b0e6" strokeweight="3pt">
              <w10:wrap anchorx="margin"/>
            </v:line>
          </w:pict>
        </mc:Fallback>
      </mc:AlternateContent>
    </w:r>
  </w:p>
  <w:p w14:paraId="0C9BC5DC" w14:textId="77777777" w:rsidR="007949B6" w:rsidRDefault="007949B6" w:rsidP="00562A34">
    <w:pPr>
      <w:spacing w:after="0"/>
    </w:pPr>
    <w:r>
      <w:t xml:space="preserve">PO Box </w:t>
    </w:r>
    <w:r w:rsidR="00BD15EE">
      <w:t>A1158</w:t>
    </w:r>
    <w:r>
      <w:t xml:space="preserve">, </w:t>
    </w:r>
    <w:r w:rsidR="00BD15EE">
      <w:t>Sydney South</w:t>
    </w:r>
    <w:r>
      <w:t xml:space="preserve"> NSW </w:t>
    </w:r>
    <w:r w:rsidR="00BD15EE">
      <w:t>1235</w:t>
    </w:r>
  </w:p>
  <w:p w14:paraId="4F023F05" w14:textId="77777777" w:rsidR="007949B6" w:rsidRDefault="007949B6" w:rsidP="00562A34">
    <w:pPr>
      <w:spacing w:after="0"/>
    </w:pPr>
    <w:r>
      <w:t xml:space="preserve">Tel: (02) 9288 4000 </w:t>
    </w:r>
  </w:p>
  <w:p w14:paraId="24388234" w14:textId="77777777" w:rsidR="00C7127B" w:rsidRPr="007949B6" w:rsidRDefault="007949B6" w:rsidP="00562A34">
    <w:pPr>
      <w:spacing w:after="0"/>
      <w:rPr>
        <w:color w:val="23B0E6"/>
      </w:rPr>
    </w:pPr>
    <w:r w:rsidRPr="00E05115">
      <w:rPr>
        <w:color w:val="23B0E6"/>
      </w:rPr>
      <w:t>www.accan.org.au | info@accan.org.au | twitter: @ACCAN_AU</w:t>
    </w:r>
    <w:r>
      <w:rPr>
        <w:color w:val="23B0E6"/>
      </w:rPr>
      <w:t xml:space="preserve"> | www.facebook.com/accanau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6E826" w14:textId="77777777" w:rsidR="006C41B8" w:rsidRDefault="006C41B8" w:rsidP="00C7127B">
      <w:pPr>
        <w:spacing w:after="0" w:line="240" w:lineRule="auto"/>
      </w:pPr>
      <w:r>
        <w:separator/>
      </w:r>
    </w:p>
  </w:footnote>
  <w:footnote w:type="continuationSeparator" w:id="0">
    <w:p w14:paraId="3CAF0612" w14:textId="77777777" w:rsidR="006C41B8" w:rsidRDefault="006C41B8" w:rsidP="00C7127B">
      <w:pPr>
        <w:spacing w:after="0" w:line="240" w:lineRule="auto"/>
      </w:pPr>
      <w:r>
        <w:continuationSeparator/>
      </w:r>
    </w:p>
  </w:footnote>
  <w:footnote w:id="1">
    <w:p w14:paraId="62DAFF56" w14:textId="77777777" w:rsidR="004D168E" w:rsidRDefault="004D168E" w:rsidP="004D168E">
      <w:pPr>
        <w:pStyle w:val="FootnoteText"/>
      </w:pPr>
      <w:r>
        <w:rPr>
          <w:rStyle w:val="FootnoteReference"/>
        </w:rPr>
        <w:footnoteRef/>
      </w:r>
      <w:r>
        <w:t xml:space="preserve"> </w:t>
      </w:r>
      <w:r w:rsidRPr="00F5269E">
        <w:t>https://www.legislation.gov.au/Details/C2022C00079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9583" w14:textId="77777777" w:rsidR="00C7127B" w:rsidRDefault="00C7127B" w:rsidP="00983739">
    <w:pPr>
      <w:pStyle w:val="Header"/>
    </w:pPr>
    <w:r>
      <w:rPr>
        <w:noProof/>
      </w:rPr>
      <w:drawing>
        <wp:anchor distT="0" distB="0" distL="114300" distR="114300" simplePos="0" relativeHeight="251659264" behindDoc="1" locked="0" layoutInCell="1" allowOverlap="1" wp14:anchorId="3F3219E3" wp14:editId="0017ED2A">
          <wp:simplePos x="0" y="0"/>
          <wp:positionH relativeFrom="column">
            <wp:posOffset>5029200</wp:posOffset>
          </wp:positionH>
          <wp:positionV relativeFrom="paragraph">
            <wp:posOffset>175260</wp:posOffset>
          </wp:positionV>
          <wp:extent cx="664682" cy="308131"/>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669899" cy="31054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C79F1" w14:textId="77777777" w:rsidR="00C7127B" w:rsidRDefault="00C7127B" w:rsidP="007949B6">
    <w:pPr>
      <w:pStyle w:val="Header"/>
      <w:jc w:val="right"/>
    </w:pPr>
    <w:r>
      <w:rPr>
        <w:noProof/>
      </w:rPr>
      <w:drawing>
        <wp:anchor distT="0" distB="0" distL="114300" distR="114300" simplePos="0" relativeHeight="251663360" behindDoc="1" locked="0" layoutInCell="1" allowOverlap="1" wp14:anchorId="30F2139D" wp14:editId="7AD8E3BE">
          <wp:simplePos x="0" y="0"/>
          <wp:positionH relativeFrom="column">
            <wp:posOffset>4739640</wp:posOffset>
          </wp:positionH>
          <wp:positionV relativeFrom="paragraph">
            <wp:posOffset>151765</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57200"/>
    <w:multiLevelType w:val="hybridMultilevel"/>
    <w:tmpl w:val="9D4E4998"/>
    <w:lvl w:ilvl="0" w:tplc="9294A9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9204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B5"/>
    <w:rsid w:val="00121E82"/>
    <w:rsid w:val="001248E0"/>
    <w:rsid w:val="00155FA9"/>
    <w:rsid w:val="001F15C4"/>
    <w:rsid w:val="00340D22"/>
    <w:rsid w:val="004D168E"/>
    <w:rsid w:val="00545597"/>
    <w:rsid w:val="00562A34"/>
    <w:rsid w:val="005715EC"/>
    <w:rsid w:val="00612D02"/>
    <w:rsid w:val="006667CA"/>
    <w:rsid w:val="006C41B8"/>
    <w:rsid w:val="007949B6"/>
    <w:rsid w:val="008908B5"/>
    <w:rsid w:val="00983739"/>
    <w:rsid w:val="00A265E3"/>
    <w:rsid w:val="00B3107F"/>
    <w:rsid w:val="00BD15EE"/>
    <w:rsid w:val="00C7127B"/>
    <w:rsid w:val="00D44538"/>
    <w:rsid w:val="00F40EF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AA31A"/>
  <w15:docId w15:val="{FA60EA0C-086F-47A9-90A5-D01DE3A4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paragraph" w:styleId="ListParagraph">
    <w:name w:val="List Paragraph"/>
    <w:basedOn w:val="Normal"/>
    <w:uiPriority w:val="34"/>
    <w:qFormat/>
    <w:rsid w:val="004D168E"/>
    <w:pPr>
      <w:spacing w:after="160" w:line="259" w:lineRule="auto"/>
      <w:ind w:left="720"/>
      <w:contextualSpacing/>
    </w:pPr>
    <w:rPr>
      <w:rFonts w:eastAsiaTheme="minorHAnsi"/>
      <w:kern w:val="2"/>
      <w:lang w:eastAsia="en-US"/>
      <w14:ligatures w14:val="standardContextual"/>
    </w:rPr>
  </w:style>
  <w:style w:type="paragraph" w:styleId="FootnoteText">
    <w:name w:val="footnote text"/>
    <w:basedOn w:val="Normal"/>
    <w:link w:val="FootnoteTextChar"/>
    <w:uiPriority w:val="99"/>
    <w:semiHidden/>
    <w:unhideWhenUsed/>
    <w:rsid w:val="004D168E"/>
    <w:pPr>
      <w:spacing w:after="0" w:line="240" w:lineRule="auto"/>
    </w:pPr>
    <w:rPr>
      <w:rFonts w:eastAsiaTheme="minorHAnsi"/>
      <w:kern w:val="2"/>
      <w:sz w:val="20"/>
      <w:szCs w:val="20"/>
      <w:lang w:eastAsia="en-US"/>
      <w14:ligatures w14:val="standardContextual"/>
    </w:rPr>
  </w:style>
  <w:style w:type="character" w:customStyle="1" w:styleId="FootnoteTextChar">
    <w:name w:val="Footnote Text Char"/>
    <w:basedOn w:val="DefaultParagraphFont"/>
    <w:link w:val="FootnoteText"/>
    <w:uiPriority w:val="99"/>
    <w:semiHidden/>
    <w:rsid w:val="004D168E"/>
    <w:rPr>
      <w:rFonts w:eastAsiaTheme="minorHAnsi"/>
      <w:kern w:val="2"/>
      <w:sz w:val="20"/>
      <w:szCs w:val="20"/>
      <w:lang w:eastAsia="en-US"/>
      <w14:ligatures w14:val="standardContextual"/>
    </w:rPr>
  </w:style>
  <w:style w:type="character" w:styleId="FootnoteReference">
    <w:name w:val="footnote reference"/>
    <w:basedOn w:val="DefaultParagraphFont"/>
    <w:uiPriority w:val="99"/>
    <w:semiHidden/>
    <w:unhideWhenUsed/>
    <w:rsid w:val="004D168E"/>
    <w:rPr>
      <w:vertAlign w:val="superscript"/>
    </w:rPr>
  </w:style>
  <w:style w:type="character" w:styleId="UnresolvedMention">
    <w:name w:val="Unresolved Mention"/>
    <w:basedOn w:val="DefaultParagraphFont"/>
    <w:uiPriority w:val="99"/>
    <w:semiHidden/>
    <w:unhideWhenUsed/>
    <w:rsid w:val="00F40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5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ughn.Bennison@accan.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ptioning@acma.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ul.Kamaras@acma.org.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ugh\Documents\ACCAN\Short%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E4A5C17F963D4A81626FBA9D0C3C6E" ma:contentTypeVersion="6" ma:contentTypeDescription="Create a new document." ma:contentTypeScope="" ma:versionID="ea7b058ea57afb665b00310e88cfb963">
  <xsd:schema xmlns:xsd="http://www.w3.org/2001/XMLSchema" xmlns:xs="http://www.w3.org/2001/XMLSchema" xmlns:p="http://schemas.microsoft.com/office/2006/metadata/properties" xmlns:ns2="25af2f0e-673d-4721-b64c-73e7c4e9e0c5" xmlns:ns3="2afa1a33-c191-48ee-b288-192490d33fec" targetNamespace="http://schemas.microsoft.com/office/2006/metadata/properties" ma:root="true" ma:fieldsID="aaf83de09e21ac40c367696fbb363d37" ns2:_="" ns3:_="">
    <xsd:import namespace="25af2f0e-673d-4721-b64c-73e7c4e9e0c5"/>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f2f0e-673d-4721-b64c-73e7c4e9e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A915B0-BB15-40B2-A7B6-A46156A25681}">
  <ds:schemaRefs>
    <ds:schemaRef ds:uri="http://schemas.openxmlformats.org/officeDocument/2006/bibliography"/>
  </ds:schemaRefs>
</ds:datastoreItem>
</file>

<file path=customXml/itemProps2.xml><?xml version="1.0" encoding="utf-8"?>
<ds:datastoreItem xmlns:ds="http://schemas.openxmlformats.org/officeDocument/2006/customXml" ds:itemID="{E82307A1-F5D4-4283-9365-D84505CA02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5B08BB-ABFE-4BAE-9F56-7564BD209427}"/>
</file>

<file path=customXml/itemProps4.xml><?xml version="1.0" encoding="utf-8"?>
<ds:datastoreItem xmlns:ds="http://schemas.openxmlformats.org/officeDocument/2006/customXml" ds:itemID="{56A17D71-806E-4097-9937-8C64B2D31D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Short Submission Template</Template>
  <TotalTime>4</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Vaughn Bennison</dc:creator>
  <cp:lastModifiedBy>Andrew Williams</cp:lastModifiedBy>
  <cp:revision>4</cp:revision>
  <dcterms:created xsi:type="dcterms:W3CDTF">2022-05-17T05:40:00Z</dcterms:created>
  <dcterms:modified xsi:type="dcterms:W3CDTF">2022-05-19T22:30:00Z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0x010100B3E4A5C17F963D4A81626FBA9D0C3C6E</vt:lpwstr>
  </property>
</Properties>
</file>