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7A01" w14:textId="77777777" w:rsidR="00C03663" w:rsidRPr="00297684" w:rsidRDefault="00C03663" w:rsidP="00C03663">
      <w:pPr>
        <w:pStyle w:val="Subtitle"/>
        <w:rPr>
          <w:rFonts w:eastAsiaTheme="majorEastAsia" w:cstheme="majorBidi"/>
          <w:b/>
          <w:spacing w:val="5"/>
          <w:kern w:val="28"/>
          <w:sz w:val="52"/>
          <w:szCs w:val="52"/>
          <w:lang w:val="en-US"/>
        </w:rPr>
      </w:pPr>
    </w:p>
    <w:p w14:paraId="64D39635" w14:textId="77777777" w:rsidR="00C03663" w:rsidRDefault="00C03663" w:rsidP="00C03663">
      <w:pPr>
        <w:pStyle w:val="Subtitle"/>
        <w:rPr>
          <w:rFonts w:eastAsiaTheme="majorEastAsia" w:cstheme="majorBidi"/>
          <w:b/>
          <w:spacing w:val="5"/>
          <w:kern w:val="28"/>
          <w:sz w:val="52"/>
          <w:szCs w:val="52"/>
        </w:rPr>
      </w:pPr>
    </w:p>
    <w:p w14:paraId="2CE04A4D" w14:textId="0B054924" w:rsidR="00C03663" w:rsidRDefault="00C03663" w:rsidP="00C03663">
      <w:pPr>
        <w:pStyle w:val="Subtitle"/>
        <w:rPr>
          <w:rFonts w:eastAsiaTheme="majorEastAsia" w:cstheme="majorBidi"/>
          <w:b/>
          <w:spacing w:val="5"/>
          <w:kern w:val="28"/>
          <w:sz w:val="52"/>
          <w:szCs w:val="52"/>
        </w:rPr>
      </w:pPr>
      <w:r w:rsidRPr="00C03663">
        <w:rPr>
          <w:rFonts w:eastAsiaTheme="majorEastAsia" w:cstheme="majorBidi"/>
          <w:b/>
          <w:spacing w:val="5"/>
          <w:kern w:val="28"/>
          <w:sz w:val="52"/>
          <w:szCs w:val="52"/>
        </w:rPr>
        <w:t>RMID1064 - nbn Special Access</w:t>
      </w:r>
      <w:r>
        <w:rPr>
          <w:rFonts w:eastAsiaTheme="majorEastAsia" w:cstheme="majorBidi"/>
          <w:b/>
          <w:spacing w:val="5"/>
          <w:kern w:val="28"/>
          <w:sz w:val="52"/>
          <w:szCs w:val="52"/>
        </w:rPr>
        <w:t xml:space="preserve"> </w:t>
      </w:r>
      <w:r w:rsidRPr="00C03663">
        <w:rPr>
          <w:rFonts w:eastAsiaTheme="majorEastAsia" w:cstheme="majorBidi"/>
          <w:b/>
          <w:spacing w:val="5"/>
          <w:kern w:val="28"/>
          <w:sz w:val="52"/>
          <w:szCs w:val="52"/>
        </w:rPr>
        <w:t>Undertaking Variation 2021 –</w:t>
      </w:r>
      <w:r>
        <w:rPr>
          <w:rFonts w:eastAsiaTheme="majorEastAsia" w:cstheme="majorBidi"/>
          <w:b/>
          <w:spacing w:val="5"/>
          <w:kern w:val="28"/>
          <w:sz w:val="52"/>
          <w:szCs w:val="52"/>
        </w:rPr>
        <w:t xml:space="preserve"> </w:t>
      </w:r>
      <w:r w:rsidRPr="00C03663">
        <w:rPr>
          <w:rFonts w:eastAsiaTheme="majorEastAsia" w:cstheme="majorBidi"/>
          <w:b/>
          <w:spacing w:val="5"/>
          <w:kern w:val="28"/>
          <w:sz w:val="52"/>
          <w:szCs w:val="52"/>
        </w:rPr>
        <w:t>Discussion Paper</w:t>
      </w:r>
    </w:p>
    <w:p w14:paraId="23082329" w14:textId="48E78B6D" w:rsidR="009F4B9D" w:rsidRPr="00C03663" w:rsidRDefault="009F4B9D" w:rsidP="00C03663">
      <w:pPr>
        <w:pStyle w:val="Subtitle"/>
        <w:rPr>
          <w:rFonts w:eastAsiaTheme="majorEastAsia" w:cstheme="majorBidi"/>
          <w:b/>
          <w:spacing w:val="5"/>
          <w:kern w:val="28"/>
          <w:sz w:val="52"/>
          <w:szCs w:val="52"/>
        </w:rPr>
      </w:pPr>
      <w:r w:rsidRPr="003441E5">
        <w:t xml:space="preserve">Submission by the Australian Communications Consumer Action Network to </w:t>
      </w:r>
      <w:r w:rsidR="006035FE">
        <w:t>nbn Co.</w:t>
      </w:r>
    </w:p>
    <w:p w14:paraId="0A39A8B3" w14:textId="66582460" w:rsidR="009F4B9D" w:rsidRPr="003441E5" w:rsidRDefault="00ED3A68" w:rsidP="00B14DFB">
      <w:pPr>
        <w:pStyle w:val="Subtitle"/>
      </w:pPr>
      <w:r>
        <w:t>29</w:t>
      </w:r>
      <w:r w:rsidR="00C03663" w:rsidRPr="00C03663">
        <w:rPr>
          <w:vertAlign w:val="superscript"/>
        </w:rPr>
        <w:t>th</w:t>
      </w:r>
      <w:r w:rsidR="00C03663">
        <w:t xml:space="preserve"> July 2021</w:t>
      </w:r>
    </w:p>
    <w:p w14:paraId="61099578" w14:textId="77777777" w:rsidR="009F4B9D" w:rsidRPr="003441E5" w:rsidRDefault="009F4B9D" w:rsidP="00A13B92">
      <w:pPr>
        <w:rPr>
          <w:lang w:eastAsia="en-US"/>
        </w:rPr>
      </w:pPr>
      <w:r w:rsidRPr="003441E5">
        <w:rPr>
          <w:lang w:eastAsia="en-US"/>
        </w:rPr>
        <w:br w:type="page"/>
      </w:r>
    </w:p>
    <w:p w14:paraId="47B81082" w14:textId="77777777" w:rsidR="009F4B9D" w:rsidRPr="003441E5" w:rsidRDefault="009F4B9D" w:rsidP="00B14DFB">
      <w:pPr>
        <w:pStyle w:val="About"/>
      </w:pPr>
      <w:r w:rsidRPr="003441E5">
        <w:lastRenderedPageBreak/>
        <w:t xml:space="preserve">About ACCAN </w:t>
      </w:r>
    </w:p>
    <w:p w14:paraId="7B5E24FD" w14:textId="77777777" w:rsidR="009F4B9D" w:rsidRPr="003441E5" w:rsidRDefault="009F4B9D" w:rsidP="001D39F4">
      <w:pPr>
        <w:jc w:val="both"/>
      </w:pPr>
      <w:r w:rsidRPr="003441E5">
        <w:t xml:space="preserve">The Australian Communications Consumer Action Network (ACCAN) is the peak body that represents all consumers on communications issues including telecommunications, </w:t>
      </w:r>
      <w:proofErr w:type="gramStart"/>
      <w:r w:rsidRPr="003441E5">
        <w:t>broadband</w:t>
      </w:r>
      <w:proofErr w:type="gramEnd"/>
      <w:r w:rsidRPr="003441E5">
        <w:t xml:space="preserve"> and emerging new services. ACCAN provides a strong unified voice to industry and government as consumers work towards communications services </w:t>
      </w:r>
      <w:r w:rsidR="00542DEB">
        <w:t>that are trusted, inclusive and available for all</w:t>
      </w:r>
      <w:r w:rsidRPr="003441E5">
        <w:t>.</w:t>
      </w:r>
    </w:p>
    <w:p w14:paraId="65BDEEFA" w14:textId="77777777" w:rsidR="00A615CC" w:rsidRPr="003441E5" w:rsidRDefault="00A615CC" w:rsidP="001D39F4">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4285CA68" w14:textId="77777777" w:rsidR="009F4B9D" w:rsidRPr="003441E5" w:rsidRDefault="009F4B9D" w:rsidP="00B14DFB">
      <w:pPr>
        <w:pStyle w:val="About"/>
      </w:pPr>
      <w:r w:rsidRPr="003441E5">
        <w:t>Contact</w:t>
      </w:r>
    </w:p>
    <w:p w14:paraId="635FFB19" w14:textId="00082D9D" w:rsidR="00BF754D" w:rsidRDefault="00BF754D" w:rsidP="00BF754D">
      <w:pPr>
        <w:spacing w:after="0" w:afterAutospacing="0"/>
      </w:pPr>
      <w:r>
        <w:t>PO Box</w:t>
      </w:r>
      <w:r w:rsidR="002D0EFD">
        <w:t xml:space="preserve"> A1158</w:t>
      </w:r>
    </w:p>
    <w:p w14:paraId="7430CF09" w14:textId="70C4C52F" w:rsidR="00BF754D" w:rsidRDefault="002D0EFD" w:rsidP="00BF754D">
      <w:pPr>
        <w:spacing w:before="0" w:beforeAutospacing="0"/>
      </w:pPr>
      <w:r>
        <w:t>Sydney South NSW 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0F838E20" w14:textId="77777777" w:rsidR="009F4B9D" w:rsidRPr="003441E5" w:rsidRDefault="009F4B9D" w:rsidP="00BF754D">
      <w:pPr>
        <w:spacing w:before="0" w:beforeAutospacing="0"/>
      </w:pPr>
    </w:p>
    <w:sdt>
      <w:sdtPr>
        <w:rPr>
          <w:rFonts w:eastAsiaTheme="minorEastAsia" w:cstheme="minorBidi"/>
          <w:bCs w:val="0"/>
          <w:sz w:val="22"/>
          <w:szCs w:val="22"/>
          <w:lang w:eastAsia="en-AU"/>
        </w:rPr>
        <w:id w:val="48200598"/>
        <w:docPartObj>
          <w:docPartGallery w:val="Table of Contents"/>
          <w:docPartUnique/>
        </w:docPartObj>
      </w:sdtPr>
      <w:sdtEndPr>
        <w:rPr>
          <w:b/>
          <w:noProof/>
        </w:rPr>
      </w:sdtEndPr>
      <w:sdtContent>
        <w:p w14:paraId="3D05ABE3" w14:textId="4DEFBE9A" w:rsidR="00D76F6E" w:rsidRDefault="00D76F6E">
          <w:pPr>
            <w:pStyle w:val="TOCHeading"/>
          </w:pPr>
          <w:r>
            <w:t>Contents</w:t>
          </w:r>
        </w:p>
        <w:p w14:paraId="7F8CC911" w14:textId="423B6C05" w:rsidR="00C461DC" w:rsidRDefault="00D76F6E">
          <w:pPr>
            <w:pStyle w:val="TOC1"/>
            <w:rPr>
              <w:rFonts w:asciiTheme="minorHAnsi" w:hAnsiTheme="minorHAnsi"/>
              <w:noProof/>
            </w:rPr>
          </w:pPr>
          <w:r>
            <w:fldChar w:fldCharType="begin"/>
          </w:r>
          <w:r>
            <w:instrText xml:space="preserve"> TOC \o "1-3" \h \z \u </w:instrText>
          </w:r>
          <w:r>
            <w:fldChar w:fldCharType="separate"/>
          </w:r>
          <w:hyperlink w:anchor="_Toc78452057" w:history="1">
            <w:r w:rsidR="00C461DC" w:rsidRPr="00656304">
              <w:rPr>
                <w:rStyle w:val="Hyperlink"/>
                <w:noProof/>
              </w:rPr>
              <w:t>Executive Summary</w:t>
            </w:r>
            <w:r w:rsidR="00C461DC">
              <w:rPr>
                <w:noProof/>
                <w:webHidden/>
              </w:rPr>
              <w:tab/>
            </w:r>
            <w:r w:rsidR="00C461DC">
              <w:rPr>
                <w:noProof/>
                <w:webHidden/>
              </w:rPr>
              <w:fldChar w:fldCharType="begin"/>
            </w:r>
            <w:r w:rsidR="00C461DC">
              <w:rPr>
                <w:noProof/>
                <w:webHidden/>
              </w:rPr>
              <w:instrText xml:space="preserve"> PAGEREF _Toc78452057 \h </w:instrText>
            </w:r>
            <w:r w:rsidR="00C461DC">
              <w:rPr>
                <w:noProof/>
                <w:webHidden/>
              </w:rPr>
            </w:r>
            <w:r w:rsidR="00C461DC">
              <w:rPr>
                <w:noProof/>
                <w:webHidden/>
              </w:rPr>
              <w:fldChar w:fldCharType="separate"/>
            </w:r>
            <w:r w:rsidR="00110D69">
              <w:rPr>
                <w:noProof/>
                <w:webHidden/>
              </w:rPr>
              <w:t>4</w:t>
            </w:r>
            <w:r w:rsidR="00C461DC">
              <w:rPr>
                <w:noProof/>
                <w:webHidden/>
              </w:rPr>
              <w:fldChar w:fldCharType="end"/>
            </w:r>
          </w:hyperlink>
        </w:p>
        <w:p w14:paraId="570A9FEA" w14:textId="4CC24BD7" w:rsidR="00C461DC" w:rsidRDefault="00C461DC">
          <w:pPr>
            <w:pStyle w:val="TOC2"/>
            <w:rPr>
              <w:rFonts w:asciiTheme="minorHAnsi" w:hAnsiTheme="minorHAnsi"/>
            </w:rPr>
          </w:pPr>
          <w:hyperlink w:anchor="_Toc78452058" w:history="1">
            <w:r w:rsidRPr="00656304">
              <w:rPr>
                <w:rStyle w:val="Hyperlink"/>
              </w:rPr>
              <w:t>Recommendations</w:t>
            </w:r>
            <w:r>
              <w:rPr>
                <w:webHidden/>
              </w:rPr>
              <w:tab/>
            </w:r>
            <w:r>
              <w:rPr>
                <w:webHidden/>
              </w:rPr>
              <w:fldChar w:fldCharType="begin"/>
            </w:r>
            <w:r>
              <w:rPr>
                <w:webHidden/>
              </w:rPr>
              <w:instrText xml:space="preserve"> PAGEREF _Toc78452058 \h </w:instrText>
            </w:r>
            <w:r>
              <w:rPr>
                <w:webHidden/>
              </w:rPr>
            </w:r>
            <w:r>
              <w:rPr>
                <w:webHidden/>
              </w:rPr>
              <w:fldChar w:fldCharType="separate"/>
            </w:r>
            <w:r w:rsidR="00110D69">
              <w:rPr>
                <w:webHidden/>
              </w:rPr>
              <w:t>4</w:t>
            </w:r>
            <w:r>
              <w:rPr>
                <w:webHidden/>
              </w:rPr>
              <w:fldChar w:fldCharType="end"/>
            </w:r>
          </w:hyperlink>
        </w:p>
        <w:p w14:paraId="4DA5AEE5" w14:textId="557DEB89" w:rsidR="00C461DC" w:rsidRDefault="00C461DC">
          <w:pPr>
            <w:pStyle w:val="TOC1"/>
            <w:rPr>
              <w:rFonts w:asciiTheme="minorHAnsi" w:hAnsiTheme="minorHAnsi"/>
              <w:noProof/>
            </w:rPr>
          </w:pPr>
          <w:hyperlink w:anchor="_Toc78452059" w:history="1">
            <w:r w:rsidRPr="00656304">
              <w:rPr>
                <w:rStyle w:val="Hyperlink"/>
                <w:noProof/>
              </w:rPr>
              <w:t>Responses to RMID1064 - nbn Special Undertaking Variation 2021 – Discussion Paper</w:t>
            </w:r>
            <w:r>
              <w:rPr>
                <w:noProof/>
                <w:webHidden/>
              </w:rPr>
              <w:tab/>
            </w:r>
            <w:r>
              <w:rPr>
                <w:noProof/>
                <w:webHidden/>
              </w:rPr>
              <w:fldChar w:fldCharType="begin"/>
            </w:r>
            <w:r>
              <w:rPr>
                <w:noProof/>
                <w:webHidden/>
              </w:rPr>
              <w:instrText xml:space="preserve"> PAGEREF _Toc78452059 \h </w:instrText>
            </w:r>
            <w:r>
              <w:rPr>
                <w:noProof/>
                <w:webHidden/>
              </w:rPr>
            </w:r>
            <w:r>
              <w:rPr>
                <w:noProof/>
                <w:webHidden/>
              </w:rPr>
              <w:fldChar w:fldCharType="separate"/>
            </w:r>
            <w:r w:rsidR="00110D69">
              <w:rPr>
                <w:noProof/>
                <w:webHidden/>
              </w:rPr>
              <w:t>5</w:t>
            </w:r>
            <w:r>
              <w:rPr>
                <w:noProof/>
                <w:webHidden/>
              </w:rPr>
              <w:fldChar w:fldCharType="end"/>
            </w:r>
          </w:hyperlink>
        </w:p>
        <w:p w14:paraId="68336DB1" w14:textId="559F7700" w:rsidR="00C461DC" w:rsidRDefault="00C461DC">
          <w:pPr>
            <w:pStyle w:val="TOC2"/>
            <w:rPr>
              <w:rFonts w:asciiTheme="minorHAnsi" w:hAnsiTheme="minorHAnsi"/>
            </w:rPr>
          </w:pPr>
          <w:hyperlink w:anchor="_Toc78452060" w:history="1">
            <w:r w:rsidRPr="00656304">
              <w:rPr>
                <w:rStyle w:val="Hyperlink"/>
              </w:rPr>
              <w:t>Overview and objectives of the SAU</w:t>
            </w:r>
            <w:r>
              <w:rPr>
                <w:webHidden/>
              </w:rPr>
              <w:tab/>
            </w:r>
            <w:r>
              <w:rPr>
                <w:webHidden/>
              </w:rPr>
              <w:fldChar w:fldCharType="begin"/>
            </w:r>
            <w:r>
              <w:rPr>
                <w:webHidden/>
              </w:rPr>
              <w:instrText xml:space="preserve"> PAGEREF _Toc78452060 \h </w:instrText>
            </w:r>
            <w:r>
              <w:rPr>
                <w:webHidden/>
              </w:rPr>
            </w:r>
            <w:r>
              <w:rPr>
                <w:webHidden/>
              </w:rPr>
              <w:fldChar w:fldCharType="separate"/>
            </w:r>
            <w:r w:rsidR="00110D69">
              <w:rPr>
                <w:webHidden/>
              </w:rPr>
              <w:t>5</w:t>
            </w:r>
            <w:r>
              <w:rPr>
                <w:webHidden/>
              </w:rPr>
              <w:fldChar w:fldCharType="end"/>
            </w:r>
          </w:hyperlink>
        </w:p>
        <w:p w14:paraId="18040BBA" w14:textId="1448975A" w:rsidR="00C461DC" w:rsidRDefault="00C461DC">
          <w:pPr>
            <w:pStyle w:val="TOC2"/>
            <w:rPr>
              <w:rFonts w:asciiTheme="minorHAnsi" w:hAnsiTheme="minorHAnsi"/>
            </w:rPr>
          </w:pPr>
          <w:hyperlink w:anchor="_Toc78452061" w:history="1">
            <w:r w:rsidRPr="00656304">
              <w:rPr>
                <w:rStyle w:val="Hyperlink"/>
              </w:rPr>
              <w:t>Broader SAU Reforms</w:t>
            </w:r>
            <w:r>
              <w:rPr>
                <w:webHidden/>
              </w:rPr>
              <w:tab/>
            </w:r>
            <w:r>
              <w:rPr>
                <w:webHidden/>
              </w:rPr>
              <w:fldChar w:fldCharType="begin"/>
            </w:r>
            <w:r>
              <w:rPr>
                <w:webHidden/>
              </w:rPr>
              <w:instrText xml:space="preserve"> PAGEREF _Toc78452061 \h </w:instrText>
            </w:r>
            <w:r>
              <w:rPr>
                <w:webHidden/>
              </w:rPr>
            </w:r>
            <w:r>
              <w:rPr>
                <w:webHidden/>
              </w:rPr>
              <w:fldChar w:fldCharType="separate"/>
            </w:r>
            <w:r w:rsidR="00110D69">
              <w:rPr>
                <w:webHidden/>
              </w:rPr>
              <w:t>6</w:t>
            </w:r>
            <w:r>
              <w:rPr>
                <w:webHidden/>
              </w:rPr>
              <w:fldChar w:fldCharType="end"/>
            </w:r>
          </w:hyperlink>
        </w:p>
        <w:p w14:paraId="6E428BAD" w14:textId="03D46CCC" w:rsidR="00C461DC" w:rsidRDefault="00C461DC">
          <w:pPr>
            <w:pStyle w:val="TOC2"/>
            <w:rPr>
              <w:rFonts w:asciiTheme="minorHAnsi" w:hAnsiTheme="minorHAnsi"/>
            </w:rPr>
          </w:pPr>
          <w:hyperlink w:anchor="_Toc78452062" w:history="1">
            <w:r w:rsidRPr="00656304">
              <w:rPr>
                <w:rStyle w:val="Hyperlink"/>
              </w:rPr>
              <w:t>Long-term pricing reform</w:t>
            </w:r>
            <w:r>
              <w:rPr>
                <w:webHidden/>
              </w:rPr>
              <w:tab/>
            </w:r>
            <w:r>
              <w:rPr>
                <w:webHidden/>
              </w:rPr>
              <w:fldChar w:fldCharType="begin"/>
            </w:r>
            <w:r>
              <w:rPr>
                <w:webHidden/>
              </w:rPr>
              <w:instrText xml:space="preserve"> PAGEREF _Toc78452062 \h </w:instrText>
            </w:r>
            <w:r>
              <w:rPr>
                <w:webHidden/>
              </w:rPr>
            </w:r>
            <w:r>
              <w:rPr>
                <w:webHidden/>
              </w:rPr>
              <w:fldChar w:fldCharType="separate"/>
            </w:r>
            <w:r w:rsidR="00110D69">
              <w:rPr>
                <w:webHidden/>
              </w:rPr>
              <w:t>8</w:t>
            </w:r>
            <w:r>
              <w:rPr>
                <w:webHidden/>
              </w:rPr>
              <w:fldChar w:fldCharType="end"/>
            </w:r>
          </w:hyperlink>
        </w:p>
        <w:p w14:paraId="09F55307" w14:textId="5210CCF8" w:rsidR="00C461DC" w:rsidRDefault="00C461DC">
          <w:pPr>
            <w:pStyle w:val="TOC2"/>
            <w:rPr>
              <w:rFonts w:asciiTheme="minorHAnsi" w:hAnsiTheme="minorHAnsi"/>
            </w:rPr>
          </w:pPr>
          <w:hyperlink w:anchor="_Toc78452063" w:history="1">
            <w:r w:rsidRPr="00656304">
              <w:rPr>
                <w:rStyle w:val="Hyperlink"/>
              </w:rPr>
              <w:t>Proposed TC- 4 pricing constructs for consideration</w:t>
            </w:r>
            <w:r>
              <w:rPr>
                <w:webHidden/>
              </w:rPr>
              <w:tab/>
            </w:r>
            <w:r>
              <w:rPr>
                <w:webHidden/>
              </w:rPr>
              <w:fldChar w:fldCharType="begin"/>
            </w:r>
            <w:r>
              <w:rPr>
                <w:webHidden/>
              </w:rPr>
              <w:instrText xml:space="preserve"> PAGEREF _Toc78452063 \h </w:instrText>
            </w:r>
            <w:r>
              <w:rPr>
                <w:webHidden/>
              </w:rPr>
            </w:r>
            <w:r>
              <w:rPr>
                <w:webHidden/>
              </w:rPr>
              <w:fldChar w:fldCharType="separate"/>
            </w:r>
            <w:r w:rsidR="00110D69">
              <w:rPr>
                <w:webHidden/>
              </w:rPr>
              <w:t>9</w:t>
            </w:r>
            <w:r>
              <w:rPr>
                <w:webHidden/>
              </w:rPr>
              <w:fldChar w:fldCharType="end"/>
            </w:r>
          </w:hyperlink>
        </w:p>
        <w:p w14:paraId="237EEBAB" w14:textId="75E13FBB" w:rsidR="00C461DC" w:rsidRDefault="00C461DC">
          <w:pPr>
            <w:pStyle w:val="TOC3"/>
            <w:rPr>
              <w:rFonts w:asciiTheme="minorHAnsi" w:hAnsiTheme="minorHAnsi"/>
            </w:rPr>
          </w:pPr>
          <w:hyperlink w:anchor="_Toc78452064" w:history="1">
            <w:r w:rsidRPr="00656304">
              <w:rPr>
                <w:rStyle w:val="Hyperlink"/>
              </w:rPr>
              <w:t>Pricing construct: design considerations</w:t>
            </w:r>
            <w:r>
              <w:rPr>
                <w:webHidden/>
              </w:rPr>
              <w:tab/>
            </w:r>
            <w:r>
              <w:rPr>
                <w:webHidden/>
              </w:rPr>
              <w:fldChar w:fldCharType="begin"/>
            </w:r>
            <w:r>
              <w:rPr>
                <w:webHidden/>
              </w:rPr>
              <w:instrText xml:space="preserve"> PAGEREF _Toc78452064 \h </w:instrText>
            </w:r>
            <w:r>
              <w:rPr>
                <w:webHidden/>
              </w:rPr>
            </w:r>
            <w:r>
              <w:rPr>
                <w:webHidden/>
              </w:rPr>
              <w:fldChar w:fldCharType="separate"/>
            </w:r>
            <w:r w:rsidR="00110D69">
              <w:rPr>
                <w:webHidden/>
              </w:rPr>
              <w:t>11</w:t>
            </w:r>
            <w:r>
              <w:rPr>
                <w:webHidden/>
              </w:rPr>
              <w:fldChar w:fldCharType="end"/>
            </w:r>
          </w:hyperlink>
        </w:p>
        <w:p w14:paraId="5723B478" w14:textId="680D0E8C" w:rsidR="00C461DC" w:rsidRDefault="00C461DC">
          <w:pPr>
            <w:pStyle w:val="TOC3"/>
            <w:rPr>
              <w:rFonts w:asciiTheme="minorHAnsi" w:hAnsiTheme="minorHAnsi"/>
            </w:rPr>
          </w:pPr>
          <w:hyperlink w:anchor="_Toc78452065" w:history="1">
            <w:r w:rsidRPr="00656304">
              <w:rPr>
                <w:rStyle w:val="Hyperlink"/>
              </w:rPr>
              <w:t>SAU price controls</w:t>
            </w:r>
            <w:r>
              <w:rPr>
                <w:webHidden/>
              </w:rPr>
              <w:tab/>
            </w:r>
            <w:r>
              <w:rPr>
                <w:webHidden/>
              </w:rPr>
              <w:fldChar w:fldCharType="begin"/>
            </w:r>
            <w:r>
              <w:rPr>
                <w:webHidden/>
              </w:rPr>
              <w:instrText xml:space="preserve"> PAGEREF _Toc78452065 \h </w:instrText>
            </w:r>
            <w:r>
              <w:rPr>
                <w:webHidden/>
              </w:rPr>
            </w:r>
            <w:r>
              <w:rPr>
                <w:webHidden/>
              </w:rPr>
              <w:fldChar w:fldCharType="separate"/>
            </w:r>
            <w:r w:rsidR="00110D69">
              <w:rPr>
                <w:webHidden/>
              </w:rPr>
              <w:t>12</w:t>
            </w:r>
            <w:r>
              <w:rPr>
                <w:webHidden/>
              </w:rPr>
              <w:fldChar w:fldCharType="end"/>
            </w:r>
          </w:hyperlink>
        </w:p>
        <w:p w14:paraId="0FCF4606" w14:textId="494DC3D6" w:rsidR="00C461DC" w:rsidRDefault="00C461DC">
          <w:pPr>
            <w:pStyle w:val="TOC3"/>
            <w:rPr>
              <w:rFonts w:asciiTheme="minorHAnsi" w:hAnsiTheme="minorHAnsi"/>
            </w:rPr>
          </w:pPr>
          <w:hyperlink w:anchor="_Toc78452066" w:history="1">
            <w:r w:rsidRPr="00656304">
              <w:rPr>
                <w:rStyle w:val="Hyperlink"/>
              </w:rPr>
              <w:t>Entry level price control</w:t>
            </w:r>
            <w:r>
              <w:rPr>
                <w:webHidden/>
              </w:rPr>
              <w:tab/>
            </w:r>
            <w:r>
              <w:rPr>
                <w:webHidden/>
              </w:rPr>
              <w:fldChar w:fldCharType="begin"/>
            </w:r>
            <w:r>
              <w:rPr>
                <w:webHidden/>
              </w:rPr>
              <w:instrText xml:space="preserve"> PAGEREF _Toc78452066 \h </w:instrText>
            </w:r>
            <w:r>
              <w:rPr>
                <w:webHidden/>
              </w:rPr>
            </w:r>
            <w:r>
              <w:rPr>
                <w:webHidden/>
              </w:rPr>
              <w:fldChar w:fldCharType="separate"/>
            </w:r>
            <w:r w:rsidR="00110D69">
              <w:rPr>
                <w:webHidden/>
              </w:rPr>
              <w:t>13</w:t>
            </w:r>
            <w:r>
              <w:rPr>
                <w:webHidden/>
              </w:rPr>
              <w:fldChar w:fldCharType="end"/>
            </w:r>
          </w:hyperlink>
        </w:p>
        <w:p w14:paraId="1DBE1346" w14:textId="1BF3A1EE" w:rsidR="00C461DC" w:rsidRDefault="00C461DC">
          <w:pPr>
            <w:pStyle w:val="TOC3"/>
            <w:rPr>
              <w:rFonts w:asciiTheme="minorHAnsi" w:hAnsiTheme="minorHAnsi"/>
            </w:rPr>
          </w:pPr>
          <w:hyperlink w:anchor="_Toc78452067" w:history="1">
            <w:r w:rsidRPr="00656304">
              <w:rPr>
                <w:rStyle w:val="Hyperlink"/>
              </w:rPr>
              <w:t>Implementation and network impacts of the pricing constructs</w:t>
            </w:r>
            <w:r>
              <w:rPr>
                <w:webHidden/>
              </w:rPr>
              <w:tab/>
            </w:r>
            <w:r>
              <w:rPr>
                <w:webHidden/>
              </w:rPr>
              <w:fldChar w:fldCharType="begin"/>
            </w:r>
            <w:r>
              <w:rPr>
                <w:webHidden/>
              </w:rPr>
              <w:instrText xml:space="preserve"> PAGEREF _Toc78452067 \h </w:instrText>
            </w:r>
            <w:r>
              <w:rPr>
                <w:webHidden/>
              </w:rPr>
            </w:r>
            <w:r>
              <w:rPr>
                <w:webHidden/>
              </w:rPr>
              <w:fldChar w:fldCharType="separate"/>
            </w:r>
            <w:r w:rsidR="00110D69">
              <w:rPr>
                <w:webHidden/>
              </w:rPr>
              <w:t>13</w:t>
            </w:r>
            <w:r>
              <w:rPr>
                <w:webHidden/>
              </w:rPr>
              <w:fldChar w:fldCharType="end"/>
            </w:r>
          </w:hyperlink>
        </w:p>
        <w:p w14:paraId="1FF615A9" w14:textId="19B6CF5A" w:rsidR="00C461DC" w:rsidRDefault="00C461DC">
          <w:pPr>
            <w:pStyle w:val="TOC3"/>
            <w:rPr>
              <w:rFonts w:asciiTheme="minorHAnsi" w:hAnsiTheme="minorHAnsi"/>
            </w:rPr>
          </w:pPr>
          <w:hyperlink w:anchor="_Toc78452068" w:history="1">
            <w:r w:rsidRPr="00656304">
              <w:rPr>
                <w:rStyle w:val="Hyperlink"/>
              </w:rPr>
              <w:t>Feedback on long-term pricing options</w:t>
            </w:r>
            <w:r>
              <w:rPr>
                <w:webHidden/>
              </w:rPr>
              <w:tab/>
            </w:r>
            <w:r>
              <w:rPr>
                <w:webHidden/>
              </w:rPr>
              <w:fldChar w:fldCharType="begin"/>
            </w:r>
            <w:r>
              <w:rPr>
                <w:webHidden/>
              </w:rPr>
              <w:instrText xml:space="preserve"> PAGEREF _Toc78452068 \h </w:instrText>
            </w:r>
            <w:r>
              <w:rPr>
                <w:webHidden/>
              </w:rPr>
            </w:r>
            <w:r>
              <w:rPr>
                <w:webHidden/>
              </w:rPr>
              <w:fldChar w:fldCharType="separate"/>
            </w:r>
            <w:r w:rsidR="00110D69">
              <w:rPr>
                <w:webHidden/>
              </w:rPr>
              <w:t>13</w:t>
            </w:r>
            <w:r>
              <w:rPr>
                <w:webHidden/>
              </w:rPr>
              <w:fldChar w:fldCharType="end"/>
            </w:r>
          </w:hyperlink>
        </w:p>
        <w:p w14:paraId="3EA9B4D5" w14:textId="718AC434" w:rsidR="00C461DC" w:rsidRDefault="00C461DC">
          <w:pPr>
            <w:pStyle w:val="TOC3"/>
            <w:rPr>
              <w:rFonts w:asciiTheme="minorHAnsi" w:hAnsiTheme="minorHAnsi"/>
            </w:rPr>
          </w:pPr>
          <w:hyperlink w:anchor="_Toc78452069" w:history="1">
            <w:r w:rsidRPr="00656304">
              <w:rPr>
                <w:rStyle w:val="Hyperlink"/>
              </w:rPr>
              <w:t>Options for low-income households</w:t>
            </w:r>
            <w:r>
              <w:rPr>
                <w:webHidden/>
              </w:rPr>
              <w:tab/>
            </w:r>
            <w:r>
              <w:rPr>
                <w:webHidden/>
              </w:rPr>
              <w:fldChar w:fldCharType="begin"/>
            </w:r>
            <w:r>
              <w:rPr>
                <w:webHidden/>
              </w:rPr>
              <w:instrText xml:space="preserve"> PAGEREF _Toc78452069 \h </w:instrText>
            </w:r>
            <w:r>
              <w:rPr>
                <w:webHidden/>
              </w:rPr>
            </w:r>
            <w:r>
              <w:rPr>
                <w:webHidden/>
              </w:rPr>
              <w:fldChar w:fldCharType="separate"/>
            </w:r>
            <w:r w:rsidR="00110D69">
              <w:rPr>
                <w:webHidden/>
              </w:rPr>
              <w:t>15</w:t>
            </w:r>
            <w:r>
              <w:rPr>
                <w:webHidden/>
              </w:rPr>
              <w:fldChar w:fldCharType="end"/>
            </w:r>
          </w:hyperlink>
        </w:p>
        <w:p w14:paraId="0F8B3150" w14:textId="58B37824" w:rsidR="00C461DC" w:rsidRDefault="00C461DC">
          <w:pPr>
            <w:pStyle w:val="TOC3"/>
            <w:rPr>
              <w:rFonts w:asciiTheme="minorHAnsi" w:hAnsiTheme="minorHAnsi"/>
            </w:rPr>
          </w:pPr>
          <w:hyperlink w:anchor="_Toc78452070" w:history="1">
            <w:r w:rsidRPr="00656304">
              <w:rPr>
                <w:rStyle w:val="Hyperlink"/>
              </w:rPr>
              <w:t>Potential withdrawal of “Basic” AVC and CVC Offers</w:t>
            </w:r>
            <w:r>
              <w:rPr>
                <w:webHidden/>
              </w:rPr>
              <w:tab/>
            </w:r>
            <w:r>
              <w:rPr>
                <w:webHidden/>
              </w:rPr>
              <w:fldChar w:fldCharType="begin"/>
            </w:r>
            <w:r>
              <w:rPr>
                <w:webHidden/>
              </w:rPr>
              <w:instrText xml:space="preserve"> PAGEREF _Toc78452070 \h </w:instrText>
            </w:r>
            <w:r>
              <w:rPr>
                <w:webHidden/>
              </w:rPr>
            </w:r>
            <w:r>
              <w:rPr>
                <w:webHidden/>
              </w:rPr>
              <w:fldChar w:fldCharType="separate"/>
            </w:r>
            <w:r w:rsidR="00110D69">
              <w:rPr>
                <w:webHidden/>
              </w:rPr>
              <w:t>17</w:t>
            </w:r>
            <w:r>
              <w:rPr>
                <w:webHidden/>
              </w:rPr>
              <w:fldChar w:fldCharType="end"/>
            </w:r>
          </w:hyperlink>
        </w:p>
        <w:p w14:paraId="69EF8D0C" w14:textId="5617DDEB" w:rsidR="00C461DC" w:rsidRDefault="00C461DC">
          <w:pPr>
            <w:pStyle w:val="TOC3"/>
            <w:rPr>
              <w:rFonts w:asciiTheme="minorHAnsi" w:hAnsiTheme="minorHAnsi"/>
            </w:rPr>
          </w:pPr>
          <w:hyperlink w:anchor="_Toc78452071" w:history="1">
            <w:r w:rsidRPr="00656304">
              <w:rPr>
                <w:rStyle w:val="Hyperlink"/>
              </w:rPr>
              <w:t>Use of targeted discounts remains relevant and appropriate</w:t>
            </w:r>
            <w:r>
              <w:rPr>
                <w:webHidden/>
              </w:rPr>
              <w:tab/>
            </w:r>
            <w:r>
              <w:rPr>
                <w:webHidden/>
              </w:rPr>
              <w:fldChar w:fldCharType="begin"/>
            </w:r>
            <w:r>
              <w:rPr>
                <w:webHidden/>
              </w:rPr>
              <w:instrText xml:space="preserve"> PAGEREF _Toc78452071 \h </w:instrText>
            </w:r>
            <w:r>
              <w:rPr>
                <w:webHidden/>
              </w:rPr>
            </w:r>
            <w:r>
              <w:rPr>
                <w:webHidden/>
              </w:rPr>
              <w:fldChar w:fldCharType="separate"/>
            </w:r>
            <w:r w:rsidR="00110D69">
              <w:rPr>
                <w:webHidden/>
              </w:rPr>
              <w:t>17</w:t>
            </w:r>
            <w:r>
              <w:rPr>
                <w:webHidden/>
              </w:rPr>
              <w:fldChar w:fldCharType="end"/>
            </w:r>
          </w:hyperlink>
        </w:p>
        <w:p w14:paraId="2602EE09" w14:textId="36F9A6AC" w:rsidR="00C461DC" w:rsidRDefault="00C461DC">
          <w:pPr>
            <w:pStyle w:val="TOC2"/>
            <w:rPr>
              <w:rFonts w:asciiTheme="minorHAnsi" w:hAnsiTheme="minorHAnsi"/>
            </w:rPr>
          </w:pPr>
          <w:hyperlink w:anchor="_Toc78452072" w:history="1">
            <w:r w:rsidRPr="00656304">
              <w:rPr>
                <w:rStyle w:val="Hyperlink"/>
              </w:rPr>
              <w:t>Inclusion of MTM technologies</w:t>
            </w:r>
            <w:r>
              <w:rPr>
                <w:webHidden/>
              </w:rPr>
              <w:tab/>
            </w:r>
            <w:r>
              <w:rPr>
                <w:webHidden/>
              </w:rPr>
              <w:fldChar w:fldCharType="begin"/>
            </w:r>
            <w:r>
              <w:rPr>
                <w:webHidden/>
              </w:rPr>
              <w:instrText xml:space="preserve"> PAGEREF _Toc78452072 \h </w:instrText>
            </w:r>
            <w:r>
              <w:rPr>
                <w:webHidden/>
              </w:rPr>
            </w:r>
            <w:r>
              <w:rPr>
                <w:webHidden/>
              </w:rPr>
              <w:fldChar w:fldCharType="separate"/>
            </w:r>
            <w:r w:rsidR="00110D69">
              <w:rPr>
                <w:webHidden/>
              </w:rPr>
              <w:t>18</w:t>
            </w:r>
            <w:r>
              <w:rPr>
                <w:webHidden/>
              </w:rPr>
              <w:fldChar w:fldCharType="end"/>
            </w:r>
          </w:hyperlink>
        </w:p>
        <w:p w14:paraId="59729F97" w14:textId="04425C8F" w:rsidR="00C461DC" w:rsidRDefault="00C461DC">
          <w:pPr>
            <w:pStyle w:val="TOC2"/>
            <w:rPr>
              <w:rFonts w:asciiTheme="minorHAnsi" w:hAnsiTheme="minorHAnsi"/>
            </w:rPr>
          </w:pPr>
          <w:hyperlink w:anchor="_Toc78452073" w:history="1">
            <w:r w:rsidRPr="00656304">
              <w:rPr>
                <w:rStyle w:val="Hyperlink"/>
              </w:rPr>
              <w:t>Other proposed SAU changes</w:t>
            </w:r>
            <w:r>
              <w:rPr>
                <w:webHidden/>
              </w:rPr>
              <w:tab/>
            </w:r>
            <w:r>
              <w:rPr>
                <w:webHidden/>
              </w:rPr>
              <w:fldChar w:fldCharType="begin"/>
            </w:r>
            <w:r>
              <w:rPr>
                <w:webHidden/>
              </w:rPr>
              <w:instrText xml:space="preserve"> PAGEREF _Toc78452073 \h </w:instrText>
            </w:r>
            <w:r>
              <w:rPr>
                <w:webHidden/>
              </w:rPr>
            </w:r>
            <w:r>
              <w:rPr>
                <w:webHidden/>
              </w:rPr>
              <w:fldChar w:fldCharType="separate"/>
            </w:r>
            <w:r w:rsidR="00110D69">
              <w:rPr>
                <w:webHidden/>
              </w:rPr>
              <w:t>21</w:t>
            </w:r>
            <w:r>
              <w:rPr>
                <w:webHidden/>
              </w:rPr>
              <w:fldChar w:fldCharType="end"/>
            </w:r>
          </w:hyperlink>
        </w:p>
        <w:p w14:paraId="1D615945" w14:textId="7E89C1A2" w:rsidR="00C461DC" w:rsidRDefault="00C461DC">
          <w:pPr>
            <w:pStyle w:val="TOC1"/>
            <w:tabs>
              <w:tab w:val="left" w:pos="1320"/>
            </w:tabs>
            <w:rPr>
              <w:rFonts w:asciiTheme="minorHAnsi" w:hAnsiTheme="minorHAnsi"/>
              <w:noProof/>
            </w:rPr>
          </w:pPr>
          <w:hyperlink w:anchor="_Toc78452074" w:history="1">
            <w:r w:rsidRPr="00656304">
              <w:rPr>
                <w:rStyle w:val="Hyperlink"/>
                <w:noProof/>
              </w:rPr>
              <w:t>Appendix A.</w:t>
            </w:r>
            <w:r>
              <w:rPr>
                <w:rFonts w:asciiTheme="minorHAnsi" w:hAnsiTheme="minorHAnsi"/>
                <w:noProof/>
              </w:rPr>
              <w:tab/>
            </w:r>
            <w:r w:rsidRPr="00656304">
              <w:rPr>
                <w:rStyle w:val="Hyperlink"/>
                <w:noProof/>
              </w:rPr>
              <w:t>Constructs wholesale charge comparison between May-22 Roadmap</w:t>
            </w:r>
            <w:r>
              <w:rPr>
                <w:noProof/>
                <w:webHidden/>
              </w:rPr>
              <w:tab/>
            </w:r>
            <w:r>
              <w:rPr>
                <w:noProof/>
                <w:webHidden/>
              </w:rPr>
              <w:fldChar w:fldCharType="begin"/>
            </w:r>
            <w:r>
              <w:rPr>
                <w:noProof/>
                <w:webHidden/>
              </w:rPr>
              <w:instrText xml:space="preserve"> PAGEREF _Toc78452074 \h </w:instrText>
            </w:r>
            <w:r>
              <w:rPr>
                <w:noProof/>
                <w:webHidden/>
              </w:rPr>
            </w:r>
            <w:r>
              <w:rPr>
                <w:noProof/>
                <w:webHidden/>
              </w:rPr>
              <w:fldChar w:fldCharType="separate"/>
            </w:r>
            <w:r w:rsidR="00110D69">
              <w:rPr>
                <w:noProof/>
                <w:webHidden/>
              </w:rPr>
              <w:t>22</w:t>
            </w:r>
            <w:r>
              <w:rPr>
                <w:noProof/>
                <w:webHidden/>
              </w:rPr>
              <w:fldChar w:fldCharType="end"/>
            </w:r>
          </w:hyperlink>
        </w:p>
        <w:p w14:paraId="1D9FED1F" w14:textId="3AAA77BF" w:rsidR="00D76F6E" w:rsidRDefault="00D76F6E">
          <w:r>
            <w:rPr>
              <w:b/>
              <w:bCs/>
              <w:noProof/>
            </w:rPr>
            <w:fldChar w:fldCharType="end"/>
          </w:r>
        </w:p>
      </w:sdtContent>
    </w:sdt>
    <w:p w14:paraId="14EF647A" w14:textId="77777777" w:rsidR="00AD032B" w:rsidRPr="003441E5" w:rsidRDefault="00AD032B" w:rsidP="00EC1696"/>
    <w:p w14:paraId="3EEE5125" w14:textId="77777777" w:rsidR="009F4B9D" w:rsidRPr="003441E5" w:rsidRDefault="009F4B9D" w:rsidP="00B14DFB">
      <w:pPr>
        <w:rPr>
          <w:lang w:eastAsia="en-US"/>
        </w:rPr>
      </w:pPr>
    </w:p>
    <w:p w14:paraId="57ABD474" w14:textId="77777777" w:rsidR="00027253" w:rsidRPr="003441E5" w:rsidRDefault="004B7462" w:rsidP="002A629E">
      <w:pPr>
        <w:pStyle w:val="Heading1"/>
      </w:pPr>
      <w:bookmarkStart w:id="0" w:name="_Toc351382481"/>
      <w:bookmarkStart w:id="1" w:name="_Toc78452057"/>
      <w:r w:rsidRPr="003441E5">
        <w:lastRenderedPageBreak/>
        <w:t>Executive S</w:t>
      </w:r>
      <w:r w:rsidR="00A022BC" w:rsidRPr="003441E5">
        <w:t>ummary</w:t>
      </w:r>
      <w:bookmarkEnd w:id="0"/>
      <w:bookmarkEnd w:id="1"/>
    </w:p>
    <w:p w14:paraId="33BCC8B7" w14:textId="5C7BDCD3" w:rsidR="00326356" w:rsidRDefault="00516CEC" w:rsidP="00922FAC">
      <w:pPr>
        <w:jc w:val="both"/>
      </w:pPr>
      <w:r>
        <w:t>Nbn’s Special Access Undertaking (SAU) provides the regulatory framework that determines the prices nbn can charge for wholesale phone and internet services, as well as the maximum amount of revenue nbn is allowed to earn each year. As a provider of these services</w:t>
      </w:r>
      <w:r w:rsidR="00250ADF">
        <w:t xml:space="preserve"> with significant market power</w:t>
      </w:r>
      <w:r>
        <w:t xml:space="preserve">, the SAU is vital to ensuring that the nbn operates in a way that protects the long-term interest of end users. </w:t>
      </w:r>
    </w:p>
    <w:p w14:paraId="324C0BE0" w14:textId="31E98529" w:rsidR="00C761C4" w:rsidRDefault="005031EA" w:rsidP="00922FAC">
      <w:pPr>
        <w:jc w:val="both"/>
      </w:pPr>
      <w:r>
        <w:t xml:space="preserve">The </w:t>
      </w:r>
      <w:r w:rsidR="00D76F6E">
        <w:t xml:space="preserve">experience of the </w:t>
      </w:r>
      <w:r>
        <w:t xml:space="preserve">COVID-19 pandemic has demonstrated the essential nature of telecommunications, and nbn must be commended for keeping Australians connected during lockdowns. Having access to the </w:t>
      </w:r>
      <w:r w:rsidR="005707DF">
        <w:t>NBN</w:t>
      </w:r>
      <w:r>
        <w:t xml:space="preserve"> has allowed households to continue working, learning, staying in touch with friends and family, and accessing essential services such as health and government services. Yet ACCAN is concerned </w:t>
      </w:r>
      <w:r w:rsidR="00162C3C">
        <w:t>at reports</w:t>
      </w:r>
      <w:r>
        <w:t xml:space="preserve"> from community organisations and consumers that there are households who do not have sufficient access to broadband to allow them to continue to fully engage with the economy throughout lockdowns.</w:t>
      </w:r>
      <w:r w:rsidR="00352B45">
        <w:t xml:space="preserve"> </w:t>
      </w:r>
    </w:p>
    <w:p w14:paraId="21D9849E" w14:textId="37DF8F80" w:rsidR="00C761C4" w:rsidRDefault="00352B45" w:rsidP="00922FAC">
      <w:pPr>
        <w:jc w:val="both"/>
      </w:pPr>
      <w:r>
        <w:t xml:space="preserve">One of the key challenges to </w:t>
      </w:r>
      <w:r w:rsidR="005707DF">
        <w:t>becoming</w:t>
      </w:r>
      <w:r>
        <w:t xml:space="preserve"> connected to </w:t>
      </w:r>
      <w:r w:rsidR="00C761C4">
        <w:t xml:space="preserve">the </w:t>
      </w:r>
      <w:r w:rsidR="00FD79CF">
        <w:t>NB</w:t>
      </w:r>
      <w:r w:rsidR="00A80DCC">
        <w:t>N</w:t>
      </w:r>
      <w:r>
        <w:t xml:space="preserve"> is </w:t>
      </w:r>
      <w:r w:rsidR="005707DF">
        <w:t>the price of the service</w:t>
      </w:r>
      <w:r>
        <w:t xml:space="preserve">. Given the SAU provides a mechanism for setting prices, the SAU variation is an opportunity to </w:t>
      </w:r>
      <w:r w:rsidR="00C761C4">
        <w:t>assist households that are either struggling to connect or are finding it difficult to remain connected,</w:t>
      </w:r>
      <w:r w:rsidR="00162C3C">
        <w:t xml:space="preserve"> </w:t>
      </w:r>
      <w:r w:rsidR="00C761C4">
        <w:t>through the development of a targeted offer towards low income households.</w:t>
      </w:r>
    </w:p>
    <w:p w14:paraId="1A5E7F65" w14:textId="12CB1082" w:rsidR="00C761C4" w:rsidRDefault="00C761C4" w:rsidP="00922FAC">
      <w:pPr>
        <w:jc w:val="both"/>
      </w:pPr>
      <w:r>
        <w:t xml:space="preserve">Furthermore, now is </w:t>
      </w:r>
      <w:r w:rsidR="00922FAC">
        <w:t>a suitable</w:t>
      </w:r>
      <w:r>
        <w:t xml:space="preserve"> time to consider the appropriateness of the SAU, prior to </w:t>
      </w:r>
      <w:r w:rsidR="00664F22">
        <w:t xml:space="preserve">the </w:t>
      </w:r>
      <w:r>
        <w:t xml:space="preserve">potential privatisation of the network, to ensure that it is fit for purpose. </w:t>
      </w:r>
      <w:r w:rsidR="00080486">
        <w:t>It is unclear to ACCAN</w:t>
      </w:r>
      <w:r>
        <w:t xml:space="preserve"> whether the two mechanisms designed to protect end user</w:t>
      </w:r>
      <w:r w:rsidR="00922FAC">
        <w:t>s</w:t>
      </w:r>
      <w:r>
        <w:t xml:space="preserve"> - the Maximum Regulated Prices, and the Long-Term Revenue Constraint Methodology - are currently operating as intended. </w:t>
      </w:r>
      <w:r w:rsidR="00D76F6E">
        <w:t xml:space="preserve">The SAU variation provides an opportunity to ensure that the expectations of consumers are met, whilst supporting a competitive retail market and allowing nbn to recover the cost of delivering the service. </w:t>
      </w:r>
    </w:p>
    <w:p w14:paraId="30E151BB" w14:textId="5FF0F8D1" w:rsidR="00542267" w:rsidRDefault="00BE0389" w:rsidP="00BE0389">
      <w:pPr>
        <w:pStyle w:val="Heading2"/>
      </w:pPr>
      <w:bookmarkStart w:id="2" w:name="_Toc78452058"/>
      <w:r w:rsidRPr="00826B23">
        <w:t>Recommendations</w:t>
      </w:r>
      <w:bookmarkEnd w:id="2"/>
    </w:p>
    <w:p w14:paraId="08F1D250" w14:textId="42642F32" w:rsidR="00BE0389" w:rsidRDefault="00BE0389" w:rsidP="00162C3C">
      <w:pPr>
        <w:pStyle w:val="Bulletlist1"/>
        <w:jc w:val="both"/>
      </w:pPr>
      <w:bookmarkStart w:id="3" w:name="_Hlk76567571"/>
      <w:r>
        <w:t>For the L</w:t>
      </w:r>
      <w:r w:rsidR="00D71965">
        <w:t xml:space="preserve">ong-term </w:t>
      </w:r>
      <w:r>
        <w:t>R</w:t>
      </w:r>
      <w:r w:rsidR="00D71965">
        <w:t xml:space="preserve">evenue </w:t>
      </w:r>
      <w:r>
        <w:t>C</w:t>
      </w:r>
      <w:r w:rsidR="00D71965">
        <w:t xml:space="preserve">onstraint </w:t>
      </w:r>
      <w:r>
        <w:t>M</w:t>
      </w:r>
      <w:r w:rsidR="00D71965">
        <w:t>ethodology (LTRCM)</w:t>
      </w:r>
      <w:r>
        <w:t xml:space="preserve"> to be re-examined to ensure it is fit for purpose.</w:t>
      </w:r>
    </w:p>
    <w:p w14:paraId="0780CF97" w14:textId="77777777" w:rsidR="00B94622" w:rsidRDefault="00B94622" w:rsidP="00162C3C">
      <w:pPr>
        <w:pStyle w:val="Bulletlist1"/>
        <w:jc w:val="both"/>
      </w:pPr>
      <w:r>
        <w:t>For the Maximum Regulated Price to cover all access technologies and be updated to reflect the predominant method in which nbn’s services are charged as well as the efficient cost of providing the service.</w:t>
      </w:r>
    </w:p>
    <w:p w14:paraId="68A10C18" w14:textId="3916EAA0" w:rsidR="00BE0389" w:rsidRDefault="00BE0389" w:rsidP="00162C3C">
      <w:pPr>
        <w:pStyle w:val="Bulletlist1"/>
        <w:jc w:val="both"/>
      </w:pPr>
      <w:r>
        <w:t>Prices set in the SAU should be</w:t>
      </w:r>
      <w:r w:rsidR="00BE2F5F">
        <w:t xml:space="preserve"> periodically</w:t>
      </w:r>
      <w:r>
        <w:t xml:space="preserve"> reviewed in line with replacement </w:t>
      </w:r>
      <w:r w:rsidR="008B1485">
        <w:t>modules.</w:t>
      </w:r>
    </w:p>
    <w:p w14:paraId="25102896" w14:textId="0E16735C" w:rsidR="008B1485" w:rsidRDefault="00BE0389" w:rsidP="00162C3C">
      <w:pPr>
        <w:pStyle w:val="Bulletlist1"/>
        <w:jc w:val="both"/>
        <w:rPr>
          <w:rStyle w:val="Strong"/>
          <w:b w:val="0"/>
          <w:bCs w:val="0"/>
        </w:rPr>
      </w:pPr>
      <w:r w:rsidRPr="00BE0389">
        <w:rPr>
          <w:rStyle w:val="Strong"/>
          <w:b w:val="0"/>
          <w:bCs w:val="0"/>
        </w:rPr>
        <w:t xml:space="preserve">That any pricing changes are done </w:t>
      </w:r>
      <w:r w:rsidRPr="5B68059F">
        <w:rPr>
          <w:rStyle w:val="Strong"/>
          <w:b w:val="0"/>
          <w:bCs w:val="0"/>
        </w:rPr>
        <w:t>i</w:t>
      </w:r>
      <w:r w:rsidR="46979870" w:rsidRPr="5B68059F">
        <w:rPr>
          <w:rStyle w:val="Strong"/>
          <w:b w:val="0"/>
          <w:bCs w:val="0"/>
        </w:rPr>
        <w:t>n</w:t>
      </w:r>
      <w:r w:rsidRPr="00BE0389">
        <w:rPr>
          <w:rStyle w:val="Strong"/>
          <w:b w:val="0"/>
          <w:bCs w:val="0"/>
        </w:rPr>
        <w:t xml:space="preserve"> such a manner that ensures </w:t>
      </w:r>
      <w:r w:rsidR="004D41C4">
        <w:rPr>
          <w:rStyle w:val="Strong"/>
          <w:b w:val="0"/>
          <w:bCs w:val="0"/>
        </w:rPr>
        <w:t>lower speed plans</w:t>
      </w:r>
      <w:r w:rsidRPr="00BE0389">
        <w:rPr>
          <w:rStyle w:val="Strong"/>
          <w:b w:val="0"/>
          <w:bCs w:val="0"/>
        </w:rPr>
        <w:t xml:space="preserve"> are an affordable option for consumers.</w:t>
      </w:r>
    </w:p>
    <w:p w14:paraId="484597EC" w14:textId="09D2D2A6" w:rsidR="003A2763" w:rsidRDefault="003A2763" w:rsidP="00162C3C">
      <w:pPr>
        <w:pStyle w:val="Bulletlist1"/>
        <w:jc w:val="both"/>
      </w:pPr>
      <w:r>
        <w:t xml:space="preserve">Nbn should continue developing </w:t>
      </w:r>
      <w:r w:rsidR="00CD1272">
        <w:t xml:space="preserve">and </w:t>
      </w:r>
      <w:r w:rsidR="000318FA">
        <w:t xml:space="preserve">implementing </w:t>
      </w:r>
      <w:r>
        <w:t>a targeted product aimed at improving affordability of service</w:t>
      </w:r>
      <w:r w:rsidR="00CA633E">
        <w:t>s</w:t>
      </w:r>
      <w:r w:rsidR="007831D4">
        <w:t xml:space="preserve"> for low income consumers</w:t>
      </w:r>
      <w:r>
        <w:t xml:space="preserve"> as </w:t>
      </w:r>
      <w:r w:rsidR="003000F5">
        <w:t xml:space="preserve">initially planned as </w:t>
      </w:r>
      <w:r>
        <w:t>part of the 2021 Pricing Review</w:t>
      </w:r>
      <w:r w:rsidR="00B4200A">
        <w:t>,</w:t>
      </w:r>
      <w:r>
        <w:t xml:space="preserve"> as well as the SAU variation process.</w:t>
      </w:r>
    </w:p>
    <w:p w14:paraId="1006174D" w14:textId="77777777" w:rsidR="003C28F7" w:rsidRPr="00521319" w:rsidRDefault="003C28F7" w:rsidP="00ED3A68">
      <w:pPr>
        <w:pStyle w:val="Bulletlist1"/>
        <w:jc w:val="both"/>
      </w:pPr>
      <w:r>
        <w:t>Nbn should report information, publicly or to the ACCC, on the location, duration and number of services that are in remediation, and rebates paid.</w:t>
      </w:r>
    </w:p>
    <w:p w14:paraId="4CDE98AC" w14:textId="2BD6126B" w:rsidR="003C28F7" w:rsidRDefault="003C28F7" w:rsidP="00ED3A68">
      <w:pPr>
        <w:pStyle w:val="Bulletlist1"/>
        <w:jc w:val="both"/>
      </w:pPr>
      <w:r>
        <w:t xml:space="preserve">The Fixed Wireless speed performance rebate should increase with every subsequent month for which the wireless speed underperforms, and the performance metric for remediation of fixed wireless </w:t>
      </w:r>
      <w:r w:rsidR="56E56E67">
        <w:t xml:space="preserve">should </w:t>
      </w:r>
      <w:r>
        <w:t>be reconsidered.</w:t>
      </w:r>
    </w:p>
    <w:p w14:paraId="2B1769A1" w14:textId="77777777" w:rsidR="003C28F7" w:rsidRPr="00B722F7" w:rsidRDefault="003C28F7" w:rsidP="00ED3A68">
      <w:pPr>
        <w:pStyle w:val="Bulletlist1"/>
        <w:jc w:val="both"/>
      </w:pPr>
      <w:r>
        <w:t>Evidence must be provided that incorrect call out charges are on a scale that causes significant business detriment to nbn before being applied.</w:t>
      </w:r>
    </w:p>
    <w:p w14:paraId="4C26DF9F" w14:textId="5B3EE2C9" w:rsidR="00326356" w:rsidRDefault="009F4B9D" w:rsidP="00871909">
      <w:pPr>
        <w:pStyle w:val="Heading1"/>
      </w:pPr>
      <w:bookmarkStart w:id="4" w:name="_Toc343010198"/>
      <w:bookmarkStart w:id="5" w:name="_Toc351382483"/>
      <w:bookmarkStart w:id="6" w:name="_Hlk76567454"/>
      <w:bookmarkStart w:id="7" w:name="_Toc78452059"/>
      <w:bookmarkEnd w:id="3"/>
      <w:r w:rsidRPr="003441E5">
        <w:lastRenderedPageBreak/>
        <w:t xml:space="preserve">Responses to </w:t>
      </w:r>
      <w:bookmarkEnd w:id="4"/>
      <w:bookmarkEnd w:id="5"/>
      <w:r w:rsidR="00326356">
        <w:t>RMID1064 - nbn Special Undertaking Variation 2021 – Discussion Paper</w:t>
      </w:r>
      <w:bookmarkEnd w:id="7"/>
    </w:p>
    <w:p w14:paraId="32ADBB49" w14:textId="6EC40E3D" w:rsidR="009F4B9D" w:rsidRDefault="00871909" w:rsidP="00613698">
      <w:pPr>
        <w:pStyle w:val="Heading2"/>
      </w:pPr>
      <w:bookmarkStart w:id="8" w:name="_Toc78452060"/>
      <w:bookmarkEnd w:id="6"/>
      <w:r>
        <w:t>Overview and objectives of the SAU</w:t>
      </w:r>
      <w:bookmarkEnd w:id="8"/>
    </w:p>
    <w:p w14:paraId="72632C5A" w14:textId="6BF3228B" w:rsidR="00521319" w:rsidRDefault="00800E96" w:rsidP="00897F58">
      <w:pPr>
        <w:jc w:val="both"/>
        <w:rPr>
          <w:lang w:eastAsia="en-US"/>
        </w:rPr>
      </w:pPr>
      <w:r>
        <w:rPr>
          <w:lang w:eastAsia="en-US"/>
        </w:rPr>
        <w:t xml:space="preserve">ACCAN </w:t>
      </w:r>
      <w:r w:rsidR="00664F22">
        <w:rPr>
          <w:lang w:eastAsia="en-US"/>
        </w:rPr>
        <w:t>does not consider that</w:t>
      </w:r>
      <w:r>
        <w:rPr>
          <w:lang w:eastAsia="en-US"/>
        </w:rPr>
        <w:t xml:space="preserve"> the SAU ‘</w:t>
      </w:r>
      <w:r w:rsidRPr="00800E96">
        <w:rPr>
          <w:i/>
          <w:iCs/>
          <w:lang w:eastAsia="en-US"/>
        </w:rPr>
        <w:t>continues to meet the objectives that it was designed to meet</w:t>
      </w:r>
      <w:r>
        <w:rPr>
          <w:lang w:eastAsia="en-US"/>
        </w:rPr>
        <w:t>’.</w:t>
      </w:r>
      <w:r w:rsidR="006035FE">
        <w:rPr>
          <w:rStyle w:val="FootnoteReference"/>
          <w:lang w:eastAsia="en-US"/>
        </w:rPr>
        <w:footnoteReference w:id="2"/>
      </w:r>
      <w:r>
        <w:rPr>
          <w:lang w:eastAsia="en-US"/>
        </w:rPr>
        <w:t xml:space="preserve"> ACCAN questions whether the two mechanisms within the SAU designed to protect the long</w:t>
      </w:r>
      <w:r w:rsidR="00664F22">
        <w:rPr>
          <w:lang w:eastAsia="en-US"/>
        </w:rPr>
        <w:t>-</w:t>
      </w:r>
      <w:r>
        <w:rPr>
          <w:lang w:eastAsia="en-US"/>
        </w:rPr>
        <w:t>term interests of end</w:t>
      </w:r>
      <w:r w:rsidR="00664F22">
        <w:rPr>
          <w:lang w:eastAsia="en-US"/>
        </w:rPr>
        <w:t xml:space="preserve"> </w:t>
      </w:r>
      <w:r>
        <w:rPr>
          <w:lang w:eastAsia="en-US"/>
        </w:rPr>
        <w:t xml:space="preserve">users, the Maximum Regulated Prices (MRPs), and the Long-term Revenue Constraint Methodology (LTRCM), are currently </w:t>
      </w:r>
      <w:r w:rsidR="006035FE">
        <w:rPr>
          <w:lang w:eastAsia="en-US"/>
        </w:rPr>
        <w:t xml:space="preserve">operating </w:t>
      </w:r>
      <w:r w:rsidR="00DA0F98">
        <w:rPr>
          <w:lang w:eastAsia="en-US"/>
        </w:rPr>
        <w:t xml:space="preserve">sufficiently to meet their objectives. </w:t>
      </w:r>
    </w:p>
    <w:p w14:paraId="04BFCCE3" w14:textId="3CBF7ED0" w:rsidR="00252857" w:rsidRDefault="00252857" w:rsidP="00252857">
      <w:pPr>
        <w:pStyle w:val="Heading5"/>
      </w:pPr>
      <w:r>
        <w:t>Long-term Revenue Constraint Methodology</w:t>
      </w:r>
    </w:p>
    <w:p w14:paraId="0CD0EF17" w14:textId="30C8DF72" w:rsidR="0090376D" w:rsidRDefault="00252857" w:rsidP="00FC4A49">
      <w:pPr>
        <w:jc w:val="both"/>
        <w:rPr>
          <w:lang w:eastAsia="en-US"/>
        </w:rPr>
      </w:pPr>
      <w:r>
        <w:rPr>
          <w:lang w:eastAsia="en-US"/>
        </w:rPr>
        <w:t xml:space="preserve">The </w:t>
      </w:r>
      <w:r w:rsidR="006831BA">
        <w:rPr>
          <w:lang w:eastAsia="en-US"/>
        </w:rPr>
        <w:t>objective</w:t>
      </w:r>
      <w:r>
        <w:rPr>
          <w:lang w:eastAsia="en-US"/>
        </w:rPr>
        <w:t xml:space="preserve"> of the Long-term Revenue Constraint Methodology is to restrain nbn from earning monopoly rents </w:t>
      </w:r>
      <w:r w:rsidR="002F6C44">
        <w:rPr>
          <w:lang w:eastAsia="en-US"/>
        </w:rPr>
        <w:t>via</w:t>
      </w:r>
      <w:r>
        <w:rPr>
          <w:lang w:eastAsia="en-US"/>
        </w:rPr>
        <w:t xml:space="preserve"> a revenue cap, whilst still </w:t>
      </w:r>
      <w:r w:rsidR="007B68F1">
        <w:rPr>
          <w:lang w:eastAsia="en-US"/>
        </w:rPr>
        <w:t>enabling nbn to be</w:t>
      </w:r>
      <w:r>
        <w:rPr>
          <w:lang w:eastAsia="en-US"/>
        </w:rPr>
        <w:t xml:space="preserve"> able to recover the cost of providing the service plus an appropriate rate of return. Many others,</w:t>
      </w:r>
      <w:r w:rsidR="0090376D">
        <w:rPr>
          <w:lang w:eastAsia="en-US"/>
        </w:rPr>
        <w:t xml:space="preserve"> including</w:t>
      </w:r>
      <w:r>
        <w:rPr>
          <w:lang w:eastAsia="en-US"/>
        </w:rPr>
        <w:t xml:space="preserve"> the ACCC,</w:t>
      </w:r>
      <w:r w:rsidR="0090376D">
        <w:rPr>
          <w:rStyle w:val="FootnoteReference"/>
          <w:lang w:eastAsia="en-US"/>
        </w:rPr>
        <w:footnoteReference w:id="3"/>
      </w:r>
      <w:r>
        <w:rPr>
          <w:lang w:eastAsia="en-US"/>
        </w:rPr>
        <w:t xml:space="preserve"> have acknowledged that it is unlikely that the Initial Cost Recovery Account (ICRA) </w:t>
      </w:r>
      <w:r w:rsidR="0090376D">
        <w:rPr>
          <w:lang w:eastAsia="en-US"/>
        </w:rPr>
        <w:t>set out in the SAU will be extinguished during the duration of the SAU</w:t>
      </w:r>
      <w:r w:rsidR="00897F58">
        <w:rPr>
          <w:lang w:eastAsia="en-US"/>
        </w:rPr>
        <w:t xml:space="preserve">, which is set to expire in </w:t>
      </w:r>
      <w:r w:rsidR="0090376D">
        <w:rPr>
          <w:lang w:eastAsia="en-US"/>
        </w:rPr>
        <w:t>2040. Frontier Economics modelling suggests that the ICRA will reach about $70 billion by 2040.</w:t>
      </w:r>
      <w:r w:rsidR="0090376D">
        <w:rPr>
          <w:rStyle w:val="FootnoteReference"/>
          <w:lang w:eastAsia="en-US"/>
        </w:rPr>
        <w:footnoteReference w:id="4"/>
      </w:r>
      <w:r w:rsidR="0090376D">
        <w:rPr>
          <w:lang w:eastAsia="en-US"/>
        </w:rPr>
        <w:t xml:space="preserve"> </w:t>
      </w:r>
    </w:p>
    <w:p w14:paraId="1970C6C2" w14:textId="1478B626" w:rsidR="00252857" w:rsidRDefault="0090376D" w:rsidP="00897F58">
      <w:pPr>
        <w:jc w:val="both"/>
        <w:rPr>
          <w:lang w:eastAsia="en-US"/>
        </w:rPr>
      </w:pPr>
      <w:r>
        <w:rPr>
          <w:lang w:eastAsia="en-US"/>
        </w:rPr>
        <w:t xml:space="preserve">Whilst the ICRA remains positive, there will not be any direct constraint on the revenue nbn is allowed to earn. We have previously expressed our concern </w:t>
      </w:r>
      <w:r w:rsidR="00D3142E">
        <w:rPr>
          <w:lang w:eastAsia="en-US"/>
        </w:rPr>
        <w:t>regarding</w:t>
      </w:r>
      <w:r>
        <w:rPr>
          <w:lang w:eastAsia="en-US"/>
        </w:rPr>
        <w:t xml:space="preserve"> the impact of a lack of revenue constraint on a monopoly provider of an essential service.</w:t>
      </w:r>
      <w:r w:rsidR="00DC2A5E">
        <w:rPr>
          <w:rStyle w:val="FootnoteReference"/>
          <w:lang w:eastAsia="en-US"/>
        </w:rPr>
        <w:footnoteReference w:id="5"/>
      </w:r>
      <w:r>
        <w:rPr>
          <w:lang w:eastAsia="en-US"/>
        </w:rPr>
        <w:t xml:space="preserve"> </w:t>
      </w:r>
      <w:r w:rsidR="004E1470">
        <w:rPr>
          <w:lang w:eastAsia="en-US"/>
        </w:rPr>
        <w:t xml:space="preserve">If revenue is not constrained appropriately, there exists the opportunity for nbn to charge above costs, resulting in inefficiently high prices for </w:t>
      </w:r>
      <w:r w:rsidR="00162C3C">
        <w:rPr>
          <w:lang w:eastAsia="en-US"/>
        </w:rPr>
        <w:t>end users</w:t>
      </w:r>
      <w:r w:rsidR="004E1470">
        <w:rPr>
          <w:lang w:eastAsia="en-US"/>
        </w:rPr>
        <w:t xml:space="preserve">. </w:t>
      </w:r>
      <w:r w:rsidR="00DC2A5E">
        <w:rPr>
          <w:lang w:eastAsia="en-US"/>
        </w:rPr>
        <w:t xml:space="preserve">ACCAN is concerned that should </w:t>
      </w:r>
      <w:r w:rsidR="00BE2F5F">
        <w:rPr>
          <w:lang w:eastAsia="en-US"/>
        </w:rPr>
        <w:t>the</w:t>
      </w:r>
      <w:r w:rsidR="00162C3C">
        <w:rPr>
          <w:lang w:eastAsia="en-US"/>
        </w:rPr>
        <w:t xml:space="preserve"> </w:t>
      </w:r>
      <w:r w:rsidR="00B94622">
        <w:rPr>
          <w:lang w:eastAsia="en-US"/>
        </w:rPr>
        <w:t xml:space="preserve">NBN </w:t>
      </w:r>
      <w:r w:rsidR="00DC2A5E">
        <w:rPr>
          <w:lang w:eastAsia="en-US"/>
        </w:rPr>
        <w:t>be privatised with the current regulatory framework</w:t>
      </w:r>
      <w:r w:rsidR="007D072C">
        <w:rPr>
          <w:lang w:eastAsia="en-US"/>
        </w:rPr>
        <w:t xml:space="preserve"> in place</w:t>
      </w:r>
      <w:r w:rsidR="00DC2A5E">
        <w:rPr>
          <w:lang w:eastAsia="en-US"/>
        </w:rPr>
        <w:t xml:space="preserve">, the ICRA could be used to significantly harm consumers. </w:t>
      </w:r>
      <w:r w:rsidR="007B68F1">
        <w:rPr>
          <w:lang w:eastAsia="en-US"/>
        </w:rPr>
        <w:t xml:space="preserve">Given the importance of the LTRCM, ACCAN has the following </w:t>
      </w:r>
      <w:r w:rsidR="003000F5">
        <w:rPr>
          <w:lang w:eastAsia="en-US"/>
        </w:rPr>
        <w:t xml:space="preserve">concerns </w:t>
      </w:r>
      <w:r w:rsidR="007B68F1">
        <w:rPr>
          <w:lang w:eastAsia="en-US"/>
        </w:rPr>
        <w:t>regarding the methodology:</w:t>
      </w:r>
    </w:p>
    <w:p w14:paraId="5B0A3013" w14:textId="68A8BB34" w:rsidR="00D46CCF" w:rsidRDefault="00B94622" w:rsidP="00897F58">
      <w:pPr>
        <w:pStyle w:val="ListParagraph"/>
        <w:numPr>
          <w:ilvl w:val="0"/>
          <w:numId w:val="25"/>
        </w:numPr>
        <w:jc w:val="both"/>
      </w:pPr>
      <w:r>
        <w:t xml:space="preserve">That the </w:t>
      </w:r>
      <w:r w:rsidR="007C72E5">
        <w:t xml:space="preserve">Initial Cost </w:t>
      </w:r>
      <w:r w:rsidR="00871897">
        <w:t>Recovery Account</w:t>
      </w:r>
      <w:r w:rsidR="00D46CCF">
        <w:t xml:space="preserve"> </w:t>
      </w:r>
      <w:r>
        <w:t xml:space="preserve">is unlikely </w:t>
      </w:r>
      <w:r w:rsidR="00AD1BCB">
        <w:t>to</w:t>
      </w:r>
      <w:r>
        <w:t xml:space="preserve"> be</w:t>
      </w:r>
      <w:r w:rsidR="00D46CCF">
        <w:t xml:space="preserve"> depleted</w:t>
      </w:r>
      <w:r>
        <w:t>.</w:t>
      </w:r>
    </w:p>
    <w:p w14:paraId="2A5505ED" w14:textId="431E0832" w:rsidR="007B68F1" w:rsidRDefault="00B94622" w:rsidP="00897F58">
      <w:pPr>
        <w:pStyle w:val="ListParagraph"/>
        <w:numPr>
          <w:ilvl w:val="0"/>
          <w:numId w:val="25"/>
        </w:numPr>
        <w:jc w:val="both"/>
      </w:pPr>
      <w:r>
        <w:t>That the</w:t>
      </w:r>
      <w:r w:rsidR="007B68F1">
        <w:t xml:space="preserve"> Weighted Average Cost of Capital </w:t>
      </w:r>
      <w:r w:rsidR="00AD1BCB">
        <w:t xml:space="preserve">used to calculate nbn’s revenue requirement </w:t>
      </w:r>
      <w:r>
        <w:t>does not accurately</w:t>
      </w:r>
      <w:r w:rsidR="007B68F1">
        <w:t xml:space="preserve"> reflects the true cost of nbn’s capital</w:t>
      </w:r>
      <w:r w:rsidR="00AD1BCB">
        <w:t>.</w:t>
      </w:r>
      <w:r w:rsidR="003000F5">
        <w:rPr>
          <w:rStyle w:val="FootnoteReference"/>
        </w:rPr>
        <w:footnoteReference w:id="6"/>
      </w:r>
    </w:p>
    <w:p w14:paraId="3839D5F6" w14:textId="12AEA0C8" w:rsidR="00AD3C18" w:rsidRDefault="00AD1BCB" w:rsidP="00897F58">
      <w:pPr>
        <w:pStyle w:val="ListParagraph"/>
        <w:numPr>
          <w:ilvl w:val="0"/>
          <w:numId w:val="25"/>
        </w:numPr>
        <w:jc w:val="both"/>
      </w:pPr>
      <w:r>
        <w:t xml:space="preserve">To what extent </w:t>
      </w:r>
      <w:r w:rsidR="00AD3C18">
        <w:t xml:space="preserve">the ICRA reflects efficiently </w:t>
      </w:r>
      <w:r w:rsidR="00897F58">
        <w:t>incurred</w:t>
      </w:r>
      <w:r w:rsidR="00AD3C18">
        <w:t xml:space="preserve"> accumulated costs</w:t>
      </w:r>
      <w:r>
        <w:t>.</w:t>
      </w:r>
    </w:p>
    <w:p w14:paraId="6123CDA0" w14:textId="4AB61376" w:rsidR="00172A50" w:rsidRDefault="008F31F7" w:rsidP="00897F58">
      <w:pPr>
        <w:pStyle w:val="ListParagraph"/>
        <w:numPr>
          <w:ilvl w:val="0"/>
          <w:numId w:val="25"/>
        </w:numPr>
        <w:jc w:val="both"/>
      </w:pPr>
      <w:r>
        <w:t xml:space="preserve">The absence of </w:t>
      </w:r>
      <w:r w:rsidR="00172A50">
        <w:t xml:space="preserve">appropriate </w:t>
      </w:r>
      <w:r>
        <w:t xml:space="preserve">time </w:t>
      </w:r>
      <w:r w:rsidR="00ED3A68">
        <w:t>limits for</w:t>
      </w:r>
      <w:r w:rsidR="00172A50">
        <w:t xml:space="preserve"> nbn to recover the cost of its investment</w:t>
      </w:r>
      <w:r w:rsidR="3DD7F829">
        <w:t>.</w:t>
      </w:r>
    </w:p>
    <w:p w14:paraId="4CAE1DCE" w14:textId="7B6B9BE8" w:rsidR="001248E2" w:rsidRDefault="00D3142E" w:rsidP="00D3142E">
      <w:pPr>
        <w:jc w:val="both"/>
      </w:pPr>
      <w:r>
        <w:t xml:space="preserve">Whilst the revenue cap might not have much bearing on how nbn currently sets its price, </w:t>
      </w:r>
      <w:r w:rsidR="008B1485">
        <w:t>ACCAN considers that it has an important</w:t>
      </w:r>
      <w:r>
        <w:t xml:space="preserve"> role to play in protecting the long</w:t>
      </w:r>
      <w:r w:rsidR="000C7265">
        <w:t>-</w:t>
      </w:r>
      <w:r>
        <w:t>term interests of end</w:t>
      </w:r>
      <w:r w:rsidR="00826B23">
        <w:t xml:space="preserve"> </w:t>
      </w:r>
      <w:r>
        <w:t xml:space="preserve">users, thus </w:t>
      </w:r>
      <w:r>
        <w:lastRenderedPageBreak/>
        <w:t xml:space="preserve">we think it is appropriate that these </w:t>
      </w:r>
      <w:r w:rsidR="00BE2F5F">
        <w:t xml:space="preserve">concerns </w:t>
      </w:r>
      <w:r>
        <w:t xml:space="preserve">are </w:t>
      </w:r>
      <w:r w:rsidR="00BE2F5F">
        <w:t xml:space="preserve">addressed </w:t>
      </w:r>
      <w:r>
        <w:t xml:space="preserve">as part of the current SAU process. </w:t>
      </w:r>
      <w:r w:rsidR="00BC1566">
        <w:t>Ultimately,</w:t>
      </w:r>
      <w:r>
        <w:t xml:space="preserve"> we would like to see a LTRCM that appropriately restrains revenue. </w:t>
      </w:r>
    </w:p>
    <w:p w14:paraId="717CBBC1" w14:textId="41B33675" w:rsidR="00BE0389" w:rsidRPr="00252857" w:rsidRDefault="00BE0389" w:rsidP="00826B23">
      <w:pPr>
        <w:pStyle w:val="Recommendation"/>
        <w:jc w:val="both"/>
      </w:pPr>
      <w:r>
        <w:t>For the L</w:t>
      </w:r>
      <w:r w:rsidR="000C7265">
        <w:t xml:space="preserve">ong-term </w:t>
      </w:r>
      <w:r>
        <w:t>R</w:t>
      </w:r>
      <w:r w:rsidR="000C7265">
        <w:t xml:space="preserve">evenue </w:t>
      </w:r>
      <w:r>
        <w:t>C</w:t>
      </w:r>
      <w:r w:rsidR="000C7265">
        <w:t xml:space="preserve">onstraint </w:t>
      </w:r>
      <w:r>
        <w:t>M</w:t>
      </w:r>
      <w:r w:rsidR="000C7265">
        <w:t>ethodology (LTRCM)</w:t>
      </w:r>
      <w:r>
        <w:t xml:space="preserve"> to be re-examined to ensure it is fit for purpose.</w:t>
      </w:r>
    </w:p>
    <w:p w14:paraId="69F975E4" w14:textId="6793027B" w:rsidR="007B68F1" w:rsidRDefault="007B68F1" w:rsidP="007B68F1">
      <w:pPr>
        <w:pStyle w:val="Heading5"/>
      </w:pPr>
      <w:r>
        <w:t xml:space="preserve">Maximum </w:t>
      </w:r>
      <w:r w:rsidR="00BE2F5F">
        <w:t>R</w:t>
      </w:r>
      <w:r>
        <w:t xml:space="preserve">egulated </w:t>
      </w:r>
      <w:r w:rsidR="00BE2F5F">
        <w:t>P</w:t>
      </w:r>
      <w:r>
        <w:t>rices</w:t>
      </w:r>
    </w:p>
    <w:p w14:paraId="00565525" w14:textId="4738636F" w:rsidR="00D3142E" w:rsidRDefault="006D2CCB" w:rsidP="00897F58">
      <w:pPr>
        <w:jc w:val="both"/>
      </w:pPr>
      <w:r w:rsidRPr="00D3142E">
        <w:t xml:space="preserve">The </w:t>
      </w:r>
      <w:r w:rsidR="003C67D1">
        <w:t>M</w:t>
      </w:r>
      <w:r w:rsidRPr="00D3142E">
        <w:t xml:space="preserve">aximum </w:t>
      </w:r>
      <w:r w:rsidR="003C67D1">
        <w:t>R</w:t>
      </w:r>
      <w:r w:rsidRPr="00D3142E">
        <w:t xml:space="preserve">egulated </w:t>
      </w:r>
      <w:r w:rsidR="003C67D1">
        <w:t>P</w:t>
      </w:r>
      <w:r w:rsidRPr="00D3142E">
        <w:t>rices</w:t>
      </w:r>
      <w:r w:rsidR="00BC1566">
        <w:t xml:space="preserve"> (MRPs)</w:t>
      </w:r>
      <w:r w:rsidRPr="00D3142E">
        <w:t xml:space="preserve"> were designed to provide a level of certainty</w:t>
      </w:r>
      <w:r w:rsidR="00BC1566">
        <w:t xml:space="preserve"> about the terms of access</w:t>
      </w:r>
      <w:r w:rsidRPr="00D3142E">
        <w:t xml:space="preserve"> to </w:t>
      </w:r>
      <w:r w:rsidR="00D56C73">
        <w:t>Retail Service Providers (</w:t>
      </w:r>
      <w:r w:rsidR="00EF70E2">
        <w:t>RSPs</w:t>
      </w:r>
      <w:r w:rsidR="00D56C73">
        <w:t>)</w:t>
      </w:r>
      <w:r w:rsidRPr="00D3142E">
        <w:t xml:space="preserve">, </w:t>
      </w:r>
      <w:r w:rsidR="00BC1566">
        <w:t>to</w:t>
      </w:r>
      <w:r w:rsidRPr="00D3142E">
        <w:t xml:space="preserve"> support retail competition. </w:t>
      </w:r>
      <w:r w:rsidR="00897F58" w:rsidRPr="00D3142E">
        <w:t>As the SAU was implemented in 2013, prior to</w:t>
      </w:r>
      <w:r w:rsidR="00D3142E">
        <w:t xml:space="preserve"> the</w:t>
      </w:r>
      <w:r w:rsidR="00897F58" w:rsidRPr="00D3142E">
        <w:t xml:space="preserve"> switch to the Multi-technology Mix,</w:t>
      </w:r>
      <w:r w:rsidR="00EF70E2">
        <w:t xml:space="preserve"> </w:t>
      </w:r>
      <w:r w:rsidR="00897F58" w:rsidRPr="00D3142E">
        <w:t xml:space="preserve">the </w:t>
      </w:r>
      <w:r w:rsidR="00D3142E">
        <w:t>M</w:t>
      </w:r>
      <w:r w:rsidR="00897F58" w:rsidRPr="00D3142E">
        <w:t xml:space="preserve">aximum </w:t>
      </w:r>
      <w:r w:rsidR="00D3142E">
        <w:t>R</w:t>
      </w:r>
      <w:r w:rsidR="00897F58" w:rsidRPr="00D3142E">
        <w:t xml:space="preserve">egulated </w:t>
      </w:r>
      <w:r w:rsidR="00D3142E">
        <w:t>P</w:t>
      </w:r>
      <w:r w:rsidR="00897F58" w:rsidRPr="00D3142E">
        <w:t>rices do not cover all access technologies from which nbn supplies its services.</w:t>
      </w:r>
      <w:r w:rsidR="00EF70E2">
        <w:t xml:space="preserve"> As such most aspects of the SAU including price controls, product development and withdrawal provisions only apply to services provided over nbn’s fibre, </w:t>
      </w:r>
      <w:r w:rsidR="00826B23">
        <w:t>F</w:t>
      </w:r>
      <w:r w:rsidR="00EF70E2">
        <w:t xml:space="preserve">ixed </w:t>
      </w:r>
      <w:r w:rsidR="00826B23">
        <w:t>W</w:t>
      </w:r>
      <w:r w:rsidR="00162C3C">
        <w:t>ireless,</w:t>
      </w:r>
      <w:r w:rsidR="00EF70E2">
        <w:t xml:space="preserve"> and satellite networks.</w:t>
      </w:r>
      <w:r w:rsidR="00897F58">
        <w:t xml:space="preserve"> </w:t>
      </w:r>
      <w:r w:rsidR="00BC1566">
        <w:t>Additionally, the introduction of Bundles, whilst enabling</w:t>
      </w:r>
      <w:r>
        <w:t xml:space="preserve"> greater take up of the services</w:t>
      </w:r>
      <w:r w:rsidR="00BC1566">
        <w:t xml:space="preserve"> and</w:t>
      </w:r>
      <w:r>
        <w:t xml:space="preserve"> </w:t>
      </w:r>
      <w:r w:rsidR="00D3142E">
        <w:t>creating</w:t>
      </w:r>
      <w:r w:rsidR="00897F58">
        <w:t xml:space="preserve"> consumer surplus, </w:t>
      </w:r>
      <w:r w:rsidR="00D3142E">
        <w:t>have also introduced</w:t>
      </w:r>
      <w:r w:rsidR="006831BA">
        <w:t xml:space="preserve"> </w:t>
      </w:r>
      <w:r>
        <w:t>a level of uncertainty</w:t>
      </w:r>
      <w:r w:rsidR="00897F58">
        <w:t xml:space="preserve"> for retailers</w:t>
      </w:r>
      <w:r>
        <w:t xml:space="preserve"> </w:t>
      </w:r>
      <w:r w:rsidR="006831BA">
        <w:t>given they</w:t>
      </w:r>
      <w:r>
        <w:t xml:space="preserve"> </w:t>
      </w:r>
      <w:r w:rsidR="00897F58">
        <w:t>can</w:t>
      </w:r>
      <w:r>
        <w:t xml:space="preserve"> be </w:t>
      </w:r>
      <w:r w:rsidR="00897F58">
        <w:t>removed,</w:t>
      </w:r>
      <w:r>
        <w:t xml:space="preserve"> and prices set to the</w:t>
      </w:r>
      <w:r w:rsidR="00197900">
        <w:t xml:space="preserve"> higher </w:t>
      </w:r>
      <w:r w:rsidR="00D3142E">
        <w:t>MRP</w:t>
      </w:r>
      <w:r w:rsidR="00BC1566">
        <w:t>s</w:t>
      </w:r>
      <w:r>
        <w:t>.</w:t>
      </w:r>
      <w:r w:rsidR="00197900">
        <w:t xml:space="preserve"> </w:t>
      </w:r>
      <w:r w:rsidR="00EF70E2">
        <w:t>Significant levels of u</w:t>
      </w:r>
      <w:r w:rsidR="00197900">
        <w:t xml:space="preserve">ncertainty in wholesale costs for retailers pushes costs into the system which will ultimately be passed onto consumers. </w:t>
      </w:r>
    </w:p>
    <w:p w14:paraId="76791E01" w14:textId="624DD40E" w:rsidR="00D3142E" w:rsidRDefault="00D3142E" w:rsidP="00897F58">
      <w:pPr>
        <w:jc w:val="both"/>
      </w:pPr>
      <w:r>
        <w:t xml:space="preserve">ACCAN considers that the Maximum Regulated Prices should provide certainty of price for the services nbn sells. </w:t>
      </w:r>
    </w:p>
    <w:p w14:paraId="5ECCFFD7" w14:textId="2FA9C158" w:rsidR="003F7038" w:rsidRDefault="003F7038" w:rsidP="00826B23">
      <w:pPr>
        <w:pStyle w:val="Recommendation"/>
        <w:jc w:val="both"/>
      </w:pPr>
      <w:r>
        <w:t xml:space="preserve">For the Maximum Regulated Price to cover all access technologies and be updated to reflect </w:t>
      </w:r>
      <w:r w:rsidR="003C67D1">
        <w:t xml:space="preserve">the </w:t>
      </w:r>
      <w:r w:rsidR="00EC5899">
        <w:t xml:space="preserve">predominant method in which nbn’s services are charged as well as the </w:t>
      </w:r>
      <w:r w:rsidR="003C67D1">
        <w:t>efficient cost of providing the service</w:t>
      </w:r>
      <w:r>
        <w:t>.</w:t>
      </w:r>
    </w:p>
    <w:p w14:paraId="3C59EA4D" w14:textId="77777777" w:rsidR="00E7790D" w:rsidRDefault="00E7790D" w:rsidP="00162C3C"/>
    <w:p w14:paraId="25CB5943" w14:textId="6D34F43C" w:rsidR="00FA4983" w:rsidRDefault="00FA4983" w:rsidP="00613698">
      <w:pPr>
        <w:pStyle w:val="Heading2"/>
      </w:pPr>
      <w:bookmarkStart w:id="9" w:name="_Toc78452061"/>
      <w:r>
        <w:t>Broader SAU Reforms</w:t>
      </w:r>
      <w:bookmarkEnd w:id="9"/>
    </w:p>
    <w:p w14:paraId="5928DFFC" w14:textId="31C22EE4" w:rsidR="00706762" w:rsidRDefault="00706762" w:rsidP="00706762">
      <w:pPr>
        <w:pStyle w:val="Heading6"/>
      </w:pPr>
      <w:r>
        <w:t>Rate of recovery of the ICRA</w:t>
      </w:r>
    </w:p>
    <w:p w14:paraId="238AA380" w14:textId="26C0E6A5" w:rsidR="00FA4983" w:rsidRDefault="00FA4983" w:rsidP="00FC4A49">
      <w:pPr>
        <w:jc w:val="both"/>
        <w:rPr>
          <w:lang w:eastAsia="en-US"/>
        </w:rPr>
      </w:pPr>
      <w:r w:rsidRPr="00BC1566">
        <w:rPr>
          <w:lang w:eastAsia="en-US"/>
        </w:rPr>
        <w:t xml:space="preserve">ACCAN considers that if the ICRA were to remain in its current form, then considering </w:t>
      </w:r>
      <w:r w:rsidR="00162C3C">
        <w:rPr>
          <w:lang w:eastAsia="en-US"/>
        </w:rPr>
        <w:t xml:space="preserve">its </w:t>
      </w:r>
      <w:r w:rsidR="00162C3C" w:rsidRPr="00BC1566">
        <w:rPr>
          <w:lang w:eastAsia="en-US"/>
        </w:rPr>
        <w:t>rate</w:t>
      </w:r>
      <w:r w:rsidRPr="00BC1566">
        <w:rPr>
          <w:lang w:eastAsia="en-US"/>
        </w:rPr>
        <w:t xml:space="preserve"> of recovery may be a sensible </w:t>
      </w:r>
      <w:r w:rsidR="00706762" w:rsidRPr="00BC1566">
        <w:rPr>
          <w:lang w:eastAsia="en-US"/>
        </w:rPr>
        <w:t xml:space="preserve">option to ensure that there is </w:t>
      </w:r>
      <w:r w:rsidR="00D3142E" w:rsidRPr="00BC1566">
        <w:rPr>
          <w:lang w:eastAsia="en-US"/>
        </w:rPr>
        <w:t>some form of</w:t>
      </w:r>
      <w:r w:rsidR="00706762" w:rsidRPr="00BC1566">
        <w:rPr>
          <w:lang w:eastAsia="en-US"/>
        </w:rPr>
        <w:t xml:space="preserve"> constraint on the annual revenues nbn is able to earn to provide price stability and limit the extent to which nbn can utilise its monopoly power</w:t>
      </w:r>
      <w:r w:rsidR="00FC4A49" w:rsidRPr="00BC1566">
        <w:rPr>
          <w:lang w:eastAsia="en-US"/>
        </w:rPr>
        <w:t xml:space="preserve"> each year</w:t>
      </w:r>
      <w:r w:rsidR="00706762" w:rsidRPr="00BC1566">
        <w:rPr>
          <w:lang w:eastAsia="en-US"/>
        </w:rPr>
        <w:t>.</w:t>
      </w:r>
      <w:r w:rsidR="00706762">
        <w:rPr>
          <w:lang w:eastAsia="en-US"/>
        </w:rPr>
        <w:t xml:space="preserve"> </w:t>
      </w:r>
    </w:p>
    <w:p w14:paraId="35EB7C09" w14:textId="3CC50B4C" w:rsidR="00706762" w:rsidRDefault="00706762" w:rsidP="00706762">
      <w:pPr>
        <w:pStyle w:val="Heading6"/>
      </w:pPr>
      <w:r>
        <w:t>Frequency of price reviews</w:t>
      </w:r>
    </w:p>
    <w:p w14:paraId="79F4182D" w14:textId="0EF63F65" w:rsidR="00706762" w:rsidRDefault="00706762" w:rsidP="00FC4A49">
      <w:pPr>
        <w:jc w:val="both"/>
        <w:rPr>
          <w:lang w:eastAsia="en-US"/>
        </w:rPr>
      </w:pPr>
      <w:r>
        <w:rPr>
          <w:lang w:eastAsia="en-US"/>
        </w:rPr>
        <w:t xml:space="preserve">ACCAN also considers that more frequent price reviews, potentially in line with ‘replacement modules’, where the prices are </w:t>
      </w:r>
      <w:r w:rsidR="00FC4A49">
        <w:rPr>
          <w:lang w:eastAsia="en-US"/>
        </w:rPr>
        <w:t xml:space="preserve">periodically </w:t>
      </w:r>
      <w:r>
        <w:rPr>
          <w:lang w:eastAsia="en-US"/>
        </w:rPr>
        <w:t xml:space="preserve">incorporated into the SAU will assist with increasing certainty. </w:t>
      </w:r>
    </w:p>
    <w:p w14:paraId="17EABF17" w14:textId="651E8768" w:rsidR="00BE0389" w:rsidRDefault="00BE0389" w:rsidP="00826B23">
      <w:pPr>
        <w:pStyle w:val="Recommendation"/>
        <w:jc w:val="both"/>
      </w:pPr>
      <w:r>
        <w:t xml:space="preserve">Prices set in the SAU should be </w:t>
      </w:r>
      <w:r w:rsidR="00D31C15">
        <w:t xml:space="preserve">periodically </w:t>
      </w:r>
      <w:r>
        <w:t>reviewed</w:t>
      </w:r>
      <w:r w:rsidR="00BE2F5F">
        <w:t xml:space="preserve"> </w:t>
      </w:r>
      <w:r>
        <w:t xml:space="preserve">in line with the ‘replacement </w:t>
      </w:r>
      <w:proofErr w:type="gramStart"/>
      <w:r>
        <w:t>modules’</w:t>
      </w:r>
      <w:proofErr w:type="gramEnd"/>
      <w:r w:rsidR="00484009">
        <w:t>.</w:t>
      </w:r>
    </w:p>
    <w:p w14:paraId="712235B2" w14:textId="49C59EBC" w:rsidR="00706762" w:rsidRDefault="00706762" w:rsidP="00706762">
      <w:pPr>
        <w:pStyle w:val="Heading6"/>
      </w:pPr>
      <w:r>
        <w:lastRenderedPageBreak/>
        <w:t>Competition</w:t>
      </w:r>
    </w:p>
    <w:p w14:paraId="553782BC" w14:textId="4DE2CFD9" w:rsidR="00CC69C3" w:rsidRDefault="00EB1585" w:rsidP="00FC4A49">
      <w:pPr>
        <w:jc w:val="both"/>
        <w:rPr>
          <w:lang w:eastAsia="en-US"/>
        </w:rPr>
      </w:pPr>
      <w:r>
        <w:rPr>
          <w:lang w:eastAsia="en-US"/>
        </w:rPr>
        <w:t>Genuine c</w:t>
      </w:r>
      <w:r w:rsidR="00706762">
        <w:rPr>
          <w:lang w:eastAsia="en-US"/>
        </w:rPr>
        <w:t>ompetition to nbn’s fixed line network may exist on the margins</w:t>
      </w:r>
      <w:r w:rsidR="00312F3A">
        <w:rPr>
          <w:lang w:eastAsia="en-US"/>
        </w:rPr>
        <w:t>;</w:t>
      </w:r>
      <w:r w:rsidR="00706762">
        <w:rPr>
          <w:lang w:eastAsia="en-US"/>
        </w:rPr>
        <w:t xml:space="preserve"> </w:t>
      </w:r>
      <w:r w:rsidR="00FC4A49">
        <w:rPr>
          <w:lang w:eastAsia="en-US"/>
        </w:rPr>
        <w:t xml:space="preserve">predominantly </w:t>
      </w:r>
      <w:r w:rsidR="00706762">
        <w:rPr>
          <w:lang w:eastAsia="en-US"/>
        </w:rPr>
        <w:t xml:space="preserve">in specific use cases and where households live in a 5G </w:t>
      </w:r>
      <w:r>
        <w:rPr>
          <w:lang w:eastAsia="en-US"/>
        </w:rPr>
        <w:t>footprint and</w:t>
      </w:r>
      <w:r w:rsidR="00706762">
        <w:rPr>
          <w:lang w:eastAsia="en-US"/>
        </w:rPr>
        <w:t xml:space="preserve"> are able to afford th</w:t>
      </w:r>
      <w:r w:rsidR="00266B5D">
        <w:rPr>
          <w:lang w:eastAsia="en-US"/>
        </w:rPr>
        <w:t>os</w:t>
      </w:r>
      <w:r w:rsidR="00706762">
        <w:rPr>
          <w:lang w:eastAsia="en-US"/>
        </w:rPr>
        <w:t>e more expensive services.</w:t>
      </w:r>
      <w:r w:rsidR="00EA28E7">
        <w:rPr>
          <w:lang w:eastAsia="en-US"/>
        </w:rPr>
        <w:t xml:space="preserve"> </w:t>
      </w:r>
      <w:r>
        <w:rPr>
          <w:lang w:eastAsia="en-US"/>
        </w:rPr>
        <w:t>However,</w:t>
      </w:r>
      <w:r w:rsidR="00706762">
        <w:rPr>
          <w:lang w:eastAsia="en-US"/>
        </w:rPr>
        <w:t xml:space="preserve"> for the majority of households, nbn is the only wholesale provider of broadband to</w:t>
      </w:r>
      <w:r w:rsidR="00BC1566">
        <w:rPr>
          <w:lang w:eastAsia="en-US"/>
        </w:rPr>
        <w:t xml:space="preserve"> appropriately</w:t>
      </w:r>
      <w:r>
        <w:rPr>
          <w:lang w:eastAsia="en-US"/>
        </w:rPr>
        <w:t xml:space="preserve"> </w:t>
      </w:r>
      <w:r w:rsidR="00706762">
        <w:rPr>
          <w:lang w:eastAsia="en-US"/>
        </w:rPr>
        <w:t xml:space="preserve">support their telecommunication needs. </w:t>
      </w:r>
      <w:r w:rsidR="00250ADF">
        <w:rPr>
          <w:lang w:eastAsia="en-US"/>
        </w:rPr>
        <w:t xml:space="preserve">Whilst we do not know the cross elasticity of demand between </w:t>
      </w:r>
      <w:r w:rsidR="00BE2F5F">
        <w:rPr>
          <w:lang w:eastAsia="en-US"/>
        </w:rPr>
        <w:t xml:space="preserve">fixed line </w:t>
      </w:r>
      <w:r w:rsidR="00250ADF">
        <w:rPr>
          <w:lang w:eastAsia="en-US"/>
        </w:rPr>
        <w:t xml:space="preserve">broadband and wireless alternatives, we would assume that the two goods are indirect substitutes. This is acknowledged by the fact that mobile services are not required to fund the Regional Broadband Scheme. </w:t>
      </w:r>
      <w:r w:rsidR="00D31195">
        <w:rPr>
          <w:lang w:eastAsia="en-US"/>
        </w:rPr>
        <w:t>Thus,</w:t>
      </w:r>
      <w:r w:rsidR="00250ADF">
        <w:rPr>
          <w:lang w:eastAsia="en-US"/>
        </w:rPr>
        <w:t xml:space="preserve"> t</w:t>
      </w:r>
      <w:r>
        <w:rPr>
          <w:lang w:eastAsia="en-US"/>
        </w:rPr>
        <w:t xml:space="preserve">he statistic that </w:t>
      </w:r>
      <w:r w:rsidR="00706762">
        <w:rPr>
          <w:lang w:eastAsia="en-US"/>
        </w:rPr>
        <w:t xml:space="preserve">1 in 3 households </w:t>
      </w:r>
      <w:r>
        <w:rPr>
          <w:lang w:eastAsia="en-US"/>
        </w:rPr>
        <w:t>are</w:t>
      </w:r>
      <w:r w:rsidR="00706762">
        <w:rPr>
          <w:lang w:eastAsia="en-US"/>
        </w:rPr>
        <w:t xml:space="preserve"> not connected to the nbn</w:t>
      </w:r>
      <w:r>
        <w:rPr>
          <w:lang w:eastAsia="en-US"/>
        </w:rPr>
        <w:t xml:space="preserve"> does not necessarily indicate a </w:t>
      </w:r>
      <w:r w:rsidR="009F413A">
        <w:rPr>
          <w:lang w:eastAsia="en-US"/>
        </w:rPr>
        <w:t xml:space="preserve">completely </w:t>
      </w:r>
      <w:r>
        <w:rPr>
          <w:lang w:eastAsia="en-US"/>
        </w:rPr>
        <w:t>competitive market</w:t>
      </w:r>
      <w:r w:rsidR="00706762">
        <w:rPr>
          <w:lang w:eastAsia="en-US"/>
        </w:rPr>
        <w:t>,</w:t>
      </w:r>
      <w:r>
        <w:rPr>
          <w:lang w:eastAsia="en-US"/>
        </w:rPr>
        <w:t xml:space="preserve"> </w:t>
      </w:r>
      <w:r w:rsidR="00F159B3">
        <w:rPr>
          <w:lang w:eastAsia="en-US"/>
        </w:rPr>
        <w:t>as i</w:t>
      </w:r>
      <w:r>
        <w:rPr>
          <w:lang w:eastAsia="en-US"/>
        </w:rPr>
        <w:t>t</w:t>
      </w:r>
      <w:r w:rsidR="00CC69C3">
        <w:rPr>
          <w:lang w:eastAsia="en-US"/>
        </w:rPr>
        <w:t xml:space="preserve"> is important to note there are </w:t>
      </w:r>
      <w:r w:rsidR="00FC4A49">
        <w:rPr>
          <w:lang w:eastAsia="en-US"/>
        </w:rPr>
        <w:t>other</w:t>
      </w:r>
      <w:r w:rsidR="00CC69C3">
        <w:rPr>
          <w:lang w:eastAsia="en-US"/>
        </w:rPr>
        <w:t xml:space="preserve"> reasons </w:t>
      </w:r>
      <w:r>
        <w:rPr>
          <w:lang w:eastAsia="en-US"/>
        </w:rPr>
        <w:t>why</w:t>
      </w:r>
      <w:r w:rsidR="00CC69C3">
        <w:rPr>
          <w:lang w:eastAsia="en-US"/>
        </w:rPr>
        <w:t xml:space="preserve"> consumers</w:t>
      </w:r>
      <w:r>
        <w:rPr>
          <w:lang w:eastAsia="en-US"/>
        </w:rPr>
        <w:t xml:space="preserve"> have</w:t>
      </w:r>
      <w:r w:rsidR="00CC69C3">
        <w:rPr>
          <w:lang w:eastAsia="en-US"/>
        </w:rPr>
        <w:t xml:space="preserve"> not </w:t>
      </w:r>
      <w:r>
        <w:rPr>
          <w:lang w:eastAsia="en-US"/>
        </w:rPr>
        <w:t xml:space="preserve">yet </w:t>
      </w:r>
      <w:r w:rsidR="00CC69C3">
        <w:rPr>
          <w:lang w:eastAsia="en-US"/>
        </w:rPr>
        <w:t xml:space="preserve">connected to the </w:t>
      </w:r>
      <w:r w:rsidR="009F413A">
        <w:rPr>
          <w:lang w:eastAsia="en-US"/>
        </w:rPr>
        <w:t>nbn.</w:t>
      </w:r>
      <w:r>
        <w:rPr>
          <w:lang w:eastAsia="en-US"/>
        </w:rPr>
        <w:t xml:space="preserve"> </w:t>
      </w:r>
    </w:p>
    <w:p w14:paraId="7BF9AD90" w14:textId="1D772A0F" w:rsidR="00EB1585" w:rsidRPr="00392E55" w:rsidRDefault="00392E55" w:rsidP="00FC4A49">
      <w:pPr>
        <w:jc w:val="both"/>
      </w:pPr>
      <w:r w:rsidRPr="00392E55">
        <w:t>One of the key reasons a consumer may choose a wireless alternative to the nbn is affordability.</w:t>
      </w:r>
      <w:r w:rsidR="00EB1585" w:rsidRPr="00392E55">
        <w:t xml:space="preserve"> </w:t>
      </w:r>
      <w:bookmarkStart w:id="10" w:name="_Hlk75940640"/>
      <w:r w:rsidR="00FE19F7" w:rsidRPr="00392E55">
        <w:t>19.9% of Australians are mobile-only users</w:t>
      </w:r>
      <w:r>
        <w:t>,</w:t>
      </w:r>
      <w:r w:rsidR="00EB1585" w:rsidRPr="00392E55">
        <w:t xml:space="preserve"> </w:t>
      </w:r>
      <w:r>
        <w:t>y</w:t>
      </w:r>
      <w:r w:rsidR="00EB1585" w:rsidRPr="00392E55">
        <w:t>e</w:t>
      </w:r>
      <w:r w:rsidR="004E44AC" w:rsidRPr="00392E55">
        <w:t>t</w:t>
      </w:r>
      <w:r w:rsidR="00EB1585" w:rsidRPr="00392E55">
        <w:t xml:space="preserve"> we know</w:t>
      </w:r>
      <w:r w:rsidR="00FE19F7" w:rsidRPr="00392E55">
        <w:t xml:space="preserve"> this type of use is linked to socio-economic factors</w:t>
      </w:r>
      <w:r w:rsidR="00EB1585" w:rsidRPr="00392E55">
        <w:t>,</w:t>
      </w:r>
      <w:r w:rsidR="00FE19F7" w:rsidRPr="00392E55">
        <w:t xml:space="preserve"> </w:t>
      </w:r>
      <w:r w:rsidR="00EB1585" w:rsidRPr="00392E55">
        <w:t>a</w:t>
      </w:r>
      <w:r w:rsidR="00FE19F7" w:rsidRPr="00392E55">
        <w:t>s</w:t>
      </w:r>
      <w:r w:rsidR="00EB1585" w:rsidRPr="00392E55">
        <w:t xml:space="preserve"> the proportion of mobile-only users increase</w:t>
      </w:r>
      <w:r w:rsidR="00D022D6">
        <w:t>s</w:t>
      </w:r>
      <w:r w:rsidR="00EB1585" w:rsidRPr="00392E55">
        <w:t xml:space="preserve"> to</w:t>
      </w:r>
      <w:r w:rsidR="00FE19F7" w:rsidRPr="00392E55">
        <w:t xml:space="preserve"> 32.8% of people in the lowest household income quintile, 28.6% of those with low levels of education and 26.7% of the unemployed</w:t>
      </w:r>
      <w:r w:rsidR="00EB1585" w:rsidRPr="00392E55">
        <w:t>.</w:t>
      </w:r>
      <w:r w:rsidR="009F413A" w:rsidRPr="009F413A">
        <w:rPr>
          <w:rStyle w:val="FootnoteReference"/>
        </w:rPr>
        <w:t xml:space="preserve"> </w:t>
      </w:r>
      <w:r w:rsidR="009F413A" w:rsidRPr="00392E55">
        <w:rPr>
          <w:rStyle w:val="FootnoteReference"/>
        </w:rPr>
        <w:footnoteReference w:id="7"/>
      </w:r>
      <w:r w:rsidR="009F413A">
        <w:t xml:space="preserve"> </w:t>
      </w:r>
      <w:r w:rsidR="00EA28E7" w:rsidRPr="00392E55">
        <w:t>Additionally,</w:t>
      </w:r>
      <w:r w:rsidR="00EB1585" w:rsidRPr="00392E55">
        <w:t xml:space="preserve"> </w:t>
      </w:r>
      <w:r w:rsidR="00CC69C3" w:rsidRPr="00392E55">
        <w:t>33.5% of low income families with school aged children are mobile only internet users.</w:t>
      </w:r>
      <w:bookmarkEnd w:id="10"/>
      <w:r w:rsidR="00CC69C3" w:rsidRPr="00392E55">
        <w:t xml:space="preserve"> </w:t>
      </w:r>
      <w:r w:rsidR="00EB1585" w:rsidRPr="00392E55">
        <w:t xml:space="preserve">Given the disproportionately high number of mobile-only households amongst households in lower socio-economic settings there will be a significant number of households amongst the 4 million not connected to the nbn who do so out of necessity, and not choice. </w:t>
      </w:r>
    </w:p>
    <w:p w14:paraId="461018F1" w14:textId="39F8EA65" w:rsidR="00392E55" w:rsidRDefault="00392E55" w:rsidP="00FC4A49">
      <w:pPr>
        <w:jc w:val="both"/>
      </w:pPr>
      <w:bookmarkStart w:id="11" w:name="_Hlk77003562"/>
      <w:r>
        <w:t>The Australian Digital Inclusion Index</w:t>
      </w:r>
      <w:r w:rsidR="00D31195">
        <w:t xml:space="preserve"> (ADII)</w:t>
      </w:r>
      <w:r>
        <w:t xml:space="preserve"> states that being mobile-only reduces digital inclusion as it reduces the connectivity options available to a person as well as the amount of data allowance users have access to since mobile plans tend to have significantly lower data allowances than fixed </w:t>
      </w:r>
      <w:r w:rsidR="003E7ED1">
        <w:t xml:space="preserve">line </w:t>
      </w:r>
      <w:r>
        <w:t xml:space="preserve">broadband plans. There is also a greater prevalence of prepaid users amongst mobile only users, which also depresses data allowanced. Mobile-only users report lower affordability </w:t>
      </w:r>
      <w:r w:rsidR="00D31195">
        <w:t xml:space="preserve">on the ADII, </w:t>
      </w:r>
      <w:r>
        <w:t xml:space="preserve">as mobile data costs more per gigabyte than fixed </w:t>
      </w:r>
      <w:r w:rsidR="003E7ED1">
        <w:t xml:space="preserve">line </w:t>
      </w:r>
      <w:r>
        <w:t>broadband</w:t>
      </w:r>
      <w:r w:rsidR="005F05FC">
        <w:t>, furthermore</w:t>
      </w:r>
      <w:r w:rsidR="00D31195">
        <w:t xml:space="preserve"> mobile-only users </w:t>
      </w:r>
      <w:r>
        <w:t xml:space="preserve">are likely to </w:t>
      </w:r>
      <w:r w:rsidR="00D31195">
        <w:t xml:space="preserve">be </w:t>
      </w:r>
      <w:r>
        <w:t>more restricted in heavy data use activities.</w:t>
      </w:r>
      <w:r w:rsidR="009F413A">
        <w:rPr>
          <w:rStyle w:val="FootnoteReference"/>
        </w:rPr>
        <w:footnoteReference w:id="8"/>
      </w:r>
      <w:r>
        <w:t xml:space="preserve"> </w:t>
      </w:r>
    </w:p>
    <w:bookmarkEnd w:id="11"/>
    <w:p w14:paraId="3BFBF84C" w14:textId="2C43A244" w:rsidR="004E44AC" w:rsidRPr="00706762" w:rsidRDefault="00FC4A49" w:rsidP="00FC4A49">
      <w:pPr>
        <w:jc w:val="both"/>
      </w:pPr>
      <w:r>
        <w:t>So,</w:t>
      </w:r>
      <w:r w:rsidR="004E44AC">
        <w:t xml:space="preserve"> whilst there may be some households that willingly opt for nbn alternative</w:t>
      </w:r>
      <w:r>
        <w:t>s</w:t>
      </w:r>
      <w:r w:rsidR="004E44AC">
        <w:t>, we consider that</w:t>
      </w:r>
      <w:r w:rsidR="0041650C">
        <w:t>,</w:t>
      </w:r>
      <w:r w:rsidR="004E44AC">
        <w:t xml:space="preserve"> if given the opportunity, the</w:t>
      </w:r>
      <w:r w:rsidR="0041650C">
        <w:t>re would be a significant number of households that would</w:t>
      </w:r>
      <w:r w:rsidR="004E44AC">
        <w:t xml:space="preserve"> prefer a fixed line connection. As access to a fixed line broadband connection improves digital inclusion, ACCAN considers that all households should be given the opportunity to access one, regardless of their circumstances</w:t>
      </w:r>
      <w:r w:rsidR="008B37F3">
        <w:t>,</w:t>
      </w:r>
      <w:r w:rsidR="00D31195">
        <w:t xml:space="preserve"> within technological limits</w:t>
      </w:r>
      <w:r w:rsidR="004E44AC">
        <w:t xml:space="preserve">. </w:t>
      </w:r>
    </w:p>
    <w:p w14:paraId="756D8EC6" w14:textId="7890B2CD" w:rsidR="00706762" w:rsidRDefault="00706762" w:rsidP="00FC4A49">
      <w:pPr>
        <w:jc w:val="both"/>
        <w:rPr>
          <w:lang w:eastAsia="en-US"/>
        </w:rPr>
      </w:pPr>
      <w:r>
        <w:rPr>
          <w:lang w:eastAsia="en-US"/>
        </w:rPr>
        <w:t xml:space="preserve">ACCAN agrees </w:t>
      </w:r>
      <w:r w:rsidR="0041650C">
        <w:rPr>
          <w:lang w:eastAsia="en-US"/>
        </w:rPr>
        <w:t xml:space="preserve">with the discussion paper </w:t>
      </w:r>
      <w:r>
        <w:rPr>
          <w:lang w:eastAsia="en-US"/>
        </w:rPr>
        <w:t xml:space="preserve">that in areas where there is sufficient competition, price controls </w:t>
      </w:r>
      <w:r w:rsidR="0041650C">
        <w:rPr>
          <w:lang w:eastAsia="en-US"/>
        </w:rPr>
        <w:t>may not be</w:t>
      </w:r>
      <w:r>
        <w:rPr>
          <w:lang w:eastAsia="en-US"/>
        </w:rPr>
        <w:t xml:space="preserve"> necessary. Segments which are considered to operate in competitive markets </w:t>
      </w:r>
      <w:r w:rsidR="0016204B">
        <w:rPr>
          <w:lang w:eastAsia="en-US"/>
        </w:rPr>
        <w:t>such as the Enterprise market,</w:t>
      </w:r>
      <w:r>
        <w:rPr>
          <w:lang w:eastAsia="en-US"/>
        </w:rPr>
        <w:t xml:space="preserve"> should be considered in regard to how they are incorporated into the LTRCM as there is a need for greater transparency </w:t>
      </w:r>
      <w:r w:rsidR="00E43273">
        <w:rPr>
          <w:lang w:eastAsia="en-US"/>
        </w:rPr>
        <w:t>between competitive</w:t>
      </w:r>
      <w:r>
        <w:rPr>
          <w:lang w:eastAsia="en-US"/>
        </w:rPr>
        <w:t xml:space="preserve"> </w:t>
      </w:r>
      <w:r w:rsidR="00F07601">
        <w:rPr>
          <w:lang w:eastAsia="en-US"/>
        </w:rPr>
        <w:t xml:space="preserve">and non-competitive </w:t>
      </w:r>
      <w:r>
        <w:rPr>
          <w:lang w:eastAsia="en-US"/>
        </w:rPr>
        <w:t xml:space="preserve">market segments. </w:t>
      </w:r>
    </w:p>
    <w:p w14:paraId="1CAF239E" w14:textId="77777777" w:rsidR="00E7790D" w:rsidRDefault="00E7790D" w:rsidP="00FC4A49">
      <w:pPr>
        <w:jc w:val="both"/>
        <w:rPr>
          <w:lang w:eastAsia="en-US"/>
        </w:rPr>
      </w:pPr>
    </w:p>
    <w:p w14:paraId="72C719BD" w14:textId="77777777" w:rsidR="00FC4A49" w:rsidRPr="00FC4A49" w:rsidRDefault="00FC4A49" w:rsidP="00FC4A49">
      <w:pPr>
        <w:rPr>
          <w:lang w:eastAsia="en-US"/>
        </w:rPr>
      </w:pPr>
    </w:p>
    <w:p w14:paraId="7016FF53" w14:textId="0A2AC4C4" w:rsidR="009F4B9D" w:rsidRDefault="00121EE3" w:rsidP="00613698">
      <w:pPr>
        <w:pStyle w:val="Heading2"/>
      </w:pPr>
      <w:bookmarkStart w:id="12" w:name="_Toc78452062"/>
      <w:r>
        <w:lastRenderedPageBreak/>
        <w:t>Long-term pricing reform</w:t>
      </w:r>
      <w:bookmarkEnd w:id="12"/>
    </w:p>
    <w:p w14:paraId="77C03834" w14:textId="07A0F7CB" w:rsidR="008C425F" w:rsidRDefault="008C425F" w:rsidP="008C425F">
      <w:pPr>
        <w:jc w:val="both"/>
        <w:rPr>
          <w:lang w:eastAsia="en-US"/>
        </w:rPr>
      </w:pPr>
      <w:r>
        <w:rPr>
          <w:lang w:eastAsia="en-US"/>
        </w:rPr>
        <w:t>The ‘user pays’ principle is central to nbn’s</w:t>
      </w:r>
      <w:r w:rsidR="00D56C73">
        <w:rPr>
          <w:lang w:eastAsia="en-US"/>
        </w:rPr>
        <w:t xml:space="preserve"> current</w:t>
      </w:r>
      <w:r>
        <w:rPr>
          <w:lang w:eastAsia="en-US"/>
        </w:rPr>
        <w:t xml:space="preserve"> pricing construct as set out in the SAU</w:t>
      </w:r>
      <w:r w:rsidR="006F6CD5">
        <w:rPr>
          <w:lang w:eastAsia="en-US"/>
        </w:rPr>
        <w:t>;</w:t>
      </w:r>
      <w:r w:rsidR="006F033F">
        <w:rPr>
          <w:lang w:eastAsia="en-US"/>
        </w:rPr>
        <w:t xml:space="preserve"> </w:t>
      </w:r>
      <w:r w:rsidR="002062ED">
        <w:rPr>
          <w:lang w:eastAsia="en-US"/>
        </w:rPr>
        <w:softHyphen/>
      </w:r>
      <w:r w:rsidR="00F84204">
        <w:rPr>
          <w:lang w:eastAsia="en-US"/>
        </w:rPr>
        <w:t>that is as end</w:t>
      </w:r>
      <w:r w:rsidR="00826B23">
        <w:rPr>
          <w:lang w:eastAsia="en-US"/>
        </w:rPr>
        <w:t xml:space="preserve"> </w:t>
      </w:r>
      <w:r w:rsidR="00F84204">
        <w:rPr>
          <w:lang w:eastAsia="en-US"/>
        </w:rPr>
        <w:t>users acquire higher speed services or increase their demand for data, nbn expects that they should pay for using that additional network capability</w:t>
      </w:r>
      <w:r w:rsidR="00203756">
        <w:rPr>
          <w:lang w:eastAsia="en-US"/>
        </w:rPr>
        <w:t xml:space="preserve">. To a certain extent, </w:t>
      </w:r>
      <w:r>
        <w:rPr>
          <w:lang w:eastAsia="en-US"/>
        </w:rPr>
        <w:t>consumers do expect to pay more where they receive greater benefit</w:t>
      </w:r>
      <w:r w:rsidR="00F248B4">
        <w:rPr>
          <w:lang w:eastAsia="en-US"/>
        </w:rPr>
        <w:t>s from the service</w:t>
      </w:r>
      <w:r>
        <w:rPr>
          <w:lang w:eastAsia="en-US"/>
        </w:rPr>
        <w:t xml:space="preserve">, this includes receiving greater download and upload speeds, as well as access to greater data inclusions. </w:t>
      </w:r>
    </w:p>
    <w:p w14:paraId="727FF557" w14:textId="434C0D1C" w:rsidR="008C425F" w:rsidRDefault="008C425F" w:rsidP="008C425F">
      <w:pPr>
        <w:jc w:val="both"/>
        <w:rPr>
          <w:lang w:eastAsia="en-US"/>
        </w:rPr>
      </w:pPr>
      <w:r>
        <w:rPr>
          <w:lang w:eastAsia="en-US"/>
        </w:rPr>
        <w:t xml:space="preserve">However, there is a significant proportion </w:t>
      </w:r>
      <w:r w:rsidR="00203756">
        <w:rPr>
          <w:lang w:eastAsia="en-US"/>
        </w:rPr>
        <w:t>(approx</w:t>
      </w:r>
      <w:r w:rsidR="0028099F">
        <w:rPr>
          <w:lang w:eastAsia="en-US"/>
        </w:rPr>
        <w:t>imately</w:t>
      </w:r>
      <w:r w:rsidR="00203756">
        <w:rPr>
          <w:lang w:eastAsia="en-US"/>
        </w:rPr>
        <w:t xml:space="preserve"> 83%)</w:t>
      </w:r>
      <w:r w:rsidR="001E1CD6">
        <w:rPr>
          <w:rStyle w:val="FootnoteReference"/>
          <w:lang w:eastAsia="en-US"/>
        </w:rPr>
        <w:footnoteReference w:id="9"/>
      </w:r>
      <w:r w:rsidR="00203756">
        <w:rPr>
          <w:lang w:eastAsia="en-US"/>
        </w:rPr>
        <w:t xml:space="preserve"> </w:t>
      </w:r>
      <w:r>
        <w:rPr>
          <w:lang w:eastAsia="en-US"/>
        </w:rPr>
        <w:t>of the market where consumers have</w:t>
      </w:r>
      <w:r w:rsidR="0028099F">
        <w:rPr>
          <w:lang w:eastAsia="en-US"/>
        </w:rPr>
        <w:t xml:space="preserve"> </w:t>
      </w:r>
      <w:r>
        <w:rPr>
          <w:lang w:eastAsia="en-US"/>
        </w:rPr>
        <w:t xml:space="preserve">paid for budget certainty, by purchasing unlimited data plans. These consumers will struggle to understand why, when they have purchased an unlimited data plan, and are receiving the </w:t>
      </w:r>
      <w:r w:rsidDel="003C67D1">
        <w:rPr>
          <w:lang w:eastAsia="en-US"/>
        </w:rPr>
        <w:t xml:space="preserve">same </w:t>
      </w:r>
      <w:r w:rsidR="003C67D1">
        <w:rPr>
          <w:lang w:eastAsia="en-US"/>
        </w:rPr>
        <w:t xml:space="preserve">internet speeds </w:t>
      </w:r>
      <w:r w:rsidR="00EA02CD">
        <w:rPr>
          <w:lang w:eastAsia="en-US"/>
        </w:rPr>
        <w:t>each year</w:t>
      </w:r>
      <w:r>
        <w:rPr>
          <w:lang w:eastAsia="en-US"/>
        </w:rPr>
        <w:t xml:space="preserve">, they should </w:t>
      </w:r>
      <w:r w:rsidR="00EA02CD">
        <w:rPr>
          <w:lang w:eastAsia="en-US"/>
        </w:rPr>
        <w:t>experience</w:t>
      </w:r>
      <w:r w:rsidR="00F248B4">
        <w:rPr>
          <w:lang w:eastAsia="en-US"/>
        </w:rPr>
        <w:t xml:space="preserve"> real</w:t>
      </w:r>
      <w:r>
        <w:rPr>
          <w:lang w:eastAsia="en-US"/>
        </w:rPr>
        <w:t xml:space="preserve"> </w:t>
      </w:r>
      <w:r w:rsidR="00EA02CD">
        <w:rPr>
          <w:lang w:eastAsia="en-US"/>
        </w:rPr>
        <w:t>price increases</w:t>
      </w:r>
      <w:r>
        <w:rPr>
          <w:lang w:eastAsia="en-US"/>
        </w:rPr>
        <w:t xml:space="preserve">. This </w:t>
      </w:r>
      <w:r w:rsidR="009E2E8D">
        <w:rPr>
          <w:lang w:eastAsia="en-US"/>
        </w:rPr>
        <w:t xml:space="preserve">potential </w:t>
      </w:r>
      <w:r w:rsidR="003A3890">
        <w:rPr>
          <w:lang w:eastAsia="en-US"/>
        </w:rPr>
        <w:t xml:space="preserve">outcome </w:t>
      </w:r>
      <w:r w:rsidR="00EA02CD">
        <w:rPr>
          <w:lang w:eastAsia="en-US"/>
        </w:rPr>
        <w:t xml:space="preserve">is </w:t>
      </w:r>
      <w:r>
        <w:rPr>
          <w:lang w:eastAsia="en-US"/>
        </w:rPr>
        <w:t>created by the disconnect between the product</w:t>
      </w:r>
      <w:r w:rsidR="00C43CD8">
        <w:rPr>
          <w:lang w:eastAsia="en-US"/>
        </w:rPr>
        <w:t>s</w:t>
      </w:r>
      <w:r>
        <w:rPr>
          <w:lang w:eastAsia="en-US"/>
        </w:rPr>
        <w:t xml:space="preserve"> nbn sell</w:t>
      </w:r>
      <w:r w:rsidR="00C43CD8">
        <w:rPr>
          <w:lang w:eastAsia="en-US"/>
        </w:rPr>
        <w:t>s</w:t>
      </w:r>
      <w:r>
        <w:rPr>
          <w:lang w:eastAsia="en-US"/>
        </w:rPr>
        <w:t xml:space="preserve">, and the products </w:t>
      </w:r>
      <w:r w:rsidR="00EF70E2">
        <w:rPr>
          <w:lang w:eastAsia="en-US"/>
        </w:rPr>
        <w:t xml:space="preserve">Retail Service Providers </w:t>
      </w:r>
      <w:r>
        <w:rPr>
          <w:lang w:eastAsia="en-US"/>
        </w:rPr>
        <w:t xml:space="preserve">sell. </w:t>
      </w:r>
    </w:p>
    <w:p w14:paraId="65400437" w14:textId="1F254162" w:rsidR="008C425F" w:rsidRDefault="00F248B4" w:rsidP="008C425F">
      <w:pPr>
        <w:jc w:val="both"/>
        <w:rPr>
          <w:lang w:eastAsia="en-US"/>
        </w:rPr>
      </w:pPr>
      <w:r>
        <w:rPr>
          <w:lang w:eastAsia="en-US"/>
        </w:rPr>
        <w:t xml:space="preserve">The extent to which consumers expect to pay more where they receive greater benefits from the service is </w:t>
      </w:r>
      <w:r w:rsidR="00C43CD8">
        <w:rPr>
          <w:lang w:eastAsia="en-US"/>
        </w:rPr>
        <w:t>influenced</w:t>
      </w:r>
      <w:r>
        <w:rPr>
          <w:lang w:eastAsia="en-US"/>
        </w:rPr>
        <w:t xml:space="preserve"> by the fact that the cost of delivering a GB of data has continuously fallen over time. Therefore, to a certain degree, consumers do expect to be getting greater value for their money over time</w:t>
      </w:r>
      <w:r w:rsidR="00A91290">
        <w:rPr>
          <w:lang w:eastAsia="en-US"/>
        </w:rPr>
        <w:t>, as this has been their experience</w:t>
      </w:r>
      <w:r>
        <w:rPr>
          <w:lang w:eastAsia="en-US"/>
        </w:rPr>
        <w:t xml:space="preserve">. </w:t>
      </w:r>
      <w:r w:rsidR="00FB57F1">
        <w:rPr>
          <w:lang w:eastAsia="en-US"/>
        </w:rPr>
        <w:t>Where the user pays for the service, they should be paying a price equal to the cost of providing the service</w:t>
      </w:r>
      <w:r w:rsidR="00C930F0">
        <w:rPr>
          <w:lang w:eastAsia="en-US"/>
        </w:rPr>
        <w:t>.</w:t>
      </w:r>
      <w:r w:rsidR="00FB57F1">
        <w:rPr>
          <w:lang w:eastAsia="en-US"/>
        </w:rPr>
        <w:t xml:space="preserve"> </w:t>
      </w:r>
      <w:r w:rsidR="00C930F0">
        <w:rPr>
          <w:lang w:eastAsia="en-US"/>
        </w:rPr>
        <w:t>I</w:t>
      </w:r>
      <w:r w:rsidR="00FB57F1">
        <w:rPr>
          <w:lang w:eastAsia="en-US"/>
        </w:rPr>
        <w:t xml:space="preserve">f the cost of delivering data over the network has fallen over time, ACCAN would expect that either the service becomes cheaper, or more data is provided. </w:t>
      </w:r>
    </w:p>
    <w:p w14:paraId="3B8B8104" w14:textId="4CDFD3C4" w:rsidR="0094307A" w:rsidRDefault="00FB57F1" w:rsidP="008C425F">
      <w:pPr>
        <w:jc w:val="both"/>
        <w:rPr>
          <w:lang w:eastAsia="en-US"/>
        </w:rPr>
      </w:pPr>
      <w:r>
        <w:rPr>
          <w:lang w:eastAsia="en-US"/>
        </w:rPr>
        <w:t>Additionally, t</w:t>
      </w:r>
      <w:r w:rsidR="00EE2C93">
        <w:rPr>
          <w:lang w:eastAsia="en-US"/>
        </w:rPr>
        <w:t>he ‘user</w:t>
      </w:r>
      <w:r w:rsidR="00847A6C">
        <w:rPr>
          <w:lang w:eastAsia="en-US"/>
        </w:rPr>
        <w:t xml:space="preserve"> </w:t>
      </w:r>
      <w:r w:rsidR="00EE2C93">
        <w:rPr>
          <w:lang w:eastAsia="en-US"/>
        </w:rPr>
        <w:t xml:space="preserve">pays’ principle needs to take into consideration that the service nbn is providing is an essential service, and the nbn is the monopoly provider of that service. Whilst ACCAN agrees that the user should pay for the service they receive, </w:t>
      </w:r>
      <w:r w:rsidR="00B03F2F">
        <w:rPr>
          <w:lang w:eastAsia="en-US"/>
        </w:rPr>
        <w:t>they</w:t>
      </w:r>
      <w:r w:rsidR="000C298F">
        <w:rPr>
          <w:lang w:eastAsia="en-US"/>
        </w:rPr>
        <w:t xml:space="preserve"> should not be </w:t>
      </w:r>
      <w:r w:rsidR="00B03F2F">
        <w:rPr>
          <w:lang w:eastAsia="en-US"/>
        </w:rPr>
        <w:t>paying</w:t>
      </w:r>
      <w:r w:rsidR="000C298F">
        <w:rPr>
          <w:lang w:eastAsia="en-US"/>
        </w:rPr>
        <w:t xml:space="preserve"> monopolistic prices.</w:t>
      </w:r>
    </w:p>
    <w:p w14:paraId="7E21467A" w14:textId="131E8C2E" w:rsidR="00D56C73" w:rsidRDefault="0094307A" w:rsidP="008C425F">
      <w:pPr>
        <w:jc w:val="both"/>
        <w:rPr>
          <w:lang w:eastAsia="en-US"/>
        </w:rPr>
      </w:pPr>
      <w:r>
        <w:rPr>
          <w:lang w:eastAsia="en-US"/>
        </w:rPr>
        <w:t>Lastly, prices need to be based on the service an end</w:t>
      </w:r>
      <w:r w:rsidR="00826B23">
        <w:rPr>
          <w:lang w:eastAsia="en-US"/>
        </w:rPr>
        <w:t xml:space="preserve"> </w:t>
      </w:r>
      <w:r>
        <w:rPr>
          <w:lang w:eastAsia="en-US"/>
        </w:rPr>
        <w:t>user receives. Nbn currently sells AVCs and bundles which offer a speed range for the same price as services which offer a set speed tier. It is unfair to end users to charge the same price when a different service is being delivered. For example, the AVC speed range of 25-100/5-40 Mbps over the FTTN and FTTB technologies is currently set at the same cost of the 100/40 Mbps AVC offered over other technologies.</w:t>
      </w:r>
      <w:r>
        <w:rPr>
          <w:rStyle w:val="FootnoteReference"/>
          <w:lang w:eastAsia="en-US"/>
        </w:rPr>
        <w:footnoteReference w:id="10"/>
      </w:r>
      <w:r>
        <w:rPr>
          <w:lang w:eastAsia="en-US"/>
        </w:rPr>
        <w:t xml:space="preserve"> ACCAN is aware of instances where a consumer either has to downgrade to a 25Mbps service because the line is not able to deliver 50Mbps download speeds, or alternatively continue to pay for the 50 Mbps service even though the maximum speed they are receiving may be </w:t>
      </w:r>
      <w:r w:rsidR="005F05FC">
        <w:rPr>
          <w:lang w:eastAsia="en-US"/>
        </w:rPr>
        <w:t>slower</w:t>
      </w:r>
      <w:r>
        <w:rPr>
          <w:lang w:eastAsia="en-US"/>
        </w:rPr>
        <w:t xml:space="preserve">. </w:t>
      </w:r>
    </w:p>
    <w:p w14:paraId="31F98304" w14:textId="25C54940" w:rsidR="00C32BC0" w:rsidRDefault="00D56C73" w:rsidP="00816CD1">
      <w:pPr>
        <w:jc w:val="both"/>
      </w:pPr>
      <w:r>
        <w:t xml:space="preserve">The SAU variation </w:t>
      </w:r>
      <w:r w:rsidR="008A6871">
        <w:t>provides</w:t>
      </w:r>
      <w:r>
        <w:t xml:space="preserve"> an opportunity to address the above issues, so that there is more alignment between wholesale products, and retail products</w:t>
      </w:r>
      <w:r w:rsidR="008A6871">
        <w:t xml:space="preserve"> whilst ensuring end users are paying a fair value for the service they use.</w:t>
      </w:r>
    </w:p>
    <w:p w14:paraId="0F107C0D" w14:textId="76B74EA2" w:rsidR="00121EE3" w:rsidRDefault="00121EE3" w:rsidP="00E43273">
      <w:pPr>
        <w:pStyle w:val="Heading2"/>
      </w:pPr>
      <w:bookmarkStart w:id="13" w:name="_Toc78452063"/>
      <w:r>
        <w:lastRenderedPageBreak/>
        <w:t>Proposed TC- 4 pricing constructs for consideration</w:t>
      </w:r>
      <w:bookmarkEnd w:id="13"/>
    </w:p>
    <w:p w14:paraId="715082E7" w14:textId="443FE11B" w:rsidR="00121EE3" w:rsidRDefault="001B5BA8" w:rsidP="001B5BA8">
      <w:pPr>
        <w:pStyle w:val="Heading4"/>
      </w:pPr>
      <w:r>
        <w:t>Construct 1</w:t>
      </w:r>
    </w:p>
    <w:p w14:paraId="3AEB48B5" w14:textId="609CAE7A" w:rsidR="009B5493" w:rsidRDefault="001B5BA8" w:rsidP="0087631F">
      <w:pPr>
        <w:jc w:val="both"/>
        <w:rPr>
          <w:lang w:eastAsia="en-US"/>
        </w:rPr>
      </w:pPr>
      <w:r>
        <w:rPr>
          <w:lang w:eastAsia="en-US"/>
        </w:rPr>
        <w:t xml:space="preserve">Construct 1 </w:t>
      </w:r>
      <w:r w:rsidR="009B5493">
        <w:rPr>
          <w:lang w:eastAsia="en-US"/>
        </w:rPr>
        <w:t>will see</w:t>
      </w:r>
      <w:r>
        <w:rPr>
          <w:lang w:eastAsia="en-US"/>
        </w:rPr>
        <w:t xml:space="preserve"> the variable (overage) charge decreasing from $8 per Mbps </w:t>
      </w:r>
      <w:r w:rsidR="0087631F">
        <w:rPr>
          <w:lang w:eastAsia="en-US"/>
        </w:rPr>
        <w:t>to $6 per Mbps</w:t>
      </w:r>
      <w:r>
        <w:rPr>
          <w:lang w:eastAsia="en-US"/>
        </w:rPr>
        <w:t xml:space="preserve"> whilst increasing the fixed charge between $2-$5 depending on the service speed.</w:t>
      </w:r>
      <w:r w:rsidR="0087631F">
        <w:rPr>
          <w:lang w:eastAsia="en-US"/>
        </w:rPr>
        <w:t xml:space="preserve"> </w:t>
      </w:r>
      <w:r w:rsidR="000321B5">
        <w:rPr>
          <w:lang w:eastAsia="en-US"/>
        </w:rPr>
        <w:t>V</w:t>
      </w:r>
      <w:r w:rsidR="0087631F">
        <w:rPr>
          <w:lang w:eastAsia="en-US"/>
        </w:rPr>
        <w:t xml:space="preserve">oice only services will retain the current price of $22.50 per month. The rebalancing of the variable charge with the fixed charge should reduce RSPs uncertainty and associated costs with sudden surges in data demand. ACCAN is unable to say whether this rebalancing goes far enough to ensure RSPs are able to better manage their CVC </w:t>
      </w:r>
      <w:r w:rsidR="00564A30">
        <w:rPr>
          <w:lang w:eastAsia="en-US"/>
        </w:rPr>
        <w:t>usage,</w:t>
      </w:r>
      <w:r w:rsidR="00703FC6">
        <w:rPr>
          <w:lang w:eastAsia="en-US"/>
        </w:rPr>
        <w:t xml:space="preserve"> but we would assume that the critical issues expressed by RSPs still exist with this pricing construct</w:t>
      </w:r>
      <w:r w:rsidR="0087631F">
        <w:rPr>
          <w:lang w:eastAsia="en-US"/>
        </w:rPr>
        <w:t xml:space="preserve">. </w:t>
      </w:r>
    </w:p>
    <w:p w14:paraId="61ABAB1D" w14:textId="71A343A1" w:rsidR="001B5BA8" w:rsidRDefault="0087631F" w:rsidP="0087631F">
      <w:pPr>
        <w:jc w:val="both"/>
        <w:rPr>
          <w:lang w:eastAsia="en-US"/>
        </w:rPr>
      </w:pPr>
      <w:r>
        <w:rPr>
          <w:lang w:eastAsia="en-US"/>
        </w:rPr>
        <w:t xml:space="preserve">If this construct were to remain in place, we consider </w:t>
      </w:r>
      <w:r w:rsidR="00564A30">
        <w:rPr>
          <w:lang w:eastAsia="en-US"/>
        </w:rPr>
        <w:t xml:space="preserve">the </w:t>
      </w:r>
      <w:r w:rsidR="000321B5">
        <w:rPr>
          <w:lang w:eastAsia="en-US"/>
        </w:rPr>
        <w:t>overage charge</w:t>
      </w:r>
      <w:r>
        <w:rPr>
          <w:lang w:eastAsia="en-US"/>
        </w:rPr>
        <w:t xml:space="preserve"> should be reflective of nbn’s</w:t>
      </w:r>
      <w:r w:rsidR="00564A30">
        <w:rPr>
          <w:lang w:eastAsia="en-US"/>
        </w:rPr>
        <w:t xml:space="preserve"> </w:t>
      </w:r>
      <w:r>
        <w:rPr>
          <w:lang w:eastAsia="en-US"/>
        </w:rPr>
        <w:t xml:space="preserve">cost of </w:t>
      </w:r>
      <w:r w:rsidR="000321B5">
        <w:rPr>
          <w:lang w:eastAsia="en-US"/>
        </w:rPr>
        <w:t>provisioning the extra capacity</w:t>
      </w:r>
      <w:r>
        <w:rPr>
          <w:lang w:eastAsia="en-US"/>
        </w:rPr>
        <w:t xml:space="preserve">. </w:t>
      </w:r>
    </w:p>
    <w:p w14:paraId="019A8CDC" w14:textId="172A27FC" w:rsidR="001B5BA8" w:rsidRDefault="001B5BA8" w:rsidP="001B5BA8">
      <w:pPr>
        <w:pStyle w:val="Heading4"/>
      </w:pPr>
      <w:r>
        <w:t>Construct 2</w:t>
      </w:r>
    </w:p>
    <w:p w14:paraId="68AC5F8A" w14:textId="352DBF89" w:rsidR="00D73BAA" w:rsidRDefault="0087631F" w:rsidP="00D73BAA">
      <w:pPr>
        <w:jc w:val="both"/>
        <w:rPr>
          <w:lang w:eastAsia="en-US"/>
        </w:rPr>
      </w:pPr>
      <w:r>
        <w:rPr>
          <w:lang w:eastAsia="en-US"/>
        </w:rPr>
        <w:t xml:space="preserve">Construct 2 consists of </w:t>
      </w:r>
      <w:r w:rsidR="00850A40">
        <w:rPr>
          <w:lang w:eastAsia="en-US"/>
        </w:rPr>
        <w:t>retaining the variable cost at $8 per Mbps for lower speed tiers</w:t>
      </w:r>
      <w:r w:rsidR="00D73BAA">
        <w:rPr>
          <w:lang w:eastAsia="en-US"/>
        </w:rPr>
        <w:t xml:space="preserve">, including the </w:t>
      </w:r>
      <w:r w:rsidR="00850A40">
        <w:rPr>
          <w:lang w:eastAsia="en-US"/>
        </w:rPr>
        <w:t>12/1</w:t>
      </w:r>
      <w:r w:rsidR="000321B5">
        <w:rPr>
          <w:lang w:eastAsia="en-US"/>
        </w:rPr>
        <w:t xml:space="preserve"> Mbps</w:t>
      </w:r>
      <w:r w:rsidR="00850A40">
        <w:rPr>
          <w:lang w:eastAsia="en-US"/>
        </w:rPr>
        <w:t>, 25/</w:t>
      </w:r>
      <w:r w:rsidR="000321B5">
        <w:rPr>
          <w:lang w:eastAsia="en-US"/>
        </w:rPr>
        <w:t>5 Mbps</w:t>
      </w:r>
      <w:r w:rsidR="00D73BAA">
        <w:rPr>
          <w:lang w:eastAsia="en-US"/>
        </w:rPr>
        <w:t xml:space="preserve"> and</w:t>
      </w:r>
      <w:r w:rsidR="00850A40">
        <w:rPr>
          <w:lang w:eastAsia="en-US"/>
        </w:rPr>
        <w:t xml:space="preserve"> 50/20</w:t>
      </w:r>
      <w:r w:rsidR="00D73BAA">
        <w:rPr>
          <w:lang w:eastAsia="en-US"/>
        </w:rPr>
        <w:t xml:space="preserve"> </w:t>
      </w:r>
      <w:r w:rsidR="000321B5">
        <w:rPr>
          <w:lang w:eastAsia="en-US"/>
        </w:rPr>
        <w:t xml:space="preserve">Mbps </w:t>
      </w:r>
      <w:r w:rsidR="00D73BAA">
        <w:rPr>
          <w:lang w:eastAsia="en-US"/>
        </w:rPr>
        <w:t>services</w:t>
      </w:r>
      <w:r w:rsidR="00850A40">
        <w:rPr>
          <w:lang w:eastAsia="en-US"/>
        </w:rPr>
        <w:t xml:space="preserve">. </w:t>
      </w:r>
      <w:r w:rsidR="00B227BC">
        <w:rPr>
          <w:lang w:eastAsia="en-US"/>
        </w:rPr>
        <w:t>T</w:t>
      </w:r>
      <w:r w:rsidR="00D73BAA">
        <w:rPr>
          <w:lang w:eastAsia="en-US"/>
        </w:rPr>
        <w:t>he effective charge on the 12/1</w:t>
      </w:r>
      <w:r w:rsidR="00BA11B8">
        <w:rPr>
          <w:lang w:eastAsia="en-US"/>
        </w:rPr>
        <w:t xml:space="preserve"> Mbps</w:t>
      </w:r>
      <w:r w:rsidR="00D73BAA">
        <w:rPr>
          <w:lang w:eastAsia="en-US"/>
        </w:rPr>
        <w:t xml:space="preserve"> and 25/5 </w:t>
      </w:r>
      <w:r w:rsidR="00BA11B8">
        <w:rPr>
          <w:lang w:eastAsia="en-US"/>
        </w:rPr>
        <w:t xml:space="preserve">Mbps </w:t>
      </w:r>
      <w:r w:rsidR="00D73BAA">
        <w:rPr>
          <w:lang w:eastAsia="en-US"/>
        </w:rPr>
        <w:t>service remain</w:t>
      </w:r>
      <w:r w:rsidR="00B227BC">
        <w:rPr>
          <w:lang w:eastAsia="en-US"/>
        </w:rPr>
        <w:t>s</w:t>
      </w:r>
      <w:r w:rsidR="00D73BAA">
        <w:rPr>
          <w:lang w:eastAsia="en-US"/>
        </w:rPr>
        <w:t xml:space="preserve"> the same as proposed in the </w:t>
      </w:r>
      <w:r w:rsidR="000321B5">
        <w:rPr>
          <w:lang w:eastAsia="en-US"/>
        </w:rPr>
        <w:t>Pricing Consultation Paper 2 (</w:t>
      </w:r>
      <w:r w:rsidR="00D73BAA">
        <w:rPr>
          <w:lang w:eastAsia="en-US"/>
        </w:rPr>
        <w:t>May-22 Roadmap</w:t>
      </w:r>
      <w:r w:rsidR="000321B5">
        <w:rPr>
          <w:lang w:eastAsia="en-US"/>
        </w:rPr>
        <w:t>)</w:t>
      </w:r>
      <w:r w:rsidR="00D73BAA">
        <w:rPr>
          <w:lang w:eastAsia="en-US"/>
        </w:rPr>
        <w:t xml:space="preserve">. </w:t>
      </w:r>
    </w:p>
    <w:p w14:paraId="08F4D080" w14:textId="45766C5F" w:rsidR="002022EB" w:rsidRDefault="002921B1" w:rsidP="00D73BAA">
      <w:pPr>
        <w:jc w:val="both"/>
        <w:rPr>
          <w:lang w:eastAsia="en-US"/>
        </w:rPr>
      </w:pPr>
      <w:r w:rsidRPr="00B765FF">
        <w:rPr>
          <w:lang w:eastAsia="en-US"/>
        </w:rPr>
        <w:t xml:space="preserve">The effective charge </w:t>
      </w:r>
      <w:r>
        <w:rPr>
          <w:lang w:eastAsia="en-US"/>
        </w:rPr>
        <w:t>for</w:t>
      </w:r>
      <w:r w:rsidRPr="00B765FF">
        <w:rPr>
          <w:lang w:eastAsia="en-US"/>
        </w:rPr>
        <w:t xml:space="preserve"> the 50/20 Mbps service in the May-22 Roadmap is $45, with 2.65 Mbps of CVC inclusions. As part of </w:t>
      </w:r>
      <w:r>
        <w:rPr>
          <w:lang w:eastAsia="en-US"/>
        </w:rPr>
        <w:t>the pricing in Construct 2</w:t>
      </w:r>
      <w:r w:rsidRPr="00B765FF">
        <w:rPr>
          <w:lang w:eastAsia="en-US"/>
        </w:rPr>
        <w:t>, n</w:t>
      </w:r>
      <w:r w:rsidR="00850A40" w:rsidRPr="00B765FF">
        <w:rPr>
          <w:lang w:eastAsia="en-US"/>
        </w:rPr>
        <w:t xml:space="preserve">bn has proposed to increase the effective charge </w:t>
      </w:r>
      <w:r w:rsidRPr="00B765FF">
        <w:rPr>
          <w:lang w:eastAsia="en-US"/>
        </w:rPr>
        <w:t>to</w:t>
      </w:r>
      <w:r w:rsidR="00850A40" w:rsidRPr="00B765FF">
        <w:rPr>
          <w:lang w:eastAsia="en-US"/>
        </w:rPr>
        <w:t xml:space="preserve"> $50, whilst providing </w:t>
      </w:r>
      <w:r w:rsidRPr="00B765FF">
        <w:rPr>
          <w:lang w:eastAsia="en-US"/>
        </w:rPr>
        <w:t xml:space="preserve">3 Mbps of CVC </w:t>
      </w:r>
      <w:r w:rsidRPr="002921B1">
        <w:rPr>
          <w:lang w:eastAsia="en-US"/>
        </w:rPr>
        <w:t>inclusions</w:t>
      </w:r>
      <w:r w:rsidRPr="00B765FF">
        <w:rPr>
          <w:lang w:eastAsia="en-US"/>
        </w:rPr>
        <w:t xml:space="preserve">. </w:t>
      </w:r>
      <w:r w:rsidR="00D73BAA" w:rsidRPr="00B765FF">
        <w:rPr>
          <w:lang w:eastAsia="en-US"/>
        </w:rPr>
        <w:t xml:space="preserve">ACCAN </w:t>
      </w:r>
      <w:r w:rsidR="00E515F0" w:rsidRPr="00B765FF">
        <w:rPr>
          <w:lang w:eastAsia="en-US"/>
        </w:rPr>
        <w:t xml:space="preserve">considers </w:t>
      </w:r>
      <w:r w:rsidR="00E43273" w:rsidRPr="00B765FF">
        <w:rPr>
          <w:lang w:eastAsia="en-US"/>
        </w:rPr>
        <w:t>that the</w:t>
      </w:r>
      <w:r w:rsidR="00D73BAA" w:rsidRPr="00B765FF">
        <w:rPr>
          <w:lang w:eastAsia="en-US"/>
        </w:rPr>
        <w:t xml:space="preserve"> price for this service </w:t>
      </w:r>
      <w:r w:rsidR="00AA05A5" w:rsidRPr="00B765FF">
        <w:rPr>
          <w:lang w:eastAsia="en-US"/>
        </w:rPr>
        <w:t xml:space="preserve">should </w:t>
      </w:r>
      <w:r w:rsidR="00D73BAA" w:rsidRPr="00B765FF">
        <w:rPr>
          <w:lang w:eastAsia="en-US"/>
        </w:rPr>
        <w:t>remain as proposed in the May-22 Roadmap</w:t>
      </w:r>
      <w:r>
        <w:rPr>
          <w:lang w:eastAsia="en-US"/>
        </w:rPr>
        <w:t>. It would be cheaper for RSPs to purchase the bundle on offer in the May-22 Roadmap</w:t>
      </w:r>
      <w:r w:rsidR="0076469D">
        <w:rPr>
          <w:lang w:eastAsia="en-US"/>
        </w:rPr>
        <w:t xml:space="preserve"> at $45</w:t>
      </w:r>
      <w:r>
        <w:rPr>
          <w:lang w:eastAsia="en-US"/>
        </w:rPr>
        <w:t xml:space="preserve">, and provision an extra 0.35 Mbps to bring CVC inclusions up to 3 Mbps at an additional cost of </w:t>
      </w:r>
      <w:r w:rsidR="009B5493" w:rsidRPr="00B765FF">
        <w:rPr>
          <w:lang w:eastAsia="en-US"/>
        </w:rPr>
        <w:t>$2.80 (0.35 x $8)</w:t>
      </w:r>
      <w:r>
        <w:rPr>
          <w:lang w:eastAsia="en-US"/>
        </w:rPr>
        <w:t xml:space="preserve"> than to purchase the $50 bundle proposed in this pricing construct. </w:t>
      </w:r>
      <w:r w:rsidR="00B765FF">
        <w:rPr>
          <w:lang w:eastAsia="en-US"/>
        </w:rPr>
        <w:t>Therefore,</w:t>
      </w:r>
      <w:r>
        <w:rPr>
          <w:lang w:eastAsia="en-US"/>
        </w:rPr>
        <w:t xml:space="preserve"> the</w:t>
      </w:r>
      <w:r w:rsidR="009B5493" w:rsidRPr="00B765FF">
        <w:rPr>
          <w:lang w:eastAsia="en-US"/>
        </w:rPr>
        <w:t xml:space="preserve"> May-22 Roadmap </w:t>
      </w:r>
      <w:r w:rsidR="000321B5" w:rsidRPr="00B765FF">
        <w:rPr>
          <w:lang w:eastAsia="en-US"/>
        </w:rPr>
        <w:t xml:space="preserve">proposed </w:t>
      </w:r>
      <w:r w:rsidR="002B5853" w:rsidRPr="00B765FF">
        <w:rPr>
          <w:lang w:eastAsia="en-US"/>
        </w:rPr>
        <w:t xml:space="preserve">effective charge </w:t>
      </w:r>
      <w:r w:rsidR="000869BA">
        <w:rPr>
          <w:lang w:eastAsia="en-US"/>
        </w:rPr>
        <w:t>and</w:t>
      </w:r>
      <w:r w:rsidR="00B765FF">
        <w:rPr>
          <w:lang w:eastAsia="en-US"/>
        </w:rPr>
        <w:t xml:space="preserve"> </w:t>
      </w:r>
      <w:r w:rsidR="000869BA">
        <w:rPr>
          <w:lang w:eastAsia="en-US"/>
        </w:rPr>
        <w:t>CVC</w:t>
      </w:r>
      <w:r>
        <w:rPr>
          <w:lang w:eastAsia="en-US"/>
        </w:rPr>
        <w:t xml:space="preserve"> inclusions </w:t>
      </w:r>
      <w:r w:rsidR="009B5493" w:rsidRPr="00B765FF">
        <w:rPr>
          <w:lang w:eastAsia="en-US"/>
        </w:rPr>
        <w:t>provid</w:t>
      </w:r>
      <w:r w:rsidR="000321B5" w:rsidRPr="00B765FF">
        <w:rPr>
          <w:lang w:eastAsia="en-US"/>
        </w:rPr>
        <w:t>es</w:t>
      </w:r>
      <w:r w:rsidR="009B5493" w:rsidRPr="00B765FF">
        <w:rPr>
          <w:lang w:eastAsia="en-US"/>
        </w:rPr>
        <w:t xml:space="preserve"> better value </w:t>
      </w:r>
      <w:r w:rsidR="002022EB" w:rsidRPr="00B765FF">
        <w:rPr>
          <w:lang w:eastAsia="en-US"/>
        </w:rPr>
        <w:t>tha</w:t>
      </w:r>
      <w:r w:rsidR="00882BDE" w:rsidRPr="00B765FF">
        <w:rPr>
          <w:lang w:eastAsia="en-US"/>
        </w:rPr>
        <w:t>n</w:t>
      </w:r>
      <w:r w:rsidR="002022EB" w:rsidRPr="00B765FF">
        <w:rPr>
          <w:lang w:eastAsia="en-US"/>
        </w:rPr>
        <w:t xml:space="preserve"> that proposed in construct 2</w:t>
      </w:r>
      <w:r w:rsidR="009B5493" w:rsidRPr="00B765FF">
        <w:rPr>
          <w:lang w:eastAsia="en-US"/>
        </w:rPr>
        <w:t>.</w:t>
      </w:r>
      <w:r w:rsidR="00AA4438">
        <w:rPr>
          <w:lang w:eastAsia="en-US"/>
        </w:rPr>
        <w:t xml:space="preserve"> </w:t>
      </w:r>
    </w:p>
    <w:p w14:paraId="5F8B416D" w14:textId="7A1EAD93" w:rsidR="00E960AD" w:rsidRDefault="002022EB" w:rsidP="00D73BAA">
      <w:pPr>
        <w:jc w:val="both"/>
        <w:rPr>
          <w:lang w:eastAsia="en-US"/>
        </w:rPr>
      </w:pPr>
      <w:bookmarkStart w:id="14" w:name="_Hlk76569681"/>
      <w:r>
        <w:rPr>
          <w:lang w:eastAsia="en-US"/>
        </w:rPr>
        <w:t>Construct 2 also proposes that the overage charge be removed for higher speed tiers (100 Mbps download speeds and higher)</w:t>
      </w:r>
      <w:r w:rsidR="002D399A">
        <w:rPr>
          <w:lang w:eastAsia="en-US"/>
        </w:rPr>
        <w:t>, and</w:t>
      </w:r>
      <w:r w:rsidR="009E61BF">
        <w:rPr>
          <w:lang w:eastAsia="en-US"/>
        </w:rPr>
        <w:t xml:space="preserve"> that</w:t>
      </w:r>
      <w:r w:rsidR="0036674C">
        <w:rPr>
          <w:lang w:eastAsia="en-US"/>
        </w:rPr>
        <w:t xml:space="preserve"> this would be rebalanced with an increase in </w:t>
      </w:r>
      <w:r w:rsidR="00E960AD">
        <w:rPr>
          <w:lang w:eastAsia="en-US"/>
        </w:rPr>
        <w:t xml:space="preserve">the </w:t>
      </w:r>
      <w:r w:rsidR="0036674C">
        <w:rPr>
          <w:lang w:eastAsia="en-US"/>
        </w:rPr>
        <w:t>fixed charge</w:t>
      </w:r>
      <w:r>
        <w:rPr>
          <w:lang w:eastAsia="en-US"/>
        </w:rPr>
        <w:t xml:space="preserve">. </w:t>
      </w:r>
    </w:p>
    <w:bookmarkEnd w:id="14"/>
    <w:p w14:paraId="3FC5D117" w14:textId="0C249125" w:rsidR="0036674C" w:rsidRDefault="0036674C" w:rsidP="00D73BAA">
      <w:pPr>
        <w:jc w:val="both"/>
        <w:rPr>
          <w:lang w:eastAsia="en-US"/>
        </w:rPr>
      </w:pPr>
      <w:r>
        <w:rPr>
          <w:lang w:eastAsia="en-US"/>
        </w:rPr>
        <w:t xml:space="preserve">Retaining the variable charges on the lower speed tier will allow retailers to continue offering limited data allowances which are currently in the market. However, ACCAN would like to understand what proportion of 50/20 Mbps services are sold as unlimited plans. If </w:t>
      </w:r>
      <w:r w:rsidR="00E43273">
        <w:rPr>
          <w:lang w:eastAsia="en-US"/>
        </w:rPr>
        <w:t>the majority</w:t>
      </w:r>
      <w:r>
        <w:rPr>
          <w:lang w:eastAsia="en-US"/>
        </w:rPr>
        <w:t xml:space="preserve"> of 50/20 Mbps services are sold as unlimited data plans, this construct may not resolve the issue of CVC management and cost uncertainty</w:t>
      </w:r>
      <w:r w:rsidR="00FB7D7F">
        <w:rPr>
          <w:lang w:eastAsia="en-US"/>
        </w:rPr>
        <w:t xml:space="preserve"> associated with that speed tier</w:t>
      </w:r>
      <w:r>
        <w:rPr>
          <w:lang w:eastAsia="en-US"/>
        </w:rPr>
        <w:t xml:space="preserve">. As this is the most popular service, it is important that the price construct is suitable. </w:t>
      </w:r>
    </w:p>
    <w:p w14:paraId="4DD37B28" w14:textId="4DC70AC8" w:rsidR="009B5493" w:rsidRDefault="00FD1670" w:rsidP="00D73BAA">
      <w:pPr>
        <w:jc w:val="both"/>
        <w:rPr>
          <w:lang w:eastAsia="en-US"/>
        </w:rPr>
      </w:pPr>
      <w:r>
        <w:rPr>
          <w:lang w:eastAsia="en-US"/>
        </w:rPr>
        <w:t xml:space="preserve">To better support this </w:t>
      </w:r>
      <w:r w:rsidR="0020220F">
        <w:rPr>
          <w:lang w:eastAsia="en-US"/>
        </w:rPr>
        <w:t>price construct</w:t>
      </w:r>
      <w:r>
        <w:rPr>
          <w:lang w:eastAsia="en-US"/>
        </w:rPr>
        <w:t xml:space="preserve">, ACCAN would like to understand if particular services create greater cost uncertainty for RSPs. If </w:t>
      </w:r>
      <w:r w:rsidR="00FB7D7F">
        <w:rPr>
          <w:lang w:eastAsia="en-US"/>
        </w:rPr>
        <w:t>overall</w:t>
      </w:r>
      <w:r>
        <w:rPr>
          <w:lang w:eastAsia="en-US"/>
        </w:rPr>
        <w:t xml:space="preserve"> higher speed plans require RSPs to purchase overage, </w:t>
      </w:r>
      <w:r w:rsidR="00BA11B8">
        <w:rPr>
          <w:lang w:eastAsia="en-US"/>
        </w:rPr>
        <w:t>and manage CVC,</w:t>
      </w:r>
      <w:r w:rsidR="00FB7D7F">
        <w:rPr>
          <w:lang w:eastAsia="en-US"/>
        </w:rPr>
        <w:t xml:space="preserve"> compared to the lower speed tiers,</w:t>
      </w:r>
      <w:r w:rsidR="00BA11B8">
        <w:rPr>
          <w:lang w:eastAsia="en-US"/>
        </w:rPr>
        <w:t xml:space="preserve"> </w:t>
      </w:r>
      <w:r>
        <w:rPr>
          <w:lang w:eastAsia="en-US"/>
        </w:rPr>
        <w:t>then this option would provide greater cost certainty</w:t>
      </w:r>
      <w:r w:rsidR="00AA4438">
        <w:rPr>
          <w:lang w:eastAsia="en-US"/>
        </w:rPr>
        <w:t>.</w:t>
      </w:r>
      <w:r w:rsidR="0036674C">
        <w:rPr>
          <w:lang w:eastAsia="en-US"/>
        </w:rPr>
        <w:t xml:space="preserve"> </w:t>
      </w:r>
      <w:r w:rsidR="00AA4438">
        <w:rPr>
          <w:lang w:eastAsia="en-US"/>
        </w:rPr>
        <w:t xml:space="preserve">That said, if retailers are finding that the lower speed tiers are the products where greater CVC management is required, then this construct would not be successful in resolving this issue. </w:t>
      </w:r>
    </w:p>
    <w:p w14:paraId="2BC04FCF" w14:textId="773BD167" w:rsidR="001B5BA8" w:rsidRDefault="001B5BA8" w:rsidP="001B5BA8">
      <w:pPr>
        <w:pStyle w:val="Heading4"/>
      </w:pPr>
      <w:r>
        <w:t>Construct 3</w:t>
      </w:r>
    </w:p>
    <w:p w14:paraId="2AAD4BE0" w14:textId="23B3DDFE" w:rsidR="00730252" w:rsidRDefault="00AA4438" w:rsidP="000E2FDE">
      <w:pPr>
        <w:jc w:val="both"/>
        <w:rPr>
          <w:lang w:eastAsia="en-US"/>
        </w:rPr>
      </w:pPr>
      <w:r>
        <w:rPr>
          <w:lang w:eastAsia="en-US"/>
        </w:rPr>
        <w:t>Construct 3 proposes that all CVC charges are removed and AVC charges increase</w:t>
      </w:r>
      <w:r w:rsidR="00B872EB">
        <w:rPr>
          <w:lang w:eastAsia="en-US"/>
        </w:rPr>
        <w:t>.</w:t>
      </w:r>
      <w:r w:rsidR="0036674C">
        <w:rPr>
          <w:lang w:eastAsia="en-US"/>
        </w:rPr>
        <w:t xml:space="preserve"> </w:t>
      </w:r>
      <w:r w:rsidR="00730252">
        <w:rPr>
          <w:lang w:eastAsia="en-US"/>
        </w:rPr>
        <w:t xml:space="preserve">Table 1 shows the price impact when overage </w:t>
      </w:r>
      <w:r w:rsidR="003A2763">
        <w:rPr>
          <w:lang w:eastAsia="en-US"/>
        </w:rPr>
        <w:t>charges are</w:t>
      </w:r>
      <w:r w:rsidR="00730252">
        <w:rPr>
          <w:lang w:eastAsia="en-US"/>
        </w:rPr>
        <w:t xml:space="preserve"> considered</w:t>
      </w:r>
      <w:r w:rsidR="00AF6B9E">
        <w:rPr>
          <w:lang w:eastAsia="en-US"/>
        </w:rPr>
        <w:t>,</w:t>
      </w:r>
      <w:r w:rsidR="00730252">
        <w:rPr>
          <w:lang w:eastAsia="en-US"/>
        </w:rPr>
        <w:t xml:space="preserve"> by comparing the estimated wholesale charge of </w:t>
      </w:r>
      <w:r w:rsidR="00730252">
        <w:rPr>
          <w:lang w:eastAsia="en-US"/>
        </w:rPr>
        <w:lastRenderedPageBreak/>
        <w:t xml:space="preserve">the May-22 Roadmap </w:t>
      </w:r>
      <w:r w:rsidR="00D7740D">
        <w:rPr>
          <w:lang w:eastAsia="en-US"/>
        </w:rPr>
        <w:t xml:space="preserve">provided in the discussion paper, </w:t>
      </w:r>
      <w:r w:rsidR="00730252">
        <w:rPr>
          <w:lang w:eastAsia="en-US"/>
        </w:rPr>
        <w:t xml:space="preserve">and the fixed charge in an AVC-only construct. It is unclear why the entry level service must increase by $5, a 17% increase in the </w:t>
      </w:r>
      <w:r w:rsidR="0020220F">
        <w:rPr>
          <w:lang w:eastAsia="en-US"/>
        </w:rPr>
        <w:t>estimated wholesale charge</w:t>
      </w:r>
      <w:r w:rsidR="00730252">
        <w:rPr>
          <w:lang w:eastAsia="en-US"/>
        </w:rPr>
        <w:t xml:space="preserve"> and the 25/5 Mbps service will see a 5 - 18% increase</w:t>
      </w:r>
      <w:r w:rsidR="00F176EE">
        <w:rPr>
          <w:lang w:eastAsia="en-US"/>
        </w:rPr>
        <w:t xml:space="preserve">. </w:t>
      </w:r>
      <w:r w:rsidR="007D6970">
        <w:rPr>
          <w:lang w:eastAsia="en-US"/>
        </w:rPr>
        <w:t xml:space="preserve">At the same </w:t>
      </w:r>
      <w:r w:rsidR="00E43273">
        <w:rPr>
          <w:lang w:eastAsia="en-US"/>
        </w:rPr>
        <w:t>time some</w:t>
      </w:r>
      <w:r w:rsidR="00730252">
        <w:rPr>
          <w:lang w:eastAsia="en-US"/>
        </w:rPr>
        <w:t xml:space="preserve"> of the higher speed tiers (Home Superfast and Home Ultrafast) could see a reduction in the effective charge. </w:t>
      </w:r>
    </w:p>
    <w:p w14:paraId="34DF51C6" w14:textId="6BB9291D" w:rsidR="0036674C" w:rsidRPr="0036674C" w:rsidRDefault="0036674C" w:rsidP="0036674C">
      <w:pPr>
        <w:pStyle w:val="Caption"/>
        <w:rPr>
          <w:sz w:val="22"/>
          <w:szCs w:val="22"/>
        </w:rPr>
      </w:pPr>
      <w:r w:rsidRPr="0036674C">
        <w:rPr>
          <w:sz w:val="22"/>
          <w:szCs w:val="22"/>
        </w:rPr>
        <w:t xml:space="preserve">Table </w:t>
      </w:r>
      <w:r w:rsidRPr="0036674C">
        <w:rPr>
          <w:sz w:val="22"/>
          <w:szCs w:val="22"/>
        </w:rPr>
        <w:fldChar w:fldCharType="begin"/>
      </w:r>
      <w:r w:rsidRPr="0036674C">
        <w:rPr>
          <w:sz w:val="22"/>
          <w:szCs w:val="22"/>
        </w:rPr>
        <w:instrText xml:space="preserve"> SEQ Table \* ARABIC </w:instrText>
      </w:r>
      <w:r w:rsidRPr="0036674C">
        <w:rPr>
          <w:sz w:val="22"/>
          <w:szCs w:val="22"/>
        </w:rPr>
        <w:fldChar w:fldCharType="separate"/>
      </w:r>
      <w:r w:rsidR="00110D69">
        <w:rPr>
          <w:noProof/>
          <w:sz w:val="22"/>
          <w:szCs w:val="22"/>
        </w:rPr>
        <w:t>1</w:t>
      </w:r>
      <w:r w:rsidRPr="0036674C">
        <w:rPr>
          <w:sz w:val="22"/>
          <w:szCs w:val="22"/>
        </w:rPr>
        <w:fldChar w:fldCharType="end"/>
      </w:r>
      <w:r w:rsidRPr="0036674C">
        <w:rPr>
          <w:sz w:val="22"/>
          <w:szCs w:val="22"/>
        </w:rPr>
        <w:t xml:space="preserve"> </w:t>
      </w:r>
      <w:r w:rsidR="00E960AD">
        <w:rPr>
          <w:sz w:val="22"/>
          <w:szCs w:val="22"/>
        </w:rPr>
        <w:t>Comparison of AVC-only pricing construct with the current May-22 Roadmap estimated charges</w:t>
      </w:r>
    </w:p>
    <w:tbl>
      <w:tblPr>
        <w:tblStyle w:val="ACCANtable"/>
        <w:tblW w:w="0" w:type="auto"/>
        <w:tblLayout w:type="fixed"/>
        <w:tblLook w:val="04A0" w:firstRow="1" w:lastRow="0" w:firstColumn="1" w:lastColumn="0" w:noHBand="0" w:noVBand="1"/>
      </w:tblPr>
      <w:tblGrid>
        <w:gridCol w:w="1265"/>
        <w:gridCol w:w="1870"/>
        <w:gridCol w:w="1229"/>
        <w:gridCol w:w="3286"/>
        <w:gridCol w:w="1366"/>
      </w:tblGrid>
      <w:tr w:rsidR="004F33DC" w:rsidRPr="004F33DC" w14:paraId="2B2C687D" w14:textId="77777777" w:rsidTr="006667BC">
        <w:trPr>
          <w:cnfStyle w:val="100000000000" w:firstRow="1" w:lastRow="0" w:firstColumn="0" w:lastColumn="0" w:oddVBand="0" w:evenVBand="0" w:oddHBand="0" w:evenHBand="0" w:firstRowFirstColumn="0" w:firstRowLastColumn="0" w:lastRowFirstColumn="0" w:lastRowLastColumn="0"/>
          <w:trHeight w:val="300"/>
        </w:trPr>
        <w:tc>
          <w:tcPr>
            <w:tcW w:w="1265" w:type="dxa"/>
            <w:noWrap/>
            <w:hideMark/>
          </w:tcPr>
          <w:p w14:paraId="01DCD883" w14:textId="0B13E65C" w:rsidR="001374F1" w:rsidRPr="00E43273" w:rsidRDefault="003A2763" w:rsidP="003A2763">
            <w:pPr>
              <w:jc w:val="center"/>
              <w:rPr>
                <w:rFonts w:eastAsia="Times New Roman"/>
                <w:b w:val="0"/>
                <w:bCs/>
              </w:rPr>
            </w:pPr>
            <w:r w:rsidRPr="00B722F7">
              <w:rPr>
                <w:rFonts w:eastAsia="Times New Roman"/>
                <w:bCs/>
              </w:rPr>
              <w:t>Bundle</w:t>
            </w:r>
          </w:p>
        </w:tc>
        <w:tc>
          <w:tcPr>
            <w:tcW w:w="1870" w:type="dxa"/>
            <w:noWrap/>
            <w:hideMark/>
          </w:tcPr>
          <w:p w14:paraId="106AD7B5" w14:textId="3A0C0299" w:rsidR="001374F1" w:rsidRPr="00E43273" w:rsidRDefault="001374F1" w:rsidP="003A2763">
            <w:pPr>
              <w:jc w:val="center"/>
              <w:rPr>
                <w:rFonts w:asciiTheme="minorHAnsi" w:eastAsia="Times New Roman" w:hAnsiTheme="minorHAnsi" w:cstheme="minorHAnsi"/>
                <w:b w:val="0"/>
                <w:bCs/>
              </w:rPr>
            </w:pPr>
            <w:r w:rsidRPr="00B722F7">
              <w:rPr>
                <w:rFonts w:asciiTheme="minorHAnsi" w:eastAsia="Times New Roman" w:hAnsiTheme="minorHAnsi" w:cstheme="minorHAnsi"/>
                <w:bCs/>
              </w:rPr>
              <w:t>Estimated wholesale charge May 22 roadmap</w:t>
            </w:r>
            <w:r w:rsidRPr="00E43273">
              <w:rPr>
                <w:rStyle w:val="FootnoteReference"/>
                <w:rFonts w:asciiTheme="minorHAnsi" w:eastAsia="Times New Roman" w:hAnsiTheme="minorHAnsi" w:cstheme="minorHAnsi"/>
                <w:bCs/>
              </w:rPr>
              <w:footnoteReference w:id="11"/>
            </w:r>
          </w:p>
        </w:tc>
        <w:tc>
          <w:tcPr>
            <w:tcW w:w="1229" w:type="dxa"/>
            <w:noWrap/>
            <w:hideMark/>
          </w:tcPr>
          <w:p w14:paraId="6DE2047C" w14:textId="1E038518" w:rsidR="001374F1" w:rsidRPr="00E43273" w:rsidRDefault="001374F1" w:rsidP="003A2763">
            <w:pPr>
              <w:jc w:val="center"/>
              <w:rPr>
                <w:rFonts w:asciiTheme="minorHAnsi" w:eastAsia="Times New Roman" w:hAnsiTheme="minorHAnsi" w:cstheme="minorHAnsi"/>
                <w:b w:val="0"/>
                <w:bCs/>
              </w:rPr>
            </w:pPr>
            <w:r w:rsidRPr="00B722F7">
              <w:rPr>
                <w:rFonts w:asciiTheme="minorHAnsi" w:eastAsia="Times New Roman" w:hAnsiTheme="minorHAnsi" w:cstheme="minorHAnsi"/>
                <w:bCs/>
              </w:rPr>
              <w:t>Construct 3 proposed charge</w:t>
            </w:r>
          </w:p>
        </w:tc>
        <w:tc>
          <w:tcPr>
            <w:tcW w:w="3286" w:type="dxa"/>
            <w:noWrap/>
            <w:hideMark/>
          </w:tcPr>
          <w:p w14:paraId="12D2EFB4" w14:textId="2D4A9BAA" w:rsidR="001374F1" w:rsidRPr="00E43273" w:rsidRDefault="002B22E1" w:rsidP="003A2763">
            <w:pPr>
              <w:jc w:val="center"/>
              <w:rPr>
                <w:rFonts w:asciiTheme="minorHAnsi" w:eastAsia="Times New Roman" w:hAnsiTheme="minorHAnsi" w:cstheme="minorHAnsi"/>
                <w:b w:val="0"/>
                <w:bCs/>
              </w:rPr>
            </w:pPr>
            <w:r w:rsidRPr="00B722F7">
              <w:rPr>
                <w:rFonts w:asciiTheme="minorHAnsi" w:eastAsia="Times New Roman" w:hAnsiTheme="minorHAnsi" w:cstheme="minorHAnsi"/>
                <w:bCs/>
              </w:rPr>
              <w:t>C</w:t>
            </w:r>
            <w:r w:rsidR="001374F1" w:rsidRPr="00B722F7">
              <w:rPr>
                <w:rFonts w:asciiTheme="minorHAnsi" w:eastAsia="Times New Roman" w:hAnsiTheme="minorHAnsi" w:cstheme="minorHAnsi"/>
                <w:bCs/>
              </w:rPr>
              <w:t>ost difference</w:t>
            </w:r>
            <w:r w:rsidRPr="00B722F7">
              <w:rPr>
                <w:rFonts w:asciiTheme="minorHAnsi" w:eastAsia="Times New Roman" w:hAnsiTheme="minorHAnsi" w:cstheme="minorHAnsi"/>
                <w:bCs/>
              </w:rPr>
              <w:t xml:space="preserve"> between </w:t>
            </w:r>
            <w:r w:rsidR="00E960AD" w:rsidRPr="005F05FC">
              <w:rPr>
                <w:rFonts w:asciiTheme="minorHAnsi" w:eastAsia="Times New Roman" w:hAnsiTheme="minorHAnsi" w:cstheme="minorHAnsi"/>
                <w:bCs/>
              </w:rPr>
              <w:t>Construct 3 proposed charge and May-22 Roadmap estimated charge</w:t>
            </w:r>
          </w:p>
        </w:tc>
        <w:tc>
          <w:tcPr>
            <w:tcW w:w="1366" w:type="dxa"/>
            <w:noWrap/>
            <w:hideMark/>
          </w:tcPr>
          <w:p w14:paraId="2E55C327" w14:textId="68C5F5E0" w:rsidR="001374F1" w:rsidRPr="00E43273" w:rsidRDefault="001374F1" w:rsidP="003A2763">
            <w:pPr>
              <w:jc w:val="center"/>
              <w:rPr>
                <w:rFonts w:asciiTheme="minorHAnsi" w:eastAsia="Times New Roman" w:hAnsiTheme="minorHAnsi" w:cstheme="minorHAnsi"/>
                <w:b w:val="0"/>
                <w:bCs/>
              </w:rPr>
            </w:pPr>
            <w:r w:rsidRPr="00B722F7">
              <w:rPr>
                <w:rFonts w:asciiTheme="minorHAnsi" w:eastAsia="Times New Roman" w:hAnsiTheme="minorHAnsi" w:cstheme="minorHAnsi"/>
                <w:bCs/>
              </w:rPr>
              <w:t xml:space="preserve">Percentage </w:t>
            </w:r>
            <w:r w:rsidR="00E960AD" w:rsidRPr="00B722F7">
              <w:rPr>
                <w:rFonts w:asciiTheme="minorHAnsi" w:eastAsia="Times New Roman" w:hAnsiTheme="minorHAnsi" w:cstheme="minorHAnsi"/>
                <w:bCs/>
              </w:rPr>
              <w:t>difference</w:t>
            </w:r>
          </w:p>
        </w:tc>
      </w:tr>
      <w:tr w:rsidR="006667BC" w:rsidRPr="004F33DC" w14:paraId="7F3EB406" w14:textId="77777777" w:rsidTr="006667BC">
        <w:trPr>
          <w:trHeight w:val="300"/>
        </w:trPr>
        <w:tc>
          <w:tcPr>
            <w:tcW w:w="1265" w:type="dxa"/>
            <w:noWrap/>
            <w:hideMark/>
          </w:tcPr>
          <w:p w14:paraId="61B15B86" w14:textId="564DAC65" w:rsidR="006667BC" w:rsidRPr="004F33DC" w:rsidRDefault="006667BC" w:rsidP="003A2763">
            <w:pPr>
              <w:jc w:val="center"/>
              <w:rPr>
                <w:rFonts w:eastAsia="Times New Roman"/>
                <w:bCs/>
              </w:rPr>
            </w:pPr>
            <w:r w:rsidRPr="004F33DC">
              <w:rPr>
                <w:rFonts w:eastAsia="Times New Roman"/>
                <w:bCs/>
              </w:rPr>
              <w:t>ELB [12/1]</w:t>
            </w:r>
          </w:p>
        </w:tc>
        <w:tc>
          <w:tcPr>
            <w:tcW w:w="1870" w:type="dxa"/>
            <w:noWrap/>
            <w:hideMark/>
          </w:tcPr>
          <w:p w14:paraId="6C1114E5" w14:textId="0D7692BB" w:rsidR="006667BC" w:rsidRPr="004F33DC" w:rsidRDefault="006667BC" w:rsidP="003A2763">
            <w:pPr>
              <w:jc w:val="center"/>
              <w:rPr>
                <w:rFonts w:eastAsia="Times New Roman"/>
                <w:bCs/>
              </w:rPr>
            </w:pPr>
            <w:r w:rsidRPr="004F33DC">
              <w:rPr>
                <w:rFonts w:eastAsia="Times New Roman"/>
                <w:bCs/>
              </w:rPr>
              <w:t>$30</w:t>
            </w:r>
          </w:p>
        </w:tc>
        <w:tc>
          <w:tcPr>
            <w:tcW w:w="1229" w:type="dxa"/>
            <w:noWrap/>
            <w:hideMark/>
          </w:tcPr>
          <w:p w14:paraId="5F62D956" w14:textId="37DE0323" w:rsidR="006667BC" w:rsidRPr="004F33DC" w:rsidRDefault="006667BC" w:rsidP="003A2763">
            <w:pPr>
              <w:jc w:val="center"/>
              <w:rPr>
                <w:rFonts w:eastAsia="Times New Roman"/>
                <w:bCs/>
              </w:rPr>
            </w:pPr>
            <w:r w:rsidRPr="004F33DC">
              <w:rPr>
                <w:rFonts w:eastAsia="Times New Roman"/>
                <w:bCs/>
              </w:rPr>
              <w:t>$35</w:t>
            </w:r>
          </w:p>
        </w:tc>
        <w:tc>
          <w:tcPr>
            <w:tcW w:w="3286" w:type="dxa"/>
            <w:noWrap/>
            <w:hideMark/>
          </w:tcPr>
          <w:p w14:paraId="6E389633" w14:textId="276869B4" w:rsidR="006667BC" w:rsidRPr="004F33DC" w:rsidRDefault="006667BC" w:rsidP="006667BC">
            <w:pPr>
              <w:jc w:val="center"/>
              <w:rPr>
                <w:rFonts w:eastAsia="Times New Roman"/>
                <w:bCs/>
              </w:rPr>
            </w:pPr>
            <w:r w:rsidRPr="004F33DC">
              <w:rPr>
                <w:rFonts w:eastAsia="Times New Roman"/>
                <w:bCs/>
              </w:rPr>
              <w:t>$5</w:t>
            </w:r>
          </w:p>
        </w:tc>
        <w:tc>
          <w:tcPr>
            <w:tcW w:w="1366" w:type="dxa"/>
            <w:noWrap/>
            <w:hideMark/>
          </w:tcPr>
          <w:p w14:paraId="481F9908" w14:textId="27DB6B32" w:rsidR="006667BC" w:rsidRPr="004F33DC" w:rsidRDefault="006667BC" w:rsidP="006667BC">
            <w:pPr>
              <w:jc w:val="center"/>
              <w:rPr>
                <w:rFonts w:eastAsia="Times New Roman"/>
                <w:bCs/>
              </w:rPr>
            </w:pPr>
            <w:r w:rsidRPr="00E43273">
              <w:rPr>
                <w:rFonts w:eastAsia="Times New Roman"/>
                <w:bCs/>
              </w:rPr>
              <w:t>17%</w:t>
            </w:r>
          </w:p>
        </w:tc>
      </w:tr>
      <w:tr w:rsidR="004F33DC" w:rsidRPr="004F33DC" w14:paraId="1D9C7A99" w14:textId="77777777" w:rsidTr="006667BC">
        <w:trPr>
          <w:trHeight w:val="300"/>
        </w:trPr>
        <w:tc>
          <w:tcPr>
            <w:tcW w:w="1265" w:type="dxa"/>
            <w:noWrap/>
            <w:hideMark/>
          </w:tcPr>
          <w:p w14:paraId="238D4E81" w14:textId="1F9CCA15" w:rsidR="001374F1" w:rsidRPr="004F33DC" w:rsidRDefault="001374F1" w:rsidP="003A2763">
            <w:pPr>
              <w:jc w:val="center"/>
              <w:rPr>
                <w:rFonts w:eastAsia="Times New Roman"/>
                <w:bCs/>
              </w:rPr>
            </w:pPr>
            <w:r w:rsidRPr="004F33DC">
              <w:rPr>
                <w:rFonts w:eastAsia="Times New Roman"/>
                <w:bCs/>
              </w:rPr>
              <w:t>B25 [25/5, 25/10]</w:t>
            </w:r>
          </w:p>
        </w:tc>
        <w:tc>
          <w:tcPr>
            <w:tcW w:w="1870" w:type="dxa"/>
            <w:noWrap/>
            <w:hideMark/>
          </w:tcPr>
          <w:p w14:paraId="7F097C4F" w14:textId="0F1DBADD" w:rsidR="001374F1" w:rsidRPr="004F33DC" w:rsidRDefault="001374F1" w:rsidP="003A2763">
            <w:pPr>
              <w:jc w:val="center"/>
              <w:rPr>
                <w:rFonts w:eastAsia="Times New Roman"/>
                <w:bCs/>
              </w:rPr>
            </w:pPr>
            <w:r w:rsidRPr="004F33DC">
              <w:rPr>
                <w:rFonts w:eastAsia="Times New Roman"/>
                <w:bCs/>
              </w:rPr>
              <w:t>$38</w:t>
            </w:r>
          </w:p>
        </w:tc>
        <w:tc>
          <w:tcPr>
            <w:tcW w:w="1229" w:type="dxa"/>
            <w:noWrap/>
            <w:hideMark/>
          </w:tcPr>
          <w:p w14:paraId="62C44E99" w14:textId="77BDC2EA" w:rsidR="001374F1" w:rsidRPr="004F33DC" w:rsidRDefault="001374F1" w:rsidP="003A2763">
            <w:pPr>
              <w:jc w:val="center"/>
              <w:rPr>
                <w:rFonts w:eastAsia="Times New Roman"/>
                <w:bCs/>
              </w:rPr>
            </w:pPr>
            <w:r w:rsidRPr="004F33DC">
              <w:rPr>
                <w:rFonts w:eastAsia="Times New Roman"/>
                <w:bCs/>
              </w:rPr>
              <w:t>$40 - $45</w:t>
            </w:r>
          </w:p>
        </w:tc>
        <w:tc>
          <w:tcPr>
            <w:tcW w:w="3286" w:type="dxa"/>
            <w:noWrap/>
            <w:hideMark/>
          </w:tcPr>
          <w:p w14:paraId="722CAC1A" w14:textId="5CDD3443" w:rsidR="001374F1" w:rsidRPr="004F33DC" w:rsidRDefault="001374F1" w:rsidP="003A2763">
            <w:pPr>
              <w:jc w:val="center"/>
              <w:rPr>
                <w:rFonts w:eastAsia="Times New Roman"/>
                <w:bCs/>
              </w:rPr>
            </w:pPr>
            <w:r w:rsidRPr="004F33DC">
              <w:rPr>
                <w:rFonts w:eastAsia="Times New Roman"/>
                <w:bCs/>
              </w:rPr>
              <w:t>$2 - $7</w:t>
            </w:r>
          </w:p>
        </w:tc>
        <w:tc>
          <w:tcPr>
            <w:tcW w:w="1366" w:type="dxa"/>
            <w:noWrap/>
            <w:hideMark/>
          </w:tcPr>
          <w:p w14:paraId="6544DB43" w14:textId="1B42440D" w:rsidR="001374F1" w:rsidRPr="004F33DC" w:rsidRDefault="001374F1" w:rsidP="006667BC">
            <w:pPr>
              <w:jc w:val="center"/>
              <w:rPr>
                <w:rFonts w:eastAsia="Times New Roman"/>
                <w:bCs/>
              </w:rPr>
            </w:pPr>
            <w:r w:rsidRPr="00E43273">
              <w:rPr>
                <w:rFonts w:eastAsia="Times New Roman"/>
                <w:bCs/>
              </w:rPr>
              <w:t>5% - 18%</w:t>
            </w:r>
          </w:p>
        </w:tc>
      </w:tr>
      <w:tr w:rsidR="004F33DC" w:rsidRPr="004F33DC" w14:paraId="33A37C43" w14:textId="77777777" w:rsidTr="006667BC">
        <w:trPr>
          <w:trHeight w:val="300"/>
        </w:trPr>
        <w:tc>
          <w:tcPr>
            <w:tcW w:w="1265" w:type="dxa"/>
            <w:noWrap/>
            <w:hideMark/>
          </w:tcPr>
          <w:p w14:paraId="17181095" w14:textId="32FA3BD3" w:rsidR="001374F1" w:rsidRPr="004F33DC" w:rsidRDefault="001374F1" w:rsidP="003A2763">
            <w:pPr>
              <w:jc w:val="center"/>
              <w:rPr>
                <w:rFonts w:eastAsia="Times New Roman"/>
                <w:bCs/>
              </w:rPr>
            </w:pPr>
            <w:r w:rsidRPr="004F33DC">
              <w:rPr>
                <w:rFonts w:eastAsia="Times New Roman"/>
                <w:bCs/>
              </w:rPr>
              <w:t>B50 [50/20] and Wireless Plus</w:t>
            </w:r>
          </w:p>
        </w:tc>
        <w:tc>
          <w:tcPr>
            <w:tcW w:w="1870" w:type="dxa"/>
            <w:noWrap/>
            <w:hideMark/>
          </w:tcPr>
          <w:p w14:paraId="1140E52B" w14:textId="2D2ADDD6" w:rsidR="001374F1" w:rsidRPr="004F33DC" w:rsidRDefault="001374F1" w:rsidP="003A2763">
            <w:pPr>
              <w:jc w:val="center"/>
              <w:rPr>
                <w:rFonts w:eastAsia="Times New Roman"/>
                <w:bCs/>
              </w:rPr>
            </w:pPr>
            <w:r w:rsidRPr="004F33DC">
              <w:rPr>
                <w:rFonts w:eastAsia="Times New Roman"/>
                <w:bCs/>
              </w:rPr>
              <w:t>$51</w:t>
            </w:r>
          </w:p>
        </w:tc>
        <w:tc>
          <w:tcPr>
            <w:tcW w:w="1229" w:type="dxa"/>
            <w:noWrap/>
            <w:hideMark/>
          </w:tcPr>
          <w:p w14:paraId="1C5922C9" w14:textId="73E0C919" w:rsidR="001374F1" w:rsidRPr="004F33DC" w:rsidRDefault="001374F1" w:rsidP="003A2763">
            <w:pPr>
              <w:jc w:val="center"/>
              <w:rPr>
                <w:rFonts w:eastAsia="Times New Roman"/>
                <w:bCs/>
              </w:rPr>
            </w:pPr>
            <w:r w:rsidRPr="004F33DC">
              <w:rPr>
                <w:rFonts w:eastAsia="Times New Roman"/>
                <w:bCs/>
              </w:rPr>
              <w:t>$51 - $55</w:t>
            </w:r>
          </w:p>
        </w:tc>
        <w:tc>
          <w:tcPr>
            <w:tcW w:w="3286" w:type="dxa"/>
            <w:noWrap/>
            <w:hideMark/>
          </w:tcPr>
          <w:p w14:paraId="459C0288" w14:textId="1F77BCE7" w:rsidR="001374F1" w:rsidRPr="004F33DC" w:rsidRDefault="001374F1" w:rsidP="003A2763">
            <w:pPr>
              <w:jc w:val="center"/>
              <w:rPr>
                <w:rFonts w:eastAsia="Times New Roman"/>
                <w:bCs/>
              </w:rPr>
            </w:pPr>
            <w:r w:rsidRPr="004F33DC">
              <w:rPr>
                <w:rFonts w:eastAsia="Times New Roman"/>
                <w:bCs/>
              </w:rPr>
              <w:t>$0 - $4</w:t>
            </w:r>
          </w:p>
        </w:tc>
        <w:tc>
          <w:tcPr>
            <w:tcW w:w="1366" w:type="dxa"/>
            <w:noWrap/>
            <w:hideMark/>
          </w:tcPr>
          <w:p w14:paraId="36C16098" w14:textId="3B38B6FD" w:rsidR="001374F1" w:rsidRPr="004F33DC" w:rsidRDefault="001374F1" w:rsidP="006667BC">
            <w:pPr>
              <w:jc w:val="center"/>
              <w:rPr>
                <w:rFonts w:eastAsia="Times New Roman"/>
                <w:bCs/>
              </w:rPr>
            </w:pPr>
            <w:r w:rsidRPr="004F33DC">
              <w:rPr>
                <w:rFonts w:eastAsia="Times New Roman"/>
                <w:bCs/>
              </w:rPr>
              <w:t>0% -</w:t>
            </w:r>
            <w:r w:rsidRPr="00E43273">
              <w:rPr>
                <w:rFonts w:eastAsia="Times New Roman"/>
                <w:bCs/>
              </w:rPr>
              <w:t xml:space="preserve"> 8%</w:t>
            </w:r>
          </w:p>
        </w:tc>
      </w:tr>
      <w:tr w:rsidR="004F33DC" w:rsidRPr="004F33DC" w14:paraId="371FC2FB" w14:textId="77777777" w:rsidTr="006667BC">
        <w:trPr>
          <w:trHeight w:val="300"/>
        </w:trPr>
        <w:tc>
          <w:tcPr>
            <w:tcW w:w="1265" w:type="dxa"/>
            <w:noWrap/>
            <w:hideMark/>
          </w:tcPr>
          <w:p w14:paraId="21E2F666" w14:textId="3FAE1F33" w:rsidR="001374F1" w:rsidRPr="004F33DC" w:rsidRDefault="001374F1" w:rsidP="003A2763">
            <w:pPr>
              <w:jc w:val="center"/>
              <w:rPr>
                <w:rFonts w:eastAsia="Times New Roman"/>
                <w:bCs/>
              </w:rPr>
            </w:pPr>
            <w:r w:rsidRPr="004F33DC">
              <w:rPr>
                <w:rFonts w:eastAsia="Times New Roman"/>
                <w:bCs/>
              </w:rPr>
              <w:t>Home Fast [100/20]</w:t>
            </w:r>
          </w:p>
        </w:tc>
        <w:tc>
          <w:tcPr>
            <w:tcW w:w="1870" w:type="dxa"/>
            <w:noWrap/>
            <w:hideMark/>
          </w:tcPr>
          <w:p w14:paraId="1B137BA7" w14:textId="4F96BE96" w:rsidR="001374F1" w:rsidRPr="004F33DC" w:rsidRDefault="001374F1" w:rsidP="003A2763">
            <w:pPr>
              <w:jc w:val="center"/>
              <w:rPr>
                <w:rFonts w:eastAsia="Times New Roman"/>
                <w:bCs/>
              </w:rPr>
            </w:pPr>
            <w:r w:rsidRPr="004F33DC">
              <w:rPr>
                <w:rFonts w:eastAsia="Times New Roman"/>
                <w:bCs/>
              </w:rPr>
              <w:t>$58</w:t>
            </w:r>
          </w:p>
        </w:tc>
        <w:tc>
          <w:tcPr>
            <w:tcW w:w="1229" w:type="dxa"/>
            <w:noWrap/>
            <w:hideMark/>
          </w:tcPr>
          <w:p w14:paraId="7AE7DD53" w14:textId="4F53A557" w:rsidR="001374F1" w:rsidRPr="004F33DC" w:rsidRDefault="001374F1" w:rsidP="003A2763">
            <w:pPr>
              <w:jc w:val="center"/>
              <w:rPr>
                <w:rFonts w:eastAsia="Times New Roman"/>
                <w:bCs/>
              </w:rPr>
            </w:pPr>
            <w:r w:rsidRPr="004F33DC">
              <w:rPr>
                <w:rFonts w:eastAsia="Times New Roman"/>
                <w:bCs/>
              </w:rPr>
              <w:t>$60 - $63</w:t>
            </w:r>
          </w:p>
        </w:tc>
        <w:tc>
          <w:tcPr>
            <w:tcW w:w="3286" w:type="dxa"/>
            <w:noWrap/>
            <w:hideMark/>
          </w:tcPr>
          <w:p w14:paraId="4B41C8FA" w14:textId="651A6412" w:rsidR="001374F1" w:rsidRPr="004F33DC" w:rsidRDefault="001374F1" w:rsidP="003A2763">
            <w:pPr>
              <w:jc w:val="center"/>
              <w:rPr>
                <w:rFonts w:eastAsia="Times New Roman"/>
                <w:bCs/>
              </w:rPr>
            </w:pPr>
            <w:r w:rsidRPr="004F33DC">
              <w:rPr>
                <w:rFonts w:eastAsia="Times New Roman"/>
                <w:bCs/>
              </w:rPr>
              <w:t>$2 - $5</w:t>
            </w:r>
          </w:p>
        </w:tc>
        <w:tc>
          <w:tcPr>
            <w:tcW w:w="1366" w:type="dxa"/>
            <w:noWrap/>
            <w:hideMark/>
          </w:tcPr>
          <w:p w14:paraId="514DF794" w14:textId="72D53F70" w:rsidR="001374F1" w:rsidRPr="004F33DC" w:rsidRDefault="001374F1" w:rsidP="006667BC">
            <w:pPr>
              <w:jc w:val="center"/>
              <w:rPr>
                <w:rFonts w:eastAsia="Times New Roman"/>
                <w:bCs/>
              </w:rPr>
            </w:pPr>
            <w:r w:rsidRPr="00E43273">
              <w:rPr>
                <w:rFonts w:eastAsia="Times New Roman"/>
                <w:bCs/>
              </w:rPr>
              <w:t>3% - 9%</w:t>
            </w:r>
          </w:p>
        </w:tc>
      </w:tr>
      <w:tr w:rsidR="004F33DC" w:rsidRPr="004F33DC" w14:paraId="4A677B03" w14:textId="77777777" w:rsidTr="006667BC">
        <w:trPr>
          <w:trHeight w:val="300"/>
        </w:trPr>
        <w:tc>
          <w:tcPr>
            <w:tcW w:w="1265" w:type="dxa"/>
            <w:noWrap/>
            <w:hideMark/>
          </w:tcPr>
          <w:p w14:paraId="5887E555" w14:textId="40337FB6" w:rsidR="001374F1" w:rsidRPr="004F33DC" w:rsidRDefault="001374F1" w:rsidP="003A2763">
            <w:pPr>
              <w:jc w:val="center"/>
              <w:rPr>
                <w:rFonts w:eastAsia="Times New Roman"/>
                <w:bCs/>
              </w:rPr>
            </w:pPr>
            <w:r w:rsidRPr="004F33DC">
              <w:rPr>
                <w:rFonts w:eastAsia="Times New Roman"/>
                <w:bCs/>
              </w:rPr>
              <w:t>Home Superfast [250/25]</w:t>
            </w:r>
          </w:p>
        </w:tc>
        <w:tc>
          <w:tcPr>
            <w:tcW w:w="1870" w:type="dxa"/>
            <w:noWrap/>
            <w:hideMark/>
          </w:tcPr>
          <w:p w14:paraId="7075D906" w14:textId="407DEFBD" w:rsidR="001374F1" w:rsidRPr="004F33DC" w:rsidRDefault="001374F1" w:rsidP="003A2763">
            <w:pPr>
              <w:jc w:val="center"/>
              <w:rPr>
                <w:rFonts w:eastAsia="Times New Roman"/>
                <w:bCs/>
              </w:rPr>
            </w:pPr>
            <w:r w:rsidRPr="004F33DC">
              <w:rPr>
                <w:rFonts w:eastAsia="Times New Roman"/>
                <w:bCs/>
              </w:rPr>
              <w:t>$78</w:t>
            </w:r>
          </w:p>
        </w:tc>
        <w:tc>
          <w:tcPr>
            <w:tcW w:w="1229" w:type="dxa"/>
            <w:noWrap/>
            <w:hideMark/>
          </w:tcPr>
          <w:p w14:paraId="3292C129" w14:textId="7144791B" w:rsidR="001374F1" w:rsidRPr="004F33DC" w:rsidRDefault="001374F1" w:rsidP="003A2763">
            <w:pPr>
              <w:jc w:val="center"/>
              <w:rPr>
                <w:rFonts w:eastAsia="Times New Roman"/>
                <w:bCs/>
              </w:rPr>
            </w:pPr>
            <w:r w:rsidRPr="004F33DC">
              <w:rPr>
                <w:rFonts w:eastAsia="Times New Roman"/>
                <w:bCs/>
              </w:rPr>
              <w:t>$70 - $76</w:t>
            </w:r>
          </w:p>
        </w:tc>
        <w:tc>
          <w:tcPr>
            <w:tcW w:w="3286" w:type="dxa"/>
            <w:noWrap/>
            <w:hideMark/>
          </w:tcPr>
          <w:p w14:paraId="504303EA" w14:textId="3AD1020C" w:rsidR="001374F1" w:rsidRPr="004F33DC" w:rsidRDefault="001374F1" w:rsidP="003A2763">
            <w:pPr>
              <w:jc w:val="center"/>
              <w:rPr>
                <w:rFonts w:eastAsia="Times New Roman"/>
                <w:bCs/>
              </w:rPr>
            </w:pPr>
            <w:r w:rsidRPr="004F33DC">
              <w:rPr>
                <w:rFonts w:eastAsia="Times New Roman"/>
                <w:bCs/>
              </w:rPr>
              <w:t>-$8. - -$2</w:t>
            </w:r>
          </w:p>
        </w:tc>
        <w:tc>
          <w:tcPr>
            <w:tcW w:w="1366" w:type="dxa"/>
            <w:noWrap/>
            <w:hideMark/>
          </w:tcPr>
          <w:p w14:paraId="55D79477" w14:textId="1477F006" w:rsidR="001374F1" w:rsidRPr="004F33DC" w:rsidRDefault="001374F1" w:rsidP="006667BC">
            <w:pPr>
              <w:jc w:val="center"/>
              <w:rPr>
                <w:rFonts w:eastAsia="Times New Roman"/>
                <w:bCs/>
              </w:rPr>
            </w:pPr>
            <w:r w:rsidRPr="004F33DC">
              <w:rPr>
                <w:rFonts w:eastAsia="Times New Roman"/>
                <w:bCs/>
              </w:rPr>
              <w:t>-10% -</w:t>
            </w:r>
            <w:r w:rsidR="00E960AD" w:rsidRPr="004F33DC">
              <w:rPr>
                <w:rFonts w:eastAsia="Times New Roman"/>
                <w:bCs/>
              </w:rPr>
              <w:t xml:space="preserve"> -</w:t>
            </w:r>
            <w:r w:rsidRPr="004F33DC">
              <w:rPr>
                <w:rFonts w:eastAsia="Times New Roman"/>
                <w:bCs/>
              </w:rPr>
              <w:t>3%</w:t>
            </w:r>
          </w:p>
        </w:tc>
      </w:tr>
      <w:tr w:rsidR="004F33DC" w:rsidRPr="004F33DC" w14:paraId="4CB7E1EB" w14:textId="77777777" w:rsidTr="006667BC">
        <w:trPr>
          <w:trHeight w:val="300"/>
        </w:trPr>
        <w:tc>
          <w:tcPr>
            <w:tcW w:w="1265" w:type="dxa"/>
            <w:noWrap/>
            <w:hideMark/>
          </w:tcPr>
          <w:p w14:paraId="7EE6FD80" w14:textId="0C8AC02E" w:rsidR="001374F1" w:rsidRPr="004F33DC" w:rsidRDefault="001374F1" w:rsidP="003A2763">
            <w:pPr>
              <w:jc w:val="center"/>
              <w:rPr>
                <w:rFonts w:eastAsia="Times New Roman"/>
                <w:bCs/>
              </w:rPr>
            </w:pPr>
            <w:r w:rsidRPr="004F33DC">
              <w:rPr>
                <w:rFonts w:eastAsia="Times New Roman"/>
                <w:bCs/>
              </w:rPr>
              <w:t>Home Ultrafast [1000/50]</w:t>
            </w:r>
          </w:p>
        </w:tc>
        <w:tc>
          <w:tcPr>
            <w:tcW w:w="1870" w:type="dxa"/>
            <w:noWrap/>
            <w:hideMark/>
          </w:tcPr>
          <w:p w14:paraId="7E98086A" w14:textId="3A630066" w:rsidR="001374F1" w:rsidRPr="004F33DC" w:rsidRDefault="001374F1" w:rsidP="003A2763">
            <w:pPr>
              <w:jc w:val="center"/>
              <w:rPr>
                <w:rFonts w:eastAsia="Times New Roman"/>
                <w:bCs/>
              </w:rPr>
            </w:pPr>
            <w:r w:rsidRPr="004F33DC">
              <w:rPr>
                <w:rFonts w:eastAsia="Times New Roman"/>
                <w:bCs/>
              </w:rPr>
              <w:t>$95</w:t>
            </w:r>
          </w:p>
        </w:tc>
        <w:tc>
          <w:tcPr>
            <w:tcW w:w="1229" w:type="dxa"/>
            <w:noWrap/>
            <w:hideMark/>
          </w:tcPr>
          <w:p w14:paraId="57F18B73" w14:textId="3E9B8E69" w:rsidR="001374F1" w:rsidRPr="004F33DC" w:rsidRDefault="001374F1" w:rsidP="003A2763">
            <w:pPr>
              <w:jc w:val="center"/>
              <w:rPr>
                <w:rFonts w:eastAsia="Times New Roman"/>
                <w:bCs/>
              </w:rPr>
            </w:pPr>
            <w:r w:rsidRPr="004F33DC">
              <w:rPr>
                <w:rFonts w:eastAsia="Times New Roman"/>
                <w:bCs/>
              </w:rPr>
              <w:t>$82 - $100</w:t>
            </w:r>
          </w:p>
        </w:tc>
        <w:tc>
          <w:tcPr>
            <w:tcW w:w="3286" w:type="dxa"/>
            <w:noWrap/>
            <w:hideMark/>
          </w:tcPr>
          <w:p w14:paraId="05F02F79" w14:textId="23A24C3D" w:rsidR="001374F1" w:rsidRPr="004F33DC" w:rsidRDefault="001374F1" w:rsidP="003A2763">
            <w:pPr>
              <w:jc w:val="center"/>
              <w:rPr>
                <w:rFonts w:eastAsia="Times New Roman"/>
                <w:bCs/>
              </w:rPr>
            </w:pPr>
            <w:r w:rsidRPr="004F33DC">
              <w:rPr>
                <w:rFonts w:eastAsia="Times New Roman"/>
                <w:bCs/>
              </w:rPr>
              <w:t>-$13 - $5</w:t>
            </w:r>
          </w:p>
        </w:tc>
        <w:tc>
          <w:tcPr>
            <w:tcW w:w="1366" w:type="dxa"/>
            <w:noWrap/>
            <w:hideMark/>
          </w:tcPr>
          <w:p w14:paraId="16F19398" w14:textId="5EC21FE6" w:rsidR="001374F1" w:rsidRPr="004F33DC" w:rsidRDefault="001374F1" w:rsidP="006667BC">
            <w:pPr>
              <w:jc w:val="center"/>
              <w:rPr>
                <w:rFonts w:eastAsia="Times New Roman"/>
                <w:bCs/>
              </w:rPr>
            </w:pPr>
            <w:r w:rsidRPr="004F33DC">
              <w:rPr>
                <w:rFonts w:eastAsia="Times New Roman"/>
                <w:bCs/>
              </w:rPr>
              <w:t xml:space="preserve">-14% - </w:t>
            </w:r>
            <w:r w:rsidRPr="00E43273">
              <w:rPr>
                <w:rFonts w:eastAsia="Times New Roman"/>
                <w:bCs/>
              </w:rPr>
              <w:t>5%</w:t>
            </w:r>
          </w:p>
        </w:tc>
      </w:tr>
      <w:tr w:rsidR="004F33DC" w:rsidRPr="004F33DC" w14:paraId="2008E0ED" w14:textId="77777777" w:rsidTr="006667BC">
        <w:trPr>
          <w:trHeight w:val="300"/>
        </w:trPr>
        <w:tc>
          <w:tcPr>
            <w:tcW w:w="1265" w:type="dxa"/>
            <w:noWrap/>
            <w:hideMark/>
          </w:tcPr>
          <w:p w14:paraId="4562DAF3" w14:textId="3AD75F53" w:rsidR="001374F1" w:rsidRPr="004F33DC" w:rsidRDefault="001374F1" w:rsidP="003A2763">
            <w:pPr>
              <w:jc w:val="center"/>
              <w:rPr>
                <w:rFonts w:eastAsia="Times New Roman"/>
                <w:bCs/>
              </w:rPr>
            </w:pPr>
            <w:r w:rsidRPr="004F33DC">
              <w:rPr>
                <w:rFonts w:eastAsia="Times New Roman"/>
                <w:bCs/>
              </w:rPr>
              <w:t>Premium [100/40]</w:t>
            </w:r>
          </w:p>
        </w:tc>
        <w:tc>
          <w:tcPr>
            <w:tcW w:w="1870" w:type="dxa"/>
            <w:noWrap/>
            <w:hideMark/>
          </w:tcPr>
          <w:p w14:paraId="7C76694D" w14:textId="0FFD9F11" w:rsidR="001374F1" w:rsidRPr="004F33DC" w:rsidRDefault="001374F1" w:rsidP="003A2763">
            <w:pPr>
              <w:jc w:val="center"/>
              <w:rPr>
                <w:rFonts w:eastAsia="Times New Roman"/>
                <w:bCs/>
              </w:rPr>
            </w:pPr>
            <w:r w:rsidRPr="004F33DC">
              <w:rPr>
                <w:rFonts w:eastAsia="Times New Roman"/>
                <w:bCs/>
              </w:rPr>
              <w:t>$ 65.00</w:t>
            </w:r>
          </w:p>
        </w:tc>
        <w:tc>
          <w:tcPr>
            <w:tcW w:w="1229" w:type="dxa"/>
            <w:noWrap/>
            <w:hideMark/>
          </w:tcPr>
          <w:p w14:paraId="1164B534" w14:textId="23E1FD46" w:rsidR="001374F1" w:rsidRPr="004F33DC" w:rsidRDefault="001374F1" w:rsidP="003A2763">
            <w:pPr>
              <w:jc w:val="center"/>
              <w:rPr>
                <w:rFonts w:eastAsia="Times New Roman"/>
                <w:bCs/>
              </w:rPr>
            </w:pPr>
            <w:r w:rsidRPr="004F33DC">
              <w:rPr>
                <w:rFonts w:eastAsia="Times New Roman"/>
                <w:bCs/>
              </w:rPr>
              <w:t>$67 - $68</w:t>
            </w:r>
          </w:p>
        </w:tc>
        <w:tc>
          <w:tcPr>
            <w:tcW w:w="3286" w:type="dxa"/>
            <w:noWrap/>
            <w:hideMark/>
          </w:tcPr>
          <w:p w14:paraId="0A275CFC" w14:textId="0C52E2D3" w:rsidR="001374F1" w:rsidRPr="004F33DC" w:rsidRDefault="001374F1" w:rsidP="003A2763">
            <w:pPr>
              <w:jc w:val="center"/>
              <w:rPr>
                <w:rFonts w:eastAsia="Times New Roman"/>
                <w:bCs/>
              </w:rPr>
            </w:pPr>
            <w:r w:rsidRPr="004F33DC">
              <w:rPr>
                <w:rFonts w:eastAsia="Times New Roman"/>
                <w:bCs/>
              </w:rPr>
              <w:t>$2 - $3</w:t>
            </w:r>
          </w:p>
        </w:tc>
        <w:tc>
          <w:tcPr>
            <w:tcW w:w="1366" w:type="dxa"/>
            <w:noWrap/>
            <w:hideMark/>
          </w:tcPr>
          <w:p w14:paraId="28B76E22" w14:textId="6A4813B6" w:rsidR="001374F1" w:rsidRPr="004F33DC" w:rsidRDefault="001374F1" w:rsidP="006667BC">
            <w:pPr>
              <w:jc w:val="center"/>
              <w:rPr>
                <w:rFonts w:eastAsia="Times New Roman"/>
                <w:bCs/>
              </w:rPr>
            </w:pPr>
            <w:r w:rsidRPr="00E43273">
              <w:rPr>
                <w:rFonts w:eastAsia="Times New Roman"/>
                <w:bCs/>
              </w:rPr>
              <w:t>3% - 5%</w:t>
            </w:r>
          </w:p>
        </w:tc>
      </w:tr>
    </w:tbl>
    <w:p w14:paraId="617FD65A" w14:textId="2DFD62FD" w:rsidR="00C32BC0" w:rsidRDefault="00C32BC0" w:rsidP="000E2FDE">
      <w:pPr>
        <w:jc w:val="both"/>
        <w:rPr>
          <w:lang w:eastAsia="en-US"/>
        </w:rPr>
      </w:pPr>
      <w:r>
        <w:rPr>
          <w:lang w:eastAsia="en-US"/>
        </w:rPr>
        <w:t>Nbn has expressed concern that these changes would reduce the affordability of nbn for low income consumers, and that 69,000 – 170,000 end</w:t>
      </w:r>
      <w:r w:rsidR="00826B23">
        <w:rPr>
          <w:lang w:eastAsia="en-US"/>
        </w:rPr>
        <w:t xml:space="preserve"> </w:t>
      </w:r>
      <w:r>
        <w:rPr>
          <w:lang w:eastAsia="en-US"/>
        </w:rPr>
        <w:t xml:space="preserve">users would no longer be able to afford to take up the service. Thus, the pricing proposals under this construct have been adjusted to account for potential losses in nbn take up. ACCAN questions whether the removal of CVC charges has to necessarily result in increased prices for the lowest speed tiers. </w:t>
      </w:r>
    </w:p>
    <w:p w14:paraId="3483D641" w14:textId="762E18F1" w:rsidR="002B22E1" w:rsidRDefault="00085E32" w:rsidP="000E2FDE">
      <w:pPr>
        <w:jc w:val="both"/>
        <w:rPr>
          <w:lang w:eastAsia="en-US"/>
        </w:rPr>
      </w:pPr>
      <w:r>
        <w:rPr>
          <w:lang w:eastAsia="en-US"/>
        </w:rPr>
        <w:t xml:space="preserve">ACCAN considers that if CVC charges were to be removed, the rebalancing of prices necessary to ensure the construct change is revenue neutral should not disproportionately impact the slower speed </w:t>
      </w:r>
      <w:r>
        <w:rPr>
          <w:lang w:eastAsia="en-US"/>
        </w:rPr>
        <w:lastRenderedPageBreak/>
        <w:t>tiers.</w:t>
      </w:r>
      <w:r w:rsidR="005547CB">
        <w:rPr>
          <w:lang w:eastAsia="en-US"/>
        </w:rPr>
        <w:t xml:space="preserve"> This is important as the consumer impact of increasing the price of speed tiers 12-50 Mbps will </w:t>
      </w:r>
      <w:r w:rsidR="00E13DB7">
        <w:rPr>
          <w:lang w:eastAsia="en-US"/>
        </w:rPr>
        <w:t xml:space="preserve">be significant considering this covers </w:t>
      </w:r>
      <w:r w:rsidR="005547CB">
        <w:rPr>
          <w:lang w:eastAsia="en-US"/>
        </w:rPr>
        <w:t>81% of nbn’s residential services in operation.</w:t>
      </w:r>
      <w:r w:rsidR="00E813A1">
        <w:rPr>
          <w:rStyle w:val="FootnoteReference"/>
          <w:lang w:eastAsia="en-US"/>
        </w:rPr>
        <w:footnoteReference w:id="12"/>
      </w:r>
      <w:r>
        <w:rPr>
          <w:lang w:eastAsia="en-US"/>
        </w:rPr>
        <w:t xml:space="preserve"> </w:t>
      </w:r>
      <w:r w:rsidR="002B22E1">
        <w:rPr>
          <w:lang w:eastAsia="en-US"/>
        </w:rPr>
        <w:t>Nbn has currently not explained how it came to the proposed charges in construct 3</w:t>
      </w:r>
      <w:r>
        <w:rPr>
          <w:lang w:eastAsia="en-US"/>
        </w:rPr>
        <w:t>.</w:t>
      </w:r>
    </w:p>
    <w:p w14:paraId="4CDD5C18" w14:textId="5677CBED" w:rsidR="00AA4438" w:rsidRDefault="00085E32" w:rsidP="000E2FDE">
      <w:pPr>
        <w:jc w:val="both"/>
        <w:rPr>
          <w:lang w:eastAsia="en-US"/>
        </w:rPr>
      </w:pPr>
      <w:r>
        <w:rPr>
          <w:lang w:eastAsia="en-US"/>
        </w:rPr>
        <w:t>If the</w:t>
      </w:r>
      <w:r w:rsidR="002B22E1">
        <w:rPr>
          <w:lang w:eastAsia="en-US"/>
        </w:rPr>
        <w:t xml:space="preserve"> nbn </w:t>
      </w:r>
      <w:r>
        <w:rPr>
          <w:lang w:eastAsia="en-US"/>
        </w:rPr>
        <w:t>were to</w:t>
      </w:r>
      <w:r w:rsidR="002B22E1">
        <w:rPr>
          <w:lang w:eastAsia="en-US"/>
        </w:rPr>
        <w:t xml:space="preserve"> consider </w:t>
      </w:r>
      <w:r w:rsidR="000E3B03">
        <w:rPr>
          <w:lang w:eastAsia="en-US"/>
        </w:rPr>
        <w:t xml:space="preserve">a </w:t>
      </w:r>
      <w:r w:rsidR="002B22E1">
        <w:rPr>
          <w:lang w:eastAsia="en-US"/>
        </w:rPr>
        <w:t>pricing proposal that removes the CVC charge, but has minimal impact on the slow</w:t>
      </w:r>
      <w:r w:rsidR="00730252">
        <w:rPr>
          <w:lang w:eastAsia="en-US"/>
        </w:rPr>
        <w:t>er</w:t>
      </w:r>
      <w:r w:rsidR="002B22E1">
        <w:rPr>
          <w:lang w:eastAsia="en-US"/>
        </w:rPr>
        <w:t xml:space="preserve"> speed tiers</w:t>
      </w:r>
      <w:r>
        <w:rPr>
          <w:lang w:eastAsia="en-US"/>
        </w:rPr>
        <w:t xml:space="preserve"> this would reduce</w:t>
      </w:r>
      <w:r w:rsidR="002B22E1">
        <w:rPr>
          <w:lang w:eastAsia="en-US"/>
        </w:rPr>
        <w:t xml:space="preserve"> the concern </w:t>
      </w:r>
      <w:r>
        <w:rPr>
          <w:lang w:eastAsia="en-US"/>
        </w:rPr>
        <w:t xml:space="preserve">regarding </w:t>
      </w:r>
      <w:r w:rsidR="002B22E1">
        <w:rPr>
          <w:lang w:eastAsia="en-US"/>
        </w:rPr>
        <w:t xml:space="preserve">affordability and take up of service. This way, the pricing proposals do not need to account for losses in nbn take up. This would allow for a more meaningful discussion around how </w:t>
      </w:r>
      <w:r w:rsidR="00D7740D">
        <w:rPr>
          <w:lang w:eastAsia="en-US"/>
        </w:rPr>
        <w:t>an</w:t>
      </w:r>
      <w:r w:rsidR="002B22E1">
        <w:rPr>
          <w:lang w:eastAsia="en-US"/>
        </w:rPr>
        <w:t xml:space="preserve"> AVC</w:t>
      </w:r>
      <w:r w:rsidR="00730252">
        <w:rPr>
          <w:lang w:eastAsia="en-US"/>
        </w:rPr>
        <w:t>-</w:t>
      </w:r>
      <w:r w:rsidR="002B22E1">
        <w:rPr>
          <w:lang w:eastAsia="en-US"/>
        </w:rPr>
        <w:t xml:space="preserve">only pricing construct could look. </w:t>
      </w:r>
      <w:r w:rsidR="003F7038">
        <w:rPr>
          <w:lang w:eastAsia="en-US"/>
        </w:rPr>
        <w:t>ACCAN recommends:</w:t>
      </w:r>
    </w:p>
    <w:p w14:paraId="1CD2EFCF" w14:textId="594B84D8" w:rsidR="003F7038" w:rsidRDefault="003F7038" w:rsidP="00826B23">
      <w:pPr>
        <w:pStyle w:val="Recommendation"/>
        <w:jc w:val="both"/>
        <w:rPr>
          <w:rStyle w:val="Strong"/>
          <w:b w:val="0"/>
          <w:bCs w:val="0"/>
        </w:rPr>
      </w:pPr>
      <w:r w:rsidRPr="00BE0389">
        <w:rPr>
          <w:rStyle w:val="Strong"/>
          <w:b w:val="0"/>
          <w:bCs w:val="0"/>
        </w:rPr>
        <w:t xml:space="preserve">That any pricing changes are done is such a manner that ensures </w:t>
      </w:r>
      <w:r w:rsidR="00E13DB7">
        <w:rPr>
          <w:rStyle w:val="Strong"/>
          <w:b w:val="0"/>
          <w:bCs w:val="0"/>
        </w:rPr>
        <w:t>lower speed plans</w:t>
      </w:r>
      <w:r w:rsidRPr="00BE0389">
        <w:rPr>
          <w:rStyle w:val="Strong"/>
          <w:b w:val="0"/>
          <w:bCs w:val="0"/>
        </w:rPr>
        <w:t xml:space="preserve"> are an affordable option for consumers. </w:t>
      </w:r>
    </w:p>
    <w:p w14:paraId="42207CBD" w14:textId="77777777" w:rsidR="00E7790D" w:rsidRPr="00AA4438" w:rsidRDefault="00E7790D" w:rsidP="00E43273"/>
    <w:p w14:paraId="6F8C96D7" w14:textId="26880E69" w:rsidR="00121EE3" w:rsidRDefault="00121EE3" w:rsidP="00121EE3">
      <w:pPr>
        <w:pStyle w:val="Heading3"/>
      </w:pPr>
      <w:bookmarkStart w:id="16" w:name="_Toc78452064"/>
      <w:r>
        <w:t>Pricing construct: design considerations</w:t>
      </w:r>
      <w:bookmarkEnd w:id="16"/>
    </w:p>
    <w:p w14:paraId="4C9D9594" w14:textId="6D81BFD7" w:rsidR="00121EE3" w:rsidRDefault="00B606CF" w:rsidP="00730252">
      <w:pPr>
        <w:jc w:val="both"/>
        <w:rPr>
          <w:lang w:eastAsia="en-US"/>
        </w:rPr>
      </w:pPr>
      <w:r>
        <w:rPr>
          <w:lang w:eastAsia="en-US"/>
        </w:rPr>
        <w:t>ACCAN questions whether nbn’s CVC charge allows the recovery of fixed costs of the nbn in the most efficient manner (</w:t>
      </w:r>
      <w:r w:rsidR="00730252">
        <w:rPr>
          <w:lang w:eastAsia="en-US"/>
        </w:rPr>
        <w:t>i.e.,</w:t>
      </w:r>
      <w:r>
        <w:rPr>
          <w:lang w:eastAsia="en-US"/>
        </w:rPr>
        <w:t xml:space="preserve"> allocative efficiency). Allocative efficiency is achieved where the price is equal to the marginal cost of production.</w:t>
      </w:r>
      <w:r w:rsidR="00434712">
        <w:rPr>
          <w:lang w:eastAsia="en-US"/>
        </w:rPr>
        <w:t xml:space="preserve"> </w:t>
      </w:r>
      <w:r w:rsidR="00730252">
        <w:rPr>
          <w:lang w:eastAsia="en-US"/>
        </w:rPr>
        <w:t xml:space="preserve">ACCAN would be interested to know if </w:t>
      </w:r>
      <w:r>
        <w:rPr>
          <w:lang w:eastAsia="en-US"/>
        </w:rPr>
        <w:t>the CVC charge reflect</w:t>
      </w:r>
      <w:r w:rsidR="00730252">
        <w:rPr>
          <w:lang w:eastAsia="en-US"/>
        </w:rPr>
        <w:t>s</w:t>
      </w:r>
      <w:r>
        <w:rPr>
          <w:lang w:eastAsia="en-US"/>
        </w:rPr>
        <w:t xml:space="preserve"> the marginal cost of producing the </w:t>
      </w:r>
      <w:r w:rsidR="00730252">
        <w:rPr>
          <w:lang w:eastAsia="en-US"/>
        </w:rPr>
        <w:t>service.</w:t>
      </w:r>
      <w:r>
        <w:rPr>
          <w:lang w:eastAsia="en-US"/>
        </w:rPr>
        <w:t xml:space="preserve"> </w:t>
      </w:r>
    </w:p>
    <w:p w14:paraId="383E7796" w14:textId="718C4EE7" w:rsidR="00B00786" w:rsidRDefault="00434712" w:rsidP="00B00786">
      <w:pPr>
        <w:pStyle w:val="Heading4"/>
      </w:pPr>
      <w:r>
        <w:t>Improving accessibility and affordability of broadband for Australians</w:t>
      </w:r>
    </w:p>
    <w:p w14:paraId="4316586B" w14:textId="479ADDEF" w:rsidR="006A284D" w:rsidRDefault="00CA2BE2" w:rsidP="00CA2BE2">
      <w:pPr>
        <w:jc w:val="both"/>
        <w:rPr>
          <w:lang w:eastAsia="en-US"/>
        </w:rPr>
      </w:pPr>
      <w:r>
        <w:rPr>
          <w:lang w:eastAsia="en-US"/>
        </w:rPr>
        <w:t>As</w:t>
      </w:r>
      <w:r w:rsidR="00B00786">
        <w:rPr>
          <w:lang w:eastAsia="en-US"/>
        </w:rPr>
        <w:t xml:space="preserve"> mentioned previously, ACCAN is concerned regarding the affordability of services for certain households. The Accenture research highlights the impact of an average price shock of $120 a year in retail prices for households currently purchasing data capped plans. This is not an outcome ACCAN would want to see, and we recommend that nbn explore alternative pricing arrangements which would not negatively impact the prices of the lowest speed tiers.</w:t>
      </w:r>
      <w:r>
        <w:rPr>
          <w:lang w:eastAsia="en-US"/>
        </w:rPr>
        <w:t xml:space="preserve"> </w:t>
      </w:r>
    </w:p>
    <w:p w14:paraId="67A33560" w14:textId="3EAF68FF" w:rsidR="00CA2BE2" w:rsidRDefault="00CA2BE2" w:rsidP="00CA2BE2">
      <w:pPr>
        <w:jc w:val="both"/>
      </w:pPr>
      <w:r>
        <w:t xml:space="preserve">Additionally, nbn should continue work to develop a product targeted towards low income households. This service is needed now to provide relief to households who are either struggling to stay connected or are excluded from the broadband market altogether. If nbn moves to implement construct 3 with the current proposed prices, the service will be needed even more to ensure households can stay connected. </w:t>
      </w:r>
    </w:p>
    <w:p w14:paraId="6ED304BB" w14:textId="7B08E7C2" w:rsidR="0016204B" w:rsidRPr="00CA2BE2" w:rsidRDefault="003A2763" w:rsidP="00826B23">
      <w:pPr>
        <w:pStyle w:val="Recommendation"/>
        <w:jc w:val="both"/>
      </w:pPr>
      <w:r>
        <w:t xml:space="preserve">Nbn should continue developing </w:t>
      </w:r>
      <w:r w:rsidR="00627248">
        <w:t xml:space="preserve">and implementing </w:t>
      </w:r>
      <w:r>
        <w:t xml:space="preserve">a targeted product aimed at improving affordability of service </w:t>
      </w:r>
      <w:r w:rsidR="00627248">
        <w:t>as initially planned</w:t>
      </w:r>
      <w:r w:rsidR="00D31C15">
        <w:t>,</w:t>
      </w:r>
      <w:r w:rsidR="00627248">
        <w:t xml:space="preserve"> </w:t>
      </w:r>
      <w:r>
        <w:t>as part of the 2021 Pricing Review as well as the SAU variation process.</w:t>
      </w:r>
    </w:p>
    <w:p w14:paraId="586C3551" w14:textId="7B3683AB" w:rsidR="006A284D" w:rsidRDefault="006A284D" w:rsidP="006A284D">
      <w:pPr>
        <w:pStyle w:val="Heading4"/>
      </w:pPr>
      <w:r w:rsidRPr="00E11FBE">
        <w:t>Enabling retail differentiation</w:t>
      </w:r>
    </w:p>
    <w:p w14:paraId="722B2F6D" w14:textId="3CFBB657" w:rsidR="0083403D" w:rsidRDefault="000869BA" w:rsidP="006766A8">
      <w:pPr>
        <w:jc w:val="both"/>
        <w:rPr>
          <w:rFonts w:cstheme="minorHAnsi"/>
        </w:rPr>
      </w:pPr>
      <w:r>
        <w:t>In regard to peak hour performance retail differentiation,</w:t>
      </w:r>
      <w:r w:rsidR="00F45DA7" w:rsidRPr="00B765FF">
        <w:t xml:space="preserve"> </w:t>
      </w:r>
      <w:r>
        <w:rPr>
          <w:rFonts w:cstheme="minorHAnsi"/>
        </w:rPr>
        <w:t>f</w:t>
      </w:r>
      <w:r w:rsidRPr="00C046DB">
        <w:rPr>
          <w:rFonts w:cstheme="minorHAnsi"/>
        </w:rPr>
        <w:t xml:space="preserve">or speeds tiers of 50 Mbps and below it appears that most retailers advertise busy hour speeds as the maximum speeds attainable for that </w:t>
      </w:r>
      <w:r w:rsidRPr="00C046DB">
        <w:rPr>
          <w:rFonts w:cstheme="minorHAnsi"/>
        </w:rPr>
        <w:lastRenderedPageBreak/>
        <w:t>speed tier</w:t>
      </w:r>
      <w:r>
        <w:rPr>
          <w:rFonts w:cstheme="minorHAnsi"/>
        </w:rPr>
        <w:t>. Thus,</w:t>
      </w:r>
      <w:r w:rsidRPr="00C046DB">
        <w:rPr>
          <w:rFonts w:cstheme="minorHAnsi"/>
        </w:rPr>
        <w:t xml:space="preserve"> for the majority of services sold (81%)</w:t>
      </w:r>
      <w:r w:rsidRPr="00C046DB">
        <w:rPr>
          <w:rStyle w:val="FootnoteReference"/>
          <w:rFonts w:cstheme="minorHAnsi"/>
        </w:rPr>
        <w:footnoteReference w:id="13"/>
      </w:r>
      <w:r w:rsidRPr="00C046DB">
        <w:rPr>
          <w:rFonts w:cstheme="minorHAnsi"/>
        </w:rPr>
        <w:t xml:space="preserve"> there is not a lot of diversity regarding how busy hour speeds are retailed.</w:t>
      </w:r>
      <w:r>
        <w:rPr>
          <w:rFonts w:cstheme="minorHAnsi"/>
        </w:rPr>
        <w:t xml:space="preserve"> </w:t>
      </w:r>
      <w:r w:rsidR="0083403D" w:rsidRPr="00C046DB">
        <w:rPr>
          <w:rFonts w:cstheme="minorHAnsi"/>
        </w:rPr>
        <w:t xml:space="preserve">This has likely led to many consumers expecting to experience speeds close to the speed tier they are purchasing at all hours of the day, including </w:t>
      </w:r>
      <w:r w:rsidR="006B7F82">
        <w:rPr>
          <w:rFonts w:cstheme="minorHAnsi"/>
        </w:rPr>
        <w:t xml:space="preserve">during </w:t>
      </w:r>
      <w:r w:rsidR="0083403D" w:rsidRPr="00C046DB">
        <w:rPr>
          <w:rFonts w:cstheme="minorHAnsi"/>
        </w:rPr>
        <w:t>peak hour</w:t>
      </w:r>
      <w:r w:rsidR="006B7F82">
        <w:rPr>
          <w:rFonts w:cstheme="minorHAnsi"/>
        </w:rPr>
        <w:t>s</w:t>
      </w:r>
      <w:r w:rsidR="0083403D" w:rsidRPr="00C046DB">
        <w:rPr>
          <w:rFonts w:cstheme="minorHAnsi"/>
        </w:rPr>
        <w:t xml:space="preserve">. </w:t>
      </w:r>
    </w:p>
    <w:p w14:paraId="7E1FF290" w14:textId="48BB31C5" w:rsidR="00600CDB" w:rsidRPr="00E11FBE" w:rsidRDefault="00F015E5" w:rsidP="006766A8">
      <w:pPr>
        <w:jc w:val="both"/>
      </w:pPr>
      <w:r w:rsidRPr="00B765FF">
        <w:t xml:space="preserve">ACCAN would prefer to see differentiation </w:t>
      </w:r>
      <w:r w:rsidR="00421423" w:rsidRPr="00B765FF">
        <w:t>in regard to</w:t>
      </w:r>
      <w:r w:rsidRPr="00B765FF">
        <w:t xml:space="preserve"> customer service and service standards rather than speeds</w:t>
      </w:r>
      <w:r w:rsidR="008E555A" w:rsidRPr="00B765FF">
        <w:t>. Retail differentiation needs to be designed with the</w:t>
      </w:r>
      <w:r w:rsidR="00D36891">
        <w:t xml:space="preserve"> key</w:t>
      </w:r>
      <w:r w:rsidR="008E555A" w:rsidRPr="00B765FF">
        <w:t xml:space="preserve"> principles that </w:t>
      </w:r>
      <w:r w:rsidR="00421423" w:rsidRPr="00B765FF">
        <w:t>consumers should be receiving the speeds that are advertised and purchased</w:t>
      </w:r>
      <w:r w:rsidR="008E555A" w:rsidRPr="00B765FF">
        <w:t xml:space="preserve">, and that the network should work </w:t>
      </w:r>
      <w:r w:rsidR="00D36891" w:rsidRPr="00B765FF">
        <w:t xml:space="preserve">appropriately </w:t>
      </w:r>
      <w:r w:rsidR="008E555A" w:rsidRPr="00B765FF">
        <w:t>for all consumers, and not just those who are able to afford a premium service</w:t>
      </w:r>
      <w:r w:rsidR="00421423" w:rsidRPr="00B765FF">
        <w:t>.</w:t>
      </w:r>
      <w:r w:rsidR="00421423" w:rsidRPr="00E43273">
        <w:t xml:space="preserve"> </w:t>
      </w:r>
    </w:p>
    <w:p w14:paraId="2E8ED982" w14:textId="48E08818" w:rsidR="006A284D" w:rsidRDefault="006A284D" w:rsidP="006A284D">
      <w:pPr>
        <w:pStyle w:val="Heading4"/>
      </w:pPr>
      <w:r>
        <w:t>Providing greater wholesale price and cost certainty to RSPs</w:t>
      </w:r>
    </w:p>
    <w:p w14:paraId="68D1D383" w14:textId="605A28D5" w:rsidR="006A284D" w:rsidRDefault="006A284D" w:rsidP="006766A8">
      <w:pPr>
        <w:jc w:val="both"/>
        <w:rPr>
          <w:lang w:eastAsia="en-US"/>
        </w:rPr>
      </w:pPr>
      <w:r>
        <w:rPr>
          <w:lang w:eastAsia="en-US"/>
        </w:rPr>
        <w:t>As ACCAN has mentioned before, an</w:t>
      </w:r>
      <w:r w:rsidR="006766A8">
        <w:rPr>
          <w:lang w:eastAsia="en-US"/>
        </w:rPr>
        <w:t>y</w:t>
      </w:r>
      <w:r>
        <w:rPr>
          <w:lang w:eastAsia="en-US"/>
        </w:rPr>
        <w:t xml:space="preserve"> construct which reduces unnecessary uncertainty</w:t>
      </w:r>
      <w:r w:rsidR="006766A8">
        <w:rPr>
          <w:lang w:eastAsia="en-US"/>
        </w:rPr>
        <w:t xml:space="preserve"> and associated</w:t>
      </w:r>
      <w:r>
        <w:rPr>
          <w:lang w:eastAsia="en-US"/>
        </w:rPr>
        <w:t xml:space="preserve"> </w:t>
      </w:r>
      <w:r w:rsidR="006766A8">
        <w:rPr>
          <w:lang w:eastAsia="en-US"/>
        </w:rPr>
        <w:t xml:space="preserve">cost </w:t>
      </w:r>
      <w:r>
        <w:rPr>
          <w:lang w:eastAsia="en-US"/>
        </w:rPr>
        <w:t xml:space="preserve">will benefit end users as </w:t>
      </w:r>
      <w:r w:rsidR="006766A8">
        <w:rPr>
          <w:lang w:eastAsia="en-US"/>
        </w:rPr>
        <w:t>the</w:t>
      </w:r>
      <w:r>
        <w:rPr>
          <w:lang w:eastAsia="en-US"/>
        </w:rPr>
        <w:t xml:space="preserve"> cost savings </w:t>
      </w:r>
      <w:r w:rsidR="006766A8">
        <w:rPr>
          <w:lang w:eastAsia="en-US"/>
        </w:rPr>
        <w:t xml:space="preserve">should </w:t>
      </w:r>
      <w:r>
        <w:rPr>
          <w:lang w:eastAsia="en-US"/>
        </w:rPr>
        <w:t xml:space="preserve">hopefully </w:t>
      </w:r>
      <w:r w:rsidR="006766A8">
        <w:rPr>
          <w:lang w:eastAsia="en-US"/>
        </w:rPr>
        <w:t>be</w:t>
      </w:r>
      <w:r>
        <w:rPr>
          <w:lang w:eastAsia="en-US"/>
        </w:rPr>
        <w:t xml:space="preserve"> passed onto consumers.</w:t>
      </w:r>
    </w:p>
    <w:p w14:paraId="7DDD651E" w14:textId="77777777" w:rsidR="00E7790D" w:rsidRPr="006A284D" w:rsidRDefault="00E7790D" w:rsidP="006766A8">
      <w:pPr>
        <w:jc w:val="both"/>
        <w:rPr>
          <w:lang w:eastAsia="en-US"/>
        </w:rPr>
      </w:pPr>
    </w:p>
    <w:p w14:paraId="565FF46D" w14:textId="31919585" w:rsidR="00121EE3" w:rsidRDefault="00121EE3" w:rsidP="00121EE3">
      <w:pPr>
        <w:pStyle w:val="Heading3"/>
      </w:pPr>
      <w:bookmarkStart w:id="17" w:name="_Toc78452065"/>
      <w:r>
        <w:t>SAU price controls</w:t>
      </w:r>
      <w:bookmarkEnd w:id="17"/>
    </w:p>
    <w:p w14:paraId="3921E363" w14:textId="7CFE1756" w:rsidR="00121EE3" w:rsidRDefault="00AB24CE" w:rsidP="006766A8">
      <w:pPr>
        <w:jc w:val="both"/>
        <w:rPr>
          <w:lang w:eastAsia="en-US"/>
        </w:rPr>
      </w:pPr>
      <w:r>
        <w:rPr>
          <w:lang w:eastAsia="en-US"/>
        </w:rPr>
        <w:t xml:space="preserve">ACCAN agrees that nbn should have the ability to earn the revenue required to recover its efficient costs and to support its ongoing efficient investment in the network. As mentioned previously in section 2.1, ACCAN would like to see a discussion in relation to which costs nbn has incurred efficiently. </w:t>
      </w:r>
    </w:p>
    <w:p w14:paraId="19E6C648" w14:textId="2234932A" w:rsidR="002D727E" w:rsidRDefault="00AB24CE" w:rsidP="006766A8">
      <w:pPr>
        <w:jc w:val="both"/>
        <w:rPr>
          <w:lang w:eastAsia="en-US"/>
        </w:rPr>
      </w:pPr>
      <w:r>
        <w:rPr>
          <w:lang w:eastAsia="en-US"/>
        </w:rPr>
        <w:t>ACCAN disagrees that nbn should be able to recover its costs by increasing fixed charge pricing components in real terms</w:t>
      </w:r>
      <w:r w:rsidR="003D113E">
        <w:rPr>
          <w:lang w:eastAsia="en-US"/>
        </w:rPr>
        <w:t xml:space="preserve"> for all services excluding the entry level product</w:t>
      </w:r>
      <w:r>
        <w:rPr>
          <w:lang w:eastAsia="en-US"/>
        </w:rPr>
        <w:t>. To do so would not incentivise nbn to increase productivity</w:t>
      </w:r>
      <w:r w:rsidR="006766A8">
        <w:rPr>
          <w:lang w:eastAsia="en-US"/>
        </w:rPr>
        <w:t xml:space="preserve"> and become more</w:t>
      </w:r>
      <w:r>
        <w:rPr>
          <w:lang w:eastAsia="en-US"/>
        </w:rPr>
        <w:t xml:space="preserve"> </w:t>
      </w:r>
      <w:r w:rsidR="006766A8">
        <w:rPr>
          <w:lang w:eastAsia="en-US"/>
        </w:rPr>
        <w:t>efficient</w:t>
      </w:r>
      <w:r>
        <w:rPr>
          <w:lang w:eastAsia="en-US"/>
        </w:rPr>
        <w:t xml:space="preserve"> in delivering the service</w:t>
      </w:r>
      <w:r w:rsidR="006766A8">
        <w:rPr>
          <w:lang w:eastAsia="en-US"/>
        </w:rPr>
        <w:t>.</w:t>
      </w:r>
      <w:r>
        <w:rPr>
          <w:lang w:eastAsia="en-US"/>
        </w:rPr>
        <w:t xml:space="preserve"> </w:t>
      </w:r>
      <w:r w:rsidR="006766A8">
        <w:rPr>
          <w:lang w:eastAsia="en-US"/>
        </w:rPr>
        <w:t>N</w:t>
      </w:r>
      <w:r>
        <w:rPr>
          <w:lang w:eastAsia="en-US"/>
        </w:rPr>
        <w:t xml:space="preserve">bn should be looking to reduce the cost of providing the service over time, and thus reducing the wholesale prices. This would be achieved through prices changing by CPI – X, where X represents </w:t>
      </w:r>
      <w:r w:rsidR="006766A8">
        <w:rPr>
          <w:lang w:eastAsia="en-US"/>
        </w:rPr>
        <w:t>efficiency savings</w:t>
      </w:r>
      <w:r>
        <w:rPr>
          <w:lang w:eastAsia="en-US"/>
        </w:rPr>
        <w:t xml:space="preserve">. </w:t>
      </w:r>
    </w:p>
    <w:p w14:paraId="48772DF2" w14:textId="5A9810D6" w:rsidR="002D727E" w:rsidRDefault="00AB24CE" w:rsidP="006766A8">
      <w:pPr>
        <w:jc w:val="both"/>
        <w:rPr>
          <w:lang w:eastAsia="en-US"/>
        </w:rPr>
      </w:pPr>
      <w:r>
        <w:rPr>
          <w:lang w:eastAsia="en-US"/>
        </w:rPr>
        <w:t>At a minimum</w:t>
      </w:r>
      <w:r w:rsidR="002D727E">
        <w:rPr>
          <w:lang w:eastAsia="en-US"/>
        </w:rPr>
        <w:t>,</w:t>
      </w:r>
      <w:r>
        <w:rPr>
          <w:lang w:eastAsia="en-US"/>
        </w:rPr>
        <w:t xml:space="preserve"> cost </w:t>
      </w:r>
      <w:r w:rsidR="002D727E">
        <w:rPr>
          <w:lang w:eastAsia="en-US"/>
        </w:rPr>
        <w:t>could</w:t>
      </w:r>
      <w:r>
        <w:rPr>
          <w:lang w:eastAsia="en-US"/>
        </w:rPr>
        <w:t xml:space="preserve"> be kept stable in real terms</w:t>
      </w:r>
      <w:r w:rsidR="002D727E">
        <w:rPr>
          <w:lang w:eastAsia="en-US"/>
        </w:rPr>
        <w:t>, balancing out the increased usage of the network with productivity gains</w:t>
      </w:r>
      <w:r>
        <w:rPr>
          <w:lang w:eastAsia="en-US"/>
        </w:rPr>
        <w:t xml:space="preserve">. Nbn should aim to recover its cost by increasing take up </w:t>
      </w:r>
      <w:r w:rsidR="002D727E">
        <w:rPr>
          <w:lang w:eastAsia="en-US"/>
        </w:rPr>
        <w:t xml:space="preserve">of services </w:t>
      </w:r>
      <w:r>
        <w:rPr>
          <w:lang w:eastAsia="en-US"/>
        </w:rPr>
        <w:t>and moving consumers to higher speed tiers</w:t>
      </w:r>
      <w:r w:rsidR="00E13DB7">
        <w:rPr>
          <w:lang w:eastAsia="en-US"/>
        </w:rPr>
        <w:t xml:space="preserve"> rather than making lower speed tiers prohibitively expensive</w:t>
      </w:r>
      <w:r>
        <w:rPr>
          <w:lang w:eastAsia="en-US"/>
        </w:rPr>
        <w:t>.</w:t>
      </w:r>
    </w:p>
    <w:p w14:paraId="2C677297" w14:textId="31207394" w:rsidR="002D727E" w:rsidRDefault="006766A8" w:rsidP="00121EE3">
      <w:pPr>
        <w:rPr>
          <w:lang w:eastAsia="en-US"/>
        </w:rPr>
      </w:pPr>
      <w:r>
        <w:rPr>
          <w:lang w:eastAsia="en-US"/>
        </w:rPr>
        <w:t>The discussion paper details</w:t>
      </w:r>
      <w:r w:rsidR="002D727E">
        <w:rPr>
          <w:lang w:eastAsia="en-US"/>
        </w:rPr>
        <w:t xml:space="preserve"> two options regarding price controls:</w:t>
      </w:r>
    </w:p>
    <w:p w14:paraId="1D0164C6" w14:textId="0ECA12DD" w:rsidR="002D727E" w:rsidRPr="002D727E" w:rsidRDefault="002D727E" w:rsidP="006766A8">
      <w:pPr>
        <w:pStyle w:val="ListParagraph"/>
        <w:numPr>
          <w:ilvl w:val="0"/>
          <w:numId w:val="25"/>
        </w:numPr>
        <w:jc w:val="both"/>
        <w:rPr>
          <w:b/>
          <w:bCs/>
        </w:rPr>
      </w:pPr>
      <w:r w:rsidRPr="002D727E">
        <w:rPr>
          <w:b/>
          <w:bCs/>
        </w:rPr>
        <w:t xml:space="preserve">Option 1, </w:t>
      </w:r>
      <w:r w:rsidR="006766A8">
        <w:rPr>
          <w:b/>
          <w:bCs/>
        </w:rPr>
        <w:t>i</w:t>
      </w:r>
      <w:r w:rsidRPr="002D727E">
        <w:rPr>
          <w:b/>
          <w:bCs/>
        </w:rPr>
        <w:t>ndividual SAU price controls:</w:t>
      </w:r>
      <w:r>
        <w:rPr>
          <w:b/>
          <w:bCs/>
        </w:rPr>
        <w:t xml:space="preserve"> </w:t>
      </w:r>
      <w:r>
        <w:t>Different price controls would apply for the different bundle types describe</w:t>
      </w:r>
      <w:r w:rsidR="006766A8">
        <w:t>d</w:t>
      </w:r>
      <w:r>
        <w:t xml:space="preserve"> for the three pricing constructs. In the case where there </w:t>
      </w:r>
      <w:r w:rsidR="006766A8">
        <w:t>are</w:t>
      </w:r>
      <w:r>
        <w:t xml:space="preserve"> no CVC charges, nbn considers it reasonable to have the opportunity to index prices above the level of inflation. As ACCAN has discussed above, we are strongly opposed to indexing the prices above the level of inflation. </w:t>
      </w:r>
    </w:p>
    <w:p w14:paraId="712CACCA" w14:textId="1AB377D4" w:rsidR="002D727E" w:rsidRPr="00E43273" w:rsidRDefault="002D727E" w:rsidP="006766A8">
      <w:pPr>
        <w:pStyle w:val="ListParagraph"/>
        <w:numPr>
          <w:ilvl w:val="0"/>
          <w:numId w:val="25"/>
        </w:numPr>
        <w:jc w:val="both"/>
        <w:rPr>
          <w:b/>
          <w:bCs/>
        </w:rPr>
      </w:pPr>
      <w:r>
        <w:rPr>
          <w:b/>
          <w:bCs/>
        </w:rPr>
        <w:t>Option 2, basket price controls:</w:t>
      </w:r>
      <w:r>
        <w:t xml:space="preserve"> The SAU would implement price control over a basket of products, so that the price control would be applied to the weighted </w:t>
      </w:r>
      <w:r w:rsidR="003D113E">
        <w:t xml:space="preserve">average price across all applicable TC-4 </w:t>
      </w:r>
      <w:r w:rsidR="006667BC">
        <w:t xml:space="preserve">(residential) </w:t>
      </w:r>
      <w:r w:rsidR="003D113E">
        <w:t xml:space="preserve">products based on average services in operation volume of the preceding year. ACCAN considers that this is the preferred option for price </w:t>
      </w:r>
      <w:r w:rsidR="006766A8">
        <w:t>controls</w:t>
      </w:r>
      <w:r w:rsidR="003D113E">
        <w:t xml:space="preserve"> as it allows nbn flexibility to respond to changing market conditions. That said, there should remain an </w:t>
      </w:r>
      <w:r w:rsidR="003D113E">
        <w:lastRenderedPageBreak/>
        <w:t xml:space="preserve">individual SAU price control for an entry-level product to ensure that the service remains affordable. </w:t>
      </w:r>
    </w:p>
    <w:p w14:paraId="2643C8A0" w14:textId="77777777" w:rsidR="00E7790D" w:rsidRPr="00E43273" w:rsidRDefault="00E7790D" w:rsidP="00E43273">
      <w:pPr>
        <w:jc w:val="both"/>
        <w:rPr>
          <w:b/>
          <w:bCs/>
        </w:rPr>
      </w:pPr>
    </w:p>
    <w:p w14:paraId="4C414BB3" w14:textId="783425A2" w:rsidR="00121EE3" w:rsidRDefault="00121EE3" w:rsidP="00121EE3">
      <w:pPr>
        <w:pStyle w:val="Heading3"/>
      </w:pPr>
      <w:bookmarkStart w:id="18" w:name="_Toc78452066"/>
      <w:r>
        <w:t>Entry level price control</w:t>
      </w:r>
      <w:bookmarkEnd w:id="18"/>
    </w:p>
    <w:p w14:paraId="0394BD3A" w14:textId="4F79B033" w:rsidR="00121EE3" w:rsidRDefault="00EE2C93" w:rsidP="006766A8">
      <w:pPr>
        <w:jc w:val="both"/>
        <w:rPr>
          <w:lang w:eastAsia="en-US"/>
        </w:rPr>
      </w:pPr>
      <w:r>
        <w:rPr>
          <w:lang w:eastAsia="en-US"/>
        </w:rPr>
        <w:t xml:space="preserve">Nbn </w:t>
      </w:r>
      <w:r w:rsidR="00CE070D">
        <w:rPr>
          <w:lang w:eastAsia="en-US"/>
        </w:rPr>
        <w:t>is</w:t>
      </w:r>
      <w:r>
        <w:rPr>
          <w:lang w:eastAsia="en-US"/>
        </w:rPr>
        <w:t xml:space="preserve"> proposing a price control of CPI for entry-level services, to enable the price to remain constant in real terms whilst increasing CVC inclusions based on actual usage growth of end</w:t>
      </w:r>
      <w:r w:rsidR="00826B23">
        <w:rPr>
          <w:lang w:eastAsia="en-US"/>
        </w:rPr>
        <w:t xml:space="preserve"> </w:t>
      </w:r>
      <w:r>
        <w:rPr>
          <w:lang w:eastAsia="en-US"/>
        </w:rPr>
        <w:t>users. ACCAN considers that the entry level service should retain the strictest price control to ensure the service remains affordable over time</w:t>
      </w:r>
      <w:r w:rsidR="00155C50">
        <w:rPr>
          <w:lang w:eastAsia="en-US"/>
        </w:rPr>
        <w:t xml:space="preserve">, and to provide a price anchor to other nbn offers. </w:t>
      </w:r>
    </w:p>
    <w:p w14:paraId="035679E4" w14:textId="7625A089" w:rsidR="00B61187" w:rsidRDefault="00155C50" w:rsidP="00E43273">
      <w:pPr>
        <w:jc w:val="both"/>
      </w:pPr>
      <w:r>
        <w:rPr>
          <w:lang w:eastAsia="en-US"/>
        </w:rPr>
        <w:t xml:space="preserve">The entry level price control should be implemented for the 25/5 </w:t>
      </w:r>
      <w:r w:rsidR="00F07112">
        <w:t xml:space="preserve">Mbps </w:t>
      </w:r>
      <w:r>
        <w:rPr>
          <w:lang w:eastAsia="en-US"/>
        </w:rPr>
        <w:t xml:space="preserve">service. The reason for this </w:t>
      </w:r>
      <w:r w:rsidR="0027525A">
        <w:rPr>
          <w:lang w:eastAsia="en-US"/>
        </w:rPr>
        <w:t xml:space="preserve">applying </w:t>
      </w:r>
      <w:r>
        <w:t xml:space="preserve">over the duration of the SAU, which lasts until 2040, </w:t>
      </w:r>
      <w:r w:rsidR="00CD6E4F">
        <w:t xml:space="preserve">is that </w:t>
      </w:r>
      <w:r>
        <w:t xml:space="preserve">the 12/1 </w:t>
      </w:r>
      <w:r w:rsidR="00F07112">
        <w:t xml:space="preserve">Mbps </w:t>
      </w:r>
      <w:r>
        <w:t>service will become</w:t>
      </w:r>
      <w:r w:rsidR="00182D6A">
        <w:t xml:space="preserve"> increasingly</w:t>
      </w:r>
      <w:r>
        <w:t xml:space="preserve"> redundant as households require higher speeds to participate in the digital economy. Already the 12/1 </w:t>
      </w:r>
      <w:r w:rsidR="00F07112">
        <w:t xml:space="preserve">Mbps </w:t>
      </w:r>
      <w:r>
        <w:t>service does not suit the needs of many households. By placing the 25/5 service as the entry level product in the SAU, the SAU will be more aligned with the Statutory Infrastructure Provider requirements</w:t>
      </w:r>
      <w:r w:rsidR="00F45DA7">
        <w:rPr>
          <w:rStyle w:val="FootnoteReference"/>
        </w:rPr>
        <w:footnoteReference w:id="14"/>
      </w:r>
      <w:r>
        <w:t xml:space="preserve"> as well as the Statement of Expectations.</w:t>
      </w:r>
      <w:r w:rsidR="00F45DA7">
        <w:rPr>
          <w:rStyle w:val="FootnoteReference"/>
        </w:rPr>
        <w:footnoteReference w:id="15"/>
      </w:r>
      <w:r>
        <w:t xml:space="preserve"> </w:t>
      </w:r>
      <w:r w:rsidR="00F07112">
        <w:t>ACCAN questions</w:t>
      </w:r>
      <w:r>
        <w:t xml:space="preserve"> the value of requiring network operators to provide a 25/5 </w:t>
      </w:r>
      <w:r w:rsidR="00F07112">
        <w:t xml:space="preserve">Mbps </w:t>
      </w:r>
      <w:r>
        <w:t>service to all households in Australia, if a proportion of these households are not able to afford the service</w:t>
      </w:r>
      <w:r w:rsidR="00F07112">
        <w:t>.</w:t>
      </w:r>
      <w:r w:rsidR="00A71B92">
        <w:t xml:space="preserve"> </w:t>
      </w:r>
    </w:p>
    <w:p w14:paraId="1C8C8FB3" w14:textId="77777777" w:rsidR="00A80A95" w:rsidRDefault="00A80A95" w:rsidP="00E43273">
      <w:pPr>
        <w:jc w:val="both"/>
      </w:pPr>
    </w:p>
    <w:p w14:paraId="42E7F052" w14:textId="620C0CDE" w:rsidR="00121EE3" w:rsidRPr="00547ECC" w:rsidRDefault="00121EE3" w:rsidP="00547ECC">
      <w:pPr>
        <w:pStyle w:val="Heading3"/>
      </w:pPr>
      <w:bookmarkStart w:id="19" w:name="_Toc78452067"/>
      <w:r w:rsidRPr="00547ECC">
        <w:t>Implementation and network impacts of the pricing constructs</w:t>
      </w:r>
      <w:bookmarkEnd w:id="19"/>
    </w:p>
    <w:p w14:paraId="49B6D135" w14:textId="4EB81CE9" w:rsidR="00155C50" w:rsidRDefault="00155C50" w:rsidP="00F07112">
      <w:pPr>
        <w:jc w:val="both"/>
        <w:rPr>
          <w:lang w:eastAsia="en-US"/>
        </w:rPr>
      </w:pPr>
      <w:r>
        <w:rPr>
          <w:lang w:eastAsia="en-US"/>
        </w:rPr>
        <w:t xml:space="preserve">Nbn is exploring usage-based billing on the AVC + CVC </w:t>
      </w:r>
      <w:r w:rsidR="00F466BD">
        <w:rPr>
          <w:lang w:eastAsia="en-US"/>
        </w:rPr>
        <w:t>construct. This would involve only billing RSPs for the CVC they use, rather than the current system which requires RSPs to purchase provisional CVC. The benefit of usage based billing is that it should reduce expensive and complex CVC management</w:t>
      </w:r>
      <w:r w:rsidR="00AF4542">
        <w:rPr>
          <w:lang w:eastAsia="en-US"/>
        </w:rPr>
        <w:t xml:space="preserve"> for RSPs</w:t>
      </w:r>
      <w:r w:rsidR="00F466BD">
        <w:rPr>
          <w:lang w:eastAsia="en-US"/>
        </w:rPr>
        <w:t xml:space="preserve">. If construct 1 </w:t>
      </w:r>
      <w:r w:rsidR="00E13DB7">
        <w:rPr>
          <w:lang w:eastAsia="en-US"/>
        </w:rPr>
        <w:t xml:space="preserve">or construct 2 </w:t>
      </w:r>
      <w:r w:rsidR="00F466BD">
        <w:rPr>
          <w:lang w:eastAsia="en-US"/>
        </w:rPr>
        <w:t xml:space="preserve">were to </w:t>
      </w:r>
      <w:r w:rsidR="00E13DB7">
        <w:rPr>
          <w:lang w:eastAsia="en-US"/>
        </w:rPr>
        <w:t>be implemented</w:t>
      </w:r>
      <w:r w:rsidR="00F466BD">
        <w:rPr>
          <w:lang w:eastAsia="en-US"/>
        </w:rPr>
        <w:t>, ACCAN would support usage based billing</w:t>
      </w:r>
      <w:r w:rsidR="00E13DB7">
        <w:rPr>
          <w:lang w:eastAsia="en-US"/>
        </w:rPr>
        <w:t xml:space="preserve"> as it only seems fair that RSPs </w:t>
      </w:r>
      <w:r w:rsidR="00CC094B">
        <w:rPr>
          <w:lang w:eastAsia="en-US"/>
        </w:rPr>
        <w:t>pay for the service they are utilising</w:t>
      </w:r>
      <w:r w:rsidR="00F466BD">
        <w:rPr>
          <w:lang w:eastAsia="en-US"/>
        </w:rPr>
        <w:t xml:space="preserve">. </w:t>
      </w:r>
    </w:p>
    <w:p w14:paraId="34841645" w14:textId="77777777" w:rsidR="00E7790D" w:rsidRPr="00155C50" w:rsidRDefault="00E7790D" w:rsidP="00F07112">
      <w:pPr>
        <w:jc w:val="both"/>
        <w:rPr>
          <w:lang w:eastAsia="en-US"/>
        </w:rPr>
      </w:pPr>
    </w:p>
    <w:p w14:paraId="1C218214" w14:textId="26BB9701" w:rsidR="00121EE3" w:rsidRPr="00121EE3" w:rsidRDefault="00121EE3" w:rsidP="00121EE3">
      <w:pPr>
        <w:pStyle w:val="Heading3"/>
      </w:pPr>
      <w:bookmarkStart w:id="20" w:name="_Toc78452068"/>
      <w:r>
        <w:t>Feedback on long-term pricing options</w:t>
      </w:r>
      <w:bookmarkEnd w:id="20"/>
    </w:p>
    <w:p w14:paraId="60BCCD53" w14:textId="120D58B2" w:rsidR="00121EE3" w:rsidRPr="00521319" w:rsidRDefault="00121EE3" w:rsidP="00F07112">
      <w:pPr>
        <w:pStyle w:val="Heading4"/>
        <w:jc w:val="both"/>
        <w:rPr>
          <w:color w:val="00B0F0"/>
        </w:rPr>
      </w:pPr>
      <w:bookmarkStart w:id="21" w:name="_Toc343010203"/>
      <w:bookmarkStart w:id="22" w:name="_Toc351382488"/>
      <w:r w:rsidRPr="00521319">
        <w:rPr>
          <w:color w:val="00B0F0"/>
        </w:rPr>
        <w:t>What impact would you expect nbn’s proposed pricing constructs and price control options to have on your organisation’s speed tier mix and volume?</w:t>
      </w:r>
    </w:p>
    <w:p w14:paraId="1B5C4156" w14:textId="0FFA34BC" w:rsidR="006E0E25" w:rsidRDefault="00AC50A6" w:rsidP="00233803">
      <w:r>
        <w:t>Not applicable</w:t>
      </w:r>
    </w:p>
    <w:p w14:paraId="27F793F4" w14:textId="1CCEF2F3" w:rsidR="00121EE3" w:rsidRDefault="00121EE3" w:rsidP="00F07112">
      <w:pPr>
        <w:pStyle w:val="Heading4"/>
        <w:jc w:val="both"/>
        <w:rPr>
          <w:color w:val="00B0F0"/>
        </w:rPr>
      </w:pPr>
      <w:r w:rsidRPr="00521319">
        <w:rPr>
          <w:color w:val="00B0F0"/>
        </w:rPr>
        <w:lastRenderedPageBreak/>
        <w:t xml:space="preserve">How would </w:t>
      </w:r>
      <w:r w:rsidRPr="00521319">
        <w:rPr>
          <w:rFonts w:ascii="CIDFont+F2" w:hAnsi="CIDFont+F2" w:cs="CIDFont+F2"/>
          <w:color w:val="00B0F0"/>
        </w:rPr>
        <w:t>nbn</w:t>
      </w:r>
      <w:r w:rsidRPr="00521319">
        <w:rPr>
          <w:color w:val="00B0F0"/>
        </w:rPr>
        <w:t xml:space="preserve">’s proposed pricing construct and related price control options impact your organisation’s overall </w:t>
      </w:r>
      <w:r w:rsidRPr="00521319">
        <w:rPr>
          <w:rFonts w:ascii="CIDFont+F2" w:hAnsi="CIDFont+F2" w:cs="CIDFont+F2"/>
          <w:color w:val="00B0F0"/>
        </w:rPr>
        <w:t xml:space="preserve">nbn </w:t>
      </w:r>
      <w:r w:rsidRPr="00521319">
        <w:rPr>
          <w:color w:val="00B0F0"/>
        </w:rPr>
        <w:t>charges in the medium to long term?</w:t>
      </w:r>
    </w:p>
    <w:p w14:paraId="15F93347" w14:textId="1B40E4C1" w:rsidR="00394996" w:rsidRDefault="00AC50A6" w:rsidP="00192E9A">
      <w:pPr>
        <w:jc w:val="both"/>
      </w:pPr>
      <w:bookmarkStart w:id="23" w:name="_Hlk76633096"/>
      <w:r>
        <w:t xml:space="preserve">The impact on wholesale costs of each construct depends on the amount of CVC provisioning required by an RSP. As ACCAN does not have access to CVC provisioning required in the future, we have compared the cost of each construct to the estimated wholesale charge where there is an overall CVC provisioning requirement of an average 3 Mbps weighted across all speed tiers, as provided in the discussion paper. </w:t>
      </w:r>
      <w:bookmarkEnd w:id="23"/>
      <w:r>
        <w:t xml:space="preserve">The result of this comparison is </w:t>
      </w:r>
      <w:r w:rsidR="00394996">
        <w:t>provided in</w:t>
      </w:r>
      <w:r>
        <w:t xml:space="preserve"> the appendix. </w:t>
      </w:r>
      <w:bookmarkStart w:id="24" w:name="_Hlk76633111"/>
      <w:r>
        <w:t xml:space="preserve">Based on this average CVC provisioning, the price implications of each construct vary depending on speed tier. Construct </w:t>
      </w:r>
      <w:r w:rsidR="00BA5CE6">
        <w:t>2</w:t>
      </w:r>
      <w:r>
        <w:t xml:space="preserve"> appears to have the </w:t>
      </w:r>
      <w:r w:rsidRPr="00AC50A6">
        <w:rPr>
          <w:i/>
          <w:iCs/>
        </w:rPr>
        <w:t>least negative</w:t>
      </w:r>
      <w:r>
        <w:t xml:space="preserve"> impact on wholesale costs, followed by construct </w:t>
      </w:r>
      <w:r w:rsidR="00BA5CE6">
        <w:t>1</w:t>
      </w:r>
      <w:r>
        <w:t xml:space="preserve">, and </w:t>
      </w:r>
      <w:r w:rsidR="00BA5CE6">
        <w:t>then</w:t>
      </w:r>
      <w:r>
        <w:t xml:space="preserve"> construct 3</w:t>
      </w:r>
      <w:r w:rsidR="00394996">
        <w:t xml:space="preserve"> which has the greatest adverse effect on charges RSPs would have to pay, and ultimately end</w:t>
      </w:r>
      <w:r w:rsidR="00E84D03">
        <w:t xml:space="preserve"> </w:t>
      </w:r>
      <w:r w:rsidR="00394996">
        <w:t>users</w:t>
      </w:r>
      <w:r>
        <w:t xml:space="preserve">. </w:t>
      </w:r>
    </w:p>
    <w:p w14:paraId="67073D53" w14:textId="37FF0AE6" w:rsidR="00AC50A6" w:rsidRPr="00AC50A6" w:rsidRDefault="00D51D96" w:rsidP="00192E9A">
      <w:pPr>
        <w:jc w:val="both"/>
      </w:pPr>
      <w:bookmarkStart w:id="25" w:name="_Hlk76633138"/>
      <w:bookmarkEnd w:id="24"/>
      <w:r>
        <w:t>Generally,</w:t>
      </w:r>
      <w:r w:rsidR="00AC50A6">
        <w:t xml:space="preserve"> all </w:t>
      </w:r>
      <w:r w:rsidR="00394996">
        <w:t>three</w:t>
      </w:r>
      <w:r w:rsidR="00AC50A6">
        <w:t xml:space="preserve"> pricing constructs present negative consequences </w:t>
      </w:r>
      <w:r w:rsidR="00394996">
        <w:t>in regard to charges paid by RSPs</w:t>
      </w:r>
      <w:r w:rsidR="00AC50A6">
        <w:t xml:space="preserve">, and </w:t>
      </w:r>
      <w:r>
        <w:t xml:space="preserve">(based on </w:t>
      </w:r>
      <w:r w:rsidR="00394996">
        <w:t>the</w:t>
      </w:r>
      <w:r>
        <w:t xml:space="preserve"> </w:t>
      </w:r>
      <w:r w:rsidR="00394996">
        <w:t xml:space="preserve">average </w:t>
      </w:r>
      <w:r>
        <w:t>CVC provisioning requirement</w:t>
      </w:r>
      <w:r w:rsidR="00394996">
        <w:t xml:space="preserve"> mentioned above</w:t>
      </w:r>
      <w:r>
        <w:t xml:space="preserve">) </w:t>
      </w:r>
      <w:r w:rsidR="00AC50A6">
        <w:t>RSPs would</w:t>
      </w:r>
      <w:r>
        <w:t xml:space="preserve"> likely</w:t>
      </w:r>
      <w:r w:rsidR="00AC50A6">
        <w:t xml:space="preserve"> see their wholesale charges increase. </w:t>
      </w:r>
      <w:r>
        <w:t xml:space="preserve">It is unclear to us why the charges </w:t>
      </w:r>
      <w:r w:rsidR="00BA5CE6">
        <w:t>on average</w:t>
      </w:r>
      <w:r>
        <w:t xml:space="preserve"> are expected to be higher across nearly all speed tiers, for all pricing constructs when comparing the same amount of</w:t>
      </w:r>
      <w:r w:rsidR="00B55106">
        <w:t xml:space="preserve"> usage growth estimated across the May-22 Roadmap period</w:t>
      </w:r>
      <w:r>
        <w:t>.</w:t>
      </w:r>
      <w:bookmarkEnd w:id="25"/>
      <w:r w:rsidR="00B55106">
        <w:t xml:space="preserve"> If the constructs are designed to be revenue neutral, we would expect that on average, a change in pricing construct would not have an impact on the total wholesale charges RSPs would pay.</w:t>
      </w:r>
      <w:r w:rsidR="00394996">
        <w:t xml:space="preserve"> </w:t>
      </w:r>
      <w:r w:rsidR="00B55106">
        <w:t xml:space="preserve">Thus, the charges RSPs pay overall should be less relevant to the decision on which construct to follow. </w:t>
      </w:r>
    </w:p>
    <w:p w14:paraId="4F001491" w14:textId="220AB539" w:rsidR="00AC50A6" w:rsidRPr="00634A06" w:rsidRDefault="00D51D96" w:rsidP="00192E9A">
      <w:pPr>
        <w:jc w:val="both"/>
      </w:pPr>
      <w:r>
        <w:t xml:space="preserve">ACCAN acknowledges that there will likely be some value transfer between RSPs as some would be made worse off, and others better off from the change depending on their speed tier mix and </w:t>
      </w:r>
      <w:r w:rsidR="00634A06">
        <w:t>CVC</w:t>
      </w:r>
      <w:r>
        <w:t xml:space="preserve"> provisioning requirement. </w:t>
      </w:r>
      <w:r w:rsidR="00394996">
        <w:t>Nbn should</w:t>
      </w:r>
      <w:r w:rsidR="00634A06">
        <w:t xml:space="preserve"> only</w:t>
      </w:r>
      <w:r w:rsidR="00394996">
        <w:t xml:space="preserve"> consider this impact to the extent it might reduce retail competition. </w:t>
      </w:r>
    </w:p>
    <w:p w14:paraId="6F13839C" w14:textId="43FFFFAB" w:rsidR="00121EE3" w:rsidRPr="00521319" w:rsidRDefault="00121EE3" w:rsidP="00F07112">
      <w:pPr>
        <w:pStyle w:val="Heading4"/>
        <w:jc w:val="both"/>
        <w:rPr>
          <w:color w:val="00B0F0"/>
        </w:rPr>
      </w:pPr>
      <w:r w:rsidRPr="00521319">
        <w:rPr>
          <w:color w:val="00B0F0"/>
        </w:rPr>
        <w:t xml:space="preserve">How would you rank the proposed pricing constructs and price control options for </w:t>
      </w:r>
      <w:r w:rsidRPr="00521319">
        <w:rPr>
          <w:rFonts w:ascii="CIDFont+F2" w:hAnsi="CIDFont+F2" w:cs="CIDFont+F2"/>
          <w:color w:val="00B0F0"/>
        </w:rPr>
        <w:t>nbn</w:t>
      </w:r>
      <w:r w:rsidRPr="00521319">
        <w:rPr>
          <w:color w:val="00B0F0"/>
        </w:rPr>
        <w:t>’s future wholesale pricing construct, and what factors influenced your ranking?</w:t>
      </w:r>
    </w:p>
    <w:p w14:paraId="716627B1" w14:textId="7EE123D5" w:rsidR="00CD425B" w:rsidRDefault="00CD1F86" w:rsidP="00E43273">
      <w:pPr>
        <w:jc w:val="both"/>
      </w:pPr>
      <w:bookmarkStart w:id="26" w:name="_Hlk76633280"/>
      <w:r>
        <w:t>It is difficult to rank the proposed pricing constructs and price control options as we consider each option requires further development and consultation</w:t>
      </w:r>
      <w:r w:rsidR="00E012C0">
        <w:t xml:space="preserve"> given the potential for negative impacts on consumers</w:t>
      </w:r>
      <w:r>
        <w:t xml:space="preserve">. </w:t>
      </w:r>
    </w:p>
    <w:p w14:paraId="7C0DDBBC" w14:textId="75FDEA7B" w:rsidR="00CD425B" w:rsidRDefault="001731A5" w:rsidP="00F07112">
      <w:pPr>
        <w:jc w:val="both"/>
      </w:pPr>
      <w:bookmarkStart w:id="27" w:name="_Hlk76571096"/>
      <w:r>
        <w:t xml:space="preserve">Construct 1 whilst improving the situation, does not fully address the issues of CVC management. </w:t>
      </w:r>
      <w:r w:rsidR="00CC094B">
        <w:t xml:space="preserve">Based on the proposed prices of each construct, construct 2 </w:t>
      </w:r>
      <w:r>
        <w:t>appears to be</w:t>
      </w:r>
      <w:r w:rsidR="00CC094B">
        <w:t xml:space="preserve"> the least harmful to consumers. </w:t>
      </w:r>
      <w:r w:rsidR="00CD425B">
        <w:t xml:space="preserve">ACCAN does not support the </w:t>
      </w:r>
      <w:r w:rsidR="00634A06">
        <w:t xml:space="preserve">current </w:t>
      </w:r>
      <w:r w:rsidR="00CD425B">
        <w:t xml:space="preserve">pricing proposals under construct 3, however if these were amended to reduce the negative impact on the lower speed tiers, </w:t>
      </w:r>
      <w:r w:rsidR="00634A06">
        <w:t>construct</w:t>
      </w:r>
      <w:r w:rsidR="00CD425B">
        <w:t xml:space="preserve"> 3 </w:t>
      </w:r>
      <w:r w:rsidR="00CD1F86">
        <w:t>could be made into a suitable pricing option which would support a downstream retail market, provide consumers with an affordable service, and allow nbn to cover its costs</w:t>
      </w:r>
      <w:r w:rsidR="00CD425B">
        <w:t>.</w:t>
      </w:r>
      <w:r w:rsidR="00CD1F86">
        <w:t xml:space="preserve"> ACCAN considers that nbn should continue work to explore how this construct could be improved to meet these requirements. </w:t>
      </w:r>
    </w:p>
    <w:bookmarkEnd w:id="26"/>
    <w:bookmarkEnd w:id="27"/>
    <w:p w14:paraId="5B14BB48" w14:textId="328542CF" w:rsidR="00CD425B" w:rsidRPr="00121EE3" w:rsidRDefault="00CD425B" w:rsidP="00F07112">
      <w:pPr>
        <w:jc w:val="both"/>
      </w:pPr>
      <w:r>
        <w:t xml:space="preserve">In regard to price controls, </w:t>
      </w:r>
      <w:r w:rsidR="00A4489E">
        <w:t xml:space="preserve">consumers </w:t>
      </w:r>
      <w:r w:rsidR="00E43273">
        <w:t>will</w:t>
      </w:r>
      <w:r w:rsidR="00A4489E">
        <w:t xml:space="preserve"> benefit the most if</w:t>
      </w:r>
      <w:r>
        <w:t xml:space="preserve"> either </w:t>
      </w:r>
      <w:proofErr w:type="gramStart"/>
      <w:r>
        <w:t>prices</w:t>
      </w:r>
      <w:proofErr w:type="gramEnd"/>
      <w:r>
        <w:t xml:space="preserve"> remain stable or </w:t>
      </w:r>
      <w:r w:rsidR="00634A06">
        <w:t>decrease</w:t>
      </w:r>
      <w:r>
        <w:t xml:space="preserve"> to reflect an improvement in productive efficiency. ACCAN supports the second price control option which would allow the price controls to </w:t>
      </w:r>
      <w:r w:rsidR="00523212">
        <w:t xml:space="preserve">be set over a weighted basket of services to allow nbn flexibility over time to respond to changing market demand. </w:t>
      </w:r>
    </w:p>
    <w:p w14:paraId="0B0B0DE7" w14:textId="777508AD" w:rsidR="00121EE3" w:rsidRPr="00521319" w:rsidRDefault="00121EE3" w:rsidP="00F07112">
      <w:pPr>
        <w:pStyle w:val="Heading4"/>
        <w:jc w:val="both"/>
        <w:rPr>
          <w:color w:val="00B0F0"/>
        </w:rPr>
      </w:pPr>
      <w:r w:rsidRPr="00521319">
        <w:rPr>
          <w:color w:val="00B0F0"/>
        </w:rPr>
        <w:lastRenderedPageBreak/>
        <w:t>Does your organisation foresee any transitional issues in any of the constructs including commercial and operational complexities?</w:t>
      </w:r>
    </w:p>
    <w:p w14:paraId="5FDAC922" w14:textId="3EC637A4" w:rsidR="00121EE3" w:rsidRPr="00121EE3" w:rsidRDefault="00523212" w:rsidP="00F07112">
      <w:pPr>
        <w:jc w:val="both"/>
      </w:pPr>
      <w:r>
        <w:t>There is likely to be commercial and operational complexities from any new pricing construct being implemented. Nbn should work with RSPs to provide a reasonable amount of time to implement a new pricing construct</w:t>
      </w:r>
      <w:r w:rsidR="00862AA1">
        <w:t>.</w:t>
      </w:r>
      <w:r>
        <w:t xml:space="preserve"> </w:t>
      </w:r>
    </w:p>
    <w:p w14:paraId="22E9F0E9" w14:textId="1296F7E0" w:rsidR="00121EE3" w:rsidRPr="00521319" w:rsidRDefault="00121EE3" w:rsidP="00F07112">
      <w:pPr>
        <w:pStyle w:val="Heading4"/>
        <w:jc w:val="both"/>
        <w:rPr>
          <w:color w:val="00B0F0"/>
        </w:rPr>
      </w:pPr>
      <w:r w:rsidRPr="00521319">
        <w:rPr>
          <w:color w:val="00B0F0"/>
        </w:rPr>
        <w:t>Does your organisation foresee any transitional issues in any of the constructs including commercial and operational complexities?</w:t>
      </w:r>
    </w:p>
    <w:p w14:paraId="44B01415" w14:textId="26AB4F38" w:rsidR="00121EE3" w:rsidRPr="00121EE3" w:rsidRDefault="0070711A" w:rsidP="00F07112">
      <w:pPr>
        <w:jc w:val="both"/>
      </w:pPr>
      <w:r>
        <w:t>Not applicable</w:t>
      </w:r>
    </w:p>
    <w:p w14:paraId="49BEB975" w14:textId="5508CE3D" w:rsidR="00121EE3" w:rsidRPr="00521319" w:rsidRDefault="00121EE3" w:rsidP="00F07112">
      <w:pPr>
        <w:pStyle w:val="Heading4"/>
        <w:jc w:val="both"/>
        <w:rPr>
          <w:color w:val="00B0F0"/>
        </w:rPr>
      </w:pPr>
      <w:r w:rsidRPr="00521319">
        <w:rPr>
          <w:color w:val="00B0F0"/>
        </w:rPr>
        <w:t xml:space="preserve">To assist </w:t>
      </w:r>
      <w:r w:rsidRPr="00521319">
        <w:rPr>
          <w:rFonts w:ascii="CIDFont+F2" w:hAnsi="CIDFont+F2" w:cs="CIDFont+F2"/>
          <w:color w:val="00B0F0"/>
        </w:rPr>
        <w:t xml:space="preserve">nbn </w:t>
      </w:r>
      <w:r w:rsidRPr="00521319">
        <w:rPr>
          <w:color w:val="00B0F0"/>
        </w:rPr>
        <w:t xml:space="preserve">in capacity management, in the case of Constructs 2 and 3 (with “AVC-only” speed tiers), what would be the additional traffic that you anticipate </w:t>
      </w:r>
      <w:r w:rsidRPr="00521319">
        <w:rPr>
          <w:rFonts w:ascii="CIDFont+F2" w:hAnsi="CIDFont+F2" w:cs="CIDFont+F2"/>
          <w:color w:val="00B0F0"/>
        </w:rPr>
        <w:t xml:space="preserve">nbn </w:t>
      </w:r>
      <w:r w:rsidRPr="00521319">
        <w:rPr>
          <w:color w:val="00B0F0"/>
        </w:rPr>
        <w:t xml:space="preserve">could see enter the network during surge events such as game updates? How would you manage traffic into the </w:t>
      </w:r>
      <w:r w:rsidRPr="00521319">
        <w:rPr>
          <w:rFonts w:ascii="CIDFont+F2" w:hAnsi="CIDFont+F2" w:cs="CIDFont+F2"/>
          <w:color w:val="00B0F0"/>
        </w:rPr>
        <w:t xml:space="preserve">nbn </w:t>
      </w:r>
      <w:r w:rsidRPr="00521319">
        <w:rPr>
          <w:color w:val="00B0F0"/>
        </w:rPr>
        <w:t>network under these construct options?</w:t>
      </w:r>
    </w:p>
    <w:p w14:paraId="4DDCD187" w14:textId="239B978D" w:rsidR="00121EE3" w:rsidRDefault="0070711A" w:rsidP="00F07112">
      <w:pPr>
        <w:jc w:val="both"/>
      </w:pPr>
      <w:r>
        <w:t xml:space="preserve">Not applicable </w:t>
      </w:r>
    </w:p>
    <w:p w14:paraId="3AED3B3E" w14:textId="673D6109" w:rsidR="00121EE3" w:rsidRPr="00521319" w:rsidRDefault="00121EE3" w:rsidP="00F07112">
      <w:pPr>
        <w:pStyle w:val="Heading4"/>
        <w:jc w:val="both"/>
        <w:rPr>
          <w:color w:val="00B0F0"/>
        </w:rPr>
      </w:pPr>
      <w:r w:rsidRPr="00521319">
        <w:rPr>
          <w:color w:val="00B0F0"/>
        </w:rPr>
        <w:t xml:space="preserve">One of the original principles behind </w:t>
      </w:r>
      <w:r w:rsidRPr="00521319">
        <w:rPr>
          <w:rFonts w:ascii="CIDFont+F2" w:hAnsi="CIDFont+F2" w:cs="CIDFont+F2"/>
          <w:color w:val="00B0F0"/>
        </w:rPr>
        <w:t>nbn</w:t>
      </w:r>
      <w:r w:rsidRPr="00521319">
        <w:rPr>
          <w:color w:val="00B0F0"/>
        </w:rPr>
        <w:t xml:space="preserve">’s use of CVC in the product construct was to enable performance-based differentiation for RSPs. How do </w:t>
      </w:r>
      <w:r w:rsidRPr="00521319">
        <w:rPr>
          <w:rFonts w:ascii="CIDFont+F2" w:hAnsi="CIDFont+F2" w:cs="CIDFont+F2"/>
          <w:color w:val="00B0F0"/>
        </w:rPr>
        <w:t>nbn</w:t>
      </w:r>
      <w:r w:rsidRPr="00521319">
        <w:rPr>
          <w:color w:val="00B0F0"/>
        </w:rPr>
        <w:t>’s proposed pricing constructs and price control options impact your organisation’s ability to differentiate and compete in the retail market? What are your performance expectations for “AVC-only” speed tiers, mindful that high performance standards will have cost implications?</w:t>
      </w:r>
    </w:p>
    <w:p w14:paraId="38C09726" w14:textId="144AE8DC" w:rsidR="00121EE3" w:rsidRDefault="00D36891" w:rsidP="00F07112">
      <w:pPr>
        <w:jc w:val="both"/>
      </w:pPr>
      <w:r>
        <w:t>Not applicable</w:t>
      </w:r>
    </w:p>
    <w:p w14:paraId="76D0735E" w14:textId="1D7BCB74" w:rsidR="00121EE3" w:rsidRPr="00521319" w:rsidRDefault="00121EE3" w:rsidP="00F07112">
      <w:pPr>
        <w:pStyle w:val="Heading4"/>
        <w:jc w:val="both"/>
        <w:rPr>
          <w:color w:val="00B0F0"/>
        </w:rPr>
      </w:pPr>
      <w:r w:rsidRPr="00521319">
        <w:rPr>
          <w:color w:val="00B0F0"/>
        </w:rPr>
        <w:t xml:space="preserve">Could </w:t>
      </w:r>
      <w:r w:rsidRPr="00521319">
        <w:rPr>
          <w:rFonts w:ascii="CIDFont+F2" w:hAnsi="CIDFont+F2" w:cs="CIDFont+F2"/>
          <w:color w:val="00B0F0"/>
        </w:rPr>
        <w:t xml:space="preserve">nbn </w:t>
      </w:r>
      <w:r w:rsidRPr="00521319">
        <w:rPr>
          <w:color w:val="00B0F0"/>
        </w:rPr>
        <w:t>enable greater differentiation through service add-ons bundled into higher speed tiers (e.g., prioritised appointments, business operations centre)?</w:t>
      </w:r>
    </w:p>
    <w:p w14:paraId="3138F0A4" w14:textId="7111C7F9" w:rsidR="00121EE3" w:rsidRDefault="0070711A" w:rsidP="00F07112">
      <w:pPr>
        <w:jc w:val="both"/>
      </w:pPr>
      <w:r>
        <w:t>ACCAN would like to see retailers competing on customer service rather than speed performance, as consumers should be getting the speed performance they are paying for. From a wholesaler perspective, nbn could sell service add-ons for prioritised appointments</w:t>
      </w:r>
      <w:r w:rsidR="00DA007C">
        <w:t xml:space="preserve"> or fault rectification</w:t>
      </w:r>
      <w:r>
        <w:t xml:space="preserve">, however these </w:t>
      </w:r>
      <w:r w:rsidR="00B55106">
        <w:t>should not</w:t>
      </w:r>
      <w:r>
        <w:t xml:space="preserve"> allow nbn to provide poor service standards and monetarise appropriate service levels, so that only consumers who are </w:t>
      </w:r>
      <w:r w:rsidR="00634A06">
        <w:t xml:space="preserve">able </w:t>
      </w:r>
      <w:r>
        <w:t xml:space="preserve">to pay for a decent service are able to receive one. </w:t>
      </w:r>
    </w:p>
    <w:p w14:paraId="69E40365" w14:textId="58D335A5" w:rsidR="00121EE3" w:rsidRPr="00521319" w:rsidRDefault="00121EE3" w:rsidP="00F07112">
      <w:pPr>
        <w:pStyle w:val="Heading4"/>
        <w:jc w:val="both"/>
        <w:rPr>
          <w:color w:val="00B0F0"/>
        </w:rPr>
      </w:pPr>
      <w:r w:rsidRPr="00521319">
        <w:rPr>
          <w:color w:val="00B0F0"/>
        </w:rPr>
        <w:t>What, if any, difference do you see in performance for your target customer segments?</w:t>
      </w:r>
    </w:p>
    <w:p w14:paraId="37334B63" w14:textId="2AEC38C1" w:rsidR="002F6C44" w:rsidRDefault="0070711A" w:rsidP="00E43273">
      <w:pPr>
        <w:jc w:val="both"/>
      </w:pPr>
      <w:r>
        <w:t>Not applicable.</w:t>
      </w:r>
    </w:p>
    <w:p w14:paraId="434A0BD2" w14:textId="77777777" w:rsidR="00A80A95" w:rsidRDefault="00A80A95" w:rsidP="00E43273">
      <w:pPr>
        <w:jc w:val="both"/>
      </w:pPr>
    </w:p>
    <w:p w14:paraId="6B56254C" w14:textId="01A97669" w:rsidR="00121EE3" w:rsidRDefault="00121EE3" w:rsidP="00121EE3">
      <w:pPr>
        <w:pStyle w:val="Heading3"/>
      </w:pPr>
      <w:bookmarkStart w:id="28" w:name="_Toc78452069"/>
      <w:r>
        <w:t>Options for low-income households</w:t>
      </w:r>
      <w:bookmarkEnd w:id="28"/>
    </w:p>
    <w:p w14:paraId="5D30526A" w14:textId="5F53C7A9" w:rsidR="00121EE3" w:rsidRDefault="00EB7930" w:rsidP="00F02C21">
      <w:pPr>
        <w:jc w:val="both"/>
        <w:rPr>
          <w:lang w:eastAsia="en-US"/>
        </w:rPr>
      </w:pPr>
      <w:r>
        <w:rPr>
          <w:lang w:eastAsia="en-US"/>
        </w:rPr>
        <w:t>NBN has presented two options regarding support for low income households:</w:t>
      </w:r>
    </w:p>
    <w:p w14:paraId="2C1F9143" w14:textId="46E06BD3" w:rsidR="00EB7930" w:rsidRDefault="00EB7930" w:rsidP="00F02C21">
      <w:pPr>
        <w:pStyle w:val="ListParagraph"/>
        <w:numPr>
          <w:ilvl w:val="0"/>
          <w:numId w:val="25"/>
        </w:numPr>
        <w:jc w:val="both"/>
      </w:pPr>
      <w:r w:rsidRPr="00EB7930">
        <w:rPr>
          <w:b/>
          <w:bCs/>
        </w:rPr>
        <w:t>Option 1</w:t>
      </w:r>
      <w:r>
        <w:t>: An offer to households with Age Pension and Disability Support Pension recipients, estimated to be over 1 million premises, with a price adjustment between 4-7% on all other TC- 4 services.</w:t>
      </w:r>
    </w:p>
    <w:p w14:paraId="2A956967" w14:textId="49ACF9BF" w:rsidR="00EB7930" w:rsidRDefault="00EB7930" w:rsidP="00F02C21">
      <w:pPr>
        <w:pStyle w:val="ListParagraph"/>
        <w:numPr>
          <w:ilvl w:val="0"/>
          <w:numId w:val="25"/>
        </w:numPr>
        <w:jc w:val="both"/>
      </w:pPr>
      <w:r>
        <w:rPr>
          <w:b/>
          <w:bCs/>
        </w:rPr>
        <w:lastRenderedPageBreak/>
        <w:t>Option 2</w:t>
      </w:r>
      <w:r w:rsidRPr="00EB7930">
        <w:t>:</w:t>
      </w:r>
      <w:r>
        <w:t xml:space="preserve"> Nbn continues to explore targeted approaches put forward in the 2021 pricing consultation. </w:t>
      </w:r>
    </w:p>
    <w:p w14:paraId="1DB4D663" w14:textId="6CB7BF58" w:rsidR="00F02C21" w:rsidRDefault="00336DC4" w:rsidP="00F02C21">
      <w:pPr>
        <w:jc w:val="both"/>
      </w:pPr>
      <w:r>
        <w:t xml:space="preserve">Since 2019, nbn has been consulting on how to connect the unconnected and ACCAN was led to believe that this product would be brought to market this year. </w:t>
      </w:r>
      <w:r w:rsidR="00DA007C">
        <w:t>W</w:t>
      </w:r>
      <w:r>
        <w:t>e</w:t>
      </w:r>
      <w:r w:rsidR="00EB7930">
        <w:t xml:space="preserve"> consider that nbn should continue to explore the targeted approaches put forward in the 2021 pricing consultation,</w:t>
      </w:r>
      <w:r w:rsidR="00F02C21">
        <w:t xml:space="preserve"> which included providing a 25/5 Mbps service with a 150 GB data cap to premises not currently connected to the network. </w:t>
      </w:r>
      <w:r w:rsidR="00E012C0">
        <w:t>Whilst we have concerns about the limitations o</w:t>
      </w:r>
      <w:r w:rsidR="002232D8">
        <w:t>f</w:t>
      </w:r>
      <w:r w:rsidR="00E012C0">
        <w:t xml:space="preserve"> the service proposed, </w:t>
      </w:r>
      <w:r w:rsidR="002232D8">
        <w:t>nbn</w:t>
      </w:r>
      <w:r w:rsidR="00E012C0">
        <w:t xml:space="preserve"> should continue the work</w:t>
      </w:r>
      <w:r w:rsidR="00F02C21">
        <w:t xml:space="preserve"> </w:t>
      </w:r>
      <w:r w:rsidR="00E012C0">
        <w:t xml:space="preserve">it </w:t>
      </w:r>
      <w:r w:rsidR="00F02C21">
        <w:t>has done in this area</w:t>
      </w:r>
      <w:r w:rsidR="00E012C0">
        <w:t xml:space="preserve">, taking on board feedback from its </w:t>
      </w:r>
      <w:r w:rsidR="00F8434F">
        <w:t xml:space="preserve">2021 </w:t>
      </w:r>
      <w:r w:rsidR="00E012C0">
        <w:t>Pricing Review consultation, as there</w:t>
      </w:r>
      <w:r w:rsidR="00F02C21">
        <w:t xml:space="preserve"> is </w:t>
      </w:r>
      <w:r w:rsidR="002232D8">
        <w:t>an immediate</w:t>
      </w:r>
      <w:r w:rsidR="00F02C21">
        <w:t xml:space="preserve"> need for the service. </w:t>
      </w:r>
      <w:r w:rsidR="00C6643E">
        <w:t>Furthermore, nbn will benefit from implementing option 2 now as it will increase take up of services.</w:t>
      </w:r>
    </w:p>
    <w:p w14:paraId="7BE068D7" w14:textId="77777777" w:rsidR="004D6A84" w:rsidRDefault="00F02C21" w:rsidP="00404B0D">
      <w:pPr>
        <w:jc w:val="both"/>
      </w:pPr>
      <w:r>
        <w:t xml:space="preserve">At the same time, we see no reason that discussion and development of a low income offer to be introduced to the SAU cannot continue. </w:t>
      </w:r>
      <w:r w:rsidR="00B90FC4">
        <w:t xml:space="preserve">The benefit of embedding a low income offer in the SAU framework ensures longevity and certainty which may be required to encourage RSPs to resell the service. </w:t>
      </w:r>
    </w:p>
    <w:p w14:paraId="4520F13B" w14:textId="0298FED9" w:rsidR="00A55B52" w:rsidRDefault="00B90FC4" w:rsidP="00404B0D">
      <w:pPr>
        <w:jc w:val="both"/>
      </w:pPr>
      <w:r>
        <w:t>Currently 46% of waged poor households</w:t>
      </w:r>
      <w:r w:rsidR="004D6A84">
        <w:t xml:space="preserve"> with a broadband service report having trouble paying for the ongoing cost of the service, with around a third of waged poor households ‘usually or always’ </w:t>
      </w:r>
      <w:r w:rsidR="00471A52">
        <w:t>having</w:t>
      </w:r>
      <w:r w:rsidR="004D6A84">
        <w:t xml:space="preserve"> trouble paying</w:t>
      </w:r>
      <w:r w:rsidR="00471A52">
        <w:t xml:space="preserve"> for the cost of service</w:t>
      </w:r>
      <w:r w:rsidR="004D6A84">
        <w:t>.</w:t>
      </w:r>
      <w:r w:rsidR="004D6A84">
        <w:rPr>
          <w:rStyle w:val="FootnoteReference"/>
        </w:rPr>
        <w:footnoteReference w:id="16"/>
      </w:r>
      <w:r w:rsidR="004D6A84">
        <w:t xml:space="preserve"> The situation is worse for waged poor households living in rented accommodation, where 53% of households report struggling to pay for the service. The report by SACOSS</w:t>
      </w:r>
      <w:r w:rsidR="00621475">
        <w:t xml:space="preserve"> also</w:t>
      </w:r>
      <w:r w:rsidR="004D6A84">
        <w:t xml:space="preserve"> indicated that households were prioritising phone and internet bills by going without other goods and services. </w:t>
      </w:r>
      <w:r w:rsidR="00003F2A">
        <w:t>Furthermore,</w:t>
      </w:r>
      <w:r w:rsidR="00621475">
        <w:t xml:space="preserve"> t</w:t>
      </w:r>
      <w:r w:rsidR="004D6A84">
        <w:t xml:space="preserve">he Bureau of Communications Research shows that the proportion of households engaging in unsustainable expenditure has increased from 2015 to 2017, indicating that </w:t>
      </w:r>
      <w:r w:rsidR="00621475">
        <w:t xml:space="preserve">potentially </w:t>
      </w:r>
      <w:r w:rsidR="004D6A84">
        <w:t>more households are maintaining expenditure on communications services by forgoing expenditure on other goods and services.</w:t>
      </w:r>
      <w:r w:rsidR="004D6A84">
        <w:rPr>
          <w:rStyle w:val="FootnoteReference"/>
        </w:rPr>
        <w:footnoteReference w:id="17"/>
      </w:r>
      <w:r w:rsidR="0064283C">
        <w:t xml:space="preserve"> </w:t>
      </w:r>
    </w:p>
    <w:p w14:paraId="44FB035A" w14:textId="0AB44A9D" w:rsidR="00E7790D" w:rsidRDefault="00471A52" w:rsidP="00404B0D">
      <w:pPr>
        <w:jc w:val="both"/>
      </w:pPr>
      <w:r>
        <w:t>Between 2018</w:t>
      </w:r>
      <w:r w:rsidR="003D259A">
        <w:t>-</w:t>
      </w:r>
      <w:r>
        <w:t xml:space="preserve">19 – 2019-20 the advertised price for lower speed nbn plans </w:t>
      </w:r>
      <w:r w:rsidR="009E1F11">
        <w:t xml:space="preserve">increased by </w:t>
      </w:r>
      <w:r>
        <w:t>6.1%, between 2015/16 – 2019/20 the price increased 16.5%.</w:t>
      </w:r>
      <w:r>
        <w:rPr>
          <w:rStyle w:val="FootnoteReference"/>
        </w:rPr>
        <w:footnoteReference w:id="18"/>
      </w:r>
      <w:r>
        <w:t xml:space="preserve"> The increase in cost of lower speed plans creates greater financial stress for low income households. Whilst we acknowledge the negative impact a broader offer can have on nbn’s revenue there needs to be recognition of the</w:t>
      </w:r>
      <w:r w:rsidR="00A73C2F">
        <w:t xml:space="preserve"> long-term</w:t>
      </w:r>
      <w:r>
        <w:t xml:space="preserve"> need </w:t>
      </w:r>
      <w:r w:rsidR="00A73C2F">
        <w:t xml:space="preserve">for an affordable option for low income consumers </w:t>
      </w:r>
      <w:r>
        <w:t xml:space="preserve">and </w:t>
      </w:r>
      <w:r w:rsidR="00A73C2F">
        <w:t>steps taken to achieve this.</w:t>
      </w:r>
      <w:r>
        <w:t xml:space="preserve"> </w:t>
      </w:r>
    </w:p>
    <w:p w14:paraId="419F1BE9" w14:textId="77777777" w:rsidR="00A80A95" w:rsidRDefault="00A80A95" w:rsidP="00404B0D">
      <w:pPr>
        <w:jc w:val="both"/>
      </w:pPr>
    </w:p>
    <w:p w14:paraId="404B662E" w14:textId="1BB358F5" w:rsidR="00121EE3" w:rsidRDefault="00121EE3" w:rsidP="00121EE3">
      <w:pPr>
        <w:pStyle w:val="Heading3"/>
      </w:pPr>
      <w:bookmarkStart w:id="29" w:name="_Toc78452070"/>
      <w:r>
        <w:lastRenderedPageBreak/>
        <w:t>Potential withdrawal of “Basic” AVC and CVC Offers</w:t>
      </w:r>
      <w:bookmarkEnd w:id="29"/>
    </w:p>
    <w:p w14:paraId="3F226018" w14:textId="6D1DB969" w:rsidR="00121EE3" w:rsidRPr="00521319" w:rsidRDefault="00121EE3" w:rsidP="004D4D07">
      <w:pPr>
        <w:pStyle w:val="Heading4"/>
        <w:jc w:val="both"/>
        <w:rPr>
          <w:color w:val="00B0F0"/>
        </w:rPr>
      </w:pPr>
      <w:r w:rsidRPr="00521319">
        <w:rPr>
          <w:color w:val="00B0F0"/>
        </w:rPr>
        <w:t>Does your organisation support the withdrawal of Basic AVC and CVC (TC-4) services from the SAU (for fixed-line and fixed wireless services only), and thereby from supply?</w:t>
      </w:r>
    </w:p>
    <w:p w14:paraId="285EE3C9" w14:textId="77328335" w:rsidR="00121EE3" w:rsidRPr="00121EE3" w:rsidRDefault="00612928" w:rsidP="004D4D07">
      <w:pPr>
        <w:jc w:val="both"/>
        <w:rPr>
          <w:lang w:eastAsia="en-US"/>
        </w:rPr>
      </w:pPr>
      <w:r>
        <w:rPr>
          <w:lang w:eastAsia="en-US"/>
        </w:rPr>
        <w:t xml:space="preserve">On introducing a new pricing construct, ACCAN supports the removal of the ‘Basic’ </w:t>
      </w:r>
      <w:proofErr w:type="gramStart"/>
      <w:r>
        <w:rPr>
          <w:lang w:eastAsia="en-US"/>
        </w:rPr>
        <w:t>AVC</w:t>
      </w:r>
      <w:proofErr w:type="gramEnd"/>
      <w:r>
        <w:rPr>
          <w:lang w:eastAsia="en-US"/>
        </w:rPr>
        <w:t xml:space="preserve"> and CVC offers from the SAU. </w:t>
      </w:r>
      <w:r w:rsidR="004D4D07">
        <w:rPr>
          <w:lang w:eastAsia="en-US"/>
        </w:rPr>
        <w:t>With</w:t>
      </w:r>
      <w:r>
        <w:rPr>
          <w:lang w:eastAsia="en-US"/>
        </w:rPr>
        <w:t xml:space="preserve"> the introduction of the Bundles the Basic List Prices are relatively irrelevant within the fixed line and </w:t>
      </w:r>
      <w:r w:rsidR="00826B23">
        <w:rPr>
          <w:lang w:eastAsia="en-US"/>
        </w:rPr>
        <w:t>F</w:t>
      </w:r>
      <w:r>
        <w:rPr>
          <w:lang w:eastAsia="en-US"/>
        </w:rPr>
        <w:t xml:space="preserve">ixed </w:t>
      </w:r>
      <w:r w:rsidR="00826B23">
        <w:rPr>
          <w:lang w:eastAsia="en-US"/>
        </w:rPr>
        <w:t>W</w:t>
      </w:r>
      <w:r>
        <w:rPr>
          <w:lang w:eastAsia="en-US"/>
        </w:rPr>
        <w:t>ireless footprint</w:t>
      </w:r>
      <w:r w:rsidR="004D4D07">
        <w:rPr>
          <w:lang w:eastAsia="en-US"/>
        </w:rPr>
        <w:t xml:space="preserve"> and the prices in the SAU need to be brought more closely in line with how the market operates today</w:t>
      </w:r>
      <w:r>
        <w:rPr>
          <w:lang w:eastAsia="en-US"/>
        </w:rPr>
        <w:t xml:space="preserve">. </w:t>
      </w:r>
    </w:p>
    <w:p w14:paraId="733B7140" w14:textId="5B556C8F" w:rsidR="00121EE3" w:rsidRDefault="00121EE3" w:rsidP="004D4D07">
      <w:pPr>
        <w:pStyle w:val="Heading4"/>
        <w:jc w:val="both"/>
        <w:rPr>
          <w:color w:val="00B0F0"/>
        </w:rPr>
      </w:pPr>
      <w:r w:rsidRPr="00121EE3">
        <w:rPr>
          <w:color w:val="00B0F0"/>
        </w:rPr>
        <w:t>What are the impacts your organisation foresees if existing Basic AVC and CVC (TC-4) services were to</w:t>
      </w:r>
      <w:r>
        <w:rPr>
          <w:color w:val="00B0F0"/>
        </w:rPr>
        <w:t xml:space="preserve"> </w:t>
      </w:r>
      <w:r w:rsidRPr="00121EE3">
        <w:rPr>
          <w:color w:val="00B0F0"/>
        </w:rPr>
        <w:t>be withdrawn?</w:t>
      </w:r>
    </w:p>
    <w:p w14:paraId="7732A248" w14:textId="3F42106C" w:rsidR="00121EE3" w:rsidRPr="00121EE3" w:rsidRDefault="00612928" w:rsidP="004D4D07">
      <w:pPr>
        <w:jc w:val="both"/>
        <w:rPr>
          <w:lang w:eastAsia="en-US"/>
        </w:rPr>
      </w:pPr>
      <w:r>
        <w:rPr>
          <w:lang w:eastAsia="en-US"/>
        </w:rPr>
        <w:t>Not applicable</w:t>
      </w:r>
    </w:p>
    <w:p w14:paraId="73F61494" w14:textId="6C88996B" w:rsidR="00121EE3" w:rsidRDefault="00121EE3" w:rsidP="004D4D07">
      <w:pPr>
        <w:pStyle w:val="Heading4"/>
        <w:jc w:val="both"/>
        <w:rPr>
          <w:color w:val="00B0F0"/>
        </w:rPr>
      </w:pPr>
      <w:r w:rsidRPr="00121EE3">
        <w:rPr>
          <w:color w:val="00B0F0"/>
        </w:rPr>
        <w:t>Would the withdrawal of existing AVC and CVC (TC-4) services reduce complexity and operational</w:t>
      </w:r>
      <w:r>
        <w:rPr>
          <w:color w:val="00B0F0"/>
        </w:rPr>
        <w:t xml:space="preserve"> </w:t>
      </w:r>
      <w:r w:rsidRPr="00121EE3">
        <w:rPr>
          <w:color w:val="00B0F0"/>
        </w:rPr>
        <w:t>costs for your organisation?</w:t>
      </w:r>
    </w:p>
    <w:p w14:paraId="4F72820D" w14:textId="3500B0CE" w:rsidR="00121EE3" w:rsidRPr="00121EE3" w:rsidRDefault="004D4D07" w:rsidP="00121EE3">
      <w:pPr>
        <w:rPr>
          <w:lang w:eastAsia="en-US"/>
        </w:rPr>
      </w:pPr>
      <w:r>
        <w:rPr>
          <w:lang w:eastAsia="en-US"/>
        </w:rPr>
        <w:t>Not applicable</w:t>
      </w:r>
    </w:p>
    <w:p w14:paraId="2F29DFE5" w14:textId="768B9A83" w:rsidR="00121EE3" w:rsidRDefault="00121EE3" w:rsidP="00121EE3">
      <w:pPr>
        <w:pStyle w:val="Heading4"/>
        <w:rPr>
          <w:color w:val="00B0F0"/>
        </w:rPr>
      </w:pPr>
      <w:r w:rsidRPr="00121EE3">
        <w:rPr>
          <w:color w:val="00B0F0"/>
        </w:rPr>
        <w:t>If nbn was to withdraw Basic AVC (TC-4), how would this impact your organisation’s demand for TC-2</w:t>
      </w:r>
      <w:r>
        <w:rPr>
          <w:color w:val="00B0F0"/>
        </w:rPr>
        <w:t xml:space="preserve"> </w:t>
      </w:r>
      <w:r w:rsidRPr="00121EE3">
        <w:rPr>
          <w:color w:val="00B0F0"/>
        </w:rPr>
        <w:t>services?</w:t>
      </w:r>
    </w:p>
    <w:p w14:paraId="64B37EF6" w14:textId="60B27543" w:rsidR="004D4D07" w:rsidRDefault="006C1A3A" w:rsidP="004D4D07">
      <w:pPr>
        <w:jc w:val="both"/>
        <w:rPr>
          <w:lang w:eastAsia="en-US"/>
        </w:rPr>
      </w:pPr>
      <w:r>
        <w:rPr>
          <w:lang w:eastAsia="en-US"/>
        </w:rPr>
        <w:t xml:space="preserve">“Basic” AVC (Access Virtual Circuit) </w:t>
      </w:r>
      <w:r w:rsidR="00B765FF">
        <w:rPr>
          <w:lang w:eastAsia="en-US"/>
        </w:rPr>
        <w:t xml:space="preserve">TC-4 </w:t>
      </w:r>
      <w:r>
        <w:rPr>
          <w:lang w:eastAsia="en-US"/>
        </w:rPr>
        <w:t xml:space="preserve">offers refer to </w:t>
      </w:r>
      <w:r w:rsidR="00B765FF">
        <w:rPr>
          <w:lang w:eastAsia="en-US"/>
        </w:rPr>
        <w:t xml:space="preserve">residential services sold </w:t>
      </w:r>
      <w:r>
        <w:rPr>
          <w:lang w:eastAsia="en-US"/>
        </w:rPr>
        <w:t xml:space="preserve">which </w:t>
      </w:r>
      <w:r w:rsidR="00B765FF">
        <w:rPr>
          <w:lang w:eastAsia="en-US"/>
        </w:rPr>
        <w:t>are</w:t>
      </w:r>
      <w:r>
        <w:rPr>
          <w:lang w:eastAsia="en-US"/>
        </w:rPr>
        <w:t xml:space="preserve"> not part of a bundle, the RSP then has to purchase capacity by purchasing CVC (connectivity virtual circuit). Following the introduction of bundles the basic AVC offer </w:t>
      </w:r>
      <w:r w:rsidR="001D7EA7">
        <w:rPr>
          <w:lang w:eastAsia="en-US"/>
        </w:rPr>
        <w:t xml:space="preserve">stopped being the </w:t>
      </w:r>
      <w:r>
        <w:rPr>
          <w:lang w:eastAsia="en-US"/>
        </w:rPr>
        <w:t>predominant method</w:t>
      </w:r>
      <w:r w:rsidR="001D7EA7">
        <w:rPr>
          <w:lang w:eastAsia="en-US"/>
        </w:rPr>
        <w:t xml:space="preserve"> for which</w:t>
      </w:r>
      <w:r>
        <w:rPr>
          <w:lang w:eastAsia="en-US"/>
        </w:rPr>
        <w:t xml:space="preserve"> RSPs purchase access to the network. </w:t>
      </w:r>
      <w:r w:rsidR="001D7EA7">
        <w:rPr>
          <w:lang w:eastAsia="en-US"/>
        </w:rPr>
        <w:t>However, a</w:t>
      </w:r>
      <w:r w:rsidR="004D4D07">
        <w:rPr>
          <w:lang w:eastAsia="en-US"/>
        </w:rPr>
        <w:t>round 4,500 of the Basic AVCs purchased are done so to supplement TC-2</w:t>
      </w:r>
      <w:r w:rsidR="001D7EA7">
        <w:rPr>
          <w:lang w:eastAsia="en-US"/>
        </w:rPr>
        <w:t xml:space="preserve"> (</w:t>
      </w:r>
      <w:r w:rsidR="003965F8">
        <w:rPr>
          <w:lang w:eastAsia="en-US"/>
        </w:rPr>
        <w:t xml:space="preserve">symmetrical </w:t>
      </w:r>
      <w:r w:rsidR="001D7EA7">
        <w:rPr>
          <w:lang w:eastAsia="en-US"/>
        </w:rPr>
        <w:t>business grade</w:t>
      </w:r>
      <w:r w:rsidR="00B765FF">
        <w:rPr>
          <w:lang w:eastAsia="en-US"/>
        </w:rPr>
        <w:t>)</w:t>
      </w:r>
      <w:r w:rsidR="001D7EA7">
        <w:rPr>
          <w:lang w:eastAsia="en-US"/>
        </w:rPr>
        <w:t xml:space="preserve"> services</w:t>
      </w:r>
      <w:r w:rsidR="004D4D07">
        <w:rPr>
          <w:lang w:eastAsia="en-US"/>
        </w:rPr>
        <w:t>. Nbn should consider how t</w:t>
      </w:r>
      <w:r w:rsidR="008F4114">
        <w:rPr>
          <w:lang w:eastAsia="en-US"/>
        </w:rPr>
        <w:t>hese services are</w:t>
      </w:r>
      <w:r w:rsidR="004D4D07">
        <w:rPr>
          <w:lang w:eastAsia="en-US"/>
        </w:rPr>
        <w:t xml:space="preserve"> being used in conjunction with TC-2 services and whether they could develop an ‘add-on’ for TC-2 services to replace the</w:t>
      </w:r>
      <w:r w:rsidR="001D7EA7">
        <w:rPr>
          <w:lang w:eastAsia="en-US"/>
        </w:rPr>
        <w:t xml:space="preserve"> Basic</w:t>
      </w:r>
      <w:r w:rsidR="004D4D07">
        <w:rPr>
          <w:lang w:eastAsia="en-US"/>
        </w:rPr>
        <w:t xml:space="preserve"> AVC List price for those RSPs that are purchasing the service for this use. </w:t>
      </w:r>
    </w:p>
    <w:p w14:paraId="71CC26D7" w14:textId="77777777" w:rsidR="00E7790D" w:rsidRPr="004D4D07" w:rsidRDefault="00E7790D" w:rsidP="004D4D07">
      <w:pPr>
        <w:jc w:val="both"/>
        <w:rPr>
          <w:lang w:eastAsia="en-US"/>
        </w:rPr>
      </w:pPr>
    </w:p>
    <w:p w14:paraId="12E5A335" w14:textId="3D911EA6" w:rsidR="00121EE3" w:rsidRDefault="00121EE3" w:rsidP="00121EE3">
      <w:pPr>
        <w:pStyle w:val="Heading3"/>
      </w:pPr>
      <w:bookmarkStart w:id="30" w:name="_Toc78452071"/>
      <w:r>
        <w:t>Use of targeted discounts remains relevant and appropriate</w:t>
      </w:r>
      <w:bookmarkEnd w:id="30"/>
    </w:p>
    <w:p w14:paraId="0351A8C4" w14:textId="00F98F2D" w:rsidR="00521319" w:rsidRDefault="004D4D07" w:rsidP="008F4114">
      <w:pPr>
        <w:jc w:val="both"/>
        <w:rPr>
          <w:lang w:eastAsia="en-US"/>
        </w:rPr>
      </w:pPr>
      <w:r>
        <w:rPr>
          <w:lang w:eastAsia="en-US"/>
        </w:rPr>
        <w:t>ACCAN supports nbn’s ability to introduce discounts as providing nbn with flexibility to test products and services, as well as respond to changing market demand</w:t>
      </w:r>
      <w:r w:rsidR="001548D5">
        <w:rPr>
          <w:lang w:eastAsia="en-US"/>
        </w:rPr>
        <w:t>,</w:t>
      </w:r>
      <w:r>
        <w:rPr>
          <w:lang w:eastAsia="en-US"/>
        </w:rPr>
        <w:t xml:space="preserve"> </w:t>
      </w:r>
      <w:r w:rsidR="000D1263">
        <w:rPr>
          <w:lang w:eastAsia="en-US"/>
        </w:rPr>
        <w:t xml:space="preserve">provides benefit to consumers. That said, there needs to be safeguards to ensure that the prices </w:t>
      </w:r>
      <w:r w:rsidR="00641955">
        <w:rPr>
          <w:lang w:eastAsia="en-US"/>
        </w:rPr>
        <w:t xml:space="preserve">at </w:t>
      </w:r>
      <w:r w:rsidR="000D1263">
        <w:rPr>
          <w:lang w:eastAsia="en-US"/>
        </w:rPr>
        <w:t>which the majority of nbn services are sold do not diverge significantly from those set out within the SAU, leaving RSPs and end</w:t>
      </w:r>
      <w:r w:rsidR="00826B23">
        <w:rPr>
          <w:lang w:eastAsia="en-US"/>
        </w:rPr>
        <w:t xml:space="preserve"> </w:t>
      </w:r>
      <w:r w:rsidR="000D1263">
        <w:rPr>
          <w:lang w:eastAsia="en-US"/>
        </w:rPr>
        <w:t>users open to the possibility of significant price shocks. ACCAN considers that this could be achieve</w:t>
      </w:r>
      <w:r w:rsidR="00BA46C8">
        <w:rPr>
          <w:lang w:eastAsia="en-US"/>
        </w:rPr>
        <w:t>d</w:t>
      </w:r>
      <w:r w:rsidR="000D1263">
        <w:rPr>
          <w:lang w:eastAsia="en-US"/>
        </w:rPr>
        <w:t xml:space="preserve"> via more frequent SAU price reviews, in line with the replacement modules, which occur on a 3-5 year timeframe.</w:t>
      </w:r>
    </w:p>
    <w:p w14:paraId="5AF4BAD2" w14:textId="77777777" w:rsidR="00E7790D" w:rsidRPr="00521319" w:rsidRDefault="00E7790D" w:rsidP="008F4114">
      <w:pPr>
        <w:jc w:val="both"/>
        <w:rPr>
          <w:lang w:eastAsia="en-US"/>
        </w:rPr>
      </w:pPr>
    </w:p>
    <w:p w14:paraId="0AD81943" w14:textId="139E5E37" w:rsidR="00521319" w:rsidRPr="00521319" w:rsidRDefault="00521319" w:rsidP="00521319">
      <w:pPr>
        <w:pStyle w:val="Heading2"/>
      </w:pPr>
      <w:bookmarkStart w:id="31" w:name="_Toc78452072"/>
      <w:r>
        <w:lastRenderedPageBreak/>
        <w:t>Inclusion of MTM technologies</w:t>
      </w:r>
      <w:bookmarkEnd w:id="31"/>
    </w:p>
    <w:p w14:paraId="7E0BE5CE" w14:textId="702AEF95" w:rsidR="00521319" w:rsidRDefault="00521319" w:rsidP="00A476CA">
      <w:pPr>
        <w:pStyle w:val="Heading4"/>
        <w:jc w:val="both"/>
        <w:rPr>
          <w:rFonts w:eastAsiaTheme="minorHAnsi"/>
          <w:color w:val="00B0F0"/>
        </w:rPr>
      </w:pPr>
      <w:r w:rsidRPr="00521319">
        <w:rPr>
          <w:rFonts w:eastAsiaTheme="minorHAnsi"/>
          <w:color w:val="00B0F0"/>
        </w:rPr>
        <w:t xml:space="preserve">Do RSPs consider that </w:t>
      </w:r>
      <w:r w:rsidRPr="00521319">
        <w:rPr>
          <w:rFonts w:ascii="CIDFont+F2" w:eastAsiaTheme="minorHAnsi" w:hAnsi="CIDFont+F2" w:cs="CIDFont+F2"/>
          <w:color w:val="00B0F0"/>
        </w:rPr>
        <w:t>nbn</w:t>
      </w:r>
      <w:r w:rsidRPr="00521319">
        <w:rPr>
          <w:rFonts w:eastAsiaTheme="minorHAnsi"/>
          <w:color w:val="00B0F0"/>
        </w:rPr>
        <w:t xml:space="preserve">’s proposed approach to including the MTM technologies in the SAU, </w:t>
      </w:r>
      <w:proofErr w:type="gramStart"/>
      <w:r w:rsidRPr="00521319">
        <w:rPr>
          <w:rFonts w:eastAsiaTheme="minorHAnsi"/>
          <w:color w:val="00B0F0"/>
        </w:rPr>
        <w:t>i.e.</w:t>
      </w:r>
      <w:proofErr w:type="gramEnd"/>
      <w:r>
        <w:rPr>
          <w:rFonts w:eastAsiaTheme="minorHAnsi"/>
          <w:color w:val="00B0F0"/>
        </w:rPr>
        <w:t xml:space="preserve"> </w:t>
      </w:r>
      <w:r w:rsidRPr="00521319">
        <w:rPr>
          <w:rFonts w:eastAsiaTheme="minorHAnsi"/>
          <w:color w:val="00B0F0"/>
        </w:rPr>
        <w:t>adopting similar drafting to that proposed in 2016/17, but reflecting the addition of FTTC and the outcomes of</w:t>
      </w:r>
      <w:r>
        <w:rPr>
          <w:rFonts w:eastAsiaTheme="minorHAnsi"/>
          <w:color w:val="00B0F0"/>
        </w:rPr>
        <w:t xml:space="preserve"> </w:t>
      </w:r>
      <w:r w:rsidRPr="00521319">
        <w:rPr>
          <w:rFonts w:eastAsiaTheme="minorHAnsi"/>
          <w:color w:val="00B0F0"/>
        </w:rPr>
        <w:t>the WBA4 negotiations is reasonable? Are there other matters relevant to the introduction of the MTM</w:t>
      </w:r>
      <w:r>
        <w:rPr>
          <w:rFonts w:eastAsiaTheme="minorHAnsi"/>
          <w:color w:val="00B0F0"/>
        </w:rPr>
        <w:t xml:space="preserve"> </w:t>
      </w:r>
      <w:r w:rsidRPr="00521319">
        <w:rPr>
          <w:rFonts w:eastAsiaTheme="minorHAnsi"/>
          <w:color w:val="00B0F0"/>
        </w:rPr>
        <w:t>technologies that you consider should be included?</w:t>
      </w:r>
    </w:p>
    <w:p w14:paraId="2D29BF63" w14:textId="6AF55913" w:rsidR="00870E3B" w:rsidRDefault="00870E3B" w:rsidP="001017BC">
      <w:pPr>
        <w:pStyle w:val="Heading5"/>
      </w:pPr>
      <w:r>
        <w:t>Service description</w:t>
      </w:r>
    </w:p>
    <w:p w14:paraId="3A362203" w14:textId="5600ACA5" w:rsidR="00521319" w:rsidRDefault="005D5FAA" w:rsidP="00A476CA">
      <w:pPr>
        <w:jc w:val="both"/>
        <w:rPr>
          <w:lang w:eastAsia="en-US"/>
        </w:rPr>
      </w:pPr>
      <w:r>
        <w:rPr>
          <w:lang w:eastAsia="en-US"/>
        </w:rPr>
        <w:t>In 2016/17, nbn proposed amending the service description to incorporate the FTTN, FTTB and HFC network types, as well as ‘</w:t>
      </w:r>
      <w:r w:rsidRPr="00E43273">
        <w:rPr>
          <w:i/>
          <w:iCs/>
          <w:lang w:eastAsia="en-US"/>
        </w:rPr>
        <w:t xml:space="preserve">any other </w:t>
      </w:r>
      <w:r w:rsidR="008D383B" w:rsidRPr="00E43273">
        <w:rPr>
          <w:i/>
          <w:iCs/>
          <w:lang w:eastAsia="en-US"/>
        </w:rPr>
        <w:t>telecommunications</w:t>
      </w:r>
      <w:r w:rsidRPr="00E43273">
        <w:rPr>
          <w:i/>
          <w:iCs/>
          <w:lang w:eastAsia="en-US"/>
        </w:rPr>
        <w:t xml:space="preserve"> network or other network elements, platforms, systems and functions over which any product is supplied by Nbn Co’</w:t>
      </w:r>
      <w:r>
        <w:rPr>
          <w:lang w:eastAsia="en-US"/>
        </w:rPr>
        <w:t xml:space="preserve">. At the time, ACCAN agreed with the ACCC’s view that the proposed broadening of the network definition to include ‘any other telecommunications network’ in the SAU should be removed. </w:t>
      </w:r>
      <w:r w:rsidR="008D383B">
        <w:rPr>
          <w:lang w:eastAsia="en-US"/>
        </w:rPr>
        <w:t>ACCAN continues to hold this view a</w:t>
      </w:r>
      <w:r>
        <w:rPr>
          <w:lang w:eastAsia="en-US"/>
        </w:rPr>
        <w:t xml:space="preserve">s in the future, any technologies which nbn adds to the network should be the subject of a further variation and consideration by the ACCC. </w:t>
      </w:r>
    </w:p>
    <w:p w14:paraId="163FF6CE" w14:textId="01A6B11D" w:rsidR="004E6201" w:rsidRDefault="004E6201" w:rsidP="004E6201">
      <w:pPr>
        <w:pStyle w:val="Heading5"/>
      </w:pPr>
      <w:r>
        <w:t>Co-existence and Remediation</w:t>
      </w:r>
    </w:p>
    <w:p w14:paraId="187E99CC" w14:textId="26807942" w:rsidR="004E6201" w:rsidRDefault="004E6201" w:rsidP="00E43273">
      <w:pPr>
        <w:jc w:val="both"/>
        <w:rPr>
          <w:lang w:eastAsia="en-US"/>
        </w:rPr>
      </w:pPr>
      <w:r>
        <w:rPr>
          <w:lang w:eastAsia="en-US"/>
        </w:rPr>
        <w:t xml:space="preserve">In nbn’s previous SAU variation, nbn has proposed to include co-existence and remediation provisions. The co-existence period is the period after a FTTN or FTTB service area has been declared ‘ready for service’ but before the pre-existing copper services in the area have been switched off. Co-existence provisions may not be necessary by the time the SAU variation is implemented, if this is the case it should be removed from the drafting. </w:t>
      </w:r>
    </w:p>
    <w:p w14:paraId="2EEC0658" w14:textId="2873A03E" w:rsidR="004E6201" w:rsidRDefault="004E6201" w:rsidP="00E43273">
      <w:pPr>
        <w:jc w:val="both"/>
        <w:rPr>
          <w:lang w:eastAsia="en-US"/>
        </w:rPr>
      </w:pPr>
      <w:r>
        <w:rPr>
          <w:lang w:eastAsia="en-US"/>
        </w:rPr>
        <w:t>A remediation period occurs where nbn is required to undertake reasonable action to ameliorate the line rate for services provided via FTTN or FTTB networks so that it is capable of achiev</w:t>
      </w:r>
      <w:r w:rsidR="00F8434F">
        <w:rPr>
          <w:lang w:eastAsia="en-US"/>
        </w:rPr>
        <w:t>ing</w:t>
      </w:r>
      <w:r>
        <w:rPr>
          <w:lang w:eastAsia="en-US"/>
        </w:rPr>
        <w:t xml:space="preserve"> the P</w:t>
      </w:r>
      <w:r w:rsidR="001D7EA7">
        <w:rPr>
          <w:lang w:eastAsia="en-US"/>
        </w:rPr>
        <w:t xml:space="preserve">eak </w:t>
      </w:r>
      <w:r>
        <w:rPr>
          <w:lang w:eastAsia="en-US"/>
        </w:rPr>
        <w:t>I</w:t>
      </w:r>
      <w:r w:rsidR="001D7EA7">
        <w:rPr>
          <w:lang w:eastAsia="en-US"/>
        </w:rPr>
        <w:t xml:space="preserve">nformation </w:t>
      </w:r>
      <w:r>
        <w:rPr>
          <w:lang w:eastAsia="en-US"/>
        </w:rPr>
        <w:t>R</w:t>
      </w:r>
      <w:r w:rsidR="001D7EA7">
        <w:rPr>
          <w:lang w:eastAsia="en-US"/>
        </w:rPr>
        <w:t>ate (PIR)</w:t>
      </w:r>
      <w:r>
        <w:rPr>
          <w:lang w:eastAsia="en-US"/>
        </w:rPr>
        <w:t xml:space="preserve"> objective. During the period the clause proposed by nbn provides that until remediation is completed, the downlink line rate and uplink line rate at the U</w:t>
      </w:r>
      <w:r w:rsidR="001D7EA7">
        <w:rPr>
          <w:lang w:eastAsia="en-US"/>
        </w:rPr>
        <w:t xml:space="preserve">ser </w:t>
      </w:r>
      <w:r>
        <w:rPr>
          <w:lang w:eastAsia="en-US"/>
        </w:rPr>
        <w:t>N</w:t>
      </w:r>
      <w:r w:rsidR="001D7EA7">
        <w:rPr>
          <w:lang w:eastAsia="en-US"/>
        </w:rPr>
        <w:t xml:space="preserve">etwork </w:t>
      </w:r>
      <w:r>
        <w:rPr>
          <w:lang w:eastAsia="en-US"/>
        </w:rPr>
        <w:t>I</w:t>
      </w:r>
      <w:r w:rsidR="001D7EA7">
        <w:rPr>
          <w:lang w:eastAsia="en-US"/>
        </w:rPr>
        <w:t>nterface (UNI)</w:t>
      </w:r>
      <w:r>
        <w:rPr>
          <w:lang w:eastAsia="en-US"/>
        </w:rPr>
        <w:t xml:space="preserve"> used in the premises may be significantly less than the downlink PIR and uplink PIR of the bandwidth profile ordered by the RSPs. </w:t>
      </w:r>
    </w:p>
    <w:p w14:paraId="5518A129" w14:textId="77777777" w:rsidR="0094307A" w:rsidRDefault="004E6201" w:rsidP="00E43273">
      <w:pPr>
        <w:jc w:val="both"/>
        <w:rPr>
          <w:lang w:eastAsia="en-US"/>
        </w:rPr>
      </w:pPr>
      <w:r>
        <w:rPr>
          <w:lang w:eastAsia="en-US"/>
        </w:rPr>
        <w:t xml:space="preserve">The WBA 4 required nbn to pay a rebate where a service is unable to achieve its PIR </w:t>
      </w:r>
      <w:r w:rsidR="00245234">
        <w:rPr>
          <w:lang w:eastAsia="en-US"/>
        </w:rPr>
        <w:t>objective</w:t>
      </w:r>
      <w:r>
        <w:rPr>
          <w:lang w:eastAsia="en-US"/>
        </w:rPr>
        <w:t xml:space="preserve"> and nbn designates the service in remediation. The rebate is paid per month at a fixed amount that scales higher in proportion to the length of time since the trouble ticket was acknowledged for the service. </w:t>
      </w:r>
      <w:r w:rsidR="00245234">
        <w:rPr>
          <w:lang w:eastAsia="en-US"/>
        </w:rPr>
        <w:t>ACCAN is unable to say whether the rebate paid is sufficient enough</w:t>
      </w:r>
      <w:r w:rsidR="0094307A">
        <w:rPr>
          <w:lang w:eastAsia="en-US"/>
        </w:rPr>
        <w:t xml:space="preserve"> to ensure that services are placed out of remediation in a timely manner.</w:t>
      </w:r>
      <w:r w:rsidR="00245234">
        <w:rPr>
          <w:lang w:eastAsia="en-US"/>
        </w:rPr>
        <w:t xml:space="preserve"> </w:t>
      </w:r>
    </w:p>
    <w:p w14:paraId="72EC225D" w14:textId="3BC52874" w:rsidR="004E6201" w:rsidRDefault="00245234" w:rsidP="00A476CA">
      <w:pPr>
        <w:jc w:val="both"/>
        <w:rPr>
          <w:lang w:eastAsia="en-US"/>
        </w:rPr>
      </w:pPr>
      <w:r>
        <w:rPr>
          <w:lang w:eastAsia="en-US"/>
        </w:rPr>
        <w:t>ACCAN considers that in the interest of end users nbn should provide information, publicly or to the ACCC, detailing areas, number of services that are in remediation</w:t>
      </w:r>
      <w:r w:rsidR="00DD1600">
        <w:rPr>
          <w:lang w:eastAsia="en-US"/>
        </w:rPr>
        <w:t>,</w:t>
      </w:r>
      <w:r>
        <w:rPr>
          <w:lang w:eastAsia="en-US"/>
        </w:rPr>
        <w:t xml:space="preserve"> and the duration of remediation</w:t>
      </w:r>
      <w:r w:rsidR="000500E3">
        <w:rPr>
          <w:lang w:eastAsia="en-US"/>
        </w:rPr>
        <w:t>, as well as rebates paid,</w:t>
      </w:r>
      <w:r>
        <w:rPr>
          <w:lang w:eastAsia="en-US"/>
        </w:rPr>
        <w:t xml:space="preserve"> as there needs to be a level of oversight as to whether the rebates are providing nbn sufficient incentives to ensure that the remediation processes are not</w:t>
      </w:r>
      <w:r w:rsidR="00DD1600">
        <w:rPr>
          <w:lang w:eastAsia="en-US"/>
        </w:rPr>
        <w:t xml:space="preserve"> unnecessarily</w:t>
      </w:r>
      <w:r>
        <w:rPr>
          <w:lang w:eastAsia="en-US"/>
        </w:rPr>
        <w:t xml:space="preserve"> extended. </w:t>
      </w:r>
    </w:p>
    <w:p w14:paraId="13E6C6EC" w14:textId="0390E07E" w:rsidR="0054423B" w:rsidRPr="00521319" w:rsidRDefault="0054423B" w:rsidP="00ED3A68">
      <w:pPr>
        <w:pStyle w:val="Recommendation"/>
        <w:jc w:val="both"/>
      </w:pPr>
      <w:r>
        <w:t>Nbn should report information, publicly or to the ACCC, on the location, duration and number of services that are in remediation</w:t>
      </w:r>
      <w:r w:rsidR="002826A1">
        <w:t>, and rebates paid</w:t>
      </w:r>
      <w:r w:rsidR="0094433B">
        <w:t>.</w:t>
      </w:r>
    </w:p>
    <w:p w14:paraId="47D90342" w14:textId="2C1D49B5" w:rsidR="00870E3B" w:rsidRDefault="00B66F96" w:rsidP="00E43273">
      <w:pPr>
        <w:pStyle w:val="Heading5"/>
      </w:pPr>
      <w:r>
        <w:lastRenderedPageBreak/>
        <w:t xml:space="preserve">WBA 4 </w:t>
      </w:r>
      <w:r w:rsidR="00870E3B">
        <w:t xml:space="preserve">Service </w:t>
      </w:r>
      <w:r w:rsidR="00B62DA8">
        <w:t>S</w:t>
      </w:r>
      <w:r w:rsidR="00870E3B">
        <w:t>tandards</w:t>
      </w:r>
    </w:p>
    <w:p w14:paraId="137B120D" w14:textId="1A651B76" w:rsidR="0086545E" w:rsidRDefault="007F55C2" w:rsidP="00A476CA">
      <w:pPr>
        <w:jc w:val="both"/>
        <w:rPr>
          <w:lang w:eastAsia="en-US"/>
        </w:rPr>
      </w:pPr>
      <w:r>
        <w:rPr>
          <w:lang w:eastAsia="en-US"/>
        </w:rPr>
        <w:t>ACCAN does not consider that the SAU should entirely reflect the outcomes of the WBA</w:t>
      </w:r>
      <w:r w:rsidR="008D383B">
        <w:rPr>
          <w:lang w:eastAsia="en-US"/>
        </w:rPr>
        <w:t xml:space="preserve"> </w:t>
      </w:r>
      <w:r>
        <w:rPr>
          <w:lang w:eastAsia="en-US"/>
        </w:rPr>
        <w:t>4 negotiations</w:t>
      </w:r>
      <w:r w:rsidR="00EA2E80">
        <w:rPr>
          <w:lang w:eastAsia="en-US"/>
        </w:rPr>
        <w:t>, specifically</w:t>
      </w:r>
      <w:r w:rsidR="008D383B">
        <w:rPr>
          <w:lang w:eastAsia="en-US"/>
        </w:rPr>
        <w:t xml:space="preserve"> in </w:t>
      </w:r>
      <w:r w:rsidR="00C73B35">
        <w:rPr>
          <w:lang w:eastAsia="en-US"/>
        </w:rPr>
        <w:t>regard</w:t>
      </w:r>
      <w:r w:rsidR="008D383B">
        <w:rPr>
          <w:lang w:eastAsia="en-US"/>
        </w:rPr>
        <w:t xml:space="preserve"> to the service standards agreed upon </w:t>
      </w:r>
      <w:r w:rsidR="00EA2E80">
        <w:rPr>
          <w:lang w:eastAsia="en-US"/>
        </w:rPr>
        <w:t xml:space="preserve">within </w:t>
      </w:r>
      <w:r w:rsidR="008D383B">
        <w:rPr>
          <w:lang w:eastAsia="en-US"/>
        </w:rPr>
        <w:t xml:space="preserve">commercial </w:t>
      </w:r>
      <w:r w:rsidR="00EA2E80">
        <w:rPr>
          <w:lang w:eastAsia="en-US"/>
        </w:rPr>
        <w:t xml:space="preserve">negotiations. ACCAN does not believe that the service standards </w:t>
      </w:r>
      <w:r w:rsidR="00C73B35">
        <w:rPr>
          <w:lang w:eastAsia="en-US"/>
        </w:rPr>
        <w:t>incorporated in the WBA 4 are delivering for end users. It is not adequate that the service levels and rebate mechanism is set by nbn.</w:t>
      </w:r>
      <w:r>
        <w:rPr>
          <w:lang w:eastAsia="en-US"/>
        </w:rPr>
        <w:t xml:space="preserve"> </w:t>
      </w:r>
    </w:p>
    <w:p w14:paraId="3C0181BE" w14:textId="7F7B5D0A" w:rsidR="005D5FAA" w:rsidRPr="00521319" w:rsidRDefault="6EB9FD39" w:rsidP="00A476CA">
      <w:pPr>
        <w:jc w:val="both"/>
        <w:rPr>
          <w:lang w:eastAsia="en-US"/>
        </w:rPr>
      </w:pPr>
      <w:r w:rsidRPr="03227533">
        <w:rPr>
          <w:lang w:eastAsia="en-US"/>
        </w:rPr>
        <w:t xml:space="preserve">The Government is currently consulting on a draft determination on standards, </w:t>
      </w:r>
      <w:proofErr w:type="gramStart"/>
      <w:r w:rsidRPr="03227533">
        <w:rPr>
          <w:lang w:eastAsia="en-US"/>
        </w:rPr>
        <w:t>rules</w:t>
      </w:r>
      <w:proofErr w:type="gramEnd"/>
      <w:r w:rsidRPr="03227533">
        <w:rPr>
          <w:lang w:eastAsia="en-US"/>
        </w:rPr>
        <w:t xml:space="preserve"> and benchmarks for Statutory Infrastructure Providers (SIPs).</w:t>
      </w:r>
      <w:r w:rsidR="001017BC">
        <w:rPr>
          <w:rStyle w:val="FootnoteReference"/>
          <w:lang w:eastAsia="en-US"/>
        </w:rPr>
        <w:footnoteReference w:id="19"/>
      </w:r>
      <w:r w:rsidR="14636927" w:rsidRPr="03227533">
        <w:rPr>
          <w:lang w:eastAsia="en-US"/>
        </w:rPr>
        <w:t xml:space="preserve"> </w:t>
      </w:r>
      <w:r w:rsidR="1C1E07A8" w:rsidRPr="03227533">
        <w:rPr>
          <w:lang w:eastAsia="en-US"/>
        </w:rPr>
        <w:t xml:space="preserve">Our preference would be for appropriate service standards to be required via the Determination. However, as the outcome of that consultation is still uncertain, and if the determination does not deliver appropriate service standards, then the SAU </w:t>
      </w:r>
      <w:r w:rsidR="00831272">
        <w:rPr>
          <w:lang w:eastAsia="en-US"/>
        </w:rPr>
        <w:t xml:space="preserve">should be considered </w:t>
      </w:r>
      <w:r w:rsidR="00716EC5">
        <w:rPr>
          <w:lang w:eastAsia="en-US"/>
        </w:rPr>
        <w:t xml:space="preserve">as </w:t>
      </w:r>
      <w:r w:rsidR="1C1E07A8" w:rsidRPr="03227533">
        <w:rPr>
          <w:lang w:eastAsia="en-US"/>
        </w:rPr>
        <w:t>a suitable option to embed service standards in nbn’s regulatory framework.</w:t>
      </w:r>
    </w:p>
    <w:p w14:paraId="20E0CBFF" w14:textId="38CD6381" w:rsidR="00847A6C" w:rsidRDefault="00C73B35" w:rsidP="00A476CA">
      <w:pPr>
        <w:jc w:val="both"/>
        <w:rPr>
          <w:lang w:eastAsia="en-US"/>
        </w:rPr>
      </w:pPr>
      <w:r>
        <w:rPr>
          <w:lang w:eastAsia="en-US"/>
        </w:rPr>
        <w:t xml:space="preserve">Performance and the reliability of services are fundamentally important. </w:t>
      </w:r>
      <w:r w:rsidR="00F525EF">
        <w:rPr>
          <w:lang w:eastAsia="en-US"/>
        </w:rPr>
        <w:t>Thus</w:t>
      </w:r>
      <w:r w:rsidR="00870E3B">
        <w:rPr>
          <w:lang w:eastAsia="en-US"/>
        </w:rPr>
        <w:t>,</w:t>
      </w:r>
      <w:r w:rsidR="00F525EF">
        <w:rPr>
          <w:lang w:eastAsia="en-US"/>
        </w:rPr>
        <w:t xml:space="preserve"> </w:t>
      </w:r>
      <w:r>
        <w:rPr>
          <w:lang w:eastAsia="en-US"/>
        </w:rPr>
        <w:t xml:space="preserve">ACCAN would like to see strong incentives for performance, reporting of performance metrics (such as frequency and duration of outages) and an </w:t>
      </w:r>
      <w:r w:rsidR="00870E3B">
        <w:rPr>
          <w:lang w:eastAsia="en-US"/>
        </w:rPr>
        <w:t>appropriate rebate scheme</w:t>
      </w:r>
      <w:r>
        <w:rPr>
          <w:lang w:eastAsia="en-US"/>
        </w:rPr>
        <w:t xml:space="preserve">. </w:t>
      </w:r>
    </w:p>
    <w:p w14:paraId="2E9B4C74" w14:textId="77777777" w:rsidR="00E94F31" w:rsidRDefault="00E94F31" w:rsidP="00E94F31">
      <w:pPr>
        <w:pStyle w:val="Heading5"/>
      </w:pPr>
      <w:r>
        <w:t>Fixed Wireless performance</w:t>
      </w:r>
    </w:p>
    <w:p w14:paraId="16D0CD31" w14:textId="0B7C76E5" w:rsidR="00E94F31" w:rsidRDefault="00E94F31" w:rsidP="00826B23">
      <w:pPr>
        <w:jc w:val="both"/>
        <w:rPr>
          <w:lang w:eastAsia="en-US"/>
        </w:rPr>
      </w:pPr>
      <w:r>
        <w:rPr>
          <w:lang w:eastAsia="en-US"/>
        </w:rPr>
        <w:t xml:space="preserve">As part of the WBA 4, nbn committed to paying </w:t>
      </w:r>
      <w:r w:rsidR="00DD1600">
        <w:rPr>
          <w:lang w:eastAsia="en-US"/>
        </w:rPr>
        <w:t xml:space="preserve">a </w:t>
      </w:r>
      <w:r>
        <w:rPr>
          <w:lang w:eastAsia="en-US"/>
        </w:rPr>
        <w:t xml:space="preserve">$20 rebate for each month for each </w:t>
      </w:r>
      <w:r w:rsidR="00826B23">
        <w:rPr>
          <w:lang w:eastAsia="en-US"/>
        </w:rPr>
        <w:t>F</w:t>
      </w:r>
      <w:r>
        <w:rPr>
          <w:lang w:eastAsia="en-US"/>
        </w:rPr>
        <w:t xml:space="preserve">ixed </w:t>
      </w:r>
      <w:r w:rsidR="00826B23">
        <w:rPr>
          <w:lang w:eastAsia="en-US"/>
        </w:rPr>
        <w:t>W</w:t>
      </w:r>
      <w:r>
        <w:rPr>
          <w:lang w:eastAsia="en-US"/>
        </w:rPr>
        <w:t xml:space="preserve">ireless AVC TC-4 service that is supplied using a wireless network cell that is </w:t>
      </w:r>
      <w:r w:rsidRPr="00ED64DD">
        <w:rPr>
          <w:i/>
          <w:iCs/>
          <w:lang w:eastAsia="en-US"/>
        </w:rPr>
        <w:t>persistently congested</w:t>
      </w:r>
      <w:r>
        <w:rPr>
          <w:lang w:eastAsia="en-US"/>
        </w:rPr>
        <w:t xml:space="preserve"> during that month. Nbn defines persistently congested as the Wireless Network cell is connected to a Point of Interconnection by a transmission backhaul link that is reported by nbn as having an Average Busy Hour Link packet loss of 0.25% or more for the Last Link Packet Loss Reporting Period ending in that month, or the Average Downlink Throughput of that Wireless Network Cell is reported by nbn as being less than 6 Mbps for the last Downlink Throughput Reporting Period ending in that month. </w:t>
      </w:r>
    </w:p>
    <w:p w14:paraId="635C9C7A" w14:textId="77777777" w:rsidR="00E94F31" w:rsidRDefault="00E94F31" w:rsidP="00826B23">
      <w:pPr>
        <w:jc w:val="both"/>
        <w:rPr>
          <w:lang w:eastAsia="en-US"/>
        </w:rPr>
      </w:pPr>
      <w:r>
        <w:rPr>
          <w:lang w:eastAsia="en-US"/>
        </w:rPr>
        <w:t xml:space="preserve">ACCAN considers that the rebate for missing this speed performance should increase with every subsequent month for which the wireless speed underperforms to provide a greater incentive to nbn to rectify the issue as soon as possible. This would also acknowledge that the longer a consumer is subject to poor performance, the consumer will experience increasing amounts of harm and frustration. </w:t>
      </w:r>
    </w:p>
    <w:p w14:paraId="0C86A79D" w14:textId="6571C2F6" w:rsidR="00E94F31" w:rsidRDefault="00DD1600" w:rsidP="00826B23">
      <w:pPr>
        <w:jc w:val="both"/>
        <w:rPr>
          <w:lang w:eastAsia="en-US"/>
        </w:rPr>
      </w:pPr>
      <w:r>
        <w:rPr>
          <w:lang w:eastAsia="en-US"/>
        </w:rPr>
        <w:t>Additionally,</w:t>
      </w:r>
      <w:r w:rsidR="00E94F31">
        <w:rPr>
          <w:lang w:eastAsia="en-US"/>
        </w:rPr>
        <w:t xml:space="preserve"> ACCAN considers the metric for measuring </w:t>
      </w:r>
      <w:r w:rsidR="00826B23">
        <w:rPr>
          <w:lang w:eastAsia="en-US"/>
        </w:rPr>
        <w:t>F</w:t>
      </w:r>
      <w:r w:rsidR="00E94F31">
        <w:rPr>
          <w:lang w:eastAsia="en-US"/>
        </w:rPr>
        <w:t xml:space="preserve">ixed </w:t>
      </w:r>
      <w:r w:rsidR="00826B23">
        <w:rPr>
          <w:lang w:eastAsia="en-US"/>
        </w:rPr>
        <w:t>W</w:t>
      </w:r>
      <w:r w:rsidR="00E94F31">
        <w:rPr>
          <w:lang w:eastAsia="en-US"/>
        </w:rPr>
        <w:t xml:space="preserve">ireless speed performance remains too low to provide an acceptable service standard. A consumer must be supplied a service via a wireless network cell that has an average downlink throughput of less than 6 Mbps over a month </w:t>
      </w:r>
      <w:r w:rsidR="00736AC2">
        <w:rPr>
          <w:lang w:eastAsia="en-US"/>
        </w:rPr>
        <w:t xml:space="preserve">before nbn will intervene to address the </w:t>
      </w:r>
      <w:r w:rsidR="00E76B6F">
        <w:rPr>
          <w:lang w:eastAsia="en-US"/>
        </w:rPr>
        <w:t xml:space="preserve">speed </w:t>
      </w:r>
      <w:r w:rsidR="000500E3">
        <w:rPr>
          <w:lang w:eastAsia="en-US"/>
        </w:rPr>
        <w:t>performance and</w:t>
      </w:r>
      <w:r w:rsidR="00E76B6F">
        <w:rPr>
          <w:lang w:eastAsia="en-US"/>
        </w:rPr>
        <w:t xml:space="preserve"> provide </w:t>
      </w:r>
      <w:r w:rsidR="00E94F31">
        <w:rPr>
          <w:lang w:eastAsia="en-US"/>
        </w:rPr>
        <w:t xml:space="preserve">the rebate. This level of intervention is set too low, which is likely to result in consumer dissatisfaction. </w:t>
      </w:r>
    </w:p>
    <w:p w14:paraId="0B10FEA0" w14:textId="74973B45" w:rsidR="003C28F7" w:rsidRDefault="003C28F7" w:rsidP="00ED3A68">
      <w:pPr>
        <w:pStyle w:val="Recommendation"/>
        <w:jc w:val="both"/>
      </w:pPr>
      <w:r>
        <w:t xml:space="preserve">The Fixed Wireless speed performance rebate should increase with every subsequent month for which the wireless speed underperforms, and the performance metric for remediation of fixed wireless </w:t>
      </w:r>
      <w:r w:rsidR="6B548AE0">
        <w:t xml:space="preserve">should </w:t>
      </w:r>
      <w:r>
        <w:t>be reconsidered.</w:t>
      </w:r>
    </w:p>
    <w:p w14:paraId="6E62E800" w14:textId="4BBB5A0E" w:rsidR="0064283C" w:rsidRPr="00DD1600" w:rsidRDefault="0064283C" w:rsidP="0064283C">
      <w:pPr>
        <w:pStyle w:val="Heading5"/>
      </w:pPr>
      <w:r>
        <w:lastRenderedPageBreak/>
        <w:t>I</w:t>
      </w:r>
      <w:r w:rsidRPr="00DD1600">
        <w:t>ncorrect call out charges</w:t>
      </w:r>
    </w:p>
    <w:p w14:paraId="636B3B3D" w14:textId="77777777" w:rsidR="0064283C" w:rsidRDefault="0064283C" w:rsidP="0064283C">
      <w:pPr>
        <w:jc w:val="both"/>
        <w:rPr>
          <w:lang w:eastAsia="en-US"/>
        </w:rPr>
      </w:pPr>
      <w:r w:rsidRPr="03227533">
        <w:rPr>
          <w:lang w:eastAsia="en-US"/>
        </w:rPr>
        <w:t>In previous submissions to the SAU variation process,</w:t>
      </w:r>
      <w:r>
        <w:rPr>
          <w:rStyle w:val="FootnoteReference"/>
          <w:lang w:eastAsia="en-US"/>
        </w:rPr>
        <w:footnoteReference w:id="20"/>
      </w:r>
      <w:r w:rsidRPr="03227533">
        <w:rPr>
          <w:lang w:eastAsia="en-US"/>
        </w:rPr>
        <w:t xml:space="preserve"> ACCAN has raised concerns about charges for incorrect call out fees by end users as these charges have not been supported by evidence of detriment to nbn’s business model. These charges are retained within the WBA 4, for example an RSP can be charge $420 where a tr</w:t>
      </w:r>
      <w:r>
        <w:rPr>
          <w:lang w:eastAsia="en-US"/>
        </w:rPr>
        <w:t>u</w:t>
      </w:r>
      <w:r w:rsidRPr="03227533">
        <w:rPr>
          <w:lang w:eastAsia="en-US"/>
        </w:rPr>
        <w:t>ck roll was required but there was no fault found.</w:t>
      </w:r>
      <w:r>
        <w:rPr>
          <w:rStyle w:val="FootnoteReference"/>
          <w:lang w:eastAsia="en-US"/>
        </w:rPr>
        <w:footnoteReference w:id="21"/>
      </w:r>
      <w:r w:rsidRPr="03227533">
        <w:rPr>
          <w:lang w:eastAsia="en-US"/>
        </w:rPr>
        <w:t xml:space="preserve"> Incorrect callout fees may result in untimely repair of services due to RSPs delaying the reporting or ordering a callout due to concerns that this charge may be applied. Fees which result in slower fault resolution should not be included in the SAU. </w:t>
      </w:r>
    </w:p>
    <w:p w14:paraId="23CC7B16" w14:textId="64001454" w:rsidR="0064283C" w:rsidRDefault="0064283C" w:rsidP="0064283C">
      <w:pPr>
        <w:jc w:val="both"/>
        <w:rPr>
          <w:lang w:eastAsia="en-US"/>
        </w:rPr>
      </w:pPr>
      <w:r>
        <w:rPr>
          <w:lang w:eastAsia="en-US"/>
        </w:rPr>
        <w:t>ACCAN considers that these types of charges should only be imposed where evidence is presented demonstrating that the reason for these fees is that incorrect call outs are occurring on such a scale that they are causing significant detriment to the nbn business.</w:t>
      </w:r>
    </w:p>
    <w:p w14:paraId="7218C4FC" w14:textId="4B8C4804" w:rsidR="003C28F7" w:rsidRPr="00B722F7" w:rsidRDefault="003C28F7" w:rsidP="00ED3A68">
      <w:pPr>
        <w:pStyle w:val="Recommendation"/>
        <w:jc w:val="both"/>
      </w:pPr>
      <w:r>
        <w:t>Evidence must be provided that incorrect call out charges are on a scale that causes significant business detriment to nbn before being applied.</w:t>
      </w:r>
    </w:p>
    <w:p w14:paraId="042A2477" w14:textId="68C9C511" w:rsidR="00E04431" w:rsidRDefault="0064283C" w:rsidP="0064283C">
      <w:pPr>
        <w:rPr>
          <w:u w:val="single"/>
        </w:rPr>
      </w:pPr>
      <w:r>
        <w:rPr>
          <w:u w:val="single"/>
        </w:rPr>
        <w:t>Fault</w:t>
      </w:r>
      <w:r w:rsidR="00B75572">
        <w:rPr>
          <w:u w:val="single"/>
        </w:rPr>
        <w:t xml:space="preserve"> threshold</w:t>
      </w:r>
    </w:p>
    <w:p w14:paraId="66B8CB16" w14:textId="2E70C969" w:rsidR="00B75572" w:rsidRPr="00B75572" w:rsidRDefault="00B75572" w:rsidP="008669D7">
      <w:pPr>
        <w:jc w:val="both"/>
      </w:pPr>
      <w:r>
        <w:t xml:space="preserve">ACCAN has concerns regarding the amount of service interruptions (dropouts) required for nbn to deem a service to have a </w:t>
      </w:r>
      <w:r w:rsidR="00150DC0">
        <w:t>Service F</w:t>
      </w:r>
      <w:r>
        <w:t xml:space="preserve">ault. ACCAN understands that this threshold currently requires a service to experience 10 or more </w:t>
      </w:r>
      <w:r w:rsidR="000D7FDA">
        <w:t>dropouts</w:t>
      </w:r>
      <w:r>
        <w:t xml:space="preserve"> within a 24 hour period. </w:t>
      </w:r>
      <w:r w:rsidR="008669D7">
        <w:t>ACCAN considers that this</w:t>
      </w:r>
      <w:r w:rsidR="000D7FDA">
        <w:t xml:space="preserve"> service fault threshold is too high </w:t>
      </w:r>
      <w:r w:rsidR="008669D7">
        <w:t xml:space="preserve">to ensure a positive experience of the network. </w:t>
      </w:r>
      <w:r w:rsidR="00E76B6F">
        <w:t>In addition,</w:t>
      </w:r>
      <w:r w:rsidR="007419A4">
        <w:t xml:space="preserve"> </w:t>
      </w:r>
      <w:r w:rsidR="00E76B6F">
        <w:t>i</w:t>
      </w:r>
      <w:r w:rsidR="5D7830E2">
        <w:t xml:space="preserve">t is unclear to ACCAN what remedies are available to consumers experiencing below 10 dropouts per 24 hour period, </w:t>
      </w:r>
      <w:r w:rsidR="00E76B6F">
        <w:t xml:space="preserve">who may be contending with regular service drop-outs and interruptions. </w:t>
      </w:r>
      <w:r w:rsidR="00150DC0">
        <w:t xml:space="preserve"> </w:t>
      </w:r>
    </w:p>
    <w:p w14:paraId="79E909A4" w14:textId="772DB04A" w:rsidR="00395BA5" w:rsidRPr="00B75572" w:rsidRDefault="00395BA5" w:rsidP="008669D7">
      <w:pPr>
        <w:jc w:val="both"/>
      </w:pPr>
      <w:r>
        <w:t xml:space="preserve">ACCAN has sought clarification from nbn about current fault repair service standards, but to date this has not been received. ACCAN will continue to engage with nbn to obtain a greater understanding of the impact of current fault thresholds on end users. </w:t>
      </w:r>
    </w:p>
    <w:p w14:paraId="09D7DD8F" w14:textId="5D0E66B2" w:rsidR="00121EE3" w:rsidRDefault="00521319" w:rsidP="00A476CA">
      <w:pPr>
        <w:pStyle w:val="Heading4"/>
        <w:jc w:val="both"/>
        <w:rPr>
          <w:rFonts w:eastAsiaTheme="minorHAnsi"/>
          <w:color w:val="00B0F0"/>
        </w:rPr>
      </w:pPr>
      <w:r w:rsidRPr="00521319">
        <w:rPr>
          <w:rFonts w:eastAsiaTheme="minorHAnsi"/>
          <w:color w:val="00B0F0"/>
        </w:rPr>
        <w:t>Do RSPs wish to have the opportunity to review and provide feedback on the details of the proposed</w:t>
      </w:r>
      <w:r>
        <w:rPr>
          <w:rFonts w:eastAsiaTheme="minorHAnsi"/>
          <w:color w:val="00B0F0"/>
        </w:rPr>
        <w:t xml:space="preserve"> </w:t>
      </w:r>
      <w:r w:rsidRPr="00521319">
        <w:rPr>
          <w:rFonts w:eastAsiaTheme="minorHAnsi"/>
          <w:color w:val="00B0F0"/>
        </w:rPr>
        <w:t xml:space="preserve">SAU drafting that incorporates the MTM technologies prior to </w:t>
      </w:r>
      <w:r w:rsidRPr="00521319">
        <w:rPr>
          <w:rFonts w:ascii="CIDFont+F2" w:eastAsiaTheme="minorHAnsi" w:hAnsi="CIDFont+F2" w:cs="CIDFont+F2"/>
          <w:color w:val="00B0F0"/>
        </w:rPr>
        <w:t xml:space="preserve">nbn </w:t>
      </w:r>
      <w:r w:rsidRPr="00521319">
        <w:rPr>
          <w:rFonts w:eastAsiaTheme="minorHAnsi"/>
          <w:color w:val="00B0F0"/>
        </w:rPr>
        <w:t>formally lodging the SAU variation with the</w:t>
      </w:r>
      <w:r>
        <w:rPr>
          <w:rFonts w:eastAsiaTheme="minorHAnsi"/>
          <w:color w:val="00B0F0"/>
        </w:rPr>
        <w:t xml:space="preserve"> </w:t>
      </w:r>
      <w:r w:rsidRPr="00521319">
        <w:rPr>
          <w:rFonts w:eastAsiaTheme="minorHAnsi"/>
          <w:color w:val="00B0F0"/>
        </w:rPr>
        <w:t>ACCC?</w:t>
      </w:r>
    </w:p>
    <w:p w14:paraId="76D7DA83" w14:textId="064862B6" w:rsidR="00A476CA" w:rsidRDefault="00A476CA" w:rsidP="00A476CA">
      <w:pPr>
        <w:jc w:val="both"/>
        <w:rPr>
          <w:lang w:eastAsia="en-US"/>
        </w:rPr>
      </w:pPr>
      <w:r>
        <w:rPr>
          <w:lang w:eastAsia="en-US"/>
        </w:rPr>
        <w:t xml:space="preserve">ACCAN considers that it is appropriate for RSPs </w:t>
      </w:r>
      <w:r w:rsidR="009D177E">
        <w:rPr>
          <w:lang w:eastAsia="en-US"/>
        </w:rPr>
        <w:t xml:space="preserve">and </w:t>
      </w:r>
      <w:r w:rsidR="00BE2AA9">
        <w:rPr>
          <w:lang w:eastAsia="en-US"/>
        </w:rPr>
        <w:t>con</w:t>
      </w:r>
      <w:r w:rsidR="00AE203A">
        <w:rPr>
          <w:lang w:eastAsia="en-US"/>
        </w:rPr>
        <w:t xml:space="preserve">sumer groups </w:t>
      </w:r>
      <w:r>
        <w:rPr>
          <w:lang w:eastAsia="en-US"/>
        </w:rPr>
        <w:t xml:space="preserve">to review and provide feedback on the details of the proposed SAU drafting that incorporates the MTM technologies prior to the nbn formally lodging the SAU variation with the ACCC. </w:t>
      </w:r>
    </w:p>
    <w:p w14:paraId="7A7209C2" w14:textId="77777777" w:rsidR="00E7790D" w:rsidRPr="00A476CA" w:rsidRDefault="00E7790D" w:rsidP="00A476CA">
      <w:pPr>
        <w:jc w:val="both"/>
        <w:rPr>
          <w:lang w:eastAsia="en-US"/>
        </w:rPr>
      </w:pPr>
    </w:p>
    <w:p w14:paraId="73520786" w14:textId="030E786B" w:rsidR="00521319" w:rsidRPr="00521319" w:rsidRDefault="00521319" w:rsidP="00826B23">
      <w:pPr>
        <w:pStyle w:val="Heading2"/>
      </w:pPr>
      <w:bookmarkStart w:id="32" w:name="_Toc78452073"/>
      <w:r>
        <w:lastRenderedPageBreak/>
        <w:t>Other proposed SAU changes</w:t>
      </w:r>
      <w:bookmarkEnd w:id="32"/>
    </w:p>
    <w:p w14:paraId="62A1838A" w14:textId="6FA4244A" w:rsidR="00521319" w:rsidRPr="00521319" w:rsidRDefault="00521319" w:rsidP="00AA2304">
      <w:pPr>
        <w:pStyle w:val="Heading4"/>
        <w:jc w:val="both"/>
        <w:rPr>
          <w:rFonts w:eastAsiaTheme="minorHAnsi"/>
          <w:color w:val="00B0F0"/>
        </w:rPr>
      </w:pPr>
      <w:r w:rsidRPr="00521319">
        <w:rPr>
          <w:rFonts w:eastAsiaTheme="minorHAnsi"/>
          <w:color w:val="00B0F0"/>
        </w:rPr>
        <w:t xml:space="preserve">Do RSPs consider that the changes to the SAU proposed above are reasonable, and appropriate to include in </w:t>
      </w:r>
      <w:r w:rsidRPr="00521319">
        <w:rPr>
          <w:rFonts w:ascii="CIDFont+F2" w:eastAsiaTheme="minorHAnsi" w:hAnsi="CIDFont+F2" w:cs="CIDFont+F2"/>
          <w:color w:val="00B0F0"/>
        </w:rPr>
        <w:t>nbn</w:t>
      </w:r>
      <w:r w:rsidRPr="00521319">
        <w:rPr>
          <w:rFonts w:eastAsiaTheme="minorHAnsi"/>
          <w:color w:val="00B0F0"/>
        </w:rPr>
        <w:t>’s 2021 SAU Variation?</w:t>
      </w:r>
    </w:p>
    <w:p w14:paraId="70625C4F" w14:textId="5D2E40F0" w:rsidR="00A21328" w:rsidRDefault="00A21328" w:rsidP="00521319">
      <w:pPr>
        <w:rPr>
          <w:rFonts w:eastAsiaTheme="minorHAnsi"/>
        </w:rPr>
      </w:pPr>
      <w:r>
        <w:rPr>
          <w:rFonts w:eastAsiaTheme="minorHAnsi"/>
        </w:rPr>
        <w:t xml:space="preserve">NBN has proposed the follow changes </w:t>
      </w:r>
      <w:r w:rsidR="00AD5B76">
        <w:rPr>
          <w:rFonts w:eastAsiaTheme="minorHAnsi"/>
        </w:rPr>
        <w:t>to the SAU</w:t>
      </w:r>
      <w:r>
        <w:rPr>
          <w:rFonts w:eastAsiaTheme="minorHAnsi"/>
        </w:rPr>
        <w:t>:</w:t>
      </w:r>
    </w:p>
    <w:p w14:paraId="67296B51" w14:textId="77777777" w:rsidR="00A21328" w:rsidRDefault="00A21328" w:rsidP="00A21328">
      <w:pPr>
        <w:pStyle w:val="ListParagraph"/>
        <w:numPr>
          <w:ilvl w:val="0"/>
          <w:numId w:val="25"/>
        </w:numPr>
      </w:pPr>
      <w:r>
        <w:t>Correction to the Cumulative Inflation Factor (CIF) equation</w:t>
      </w:r>
    </w:p>
    <w:p w14:paraId="43D868CB" w14:textId="75315D71" w:rsidR="00A21328" w:rsidRDefault="00A21328" w:rsidP="00A21328">
      <w:pPr>
        <w:pStyle w:val="ListParagraph"/>
        <w:numPr>
          <w:ilvl w:val="0"/>
          <w:numId w:val="25"/>
        </w:numPr>
      </w:pPr>
      <w:r>
        <w:t xml:space="preserve">Minor changes to the Dispute Management arrangements to clarify, enhance and refine the existing provisions in the SAU. </w:t>
      </w:r>
    </w:p>
    <w:p w14:paraId="3476BF63" w14:textId="77777777" w:rsidR="00A21328" w:rsidRDefault="00A21328" w:rsidP="00A21328">
      <w:pPr>
        <w:pStyle w:val="ListParagraph"/>
        <w:numPr>
          <w:ilvl w:val="0"/>
          <w:numId w:val="25"/>
        </w:numPr>
      </w:pPr>
      <w:r>
        <w:t xml:space="preserve">Withdrawal of Multicast (fibre) Services </w:t>
      </w:r>
    </w:p>
    <w:p w14:paraId="033273B9" w14:textId="77777777" w:rsidR="00A21328" w:rsidRDefault="00A21328" w:rsidP="00A21328">
      <w:pPr>
        <w:pStyle w:val="ListParagraph"/>
        <w:numPr>
          <w:ilvl w:val="0"/>
          <w:numId w:val="25"/>
        </w:numPr>
      </w:pPr>
      <w:r>
        <w:t>Withdrawal of Interim Satellite Services</w:t>
      </w:r>
    </w:p>
    <w:p w14:paraId="1AE9C188" w14:textId="77777777" w:rsidR="00A21328" w:rsidRDefault="00A21328" w:rsidP="00A21328">
      <w:pPr>
        <w:pStyle w:val="ListParagraph"/>
        <w:numPr>
          <w:ilvl w:val="0"/>
          <w:numId w:val="25"/>
        </w:numPr>
      </w:pPr>
      <w:r>
        <w:t>Removing TC-3 Offers from the SAU</w:t>
      </w:r>
    </w:p>
    <w:p w14:paraId="21D36B28" w14:textId="77777777" w:rsidR="00A21328" w:rsidRDefault="00A21328" w:rsidP="00A21328">
      <w:pPr>
        <w:pStyle w:val="ListParagraph"/>
        <w:numPr>
          <w:ilvl w:val="0"/>
          <w:numId w:val="25"/>
        </w:numPr>
      </w:pPr>
      <w:r>
        <w:t>Updating the Labour Rate Price Index</w:t>
      </w:r>
    </w:p>
    <w:p w14:paraId="17F033C7" w14:textId="294A9DE3" w:rsidR="00A21328" w:rsidRDefault="00A21328" w:rsidP="00A21328">
      <w:pPr>
        <w:pStyle w:val="ListParagraph"/>
        <w:numPr>
          <w:ilvl w:val="0"/>
          <w:numId w:val="25"/>
        </w:numPr>
      </w:pPr>
      <w:r>
        <w:t>Minor changes to Product Development Forum requirements</w:t>
      </w:r>
    </w:p>
    <w:p w14:paraId="0188940B" w14:textId="6EB7FE95" w:rsidR="00521319" w:rsidRPr="00A21328" w:rsidRDefault="00A21328" w:rsidP="00A21328">
      <w:r w:rsidRPr="0BE67DC2">
        <w:t>ACCAN considers that these changes noted above</w:t>
      </w:r>
      <w:r w:rsidR="00AD5B76" w:rsidRPr="0BE67DC2">
        <w:t xml:space="preserve"> are reasonable and appropriate to include in nbn’s 2021 SAU Variation</w:t>
      </w:r>
      <w:r w:rsidR="6767B369" w:rsidRPr="0BE67DC2">
        <w:t>.</w:t>
      </w:r>
    </w:p>
    <w:p w14:paraId="4430CA21" w14:textId="36ED8670" w:rsidR="00521319" w:rsidRDefault="00521319" w:rsidP="00521319">
      <w:pPr>
        <w:pStyle w:val="Heading4"/>
        <w:rPr>
          <w:rFonts w:eastAsiaTheme="minorHAnsi"/>
          <w:color w:val="00B0F0"/>
        </w:rPr>
      </w:pPr>
      <w:r w:rsidRPr="00521319">
        <w:rPr>
          <w:rFonts w:eastAsiaTheme="minorHAnsi"/>
          <w:color w:val="00B0F0"/>
        </w:rPr>
        <w:t>Are there any other changes to the SAU that RSPs consider necessary as part of the proposed 2021 SAU Variation?</w:t>
      </w:r>
    </w:p>
    <w:p w14:paraId="5F58F240" w14:textId="7C4E1B6C" w:rsidR="00870E3B" w:rsidRDefault="00870E3B" w:rsidP="007A7080">
      <w:pPr>
        <w:pStyle w:val="Heading5"/>
      </w:pPr>
      <w:r>
        <w:t>Not accepting orders</w:t>
      </w:r>
    </w:p>
    <w:p w14:paraId="5B7EFEF6" w14:textId="4CD44B2C" w:rsidR="007A7080" w:rsidRPr="00831E65" w:rsidRDefault="009C1D16" w:rsidP="00B765FF">
      <w:pPr>
        <w:spacing w:before="0" w:beforeAutospacing="0" w:after="160" w:afterAutospacing="0" w:line="259" w:lineRule="auto"/>
        <w:jc w:val="both"/>
      </w:pPr>
      <w:r w:rsidRPr="00B765FF">
        <w:t xml:space="preserve">Recent issues from nbn’s change to a new workforce scheduling system meant RSPs </w:t>
      </w:r>
      <w:r w:rsidR="009516BA" w:rsidRPr="00B765FF">
        <w:t>were not</w:t>
      </w:r>
      <w:r w:rsidRPr="00B765FF">
        <w:t xml:space="preserve"> able to place </w:t>
      </w:r>
      <w:r w:rsidR="00DD1600" w:rsidRPr="00B765FF">
        <w:t xml:space="preserve">orders </w:t>
      </w:r>
      <w:r w:rsidR="00DE57A0">
        <w:t xml:space="preserve">and </w:t>
      </w:r>
      <w:r w:rsidR="00DE57A0" w:rsidRPr="00DB216A">
        <w:t>make appointments</w:t>
      </w:r>
      <w:r w:rsidR="00DE57A0">
        <w:t xml:space="preserve">, this </w:t>
      </w:r>
      <w:r w:rsidRPr="00B765FF">
        <w:t xml:space="preserve">highlighted a potential a weakness in </w:t>
      </w:r>
      <w:r w:rsidR="00A40251">
        <w:t xml:space="preserve">the </w:t>
      </w:r>
      <w:r w:rsidRPr="00B765FF">
        <w:t xml:space="preserve">WBA 4 in that RSPs </w:t>
      </w:r>
      <w:r w:rsidR="00DE57A0" w:rsidRPr="00D36891">
        <w:t>were not</w:t>
      </w:r>
      <w:r w:rsidRPr="00B765FF">
        <w:t xml:space="preserve"> able to claim rebates if they </w:t>
      </w:r>
      <w:r w:rsidR="00DE57A0" w:rsidRPr="00D36891">
        <w:t>had not</w:t>
      </w:r>
      <w:r w:rsidRPr="00B765FF">
        <w:t xml:space="preserve"> placed the order</w:t>
      </w:r>
      <w:r w:rsidR="00D36891">
        <w:t xml:space="preserve"> in the first instance</w:t>
      </w:r>
      <w:r w:rsidRPr="00B765FF">
        <w:t xml:space="preserve">. </w:t>
      </w:r>
      <w:r w:rsidR="00D36891">
        <w:t xml:space="preserve">This also highlights the need for there to be a </w:t>
      </w:r>
      <w:r w:rsidR="005419BF" w:rsidRPr="00B765FF">
        <w:t xml:space="preserve">failsafe </w:t>
      </w:r>
      <w:r w:rsidR="006B4188" w:rsidRPr="00B765FF">
        <w:t>mechanism to ensure that nbn can still accept orders if their scheduling system goes down.</w:t>
      </w:r>
      <w:r w:rsidR="00D36891">
        <w:t xml:space="preserve"> We consider it imperative that an essential piece of national infrastructure </w:t>
      </w:r>
      <w:r w:rsidR="002921B1">
        <w:t xml:space="preserve">has the safeguards in place to ensure that consumers are at all times able to connect to the network upon request at all </w:t>
      </w:r>
      <w:r w:rsidR="00B765FF">
        <w:t>times and</w:t>
      </w:r>
      <w:r w:rsidR="00DA5AD6">
        <w:t xml:space="preserve"> get service faults repaired</w:t>
      </w:r>
      <w:r w:rsidR="002921B1">
        <w:t xml:space="preserve">. </w:t>
      </w:r>
    </w:p>
    <w:p w14:paraId="2AD6EB8D" w14:textId="58B5504E" w:rsidR="00150194" w:rsidRDefault="00095159" w:rsidP="00150194">
      <w:pPr>
        <w:pStyle w:val="Appendixheading1"/>
      </w:pPr>
      <w:bookmarkStart w:id="33" w:name="_Toc76651040"/>
      <w:bookmarkStart w:id="34" w:name="_Toc76651041"/>
      <w:bookmarkStart w:id="35" w:name="_Toc78452074"/>
      <w:bookmarkEnd w:id="21"/>
      <w:bookmarkEnd w:id="22"/>
      <w:bookmarkEnd w:id="33"/>
      <w:bookmarkEnd w:id="34"/>
      <w:r>
        <w:lastRenderedPageBreak/>
        <w:t>Constructs wholesale charge comparison between May-22 Roadmap</w:t>
      </w:r>
      <w:bookmarkEnd w:id="35"/>
      <w:r>
        <w:t xml:space="preserve"> </w:t>
      </w:r>
    </w:p>
    <w:p w14:paraId="3BEAB9AA" w14:textId="3ABC076F" w:rsidR="00095159" w:rsidRDefault="00095159" w:rsidP="00095159">
      <w:pPr>
        <w:jc w:val="both"/>
      </w:pPr>
      <w:r>
        <w:t>The discussion paper provides the May-22 Roadmap estimated average wholesale charge per service. Based on the amount of CVC inclusions provided in the</w:t>
      </w:r>
      <w:r w:rsidR="009D56E0">
        <w:t xml:space="preserve"> </w:t>
      </w:r>
      <w:r w:rsidR="00B515F0">
        <w:t>proposed</w:t>
      </w:r>
      <w:r>
        <w:t xml:space="preserve"> May-22 Roadmap </w:t>
      </w:r>
      <w:r w:rsidR="006C2DC4">
        <w:t>B</w:t>
      </w:r>
      <w:r>
        <w:t>undles</w:t>
      </w:r>
      <w:r w:rsidR="006C2DC4">
        <w:t xml:space="preserve"> and the estimated average wholesale charge</w:t>
      </w:r>
      <w:r>
        <w:t xml:space="preserve">, ACCAN has calculated the estimated amount of overage that will need to be </w:t>
      </w:r>
      <w:r w:rsidR="006C2DC4">
        <w:t>purchased</w:t>
      </w:r>
      <w:r>
        <w:t>. Using the same estimated CVC usage, we have compared the cost implications for the different constructs with the May</w:t>
      </w:r>
      <w:r w:rsidR="006C2DC4">
        <w:t>-</w:t>
      </w:r>
      <w:r>
        <w:t>22 Roadmap prices below.</w:t>
      </w:r>
      <w:r w:rsidRPr="00095159">
        <w:t xml:space="preserve"> </w:t>
      </w:r>
      <w:r>
        <w:t xml:space="preserve">Percentages in red indicate where the estimated wholesale charge for a service is higher than provided under the May-22 Roadmap. Actual wholesale charges will vary depending on how much provisioned CVC RSPs purchase. </w:t>
      </w:r>
    </w:p>
    <w:p w14:paraId="5A75EF1C" w14:textId="77777777" w:rsidR="000500E3" w:rsidRDefault="000500E3" w:rsidP="00095159">
      <w:pPr>
        <w:jc w:val="both"/>
      </w:pPr>
    </w:p>
    <w:p w14:paraId="0CD541FA" w14:textId="1108A2BF" w:rsidR="00150194" w:rsidRPr="00192E9A" w:rsidRDefault="00192E9A" w:rsidP="00192E9A">
      <w:pPr>
        <w:pStyle w:val="Caption"/>
        <w:rPr>
          <w:rFonts w:asciiTheme="minorHAnsi" w:hAnsiTheme="minorHAnsi"/>
          <w:sz w:val="22"/>
          <w:szCs w:val="22"/>
        </w:rPr>
      </w:pPr>
      <w:r w:rsidRPr="00192E9A">
        <w:rPr>
          <w:sz w:val="22"/>
          <w:szCs w:val="22"/>
        </w:rPr>
        <w:t xml:space="preserve">Table </w:t>
      </w:r>
      <w:r w:rsidRPr="00192E9A">
        <w:rPr>
          <w:sz w:val="22"/>
          <w:szCs w:val="22"/>
        </w:rPr>
        <w:fldChar w:fldCharType="begin"/>
      </w:r>
      <w:r w:rsidRPr="00192E9A">
        <w:rPr>
          <w:sz w:val="22"/>
          <w:szCs w:val="22"/>
        </w:rPr>
        <w:instrText xml:space="preserve"> SEQ Table \* ARABIC </w:instrText>
      </w:r>
      <w:r w:rsidRPr="00192E9A">
        <w:rPr>
          <w:sz w:val="22"/>
          <w:szCs w:val="22"/>
        </w:rPr>
        <w:fldChar w:fldCharType="separate"/>
      </w:r>
      <w:r w:rsidR="00110D69">
        <w:rPr>
          <w:noProof/>
          <w:sz w:val="22"/>
          <w:szCs w:val="22"/>
        </w:rPr>
        <w:t>2</w:t>
      </w:r>
      <w:r w:rsidRPr="00192E9A">
        <w:rPr>
          <w:sz w:val="22"/>
          <w:szCs w:val="22"/>
        </w:rPr>
        <w:fldChar w:fldCharType="end"/>
      </w:r>
      <w:r w:rsidRPr="00192E9A">
        <w:rPr>
          <w:sz w:val="22"/>
          <w:szCs w:val="22"/>
        </w:rPr>
        <w:t xml:space="preserve"> May-22 Roadmap Bundles, CVC inclusions and estimated </w:t>
      </w:r>
      <w:r w:rsidR="00A61B65">
        <w:rPr>
          <w:sz w:val="22"/>
          <w:szCs w:val="22"/>
        </w:rPr>
        <w:t>CVC required</w:t>
      </w:r>
      <w:r w:rsidRPr="00192E9A">
        <w:rPr>
          <w:sz w:val="22"/>
          <w:szCs w:val="22"/>
        </w:rPr>
        <w:t xml:space="preserve"> </w:t>
      </w:r>
    </w:p>
    <w:tbl>
      <w:tblPr>
        <w:tblStyle w:val="ACCANtable"/>
        <w:tblW w:w="9040" w:type="dxa"/>
        <w:tblLayout w:type="fixed"/>
        <w:tblLook w:val="04A0" w:firstRow="1" w:lastRow="0" w:firstColumn="1" w:lastColumn="0" w:noHBand="0" w:noVBand="1"/>
      </w:tblPr>
      <w:tblGrid>
        <w:gridCol w:w="1134"/>
        <w:gridCol w:w="1134"/>
        <w:gridCol w:w="1134"/>
        <w:gridCol w:w="993"/>
        <w:gridCol w:w="1417"/>
        <w:gridCol w:w="1843"/>
        <w:gridCol w:w="1385"/>
      </w:tblGrid>
      <w:tr w:rsidR="003271A9" w:rsidRPr="00192E9A" w14:paraId="27CC0A89" w14:textId="008AB560" w:rsidTr="000500E3">
        <w:trPr>
          <w:cnfStyle w:val="100000000000" w:firstRow="1" w:lastRow="0" w:firstColumn="0" w:lastColumn="0" w:oddVBand="0" w:evenVBand="0" w:oddHBand="0" w:evenHBand="0" w:firstRowFirstColumn="0" w:firstRowLastColumn="0" w:lastRowFirstColumn="0" w:lastRowLastColumn="0"/>
          <w:trHeight w:val="300"/>
        </w:trPr>
        <w:tc>
          <w:tcPr>
            <w:tcW w:w="1134" w:type="dxa"/>
            <w:noWrap/>
            <w:hideMark/>
          </w:tcPr>
          <w:p w14:paraId="71BC2E86" w14:textId="3B9D3F36" w:rsidR="003271A9" w:rsidRPr="00192E9A" w:rsidRDefault="003271A9" w:rsidP="00C94A12">
            <w:pPr>
              <w:jc w:val="center"/>
              <w:rPr>
                <w:lang w:eastAsia="en-US"/>
              </w:rPr>
            </w:pPr>
            <w:r w:rsidRPr="00192E9A">
              <w:rPr>
                <w:lang w:eastAsia="en-US"/>
              </w:rPr>
              <w:t>Speed Tiers</w:t>
            </w:r>
          </w:p>
        </w:tc>
        <w:tc>
          <w:tcPr>
            <w:tcW w:w="1134" w:type="dxa"/>
            <w:noWrap/>
            <w:hideMark/>
          </w:tcPr>
          <w:p w14:paraId="5B51D18D" w14:textId="56B21CC5" w:rsidR="003271A9" w:rsidRPr="00192E9A" w:rsidRDefault="003271A9" w:rsidP="00C94A12">
            <w:pPr>
              <w:jc w:val="center"/>
              <w:rPr>
                <w:lang w:eastAsia="en-US"/>
              </w:rPr>
            </w:pPr>
            <w:r w:rsidRPr="00192E9A">
              <w:rPr>
                <w:lang w:eastAsia="en-US"/>
              </w:rPr>
              <w:t>CVC Inclusions (Mbps)</w:t>
            </w:r>
          </w:p>
        </w:tc>
        <w:tc>
          <w:tcPr>
            <w:tcW w:w="1134" w:type="dxa"/>
            <w:noWrap/>
            <w:hideMark/>
          </w:tcPr>
          <w:p w14:paraId="6CE0FD57" w14:textId="3D5AF82D" w:rsidR="003271A9" w:rsidRPr="00192E9A" w:rsidRDefault="003271A9" w:rsidP="00C94A12">
            <w:pPr>
              <w:jc w:val="center"/>
              <w:rPr>
                <w:lang w:eastAsia="en-US"/>
              </w:rPr>
            </w:pPr>
            <w:r w:rsidRPr="00192E9A">
              <w:rPr>
                <w:lang w:eastAsia="en-US"/>
              </w:rPr>
              <w:t>Effective charge</w:t>
            </w:r>
          </w:p>
        </w:tc>
        <w:tc>
          <w:tcPr>
            <w:tcW w:w="993" w:type="dxa"/>
            <w:noWrap/>
            <w:hideMark/>
          </w:tcPr>
          <w:p w14:paraId="0E63DAC2" w14:textId="77777777" w:rsidR="003271A9" w:rsidRPr="00192E9A" w:rsidRDefault="003271A9" w:rsidP="00C94A12">
            <w:pPr>
              <w:jc w:val="center"/>
              <w:rPr>
                <w:lang w:eastAsia="en-US"/>
              </w:rPr>
            </w:pPr>
            <w:r w:rsidRPr="00192E9A">
              <w:rPr>
                <w:lang w:eastAsia="en-US"/>
              </w:rPr>
              <w:t>Overage Fee</w:t>
            </w:r>
          </w:p>
        </w:tc>
        <w:tc>
          <w:tcPr>
            <w:tcW w:w="1417" w:type="dxa"/>
          </w:tcPr>
          <w:p w14:paraId="17303701" w14:textId="7D747D7C" w:rsidR="003271A9" w:rsidRPr="00192E9A" w:rsidRDefault="003271A9" w:rsidP="00C94A12">
            <w:pPr>
              <w:jc w:val="center"/>
              <w:rPr>
                <w:lang w:eastAsia="en-US"/>
              </w:rPr>
            </w:pPr>
            <w:r w:rsidRPr="00192E9A">
              <w:rPr>
                <w:lang w:eastAsia="en-US"/>
              </w:rPr>
              <w:t>Estimated Wholesale Charge*</w:t>
            </w:r>
          </w:p>
        </w:tc>
        <w:tc>
          <w:tcPr>
            <w:tcW w:w="1843" w:type="dxa"/>
          </w:tcPr>
          <w:p w14:paraId="36E0A939" w14:textId="7AEEA0A1" w:rsidR="003271A9" w:rsidRPr="00192E9A" w:rsidRDefault="003271A9" w:rsidP="00C94A12">
            <w:pPr>
              <w:jc w:val="center"/>
              <w:rPr>
                <w:lang w:eastAsia="en-US"/>
              </w:rPr>
            </w:pPr>
            <w:r w:rsidRPr="00192E9A">
              <w:rPr>
                <w:lang w:eastAsia="en-US"/>
              </w:rPr>
              <w:t>Estimated Overage (Mbps)**</w:t>
            </w:r>
          </w:p>
        </w:tc>
        <w:tc>
          <w:tcPr>
            <w:tcW w:w="1385" w:type="dxa"/>
          </w:tcPr>
          <w:p w14:paraId="645CC524" w14:textId="1AE67497" w:rsidR="003271A9" w:rsidRPr="00192E9A" w:rsidRDefault="003271A9" w:rsidP="00C94A12">
            <w:pPr>
              <w:jc w:val="center"/>
              <w:rPr>
                <w:lang w:eastAsia="en-US"/>
              </w:rPr>
            </w:pPr>
            <w:r w:rsidRPr="00192E9A">
              <w:rPr>
                <w:lang w:eastAsia="en-US"/>
              </w:rPr>
              <w:t>Estimated CVC usage (Mbps)</w:t>
            </w:r>
          </w:p>
        </w:tc>
      </w:tr>
      <w:tr w:rsidR="003271A9" w:rsidRPr="00192E9A" w14:paraId="1E3082C5" w14:textId="6BB16B4C" w:rsidTr="000500E3">
        <w:trPr>
          <w:trHeight w:val="300"/>
        </w:trPr>
        <w:tc>
          <w:tcPr>
            <w:tcW w:w="1134" w:type="dxa"/>
            <w:noWrap/>
            <w:hideMark/>
          </w:tcPr>
          <w:p w14:paraId="59BCFD3D" w14:textId="4BC78D7C" w:rsidR="003271A9" w:rsidRPr="00192E9A" w:rsidRDefault="003271A9" w:rsidP="00C94A12">
            <w:pPr>
              <w:jc w:val="center"/>
              <w:rPr>
                <w:lang w:eastAsia="en-US"/>
              </w:rPr>
            </w:pPr>
            <w:r w:rsidRPr="00192E9A">
              <w:rPr>
                <w:lang w:eastAsia="en-US"/>
              </w:rPr>
              <w:t>12/1</w:t>
            </w:r>
          </w:p>
        </w:tc>
        <w:tc>
          <w:tcPr>
            <w:tcW w:w="1134" w:type="dxa"/>
            <w:noWrap/>
            <w:hideMark/>
          </w:tcPr>
          <w:p w14:paraId="424BF456" w14:textId="77777777" w:rsidR="003271A9" w:rsidRPr="00192E9A" w:rsidRDefault="003271A9" w:rsidP="00C94A12">
            <w:pPr>
              <w:jc w:val="center"/>
              <w:rPr>
                <w:lang w:eastAsia="en-US"/>
              </w:rPr>
            </w:pPr>
            <w:r>
              <w:rPr>
                <w:rFonts w:cs="Calibri"/>
                <w:color w:val="000000"/>
              </w:rPr>
              <w:t>0.15</w:t>
            </w:r>
          </w:p>
        </w:tc>
        <w:tc>
          <w:tcPr>
            <w:tcW w:w="1134" w:type="dxa"/>
            <w:noWrap/>
            <w:hideMark/>
          </w:tcPr>
          <w:p w14:paraId="76E965A6" w14:textId="28683107" w:rsidR="003271A9" w:rsidRPr="00192E9A" w:rsidRDefault="003271A9" w:rsidP="00C94A12">
            <w:pPr>
              <w:jc w:val="center"/>
              <w:rPr>
                <w:lang w:eastAsia="en-US"/>
              </w:rPr>
            </w:pPr>
            <w:r>
              <w:rPr>
                <w:rFonts w:cs="Calibri"/>
                <w:color w:val="000000"/>
              </w:rPr>
              <w:t>$    22.50</w:t>
            </w:r>
          </w:p>
        </w:tc>
        <w:tc>
          <w:tcPr>
            <w:tcW w:w="993" w:type="dxa"/>
            <w:noWrap/>
            <w:hideMark/>
          </w:tcPr>
          <w:p w14:paraId="72ED8C69" w14:textId="77777777" w:rsidR="003271A9" w:rsidRPr="00192E9A" w:rsidRDefault="003271A9" w:rsidP="00C94A12">
            <w:pPr>
              <w:jc w:val="center"/>
              <w:rPr>
                <w:lang w:eastAsia="en-US"/>
              </w:rPr>
            </w:pPr>
            <w:r w:rsidRPr="00192E9A">
              <w:rPr>
                <w:lang w:eastAsia="en-US"/>
              </w:rPr>
              <w:t>$8</w:t>
            </w:r>
          </w:p>
        </w:tc>
        <w:tc>
          <w:tcPr>
            <w:tcW w:w="1417" w:type="dxa"/>
          </w:tcPr>
          <w:p w14:paraId="64F95562" w14:textId="3E5205DE" w:rsidR="003271A9" w:rsidRPr="00192E9A" w:rsidRDefault="003271A9" w:rsidP="00C94A12">
            <w:pPr>
              <w:jc w:val="center"/>
              <w:rPr>
                <w:lang w:eastAsia="en-US"/>
              </w:rPr>
            </w:pPr>
            <w:r w:rsidRPr="00192E9A">
              <w:t>$30.00</w:t>
            </w:r>
          </w:p>
        </w:tc>
        <w:tc>
          <w:tcPr>
            <w:tcW w:w="1843" w:type="dxa"/>
          </w:tcPr>
          <w:p w14:paraId="2ADDE945" w14:textId="278FF097" w:rsidR="003271A9" w:rsidRPr="00192E9A" w:rsidRDefault="003271A9" w:rsidP="00C94A12">
            <w:pPr>
              <w:jc w:val="center"/>
              <w:rPr>
                <w:lang w:eastAsia="en-US"/>
              </w:rPr>
            </w:pPr>
            <w:r w:rsidRPr="00192E9A">
              <w:rPr>
                <w:color w:val="000000"/>
              </w:rPr>
              <w:t>0.</w:t>
            </w:r>
            <w:r>
              <w:rPr>
                <w:rFonts w:cs="Calibri"/>
                <w:color w:val="000000"/>
              </w:rPr>
              <w:t>94</w:t>
            </w:r>
          </w:p>
        </w:tc>
        <w:tc>
          <w:tcPr>
            <w:tcW w:w="1385" w:type="dxa"/>
          </w:tcPr>
          <w:p w14:paraId="106E2FEF" w14:textId="3FD861C0" w:rsidR="003271A9" w:rsidRPr="00192E9A" w:rsidRDefault="003271A9" w:rsidP="00C94A12">
            <w:pPr>
              <w:jc w:val="center"/>
              <w:rPr>
                <w:lang w:eastAsia="en-US"/>
              </w:rPr>
            </w:pPr>
            <w:r>
              <w:rPr>
                <w:rFonts w:cs="Calibri"/>
                <w:color w:val="000000"/>
              </w:rPr>
              <w:t>1.09</w:t>
            </w:r>
          </w:p>
        </w:tc>
      </w:tr>
      <w:tr w:rsidR="003271A9" w:rsidRPr="00192E9A" w14:paraId="394DEDB7" w14:textId="4D1E809B" w:rsidTr="000500E3">
        <w:trPr>
          <w:trHeight w:val="300"/>
        </w:trPr>
        <w:tc>
          <w:tcPr>
            <w:tcW w:w="1134" w:type="dxa"/>
            <w:noWrap/>
            <w:hideMark/>
          </w:tcPr>
          <w:p w14:paraId="46158553" w14:textId="77777777" w:rsidR="003271A9" w:rsidRPr="00192E9A" w:rsidRDefault="003271A9" w:rsidP="00C94A12">
            <w:pPr>
              <w:jc w:val="center"/>
              <w:rPr>
                <w:lang w:eastAsia="en-US"/>
              </w:rPr>
            </w:pPr>
            <w:r w:rsidRPr="00192E9A">
              <w:rPr>
                <w:lang w:eastAsia="en-US"/>
              </w:rPr>
              <w:t>b25 25/5</w:t>
            </w:r>
          </w:p>
        </w:tc>
        <w:tc>
          <w:tcPr>
            <w:tcW w:w="1134" w:type="dxa"/>
            <w:noWrap/>
            <w:hideMark/>
          </w:tcPr>
          <w:p w14:paraId="42A89F1D" w14:textId="49B5DCF8" w:rsidR="003271A9" w:rsidRPr="00192E9A" w:rsidRDefault="003271A9" w:rsidP="00C94A12">
            <w:pPr>
              <w:jc w:val="center"/>
              <w:rPr>
                <w:lang w:eastAsia="en-US"/>
              </w:rPr>
            </w:pPr>
            <w:r>
              <w:rPr>
                <w:rFonts w:cs="Calibri"/>
                <w:color w:val="000000"/>
              </w:rPr>
              <w:t>1.60</w:t>
            </w:r>
          </w:p>
        </w:tc>
        <w:tc>
          <w:tcPr>
            <w:tcW w:w="1134" w:type="dxa"/>
            <w:noWrap/>
            <w:hideMark/>
          </w:tcPr>
          <w:p w14:paraId="59ECECD5" w14:textId="31538A4A" w:rsidR="003271A9" w:rsidRPr="00192E9A" w:rsidRDefault="003271A9" w:rsidP="00C94A12">
            <w:pPr>
              <w:jc w:val="center"/>
              <w:rPr>
                <w:lang w:eastAsia="en-US"/>
              </w:rPr>
            </w:pPr>
            <w:r>
              <w:rPr>
                <w:rFonts w:cs="Calibri"/>
                <w:color w:val="000000"/>
              </w:rPr>
              <w:t>$    37.00</w:t>
            </w:r>
          </w:p>
        </w:tc>
        <w:tc>
          <w:tcPr>
            <w:tcW w:w="993" w:type="dxa"/>
            <w:noWrap/>
            <w:hideMark/>
          </w:tcPr>
          <w:p w14:paraId="7146844A" w14:textId="77777777" w:rsidR="003271A9" w:rsidRPr="00192E9A" w:rsidRDefault="003271A9" w:rsidP="00C94A12">
            <w:pPr>
              <w:jc w:val="center"/>
              <w:rPr>
                <w:lang w:eastAsia="en-US"/>
              </w:rPr>
            </w:pPr>
            <w:r w:rsidRPr="00192E9A">
              <w:rPr>
                <w:lang w:eastAsia="en-US"/>
              </w:rPr>
              <w:t>$8</w:t>
            </w:r>
          </w:p>
        </w:tc>
        <w:tc>
          <w:tcPr>
            <w:tcW w:w="1417" w:type="dxa"/>
          </w:tcPr>
          <w:p w14:paraId="0BD5D235" w14:textId="687530EE" w:rsidR="003271A9" w:rsidRPr="00192E9A" w:rsidRDefault="003271A9" w:rsidP="00C94A12">
            <w:pPr>
              <w:jc w:val="center"/>
              <w:rPr>
                <w:lang w:eastAsia="en-US"/>
              </w:rPr>
            </w:pPr>
            <w:r w:rsidRPr="00192E9A">
              <w:t>$38.00</w:t>
            </w:r>
          </w:p>
        </w:tc>
        <w:tc>
          <w:tcPr>
            <w:tcW w:w="1843" w:type="dxa"/>
          </w:tcPr>
          <w:p w14:paraId="6F516ECE" w14:textId="5CBB3186" w:rsidR="003271A9" w:rsidRPr="00192E9A" w:rsidRDefault="003271A9" w:rsidP="00C94A12">
            <w:pPr>
              <w:jc w:val="center"/>
              <w:rPr>
                <w:lang w:eastAsia="en-US"/>
              </w:rPr>
            </w:pPr>
            <w:r w:rsidRPr="00192E9A">
              <w:rPr>
                <w:color w:val="000000"/>
              </w:rPr>
              <w:t>0.13</w:t>
            </w:r>
          </w:p>
        </w:tc>
        <w:tc>
          <w:tcPr>
            <w:tcW w:w="1385" w:type="dxa"/>
          </w:tcPr>
          <w:p w14:paraId="2638998B" w14:textId="69BA4862" w:rsidR="003271A9" w:rsidRPr="00192E9A" w:rsidRDefault="003271A9" w:rsidP="00C94A12">
            <w:pPr>
              <w:jc w:val="center"/>
              <w:rPr>
                <w:lang w:eastAsia="en-US"/>
              </w:rPr>
            </w:pPr>
            <w:r>
              <w:rPr>
                <w:rFonts w:cs="Calibri"/>
                <w:color w:val="000000"/>
              </w:rPr>
              <w:t>1.73</w:t>
            </w:r>
          </w:p>
        </w:tc>
      </w:tr>
      <w:tr w:rsidR="003271A9" w:rsidRPr="00192E9A" w14:paraId="604B9858" w14:textId="19CE5EF2" w:rsidTr="000500E3">
        <w:trPr>
          <w:trHeight w:val="300"/>
        </w:trPr>
        <w:tc>
          <w:tcPr>
            <w:tcW w:w="1134" w:type="dxa"/>
            <w:noWrap/>
            <w:hideMark/>
          </w:tcPr>
          <w:p w14:paraId="7DA54F6E" w14:textId="77777777" w:rsidR="003271A9" w:rsidRPr="00192E9A" w:rsidRDefault="003271A9" w:rsidP="00C94A12">
            <w:pPr>
              <w:jc w:val="center"/>
              <w:rPr>
                <w:lang w:eastAsia="en-US"/>
              </w:rPr>
            </w:pPr>
            <w:r w:rsidRPr="00192E9A">
              <w:rPr>
                <w:lang w:eastAsia="en-US"/>
              </w:rPr>
              <w:t>50/20</w:t>
            </w:r>
          </w:p>
        </w:tc>
        <w:tc>
          <w:tcPr>
            <w:tcW w:w="1134" w:type="dxa"/>
            <w:noWrap/>
            <w:hideMark/>
          </w:tcPr>
          <w:p w14:paraId="49E539E1" w14:textId="77777777" w:rsidR="003271A9" w:rsidRPr="00192E9A" w:rsidRDefault="003271A9" w:rsidP="00C94A12">
            <w:pPr>
              <w:jc w:val="center"/>
              <w:rPr>
                <w:lang w:eastAsia="en-US"/>
              </w:rPr>
            </w:pPr>
            <w:r>
              <w:rPr>
                <w:rFonts w:cs="Calibri"/>
                <w:color w:val="000000"/>
              </w:rPr>
              <w:t>2.65</w:t>
            </w:r>
          </w:p>
        </w:tc>
        <w:tc>
          <w:tcPr>
            <w:tcW w:w="1134" w:type="dxa"/>
            <w:noWrap/>
            <w:hideMark/>
          </w:tcPr>
          <w:p w14:paraId="79EA3D95" w14:textId="5995E72F" w:rsidR="003271A9" w:rsidRPr="00192E9A" w:rsidRDefault="003271A9" w:rsidP="00C94A12">
            <w:pPr>
              <w:jc w:val="center"/>
              <w:rPr>
                <w:lang w:eastAsia="en-US"/>
              </w:rPr>
            </w:pPr>
            <w:r>
              <w:rPr>
                <w:rFonts w:cs="Calibri"/>
                <w:color w:val="000000"/>
              </w:rPr>
              <w:t>$    45.00</w:t>
            </w:r>
          </w:p>
        </w:tc>
        <w:tc>
          <w:tcPr>
            <w:tcW w:w="993" w:type="dxa"/>
            <w:noWrap/>
            <w:hideMark/>
          </w:tcPr>
          <w:p w14:paraId="2A497CF5" w14:textId="77777777" w:rsidR="003271A9" w:rsidRPr="00192E9A" w:rsidRDefault="003271A9" w:rsidP="00C94A12">
            <w:pPr>
              <w:jc w:val="center"/>
              <w:rPr>
                <w:lang w:eastAsia="en-US"/>
              </w:rPr>
            </w:pPr>
            <w:r w:rsidRPr="00192E9A">
              <w:rPr>
                <w:lang w:eastAsia="en-US"/>
              </w:rPr>
              <w:t>$8</w:t>
            </w:r>
          </w:p>
        </w:tc>
        <w:tc>
          <w:tcPr>
            <w:tcW w:w="1417" w:type="dxa"/>
          </w:tcPr>
          <w:p w14:paraId="43455187" w14:textId="28B0C53C" w:rsidR="003271A9" w:rsidRPr="00192E9A" w:rsidRDefault="003271A9" w:rsidP="00C94A12">
            <w:pPr>
              <w:jc w:val="center"/>
              <w:rPr>
                <w:lang w:eastAsia="en-US"/>
              </w:rPr>
            </w:pPr>
            <w:r w:rsidRPr="00192E9A">
              <w:t>$51.00</w:t>
            </w:r>
          </w:p>
        </w:tc>
        <w:tc>
          <w:tcPr>
            <w:tcW w:w="1843" w:type="dxa"/>
          </w:tcPr>
          <w:p w14:paraId="2E13A52D" w14:textId="1467CA5C" w:rsidR="003271A9" w:rsidRPr="00192E9A" w:rsidRDefault="003271A9" w:rsidP="00C94A12">
            <w:pPr>
              <w:jc w:val="center"/>
              <w:rPr>
                <w:lang w:eastAsia="en-US"/>
              </w:rPr>
            </w:pPr>
            <w:r w:rsidRPr="00192E9A">
              <w:rPr>
                <w:color w:val="000000"/>
              </w:rPr>
              <w:t>0.75</w:t>
            </w:r>
          </w:p>
        </w:tc>
        <w:tc>
          <w:tcPr>
            <w:tcW w:w="1385" w:type="dxa"/>
          </w:tcPr>
          <w:p w14:paraId="1D1D1E4B" w14:textId="6F7789F4" w:rsidR="003271A9" w:rsidRPr="00192E9A" w:rsidRDefault="003271A9" w:rsidP="00C94A12">
            <w:pPr>
              <w:jc w:val="center"/>
              <w:rPr>
                <w:lang w:eastAsia="en-US"/>
              </w:rPr>
            </w:pPr>
            <w:r>
              <w:rPr>
                <w:rFonts w:cs="Calibri"/>
                <w:color w:val="000000"/>
              </w:rPr>
              <w:t>3.40</w:t>
            </w:r>
          </w:p>
        </w:tc>
      </w:tr>
      <w:tr w:rsidR="003271A9" w:rsidRPr="00192E9A" w14:paraId="05631A97" w14:textId="37B4B0FD" w:rsidTr="000500E3">
        <w:trPr>
          <w:trHeight w:val="300"/>
        </w:trPr>
        <w:tc>
          <w:tcPr>
            <w:tcW w:w="1134" w:type="dxa"/>
            <w:noWrap/>
            <w:hideMark/>
          </w:tcPr>
          <w:p w14:paraId="4F2063E6" w14:textId="77777777" w:rsidR="003271A9" w:rsidRPr="00192E9A" w:rsidRDefault="003271A9" w:rsidP="00C94A12">
            <w:pPr>
              <w:jc w:val="center"/>
              <w:rPr>
                <w:lang w:eastAsia="en-US"/>
              </w:rPr>
            </w:pPr>
            <w:r w:rsidRPr="00192E9A">
              <w:rPr>
                <w:lang w:eastAsia="en-US"/>
              </w:rPr>
              <w:t>100/20</w:t>
            </w:r>
          </w:p>
        </w:tc>
        <w:tc>
          <w:tcPr>
            <w:tcW w:w="1134" w:type="dxa"/>
            <w:noWrap/>
            <w:hideMark/>
          </w:tcPr>
          <w:p w14:paraId="28A55908" w14:textId="75106749" w:rsidR="003271A9" w:rsidRPr="00192E9A" w:rsidRDefault="003271A9" w:rsidP="00C94A12">
            <w:pPr>
              <w:jc w:val="center"/>
              <w:rPr>
                <w:lang w:eastAsia="en-US"/>
              </w:rPr>
            </w:pPr>
            <w:r>
              <w:rPr>
                <w:rFonts w:cs="Calibri"/>
                <w:color w:val="000000"/>
              </w:rPr>
              <w:t>4.50</w:t>
            </w:r>
          </w:p>
        </w:tc>
        <w:tc>
          <w:tcPr>
            <w:tcW w:w="1134" w:type="dxa"/>
            <w:noWrap/>
            <w:hideMark/>
          </w:tcPr>
          <w:p w14:paraId="6A553FA7" w14:textId="44F72235" w:rsidR="003271A9" w:rsidRPr="00192E9A" w:rsidRDefault="003271A9" w:rsidP="00C94A12">
            <w:pPr>
              <w:jc w:val="center"/>
              <w:rPr>
                <w:lang w:eastAsia="en-US"/>
              </w:rPr>
            </w:pPr>
            <w:r>
              <w:rPr>
                <w:rFonts w:cs="Calibri"/>
                <w:color w:val="000000"/>
              </w:rPr>
              <w:t>$    58.00</w:t>
            </w:r>
          </w:p>
        </w:tc>
        <w:tc>
          <w:tcPr>
            <w:tcW w:w="993" w:type="dxa"/>
            <w:noWrap/>
            <w:hideMark/>
          </w:tcPr>
          <w:p w14:paraId="6377C8E6" w14:textId="77777777" w:rsidR="003271A9" w:rsidRPr="00192E9A" w:rsidRDefault="003271A9" w:rsidP="00C94A12">
            <w:pPr>
              <w:jc w:val="center"/>
              <w:rPr>
                <w:lang w:eastAsia="en-US"/>
              </w:rPr>
            </w:pPr>
            <w:r w:rsidRPr="00192E9A">
              <w:rPr>
                <w:lang w:eastAsia="en-US"/>
              </w:rPr>
              <w:t>$8</w:t>
            </w:r>
          </w:p>
        </w:tc>
        <w:tc>
          <w:tcPr>
            <w:tcW w:w="1417" w:type="dxa"/>
          </w:tcPr>
          <w:p w14:paraId="70C0040E" w14:textId="68D111C4" w:rsidR="003271A9" w:rsidRPr="00192E9A" w:rsidRDefault="003271A9" w:rsidP="00C94A12">
            <w:pPr>
              <w:jc w:val="center"/>
              <w:rPr>
                <w:lang w:eastAsia="en-US"/>
              </w:rPr>
            </w:pPr>
            <w:r w:rsidRPr="00192E9A">
              <w:t>$58.00</w:t>
            </w:r>
          </w:p>
        </w:tc>
        <w:tc>
          <w:tcPr>
            <w:tcW w:w="1843" w:type="dxa"/>
          </w:tcPr>
          <w:p w14:paraId="0F6E1AEC" w14:textId="6CCAD561" w:rsidR="003271A9" w:rsidRPr="00192E9A" w:rsidRDefault="003271A9" w:rsidP="00C94A12">
            <w:pPr>
              <w:jc w:val="center"/>
              <w:rPr>
                <w:lang w:eastAsia="en-US"/>
              </w:rPr>
            </w:pPr>
            <w:r w:rsidRPr="00192E9A">
              <w:rPr>
                <w:color w:val="000000"/>
              </w:rPr>
              <w:t>0.00</w:t>
            </w:r>
          </w:p>
        </w:tc>
        <w:tc>
          <w:tcPr>
            <w:tcW w:w="1385" w:type="dxa"/>
          </w:tcPr>
          <w:p w14:paraId="29F6AD3B" w14:textId="0734A3B9" w:rsidR="003271A9" w:rsidRPr="00192E9A" w:rsidRDefault="003271A9" w:rsidP="00C94A12">
            <w:pPr>
              <w:jc w:val="center"/>
              <w:rPr>
                <w:lang w:eastAsia="en-US"/>
              </w:rPr>
            </w:pPr>
            <w:r>
              <w:rPr>
                <w:rFonts w:cs="Calibri"/>
                <w:color w:val="000000"/>
              </w:rPr>
              <w:t>4.50</w:t>
            </w:r>
          </w:p>
        </w:tc>
      </w:tr>
      <w:tr w:rsidR="003271A9" w:rsidRPr="00192E9A" w14:paraId="79BEE210" w14:textId="6CBD7CDB" w:rsidTr="000500E3">
        <w:trPr>
          <w:trHeight w:val="300"/>
        </w:trPr>
        <w:tc>
          <w:tcPr>
            <w:tcW w:w="1134" w:type="dxa"/>
            <w:noWrap/>
            <w:hideMark/>
          </w:tcPr>
          <w:p w14:paraId="45FFD012" w14:textId="1429D6EF" w:rsidR="003271A9" w:rsidRPr="00192E9A" w:rsidRDefault="00C94A12" w:rsidP="00C94A12">
            <w:pPr>
              <w:jc w:val="center"/>
              <w:rPr>
                <w:lang w:eastAsia="en-US"/>
              </w:rPr>
            </w:pPr>
            <w:r w:rsidRPr="00192E9A">
              <w:rPr>
                <w:lang w:eastAsia="en-US"/>
              </w:rPr>
              <w:t>100/40</w:t>
            </w:r>
          </w:p>
        </w:tc>
        <w:tc>
          <w:tcPr>
            <w:tcW w:w="1134" w:type="dxa"/>
            <w:noWrap/>
            <w:hideMark/>
          </w:tcPr>
          <w:p w14:paraId="01DE2BBE" w14:textId="5B618840" w:rsidR="003271A9" w:rsidRPr="00192E9A" w:rsidRDefault="003271A9" w:rsidP="00C94A12">
            <w:pPr>
              <w:jc w:val="center"/>
              <w:rPr>
                <w:lang w:eastAsia="en-US"/>
              </w:rPr>
            </w:pPr>
            <w:r>
              <w:rPr>
                <w:rFonts w:cs="Calibri"/>
                <w:color w:val="000000"/>
              </w:rPr>
              <w:t>4.50</w:t>
            </w:r>
          </w:p>
        </w:tc>
        <w:tc>
          <w:tcPr>
            <w:tcW w:w="1134" w:type="dxa"/>
            <w:noWrap/>
            <w:hideMark/>
          </w:tcPr>
          <w:p w14:paraId="4340CC66" w14:textId="013CCBE0" w:rsidR="003271A9" w:rsidRPr="00192E9A" w:rsidRDefault="003271A9" w:rsidP="00C94A12">
            <w:pPr>
              <w:jc w:val="center"/>
              <w:rPr>
                <w:lang w:eastAsia="en-US"/>
              </w:rPr>
            </w:pPr>
            <w:r>
              <w:rPr>
                <w:rFonts w:cs="Calibri"/>
                <w:color w:val="000000"/>
              </w:rPr>
              <w:t>$    65.00</w:t>
            </w:r>
          </w:p>
        </w:tc>
        <w:tc>
          <w:tcPr>
            <w:tcW w:w="993" w:type="dxa"/>
            <w:noWrap/>
            <w:hideMark/>
          </w:tcPr>
          <w:p w14:paraId="27EE3DA0" w14:textId="77777777" w:rsidR="003271A9" w:rsidRPr="00192E9A" w:rsidRDefault="003271A9" w:rsidP="00C94A12">
            <w:pPr>
              <w:jc w:val="center"/>
              <w:rPr>
                <w:lang w:eastAsia="en-US"/>
              </w:rPr>
            </w:pPr>
            <w:r w:rsidRPr="00192E9A">
              <w:rPr>
                <w:lang w:eastAsia="en-US"/>
              </w:rPr>
              <w:t>$8</w:t>
            </w:r>
          </w:p>
        </w:tc>
        <w:tc>
          <w:tcPr>
            <w:tcW w:w="1417" w:type="dxa"/>
          </w:tcPr>
          <w:p w14:paraId="5483B325" w14:textId="0F40EB38" w:rsidR="003271A9" w:rsidRPr="00192E9A" w:rsidRDefault="00C94A12" w:rsidP="00C94A12">
            <w:pPr>
              <w:jc w:val="center"/>
              <w:rPr>
                <w:lang w:eastAsia="en-US"/>
              </w:rPr>
            </w:pPr>
            <w:r w:rsidRPr="00192E9A">
              <w:t>$65.00</w:t>
            </w:r>
          </w:p>
        </w:tc>
        <w:tc>
          <w:tcPr>
            <w:tcW w:w="1843" w:type="dxa"/>
          </w:tcPr>
          <w:p w14:paraId="0AD63F1C" w14:textId="0B9AE83F" w:rsidR="003271A9" w:rsidRPr="00192E9A" w:rsidRDefault="003271A9" w:rsidP="00C94A12">
            <w:pPr>
              <w:jc w:val="center"/>
              <w:rPr>
                <w:lang w:eastAsia="en-US"/>
              </w:rPr>
            </w:pPr>
            <w:r>
              <w:rPr>
                <w:rFonts w:cs="Calibri"/>
                <w:color w:val="000000"/>
              </w:rPr>
              <w:t>0.00</w:t>
            </w:r>
          </w:p>
        </w:tc>
        <w:tc>
          <w:tcPr>
            <w:tcW w:w="1385" w:type="dxa"/>
          </w:tcPr>
          <w:p w14:paraId="3C6BDD16" w14:textId="4218B670" w:rsidR="003271A9" w:rsidRPr="00192E9A" w:rsidRDefault="003271A9" w:rsidP="00C94A12">
            <w:pPr>
              <w:jc w:val="center"/>
              <w:rPr>
                <w:lang w:eastAsia="en-US"/>
              </w:rPr>
            </w:pPr>
            <w:r>
              <w:rPr>
                <w:rFonts w:cs="Calibri"/>
                <w:color w:val="000000"/>
              </w:rPr>
              <w:t>4.50</w:t>
            </w:r>
          </w:p>
        </w:tc>
      </w:tr>
      <w:tr w:rsidR="003271A9" w:rsidRPr="00192E9A" w14:paraId="77B80676" w14:textId="741FEA5D" w:rsidTr="000500E3">
        <w:trPr>
          <w:trHeight w:val="300"/>
        </w:trPr>
        <w:tc>
          <w:tcPr>
            <w:tcW w:w="1134" w:type="dxa"/>
            <w:noWrap/>
            <w:hideMark/>
          </w:tcPr>
          <w:p w14:paraId="2AF36FD5" w14:textId="24275782" w:rsidR="003271A9" w:rsidRPr="00192E9A" w:rsidRDefault="00C94A12" w:rsidP="00C94A12">
            <w:pPr>
              <w:jc w:val="center"/>
              <w:rPr>
                <w:lang w:eastAsia="en-US"/>
              </w:rPr>
            </w:pPr>
            <w:r w:rsidRPr="00192E9A">
              <w:rPr>
                <w:lang w:eastAsia="en-US"/>
              </w:rPr>
              <w:t>250/25</w:t>
            </w:r>
          </w:p>
        </w:tc>
        <w:tc>
          <w:tcPr>
            <w:tcW w:w="1134" w:type="dxa"/>
            <w:noWrap/>
            <w:hideMark/>
          </w:tcPr>
          <w:p w14:paraId="58160722" w14:textId="0393CF85" w:rsidR="003271A9" w:rsidRPr="00192E9A" w:rsidRDefault="003271A9" w:rsidP="00C94A12">
            <w:pPr>
              <w:jc w:val="center"/>
              <w:rPr>
                <w:lang w:eastAsia="en-US"/>
              </w:rPr>
            </w:pPr>
            <w:r>
              <w:rPr>
                <w:rFonts w:cs="Calibri"/>
                <w:color w:val="000000"/>
              </w:rPr>
              <w:t>5.75</w:t>
            </w:r>
          </w:p>
        </w:tc>
        <w:tc>
          <w:tcPr>
            <w:tcW w:w="1134" w:type="dxa"/>
            <w:noWrap/>
            <w:hideMark/>
          </w:tcPr>
          <w:p w14:paraId="601C8B80" w14:textId="293E4D67" w:rsidR="003271A9" w:rsidRPr="00192E9A" w:rsidRDefault="003271A9" w:rsidP="00C94A12">
            <w:pPr>
              <w:jc w:val="center"/>
              <w:rPr>
                <w:lang w:eastAsia="en-US"/>
              </w:rPr>
            </w:pPr>
            <w:r>
              <w:rPr>
                <w:rFonts w:cs="Calibri"/>
                <w:color w:val="000000"/>
              </w:rPr>
              <w:t>$    68.00</w:t>
            </w:r>
          </w:p>
        </w:tc>
        <w:tc>
          <w:tcPr>
            <w:tcW w:w="993" w:type="dxa"/>
            <w:noWrap/>
            <w:hideMark/>
          </w:tcPr>
          <w:p w14:paraId="422099C6" w14:textId="77777777" w:rsidR="003271A9" w:rsidRPr="00192E9A" w:rsidRDefault="003271A9" w:rsidP="00C94A12">
            <w:pPr>
              <w:jc w:val="center"/>
              <w:rPr>
                <w:lang w:eastAsia="en-US"/>
              </w:rPr>
            </w:pPr>
            <w:r w:rsidRPr="00192E9A">
              <w:rPr>
                <w:lang w:eastAsia="en-US"/>
              </w:rPr>
              <w:t>$8</w:t>
            </w:r>
          </w:p>
        </w:tc>
        <w:tc>
          <w:tcPr>
            <w:tcW w:w="1417" w:type="dxa"/>
          </w:tcPr>
          <w:p w14:paraId="61A25F83" w14:textId="488C8CEC" w:rsidR="003271A9" w:rsidRPr="00192E9A" w:rsidRDefault="00C94A12" w:rsidP="00C94A12">
            <w:pPr>
              <w:jc w:val="center"/>
              <w:rPr>
                <w:lang w:eastAsia="en-US"/>
              </w:rPr>
            </w:pPr>
            <w:r w:rsidRPr="00192E9A">
              <w:t>$78.00</w:t>
            </w:r>
          </w:p>
        </w:tc>
        <w:tc>
          <w:tcPr>
            <w:tcW w:w="1843" w:type="dxa"/>
          </w:tcPr>
          <w:p w14:paraId="0B1F2F1F" w14:textId="4C914707" w:rsidR="003271A9" w:rsidRPr="00192E9A" w:rsidRDefault="003271A9" w:rsidP="00C94A12">
            <w:pPr>
              <w:jc w:val="center"/>
              <w:rPr>
                <w:lang w:eastAsia="en-US"/>
              </w:rPr>
            </w:pPr>
            <w:r w:rsidRPr="00192E9A">
              <w:rPr>
                <w:color w:val="000000"/>
              </w:rPr>
              <w:t>1.</w:t>
            </w:r>
            <w:r>
              <w:rPr>
                <w:rFonts w:cs="Calibri"/>
                <w:color w:val="000000"/>
              </w:rPr>
              <w:t>25</w:t>
            </w:r>
          </w:p>
        </w:tc>
        <w:tc>
          <w:tcPr>
            <w:tcW w:w="1385" w:type="dxa"/>
          </w:tcPr>
          <w:p w14:paraId="076EDDFC" w14:textId="2217EC36" w:rsidR="003271A9" w:rsidRPr="00192E9A" w:rsidRDefault="003271A9" w:rsidP="00C94A12">
            <w:pPr>
              <w:jc w:val="center"/>
              <w:rPr>
                <w:lang w:eastAsia="en-US"/>
              </w:rPr>
            </w:pPr>
            <w:r>
              <w:rPr>
                <w:rFonts w:cs="Calibri"/>
                <w:color w:val="000000"/>
              </w:rPr>
              <w:t>7.00</w:t>
            </w:r>
          </w:p>
        </w:tc>
      </w:tr>
      <w:tr w:rsidR="003271A9" w:rsidRPr="00192E9A" w14:paraId="7C66E5F0" w14:textId="0754F768" w:rsidTr="000500E3">
        <w:trPr>
          <w:trHeight w:val="300"/>
        </w:trPr>
        <w:tc>
          <w:tcPr>
            <w:tcW w:w="1134" w:type="dxa"/>
            <w:noWrap/>
            <w:hideMark/>
          </w:tcPr>
          <w:p w14:paraId="69DCCC49" w14:textId="1F0751E5" w:rsidR="003271A9" w:rsidRPr="00192E9A" w:rsidRDefault="00C94A12" w:rsidP="00C94A12">
            <w:pPr>
              <w:jc w:val="center"/>
              <w:rPr>
                <w:lang w:eastAsia="en-US"/>
              </w:rPr>
            </w:pPr>
            <w:r w:rsidRPr="00192E9A">
              <w:rPr>
                <w:lang w:eastAsia="en-US"/>
              </w:rPr>
              <w:t>1000/50</w:t>
            </w:r>
          </w:p>
        </w:tc>
        <w:tc>
          <w:tcPr>
            <w:tcW w:w="1134" w:type="dxa"/>
            <w:noWrap/>
            <w:hideMark/>
          </w:tcPr>
          <w:p w14:paraId="5695EA41" w14:textId="2AF50224" w:rsidR="003271A9" w:rsidRPr="00192E9A" w:rsidRDefault="003271A9" w:rsidP="00C94A12">
            <w:pPr>
              <w:jc w:val="center"/>
              <w:rPr>
                <w:lang w:eastAsia="en-US"/>
              </w:rPr>
            </w:pPr>
            <w:r>
              <w:rPr>
                <w:rFonts w:cs="Calibri"/>
                <w:color w:val="000000"/>
              </w:rPr>
              <w:t>7.00</w:t>
            </w:r>
          </w:p>
        </w:tc>
        <w:tc>
          <w:tcPr>
            <w:tcW w:w="1134" w:type="dxa"/>
            <w:noWrap/>
            <w:hideMark/>
          </w:tcPr>
          <w:p w14:paraId="5048A25E" w14:textId="7A7C8524" w:rsidR="003271A9" w:rsidRPr="00192E9A" w:rsidRDefault="003271A9" w:rsidP="00C94A12">
            <w:pPr>
              <w:jc w:val="center"/>
              <w:rPr>
                <w:lang w:eastAsia="en-US"/>
              </w:rPr>
            </w:pPr>
            <w:r>
              <w:rPr>
                <w:rFonts w:cs="Calibri"/>
                <w:color w:val="000000"/>
              </w:rPr>
              <w:t>$    80.00</w:t>
            </w:r>
          </w:p>
        </w:tc>
        <w:tc>
          <w:tcPr>
            <w:tcW w:w="993" w:type="dxa"/>
            <w:noWrap/>
            <w:hideMark/>
          </w:tcPr>
          <w:p w14:paraId="0D89D96D" w14:textId="77777777" w:rsidR="003271A9" w:rsidRPr="00192E9A" w:rsidRDefault="003271A9" w:rsidP="00C94A12">
            <w:pPr>
              <w:jc w:val="center"/>
              <w:rPr>
                <w:lang w:eastAsia="en-US"/>
              </w:rPr>
            </w:pPr>
            <w:r w:rsidRPr="00192E9A">
              <w:rPr>
                <w:lang w:eastAsia="en-US"/>
              </w:rPr>
              <w:t>$8</w:t>
            </w:r>
          </w:p>
        </w:tc>
        <w:tc>
          <w:tcPr>
            <w:tcW w:w="1417" w:type="dxa"/>
          </w:tcPr>
          <w:p w14:paraId="785B41C6" w14:textId="5DD5E9A5" w:rsidR="003271A9" w:rsidRPr="00192E9A" w:rsidRDefault="00C94A12" w:rsidP="00C94A12">
            <w:pPr>
              <w:jc w:val="center"/>
              <w:rPr>
                <w:lang w:eastAsia="en-US"/>
              </w:rPr>
            </w:pPr>
            <w:r w:rsidRPr="00192E9A">
              <w:t>$95.00</w:t>
            </w:r>
          </w:p>
        </w:tc>
        <w:tc>
          <w:tcPr>
            <w:tcW w:w="1843" w:type="dxa"/>
          </w:tcPr>
          <w:p w14:paraId="60ECD505" w14:textId="576BD269" w:rsidR="003271A9" w:rsidRPr="00192E9A" w:rsidRDefault="003271A9" w:rsidP="00C94A12">
            <w:pPr>
              <w:jc w:val="center"/>
              <w:rPr>
                <w:lang w:eastAsia="en-US"/>
              </w:rPr>
            </w:pPr>
            <w:r>
              <w:rPr>
                <w:rFonts w:cs="Calibri"/>
                <w:color w:val="000000"/>
              </w:rPr>
              <w:t>1.88</w:t>
            </w:r>
          </w:p>
        </w:tc>
        <w:tc>
          <w:tcPr>
            <w:tcW w:w="1385" w:type="dxa"/>
          </w:tcPr>
          <w:p w14:paraId="61A409BA" w14:textId="01BFF3E1" w:rsidR="003271A9" w:rsidRPr="00192E9A" w:rsidRDefault="003271A9" w:rsidP="00C94A12">
            <w:pPr>
              <w:jc w:val="center"/>
              <w:rPr>
                <w:lang w:eastAsia="en-US"/>
              </w:rPr>
            </w:pPr>
            <w:r>
              <w:rPr>
                <w:rFonts w:cs="Calibri"/>
                <w:color w:val="000000"/>
              </w:rPr>
              <w:t>8.88</w:t>
            </w:r>
          </w:p>
        </w:tc>
      </w:tr>
    </w:tbl>
    <w:p w14:paraId="68DCF576" w14:textId="4B31D353" w:rsidR="00192E9A" w:rsidRDefault="69384C08" w:rsidP="00150194">
      <w:pPr>
        <w:rPr>
          <w:lang w:eastAsia="en-US"/>
        </w:rPr>
      </w:pPr>
      <w:r>
        <w:rPr>
          <w:lang w:eastAsia="en-US"/>
        </w:rPr>
        <w:t>*Estimated wholesale charge based on an average 3 Mbps of CVC weighted across speed tiers.</w:t>
      </w:r>
      <w:r w:rsidR="00095159">
        <w:rPr>
          <w:rStyle w:val="FootnoteReference"/>
          <w:lang w:eastAsia="en-US"/>
        </w:rPr>
        <w:footnoteReference w:id="22"/>
      </w:r>
    </w:p>
    <w:p w14:paraId="0A5B896F" w14:textId="7962F171" w:rsidR="00192E9A" w:rsidRDefault="00192E9A" w:rsidP="00150194">
      <w:pPr>
        <w:rPr>
          <w:lang w:eastAsia="en-US"/>
        </w:rPr>
      </w:pPr>
      <w:r>
        <w:rPr>
          <w:lang w:eastAsia="en-US"/>
        </w:rPr>
        <w:t>**</w:t>
      </w:r>
      <w:r w:rsidR="00095159">
        <w:rPr>
          <w:lang w:eastAsia="en-US"/>
        </w:rPr>
        <w:t xml:space="preserve">calculation for </w:t>
      </w:r>
      <w:r>
        <w:rPr>
          <w:lang w:eastAsia="en-US"/>
        </w:rPr>
        <w:t>Estimated Overage = (Estimated Wholesale Charge -</w:t>
      </w:r>
      <w:r w:rsidRPr="00192E9A">
        <w:rPr>
          <w:lang w:eastAsia="en-US"/>
        </w:rPr>
        <w:t xml:space="preserve"> </w:t>
      </w:r>
      <w:r>
        <w:rPr>
          <w:lang w:eastAsia="en-US"/>
        </w:rPr>
        <w:t>Effective charge)/Overage Fee</w:t>
      </w:r>
    </w:p>
    <w:p w14:paraId="63D567F2" w14:textId="0D019E56" w:rsidR="000500E3" w:rsidRDefault="000500E3" w:rsidP="00150194">
      <w:pPr>
        <w:rPr>
          <w:lang w:eastAsia="en-US"/>
        </w:rPr>
      </w:pPr>
    </w:p>
    <w:p w14:paraId="1224008B" w14:textId="0A3589EC" w:rsidR="000500E3" w:rsidRDefault="000500E3" w:rsidP="00150194">
      <w:pPr>
        <w:rPr>
          <w:lang w:eastAsia="en-US"/>
        </w:rPr>
      </w:pPr>
    </w:p>
    <w:p w14:paraId="42F8E9C4" w14:textId="622CE589" w:rsidR="000500E3" w:rsidRDefault="000500E3" w:rsidP="00150194">
      <w:pPr>
        <w:rPr>
          <w:lang w:eastAsia="en-US"/>
        </w:rPr>
      </w:pPr>
    </w:p>
    <w:p w14:paraId="6F6E90BC" w14:textId="77777777" w:rsidR="000500E3" w:rsidRDefault="000500E3" w:rsidP="00150194">
      <w:pPr>
        <w:rPr>
          <w:lang w:eastAsia="en-US"/>
        </w:rPr>
      </w:pPr>
    </w:p>
    <w:p w14:paraId="169E23F1" w14:textId="3948E049" w:rsidR="00150194" w:rsidRPr="00192E9A" w:rsidRDefault="00192E9A" w:rsidP="00192E9A">
      <w:pPr>
        <w:pStyle w:val="Caption"/>
        <w:rPr>
          <w:sz w:val="22"/>
          <w:szCs w:val="22"/>
        </w:rPr>
      </w:pPr>
      <w:r w:rsidRPr="00192E9A">
        <w:rPr>
          <w:sz w:val="22"/>
          <w:szCs w:val="22"/>
        </w:rPr>
        <w:lastRenderedPageBreak/>
        <w:t xml:space="preserve">Table </w:t>
      </w:r>
      <w:r w:rsidRPr="00192E9A">
        <w:rPr>
          <w:sz w:val="22"/>
          <w:szCs w:val="22"/>
        </w:rPr>
        <w:fldChar w:fldCharType="begin"/>
      </w:r>
      <w:r w:rsidRPr="00192E9A">
        <w:rPr>
          <w:sz w:val="22"/>
          <w:szCs w:val="22"/>
        </w:rPr>
        <w:instrText xml:space="preserve"> SEQ Table \* ARABIC </w:instrText>
      </w:r>
      <w:r w:rsidRPr="00192E9A">
        <w:rPr>
          <w:sz w:val="22"/>
          <w:szCs w:val="22"/>
        </w:rPr>
        <w:fldChar w:fldCharType="separate"/>
      </w:r>
      <w:r w:rsidR="00110D69">
        <w:rPr>
          <w:noProof/>
          <w:sz w:val="22"/>
          <w:szCs w:val="22"/>
        </w:rPr>
        <w:t>3</w:t>
      </w:r>
      <w:r w:rsidRPr="00192E9A">
        <w:rPr>
          <w:sz w:val="22"/>
          <w:szCs w:val="22"/>
        </w:rPr>
        <w:fldChar w:fldCharType="end"/>
      </w:r>
      <w:r w:rsidRPr="00192E9A">
        <w:rPr>
          <w:sz w:val="22"/>
          <w:szCs w:val="22"/>
        </w:rPr>
        <w:t xml:space="preserve"> Percentage difference between Construct 1 pricing and May-22 Roadmap pricing</w:t>
      </w:r>
      <w:r w:rsidR="002E1F62" w:rsidRPr="00192E9A">
        <w:rPr>
          <w:sz w:val="22"/>
          <w:szCs w:val="22"/>
        </w:rPr>
        <w:t xml:space="preserve"> </w:t>
      </w:r>
    </w:p>
    <w:tbl>
      <w:tblPr>
        <w:tblStyle w:val="ACCANtable"/>
        <w:tblW w:w="9041" w:type="dxa"/>
        <w:tblLayout w:type="fixed"/>
        <w:tblLook w:val="04A0" w:firstRow="1" w:lastRow="0" w:firstColumn="1" w:lastColumn="0" w:noHBand="0" w:noVBand="1"/>
      </w:tblPr>
      <w:tblGrid>
        <w:gridCol w:w="1134"/>
        <w:gridCol w:w="1275"/>
        <w:gridCol w:w="1275"/>
        <w:gridCol w:w="1133"/>
        <w:gridCol w:w="1842"/>
        <w:gridCol w:w="2382"/>
      </w:tblGrid>
      <w:tr w:rsidR="003271A9" w:rsidRPr="00150194" w14:paraId="6ECCEAD9" w14:textId="77777777" w:rsidTr="000500E3">
        <w:trPr>
          <w:cnfStyle w:val="100000000000" w:firstRow="1" w:lastRow="0" w:firstColumn="0" w:lastColumn="0" w:oddVBand="0" w:evenVBand="0" w:oddHBand="0" w:evenHBand="0" w:firstRowFirstColumn="0" w:firstRowLastColumn="0" w:lastRowFirstColumn="0" w:lastRowLastColumn="0"/>
          <w:trHeight w:val="300"/>
        </w:trPr>
        <w:tc>
          <w:tcPr>
            <w:tcW w:w="1134" w:type="dxa"/>
            <w:noWrap/>
            <w:hideMark/>
          </w:tcPr>
          <w:p w14:paraId="12A45F0D" w14:textId="39C64CC5" w:rsidR="003271A9" w:rsidRPr="00150194" w:rsidRDefault="003271A9" w:rsidP="00192E9A">
            <w:pPr>
              <w:jc w:val="center"/>
              <w:rPr>
                <w:lang w:eastAsia="en-US"/>
              </w:rPr>
            </w:pPr>
            <w:r>
              <w:rPr>
                <w:lang w:eastAsia="en-US"/>
              </w:rPr>
              <w:t>Speed Tiers</w:t>
            </w:r>
          </w:p>
        </w:tc>
        <w:tc>
          <w:tcPr>
            <w:tcW w:w="1275" w:type="dxa"/>
            <w:noWrap/>
            <w:hideMark/>
          </w:tcPr>
          <w:p w14:paraId="46DF36FC" w14:textId="4A02591F" w:rsidR="003271A9" w:rsidRPr="00150194" w:rsidRDefault="003271A9" w:rsidP="00192E9A">
            <w:pPr>
              <w:jc w:val="center"/>
              <w:rPr>
                <w:lang w:eastAsia="en-US"/>
              </w:rPr>
            </w:pPr>
            <w:r>
              <w:rPr>
                <w:lang w:eastAsia="en-US"/>
              </w:rPr>
              <w:t xml:space="preserve">Construct 1 </w:t>
            </w:r>
            <w:r w:rsidRPr="00150194">
              <w:rPr>
                <w:lang w:eastAsia="en-US"/>
              </w:rPr>
              <w:t>CVC Inclusions</w:t>
            </w:r>
            <w:r>
              <w:rPr>
                <w:lang w:eastAsia="en-US"/>
              </w:rPr>
              <w:t xml:space="preserve"> (Mbps)</w:t>
            </w:r>
          </w:p>
        </w:tc>
        <w:tc>
          <w:tcPr>
            <w:tcW w:w="1275" w:type="dxa"/>
            <w:noWrap/>
            <w:hideMark/>
          </w:tcPr>
          <w:p w14:paraId="7C4D4366" w14:textId="757152AB" w:rsidR="003271A9" w:rsidRPr="00150194" w:rsidRDefault="003271A9" w:rsidP="00192E9A">
            <w:pPr>
              <w:jc w:val="center"/>
              <w:rPr>
                <w:lang w:eastAsia="en-US"/>
              </w:rPr>
            </w:pPr>
            <w:r>
              <w:rPr>
                <w:lang w:eastAsia="en-US"/>
              </w:rPr>
              <w:t>Construct 1 E</w:t>
            </w:r>
            <w:r w:rsidRPr="00150194">
              <w:rPr>
                <w:lang w:eastAsia="en-US"/>
              </w:rPr>
              <w:t xml:space="preserve">ffective </w:t>
            </w:r>
            <w:r>
              <w:rPr>
                <w:lang w:eastAsia="en-US"/>
              </w:rPr>
              <w:t>C</w:t>
            </w:r>
            <w:r w:rsidRPr="00150194">
              <w:rPr>
                <w:lang w:eastAsia="en-US"/>
              </w:rPr>
              <w:t>harge</w:t>
            </w:r>
          </w:p>
        </w:tc>
        <w:tc>
          <w:tcPr>
            <w:tcW w:w="1133" w:type="dxa"/>
            <w:noWrap/>
            <w:hideMark/>
          </w:tcPr>
          <w:p w14:paraId="3B1FA8CD" w14:textId="77777777" w:rsidR="003271A9" w:rsidRPr="00150194" w:rsidRDefault="003271A9" w:rsidP="00192E9A">
            <w:pPr>
              <w:jc w:val="center"/>
              <w:rPr>
                <w:lang w:eastAsia="en-US"/>
              </w:rPr>
            </w:pPr>
            <w:r w:rsidRPr="00150194">
              <w:rPr>
                <w:lang w:eastAsia="en-US"/>
              </w:rPr>
              <w:t>Overage Fee</w:t>
            </w:r>
          </w:p>
        </w:tc>
        <w:tc>
          <w:tcPr>
            <w:tcW w:w="1842" w:type="dxa"/>
          </w:tcPr>
          <w:p w14:paraId="489B86FB" w14:textId="4EBED666" w:rsidR="003271A9" w:rsidRPr="00150194" w:rsidRDefault="003271A9" w:rsidP="00192E9A">
            <w:pPr>
              <w:jc w:val="center"/>
              <w:rPr>
                <w:lang w:eastAsia="en-US"/>
              </w:rPr>
            </w:pPr>
            <w:r>
              <w:rPr>
                <w:lang w:eastAsia="en-US"/>
              </w:rPr>
              <w:t>Construct 1 Estimated Wholesale Charge</w:t>
            </w:r>
          </w:p>
        </w:tc>
        <w:tc>
          <w:tcPr>
            <w:tcW w:w="2382" w:type="dxa"/>
          </w:tcPr>
          <w:p w14:paraId="47A70DE5" w14:textId="7B98000A" w:rsidR="003271A9" w:rsidRPr="00150194" w:rsidRDefault="003271A9" w:rsidP="00192E9A">
            <w:pPr>
              <w:jc w:val="center"/>
              <w:rPr>
                <w:lang w:eastAsia="en-US"/>
              </w:rPr>
            </w:pPr>
            <w:r>
              <w:rPr>
                <w:lang w:eastAsia="en-US"/>
              </w:rPr>
              <w:t>Comparison between May-22 Roadmap Estimated Wholesale Charge</w:t>
            </w:r>
          </w:p>
        </w:tc>
      </w:tr>
      <w:tr w:rsidR="003271A9" w:rsidRPr="00150194" w14:paraId="602F5D36" w14:textId="77777777" w:rsidTr="000500E3">
        <w:trPr>
          <w:trHeight w:val="300"/>
        </w:trPr>
        <w:tc>
          <w:tcPr>
            <w:tcW w:w="1134" w:type="dxa"/>
            <w:noWrap/>
            <w:hideMark/>
          </w:tcPr>
          <w:p w14:paraId="465A6CCF" w14:textId="2AA07D86" w:rsidR="003271A9" w:rsidRPr="00150194" w:rsidRDefault="003271A9" w:rsidP="003271A9">
            <w:pPr>
              <w:jc w:val="center"/>
              <w:rPr>
                <w:lang w:eastAsia="en-US"/>
              </w:rPr>
            </w:pPr>
            <w:r w:rsidRPr="00150194">
              <w:rPr>
                <w:lang w:eastAsia="en-US"/>
              </w:rPr>
              <w:t>12/1</w:t>
            </w:r>
          </w:p>
        </w:tc>
        <w:tc>
          <w:tcPr>
            <w:tcW w:w="1275" w:type="dxa"/>
            <w:noWrap/>
            <w:hideMark/>
          </w:tcPr>
          <w:p w14:paraId="160D2349" w14:textId="086AC74D" w:rsidR="003271A9" w:rsidRPr="00150194" w:rsidRDefault="003271A9" w:rsidP="003271A9">
            <w:pPr>
              <w:jc w:val="center"/>
              <w:rPr>
                <w:lang w:eastAsia="en-US"/>
              </w:rPr>
            </w:pPr>
            <w:r>
              <w:rPr>
                <w:color w:val="000000"/>
              </w:rPr>
              <w:t>0.15</w:t>
            </w:r>
          </w:p>
        </w:tc>
        <w:tc>
          <w:tcPr>
            <w:tcW w:w="1275" w:type="dxa"/>
            <w:noWrap/>
            <w:hideMark/>
          </w:tcPr>
          <w:p w14:paraId="110F5215" w14:textId="06162289" w:rsidR="003271A9" w:rsidRPr="00150194" w:rsidRDefault="003271A9" w:rsidP="003271A9">
            <w:pPr>
              <w:jc w:val="center"/>
              <w:rPr>
                <w:lang w:eastAsia="en-US"/>
              </w:rPr>
            </w:pPr>
            <w:r>
              <w:rPr>
                <w:color w:val="000000"/>
              </w:rPr>
              <w:t>$22.50</w:t>
            </w:r>
          </w:p>
        </w:tc>
        <w:tc>
          <w:tcPr>
            <w:tcW w:w="1133" w:type="dxa"/>
            <w:noWrap/>
            <w:hideMark/>
          </w:tcPr>
          <w:p w14:paraId="13CCA9B4" w14:textId="593A7854" w:rsidR="003271A9" w:rsidRPr="00150194" w:rsidRDefault="003271A9" w:rsidP="003271A9">
            <w:pPr>
              <w:jc w:val="center"/>
              <w:rPr>
                <w:lang w:eastAsia="en-US"/>
              </w:rPr>
            </w:pPr>
            <w:r>
              <w:rPr>
                <w:color w:val="000000"/>
              </w:rPr>
              <w:t>$6</w:t>
            </w:r>
          </w:p>
        </w:tc>
        <w:tc>
          <w:tcPr>
            <w:tcW w:w="1842" w:type="dxa"/>
          </w:tcPr>
          <w:p w14:paraId="2D97091A" w14:textId="5C91CAD2" w:rsidR="003271A9" w:rsidRPr="00150194" w:rsidRDefault="003271A9" w:rsidP="003271A9">
            <w:pPr>
              <w:jc w:val="center"/>
              <w:rPr>
                <w:lang w:eastAsia="en-US"/>
              </w:rPr>
            </w:pPr>
            <w:r>
              <w:rPr>
                <w:rFonts w:cs="Calibri"/>
                <w:color w:val="000000"/>
              </w:rPr>
              <w:t>$31.13</w:t>
            </w:r>
          </w:p>
        </w:tc>
        <w:tc>
          <w:tcPr>
            <w:tcW w:w="2382" w:type="dxa"/>
          </w:tcPr>
          <w:p w14:paraId="6E1614F8" w14:textId="139ABCA4" w:rsidR="003271A9" w:rsidRPr="00150194" w:rsidRDefault="003271A9" w:rsidP="003271A9">
            <w:pPr>
              <w:jc w:val="center"/>
              <w:rPr>
                <w:lang w:eastAsia="en-US"/>
              </w:rPr>
            </w:pPr>
            <w:r w:rsidRPr="00297684">
              <w:rPr>
                <w:rFonts w:cs="Calibri"/>
                <w:color w:val="FF0000"/>
              </w:rPr>
              <w:t>4%</w:t>
            </w:r>
          </w:p>
        </w:tc>
      </w:tr>
      <w:tr w:rsidR="003271A9" w:rsidRPr="00150194" w14:paraId="1C4F1C9C" w14:textId="77777777" w:rsidTr="000500E3">
        <w:trPr>
          <w:trHeight w:val="300"/>
        </w:trPr>
        <w:tc>
          <w:tcPr>
            <w:tcW w:w="1134" w:type="dxa"/>
            <w:noWrap/>
            <w:hideMark/>
          </w:tcPr>
          <w:p w14:paraId="1417C8D8" w14:textId="77777777" w:rsidR="003271A9" w:rsidRPr="00150194" w:rsidRDefault="003271A9" w:rsidP="003271A9">
            <w:pPr>
              <w:jc w:val="center"/>
              <w:rPr>
                <w:lang w:eastAsia="en-US"/>
              </w:rPr>
            </w:pPr>
            <w:r w:rsidRPr="00150194">
              <w:rPr>
                <w:lang w:eastAsia="en-US"/>
              </w:rPr>
              <w:t>b25 25/5</w:t>
            </w:r>
          </w:p>
        </w:tc>
        <w:tc>
          <w:tcPr>
            <w:tcW w:w="1275" w:type="dxa"/>
            <w:noWrap/>
            <w:hideMark/>
          </w:tcPr>
          <w:p w14:paraId="6F80D358" w14:textId="75C9D4CD" w:rsidR="003271A9" w:rsidRPr="00150194" w:rsidRDefault="003271A9" w:rsidP="003271A9">
            <w:pPr>
              <w:jc w:val="center"/>
              <w:rPr>
                <w:lang w:eastAsia="en-US"/>
              </w:rPr>
            </w:pPr>
            <w:r>
              <w:rPr>
                <w:color w:val="000000"/>
              </w:rPr>
              <w:t>1.6</w:t>
            </w:r>
          </w:p>
        </w:tc>
        <w:tc>
          <w:tcPr>
            <w:tcW w:w="1275" w:type="dxa"/>
            <w:noWrap/>
            <w:hideMark/>
          </w:tcPr>
          <w:p w14:paraId="3C38BEBF" w14:textId="545D5EE7" w:rsidR="003271A9" w:rsidRPr="00150194" w:rsidRDefault="003271A9" w:rsidP="003271A9">
            <w:pPr>
              <w:jc w:val="center"/>
              <w:rPr>
                <w:lang w:eastAsia="en-US"/>
              </w:rPr>
            </w:pPr>
            <w:r>
              <w:rPr>
                <w:color w:val="000000"/>
              </w:rPr>
              <w:t>$39.00</w:t>
            </w:r>
          </w:p>
        </w:tc>
        <w:tc>
          <w:tcPr>
            <w:tcW w:w="1133" w:type="dxa"/>
            <w:noWrap/>
            <w:hideMark/>
          </w:tcPr>
          <w:p w14:paraId="67FA6EE4" w14:textId="7F71EEF2" w:rsidR="003271A9" w:rsidRPr="00150194" w:rsidRDefault="003271A9" w:rsidP="003271A9">
            <w:pPr>
              <w:jc w:val="center"/>
              <w:rPr>
                <w:lang w:eastAsia="en-US"/>
              </w:rPr>
            </w:pPr>
            <w:r>
              <w:rPr>
                <w:color w:val="000000"/>
              </w:rPr>
              <w:t>$6</w:t>
            </w:r>
          </w:p>
        </w:tc>
        <w:tc>
          <w:tcPr>
            <w:tcW w:w="1842" w:type="dxa"/>
          </w:tcPr>
          <w:p w14:paraId="0D7D01F0" w14:textId="17C58713" w:rsidR="003271A9" w:rsidRPr="00150194" w:rsidRDefault="003271A9" w:rsidP="003271A9">
            <w:pPr>
              <w:jc w:val="center"/>
              <w:rPr>
                <w:lang w:eastAsia="en-US"/>
              </w:rPr>
            </w:pPr>
            <w:r>
              <w:rPr>
                <w:rFonts w:cs="Calibri"/>
                <w:color w:val="000000"/>
              </w:rPr>
              <w:t>$39.75</w:t>
            </w:r>
          </w:p>
        </w:tc>
        <w:tc>
          <w:tcPr>
            <w:tcW w:w="2382" w:type="dxa"/>
          </w:tcPr>
          <w:p w14:paraId="5748BB87" w14:textId="00490ADC" w:rsidR="003271A9" w:rsidRPr="00150194" w:rsidRDefault="003271A9" w:rsidP="003271A9">
            <w:pPr>
              <w:jc w:val="center"/>
              <w:rPr>
                <w:lang w:eastAsia="en-US"/>
              </w:rPr>
            </w:pPr>
            <w:r w:rsidRPr="00297684">
              <w:rPr>
                <w:rFonts w:cs="Calibri"/>
                <w:color w:val="FF0000"/>
              </w:rPr>
              <w:t>5</w:t>
            </w:r>
            <w:r w:rsidRPr="00095159">
              <w:rPr>
                <w:color w:val="FF0000"/>
              </w:rPr>
              <w:t>%</w:t>
            </w:r>
          </w:p>
        </w:tc>
      </w:tr>
      <w:tr w:rsidR="003271A9" w:rsidRPr="00150194" w14:paraId="0657FEB7" w14:textId="77777777" w:rsidTr="000500E3">
        <w:trPr>
          <w:trHeight w:val="300"/>
        </w:trPr>
        <w:tc>
          <w:tcPr>
            <w:tcW w:w="1134" w:type="dxa"/>
            <w:noWrap/>
            <w:hideMark/>
          </w:tcPr>
          <w:p w14:paraId="22095C19" w14:textId="77777777" w:rsidR="003271A9" w:rsidRPr="00150194" w:rsidRDefault="003271A9" w:rsidP="003271A9">
            <w:pPr>
              <w:jc w:val="center"/>
              <w:rPr>
                <w:lang w:eastAsia="en-US"/>
              </w:rPr>
            </w:pPr>
            <w:r w:rsidRPr="00150194">
              <w:rPr>
                <w:lang w:eastAsia="en-US"/>
              </w:rPr>
              <w:t>50/20</w:t>
            </w:r>
          </w:p>
        </w:tc>
        <w:tc>
          <w:tcPr>
            <w:tcW w:w="1275" w:type="dxa"/>
            <w:noWrap/>
            <w:hideMark/>
          </w:tcPr>
          <w:p w14:paraId="5C1EF33D" w14:textId="1D2C4F03" w:rsidR="003271A9" w:rsidRPr="00150194" w:rsidRDefault="003271A9" w:rsidP="003271A9">
            <w:pPr>
              <w:jc w:val="center"/>
              <w:rPr>
                <w:lang w:eastAsia="en-US"/>
              </w:rPr>
            </w:pPr>
            <w:r>
              <w:rPr>
                <w:color w:val="000000"/>
              </w:rPr>
              <w:t>2.65</w:t>
            </w:r>
          </w:p>
        </w:tc>
        <w:tc>
          <w:tcPr>
            <w:tcW w:w="1275" w:type="dxa"/>
            <w:noWrap/>
            <w:hideMark/>
          </w:tcPr>
          <w:p w14:paraId="2A6641EE" w14:textId="1F6729F8" w:rsidR="003271A9" w:rsidRPr="00150194" w:rsidRDefault="003271A9" w:rsidP="003271A9">
            <w:pPr>
              <w:jc w:val="center"/>
              <w:rPr>
                <w:lang w:eastAsia="en-US"/>
              </w:rPr>
            </w:pPr>
            <w:r>
              <w:rPr>
                <w:color w:val="000000"/>
              </w:rPr>
              <w:t>$48.00</w:t>
            </w:r>
          </w:p>
        </w:tc>
        <w:tc>
          <w:tcPr>
            <w:tcW w:w="1133" w:type="dxa"/>
            <w:noWrap/>
            <w:hideMark/>
          </w:tcPr>
          <w:p w14:paraId="2FFC07FA" w14:textId="0AFF653C" w:rsidR="003271A9" w:rsidRPr="00150194" w:rsidRDefault="003271A9" w:rsidP="003271A9">
            <w:pPr>
              <w:jc w:val="center"/>
              <w:rPr>
                <w:lang w:eastAsia="en-US"/>
              </w:rPr>
            </w:pPr>
            <w:r>
              <w:rPr>
                <w:color w:val="000000"/>
              </w:rPr>
              <w:t>$6</w:t>
            </w:r>
          </w:p>
        </w:tc>
        <w:tc>
          <w:tcPr>
            <w:tcW w:w="1842" w:type="dxa"/>
          </w:tcPr>
          <w:p w14:paraId="72CAC45B" w14:textId="26D2A5A1" w:rsidR="003271A9" w:rsidRPr="00150194" w:rsidRDefault="003271A9" w:rsidP="003271A9">
            <w:pPr>
              <w:jc w:val="center"/>
              <w:rPr>
                <w:lang w:eastAsia="en-US"/>
              </w:rPr>
            </w:pPr>
            <w:r>
              <w:rPr>
                <w:rFonts w:cs="Calibri"/>
                <w:color w:val="000000"/>
              </w:rPr>
              <w:t>$52.50</w:t>
            </w:r>
          </w:p>
        </w:tc>
        <w:tc>
          <w:tcPr>
            <w:tcW w:w="2382" w:type="dxa"/>
          </w:tcPr>
          <w:p w14:paraId="73D325A4" w14:textId="6DC792B8" w:rsidR="003271A9" w:rsidRPr="00150194" w:rsidRDefault="003271A9" w:rsidP="003271A9">
            <w:pPr>
              <w:jc w:val="center"/>
              <w:rPr>
                <w:lang w:eastAsia="en-US"/>
              </w:rPr>
            </w:pPr>
            <w:r w:rsidRPr="00095159">
              <w:rPr>
                <w:color w:val="FF0000"/>
              </w:rPr>
              <w:t>3%</w:t>
            </w:r>
          </w:p>
        </w:tc>
      </w:tr>
      <w:tr w:rsidR="003271A9" w:rsidRPr="00150194" w14:paraId="027DB03F" w14:textId="77777777" w:rsidTr="000500E3">
        <w:trPr>
          <w:trHeight w:val="300"/>
        </w:trPr>
        <w:tc>
          <w:tcPr>
            <w:tcW w:w="1134" w:type="dxa"/>
            <w:noWrap/>
            <w:hideMark/>
          </w:tcPr>
          <w:p w14:paraId="78D368F3" w14:textId="77777777" w:rsidR="003271A9" w:rsidRPr="00150194" w:rsidRDefault="003271A9" w:rsidP="003271A9">
            <w:pPr>
              <w:jc w:val="center"/>
              <w:rPr>
                <w:lang w:eastAsia="en-US"/>
              </w:rPr>
            </w:pPr>
            <w:r w:rsidRPr="00150194">
              <w:rPr>
                <w:lang w:eastAsia="en-US"/>
              </w:rPr>
              <w:t>100/20</w:t>
            </w:r>
          </w:p>
        </w:tc>
        <w:tc>
          <w:tcPr>
            <w:tcW w:w="1275" w:type="dxa"/>
            <w:noWrap/>
            <w:hideMark/>
          </w:tcPr>
          <w:p w14:paraId="616E3480" w14:textId="74C0DDC8" w:rsidR="003271A9" w:rsidRPr="00150194" w:rsidRDefault="003271A9" w:rsidP="003271A9">
            <w:pPr>
              <w:jc w:val="center"/>
              <w:rPr>
                <w:lang w:eastAsia="en-US"/>
              </w:rPr>
            </w:pPr>
            <w:r>
              <w:rPr>
                <w:color w:val="000000"/>
              </w:rPr>
              <w:t>4.7</w:t>
            </w:r>
          </w:p>
        </w:tc>
        <w:tc>
          <w:tcPr>
            <w:tcW w:w="1275" w:type="dxa"/>
            <w:noWrap/>
            <w:hideMark/>
          </w:tcPr>
          <w:p w14:paraId="5BE10703" w14:textId="6236ECC4" w:rsidR="003271A9" w:rsidRPr="00150194" w:rsidRDefault="003271A9" w:rsidP="003271A9">
            <w:pPr>
              <w:jc w:val="center"/>
              <w:rPr>
                <w:lang w:eastAsia="en-US"/>
              </w:rPr>
            </w:pPr>
            <w:r>
              <w:rPr>
                <w:color w:val="000000"/>
              </w:rPr>
              <w:t>$60.00</w:t>
            </w:r>
          </w:p>
        </w:tc>
        <w:tc>
          <w:tcPr>
            <w:tcW w:w="1133" w:type="dxa"/>
            <w:noWrap/>
            <w:hideMark/>
          </w:tcPr>
          <w:p w14:paraId="62D6E93C" w14:textId="372A7406" w:rsidR="003271A9" w:rsidRPr="00150194" w:rsidRDefault="003271A9" w:rsidP="003271A9">
            <w:pPr>
              <w:jc w:val="center"/>
              <w:rPr>
                <w:lang w:eastAsia="en-US"/>
              </w:rPr>
            </w:pPr>
            <w:r>
              <w:rPr>
                <w:color w:val="000000"/>
              </w:rPr>
              <w:t>$6</w:t>
            </w:r>
          </w:p>
        </w:tc>
        <w:tc>
          <w:tcPr>
            <w:tcW w:w="1842" w:type="dxa"/>
          </w:tcPr>
          <w:p w14:paraId="69BE9942" w14:textId="66932A2C" w:rsidR="003271A9" w:rsidRPr="00150194" w:rsidRDefault="003271A9" w:rsidP="003271A9">
            <w:pPr>
              <w:jc w:val="center"/>
              <w:rPr>
                <w:lang w:eastAsia="en-US"/>
              </w:rPr>
            </w:pPr>
            <w:r>
              <w:rPr>
                <w:rFonts w:cs="Calibri"/>
                <w:color w:val="000000"/>
              </w:rPr>
              <w:t>$60.00</w:t>
            </w:r>
          </w:p>
        </w:tc>
        <w:tc>
          <w:tcPr>
            <w:tcW w:w="2382" w:type="dxa"/>
          </w:tcPr>
          <w:p w14:paraId="3817C217" w14:textId="7BAEAF5A" w:rsidR="003271A9" w:rsidRPr="00150194" w:rsidRDefault="003271A9" w:rsidP="003271A9">
            <w:pPr>
              <w:jc w:val="center"/>
              <w:rPr>
                <w:lang w:eastAsia="en-US"/>
              </w:rPr>
            </w:pPr>
            <w:r w:rsidRPr="00297684">
              <w:rPr>
                <w:rFonts w:cs="Calibri"/>
                <w:color w:val="FF0000"/>
              </w:rPr>
              <w:t>3</w:t>
            </w:r>
            <w:r w:rsidRPr="00095159">
              <w:rPr>
                <w:color w:val="FF0000"/>
              </w:rPr>
              <w:t>%</w:t>
            </w:r>
          </w:p>
        </w:tc>
      </w:tr>
      <w:tr w:rsidR="00C94A12" w:rsidRPr="00150194" w14:paraId="572500F4" w14:textId="77777777" w:rsidTr="000500E3">
        <w:trPr>
          <w:trHeight w:val="300"/>
        </w:trPr>
        <w:tc>
          <w:tcPr>
            <w:tcW w:w="1134" w:type="dxa"/>
            <w:noWrap/>
          </w:tcPr>
          <w:p w14:paraId="515BF9AA" w14:textId="2EAF6C02" w:rsidR="00C94A12" w:rsidRPr="00150194" w:rsidRDefault="00C94A12" w:rsidP="00C94A12">
            <w:pPr>
              <w:jc w:val="center"/>
              <w:rPr>
                <w:lang w:eastAsia="en-US"/>
              </w:rPr>
            </w:pPr>
            <w:r w:rsidRPr="00150194">
              <w:rPr>
                <w:lang w:eastAsia="en-US"/>
              </w:rPr>
              <w:t>100/40</w:t>
            </w:r>
          </w:p>
        </w:tc>
        <w:tc>
          <w:tcPr>
            <w:tcW w:w="1275" w:type="dxa"/>
            <w:noWrap/>
          </w:tcPr>
          <w:p w14:paraId="5085C526" w14:textId="1ACF4C9D" w:rsidR="00C94A12" w:rsidRDefault="00C94A12" w:rsidP="00C94A12">
            <w:pPr>
              <w:jc w:val="center"/>
              <w:rPr>
                <w:color w:val="000000"/>
              </w:rPr>
            </w:pPr>
            <w:r>
              <w:rPr>
                <w:color w:val="000000"/>
              </w:rPr>
              <w:t>4.7</w:t>
            </w:r>
          </w:p>
        </w:tc>
        <w:tc>
          <w:tcPr>
            <w:tcW w:w="1275" w:type="dxa"/>
            <w:noWrap/>
          </w:tcPr>
          <w:p w14:paraId="36E92D34" w14:textId="7E92CF46" w:rsidR="00C94A12" w:rsidRDefault="00C94A12" w:rsidP="00C94A12">
            <w:pPr>
              <w:jc w:val="center"/>
              <w:rPr>
                <w:color w:val="000000"/>
              </w:rPr>
            </w:pPr>
            <w:r>
              <w:rPr>
                <w:color w:val="000000"/>
              </w:rPr>
              <w:t>$67.00</w:t>
            </w:r>
          </w:p>
        </w:tc>
        <w:tc>
          <w:tcPr>
            <w:tcW w:w="1133" w:type="dxa"/>
            <w:noWrap/>
          </w:tcPr>
          <w:p w14:paraId="2A77FB09" w14:textId="2705CBC2" w:rsidR="00C94A12" w:rsidRDefault="00C94A12" w:rsidP="00C94A12">
            <w:pPr>
              <w:jc w:val="center"/>
              <w:rPr>
                <w:color w:val="000000"/>
              </w:rPr>
            </w:pPr>
            <w:r>
              <w:rPr>
                <w:color w:val="000000"/>
              </w:rPr>
              <w:t>$6</w:t>
            </w:r>
          </w:p>
        </w:tc>
        <w:tc>
          <w:tcPr>
            <w:tcW w:w="1842" w:type="dxa"/>
          </w:tcPr>
          <w:p w14:paraId="57E64543" w14:textId="052B6B4B" w:rsidR="00C94A12" w:rsidRDefault="005C2CEF" w:rsidP="00C94A12">
            <w:pPr>
              <w:jc w:val="center"/>
              <w:rPr>
                <w:rFonts w:cs="Calibri"/>
                <w:color w:val="000000"/>
              </w:rPr>
            </w:pPr>
            <w:r>
              <w:rPr>
                <w:rFonts w:cs="Calibri"/>
                <w:color w:val="000000"/>
              </w:rPr>
              <w:t>$67.00</w:t>
            </w:r>
          </w:p>
        </w:tc>
        <w:tc>
          <w:tcPr>
            <w:tcW w:w="2382" w:type="dxa"/>
          </w:tcPr>
          <w:p w14:paraId="37FBEFA3" w14:textId="46A4A59E" w:rsidR="00C94A12" w:rsidRPr="00297684" w:rsidRDefault="005C2CEF" w:rsidP="00C94A12">
            <w:pPr>
              <w:jc w:val="center"/>
              <w:rPr>
                <w:rFonts w:cs="Calibri"/>
                <w:color w:val="FF0000"/>
              </w:rPr>
            </w:pPr>
            <w:r w:rsidRPr="00297684">
              <w:rPr>
                <w:rFonts w:cs="Calibri"/>
                <w:color w:val="FF0000"/>
              </w:rPr>
              <w:t>3%</w:t>
            </w:r>
          </w:p>
        </w:tc>
      </w:tr>
      <w:tr w:rsidR="00C94A12" w:rsidRPr="00150194" w14:paraId="040FD363" w14:textId="77777777" w:rsidTr="000500E3">
        <w:trPr>
          <w:trHeight w:val="300"/>
        </w:trPr>
        <w:tc>
          <w:tcPr>
            <w:tcW w:w="1134" w:type="dxa"/>
            <w:noWrap/>
            <w:hideMark/>
          </w:tcPr>
          <w:p w14:paraId="2ADF03BB" w14:textId="77777777" w:rsidR="00C94A12" w:rsidRPr="00150194" w:rsidRDefault="00C94A12" w:rsidP="00C94A12">
            <w:pPr>
              <w:jc w:val="center"/>
              <w:rPr>
                <w:lang w:eastAsia="en-US"/>
              </w:rPr>
            </w:pPr>
            <w:r w:rsidRPr="00150194">
              <w:rPr>
                <w:lang w:eastAsia="en-US"/>
              </w:rPr>
              <w:t>250/25</w:t>
            </w:r>
          </w:p>
        </w:tc>
        <w:tc>
          <w:tcPr>
            <w:tcW w:w="1275" w:type="dxa"/>
            <w:noWrap/>
            <w:hideMark/>
          </w:tcPr>
          <w:p w14:paraId="489EE22B" w14:textId="4902EB31" w:rsidR="00C94A12" w:rsidRPr="00150194" w:rsidRDefault="00C94A12" w:rsidP="00C94A12">
            <w:pPr>
              <w:jc w:val="center"/>
              <w:rPr>
                <w:lang w:eastAsia="en-US"/>
              </w:rPr>
            </w:pPr>
            <w:r>
              <w:rPr>
                <w:color w:val="000000"/>
              </w:rPr>
              <w:t>6.4</w:t>
            </w:r>
          </w:p>
        </w:tc>
        <w:tc>
          <w:tcPr>
            <w:tcW w:w="1275" w:type="dxa"/>
            <w:noWrap/>
            <w:hideMark/>
          </w:tcPr>
          <w:p w14:paraId="1257762C" w14:textId="54AC779E" w:rsidR="00C94A12" w:rsidRPr="00150194" w:rsidRDefault="00C94A12" w:rsidP="00C94A12">
            <w:pPr>
              <w:jc w:val="center"/>
              <w:rPr>
                <w:lang w:eastAsia="en-US"/>
              </w:rPr>
            </w:pPr>
            <w:r>
              <w:rPr>
                <w:color w:val="000000"/>
              </w:rPr>
              <w:t>$70.00</w:t>
            </w:r>
          </w:p>
        </w:tc>
        <w:tc>
          <w:tcPr>
            <w:tcW w:w="1133" w:type="dxa"/>
            <w:noWrap/>
            <w:hideMark/>
          </w:tcPr>
          <w:p w14:paraId="405D34B3" w14:textId="2A85FF06" w:rsidR="00C94A12" w:rsidRPr="00150194" w:rsidRDefault="00C94A12" w:rsidP="00C94A12">
            <w:pPr>
              <w:jc w:val="center"/>
              <w:rPr>
                <w:lang w:eastAsia="en-US"/>
              </w:rPr>
            </w:pPr>
            <w:r>
              <w:rPr>
                <w:color w:val="000000"/>
              </w:rPr>
              <w:t>$6</w:t>
            </w:r>
          </w:p>
        </w:tc>
        <w:tc>
          <w:tcPr>
            <w:tcW w:w="1842" w:type="dxa"/>
          </w:tcPr>
          <w:p w14:paraId="52BB9224" w14:textId="13FF3C5C" w:rsidR="00C94A12" w:rsidRPr="00150194" w:rsidRDefault="005C2CEF" w:rsidP="00C94A12">
            <w:pPr>
              <w:jc w:val="center"/>
              <w:rPr>
                <w:lang w:eastAsia="en-US"/>
              </w:rPr>
            </w:pPr>
            <w:r>
              <w:rPr>
                <w:rFonts w:cs="Calibri"/>
                <w:color w:val="000000"/>
              </w:rPr>
              <w:t>$73.60</w:t>
            </w:r>
          </w:p>
        </w:tc>
        <w:tc>
          <w:tcPr>
            <w:tcW w:w="2382" w:type="dxa"/>
          </w:tcPr>
          <w:p w14:paraId="035C3953" w14:textId="493B5E19" w:rsidR="00C94A12" w:rsidRPr="00150194" w:rsidRDefault="005C2CEF" w:rsidP="00C94A12">
            <w:pPr>
              <w:jc w:val="center"/>
              <w:rPr>
                <w:lang w:eastAsia="en-US"/>
              </w:rPr>
            </w:pPr>
            <w:r>
              <w:rPr>
                <w:rFonts w:cs="Calibri"/>
                <w:color w:val="000000"/>
              </w:rPr>
              <w:t>-6%</w:t>
            </w:r>
          </w:p>
        </w:tc>
      </w:tr>
      <w:tr w:rsidR="00C94A12" w:rsidRPr="00150194" w14:paraId="5A179CE6" w14:textId="77777777" w:rsidTr="000500E3">
        <w:trPr>
          <w:trHeight w:val="300"/>
        </w:trPr>
        <w:tc>
          <w:tcPr>
            <w:tcW w:w="1134" w:type="dxa"/>
            <w:noWrap/>
            <w:hideMark/>
          </w:tcPr>
          <w:p w14:paraId="6E2D3EB5" w14:textId="77777777" w:rsidR="00C94A12" w:rsidRPr="00150194" w:rsidRDefault="00C94A12" w:rsidP="00C94A12">
            <w:pPr>
              <w:jc w:val="center"/>
              <w:rPr>
                <w:lang w:eastAsia="en-US"/>
              </w:rPr>
            </w:pPr>
            <w:r w:rsidRPr="00150194">
              <w:rPr>
                <w:lang w:eastAsia="en-US"/>
              </w:rPr>
              <w:t>1000/50</w:t>
            </w:r>
          </w:p>
        </w:tc>
        <w:tc>
          <w:tcPr>
            <w:tcW w:w="1275" w:type="dxa"/>
            <w:noWrap/>
            <w:hideMark/>
          </w:tcPr>
          <w:p w14:paraId="58CB9A18" w14:textId="42C6BB84" w:rsidR="00C94A12" w:rsidRPr="00150194" w:rsidRDefault="00C94A12" w:rsidP="00C94A12">
            <w:pPr>
              <w:jc w:val="center"/>
              <w:rPr>
                <w:lang w:eastAsia="en-US"/>
              </w:rPr>
            </w:pPr>
            <w:r>
              <w:rPr>
                <w:color w:val="000000"/>
              </w:rPr>
              <w:t>7</w:t>
            </w:r>
          </w:p>
        </w:tc>
        <w:tc>
          <w:tcPr>
            <w:tcW w:w="1275" w:type="dxa"/>
            <w:noWrap/>
            <w:hideMark/>
          </w:tcPr>
          <w:p w14:paraId="15E36828" w14:textId="7337D39F" w:rsidR="00C94A12" w:rsidRPr="00150194" w:rsidRDefault="00C94A12" w:rsidP="00C94A12">
            <w:pPr>
              <w:jc w:val="center"/>
              <w:rPr>
                <w:lang w:eastAsia="en-US"/>
              </w:rPr>
            </w:pPr>
            <w:r>
              <w:rPr>
                <w:color w:val="000000"/>
              </w:rPr>
              <w:t>$82.00</w:t>
            </w:r>
          </w:p>
        </w:tc>
        <w:tc>
          <w:tcPr>
            <w:tcW w:w="1133" w:type="dxa"/>
            <w:noWrap/>
            <w:hideMark/>
          </w:tcPr>
          <w:p w14:paraId="501F8D6A" w14:textId="07C8ADBD" w:rsidR="00C94A12" w:rsidRPr="00150194" w:rsidRDefault="00C94A12" w:rsidP="00C94A12">
            <w:pPr>
              <w:jc w:val="center"/>
              <w:rPr>
                <w:lang w:eastAsia="en-US"/>
              </w:rPr>
            </w:pPr>
            <w:r>
              <w:rPr>
                <w:color w:val="000000"/>
              </w:rPr>
              <w:t>$6</w:t>
            </w:r>
          </w:p>
        </w:tc>
        <w:tc>
          <w:tcPr>
            <w:tcW w:w="1842" w:type="dxa"/>
          </w:tcPr>
          <w:p w14:paraId="6580EEE7" w14:textId="6DBFCB60" w:rsidR="00C94A12" w:rsidRPr="00150194" w:rsidRDefault="005C2CEF" w:rsidP="00C94A12">
            <w:pPr>
              <w:jc w:val="center"/>
              <w:rPr>
                <w:lang w:eastAsia="en-US"/>
              </w:rPr>
            </w:pPr>
            <w:r>
              <w:rPr>
                <w:rFonts w:cs="Calibri"/>
                <w:color w:val="000000"/>
              </w:rPr>
              <w:t>$93.25</w:t>
            </w:r>
          </w:p>
        </w:tc>
        <w:tc>
          <w:tcPr>
            <w:tcW w:w="2382" w:type="dxa"/>
          </w:tcPr>
          <w:p w14:paraId="7BF75227" w14:textId="0595B569" w:rsidR="00C94A12" w:rsidRPr="00150194" w:rsidRDefault="005C2CEF" w:rsidP="00C94A12">
            <w:pPr>
              <w:jc w:val="center"/>
              <w:rPr>
                <w:lang w:eastAsia="en-US"/>
              </w:rPr>
            </w:pPr>
            <w:r>
              <w:rPr>
                <w:rFonts w:cs="Calibri"/>
                <w:color w:val="000000"/>
              </w:rPr>
              <w:t>-2%</w:t>
            </w:r>
          </w:p>
        </w:tc>
      </w:tr>
    </w:tbl>
    <w:p w14:paraId="1F667E2B" w14:textId="77777777" w:rsidR="000500E3" w:rsidRDefault="000500E3" w:rsidP="00095159">
      <w:pPr>
        <w:pStyle w:val="Caption"/>
        <w:rPr>
          <w:sz w:val="22"/>
          <w:szCs w:val="22"/>
        </w:rPr>
      </w:pPr>
    </w:p>
    <w:p w14:paraId="7D54731F" w14:textId="5C4042D8" w:rsidR="00150194" w:rsidRPr="00095159" w:rsidRDefault="00095159" w:rsidP="00095159">
      <w:pPr>
        <w:pStyle w:val="Caption"/>
        <w:rPr>
          <w:sz w:val="22"/>
          <w:szCs w:val="22"/>
        </w:rPr>
      </w:pPr>
      <w:r w:rsidRPr="00095159">
        <w:rPr>
          <w:sz w:val="22"/>
          <w:szCs w:val="22"/>
        </w:rPr>
        <w:t xml:space="preserve">Table </w:t>
      </w:r>
      <w:r w:rsidRPr="00095159">
        <w:rPr>
          <w:sz w:val="22"/>
          <w:szCs w:val="22"/>
        </w:rPr>
        <w:fldChar w:fldCharType="begin"/>
      </w:r>
      <w:r w:rsidRPr="00095159">
        <w:rPr>
          <w:sz w:val="22"/>
          <w:szCs w:val="22"/>
        </w:rPr>
        <w:instrText xml:space="preserve"> SEQ Table \* ARABIC </w:instrText>
      </w:r>
      <w:r w:rsidRPr="00095159">
        <w:rPr>
          <w:sz w:val="22"/>
          <w:szCs w:val="22"/>
        </w:rPr>
        <w:fldChar w:fldCharType="separate"/>
      </w:r>
      <w:r w:rsidR="00110D69">
        <w:rPr>
          <w:noProof/>
          <w:sz w:val="22"/>
          <w:szCs w:val="22"/>
        </w:rPr>
        <w:t>4</w:t>
      </w:r>
      <w:r w:rsidRPr="00095159">
        <w:rPr>
          <w:sz w:val="22"/>
          <w:szCs w:val="22"/>
        </w:rPr>
        <w:fldChar w:fldCharType="end"/>
      </w:r>
      <w:r w:rsidRPr="00095159">
        <w:rPr>
          <w:sz w:val="22"/>
          <w:szCs w:val="22"/>
        </w:rPr>
        <w:t xml:space="preserve"> Percentage difference between Construct 2 pricing and May-22 Roadmap pricing</w:t>
      </w:r>
    </w:p>
    <w:tbl>
      <w:tblPr>
        <w:tblStyle w:val="ACCANtable"/>
        <w:tblW w:w="9041" w:type="dxa"/>
        <w:tblLayout w:type="fixed"/>
        <w:tblLook w:val="04A0" w:firstRow="1" w:lastRow="0" w:firstColumn="1" w:lastColumn="0" w:noHBand="0" w:noVBand="1"/>
      </w:tblPr>
      <w:tblGrid>
        <w:gridCol w:w="1129"/>
        <w:gridCol w:w="1276"/>
        <w:gridCol w:w="1276"/>
        <w:gridCol w:w="1134"/>
        <w:gridCol w:w="1843"/>
        <w:gridCol w:w="2383"/>
      </w:tblGrid>
      <w:tr w:rsidR="003271A9" w:rsidRPr="00150194" w14:paraId="4091A42D" w14:textId="77777777" w:rsidTr="000500E3">
        <w:trPr>
          <w:cnfStyle w:val="100000000000" w:firstRow="1" w:lastRow="0" w:firstColumn="0" w:lastColumn="0" w:oddVBand="0" w:evenVBand="0" w:oddHBand="0" w:evenHBand="0" w:firstRowFirstColumn="0" w:firstRowLastColumn="0" w:lastRowFirstColumn="0" w:lastRowLastColumn="0"/>
          <w:trHeight w:val="300"/>
        </w:trPr>
        <w:tc>
          <w:tcPr>
            <w:tcW w:w="1129" w:type="dxa"/>
            <w:noWrap/>
            <w:hideMark/>
          </w:tcPr>
          <w:p w14:paraId="437052B6" w14:textId="465CBC71" w:rsidR="003271A9" w:rsidRPr="00150194" w:rsidRDefault="003271A9" w:rsidP="003271A9">
            <w:pPr>
              <w:jc w:val="center"/>
              <w:rPr>
                <w:lang w:eastAsia="en-US"/>
              </w:rPr>
            </w:pPr>
            <w:r>
              <w:rPr>
                <w:lang w:eastAsia="en-US"/>
              </w:rPr>
              <w:t>Speed Tiers</w:t>
            </w:r>
          </w:p>
        </w:tc>
        <w:tc>
          <w:tcPr>
            <w:tcW w:w="1276" w:type="dxa"/>
            <w:noWrap/>
            <w:hideMark/>
          </w:tcPr>
          <w:p w14:paraId="4721EE60" w14:textId="12587B51" w:rsidR="003271A9" w:rsidRPr="00150194" w:rsidRDefault="003271A9" w:rsidP="003271A9">
            <w:pPr>
              <w:jc w:val="center"/>
              <w:rPr>
                <w:lang w:eastAsia="en-US"/>
              </w:rPr>
            </w:pPr>
            <w:r>
              <w:rPr>
                <w:lang w:eastAsia="en-US"/>
              </w:rPr>
              <w:t xml:space="preserve">Construct 2 </w:t>
            </w:r>
            <w:r w:rsidRPr="00150194">
              <w:rPr>
                <w:lang w:eastAsia="en-US"/>
              </w:rPr>
              <w:t>CVC Inclusions</w:t>
            </w:r>
            <w:r>
              <w:rPr>
                <w:lang w:eastAsia="en-US"/>
              </w:rPr>
              <w:t xml:space="preserve"> (Mbps)</w:t>
            </w:r>
          </w:p>
        </w:tc>
        <w:tc>
          <w:tcPr>
            <w:tcW w:w="1276" w:type="dxa"/>
            <w:noWrap/>
            <w:hideMark/>
          </w:tcPr>
          <w:p w14:paraId="7BC2C60B" w14:textId="61D7BCAB" w:rsidR="003271A9" w:rsidRPr="00150194" w:rsidRDefault="003271A9" w:rsidP="003271A9">
            <w:pPr>
              <w:jc w:val="center"/>
              <w:rPr>
                <w:lang w:eastAsia="en-US"/>
              </w:rPr>
            </w:pPr>
            <w:r>
              <w:rPr>
                <w:lang w:eastAsia="en-US"/>
              </w:rPr>
              <w:t>Construct 2 E</w:t>
            </w:r>
            <w:r w:rsidRPr="00150194">
              <w:rPr>
                <w:lang w:eastAsia="en-US"/>
              </w:rPr>
              <w:t xml:space="preserve">ffective </w:t>
            </w:r>
            <w:r>
              <w:rPr>
                <w:lang w:eastAsia="en-US"/>
              </w:rPr>
              <w:t>C</w:t>
            </w:r>
            <w:r w:rsidRPr="00150194">
              <w:rPr>
                <w:lang w:eastAsia="en-US"/>
              </w:rPr>
              <w:t>harge</w:t>
            </w:r>
          </w:p>
        </w:tc>
        <w:tc>
          <w:tcPr>
            <w:tcW w:w="1134" w:type="dxa"/>
            <w:noWrap/>
            <w:hideMark/>
          </w:tcPr>
          <w:p w14:paraId="7A3486C8" w14:textId="1428BA32" w:rsidR="003271A9" w:rsidRPr="00150194" w:rsidRDefault="003271A9" w:rsidP="003271A9">
            <w:pPr>
              <w:jc w:val="center"/>
              <w:rPr>
                <w:lang w:eastAsia="en-US"/>
              </w:rPr>
            </w:pPr>
            <w:r w:rsidRPr="00150194">
              <w:rPr>
                <w:lang w:eastAsia="en-US"/>
              </w:rPr>
              <w:t>Overage Fee</w:t>
            </w:r>
          </w:p>
        </w:tc>
        <w:tc>
          <w:tcPr>
            <w:tcW w:w="1843" w:type="dxa"/>
          </w:tcPr>
          <w:p w14:paraId="4C23B159" w14:textId="0B80F256" w:rsidR="003271A9" w:rsidRPr="00150194" w:rsidRDefault="003271A9" w:rsidP="003271A9">
            <w:pPr>
              <w:jc w:val="center"/>
              <w:rPr>
                <w:lang w:eastAsia="en-US"/>
              </w:rPr>
            </w:pPr>
            <w:r>
              <w:rPr>
                <w:lang w:eastAsia="en-US"/>
              </w:rPr>
              <w:t>Construct 2 Estimated Wholesale Charge</w:t>
            </w:r>
          </w:p>
        </w:tc>
        <w:tc>
          <w:tcPr>
            <w:tcW w:w="2383" w:type="dxa"/>
          </w:tcPr>
          <w:p w14:paraId="08ABC42D" w14:textId="38E74750" w:rsidR="003271A9" w:rsidRPr="00150194" w:rsidRDefault="003271A9" w:rsidP="003271A9">
            <w:pPr>
              <w:jc w:val="center"/>
              <w:rPr>
                <w:lang w:eastAsia="en-US"/>
              </w:rPr>
            </w:pPr>
            <w:r>
              <w:rPr>
                <w:lang w:eastAsia="en-US"/>
              </w:rPr>
              <w:t>Comparison between May-22 Roadmap Estimated Wholesale Charge</w:t>
            </w:r>
          </w:p>
        </w:tc>
      </w:tr>
      <w:tr w:rsidR="003271A9" w:rsidRPr="00150194" w14:paraId="162F0550" w14:textId="77777777" w:rsidTr="000500E3">
        <w:trPr>
          <w:trHeight w:val="300"/>
        </w:trPr>
        <w:tc>
          <w:tcPr>
            <w:tcW w:w="1129" w:type="dxa"/>
            <w:noWrap/>
            <w:hideMark/>
          </w:tcPr>
          <w:p w14:paraId="2E54242C" w14:textId="077BFBC9" w:rsidR="003271A9" w:rsidRPr="00150194" w:rsidRDefault="003271A9" w:rsidP="003271A9">
            <w:pPr>
              <w:jc w:val="center"/>
              <w:rPr>
                <w:lang w:eastAsia="en-US"/>
              </w:rPr>
            </w:pPr>
            <w:r w:rsidRPr="00150194">
              <w:rPr>
                <w:lang w:eastAsia="en-US"/>
              </w:rPr>
              <w:t>12/1</w:t>
            </w:r>
          </w:p>
        </w:tc>
        <w:tc>
          <w:tcPr>
            <w:tcW w:w="1276" w:type="dxa"/>
            <w:noWrap/>
            <w:hideMark/>
          </w:tcPr>
          <w:p w14:paraId="6CFC6CF2" w14:textId="77777777" w:rsidR="003271A9" w:rsidRPr="00150194" w:rsidRDefault="003271A9" w:rsidP="003271A9">
            <w:pPr>
              <w:jc w:val="center"/>
              <w:rPr>
                <w:lang w:eastAsia="en-US"/>
              </w:rPr>
            </w:pPr>
            <w:r>
              <w:rPr>
                <w:color w:val="000000"/>
              </w:rPr>
              <w:t>0.15</w:t>
            </w:r>
          </w:p>
        </w:tc>
        <w:tc>
          <w:tcPr>
            <w:tcW w:w="1276" w:type="dxa"/>
            <w:noWrap/>
            <w:hideMark/>
          </w:tcPr>
          <w:p w14:paraId="2AEC6C43" w14:textId="3BCC46A9" w:rsidR="003271A9" w:rsidRPr="00150194" w:rsidRDefault="003271A9" w:rsidP="003271A9">
            <w:pPr>
              <w:jc w:val="center"/>
              <w:rPr>
                <w:lang w:eastAsia="en-US"/>
              </w:rPr>
            </w:pPr>
            <w:r>
              <w:rPr>
                <w:rFonts w:cs="Calibri"/>
                <w:color w:val="000000"/>
              </w:rPr>
              <w:t>$</w:t>
            </w:r>
            <w:r>
              <w:rPr>
                <w:color w:val="000000"/>
              </w:rPr>
              <w:t>22.50</w:t>
            </w:r>
          </w:p>
        </w:tc>
        <w:tc>
          <w:tcPr>
            <w:tcW w:w="1134" w:type="dxa"/>
            <w:noWrap/>
            <w:hideMark/>
          </w:tcPr>
          <w:p w14:paraId="4B0212FE" w14:textId="01FF0F42" w:rsidR="003271A9" w:rsidRPr="00150194" w:rsidRDefault="003271A9" w:rsidP="003271A9">
            <w:pPr>
              <w:jc w:val="center"/>
              <w:rPr>
                <w:lang w:eastAsia="en-US"/>
              </w:rPr>
            </w:pPr>
            <w:r>
              <w:rPr>
                <w:color w:val="000000"/>
              </w:rPr>
              <w:t>$8</w:t>
            </w:r>
          </w:p>
        </w:tc>
        <w:tc>
          <w:tcPr>
            <w:tcW w:w="1843" w:type="dxa"/>
          </w:tcPr>
          <w:p w14:paraId="299F6D25" w14:textId="4F589A33" w:rsidR="003271A9" w:rsidRPr="00150194" w:rsidRDefault="003271A9" w:rsidP="003271A9">
            <w:pPr>
              <w:jc w:val="center"/>
              <w:rPr>
                <w:lang w:eastAsia="en-US"/>
              </w:rPr>
            </w:pPr>
            <w:r>
              <w:rPr>
                <w:rFonts w:cs="Calibri"/>
                <w:color w:val="000000"/>
              </w:rPr>
              <w:t>$30.00</w:t>
            </w:r>
          </w:p>
        </w:tc>
        <w:tc>
          <w:tcPr>
            <w:tcW w:w="2383" w:type="dxa"/>
          </w:tcPr>
          <w:p w14:paraId="5FCEA8CF" w14:textId="4211914C" w:rsidR="003271A9" w:rsidRPr="00150194" w:rsidRDefault="003271A9" w:rsidP="003271A9">
            <w:pPr>
              <w:jc w:val="center"/>
              <w:rPr>
                <w:lang w:eastAsia="en-US"/>
              </w:rPr>
            </w:pPr>
            <w:r>
              <w:rPr>
                <w:rFonts w:cs="Calibri"/>
                <w:color w:val="000000"/>
              </w:rPr>
              <w:t>0</w:t>
            </w:r>
            <w:r>
              <w:rPr>
                <w:color w:val="000000"/>
              </w:rPr>
              <w:t>%</w:t>
            </w:r>
          </w:p>
        </w:tc>
      </w:tr>
      <w:tr w:rsidR="003271A9" w:rsidRPr="00150194" w14:paraId="2E002479" w14:textId="77777777" w:rsidTr="000500E3">
        <w:trPr>
          <w:trHeight w:val="300"/>
        </w:trPr>
        <w:tc>
          <w:tcPr>
            <w:tcW w:w="1129" w:type="dxa"/>
            <w:noWrap/>
            <w:hideMark/>
          </w:tcPr>
          <w:p w14:paraId="24EB880F" w14:textId="77777777" w:rsidR="003271A9" w:rsidRPr="00150194" w:rsidRDefault="003271A9" w:rsidP="003271A9">
            <w:pPr>
              <w:jc w:val="center"/>
              <w:rPr>
                <w:lang w:eastAsia="en-US"/>
              </w:rPr>
            </w:pPr>
            <w:r w:rsidRPr="00150194">
              <w:rPr>
                <w:lang w:eastAsia="en-US"/>
              </w:rPr>
              <w:t>b25 25/5</w:t>
            </w:r>
          </w:p>
        </w:tc>
        <w:tc>
          <w:tcPr>
            <w:tcW w:w="1276" w:type="dxa"/>
            <w:noWrap/>
            <w:hideMark/>
          </w:tcPr>
          <w:p w14:paraId="7ACF718D" w14:textId="77777777" w:rsidR="003271A9" w:rsidRPr="00150194" w:rsidRDefault="003271A9" w:rsidP="003271A9">
            <w:pPr>
              <w:jc w:val="center"/>
              <w:rPr>
                <w:lang w:eastAsia="en-US"/>
              </w:rPr>
            </w:pPr>
            <w:r>
              <w:rPr>
                <w:color w:val="000000"/>
              </w:rPr>
              <w:t>1.6</w:t>
            </w:r>
          </w:p>
        </w:tc>
        <w:tc>
          <w:tcPr>
            <w:tcW w:w="1276" w:type="dxa"/>
            <w:noWrap/>
            <w:hideMark/>
          </w:tcPr>
          <w:p w14:paraId="034420B8" w14:textId="4F08104E" w:rsidR="003271A9" w:rsidRPr="00150194" w:rsidRDefault="003271A9" w:rsidP="003271A9">
            <w:pPr>
              <w:jc w:val="center"/>
              <w:rPr>
                <w:lang w:eastAsia="en-US"/>
              </w:rPr>
            </w:pPr>
            <w:r>
              <w:rPr>
                <w:rFonts w:cs="Calibri"/>
                <w:color w:val="000000"/>
              </w:rPr>
              <w:t>$37.00</w:t>
            </w:r>
          </w:p>
        </w:tc>
        <w:tc>
          <w:tcPr>
            <w:tcW w:w="1134" w:type="dxa"/>
            <w:noWrap/>
            <w:hideMark/>
          </w:tcPr>
          <w:p w14:paraId="67A7D4EF" w14:textId="5B8EC746" w:rsidR="003271A9" w:rsidRPr="00150194" w:rsidRDefault="003271A9" w:rsidP="003271A9">
            <w:pPr>
              <w:jc w:val="center"/>
              <w:rPr>
                <w:lang w:eastAsia="en-US"/>
              </w:rPr>
            </w:pPr>
            <w:r>
              <w:rPr>
                <w:color w:val="000000"/>
              </w:rPr>
              <w:t>$8</w:t>
            </w:r>
          </w:p>
        </w:tc>
        <w:tc>
          <w:tcPr>
            <w:tcW w:w="1843" w:type="dxa"/>
          </w:tcPr>
          <w:p w14:paraId="2CA0C778" w14:textId="59A7DB28" w:rsidR="003271A9" w:rsidRPr="00150194" w:rsidRDefault="003271A9" w:rsidP="003271A9">
            <w:pPr>
              <w:jc w:val="center"/>
              <w:rPr>
                <w:lang w:eastAsia="en-US"/>
              </w:rPr>
            </w:pPr>
            <w:r>
              <w:rPr>
                <w:rFonts w:cs="Calibri"/>
                <w:color w:val="000000"/>
              </w:rPr>
              <w:t>$38.00</w:t>
            </w:r>
          </w:p>
        </w:tc>
        <w:tc>
          <w:tcPr>
            <w:tcW w:w="2383" w:type="dxa"/>
          </w:tcPr>
          <w:p w14:paraId="3C449475" w14:textId="608B8CCD" w:rsidR="003271A9" w:rsidRPr="00150194" w:rsidRDefault="003271A9" w:rsidP="003271A9">
            <w:pPr>
              <w:jc w:val="center"/>
              <w:rPr>
                <w:lang w:eastAsia="en-US"/>
              </w:rPr>
            </w:pPr>
            <w:r>
              <w:rPr>
                <w:rFonts w:cs="Calibri"/>
                <w:color w:val="000000"/>
              </w:rPr>
              <w:t>0%</w:t>
            </w:r>
          </w:p>
        </w:tc>
      </w:tr>
      <w:tr w:rsidR="003271A9" w:rsidRPr="00150194" w14:paraId="1802B0D3" w14:textId="77777777" w:rsidTr="000500E3">
        <w:trPr>
          <w:trHeight w:val="300"/>
        </w:trPr>
        <w:tc>
          <w:tcPr>
            <w:tcW w:w="1129" w:type="dxa"/>
            <w:noWrap/>
            <w:hideMark/>
          </w:tcPr>
          <w:p w14:paraId="5683F2DF" w14:textId="77777777" w:rsidR="003271A9" w:rsidRPr="00150194" w:rsidRDefault="003271A9" w:rsidP="003271A9">
            <w:pPr>
              <w:jc w:val="center"/>
              <w:rPr>
                <w:lang w:eastAsia="en-US"/>
              </w:rPr>
            </w:pPr>
            <w:r w:rsidRPr="00150194">
              <w:rPr>
                <w:lang w:eastAsia="en-US"/>
              </w:rPr>
              <w:t>50/20</w:t>
            </w:r>
          </w:p>
        </w:tc>
        <w:tc>
          <w:tcPr>
            <w:tcW w:w="1276" w:type="dxa"/>
            <w:noWrap/>
            <w:hideMark/>
          </w:tcPr>
          <w:p w14:paraId="1F0948B4" w14:textId="705FF9F3" w:rsidR="003271A9" w:rsidRPr="00150194" w:rsidRDefault="003271A9" w:rsidP="003271A9">
            <w:pPr>
              <w:jc w:val="center"/>
              <w:rPr>
                <w:lang w:eastAsia="en-US"/>
              </w:rPr>
            </w:pPr>
            <w:r>
              <w:rPr>
                <w:color w:val="000000"/>
              </w:rPr>
              <w:t>3</w:t>
            </w:r>
          </w:p>
        </w:tc>
        <w:tc>
          <w:tcPr>
            <w:tcW w:w="1276" w:type="dxa"/>
            <w:noWrap/>
            <w:hideMark/>
          </w:tcPr>
          <w:p w14:paraId="4236E640" w14:textId="3CAE94B6" w:rsidR="003271A9" w:rsidRPr="00150194" w:rsidRDefault="003271A9" w:rsidP="003271A9">
            <w:pPr>
              <w:jc w:val="center"/>
              <w:rPr>
                <w:lang w:eastAsia="en-US"/>
              </w:rPr>
            </w:pPr>
            <w:r>
              <w:rPr>
                <w:rFonts w:cs="Calibri"/>
                <w:color w:val="000000"/>
              </w:rPr>
              <w:t>$</w:t>
            </w:r>
            <w:r>
              <w:rPr>
                <w:color w:val="000000"/>
              </w:rPr>
              <w:t>50.00</w:t>
            </w:r>
          </w:p>
        </w:tc>
        <w:tc>
          <w:tcPr>
            <w:tcW w:w="1134" w:type="dxa"/>
            <w:noWrap/>
            <w:hideMark/>
          </w:tcPr>
          <w:p w14:paraId="4F2BFC51" w14:textId="2F053CCA" w:rsidR="003271A9" w:rsidRPr="00150194" w:rsidRDefault="003271A9" w:rsidP="003271A9">
            <w:pPr>
              <w:jc w:val="center"/>
              <w:rPr>
                <w:lang w:eastAsia="en-US"/>
              </w:rPr>
            </w:pPr>
            <w:r>
              <w:rPr>
                <w:color w:val="000000"/>
              </w:rPr>
              <w:t>$8</w:t>
            </w:r>
          </w:p>
        </w:tc>
        <w:tc>
          <w:tcPr>
            <w:tcW w:w="1843" w:type="dxa"/>
          </w:tcPr>
          <w:p w14:paraId="657B8BCF" w14:textId="75690311" w:rsidR="003271A9" w:rsidRPr="00150194" w:rsidRDefault="003271A9" w:rsidP="003271A9">
            <w:pPr>
              <w:jc w:val="center"/>
              <w:rPr>
                <w:lang w:eastAsia="en-US"/>
              </w:rPr>
            </w:pPr>
            <w:r>
              <w:rPr>
                <w:rFonts w:cs="Calibri"/>
                <w:color w:val="000000"/>
              </w:rPr>
              <w:t>$53.20</w:t>
            </w:r>
          </w:p>
        </w:tc>
        <w:tc>
          <w:tcPr>
            <w:tcW w:w="2383" w:type="dxa"/>
          </w:tcPr>
          <w:p w14:paraId="1B40978D" w14:textId="277C8CA7" w:rsidR="003271A9" w:rsidRPr="00150194" w:rsidRDefault="003271A9" w:rsidP="003271A9">
            <w:pPr>
              <w:jc w:val="center"/>
              <w:rPr>
                <w:lang w:eastAsia="en-US"/>
              </w:rPr>
            </w:pPr>
            <w:r w:rsidRPr="00826B23">
              <w:rPr>
                <w:rFonts w:cs="Calibri"/>
                <w:color w:val="FF0000"/>
              </w:rPr>
              <w:t>4%</w:t>
            </w:r>
          </w:p>
        </w:tc>
      </w:tr>
      <w:tr w:rsidR="003271A9" w:rsidRPr="00150194" w14:paraId="7BA6C2F6" w14:textId="77777777" w:rsidTr="000500E3">
        <w:trPr>
          <w:trHeight w:val="300"/>
        </w:trPr>
        <w:tc>
          <w:tcPr>
            <w:tcW w:w="1129" w:type="dxa"/>
            <w:noWrap/>
            <w:hideMark/>
          </w:tcPr>
          <w:p w14:paraId="3A4655C3" w14:textId="77777777" w:rsidR="003271A9" w:rsidRPr="00150194" w:rsidRDefault="003271A9" w:rsidP="003271A9">
            <w:pPr>
              <w:jc w:val="center"/>
              <w:rPr>
                <w:lang w:eastAsia="en-US"/>
              </w:rPr>
            </w:pPr>
            <w:r w:rsidRPr="00150194">
              <w:rPr>
                <w:lang w:eastAsia="en-US"/>
              </w:rPr>
              <w:t>100/20</w:t>
            </w:r>
          </w:p>
        </w:tc>
        <w:tc>
          <w:tcPr>
            <w:tcW w:w="1276" w:type="dxa"/>
            <w:noWrap/>
            <w:hideMark/>
          </w:tcPr>
          <w:p w14:paraId="3754DBC7" w14:textId="40E5CD86" w:rsidR="003271A9" w:rsidRPr="00150194" w:rsidRDefault="003271A9" w:rsidP="003271A9">
            <w:pPr>
              <w:jc w:val="center"/>
              <w:rPr>
                <w:lang w:eastAsia="en-US"/>
              </w:rPr>
            </w:pPr>
            <w:r>
              <w:rPr>
                <w:lang w:eastAsia="en-US"/>
              </w:rPr>
              <w:t>-</w:t>
            </w:r>
          </w:p>
        </w:tc>
        <w:tc>
          <w:tcPr>
            <w:tcW w:w="1276" w:type="dxa"/>
            <w:noWrap/>
            <w:hideMark/>
          </w:tcPr>
          <w:p w14:paraId="4D803523" w14:textId="5E23390E" w:rsidR="003271A9" w:rsidRPr="00150194" w:rsidRDefault="003271A9" w:rsidP="003271A9">
            <w:pPr>
              <w:jc w:val="center"/>
              <w:rPr>
                <w:lang w:eastAsia="en-US"/>
              </w:rPr>
            </w:pPr>
            <w:r w:rsidRPr="002B22E1">
              <w:rPr>
                <w:rFonts w:eastAsia="Times New Roman"/>
              </w:rPr>
              <w:t>$60</w:t>
            </w:r>
            <w:r>
              <w:rPr>
                <w:rFonts w:eastAsia="Times New Roman"/>
              </w:rPr>
              <w:t>.00</w:t>
            </w:r>
            <w:r w:rsidRPr="002B22E1">
              <w:rPr>
                <w:rFonts w:eastAsia="Times New Roman"/>
              </w:rPr>
              <w:t xml:space="preserve"> - $63</w:t>
            </w:r>
            <w:r>
              <w:rPr>
                <w:rFonts w:eastAsia="Times New Roman"/>
              </w:rPr>
              <w:t>.00</w:t>
            </w:r>
          </w:p>
        </w:tc>
        <w:tc>
          <w:tcPr>
            <w:tcW w:w="1134" w:type="dxa"/>
            <w:noWrap/>
            <w:hideMark/>
          </w:tcPr>
          <w:p w14:paraId="4A83635F" w14:textId="7D80611A" w:rsidR="003271A9" w:rsidRPr="00150194" w:rsidRDefault="003271A9" w:rsidP="003271A9">
            <w:pPr>
              <w:jc w:val="center"/>
              <w:rPr>
                <w:lang w:eastAsia="en-US"/>
              </w:rPr>
            </w:pPr>
            <w:r>
              <w:rPr>
                <w:lang w:eastAsia="en-US"/>
              </w:rPr>
              <w:t>-</w:t>
            </w:r>
          </w:p>
        </w:tc>
        <w:tc>
          <w:tcPr>
            <w:tcW w:w="1843" w:type="dxa"/>
          </w:tcPr>
          <w:p w14:paraId="2D87FD51" w14:textId="7B2BBC6E" w:rsidR="003271A9" w:rsidRPr="00150194" w:rsidRDefault="003271A9" w:rsidP="003271A9">
            <w:pPr>
              <w:jc w:val="center"/>
              <w:rPr>
                <w:lang w:eastAsia="en-US"/>
              </w:rPr>
            </w:pPr>
            <w:r w:rsidRPr="002B22E1">
              <w:rPr>
                <w:rFonts w:eastAsia="Times New Roman"/>
              </w:rPr>
              <w:t>$60</w:t>
            </w:r>
            <w:r>
              <w:rPr>
                <w:rFonts w:eastAsia="Times New Roman"/>
              </w:rPr>
              <w:t>.00</w:t>
            </w:r>
            <w:r w:rsidRPr="002B22E1">
              <w:rPr>
                <w:rFonts w:eastAsia="Times New Roman"/>
              </w:rPr>
              <w:t xml:space="preserve"> - $63</w:t>
            </w:r>
            <w:r>
              <w:rPr>
                <w:rFonts w:eastAsia="Times New Roman"/>
              </w:rPr>
              <w:t>.00</w:t>
            </w:r>
          </w:p>
        </w:tc>
        <w:tc>
          <w:tcPr>
            <w:tcW w:w="2383" w:type="dxa"/>
          </w:tcPr>
          <w:p w14:paraId="10CBF5F0" w14:textId="0728C119" w:rsidR="003271A9" w:rsidRPr="00150194" w:rsidRDefault="003271A9" w:rsidP="003271A9">
            <w:pPr>
              <w:jc w:val="center"/>
              <w:rPr>
                <w:lang w:eastAsia="en-US"/>
              </w:rPr>
            </w:pPr>
            <w:r w:rsidRPr="00095159">
              <w:rPr>
                <w:rFonts w:eastAsia="Times New Roman"/>
                <w:color w:val="FF0000"/>
              </w:rPr>
              <w:t>3% - 9%</w:t>
            </w:r>
          </w:p>
        </w:tc>
      </w:tr>
      <w:tr w:rsidR="005C2CEF" w:rsidRPr="00150194" w14:paraId="60B2DC43" w14:textId="77777777" w:rsidTr="000500E3">
        <w:trPr>
          <w:trHeight w:val="300"/>
        </w:trPr>
        <w:tc>
          <w:tcPr>
            <w:tcW w:w="1129" w:type="dxa"/>
            <w:noWrap/>
          </w:tcPr>
          <w:p w14:paraId="0A5CE189" w14:textId="541FD5E1" w:rsidR="005C2CEF" w:rsidRPr="00150194" w:rsidRDefault="005C2CEF" w:rsidP="003271A9">
            <w:pPr>
              <w:jc w:val="center"/>
              <w:rPr>
                <w:lang w:eastAsia="en-US"/>
              </w:rPr>
            </w:pPr>
            <w:r w:rsidRPr="00150194">
              <w:rPr>
                <w:lang w:eastAsia="en-US"/>
              </w:rPr>
              <w:t>100/40</w:t>
            </w:r>
          </w:p>
        </w:tc>
        <w:tc>
          <w:tcPr>
            <w:tcW w:w="1276" w:type="dxa"/>
            <w:noWrap/>
          </w:tcPr>
          <w:p w14:paraId="2844F686" w14:textId="6187BA0F" w:rsidR="005C2CEF" w:rsidRDefault="005C2CEF" w:rsidP="003271A9">
            <w:pPr>
              <w:jc w:val="center"/>
              <w:rPr>
                <w:lang w:eastAsia="en-US"/>
              </w:rPr>
            </w:pPr>
            <w:r>
              <w:rPr>
                <w:lang w:eastAsia="en-US"/>
              </w:rPr>
              <w:t>-</w:t>
            </w:r>
          </w:p>
        </w:tc>
        <w:tc>
          <w:tcPr>
            <w:tcW w:w="1276" w:type="dxa"/>
            <w:noWrap/>
          </w:tcPr>
          <w:p w14:paraId="78B23D88" w14:textId="663981F4" w:rsidR="005C2CEF" w:rsidRPr="002B22E1" w:rsidRDefault="005C2CEF" w:rsidP="003271A9">
            <w:pPr>
              <w:jc w:val="center"/>
              <w:rPr>
                <w:rFonts w:eastAsia="Times New Roman"/>
              </w:rPr>
            </w:pPr>
            <w:r w:rsidRPr="002B22E1">
              <w:rPr>
                <w:rFonts w:eastAsia="Times New Roman"/>
              </w:rPr>
              <w:t>$67</w:t>
            </w:r>
            <w:r>
              <w:rPr>
                <w:rFonts w:eastAsia="Times New Roman"/>
              </w:rPr>
              <w:t>.00</w:t>
            </w:r>
            <w:r w:rsidRPr="002B22E1">
              <w:rPr>
                <w:rFonts w:eastAsia="Times New Roman"/>
              </w:rPr>
              <w:t xml:space="preserve"> - $68</w:t>
            </w:r>
            <w:r>
              <w:rPr>
                <w:rFonts w:eastAsia="Times New Roman"/>
              </w:rPr>
              <w:t>.00</w:t>
            </w:r>
          </w:p>
        </w:tc>
        <w:tc>
          <w:tcPr>
            <w:tcW w:w="1134" w:type="dxa"/>
            <w:noWrap/>
          </w:tcPr>
          <w:p w14:paraId="68EF75DA" w14:textId="14E7B88D" w:rsidR="005C2CEF" w:rsidRDefault="005C2CEF" w:rsidP="003271A9">
            <w:pPr>
              <w:jc w:val="center"/>
              <w:rPr>
                <w:lang w:eastAsia="en-US"/>
              </w:rPr>
            </w:pPr>
            <w:r>
              <w:rPr>
                <w:lang w:eastAsia="en-US"/>
              </w:rPr>
              <w:t>-</w:t>
            </w:r>
          </w:p>
        </w:tc>
        <w:tc>
          <w:tcPr>
            <w:tcW w:w="1843" w:type="dxa"/>
          </w:tcPr>
          <w:p w14:paraId="45891851" w14:textId="5AA47E03" w:rsidR="005C2CEF" w:rsidRPr="002B22E1" w:rsidRDefault="005C2CEF" w:rsidP="003271A9">
            <w:pPr>
              <w:jc w:val="center"/>
              <w:rPr>
                <w:rFonts w:eastAsia="Times New Roman"/>
              </w:rPr>
            </w:pPr>
            <w:r w:rsidRPr="002B22E1">
              <w:rPr>
                <w:rFonts w:eastAsia="Times New Roman"/>
              </w:rPr>
              <w:t>$67</w:t>
            </w:r>
            <w:r>
              <w:rPr>
                <w:rFonts w:eastAsia="Times New Roman"/>
              </w:rPr>
              <w:t>.00</w:t>
            </w:r>
            <w:r w:rsidRPr="002B22E1">
              <w:rPr>
                <w:rFonts w:eastAsia="Times New Roman"/>
              </w:rPr>
              <w:t xml:space="preserve"> - $68</w:t>
            </w:r>
            <w:r>
              <w:rPr>
                <w:rFonts w:eastAsia="Times New Roman"/>
              </w:rPr>
              <w:t>.00</w:t>
            </w:r>
          </w:p>
        </w:tc>
        <w:tc>
          <w:tcPr>
            <w:tcW w:w="2383" w:type="dxa"/>
          </w:tcPr>
          <w:p w14:paraId="3776B963" w14:textId="6179DE0A" w:rsidR="005C2CEF" w:rsidRPr="002B22E1" w:rsidRDefault="005C2CEF" w:rsidP="003271A9">
            <w:pPr>
              <w:jc w:val="center"/>
              <w:rPr>
                <w:rFonts w:eastAsia="Times New Roman"/>
              </w:rPr>
            </w:pPr>
            <w:r w:rsidRPr="00095159">
              <w:rPr>
                <w:rFonts w:eastAsia="Times New Roman"/>
                <w:color w:val="FF0000"/>
              </w:rPr>
              <w:t>3% - 5%</w:t>
            </w:r>
          </w:p>
        </w:tc>
      </w:tr>
      <w:tr w:rsidR="003271A9" w:rsidRPr="00150194" w14:paraId="2E0A65D2" w14:textId="77777777" w:rsidTr="000500E3">
        <w:trPr>
          <w:trHeight w:val="300"/>
        </w:trPr>
        <w:tc>
          <w:tcPr>
            <w:tcW w:w="1129" w:type="dxa"/>
            <w:noWrap/>
            <w:hideMark/>
          </w:tcPr>
          <w:p w14:paraId="47926236" w14:textId="77777777" w:rsidR="003271A9" w:rsidRPr="00150194" w:rsidRDefault="003271A9" w:rsidP="003271A9">
            <w:pPr>
              <w:jc w:val="center"/>
              <w:rPr>
                <w:lang w:eastAsia="en-US"/>
              </w:rPr>
            </w:pPr>
            <w:r w:rsidRPr="00150194">
              <w:rPr>
                <w:lang w:eastAsia="en-US"/>
              </w:rPr>
              <w:t>250/25</w:t>
            </w:r>
          </w:p>
        </w:tc>
        <w:tc>
          <w:tcPr>
            <w:tcW w:w="1276" w:type="dxa"/>
            <w:noWrap/>
            <w:hideMark/>
          </w:tcPr>
          <w:p w14:paraId="55CE7B6C" w14:textId="4B0A6A71" w:rsidR="003271A9" w:rsidRPr="00150194" w:rsidRDefault="003271A9" w:rsidP="003271A9">
            <w:pPr>
              <w:jc w:val="center"/>
              <w:rPr>
                <w:lang w:eastAsia="en-US"/>
              </w:rPr>
            </w:pPr>
            <w:r>
              <w:rPr>
                <w:lang w:eastAsia="en-US"/>
              </w:rPr>
              <w:t>-</w:t>
            </w:r>
          </w:p>
        </w:tc>
        <w:tc>
          <w:tcPr>
            <w:tcW w:w="1276" w:type="dxa"/>
            <w:noWrap/>
            <w:hideMark/>
          </w:tcPr>
          <w:p w14:paraId="6D61B4D9" w14:textId="44E476CA" w:rsidR="003271A9" w:rsidRPr="00150194" w:rsidRDefault="003271A9" w:rsidP="003271A9">
            <w:pPr>
              <w:jc w:val="center"/>
              <w:rPr>
                <w:lang w:eastAsia="en-US"/>
              </w:rPr>
            </w:pPr>
            <w:r w:rsidRPr="002B22E1">
              <w:rPr>
                <w:rFonts w:eastAsia="Times New Roman"/>
              </w:rPr>
              <w:t>$70</w:t>
            </w:r>
            <w:r>
              <w:rPr>
                <w:rFonts w:eastAsia="Times New Roman"/>
              </w:rPr>
              <w:t>.00</w:t>
            </w:r>
            <w:r w:rsidRPr="002B22E1">
              <w:rPr>
                <w:rFonts w:eastAsia="Times New Roman"/>
              </w:rPr>
              <w:t xml:space="preserve"> - $76</w:t>
            </w:r>
            <w:r>
              <w:rPr>
                <w:rFonts w:eastAsia="Times New Roman"/>
              </w:rPr>
              <w:t>.00</w:t>
            </w:r>
          </w:p>
        </w:tc>
        <w:tc>
          <w:tcPr>
            <w:tcW w:w="1134" w:type="dxa"/>
            <w:noWrap/>
            <w:hideMark/>
          </w:tcPr>
          <w:p w14:paraId="5863E822" w14:textId="411A24AC" w:rsidR="003271A9" w:rsidRPr="00150194" w:rsidRDefault="003271A9" w:rsidP="003271A9">
            <w:pPr>
              <w:jc w:val="center"/>
              <w:rPr>
                <w:lang w:eastAsia="en-US"/>
              </w:rPr>
            </w:pPr>
            <w:r>
              <w:rPr>
                <w:lang w:eastAsia="en-US"/>
              </w:rPr>
              <w:t>-</w:t>
            </w:r>
          </w:p>
        </w:tc>
        <w:tc>
          <w:tcPr>
            <w:tcW w:w="1843" w:type="dxa"/>
          </w:tcPr>
          <w:p w14:paraId="0BCD5192" w14:textId="57E8CEAF" w:rsidR="003271A9" w:rsidRPr="00150194" w:rsidRDefault="003271A9" w:rsidP="003271A9">
            <w:pPr>
              <w:jc w:val="center"/>
              <w:rPr>
                <w:lang w:eastAsia="en-US"/>
              </w:rPr>
            </w:pPr>
            <w:r w:rsidRPr="002B22E1">
              <w:rPr>
                <w:rFonts w:eastAsia="Times New Roman"/>
              </w:rPr>
              <w:t>$70</w:t>
            </w:r>
            <w:r>
              <w:rPr>
                <w:rFonts w:eastAsia="Times New Roman"/>
              </w:rPr>
              <w:t>.00</w:t>
            </w:r>
            <w:r w:rsidRPr="002B22E1">
              <w:rPr>
                <w:rFonts w:eastAsia="Times New Roman"/>
              </w:rPr>
              <w:t xml:space="preserve"> - $76</w:t>
            </w:r>
            <w:r>
              <w:rPr>
                <w:rFonts w:eastAsia="Times New Roman"/>
              </w:rPr>
              <w:t>.00</w:t>
            </w:r>
          </w:p>
        </w:tc>
        <w:tc>
          <w:tcPr>
            <w:tcW w:w="2383" w:type="dxa"/>
          </w:tcPr>
          <w:p w14:paraId="634D783B" w14:textId="504886BF" w:rsidR="003271A9" w:rsidRPr="00150194" w:rsidRDefault="003271A9" w:rsidP="003271A9">
            <w:pPr>
              <w:jc w:val="center"/>
              <w:rPr>
                <w:lang w:eastAsia="en-US"/>
              </w:rPr>
            </w:pPr>
            <w:r w:rsidRPr="002B22E1">
              <w:rPr>
                <w:rFonts w:eastAsia="Times New Roman"/>
              </w:rPr>
              <w:t>-10%</w:t>
            </w:r>
            <w:r>
              <w:rPr>
                <w:rFonts w:eastAsia="Times New Roman"/>
              </w:rPr>
              <w:t xml:space="preserve"> -</w:t>
            </w:r>
            <w:r w:rsidRPr="002B22E1">
              <w:rPr>
                <w:rFonts w:eastAsia="Times New Roman"/>
              </w:rPr>
              <w:t xml:space="preserve"> -3%</w:t>
            </w:r>
          </w:p>
        </w:tc>
      </w:tr>
      <w:tr w:rsidR="003271A9" w:rsidRPr="00150194" w14:paraId="45EDEA6C" w14:textId="77777777" w:rsidTr="000500E3">
        <w:trPr>
          <w:trHeight w:val="300"/>
        </w:trPr>
        <w:tc>
          <w:tcPr>
            <w:tcW w:w="1129" w:type="dxa"/>
            <w:noWrap/>
            <w:hideMark/>
          </w:tcPr>
          <w:p w14:paraId="5FF102D4" w14:textId="77777777" w:rsidR="003271A9" w:rsidRPr="00150194" w:rsidRDefault="003271A9" w:rsidP="003271A9">
            <w:pPr>
              <w:jc w:val="center"/>
              <w:rPr>
                <w:lang w:eastAsia="en-US"/>
              </w:rPr>
            </w:pPr>
            <w:r w:rsidRPr="00150194">
              <w:rPr>
                <w:lang w:eastAsia="en-US"/>
              </w:rPr>
              <w:t>1000/50</w:t>
            </w:r>
          </w:p>
        </w:tc>
        <w:tc>
          <w:tcPr>
            <w:tcW w:w="1276" w:type="dxa"/>
            <w:noWrap/>
            <w:hideMark/>
          </w:tcPr>
          <w:p w14:paraId="3C065B2E" w14:textId="69A245F1" w:rsidR="003271A9" w:rsidRPr="00150194" w:rsidRDefault="003271A9" w:rsidP="003271A9">
            <w:pPr>
              <w:jc w:val="center"/>
              <w:rPr>
                <w:lang w:eastAsia="en-US"/>
              </w:rPr>
            </w:pPr>
            <w:r>
              <w:rPr>
                <w:lang w:eastAsia="en-US"/>
              </w:rPr>
              <w:t>-</w:t>
            </w:r>
          </w:p>
        </w:tc>
        <w:tc>
          <w:tcPr>
            <w:tcW w:w="1276" w:type="dxa"/>
            <w:noWrap/>
            <w:hideMark/>
          </w:tcPr>
          <w:p w14:paraId="5AE4B738" w14:textId="410D93A4" w:rsidR="003271A9" w:rsidRPr="00150194" w:rsidRDefault="003271A9" w:rsidP="003271A9">
            <w:pPr>
              <w:jc w:val="center"/>
              <w:rPr>
                <w:lang w:eastAsia="en-US"/>
              </w:rPr>
            </w:pPr>
            <w:r w:rsidRPr="002B22E1">
              <w:rPr>
                <w:rFonts w:eastAsia="Times New Roman"/>
              </w:rPr>
              <w:t>$82</w:t>
            </w:r>
            <w:r>
              <w:rPr>
                <w:rFonts w:eastAsia="Times New Roman"/>
              </w:rPr>
              <w:t>.00</w:t>
            </w:r>
            <w:r w:rsidRPr="002B22E1">
              <w:rPr>
                <w:rFonts w:eastAsia="Times New Roman"/>
              </w:rPr>
              <w:t xml:space="preserve"> -</w:t>
            </w:r>
            <w:r>
              <w:rPr>
                <w:rFonts w:eastAsia="Times New Roman"/>
              </w:rPr>
              <w:t xml:space="preserve"> </w:t>
            </w:r>
            <w:r w:rsidRPr="002B22E1">
              <w:rPr>
                <w:rFonts w:eastAsia="Times New Roman"/>
              </w:rPr>
              <w:t>$100</w:t>
            </w:r>
            <w:r>
              <w:rPr>
                <w:rFonts w:eastAsia="Times New Roman"/>
              </w:rPr>
              <w:t>.00</w:t>
            </w:r>
          </w:p>
        </w:tc>
        <w:tc>
          <w:tcPr>
            <w:tcW w:w="1134" w:type="dxa"/>
            <w:noWrap/>
            <w:hideMark/>
          </w:tcPr>
          <w:p w14:paraId="1355D270" w14:textId="22FDA8A3" w:rsidR="003271A9" w:rsidRPr="00150194" w:rsidRDefault="003271A9" w:rsidP="003271A9">
            <w:pPr>
              <w:jc w:val="center"/>
              <w:rPr>
                <w:lang w:eastAsia="en-US"/>
              </w:rPr>
            </w:pPr>
            <w:r>
              <w:rPr>
                <w:lang w:eastAsia="en-US"/>
              </w:rPr>
              <w:t>-</w:t>
            </w:r>
          </w:p>
        </w:tc>
        <w:tc>
          <w:tcPr>
            <w:tcW w:w="1843" w:type="dxa"/>
          </w:tcPr>
          <w:p w14:paraId="5E76C629" w14:textId="194DF0C2" w:rsidR="003271A9" w:rsidRPr="00150194" w:rsidRDefault="003271A9" w:rsidP="003271A9">
            <w:pPr>
              <w:jc w:val="center"/>
              <w:rPr>
                <w:lang w:eastAsia="en-US"/>
              </w:rPr>
            </w:pPr>
            <w:r w:rsidRPr="002B22E1">
              <w:rPr>
                <w:rFonts w:eastAsia="Times New Roman"/>
              </w:rPr>
              <w:t>$82</w:t>
            </w:r>
            <w:r>
              <w:rPr>
                <w:rFonts w:eastAsia="Times New Roman"/>
              </w:rPr>
              <w:t>.00</w:t>
            </w:r>
            <w:r w:rsidRPr="002B22E1">
              <w:rPr>
                <w:rFonts w:eastAsia="Times New Roman"/>
              </w:rPr>
              <w:t xml:space="preserve"> - $100</w:t>
            </w:r>
            <w:r>
              <w:rPr>
                <w:rFonts w:eastAsia="Times New Roman"/>
              </w:rPr>
              <w:t>.00</w:t>
            </w:r>
          </w:p>
        </w:tc>
        <w:tc>
          <w:tcPr>
            <w:tcW w:w="2383" w:type="dxa"/>
          </w:tcPr>
          <w:p w14:paraId="5CB925D9" w14:textId="7A385355" w:rsidR="003271A9" w:rsidRPr="00150194" w:rsidRDefault="003271A9" w:rsidP="003271A9">
            <w:pPr>
              <w:jc w:val="center"/>
              <w:rPr>
                <w:lang w:eastAsia="en-US"/>
              </w:rPr>
            </w:pPr>
            <w:r w:rsidRPr="002B22E1">
              <w:rPr>
                <w:rFonts w:eastAsia="Times New Roman"/>
              </w:rPr>
              <w:t xml:space="preserve">-14% - </w:t>
            </w:r>
            <w:r w:rsidRPr="00095159">
              <w:rPr>
                <w:rFonts w:eastAsia="Times New Roman"/>
                <w:color w:val="FF0000"/>
              </w:rPr>
              <w:t>5%</w:t>
            </w:r>
          </w:p>
        </w:tc>
      </w:tr>
    </w:tbl>
    <w:p w14:paraId="20AB0599" w14:textId="77777777" w:rsidR="000500E3" w:rsidRDefault="000500E3" w:rsidP="006C2DC4">
      <w:pPr>
        <w:pStyle w:val="Caption"/>
        <w:rPr>
          <w:sz w:val="22"/>
          <w:szCs w:val="22"/>
        </w:rPr>
      </w:pPr>
    </w:p>
    <w:p w14:paraId="64B07D30" w14:textId="77777777" w:rsidR="000500E3" w:rsidRDefault="000500E3" w:rsidP="006C2DC4">
      <w:pPr>
        <w:pStyle w:val="Caption"/>
        <w:rPr>
          <w:sz w:val="22"/>
          <w:szCs w:val="22"/>
        </w:rPr>
      </w:pPr>
    </w:p>
    <w:p w14:paraId="0877952F" w14:textId="3781D6D9" w:rsidR="002E1F62" w:rsidRPr="006C2DC4" w:rsidRDefault="006C2DC4" w:rsidP="006C2DC4">
      <w:pPr>
        <w:pStyle w:val="Caption"/>
        <w:rPr>
          <w:sz w:val="22"/>
          <w:szCs w:val="22"/>
        </w:rPr>
      </w:pPr>
      <w:r w:rsidRPr="006C2DC4">
        <w:rPr>
          <w:sz w:val="22"/>
          <w:szCs w:val="22"/>
        </w:rPr>
        <w:lastRenderedPageBreak/>
        <w:t xml:space="preserve">Table </w:t>
      </w:r>
      <w:r w:rsidRPr="006C2DC4">
        <w:rPr>
          <w:sz w:val="22"/>
          <w:szCs w:val="22"/>
        </w:rPr>
        <w:fldChar w:fldCharType="begin"/>
      </w:r>
      <w:r w:rsidRPr="006C2DC4">
        <w:rPr>
          <w:sz w:val="22"/>
          <w:szCs w:val="22"/>
        </w:rPr>
        <w:instrText xml:space="preserve"> SEQ Table \* ARABIC </w:instrText>
      </w:r>
      <w:r w:rsidRPr="006C2DC4">
        <w:rPr>
          <w:sz w:val="22"/>
          <w:szCs w:val="22"/>
        </w:rPr>
        <w:fldChar w:fldCharType="separate"/>
      </w:r>
      <w:r w:rsidR="00110D69">
        <w:rPr>
          <w:noProof/>
          <w:sz w:val="22"/>
          <w:szCs w:val="22"/>
        </w:rPr>
        <w:t>5</w:t>
      </w:r>
      <w:r w:rsidRPr="006C2DC4">
        <w:rPr>
          <w:sz w:val="22"/>
          <w:szCs w:val="22"/>
        </w:rPr>
        <w:fldChar w:fldCharType="end"/>
      </w:r>
      <w:r w:rsidRPr="006C2DC4">
        <w:rPr>
          <w:sz w:val="22"/>
          <w:szCs w:val="22"/>
        </w:rPr>
        <w:t xml:space="preserve"> Percentage difference between Construct 3 pricing and May-22 Roadmap pricing</w:t>
      </w:r>
    </w:p>
    <w:tbl>
      <w:tblPr>
        <w:tblStyle w:val="ACCANtable"/>
        <w:tblW w:w="0" w:type="auto"/>
        <w:tblLook w:val="04A0" w:firstRow="1" w:lastRow="0" w:firstColumn="1" w:lastColumn="0" w:noHBand="0" w:noVBand="1"/>
      </w:tblPr>
      <w:tblGrid>
        <w:gridCol w:w="1129"/>
        <w:gridCol w:w="1276"/>
        <w:gridCol w:w="1276"/>
        <w:gridCol w:w="1134"/>
        <w:gridCol w:w="1843"/>
        <w:gridCol w:w="2358"/>
      </w:tblGrid>
      <w:tr w:rsidR="006C2DC4" w:rsidRPr="00150194" w14:paraId="2BB48188" w14:textId="6B95284A" w:rsidTr="000500E3">
        <w:trPr>
          <w:cnfStyle w:val="100000000000" w:firstRow="1" w:lastRow="0" w:firstColumn="0" w:lastColumn="0" w:oddVBand="0" w:evenVBand="0" w:oddHBand="0" w:evenHBand="0" w:firstRowFirstColumn="0" w:firstRowLastColumn="0" w:lastRowFirstColumn="0" w:lastRowLastColumn="0"/>
          <w:trHeight w:val="300"/>
        </w:trPr>
        <w:tc>
          <w:tcPr>
            <w:tcW w:w="1129" w:type="dxa"/>
            <w:noWrap/>
            <w:hideMark/>
          </w:tcPr>
          <w:p w14:paraId="50A27369" w14:textId="15116F7C" w:rsidR="006C2DC4" w:rsidRPr="00150194" w:rsidRDefault="006C2DC4" w:rsidP="006C2DC4">
            <w:pPr>
              <w:jc w:val="center"/>
              <w:rPr>
                <w:lang w:eastAsia="en-US"/>
              </w:rPr>
            </w:pPr>
            <w:r>
              <w:rPr>
                <w:lang w:eastAsia="en-US"/>
              </w:rPr>
              <w:t>Speed Tiers</w:t>
            </w:r>
          </w:p>
        </w:tc>
        <w:tc>
          <w:tcPr>
            <w:tcW w:w="1276" w:type="dxa"/>
            <w:noWrap/>
            <w:hideMark/>
          </w:tcPr>
          <w:p w14:paraId="03325858" w14:textId="66CE5867" w:rsidR="006C2DC4" w:rsidRPr="00150194" w:rsidRDefault="006C2DC4" w:rsidP="006C2DC4">
            <w:pPr>
              <w:jc w:val="center"/>
              <w:rPr>
                <w:lang w:eastAsia="en-US"/>
              </w:rPr>
            </w:pPr>
            <w:r>
              <w:rPr>
                <w:lang w:eastAsia="en-US"/>
              </w:rPr>
              <w:t xml:space="preserve">Construct 3 </w:t>
            </w:r>
            <w:r w:rsidRPr="00150194">
              <w:rPr>
                <w:lang w:eastAsia="en-US"/>
              </w:rPr>
              <w:t>CVC Inclusions</w:t>
            </w:r>
          </w:p>
        </w:tc>
        <w:tc>
          <w:tcPr>
            <w:tcW w:w="1276" w:type="dxa"/>
            <w:noWrap/>
            <w:hideMark/>
          </w:tcPr>
          <w:p w14:paraId="3D73C93D" w14:textId="635B7707" w:rsidR="006C2DC4" w:rsidRPr="00150194" w:rsidRDefault="006C2DC4" w:rsidP="006C2DC4">
            <w:pPr>
              <w:jc w:val="center"/>
              <w:rPr>
                <w:lang w:eastAsia="en-US"/>
              </w:rPr>
            </w:pPr>
            <w:r>
              <w:rPr>
                <w:lang w:eastAsia="en-US"/>
              </w:rPr>
              <w:t>Construct 3 E</w:t>
            </w:r>
            <w:r w:rsidRPr="00150194">
              <w:rPr>
                <w:lang w:eastAsia="en-US"/>
              </w:rPr>
              <w:t xml:space="preserve">ffective </w:t>
            </w:r>
            <w:r>
              <w:rPr>
                <w:lang w:eastAsia="en-US"/>
              </w:rPr>
              <w:t>C</w:t>
            </w:r>
            <w:r w:rsidRPr="00150194">
              <w:rPr>
                <w:lang w:eastAsia="en-US"/>
              </w:rPr>
              <w:t>harge</w:t>
            </w:r>
          </w:p>
        </w:tc>
        <w:tc>
          <w:tcPr>
            <w:tcW w:w="1134" w:type="dxa"/>
            <w:noWrap/>
            <w:hideMark/>
          </w:tcPr>
          <w:p w14:paraId="1DFBF584" w14:textId="2C04A121" w:rsidR="006C2DC4" w:rsidRPr="00150194" w:rsidRDefault="006C2DC4" w:rsidP="006C2DC4">
            <w:pPr>
              <w:jc w:val="center"/>
              <w:rPr>
                <w:lang w:eastAsia="en-US"/>
              </w:rPr>
            </w:pPr>
            <w:r w:rsidRPr="00150194">
              <w:rPr>
                <w:lang w:eastAsia="en-US"/>
              </w:rPr>
              <w:t>Overage Fee</w:t>
            </w:r>
          </w:p>
        </w:tc>
        <w:tc>
          <w:tcPr>
            <w:tcW w:w="1843" w:type="dxa"/>
          </w:tcPr>
          <w:p w14:paraId="3439E289" w14:textId="54A67F5D" w:rsidR="006C2DC4" w:rsidRPr="00150194" w:rsidRDefault="006C2DC4" w:rsidP="006C2DC4">
            <w:pPr>
              <w:jc w:val="center"/>
              <w:rPr>
                <w:lang w:eastAsia="en-US"/>
              </w:rPr>
            </w:pPr>
            <w:r>
              <w:rPr>
                <w:lang w:eastAsia="en-US"/>
              </w:rPr>
              <w:t>Construct 3 Estimated Wholesale Charge</w:t>
            </w:r>
          </w:p>
        </w:tc>
        <w:tc>
          <w:tcPr>
            <w:tcW w:w="2358" w:type="dxa"/>
          </w:tcPr>
          <w:p w14:paraId="54378070" w14:textId="47116C63" w:rsidR="006C2DC4" w:rsidRPr="00150194" w:rsidRDefault="006C2DC4" w:rsidP="006C2DC4">
            <w:pPr>
              <w:jc w:val="center"/>
              <w:rPr>
                <w:lang w:eastAsia="en-US"/>
              </w:rPr>
            </w:pPr>
            <w:r>
              <w:rPr>
                <w:lang w:eastAsia="en-US"/>
              </w:rPr>
              <w:t>Comparison between May-22 Roadmap Estimated Wholesale Charge</w:t>
            </w:r>
          </w:p>
        </w:tc>
      </w:tr>
      <w:tr w:rsidR="006C2DC4" w:rsidRPr="00150194" w14:paraId="14BF0B91" w14:textId="2E4F3808" w:rsidTr="000500E3">
        <w:trPr>
          <w:trHeight w:val="470"/>
        </w:trPr>
        <w:tc>
          <w:tcPr>
            <w:tcW w:w="1129" w:type="dxa"/>
            <w:noWrap/>
            <w:hideMark/>
          </w:tcPr>
          <w:p w14:paraId="46D9F720" w14:textId="06D4AE4C" w:rsidR="006C2DC4" w:rsidRPr="00150194" w:rsidRDefault="006C2DC4" w:rsidP="00E01314">
            <w:pPr>
              <w:jc w:val="center"/>
              <w:rPr>
                <w:lang w:eastAsia="en-US"/>
              </w:rPr>
            </w:pPr>
            <w:r w:rsidRPr="00150194">
              <w:rPr>
                <w:lang w:eastAsia="en-US"/>
              </w:rPr>
              <w:t>12/1</w:t>
            </w:r>
          </w:p>
        </w:tc>
        <w:tc>
          <w:tcPr>
            <w:tcW w:w="1276" w:type="dxa"/>
            <w:noWrap/>
            <w:hideMark/>
          </w:tcPr>
          <w:p w14:paraId="32EA73B9" w14:textId="3FF66DBC" w:rsidR="006C2DC4" w:rsidRPr="00150194" w:rsidRDefault="006C2DC4" w:rsidP="00E01314">
            <w:pPr>
              <w:jc w:val="center"/>
              <w:rPr>
                <w:lang w:eastAsia="en-US"/>
              </w:rPr>
            </w:pPr>
            <w:r>
              <w:rPr>
                <w:lang w:eastAsia="en-US"/>
              </w:rPr>
              <w:t>-</w:t>
            </w:r>
          </w:p>
        </w:tc>
        <w:tc>
          <w:tcPr>
            <w:tcW w:w="1276" w:type="dxa"/>
            <w:noWrap/>
            <w:hideMark/>
          </w:tcPr>
          <w:p w14:paraId="676645AA" w14:textId="6D5BD775" w:rsidR="006C2DC4" w:rsidRPr="000500E3" w:rsidRDefault="006C2DC4" w:rsidP="000500E3">
            <w:pPr>
              <w:jc w:val="center"/>
              <w:rPr>
                <w:rFonts w:eastAsia="Times New Roman"/>
                <w:color w:val="000000"/>
              </w:rPr>
            </w:pPr>
            <w:r>
              <w:rPr>
                <w:color w:val="000000"/>
              </w:rPr>
              <w:t>$35.00</w:t>
            </w:r>
          </w:p>
        </w:tc>
        <w:tc>
          <w:tcPr>
            <w:tcW w:w="1134" w:type="dxa"/>
            <w:noWrap/>
          </w:tcPr>
          <w:p w14:paraId="598B7335" w14:textId="15C0349F" w:rsidR="006C2DC4" w:rsidRPr="00150194" w:rsidRDefault="006C2DC4" w:rsidP="00E01314">
            <w:pPr>
              <w:jc w:val="center"/>
              <w:rPr>
                <w:lang w:eastAsia="en-US"/>
              </w:rPr>
            </w:pPr>
            <w:r>
              <w:rPr>
                <w:lang w:eastAsia="en-US"/>
              </w:rPr>
              <w:t>-</w:t>
            </w:r>
          </w:p>
        </w:tc>
        <w:tc>
          <w:tcPr>
            <w:tcW w:w="1843" w:type="dxa"/>
          </w:tcPr>
          <w:p w14:paraId="15B9D221" w14:textId="1A8AF40E" w:rsidR="006C2DC4" w:rsidRPr="000500E3" w:rsidRDefault="006C2DC4" w:rsidP="000500E3">
            <w:pPr>
              <w:jc w:val="center"/>
              <w:rPr>
                <w:rFonts w:eastAsia="Times New Roman"/>
                <w:color w:val="000000"/>
              </w:rPr>
            </w:pPr>
            <w:r>
              <w:rPr>
                <w:color w:val="000000"/>
              </w:rPr>
              <w:t>$35.00</w:t>
            </w:r>
          </w:p>
        </w:tc>
        <w:tc>
          <w:tcPr>
            <w:tcW w:w="2358" w:type="dxa"/>
          </w:tcPr>
          <w:p w14:paraId="302553F6" w14:textId="0277ECC8" w:rsidR="006C2DC4" w:rsidRPr="006C2DC4" w:rsidRDefault="006C2DC4" w:rsidP="00E01314">
            <w:pPr>
              <w:jc w:val="center"/>
              <w:rPr>
                <w:color w:val="FF0000"/>
                <w:lang w:eastAsia="en-US"/>
              </w:rPr>
            </w:pPr>
            <w:r w:rsidRPr="006C2DC4">
              <w:rPr>
                <w:color w:val="FF0000"/>
              </w:rPr>
              <w:t>17%</w:t>
            </w:r>
          </w:p>
        </w:tc>
      </w:tr>
      <w:tr w:rsidR="006C2DC4" w:rsidRPr="00150194" w14:paraId="6640EB4C" w14:textId="18443DEA" w:rsidTr="000500E3">
        <w:trPr>
          <w:trHeight w:val="300"/>
        </w:trPr>
        <w:tc>
          <w:tcPr>
            <w:tcW w:w="1129" w:type="dxa"/>
            <w:noWrap/>
            <w:hideMark/>
          </w:tcPr>
          <w:p w14:paraId="002B6969" w14:textId="77777777" w:rsidR="006C2DC4" w:rsidRPr="00150194" w:rsidRDefault="006C2DC4" w:rsidP="00E01314">
            <w:pPr>
              <w:jc w:val="center"/>
              <w:rPr>
                <w:lang w:eastAsia="en-US"/>
              </w:rPr>
            </w:pPr>
            <w:r w:rsidRPr="00150194">
              <w:rPr>
                <w:lang w:eastAsia="en-US"/>
              </w:rPr>
              <w:t>b25 25/5</w:t>
            </w:r>
          </w:p>
        </w:tc>
        <w:tc>
          <w:tcPr>
            <w:tcW w:w="1276" w:type="dxa"/>
            <w:noWrap/>
            <w:hideMark/>
          </w:tcPr>
          <w:p w14:paraId="1C77894F" w14:textId="6BDC9205" w:rsidR="006C2DC4" w:rsidRPr="00150194" w:rsidRDefault="006C2DC4" w:rsidP="00E01314">
            <w:pPr>
              <w:jc w:val="center"/>
              <w:rPr>
                <w:lang w:eastAsia="en-US"/>
              </w:rPr>
            </w:pPr>
            <w:r>
              <w:rPr>
                <w:lang w:eastAsia="en-US"/>
              </w:rPr>
              <w:t>-</w:t>
            </w:r>
          </w:p>
        </w:tc>
        <w:tc>
          <w:tcPr>
            <w:tcW w:w="1276" w:type="dxa"/>
            <w:noWrap/>
            <w:hideMark/>
          </w:tcPr>
          <w:p w14:paraId="30DB5CF7" w14:textId="472BCCC1" w:rsidR="006C2DC4" w:rsidRPr="00150194" w:rsidRDefault="006C2DC4" w:rsidP="00E01314">
            <w:pPr>
              <w:jc w:val="center"/>
              <w:rPr>
                <w:lang w:eastAsia="en-US"/>
              </w:rPr>
            </w:pPr>
            <w:r>
              <w:rPr>
                <w:color w:val="000000"/>
              </w:rPr>
              <w:t>$40.00 -$45.00</w:t>
            </w:r>
          </w:p>
        </w:tc>
        <w:tc>
          <w:tcPr>
            <w:tcW w:w="1134" w:type="dxa"/>
            <w:noWrap/>
          </w:tcPr>
          <w:p w14:paraId="6A8A399C" w14:textId="09AF7222" w:rsidR="006C2DC4" w:rsidRPr="00150194" w:rsidRDefault="006C2DC4" w:rsidP="00E01314">
            <w:pPr>
              <w:jc w:val="center"/>
              <w:rPr>
                <w:lang w:eastAsia="en-US"/>
              </w:rPr>
            </w:pPr>
            <w:r>
              <w:rPr>
                <w:lang w:eastAsia="en-US"/>
              </w:rPr>
              <w:t>-</w:t>
            </w:r>
          </w:p>
        </w:tc>
        <w:tc>
          <w:tcPr>
            <w:tcW w:w="1843" w:type="dxa"/>
          </w:tcPr>
          <w:p w14:paraId="31320044" w14:textId="0A7BE684" w:rsidR="006C2DC4" w:rsidRPr="00150194" w:rsidRDefault="006C2DC4" w:rsidP="00E01314">
            <w:pPr>
              <w:jc w:val="center"/>
              <w:rPr>
                <w:lang w:eastAsia="en-US"/>
              </w:rPr>
            </w:pPr>
            <w:r>
              <w:rPr>
                <w:color w:val="000000"/>
              </w:rPr>
              <w:t>$40.00 -$45.00</w:t>
            </w:r>
          </w:p>
        </w:tc>
        <w:tc>
          <w:tcPr>
            <w:tcW w:w="2358" w:type="dxa"/>
          </w:tcPr>
          <w:p w14:paraId="0D07F4FB" w14:textId="4DC36DD3" w:rsidR="006C2DC4" w:rsidRPr="00150194" w:rsidRDefault="006C2DC4" w:rsidP="00E01314">
            <w:pPr>
              <w:jc w:val="center"/>
              <w:rPr>
                <w:lang w:eastAsia="en-US"/>
              </w:rPr>
            </w:pPr>
            <w:r w:rsidRPr="006C2DC4">
              <w:rPr>
                <w:color w:val="FF0000"/>
              </w:rPr>
              <w:t>5% - 18%</w:t>
            </w:r>
          </w:p>
        </w:tc>
      </w:tr>
      <w:tr w:rsidR="006C2DC4" w:rsidRPr="00150194" w14:paraId="7470FC8D" w14:textId="1FE1134D" w:rsidTr="000500E3">
        <w:trPr>
          <w:trHeight w:val="300"/>
        </w:trPr>
        <w:tc>
          <w:tcPr>
            <w:tcW w:w="1129" w:type="dxa"/>
            <w:noWrap/>
            <w:hideMark/>
          </w:tcPr>
          <w:p w14:paraId="638F9E18" w14:textId="77777777" w:rsidR="006C2DC4" w:rsidRPr="00150194" w:rsidRDefault="006C2DC4" w:rsidP="00E01314">
            <w:pPr>
              <w:jc w:val="center"/>
              <w:rPr>
                <w:lang w:eastAsia="en-US"/>
              </w:rPr>
            </w:pPr>
            <w:r w:rsidRPr="00150194">
              <w:rPr>
                <w:lang w:eastAsia="en-US"/>
              </w:rPr>
              <w:t>50/20</w:t>
            </w:r>
          </w:p>
        </w:tc>
        <w:tc>
          <w:tcPr>
            <w:tcW w:w="1276" w:type="dxa"/>
            <w:noWrap/>
            <w:hideMark/>
          </w:tcPr>
          <w:p w14:paraId="17B0F69B" w14:textId="07DACA06" w:rsidR="006C2DC4" w:rsidRPr="00150194" w:rsidRDefault="006C2DC4" w:rsidP="00E01314">
            <w:pPr>
              <w:jc w:val="center"/>
              <w:rPr>
                <w:lang w:eastAsia="en-US"/>
              </w:rPr>
            </w:pPr>
            <w:r>
              <w:rPr>
                <w:lang w:eastAsia="en-US"/>
              </w:rPr>
              <w:t>-</w:t>
            </w:r>
          </w:p>
        </w:tc>
        <w:tc>
          <w:tcPr>
            <w:tcW w:w="1276" w:type="dxa"/>
            <w:noWrap/>
            <w:hideMark/>
          </w:tcPr>
          <w:p w14:paraId="7AF163C2" w14:textId="27AA3123" w:rsidR="006C2DC4" w:rsidRPr="00150194" w:rsidRDefault="006C2DC4" w:rsidP="00E01314">
            <w:pPr>
              <w:jc w:val="center"/>
              <w:rPr>
                <w:lang w:eastAsia="en-US"/>
              </w:rPr>
            </w:pPr>
            <w:r>
              <w:rPr>
                <w:color w:val="000000"/>
              </w:rPr>
              <w:t>$51.00 - $55.00</w:t>
            </w:r>
          </w:p>
        </w:tc>
        <w:tc>
          <w:tcPr>
            <w:tcW w:w="1134" w:type="dxa"/>
            <w:noWrap/>
          </w:tcPr>
          <w:p w14:paraId="198D064F" w14:textId="2ABA48F0" w:rsidR="006C2DC4" w:rsidRPr="00150194" w:rsidRDefault="006C2DC4" w:rsidP="00E01314">
            <w:pPr>
              <w:jc w:val="center"/>
              <w:rPr>
                <w:lang w:eastAsia="en-US"/>
              </w:rPr>
            </w:pPr>
            <w:r>
              <w:rPr>
                <w:lang w:eastAsia="en-US"/>
              </w:rPr>
              <w:t>-</w:t>
            </w:r>
          </w:p>
        </w:tc>
        <w:tc>
          <w:tcPr>
            <w:tcW w:w="1843" w:type="dxa"/>
          </w:tcPr>
          <w:p w14:paraId="700B16A7" w14:textId="4E47120C" w:rsidR="006C2DC4" w:rsidRPr="00150194" w:rsidRDefault="006C2DC4" w:rsidP="00E01314">
            <w:pPr>
              <w:jc w:val="center"/>
              <w:rPr>
                <w:lang w:eastAsia="en-US"/>
              </w:rPr>
            </w:pPr>
            <w:r>
              <w:rPr>
                <w:color w:val="000000"/>
              </w:rPr>
              <w:t>$51.00 - $55.00</w:t>
            </w:r>
          </w:p>
        </w:tc>
        <w:tc>
          <w:tcPr>
            <w:tcW w:w="2358" w:type="dxa"/>
          </w:tcPr>
          <w:p w14:paraId="18AE35D6" w14:textId="5D592832" w:rsidR="006C2DC4" w:rsidRPr="00150194" w:rsidRDefault="006C2DC4" w:rsidP="00E01314">
            <w:pPr>
              <w:jc w:val="center"/>
              <w:rPr>
                <w:lang w:eastAsia="en-US"/>
              </w:rPr>
            </w:pPr>
            <w:r>
              <w:rPr>
                <w:color w:val="000000"/>
              </w:rPr>
              <w:t xml:space="preserve">0 – </w:t>
            </w:r>
            <w:r w:rsidRPr="006C2DC4">
              <w:rPr>
                <w:color w:val="FF0000"/>
              </w:rPr>
              <w:t>8%</w:t>
            </w:r>
          </w:p>
        </w:tc>
      </w:tr>
      <w:tr w:rsidR="006C2DC4" w:rsidRPr="00150194" w14:paraId="25DB6978" w14:textId="49FF78F6" w:rsidTr="000500E3">
        <w:trPr>
          <w:trHeight w:val="300"/>
        </w:trPr>
        <w:tc>
          <w:tcPr>
            <w:tcW w:w="1129" w:type="dxa"/>
            <w:noWrap/>
            <w:hideMark/>
          </w:tcPr>
          <w:p w14:paraId="2D959F0A" w14:textId="77777777" w:rsidR="006C2DC4" w:rsidRPr="00150194" w:rsidRDefault="006C2DC4" w:rsidP="00E01314">
            <w:pPr>
              <w:jc w:val="center"/>
              <w:rPr>
                <w:lang w:eastAsia="en-US"/>
              </w:rPr>
            </w:pPr>
            <w:r w:rsidRPr="00150194">
              <w:rPr>
                <w:lang w:eastAsia="en-US"/>
              </w:rPr>
              <w:t>100/20</w:t>
            </w:r>
          </w:p>
        </w:tc>
        <w:tc>
          <w:tcPr>
            <w:tcW w:w="1276" w:type="dxa"/>
            <w:noWrap/>
            <w:hideMark/>
          </w:tcPr>
          <w:p w14:paraId="6003192C" w14:textId="6F84F390" w:rsidR="006C2DC4" w:rsidRPr="00150194" w:rsidRDefault="006C2DC4" w:rsidP="00E01314">
            <w:pPr>
              <w:jc w:val="center"/>
              <w:rPr>
                <w:lang w:eastAsia="en-US"/>
              </w:rPr>
            </w:pPr>
            <w:r>
              <w:rPr>
                <w:lang w:eastAsia="en-US"/>
              </w:rPr>
              <w:t>-</w:t>
            </w:r>
          </w:p>
        </w:tc>
        <w:tc>
          <w:tcPr>
            <w:tcW w:w="1276" w:type="dxa"/>
            <w:noWrap/>
            <w:hideMark/>
          </w:tcPr>
          <w:p w14:paraId="71E9A551" w14:textId="77777777" w:rsidR="006C2DC4" w:rsidRPr="00150194" w:rsidRDefault="006C2DC4" w:rsidP="00E01314">
            <w:pPr>
              <w:jc w:val="center"/>
              <w:rPr>
                <w:lang w:eastAsia="en-US"/>
              </w:rPr>
            </w:pPr>
            <w:r w:rsidRPr="002B22E1">
              <w:rPr>
                <w:rFonts w:eastAsia="Times New Roman"/>
              </w:rPr>
              <w:t>$60</w:t>
            </w:r>
            <w:r>
              <w:rPr>
                <w:rFonts w:eastAsia="Times New Roman"/>
              </w:rPr>
              <w:t>.00</w:t>
            </w:r>
            <w:r w:rsidRPr="002B22E1">
              <w:rPr>
                <w:rFonts w:eastAsia="Times New Roman"/>
              </w:rPr>
              <w:t xml:space="preserve"> - $63</w:t>
            </w:r>
            <w:r>
              <w:rPr>
                <w:rFonts w:eastAsia="Times New Roman"/>
              </w:rPr>
              <w:t>.00</w:t>
            </w:r>
          </w:p>
        </w:tc>
        <w:tc>
          <w:tcPr>
            <w:tcW w:w="1134" w:type="dxa"/>
            <w:noWrap/>
            <w:hideMark/>
          </w:tcPr>
          <w:p w14:paraId="2B7809B1" w14:textId="478CD6B6" w:rsidR="006C2DC4" w:rsidRPr="00150194" w:rsidRDefault="006C2DC4" w:rsidP="00E01314">
            <w:pPr>
              <w:jc w:val="center"/>
              <w:rPr>
                <w:lang w:eastAsia="en-US"/>
              </w:rPr>
            </w:pPr>
            <w:r>
              <w:rPr>
                <w:lang w:eastAsia="en-US"/>
              </w:rPr>
              <w:t>-</w:t>
            </w:r>
          </w:p>
        </w:tc>
        <w:tc>
          <w:tcPr>
            <w:tcW w:w="1843" w:type="dxa"/>
          </w:tcPr>
          <w:p w14:paraId="19171709" w14:textId="178C23C3" w:rsidR="006C2DC4" w:rsidRPr="00150194" w:rsidRDefault="006C2DC4" w:rsidP="00E01314">
            <w:pPr>
              <w:jc w:val="center"/>
              <w:rPr>
                <w:lang w:eastAsia="en-US"/>
              </w:rPr>
            </w:pPr>
            <w:r w:rsidRPr="002B22E1">
              <w:rPr>
                <w:rFonts w:eastAsia="Times New Roman"/>
              </w:rPr>
              <w:t>$60</w:t>
            </w:r>
            <w:r>
              <w:rPr>
                <w:rFonts w:eastAsia="Times New Roman"/>
              </w:rPr>
              <w:t>.00</w:t>
            </w:r>
            <w:r w:rsidRPr="002B22E1">
              <w:rPr>
                <w:rFonts w:eastAsia="Times New Roman"/>
              </w:rPr>
              <w:t xml:space="preserve"> - $63</w:t>
            </w:r>
            <w:r>
              <w:rPr>
                <w:rFonts w:eastAsia="Times New Roman"/>
              </w:rPr>
              <w:t>.00</w:t>
            </w:r>
          </w:p>
        </w:tc>
        <w:tc>
          <w:tcPr>
            <w:tcW w:w="2358" w:type="dxa"/>
          </w:tcPr>
          <w:p w14:paraId="68D0630F" w14:textId="4067F043" w:rsidR="006C2DC4" w:rsidRPr="00150194" w:rsidRDefault="006C2DC4" w:rsidP="00E01314">
            <w:pPr>
              <w:jc w:val="center"/>
              <w:rPr>
                <w:lang w:eastAsia="en-US"/>
              </w:rPr>
            </w:pPr>
            <w:r w:rsidRPr="006C2DC4">
              <w:rPr>
                <w:rFonts w:eastAsia="Times New Roman"/>
                <w:color w:val="FF0000"/>
              </w:rPr>
              <w:t>3% - 9%</w:t>
            </w:r>
          </w:p>
        </w:tc>
      </w:tr>
      <w:tr w:rsidR="00E01314" w:rsidRPr="00150194" w14:paraId="55B8BC58" w14:textId="77777777" w:rsidTr="000500E3">
        <w:trPr>
          <w:trHeight w:val="300"/>
        </w:trPr>
        <w:tc>
          <w:tcPr>
            <w:tcW w:w="1129" w:type="dxa"/>
            <w:noWrap/>
          </w:tcPr>
          <w:p w14:paraId="39875B54" w14:textId="52983671" w:rsidR="00E01314" w:rsidRPr="00150194" w:rsidRDefault="00E01314" w:rsidP="00E01314">
            <w:pPr>
              <w:jc w:val="center"/>
              <w:rPr>
                <w:lang w:eastAsia="en-US"/>
              </w:rPr>
            </w:pPr>
            <w:r w:rsidRPr="00150194">
              <w:rPr>
                <w:lang w:eastAsia="en-US"/>
              </w:rPr>
              <w:t>100/40</w:t>
            </w:r>
          </w:p>
        </w:tc>
        <w:tc>
          <w:tcPr>
            <w:tcW w:w="1276" w:type="dxa"/>
            <w:noWrap/>
          </w:tcPr>
          <w:p w14:paraId="18C77278" w14:textId="66FDCB8D" w:rsidR="00E01314" w:rsidRDefault="00E01314" w:rsidP="00E01314">
            <w:pPr>
              <w:jc w:val="center"/>
              <w:rPr>
                <w:lang w:eastAsia="en-US"/>
              </w:rPr>
            </w:pPr>
            <w:r>
              <w:rPr>
                <w:lang w:eastAsia="en-US"/>
              </w:rPr>
              <w:t>-</w:t>
            </w:r>
          </w:p>
        </w:tc>
        <w:tc>
          <w:tcPr>
            <w:tcW w:w="1276" w:type="dxa"/>
            <w:noWrap/>
          </w:tcPr>
          <w:p w14:paraId="367F2DFA" w14:textId="01D9C016" w:rsidR="00E01314" w:rsidRPr="002B22E1" w:rsidRDefault="00E01314" w:rsidP="00E01314">
            <w:pPr>
              <w:jc w:val="center"/>
              <w:rPr>
                <w:rFonts w:eastAsia="Times New Roman"/>
              </w:rPr>
            </w:pPr>
            <w:r w:rsidRPr="002B22E1">
              <w:rPr>
                <w:rFonts w:eastAsia="Times New Roman"/>
              </w:rPr>
              <w:t>$67</w:t>
            </w:r>
            <w:r>
              <w:rPr>
                <w:rFonts w:eastAsia="Times New Roman"/>
              </w:rPr>
              <w:t>.00</w:t>
            </w:r>
            <w:r w:rsidRPr="002B22E1">
              <w:rPr>
                <w:rFonts w:eastAsia="Times New Roman"/>
              </w:rPr>
              <w:t xml:space="preserve"> - $68</w:t>
            </w:r>
            <w:r>
              <w:rPr>
                <w:rFonts w:eastAsia="Times New Roman"/>
              </w:rPr>
              <w:t>.00</w:t>
            </w:r>
          </w:p>
        </w:tc>
        <w:tc>
          <w:tcPr>
            <w:tcW w:w="1134" w:type="dxa"/>
            <w:noWrap/>
          </w:tcPr>
          <w:p w14:paraId="48139521" w14:textId="0C8784AB" w:rsidR="00E01314" w:rsidRDefault="00E01314" w:rsidP="00E01314">
            <w:pPr>
              <w:jc w:val="center"/>
              <w:rPr>
                <w:lang w:eastAsia="en-US"/>
              </w:rPr>
            </w:pPr>
            <w:r>
              <w:rPr>
                <w:lang w:eastAsia="en-US"/>
              </w:rPr>
              <w:t>-</w:t>
            </w:r>
          </w:p>
        </w:tc>
        <w:tc>
          <w:tcPr>
            <w:tcW w:w="1843" w:type="dxa"/>
          </w:tcPr>
          <w:p w14:paraId="324CED81" w14:textId="3A4BC467" w:rsidR="00E01314" w:rsidRPr="002B22E1" w:rsidRDefault="00E01314" w:rsidP="00E01314">
            <w:pPr>
              <w:jc w:val="center"/>
              <w:rPr>
                <w:rFonts w:eastAsia="Times New Roman"/>
              </w:rPr>
            </w:pPr>
            <w:r w:rsidRPr="002B22E1">
              <w:rPr>
                <w:rFonts w:eastAsia="Times New Roman"/>
              </w:rPr>
              <w:t>$67</w:t>
            </w:r>
            <w:r>
              <w:rPr>
                <w:rFonts w:eastAsia="Times New Roman"/>
              </w:rPr>
              <w:t>.00</w:t>
            </w:r>
            <w:r w:rsidRPr="002B22E1">
              <w:rPr>
                <w:rFonts w:eastAsia="Times New Roman"/>
              </w:rPr>
              <w:t xml:space="preserve"> - $68</w:t>
            </w:r>
            <w:r>
              <w:rPr>
                <w:rFonts w:eastAsia="Times New Roman"/>
              </w:rPr>
              <w:t>.00</w:t>
            </w:r>
          </w:p>
        </w:tc>
        <w:tc>
          <w:tcPr>
            <w:tcW w:w="2358" w:type="dxa"/>
          </w:tcPr>
          <w:p w14:paraId="4C403186" w14:textId="0F61E110" w:rsidR="00E01314" w:rsidRPr="002B22E1" w:rsidRDefault="00E01314" w:rsidP="00E01314">
            <w:pPr>
              <w:jc w:val="center"/>
              <w:rPr>
                <w:rFonts w:eastAsia="Times New Roman"/>
              </w:rPr>
            </w:pPr>
            <w:r w:rsidRPr="006C2DC4">
              <w:rPr>
                <w:rFonts w:eastAsia="Times New Roman"/>
                <w:color w:val="FF0000"/>
              </w:rPr>
              <w:t>3% - 5%</w:t>
            </w:r>
          </w:p>
        </w:tc>
      </w:tr>
      <w:tr w:rsidR="006C2DC4" w:rsidRPr="00150194" w14:paraId="3F4FD0E5" w14:textId="4ECE355E" w:rsidTr="000500E3">
        <w:trPr>
          <w:trHeight w:val="300"/>
        </w:trPr>
        <w:tc>
          <w:tcPr>
            <w:tcW w:w="1129" w:type="dxa"/>
            <w:noWrap/>
            <w:hideMark/>
          </w:tcPr>
          <w:p w14:paraId="6D69F915" w14:textId="77777777" w:rsidR="006C2DC4" w:rsidRPr="00150194" w:rsidRDefault="006C2DC4" w:rsidP="00E01314">
            <w:pPr>
              <w:jc w:val="center"/>
              <w:rPr>
                <w:lang w:eastAsia="en-US"/>
              </w:rPr>
            </w:pPr>
            <w:r w:rsidRPr="00150194">
              <w:rPr>
                <w:lang w:eastAsia="en-US"/>
              </w:rPr>
              <w:t>250/25</w:t>
            </w:r>
          </w:p>
        </w:tc>
        <w:tc>
          <w:tcPr>
            <w:tcW w:w="1276" w:type="dxa"/>
            <w:noWrap/>
            <w:hideMark/>
          </w:tcPr>
          <w:p w14:paraId="15858854" w14:textId="5A80BBAB" w:rsidR="006C2DC4" w:rsidRPr="00150194" w:rsidRDefault="006C2DC4" w:rsidP="00E01314">
            <w:pPr>
              <w:jc w:val="center"/>
              <w:rPr>
                <w:lang w:eastAsia="en-US"/>
              </w:rPr>
            </w:pPr>
            <w:r>
              <w:rPr>
                <w:lang w:eastAsia="en-US"/>
              </w:rPr>
              <w:t>-</w:t>
            </w:r>
          </w:p>
        </w:tc>
        <w:tc>
          <w:tcPr>
            <w:tcW w:w="1276" w:type="dxa"/>
            <w:noWrap/>
            <w:hideMark/>
          </w:tcPr>
          <w:p w14:paraId="3ECBAEFF" w14:textId="77777777" w:rsidR="006C2DC4" w:rsidRPr="00150194" w:rsidRDefault="006C2DC4" w:rsidP="00E01314">
            <w:pPr>
              <w:jc w:val="center"/>
              <w:rPr>
                <w:lang w:eastAsia="en-US"/>
              </w:rPr>
            </w:pPr>
            <w:r w:rsidRPr="002B22E1">
              <w:rPr>
                <w:rFonts w:eastAsia="Times New Roman"/>
              </w:rPr>
              <w:t>$70</w:t>
            </w:r>
            <w:r>
              <w:rPr>
                <w:rFonts w:eastAsia="Times New Roman"/>
              </w:rPr>
              <w:t>.00</w:t>
            </w:r>
            <w:r w:rsidRPr="002B22E1">
              <w:rPr>
                <w:rFonts w:eastAsia="Times New Roman"/>
              </w:rPr>
              <w:t xml:space="preserve"> - $76</w:t>
            </w:r>
            <w:r>
              <w:rPr>
                <w:rFonts w:eastAsia="Times New Roman"/>
              </w:rPr>
              <w:t>.00</w:t>
            </w:r>
          </w:p>
        </w:tc>
        <w:tc>
          <w:tcPr>
            <w:tcW w:w="1134" w:type="dxa"/>
            <w:noWrap/>
            <w:hideMark/>
          </w:tcPr>
          <w:p w14:paraId="2705341F" w14:textId="0115CE73" w:rsidR="006C2DC4" w:rsidRPr="00150194" w:rsidRDefault="006C2DC4" w:rsidP="00E01314">
            <w:pPr>
              <w:jc w:val="center"/>
              <w:rPr>
                <w:lang w:eastAsia="en-US"/>
              </w:rPr>
            </w:pPr>
            <w:r>
              <w:rPr>
                <w:lang w:eastAsia="en-US"/>
              </w:rPr>
              <w:t>-</w:t>
            </w:r>
          </w:p>
        </w:tc>
        <w:tc>
          <w:tcPr>
            <w:tcW w:w="1843" w:type="dxa"/>
          </w:tcPr>
          <w:p w14:paraId="5EDC2A4E" w14:textId="7644BBAA" w:rsidR="006C2DC4" w:rsidRPr="00150194" w:rsidRDefault="006C2DC4" w:rsidP="00E01314">
            <w:pPr>
              <w:jc w:val="center"/>
              <w:rPr>
                <w:lang w:eastAsia="en-US"/>
              </w:rPr>
            </w:pPr>
            <w:r w:rsidRPr="002B22E1">
              <w:rPr>
                <w:rFonts w:eastAsia="Times New Roman"/>
              </w:rPr>
              <w:t>$70</w:t>
            </w:r>
            <w:r>
              <w:rPr>
                <w:rFonts w:eastAsia="Times New Roman"/>
              </w:rPr>
              <w:t>.00</w:t>
            </w:r>
            <w:r w:rsidRPr="002B22E1">
              <w:rPr>
                <w:rFonts w:eastAsia="Times New Roman"/>
              </w:rPr>
              <w:t xml:space="preserve"> - $76</w:t>
            </w:r>
            <w:r>
              <w:rPr>
                <w:rFonts w:eastAsia="Times New Roman"/>
              </w:rPr>
              <w:t>.00</w:t>
            </w:r>
          </w:p>
        </w:tc>
        <w:tc>
          <w:tcPr>
            <w:tcW w:w="2358" w:type="dxa"/>
          </w:tcPr>
          <w:p w14:paraId="57E23CC0" w14:textId="2D85109E" w:rsidR="006C2DC4" w:rsidRPr="00150194" w:rsidRDefault="006C2DC4" w:rsidP="00E01314">
            <w:pPr>
              <w:jc w:val="center"/>
              <w:rPr>
                <w:lang w:eastAsia="en-US"/>
              </w:rPr>
            </w:pPr>
            <w:r w:rsidRPr="002B22E1">
              <w:rPr>
                <w:rFonts w:eastAsia="Times New Roman"/>
              </w:rPr>
              <w:t>-10%</w:t>
            </w:r>
            <w:r w:rsidR="00BF2B58">
              <w:rPr>
                <w:rFonts w:eastAsia="Times New Roman"/>
              </w:rPr>
              <w:t xml:space="preserve"> -</w:t>
            </w:r>
            <w:r w:rsidRPr="002B22E1">
              <w:rPr>
                <w:rFonts w:eastAsia="Times New Roman"/>
              </w:rPr>
              <w:t xml:space="preserve"> </w:t>
            </w:r>
            <w:r w:rsidRPr="00BF2B58">
              <w:rPr>
                <w:rFonts w:eastAsia="Times New Roman"/>
              </w:rPr>
              <w:t>-3%</w:t>
            </w:r>
          </w:p>
        </w:tc>
      </w:tr>
      <w:tr w:rsidR="006C2DC4" w:rsidRPr="00150194" w14:paraId="0101B1FE" w14:textId="06320861" w:rsidTr="000500E3">
        <w:trPr>
          <w:trHeight w:val="300"/>
        </w:trPr>
        <w:tc>
          <w:tcPr>
            <w:tcW w:w="1129" w:type="dxa"/>
            <w:noWrap/>
            <w:hideMark/>
          </w:tcPr>
          <w:p w14:paraId="740DC3DE" w14:textId="77777777" w:rsidR="006C2DC4" w:rsidRPr="00150194" w:rsidRDefault="006C2DC4" w:rsidP="00E01314">
            <w:pPr>
              <w:jc w:val="center"/>
              <w:rPr>
                <w:lang w:eastAsia="en-US"/>
              </w:rPr>
            </w:pPr>
            <w:r w:rsidRPr="00150194">
              <w:rPr>
                <w:lang w:eastAsia="en-US"/>
              </w:rPr>
              <w:t>1000/50</w:t>
            </w:r>
          </w:p>
        </w:tc>
        <w:tc>
          <w:tcPr>
            <w:tcW w:w="1276" w:type="dxa"/>
            <w:noWrap/>
            <w:hideMark/>
          </w:tcPr>
          <w:p w14:paraId="4F202451" w14:textId="17AC7FBE" w:rsidR="006C2DC4" w:rsidRPr="00150194" w:rsidRDefault="006C2DC4" w:rsidP="00E01314">
            <w:pPr>
              <w:jc w:val="center"/>
              <w:rPr>
                <w:lang w:eastAsia="en-US"/>
              </w:rPr>
            </w:pPr>
            <w:r>
              <w:rPr>
                <w:lang w:eastAsia="en-US"/>
              </w:rPr>
              <w:t>-</w:t>
            </w:r>
          </w:p>
        </w:tc>
        <w:tc>
          <w:tcPr>
            <w:tcW w:w="1276" w:type="dxa"/>
            <w:noWrap/>
            <w:hideMark/>
          </w:tcPr>
          <w:p w14:paraId="1F1E1D41" w14:textId="77777777" w:rsidR="006C2DC4" w:rsidRPr="00150194" w:rsidRDefault="006C2DC4" w:rsidP="00E01314">
            <w:pPr>
              <w:jc w:val="center"/>
              <w:rPr>
                <w:lang w:eastAsia="en-US"/>
              </w:rPr>
            </w:pPr>
            <w:r w:rsidRPr="002B22E1">
              <w:rPr>
                <w:rFonts w:eastAsia="Times New Roman"/>
              </w:rPr>
              <w:t>$82</w:t>
            </w:r>
            <w:r>
              <w:rPr>
                <w:rFonts w:eastAsia="Times New Roman"/>
              </w:rPr>
              <w:t>.00</w:t>
            </w:r>
            <w:r w:rsidRPr="002B22E1">
              <w:rPr>
                <w:rFonts w:eastAsia="Times New Roman"/>
              </w:rPr>
              <w:t xml:space="preserve"> - $100</w:t>
            </w:r>
            <w:r>
              <w:rPr>
                <w:rFonts w:eastAsia="Times New Roman"/>
              </w:rPr>
              <w:t>.00</w:t>
            </w:r>
          </w:p>
        </w:tc>
        <w:tc>
          <w:tcPr>
            <w:tcW w:w="1134" w:type="dxa"/>
            <w:noWrap/>
            <w:hideMark/>
          </w:tcPr>
          <w:p w14:paraId="61551AAE" w14:textId="3C9DCC72" w:rsidR="006C2DC4" w:rsidRPr="00150194" w:rsidRDefault="006C2DC4" w:rsidP="00E01314">
            <w:pPr>
              <w:jc w:val="center"/>
              <w:rPr>
                <w:lang w:eastAsia="en-US"/>
              </w:rPr>
            </w:pPr>
            <w:r>
              <w:rPr>
                <w:lang w:eastAsia="en-US"/>
              </w:rPr>
              <w:t>-</w:t>
            </w:r>
          </w:p>
        </w:tc>
        <w:tc>
          <w:tcPr>
            <w:tcW w:w="1843" w:type="dxa"/>
          </w:tcPr>
          <w:p w14:paraId="6FD95E40" w14:textId="45E06211" w:rsidR="006C2DC4" w:rsidRPr="00150194" w:rsidRDefault="006C2DC4" w:rsidP="00E01314">
            <w:pPr>
              <w:jc w:val="center"/>
              <w:rPr>
                <w:lang w:eastAsia="en-US"/>
              </w:rPr>
            </w:pPr>
            <w:r w:rsidRPr="002B22E1">
              <w:rPr>
                <w:rFonts w:eastAsia="Times New Roman"/>
              </w:rPr>
              <w:t>$82</w:t>
            </w:r>
            <w:r>
              <w:rPr>
                <w:rFonts w:eastAsia="Times New Roman"/>
              </w:rPr>
              <w:t>.00</w:t>
            </w:r>
            <w:r w:rsidRPr="002B22E1">
              <w:rPr>
                <w:rFonts w:eastAsia="Times New Roman"/>
              </w:rPr>
              <w:t xml:space="preserve"> - $100</w:t>
            </w:r>
            <w:r>
              <w:rPr>
                <w:rFonts w:eastAsia="Times New Roman"/>
              </w:rPr>
              <w:t>.00</w:t>
            </w:r>
          </w:p>
        </w:tc>
        <w:tc>
          <w:tcPr>
            <w:tcW w:w="2358" w:type="dxa"/>
          </w:tcPr>
          <w:p w14:paraId="48782D41" w14:textId="3732ECEF" w:rsidR="006C2DC4" w:rsidRPr="00150194" w:rsidRDefault="006C2DC4" w:rsidP="00E01314">
            <w:pPr>
              <w:jc w:val="center"/>
              <w:rPr>
                <w:lang w:eastAsia="en-US"/>
              </w:rPr>
            </w:pPr>
            <w:r w:rsidRPr="002B22E1">
              <w:rPr>
                <w:rFonts w:eastAsia="Times New Roman"/>
              </w:rPr>
              <w:t xml:space="preserve">-14% - </w:t>
            </w:r>
            <w:r w:rsidRPr="006C2DC4">
              <w:rPr>
                <w:rFonts w:eastAsia="Times New Roman"/>
                <w:color w:val="FF0000"/>
              </w:rPr>
              <w:t>5%</w:t>
            </w:r>
          </w:p>
        </w:tc>
      </w:tr>
    </w:tbl>
    <w:p w14:paraId="7DB36EA3" w14:textId="41E648A7" w:rsidR="007F4BE5" w:rsidRPr="00150194" w:rsidRDefault="00A21328" w:rsidP="00150194">
      <w:pPr>
        <w:rPr>
          <w:lang w:eastAsia="en-US"/>
        </w:rPr>
      </w:pPr>
      <w:r>
        <w:rPr>
          <w:lang w:eastAsia="en-US"/>
        </w:rPr>
        <w:t xml:space="preserve">Note: Table 5 shows the estimated wholesale charge and the effective charge as the same charge as this construct does not impose additional variable costs via the CVC charge. </w:t>
      </w:r>
    </w:p>
    <w:sectPr w:rsidR="007F4BE5" w:rsidRPr="00150194" w:rsidSect="00A13B92">
      <w:headerReference w:type="default"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09C3E" w14:textId="77777777" w:rsidR="006104E7" w:rsidRDefault="006104E7" w:rsidP="00B14DFB">
      <w:r>
        <w:separator/>
      </w:r>
    </w:p>
  </w:endnote>
  <w:endnote w:type="continuationSeparator" w:id="0">
    <w:p w14:paraId="144E97DF" w14:textId="77777777" w:rsidR="006104E7" w:rsidRDefault="006104E7" w:rsidP="00B14DFB">
      <w:r>
        <w:continuationSeparator/>
      </w:r>
    </w:p>
  </w:endnote>
  <w:endnote w:type="continuationNotice" w:id="1">
    <w:p w14:paraId="72E5F4B2" w14:textId="77777777" w:rsidR="006104E7" w:rsidRDefault="006104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DB7"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E064DAC"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65" w14:textId="77777777" w:rsidR="00A13B92" w:rsidRDefault="00A13B92" w:rsidP="00A13B92">
    <w:pPr>
      <w:pStyle w:val="Footerpage1"/>
    </w:pPr>
    <w:r w:rsidRPr="004A0B0A">
      <w:rPr>
        <w:color w:val="44C8F5"/>
      </w:rPr>
      <w:t>Australian Communications Consumer Action Network (ACCAN)</w:t>
    </w:r>
  </w:p>
  <w:p w14:paraId="3CAC45DE" w14:textId="77777777" w:rsidR="00A13B92" w:rsidRDefault="00A13B92" w:rsidP="00A13B92">
    <w:pPr>
      <w:pStyle w:val="Footerpage1"/>
      <w:rPr>
        <w:i/>
      </w:rPr>
    </w:pPr>
    <w:r w:rsidRPr="004A0B0A">
      <w:rPr>
        <w:i/>
        <w:color w:val="44C8F5"/>
      </w:rPr>
      <w:t>Australia’s peak telecommunications consumer organisation</w:t>
    </w:r>
  </w:p>
  <w:p w14:paraId="32448598" w14:textId="77777777" w:rsidR="002D0EFD" w:rsidRPr="00E05115" w:rsidRDefault="00A13B92" w:rsidP="002D0EFD">
    <w:pPr>
      <w:spacing w:after="0"/>
      <w:ind w:left="-567" w:hanging="567"/>
      <w:rPr>
        <w:i/>
        <w:color w:val="23B0E6"/>
      </w:rPr>
    </w:pPr>
    <w:r w:rsidRPr="008E763A">
      <w:rPr>
        <w:noProof/>
      </w:rPr>
      <mc:AlternateContent>
        <mc:Choice Requires="wps">
          <w:drawing>
            <wp:inline distT="0" distB="0" distL="0" distR="0" wp14:anchorId="436375B6" wp14:editId="59A7A17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774F7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p>
  <w:p w14:paraId="09C5D9A3" w14:textId="77777777" w:rsidR="002D0EFD" w:rsidRDefault="002D0EFD" w:rsidP="002D0EFD">
    <w:pPr>
      <w:spacing w:after="0"/>
      <w:ind w:hanging="567"/>
    </w:pPr>
    <w:r>
      <w:t>PO Box A1158, Sydney South NSW 1235</w:t>
    </w:r>
  </w:p>
  <w:p w14:paraId="063AF0C9" w14:textId="77777777" w:rsidR="002D0EFD" w:rsidRDefault="002D0EFD" w:rsidP="002D0EFD">
    <w:pPr>
      <w:spacing w:after="0"/>
      <w:ind w:hanging="567"/>
    </w:pPr>
    <w:r>
      <w:t xml:space="preserve">Tel: (02) 9288 4000 </w:t>
    </w:r>
  </w:p>
  <w:p w14:paraId="54DC5A59" w14:textId="1E341172" w:rsidR="00A13B92" w:rsidRDefault="00A13B92" w:rsidP="002D0EFD">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C5F9" w14:textId="77777777" w:rsidR="006104E7" w:rsidRDefault="006104E7" w:rsidP="00B14DFB">
      <w:r>
        <w:separator/>
      </w:r>
    </w:p>
  </w:footnote>
  <w:footnote w:type="continuationSeparator" w:id="0">
    <w:p w14:paraId="086C18D9" w14:textId="77777777" w:rsidR="006104E7" w:rsidRDefault="006104E7" w:rsidP="00B14DFB">
      <w:r>
        <w:continuationSeparator/>
      </w:r>
    </w:p>
  </w:footnote>
  <w:footnote w:type="continuationNotice" w:id="1">
    <w:p w14:paraId="03D173D9" w14:textId="77777777" w:rsidR="006104E7" w:rsidRDefault="006104E7">
      <w:pPr>
        <w:spacing w:before="0" w:after="0"/>
      </w:pPr>
    </w:p>
  </w:footnote>
  <w:footnote w:id="2">
    <w:p w14:paraId="5D348439" w14:textId="19A6D695" w:rsidR="006035FE" w:rsidRPr="006035FE" w:rsidRDefault="006035FE">
      <w:pPr>
        <w:pStyle w:val="FootnoteText"/>
        <w:rPr>
          <w:lang w:val="en-US"/>
        </w:rPr>
      </w:pPr>
      <w:r>
        <w:rPr>
          <w:rStyle w:val="FootnoteReference"/>
        </w:rPr>
        <w:footnoteRef/>
      </w:r>
      <w:r>
        <w:t xml:space="preserve"> </w:t>
      </w:r>
      <w:r>
        <w:rPr>
          <w:lang w:val="en-US"/>
        </w:rPr>
        <w:t xml:space="preserve">Nbn Co, 2021, </w:t>
      </w:r>
      <w:r w:rsidRPr="006035FE">
        <w:rPr>
          <w:i/>
          <w:iCs/>
          <w:lang w:val="en-US"/>
        </w:rPr>
        <w:t>SAU Variation 2021 - Discussion paper</w:t>
      </w:r>
      <w:r>
        <w:rPr>
          <w:lang w:val="en-US"/>
        </w:rPr>
        <w:t>, pg.3.</w:t>
      </w:r>
    </w:p>
  </w:footnote>
  <w:footnote w:id="3">
    <w:p w14:paraId="5D959C78" w14:textId="6805459A" w:rsidR="0090376D" w:rsidRPr="0090376D" w:rsidRDefault="0090376D">
      <w:pPr>
        <w:pStyle w:val="FootnoteText"/>
        <w:rPr>
          <w:lang w:val="en-US"/>
        </w:rPr>
      </w:pPr>
      <w:r>
        <w:rPr>
          <w:rStyle w:val="FootnoteReference"/>
        </w:rPr>
        <w:footnoteRef/>
      </w:r>
      <w:r>
        <w:t xml:space="preserve"> </w:t>
      </w:r>
      <w:r>
        <w:rPr>
          <w:lang w:val="en-US"/>
        </w:rPr>
        <w:t xml:space="preserve">ACCC, 2021, </w:t>
      </w:r>
      <w:r w:rsidRPr="0090376D">
        <w:rPr>
          <w:i/>
          <w:iCs/>
          <w:lang w:val="en-US"/>
        </w:rPr>
        <w:t>ACCC Industry Roundtable on regulatory arrangements under NBN Co’s Special Access Undertaking</w:t>
      </w:r>
      <w:r>
        <w:rPr>
          <w:lang w:val="en-US"/>
        </w:rPr>
        <w:t xml:space="preserve">. </w:t>
      </w:r>
    </w:p>
  </w:footnote>
  <w:footnote w:id="4">
    <w:p w14:paraId="6977AFD6" w14:textId="0D82E505" w:rsidR="0090376D" w:rsidRPr="0090376D" w:rsidRDefault="0090376D">
      <w:pPr>
        <w:pStyle w:val="FootnoteText"/>
        <w:rPr>
          <w:lang w:val="en-US"/>
        </w:rPr>
      </w:pPr>
      <w:r>
        <w:rPr>
          <w:rStyle w:val="FootnoteReference"/>
        </w:rPr>
        <w:footnoteRef/>
      </w:r>
      <w:r>
        <w:t xml:space="preserve"> </w:t>
      </w:r>
      <w:r>
        <w:rPr>
          <w:lang w:val="en-US"/>
        </w:rPr>
        <w:t xml:space="preserve">Frontier Economics, 2019, </w:t>
      </w:r>
      <w:r w:rsidRPr="0090376D">
        <w:rPr>
          <w:i/>
          <w:iCs/>
          <w:lang w:val="en-US"/>
        </w:rPr>
        <w:t>Writing down the NBN</w:t>
      </w:r>
      <w:r>
        <w:rPr>
          <w:lang w:val="en-US"/>
        </w:rPr>
        <w:t xml:space="preserve">, </w:t>
      </w:r>
      <w:hyperlink r:id="rId1" w:history="1">
        <w:r w:rsidRPr="006E18E4">
          <w:rPr>
            <w:rStyle w:val="Hyperlink"/>
            <w:lang w:val="en-US"/>
          </w:rPr>
          <w:t>https://www.frontier-economics.com.au/publications/writing-down-the-nbn/</w:t>
        </w:r>
      </w:hyperlink>
      <w:r w:rsidRPr="0090376D">
        <w:rPr>
          <w:lang w:val="en-US"/>
        </w:rPr>
        <w:t>.</w:t>
      </w:r>
      <w:r>
        <w:rPr>
          <w:lang w:val="en-US"/>
        </w:rPr>
        <w:t xml:space="preserve"> </w:t>
      </w:r>
    </w:p>
  </w:footnote>
  <w:footnote w:id="5">
    <w:p w14:paraId="7C8060FF" w14:textId="2D38FD1F" w:rsidR="00DC2A5E" w:rsidRPr="00DC2A5E" w:rsidRDefault="00DC2A5E">
      <w:pPr>
        <w:pStyle w:val="FootnoteText"/>
        <w:rPr>
          <w:lang w:val="en-US"/>
        </w:rPr>
      </w:pPr>
      <w:r>
        <w:rPr>
          <w:rStyle w:val="FootnoteReference"/>
        </w:rPr>
        <w:footnoteRef/>
      </w:r>
      <w:r>
        <w:t xml:space="preserve"> </w:t>
      </w:r>
      <w:r>
        <w:rPr>
          <w:lang w:val="en-US"/>
        </w:rPr>
        <w:t xml:space="preserve">ACCAN, 2020, </w:t>
      </w:r>
      <w:r w:rsidRPr="00DC2A5E">
        <w:rPr>
          <w:i/>
          <w:iCs/>
          <w:lang w:val="en-US"/>
        </w:rPr>
        <w:t>Submission to ACCC Long-term Revenue Constraint Methodology 2018-19 Draft Determination.</w:t>
      </w:r>
    </w:p>
  </w:footnote>
  <w:footnote w:id="6">
    <w:p w14:paraId="7DAFF5D8" w14:textId="44BB880C" w:rsidR="003000F5" w:rsidRPr="00162C3C" w:rsidRDefault="003000F5">
      <w:pPr>
        <w:pStyle w:val="FootnoteText"/>
        <w:rPr>
          <w:lang w:val="en-US"/>
        </w:rPr>
      </w:pPr>
      <w:r w:rsidRPr="00AD1BCB">
        <w:rPr>
          <w:rStyle w:val="FootnoteReference"/>
        </w:rPr>
        <w:footnoteRef/>
      </w:r>
      <w:r w:rsidRPr="00AD1BCB">
        <w:t xml:space="preserve"> </w:t>
      </w:r>
      <w:r w:rsidR="00AD1BCB" w:rsidRPr="00AD1BCB">
        <w:rPr>
          <w:lang w:val="en-US"/>
        </w:rPr>
        <w:t>Nbn Co’s weighted</w:t>
      </w:r>
      <w:r w:rsidR="00AD1BCB">
        <w:rPr>
          <w:lang w:val="en-US"/>
        </w:rPr>
        <w:t xml:space="preserve"> average cost of drawn debt is </w:t>
      </w:r>
      <w:r w:rsidR="00162205">
        <w:rPr>
          <w:lang w:val="en-US"/>
        </w:rPr>
        <w:t xml:space="preserve">currently </w:t>
      </w:r>
      <w:r w:rsidR="00AD1BCB">
        <w:rPr>
          <w:lang w:val="en-US"/>
        </w:rPr>
        <w:t xml:space="preserve">3.17% and expected to decrease as nbn refinances more of their government loan. </w:t>
      </w:r>
      <w:r w:rsidR="00162205">
        <w:rPr>
          <w:lang w:val="en-US"/>
        </w:rPr>
        <w:t>The</w:t>
      </w:r>
      <w:r w:rsidR="00AD1BCB">
        <w:rPr>
          <w:lang w:val="en-US"/>
        </w:rPr>
        <w:t xml:space="preserve"> LTRCM allow</w:t>
      </w:r>
      <w:r w:rsidR="00162205">
        <w:rPr>
          <w:lang w:val="en-US"/>
        </w:rPr>
        <w:t>ed</w:t>
      </w:r>
      <w:r w:rsidR="00AD1BCB">
        <w:rPr>
          <w:lang w:val="en-US"/>
        </w:rPr>
        <w:t xml:space="preserve"> for a nominal rate of return of 4.9%</w:t>
      </w:r>
      <w:r w:rsidR="00162205">
        <w:rPr>
          <w:lang w:val="en-US"/>
        </w:rPr>
        <w:t xml:space="preserve"> in 2019-20</w:t>
      </w:r>
      <w:r w:rsidR="00AD1BCB">
        <w:rPr>
          <w:lang w:val="en-US"/>
        </w:rPr>
        <w:t>.</w:t>
      </w:r>
      <w:r w:rsidR="00AD1BCB" w:rsidRPr="00AD1BCB">
        <w:t xml:space="preserve"> </w:t>
      </w:r>
      <w:hyperlink r:id="rId2" w:history="1">
        <w:r w:rsidR="00AD1BCB" w:rsidRPr="00AF13EF">
          <w:rPr>
            <w:rStyle w:val="Hyperlink"/>
            <w:lang w:val="en-US"/>
          </w:rPr>
          <w:t>https://www.itnews.com.au/news/nbn-co-pays-3-billion-of-its-195-billion-government-loan-560876</w:t>
        </w:r>
      </w:hyperlink>
      <w:r w:rsidR="00AD1BCB">
        <w:rPr>
          <w:lang w:val="en-US"/>
        </w:rPr>
        <w:t xml:space="preserve">  </w:t>
      </w:r>
    </w:p>
  </w:footnote>
  <w:footnote w:id="7">
    <w:p w14:paraId="554EE794" w14:textId="55C06B82" w:rsidR="009F413A" w:rsidRPr="006C2482" w:rsidRDefault="009F413A" w:rsidP="009F413A">
      <w:pPr>
        <w:pStyle w:val="FootnoteText"/>
        <w:rPr>
          <w:lang w:val="en-US"/>
        </w:rPr>
      </w:pPr>
      <w:r>
        <w:rPr>
          <w:rStyle w:val="FootnoteReference"/>
        </w:rPr>
        <w:footnoteRef/>
      </w:r>
      <w:r>
        <w:t xml:space="preserve"> </w:t>
      </w:r>
      <w:proofErr w:type="spellStart"/>
      <w:r>
        <w:t>Barraket</w:t>
      </w:r>
      <w:proofErr w:type="spellEnd"/>
      <w:r>
        <w:t xml:space="preserve"> </w:t>
      </w:r>
      <w:r w:rsidR="00D31195">
        <w:t>et al.</w:t>
      </w:r>
      <w:r>
        <w:t>, 2020</w:t>
      </w:r>
      <w:r w:rsidRPr="00D31195">
        <w:rPr>
          <w:i/>
          <w:iCs/>
        </w:rPr>
        <w:t>, Measuring Australia’s Digital Divide: The Australian Digital Inclusion Index 2020</w:t>
      </w:r>
      <w:r>
        <w:t>, RMIT and Swinburne University of Technology, Melbourne</w:t>
      </w:r>
      <w:r w:rsidR="00D31195">
        <w:t>.</w:t>
      </w:r>
    </w:p>
  </w:footnote>
  <w:footnote w:id="8">
    <w:p w14:paraId="0A8CC2AB" w14:textId="71430D73" w:rsidR="009F413A" w:rsidRPr="009F413A" w:rsidRDefault="009F413A">
      <w:pPr>
        <w:pStyle w:val="FootnoteText"/>
        <w:rPr>
          <w:lang w:val="en-US"/>
        </w:rPr>
      </w:pPr>
      <w:r>
        <w:rPr>
          <w:rStyle w:val="FootnoteReference"/>
        </w:rPr>
        <w:footnoteRef/>
      </w:r>
      <w:r>
        <w:t xml:space="preserve"> </w:t>
      </w:r>
      <w:r>
        <w:rPr>
          <w:lang w:val="en-US"/>
        </w:rPr>
        <w:t>Ibid.</w:t>
      </w:r>
    </w:p>
  </w:footnote>
  <w:footnote w:id="9">
    <w:p w14:paraId="2CA2D658" w14:textId="786705EF" w:rsidR="001E1CD6" w:rsidRPr="004A1731" w:rsidRDefault="001E1CD6" w:rsidP="001E1CD6">
      <w:pPr>
        <w:pStyle w:val="FootnoteText"/>
        <w:rPr>
          <w:lang w:val="en-US"/>
        </w:rPr>
      </w:pPr>
      <w:r>
        <w:rPr>
          <w:rStyle w:val="FootnoteReference"/>
        </w:rPr>
        <w:footnoteRef/>
      </w:r>
      <w:r>
        <w:rPr>
          <w:lang w:val="en-US"/>
        </w:rPr>
        <w:t xml:space="preserve"> Roughly 8.2 million households </w:t>
      </w:r>
      <w:r w:rsidR="0028099F">
        <w:rPr>
          <w:lang w:val="en-US"/>
        </w:rPr>
        <w:t xml:space="preserve">are </w:t>
      </w:r>
      <w:r>
        <w:rPr>
          <w:lang w:val="en-US"/>
        </w:rPr>
        <w:t>connected to</w:t>
      </w:r>
      <w:r w:rsidR="00D56C73">
        <w:rPr>
          <w:lang w:val="en-US"/>
        </w:rPr>
        <w:t xml:space="preserve"> the</w:t>
      </w:r>
      <w:r>
        <w:rPr>
          <w:lang w:val="en-US"/>
        </w:rPr>
        <w:t xml:space="preserve"> </w:t>
      </w:r>
      <w:r w:rsidR="00D56C73">
        <w:rPr>
          <w:lang w:val="en-US"/>
        </w:rPr>
        <w:t>NBN</w:t>
      </w:r>
      <w:r>
        <w:rPr>
          <w:lang w:val="en-US"/>
        </w:rPr>
        <w:t>, with 1.4 million households on data capped plans</w:t>
      </w:r>
      <w:r w:rsidR="0028099F">
        <w:rPr>
          <w:lang w:val="en-US"/>
        </w:rPr>
        <w:t xml:space="preserve"> according to the Accenture report</w:t>
      </w:r>
      <w:r>
        <w:rPr>
          <w:lang w:val="en-US"/>
        </w:rPr>
        <w:t xml:space="preserve">. </w:t>
      </w:r>
      <w:hyperlink r:id="rId3" w:history="1">
        <w:r w:rsidR="00484009" w:rsidRPr="00CC053E">
          <w:rPr>
            <w:rStyle w:val="Hyperlink"/>
            <w:lang w:val="en-US"/>
          </w:rPr>
          <w:t>https://www.nbnco.com.au/corporate-information/about-nbn-co/corporate-plan/weekly-progress-report</w:t>
        </w:r>
      </w:hyperlink>
      <w:r w:rsidR="00484009">
        <w:rPr>
          <w:lang w:val="en-US"/>
        </w:rPr>
        <w:t xml:space="preserve"> </w:t>
      </w:r>
    </w:p>
  </w:footnote>
  <w:footnote w:id="10">
    <w:p w14:paraId="122D1AB0" w14:textId="27C21A8B" w:rsidR="0094307A" w:rsidRPr="00162C3C" w:rsidRDefault="0094307A">
      <w:pPr>
        <w:pStyle w:val="FootnoteText"/>
        <w:rPr>
          <w:lang w:val="en-US"/>
        </w:rPr>
      </w:pPr>
      <w:r>
        <w:rPr>
          <w:rStyle w:val="FootnoteReference"/>
        </w:rPr>
        <w:footnoteRef/>
      </w:r>
      <w:r>
        <w:t xml:space="preserve"> </w:t>
      </w:r>
      <w:hyperlink r:id="rId4" w:history="1">
        <w:r w:rsidRPr="006F285C">
          <w:rPr>
            <w:rStyle w:val="Hyperlink"/>
          </w:rPr>
          <w:t>https://www.nbnco.com.au/content/dam/nbn/documents/sell/wba/2021/sfaa-wba-nbn-ethernet-price-list-20210505.pdf</w:t>
        </w:r>
      </w:hyperlink>
      <w:r>
        <w:t xml:space="preserve"> </w:t>
      </w:r>
    </w:p>
  </w:footnote>
  <w:footnote w:id="11">
    <w:p w14:paraId="79CC871D" w14:textId="7D1AE8C7" w:rsidR="001374F1" w:rsidRPr="000E2FDE" w:rsidRDefault="001374F1">
      <w:pPr>
        <w:pStyle w:val="FootnoteText"/>
        <w:rPr>
          <w:lang w:val="en-US"/>
        </w:rPr>
      </w:pPr>
      <w:r>
        <w:rPr>
          <w:rStyle w:val="FootnoteReference"/>
        </w:rPr>
        <w:footnoteRef/>
      </w:r>
      <w:r>
        <w:t xml:space="preserve"> Nbn</w:t>
      </w:r>
      <w:r w:rsidR="002B22E1">
        <w:t xml:space="preserve"> Co.</w:t>
      </w:r>
      <w:r>
        <w:t xml:space="preserve">, 2021, </w:t>
      </w:r>
      <w:r w:rsidRPr="002B22E1">
        <w:rPr>
          <w:i/>
          <w:iCs/>
        </w:rPr>
        <w:t>SAU Discussion Paper</w:t>
      </w:r>
      <w:r w:rsidR="002B22E1">
        <w:t xml:space="preserve">, page 12. Estimated average wholesale cost of AVC and CVC product components, based on May-22 TC-4 Bundles Discount Roadmap charges including $8/Mbps Overage rate and </w:t>
      </w:r>
      <w:r w:rsidR="00730252">
        <w:t xml:space="preserve">weighted average </w:t>
      </w:r>
      <w:r w:rsidR="002B22E1">
        <w:t xml:space="preserve">expected usage growth to 3 Mbps within the roadmap period. </w:t>
      </w:r>
    </w:p>
  </w:footnote>
  <w:footnote w:id="12">
    <w:p w14:paraId="4602C142" w14:textId="2AF989FA" w:rsidR="00E813A1" w:rsidRPr="00F015E5" w:rsidRDefault="00E813A1">
      <w:pPr>
        <w:pStyle w:val="FootnoteText"/>
        <w:rPr>
          <w:lang w:val="en-US"/>
        </w:rPr>
      </w:pPr>
      <w:r>
        <w:rPr>
          <w:rStyle w:val="FootnoteReference"/>
        </w:rPr>
        <w:footnoteRef/>
      </w:r>
      <w:r>
        <w:t xml:space="preserve"> </w:t>
      </w:r>
      <w:bookmarkStart w:id="15" w:name="_Hlk76978756"/>
      <w:r>
        <w:rPr>
          <w:lang w:val="en-US"/>
        </w:rPr>
        <w:t xml:space="preserve">ACCC, NBN Wholesale Market Indicators Report, 2021. </w:t>
      </w:r>
      <w:hyperlink r:id="rId5" w:history="1">
        <w:r w:rsidR="006B7F82" w:rsidRPr="00CC053E">
          <w:rPr>
            <w:rStyle w:val="Hyperlink"/>
            <w:lang w:val="en-US"/>
          </w:rPr>
          <w:t>https://www.accc.gov.au/regulated-infrastructure/communications/national-broadband-network-nbn/nbn-wholesale-market-indicators-report</w:t>
        </w:r>
      </w:hyperlink>
      <w:bookmarkEnd w:id="15"/>
      <w:r w:rsidR="006B7F82">
        <w:rPr>
          <w:lang w:val="en-US"/>
        </w:rPr>
        <w:t xml:space="preserve"> </w:t>
      </w:r>
    </w:p>
  </w:footnote>
  <w:footnote w:id="13">
    <w:p w14:paraId="319BCB2B" w14:textId="7D14A7F4" w:rsidR="000869BA" w:rsidRPr="00AB7FAF" w:rsidRDefault="000869BA" w:rsidP="000869BA">
      <w:pPr>
        <w:pStyle w:val="FootnoteText"/>
        <w:rPr>
          <w:lang w:val="en-US"/>
        </w:rPr>
      </w:pPr>
      <w:r w:rsidRPr="00120D5C">
        <w:rPr>
          <w:rStyle w:val="FootnoteReference"/>
        </w:rPr>
        <w:footnoteRef/>
      </w:r>
      <w:r w:rsidRPr="00120D5C">
        <w:t xml:space="preserve"> </w:t>
      </w:r>
      <w:r w:rsidRPr="00120D5C">
        <w:rPr>
          <w:lang w:val="en-US"/>
        </w:rPr>
        <w:t>ACCC, NBN</w:t>
      </w:r>
      <w:r>
        <w:rPr>
          <w:lang w:val="en-US"/>
        </w:rPr>
        <w:t xml:space="preserve"> Wholesale Market Indicators Report, 2021. </w:t>
      </w:r>
      <w:hyperlink r:id="rId6" w:history="1">
        <w:r w:rsidR="006667BC" w:rsidRPr="005B5FA6">
          <w:rPr>
            <w:rStyle w:val="Hyperlink"/>
            <w:lang w:val="en-US"/>
          </w:rPr>
          <w:t>https://www.accc.gov.au/regulated-infrastructure/communications/national-broadband-network-nbn/nbn-wholesale-market-indicators-report</w:t>
        </w:r>
      </w:hyperlink>
      <w:r w:rsidR="006667BC">
        <w:rPr>
          <w:lang w:val="en-US"/>
        </w:rPr>
        <w:t xml:space="preserve"> </w:t>
      </w:r>
    </w:p>
  </w:footnote>
  <w:footnote w:id="14">
    <w:p w14:paraId="4C86874C" w14:textId="79C57ABF" w:rsidR="00F45DA7" w:rsidRPr="00F45DA7" w:rsidRDefault="00F45DA7">
      <w:pPr>
        <w:pStyle w:val="FootnoteText"/>
        <w:rPr>
          <w:lang w:val="en-US"/>
        </w:rPr>
      </w:pPr>
      <w:r>
        <w:rPr>
          <w:rStyle w:val="FootnoteReference"/>
        </w:rPr>
        <w:footnoteRef/>
      </w:r>
      <w:r>
        <w:t xml:space="preserve"> Department of Infrastructure, Transport, Regional Development and Communications, 2020, </w:t>
      </w:r>
      <w:r>
        <w:rPr>
          <w:i/>
          <w:iCs/>
        </w:rPr>
        <w:t xml:space="preserve">Telecommunications Reform Package. </w:t>
      </w:r>
      <w:hyperlink r:id="rId7" w:history="1">
        <w:r w:rsidRPr="000A0B49">
          <w:rPr>
            <w:rStyle w:val="Hyperlink"/>
          </w:rPr>
          <w:t>https://www.communications.gov.au/what-we-do/internet/telecommunication-reform-package</w:t>
        </w:r>
      </w:hyperlink>
      <w:r>
        <w:t xml:space="preserve"> </w:t>
      </w:r>
    </w:p>
  </w:footnote>
  <w:footnote w:id="15">
    <w:p w14:paraId="1866B0DE" w14:textId="14A6EFB1" w:rsidR="00F45DA7" w:rsidRPr="00F45DA7" w:rsidRDefault="00F45DA7">
      <w:pPr>
        <w:pStyle w:val="FootnoteText"/>
        <w:rPr>
          <w:lang w:val="en-US"/>
        </w:rPr>
      </w:pPr>
      <w:r>
        <w:rPr>
          <w:rStyle w:val="FootnoteReference"/>
        </w:rPr>
        <w:footnoteRef/>
      </w:r>
      <w:r>
        <w:t xml:space="preserve"> Department of Infrastructure, Transport, Regional Development and Communications, 2016, </w:t>
      </w:r>
      <w:r>
        <w:rPr>
          <w:i/>
          <w:iCs/>
        </w:rPr>
        <w:t xml:space="preserve">Statement of Expectations. </w:t>
      </w:r>
      <w:hyperlink r:id="rId8" w:history="1">
        <w:r w:rsidRPr="000A0B49">
          <w:rPr>
            <w:rStyle w:val="Hyperlink"/>
          </w:rPr>
          <w:t>https://www.communications.gov.au/publications/nbnstatementofexpectations</w:t>
        </w:r>
      </w:hyperlink>
      <w:r>
        <w:t xml:space="preserve"> </w:t>
      </w:r>
    </w:p>
  </w:footnote>
  <w:footnote w:id="16">
    <w:p w14:paraId="262EFE98" w14:textId="3AFCEE6B" w:rsidR="004D6A84" w:rsidRPr="00162C3C" w:rsidRDefault="004D6A84">
      <w:pPr>
        <w:pStyle w:val="FootnoteText"/>
        <w:rPr>
          <w:rFonts w:asciiTheme="minorHAnsi" w:eastAsiaTheme="minorEastAsia" w:hAnsiTheme="minorHAnsi"/>
          <w:lang w:val="en-US"/>
        </w:rPr>
      </w:pPr>
      <w:r>
        <w:rPr>
          <w:rStyle w:val="FootnoteReference"/>
        </w:rPr>
        <w:footnoteRef/>
      </w:r>
      <w:r>
        <w:t xml:space="preserve"> </w:t>
      </w:r>
      <w:r>
        <w:rPr>
          <w:lang w:val="en-US"/>
        </w:rPr>
        <w:t xml:space="preserve">Waged poor households are defined as those living below the poverty line (50% of median </w:t>
      </w:r>
      <w:proofErr w:type="spellStart"/>
      <w:r>
        <w:rPr>
          <w:lang w:val="en-US"/>
        </w:rPr>
        <w:t>equivalised</w:t>
      </w:r>
      <w:proofErr w:type="spellEnd"/>
      <w:r>
        <w:rPr>
          <w:lang w:val="en-US"/>
        </w:rPr>
        <w:t xml:space="preserve"> household disposable income) </w:t>
      </w:r>
      <w:r w:rsidR="00471A52">
        <w:rPr>
          <w:lang w:val="en-US"/>
        </w:rPr>
        <w:t>yet their</w:t>
      </w:r>
      <w:r>
        <w:rPr>
          <w:lang w:val="en-US"/>
        </w:rPr>
        <w:t xml:space="preserve"> main source of household income is wages and salaries. SACOSS, 2020, </w:t>
      </w:r>
      <w:r>
        <w:rPr>
          <w:i/>
          <w:iCs/>
          <w:lang w:val="en-US"/>
        </w:rPr>
        <w:t>Connectivity Costs II: Telecommunications affordability and waged poor households.</w:t>
      </w:r>
      <w:r>
        <w:rPr>
          <w:lang w:val="en-US"/>
        </w:rPr>
        <w:t xml:space="preserve"> </w:t>
      </w:r>
      <w:hyperlink r:id="rId9" w:history="1">
        <w:r>
          <w:rPr>
            <w:rStyle w:val="Hyperlink"/>
            <w:lang w:val="en-US"/>
          </w:rPr>
          <w:t>https://www.sacoss.org.au/sites/default/files/public/Affordability%20and%20Waged%20Poor%20Report%20final%20Web.pdf</w:t>
        </w:r>
      </w:hyperlink>
      <w:r>
        <w:rPr>
          <w:lang w:val="en-US"/>
        </w:rPr>
        <w:t xml:space="preserve"> </w:t>
      </w:r>
    </w:p>
  </w:footnote>
  <w:footnote w:id="17">
    <w:p w14:paraId="1513FEDE" w14:textId="1C68B917" w:rsidR="004D6A84" w:rsidRPr="00162C3C" w:rsidRDefault="004D6A84">
      <w:pPr>
        <w:pStyle w:val="FootnoteText"/>
        <w:rPr>
          <w:lang w:val="en-US"/>
        </w:rPr>
      </w:pPr>
      <w:r>
        <w:rPr>
          <w:rStyle w:val="FootnoteReference"/>
        </w:rPr>
        <w:footnoteRef/>
      </w:r>
      <w:r>
        <w:t xml:space="preserve"> </w:t>
      </w:r>
      <w:r>
        <w:rPr>
          <w:lang w:val="en-US"/>
        </w:rPr>
        <w:t xml:space="preserve">Bureau of Communications, Arts and Regional Research, 2020, </w:t>
      </w:r>
      <w:r w:rsidRPr="00162C3C">
        <w:rPr>
          <w:i/>
          <w:iCs/>
          <w:lang w:val="en-US"/>
        </w:rPr>
        <w:t xml:space="preserve">Affordability of communications services for </w:t>
      </w:r>
      <w:r w:rsidRPr="004D6A84">
        <w:rPr>
          <w:i/>
          <w:iCs/>
          <w:lang w:val="en-US"/>
        </w:rPr>
        <w:t>low-income</w:t>
      </w:r>
      <w:r w:rsidRPr="00162C3C">
        <w:rPr>
          <w:i/>
          <w:iCs/>
          <w:lang w:val="en-US"/>
        </w:rPr>
        <w:t xml:space="preserve"> households.</w:t>
      </w:r>
      <w:r>
        <w:rPr>
          <w:lang w:val="en-US"/>
        </w:rPr>
        <w:t xml:space="preserve"> </w:t>
      </w:r>
      <w:hyperlink r:id="rId10" w:history="1">
        <w:r w:rsidRPr="004D6A84">
          <w:rPr>
            <w:rStyle w:val="Hyperlink"/>
            <w:lang w:val="en-US"/>
          </w:rPr>
          <w:t>https://www.communications.gov.au/publications/affordability-communications-services-low-income-households</w:t>
        </w:r>
      </w:hyperlink>
      <w:r>
        <w:rPr>
          <w:lang w:val="en-US"/>
        </w:rPr>
        <w:t xml:space="preserve"> </w:t>
      </w:r>
    </w:p>
  </w:footnote>
  <w:footnote w:id="18">
    <w:p w14:paraId="5636CC4D" w14:textId="55E7C551" w:rsidR="00471A52" w:rsidRPr="00162C3C" w:rsidRDefault="00471A52">
      <w:pPr>
        <w:pStyle w:val="FootnoteText"/>
        <w:rPr>
          <w:lang w:val="en-US"/>
        </w:rPr>
      </w:pPr>
      <w:r>
        <w:rPr>
          <w:rStyle w:val="FootnoteReference"/>
        </w:rPr>
        <w:footnoteRef/>
      </w:r>
      <w:r>
        <w:t xml:space="preserve"> ACCC, 2020, </w:t>
      </w:r>
      <w:r>
        <w:rPr>
          <w:i/>
          <w:iCs/>
        </w:rPr>
        <w:t>Communications Market Report.</w:t>
      </w:r>
      <w:r>
        <w:t xml:space="preserve"> </w:t>
      </w:r>
      <w:hyperlink r:id="rId11" w:history="1">
        <w:r>
          <w:rPr>
            <w:rStyle w:val="Hyperlink"/>
          </w:rPr>
          <w:t>https://www.accc.gov.au/system/files/20-47RPT_Communications_Market_Report_FA.pdf</w:t>
        </w:r>
      </w:hyperlink>
    </w:p>
  </w:footnote>
  <w:footnote w:id="19">
    <w:p w14:paraId="444A66EB" w14:textId="59ECE403" w:rsidR="001017BC" w:rsidRPr="00162C3C" w:rsidRDefault="001017BC">
      <w:pPr>
        <w:pStyle w:val="FootnoteText"/>
        <w:rPr>
          <w:lang w:val="en-US"/>
        </w:rPr>
      </w:pPr>
      <w:r>
        <w:rPr>
          <w:rStyle w:val="FootnoteReference"/>
        </w:rPr>
        <w:footnoteRef/>
      </w:r>
      <w:r>
        <w:t xml:space="preserve"> Department of Infrastructure, Transport, Regional Development and Communications, </w:t>
      </w:r>
      <w:r w:rsidRPr="00162C3C">
        <w:rPr>
          <w:i/>
          <w:iCs/>
        </w:rPr>
        <w:t>Public consultation on draft standards, rules and benchmarks for statutory infrastructure providers (SIPs</w:t>
      </w:r>
      <w:r>
        <w:t xml:space="preserve">), 2021, </w:t>
      </w:r>
      <w:hyperlink r:id="rId12" w:history="1">
        <w:r w:rsidR="000500E3" w:rsidRPr="00CC053E">
          <w:rPr>
            <w:rStyle w:val="Hyperlink"/>
          </w:rPr>
          <w:t>https://www.communications.gov.au/have-your-say/public-consultation-draft-standards-rules-and-benchmarks-statutory-infrastructure-providers-sips</w:t>
        </w:r>
      </w:hyperlink>
      <w:r w:rsidR="000500E3">
        <w:t xml:space="preserve"> </w:t>
      </w:r>
    </w:p>
  </w:footnote>
  <w:footnote w:id="20">
    <w:p w14:paraId="769AD25B" w14:textId="77777777" w:rsidR="0064283C" w:rsidRPr="00162C3C" w:rsidRDefault="0064283C" w:rsidP="0064283C">
      <w:pPr>
        <w:pStyle w:val="FootnoteText"/>
        <w:rPr>
          <w:lang w:val="en-US"/>
        </w:rPr>
      </w:pPr>
      <w:r>
        <w:rPr>
          <w:rStyle w:val="FootnoteReference"/>
        </w:rPr>
        <w:footnoteRef/>
      </w:r>
      <w:r>
        <w:t xml:space="preserve"> </w:t>
      </w:r>
      <w:r>
        <w:rPr>
          <w:lang w:val="en-US"/>
        </w:rPr>
        <w:t xml:space="preserve">ACCAN, 2017, </w:t>
      </w:r>
      <w:hyperlink r:id="rId13" w:history="1">
        <w:r w:rsidRPr="006F285C">
          <w:rPr>
            <w:rStyle w:val="Hyperlink"/>
            <w:lang w:val="en-US"/>
          </w:rPr>
          <w:t>https://accan.org.au/files/Submissions/ACCAN%20submission%20to%20ACCC%20draft%20decision.pdf</w:t>
        </w:r>
      </w:hyperlink>
      <w:r>
        <w:rPr>
          <w:lang w:val="en-US"/>
        </w:rPr>
        <w:t xml:space="preserve"> </w:t>
      </w:r>
    </w:p>
  </w:footnote>
  <w:footnote w:id="21">
    <w:p w14:paraId="2C84E552" w14:textId="15D53E5D" w:rsidR="0064283C" w:rsidRPr="00162C3C" w:rsidRDefault="0064283C" w:rsidP="0064283C">
      <w:pPr>
        <w:pStyle w:val="FootnoteText"/>
        <w:rPr>
          <w:lang w:val="en-US"/>
        </w:rPr>
      </w:pPr>
      <w:r>
        <w:rPr>
          <w:rStyle w:val="FootnoteReference"/>
        </w:rPr>
        <w:footnoteRef/>
      </w:r>
      <w:r>
        <w:t xml:space="preserve"> Nbn Co, Wholesale Broadband Agreement 4, </w:t>
      </w:r>
      <w:hyperlink r:id="rId14" w:history="1">
        <w:r w:rsidRPr="008D01D1">
          <w:rPr>
            <w:rStyle w:val="Hyperlink"/>
          </w:rPr>
          <w:t>https://www.nbnco.com.au/content/dam/nbn/documents/sell/wba/2021/sfaa-wba-nbn-ethernet-price-list-20210505.pdf</w:t>
        </w:r>
      </w:hyperlink>
      <w:r>
        <w:t xml:space="preserve"> p</w:t>
      </w:r>
      <w:r w:rsidR="000500E3">
        <w:t>g.</w:t>
      </w:r>
      <w:r>
        <w:t>15</w:t>
      </w:r>
      <w:r w:rsidR="000500E3">
        <w:t>.</w:t>
      </w:r>
    </w:p>
  </w:footnote>
  <w:footnote w:id="22">
    <w:p w14:paraId="116BC17A" w14:textId="6BAE1CFF" w:rsidR="00095159" w:rsidRPr="00095159" w:rsidRDefault="00095159">
      <w:pPr>
        <w:pStyle w:val="FootnoteText"/>
        <w:rPr>
          <w:lang w:val="en-US"/>
        </w:rPr>
      </w:pPr>
      <w:r w:rsidRPr="00162C3C">
        <w:rPr>
          <w:rStyle w:val="FootnoteReference"/>
        </w:rPr>
        <w:footnoteRef/>
      </w:r>
      <w:r w:rsidRPr="00162C3C">
        <w:t xml:space="preserve"> </w:t>
      </w:r>
      <w:r w:rsidRPr="00162C3C">
        <w:rPr>
          <w:lang w:val="en-US"/>
        </w:rPr>
        <w:t xml:space="preserve">Nbn co, 2021, </w:t>
      </w:r>
      <w:r w:rsidR="00AE1A6D" w:rsidRPr="00826B23">
        <w:rPr>
          <w:i/>
          <w:iCs/>
          <w:lang w:val="en-US"/>
        </w:rPr>
        <w:t>RMID1064 – nbn Special Access Undertaking Variation 2021 – Discussion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21C" w14:textId="77777777" w:rsidR="00553427" w:rsidRDefault="03227533" w:rsidP="00E45E4C">
    <w:pPr>
      <w:pStyle w:val="Header"/>
      <w:jc w:val="right"/>
    </w:pPr>
    <w:r>
      <w:rPr>
        <w:noProof/>
      </w:rPr>
      <w:drawing>
        <wp:inline distT="0" distB="0" distL="0" distR="0" wp14:anchorId="59A8A905" wp14:editId="0F6C7D4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8787" cy="2960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44A9" w14:textId="77777777" w:rsidR="00553427" w:rsidRDefault="03227533" w:rsidP="00B14DFB">
    <w:pPr>
      <w:pStyle w:val="Header"/>
      <w:jc w:val="center"/>
    </w:pPr>
    <w:r>
      <w:rPr>
        <w:noProof/>
      </w:rPr>
      <w:drawing>
        <wp:inline distT="0" distB="0" distL="0" distR="0" wp14:anchorId="75ECD9F7" wp14:editId="0445EEC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3057525" cy="158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C99"/>
    <w:multiLevelType w:val="hybridMultilevel"/>
    <w:tmpl w:val="42CCF4AC"/>
    <w:lvl w:ilvl="0" w:tplc="644E791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D70A5"/>
    <w:multiLevelType w:val="hybridMultilevel"/>
    <w:tmpl w:val="30581622"/>
    <w:lvl w:ilvl="0" w:tplc="F15AADEE">
      <w:numFmt w:val="bullet"/>
      <w:lvlText w:val=""/>
      <w:lvlJc w:val="left"/>
      <w:pPr>
        <w:ind w:left="720" w:hanging="360"/>
      </w:pPr>
      <w:rPr>
        <w:rFonts w:ascii="Symbol" w:eastAsia="MS Mincho"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0200285E"/>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23A265A"/>
    <w:multiLevelType w:val="hybridMultilevel"/>
    <w:tmpl w:val="61C43990"/>
    <w:lvl w:ilvl="0" w:tplc="E8C0D1E2">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C5FB2"/>
    <w:multiLevelType w:val="multilevel"/>
    <w:tmpl w:val="0200285E"/>
    <w:numStyleLink w:val="Bullets"/>
  </w:abstractNum>
  <w:abstractNum w:abstractNumId="5" w15:restartNumberingAfterBreak="0">
    <w:nsid w:val="33D9536F"/>
    <w:multiLevelType w:val="multilevel"/>
    <w:tmpl w:val="A7920A6E"/>
    <w:numStyleLink w:val="Headings"/>
  </w:abstractNum>
  <w:abstractNum w:abstractNumId="6"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39860C67"/>
    <w:multiLevelType w:val="multilevel"/>
    <w:tmpl w:val="A7920A6E"/>
    <w:numStyleLink w:val="Headings"/>
  </w:abstractNum>
  <w:abstractNum w:abstractNumId="8" w15:restartNumberingAfterBreak="0">
    <w:nsid w:val="3DF936BD"/>
    <w:multiLevelType w:val="multilevel"/>
    <w:tmpl w:val="A7920A6E"/>
    <w:numStyleLink w:val="Headings"/>
  </w:abstractNum>
  <w:abstractNum w:abstractNumId="9" w15:restartNumberingAfterBreak="0">
    <w:nsid w:val="4B071327"/>
    <w:multiLevelType w:val="hybridMultilevel"/>
    <w:tmpl w:val="983E1BA8"/>
    <w:lvl w:ilvl="0" w:tplc="C956A08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03F29"/>
    <w:multiLevelType w:val="hybridMultilevel"/>
    <w:tmpl w:val="725E1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EB95BFF"/>
    <w:multiLevelType w:val="hybridMultilevel"/>
    <w:tmpl w:val="1AA0C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540A5B"/>
    <w:multiLevelType w:val="hybridMultilevel"/>
    <w:tmpl w:val="FFBA2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467144"/>
    <w:multiLevelType w:val="multilevel"/>
    <w:tmpl w:val="989E8E90"/>
    <w:numStyleLink w:val="Appendices"/>
  </w:abstractNum>
  <w:abstractNum w:abstractNumId="15"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1623715"/>
    <w:multiLevelType w:val="hybridMultilevel"/>
    <w:tmpl w:val="D2D26D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28A1CC7"/>
    <w:multiLevelType w:val="hybridMultilevel"/>
    <w:tmpl w:val="64EC1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722574"/>
    <w:multiLevelType w:val="hybridMultilevel"/>
    <w:tmpl w:val="818C3784"/>
    <w:lvl w:ilvl="0" w:tplc="823801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F098D"/>
    <w:multiLevelType w:val="multilevel"/>
    <w:tmpl w:val="A7920A6E"/>
    <w:numStyleLink w:val="Headings"/>
  </w:abstractNum>
  <w:abstractNum w:abstractNumId="20"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15:restartNumberingAfterBreak="0">
    <w:nsid w:val="7FAD5C51"/>
    <w:multiLevelType w:val="hybridMultilevel"/>
    <w:tmpl w:val="96C221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2"/>
  </w:num>
  <w:num w:numId="7">
    <w:abstractNumId w:val="8"/>
  </w:num>
  <w:num w:numId="8">
    <w:abstractNumId w:val="4"/>
  </w:num>
  <w:num w:numId="9">
    <w:abstractNumId w:val="4"/>
  </w:num>
  <w:num w:numId="10">
    <w:abstractNumId w:val="4"/>
  </w:num>
  <w:num w:numId="11">
    <w:abstractNumId w:val="4"/>
  </w:num>
  <w:num w:numId="12">
    <w:abstractNumId w:val="2"/>
    <w:lvlOverride w:ilvl="0">
      <w:lvl w:ilvl="0">
        <w:start w:val="1"/>
        <w:numFmt w:val="bullet"/>
        <w:pStyle w:val="Bulletlist1"/>
        <w:lvlText w:val=""/>
        <w:lvlJc w:val="left"/>
        <w:pPr>
          <w:ind w:left="851" w:hanging="284"/>
        </w:pPr>
        <w:rPr>
          <w:rFonts w:ascii="Symbol" w:hAnsi="Symbol" w:hint="default"/>
        </w:rPr>
      </w:lvl>
    </w:lvlOverride>
  </w:num>
  <w:num w:numId="13">
    <w:abstractNumId w:val="5"/>
  </w:num>
  <w:num w:numId="14">
    <w:abstractNumId w:val="5"/>
  </w:num>
  <w:num w:numId="15">
    <w:abstractNumId w:val="5"/>
  </w:num>
  <w:num w:numId="16">
    <w:abstractNumId w:val="21"/>
  </w:num>
  <w:num w:numId="17">
    <w:abstractNumId w:val="11"/>
  </w:num>
  <w:num w:numId="18">
    <w:abstractNumId w:val="14"/>
  </w:num>
  <w:num w:numId="19">
    <w:abstractNumId w:val="14"/>
  </w:num>
  <w:num w:numId="20">
    <w:abstractNumId w:val="20"/>
  </w:num>
  <w:num w:numId="21">
    <w:abstractNumId w:val="20"/>
  </w:num>
  <w:num w:numId="22">
    <w:abstractNumId w:val="6"/>
    <w:lvlOverride w:ilvl="0">
      <w:lvl w:ilvl="0">
        <w:start w:val="1"/>
        <w:numFmt w:val="decimal"/>
        <w:pStyle w:val="Recommendation"/>
        <w:lvlText w:val="Recommendation %1:"/>
        <w:lvlJc w:val="left"/>
        <w:pPr>
          <w:ind w:left="851" w:firstLine="0"/>
        </w:pPr>
        <w:rPr>
          <w:rFonts w:hint="default"/>
        </w:rPr>
      </w:lvl>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2"/>
  </w:num>
  <w:num w:numId="27">
    <w:abstractNumId w:val="13"/>
  </w:num>
  <w:num w:numId="28">
    <w:abstractNumId w:val="22"/>
  </w:num>
  <w:num w:numId="29">
    <w:abstractNumId w:val="17"/>
  </w:num>
  <w:num w:numId="30">
    <w:abstractNumId w:val="10"/>
  </w:num>
  <w:num w:numId="31">
    <w:abstractNumId w:val="0"/>
  </w:num>
  <w:num w:numId="32">
    <w:abstractNumId w:val="6"/>
  </w:num>
  <w:num w:numId="33">
    <w:abstractNumId w:val="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264B"/>
    <w:rsid w:val="00003D48"/>
    <w:rsid w:val="00003F2A"/>
    <w:rsid w:val="00004DDB"/>
    <w:rsid w:val="00006CC2"/>
    <w:rsid w:val="00007439"/>
    <w:rsid w:val="0001284A"/>
    <w:rsid w:val="00020B19"/>
    <w:rsid w:val="00021925"/>
    <w:rsid w:val="00023BFE"/>
    <w:rsid w:val="00025ADE"/>
    <w:rsid w:val="000271C6"/>
    <w:rsid w:val="00027253"/>
    <w:rsid w:val="000318FA"/>
    <w:rsid w:val="000321B5"/>
    <w:rsid w:val="00033D7F"/>
    <w:rsid w:val="00044274"/>
    <w:rsid w:val="0004482E"/>
    <w:rsid w:val="00047257"/>
    <w:rsid w:val="000500E3"/>
    <w:rsid w:val="000618AE"/>
    <w:rsid w:val="00064E39"/>
    <w:rsid w:val="000740E2"/>
    <w:rsid w:val="00080486"/>
    <w:rsid w:val="00085E32"/>
    <w:rsid w:val="0008626D"/>
    <w:rsid w:val="000869BA"/>
    <w:rsid w:val="00095159"/>
    <w:rsid w:val="000A2C37"/>
    <w:rsid w:val="000A7E6A"/>
    <w:rsid w:val="000B3E21"/>
    <w:rsid w:val="000B5CB0"/>
    <w:rsid w:val="000B6554"/>
    <w:rsid w:val="000C1BB2"/>
    <w:rsid w:val="000C1F8F"/>
    <w:rsid w:val="000C298F"/>
    <w:rsid w:val="000C7265"/>
    <w:rsid w:val="000D0425"/>
    <w:rsid w:val="000D11A4"/>
    <w:rsid w:val="000D1263"/>
    <w:rsid w:val="000D51F4"/>
    <w:rsid w:val="000D7FDA"/>
    <w:rsid w:val="000E122F"/>
    <w:rsid w:val="000E2FDE"/>
    <w:rsid w:val="000E3B03"/>
    <w:rsid w:val="000E7893"/>
    <w:rsid w:val="000F008E"/>
    <w:rsid w:val="000F58CC"/>
    <w:rsid w:val="001017BC"/>
    <w:rsid w:val="00110C56"/>
    <w:rsid w:val="00110D69"/>
    <w:rsid w:val="00115FC7"/>
    <w:rsid w:val="00116303"/>
    <w:rsid w:val="00121EE3"/>
    <w:rsid w:val="0012269C"/>
    <w:rsid w:val="001248E2"/>
    <w:rsid w:val="00132999"/>
    <w:rsid w:val="00134C88"/>
    <w:rsid w:val="00136BB3"/>
    <w:rsid w:val="001374F1"/>
    <w:rsid w:val="00140346"/>
    <w:rsid w:val="00145281"/>
    <w:rsid w:val="00145305"/>
    <w:rsid w:val="00147A7F"/>
    <w:rsid w:val="00150194"/>
    <w:rsid w:val="00150DC0"/>
    <w:rsid w:val="001548D5"/>
    <w:rsid w:val="00155C50"/>
    <w:rsid w:val="00155F65"/>
    <w:rsid w:val="00157B80"/>
    <w:rsid w:val="0016204B"/>
    <w:rsid w:val="00162205"/>
    <w:rsid w:val="00162C3C"/>
    <w:rsid w:val="00172A50"/>
    <w:rsid w:val="001731A5"/>
    <w:rsid w:val="0018247E"/>
    <w:rsid w:val="00182D6A"/>
    <w:rsid w:val="00183034"/>
    <w:rsid w:val="00185DE9"/>
    <w:rsid w:val="001873D7"/>
    <w:rsid w:val="00192E9A"/>
    <w:rsid w:val="00194377"/>
    <w:rsid w:val="00197900"/>
    <w:rsid w:val="001A03F5"/>
    <w:rsid w:val="001A21F4"/>
    <w:rsid w:val="001B4926"/>
    <w:rsid w:val="001B5BA8"/>
    <w:rsid w:val="001B7CB9"/>
    <w:rsid w:val="001C28E7"/>
    <w:rsid w:val="001C6657"/>
    <w:rsid w:val="001C685E"/>
    <w:rsid w:val="001D39F4"/>
    <w:rsid w:val="001D5E42"/>
    <w:rsid w:val="001D62B6"/>
    <w:rsid w:val="001D7EA7"/>
    <w:rsid w:val="001E1CD6"/>
    <w:rsid w:val="001E6818"/>
    <w:rsid w:val="001F06C1"/>
    <w:rsid w:val="001F56E7"/>
    <w:rsid w:val="0020220F"/>
    <w:rsid w:val="002022EB"/>
    <w:rsid w:val="00203756"/>
    <w:rsid w:val="002062ED"/>
    <w:rsid w:val="002127F0"/>
    <w:rsid w:val="002174B5"/>
    <w:rsid w:val="00217831"/>
    <w:rsid w:val="002232D8"/>
    <w:rsid w:val="00231A37"/>
    <w:rsid w:val="002329B0"/>
    <w:rsid w:val="00233803"/>
    <w:rsid w:val="00234042"/>
    <w:rsid w:val="00236582"/>
    <w:rsid w:val="00236F38"/>
    <w:rsid w:val="00237F07"/>
    <w:rsid w:val="00241932"/>
    <w:rsid w:val="0024481E"/>
    <w:rsid w:val="00245234"/>
    <w:rsid w:val="00250ADF"/>
    <w:rsid w:val="00252857"/>
    <w:rsid w:val="00252D2B"/>
    <w:rsid w:val="00255335"/>
    <w:rsid w:val="00266B5D"/>
    <w:rsid w:val="00271431"/>
    <w:rsid w:val="0027346F"/>
    <w:rsid w:val="0027525A"/>
    <w:rsid w:val="00275320"/>
    <w:rsid w:val="0028099F"/>
    <w:rsid w:val="002826A1"/>
    <w:rsid w:val="00291C47"/>
    <w:rsid w:val="002921B1"/>
    <w:rsid w:val="002924C2"/>
    <w:rsid w:val="00297684"/>
    <w:rsid w:val="002A060D"/>
    <w:rsid w:val="002A629E"/>
    <w:rsid w:val="002B22E1"/>
    <w:rsid w:val="002B3189"/>
    <w:rsid w:val="002B4EA6"/>
    <w:rsid w:val="002B5853"/>
    <w:rsid w:val="002C034F"/>
    <w:rsid w:val="002C45EA"/>
    <w:rsid w:val="002C4AE8"/>
    <w:rsid w:val="002D0EFD"/>
    <w:rsid w:val="002D399A"/>
    <w:rsid w:val="002D64D8"/>
    <w:rsid w:val="002D727E"/>
    <w:rsid w:val="002E1F62"/>
    <w:rsid w:val="002E4872"/>
    <w:rsid w:val="002E75A7"/>
    <w:rsid w:val="002F5C03"/>
    <w:rsid w:val="002F6720"/>
    <w:rsid w:val="002F6C44"/>
    <w:rsid w:val="003000F5"/>
    <w:rsid w:val="00302E7D"/>
    <w:rsid w:val="00303AD5"/>
    <w:rsid w:val="00312F3A"/>
    <w:rsid w:val="003210DD"/>
    <w:rsid w:val="003261CA"/>
    <w:rsid w:val="00326356"/>
    <w:rsid w:val="003271A9"/>
    <w:rsid w:val="00333B67"/>
    <w:rsid w:val="00336035"/>
    <w:rsid w:val="00336DC4"/>
    <w:rsid w:val="003441E5"/>
    <w:rsid w:val="00352B45"/>
    <w:rsid w:val="00354951"/>
    <w:rsid w:val="0036351B"/>
    <w:rsid w:val="0036674C"/>
    <w:rsid w:val="00371D8E"/>
    <w:rsid w:val="00392E55"/>
    <w:rsid w:val="00394996"/>
    <w:rsid w:val="00395366"/>
    <w:rsid w:val="00395BA5"/>
    <w:rsid w:val="003965F8"/>
    <w:rsid w:val="003A2763"/>
    <w:rsid w:val="003A3890"/>
    <w:rsid w:val="003A6613"/>
    <w:rsid w:val="003B1499"/>
    <w:rsid w:val="003B17DA"/>
    <w:rsid w:val="003B2C09"/>
    <w:rsid w:val="003B4666"/>
    <w:rsid w:val="003C28F7"/>
    <w:rsid w:val="003C67D1"/>
    <w:rsid w:val="003D0EE2"/>
    <w:rsid w:val="003D113E"/>
    <w:rsid w:val="003D1F4B"/>
    <w:rsid w:val="003D259A"/>
    <w:rsid w:val="003D2C6E"/>
    <w:rsid w:val="003E6503"/>
    <w:rsid w:val="003E76C5"/>
    <w:rsid w:val="003E7ED1"/>
    <w:rsid w:val="003F1320"/>
    <w:rsid w:val="003F1A6A"/>
    <w:rsid w:val="003F22C9"/>
    <w:rsid w:val="003F4628"/>
    <w:rsid w:val="003F59E7"/>
    <w:rsid w:val="003F6199"/>
    <w:rsid w:val="003F7038"/>
    <w:rsid w:val="0040092A"/>
    <w:rsid w:val="00404B0D"/>
    <w:rsid w:val="00407CAA"/>
    <w:rsid w:val="004107A2"/>
    <w:rsid w:val="0041650C"/>
    <w:rsid w:val="00421423"/>
    <w:rsid w:val="0042463C"/>
    <w:rsid w:val="004270ED"/>
    <w:rsid w:val="00434712"/>
    <w:rsid w:val="004359DE"/>
    <w:rsid w:val="0043798B"/>
    <w:rsid w:val="00440C9C"/>
    <w:rsid w:val="00443A34"/>
    <w:rsid w:val="00443B21"/>
    <w:rsid w:val="00447E1F"/>
    <w:rsid w:val="004536CA"/>
    <w:rsid w:val="004552EA"/>
    <w:rsid w:val="004607F1"/>
    <w:rsid w:val="00465F3C"/>
    <w:rsid w:val="0046641C"/>
    <w:rsid w:val="00467697"/>
    <w:rsid w:val="00471A52"/>
    <w:rsid w:val="00472C7E"/>
    <w:rsid w:val="00472CA7"/>
    <w:rsid w:val="00477BDB"/>
    <w:rsid w:val="00481764"/>
    <w:rsid w:val="00484009"/>
    <w:rsid w:val="0049082E"/>
    <w:rsid w:val="004A01EB"/>
    <w:rsid w:val="004A1731"/>
    <w:rsid w:val="004A55CC"/>
    <w:rsid w:val="004A791B"/>
    <w:rsid w:val="004B3999"/>
    <w:rsid w:val="004B6238"/>
    <w:rsid w:val="004B7462"/>
    <w:rsid w:val="004B7869"/>
    <w:rsid w:val="004B7B3C"/>
    <w:rsid w:val="004C055B"/>
    <w:rsid w:val="004C14B8"/>
    <w:rsid w:val="004C35A6"/>
    <w:rsid w:val="004C3697"/>
    <w:rsid w:val="004C3886"/>
    <w:rsid w:val="004C44FB"/>
    <w:rsid w:val="004C5C6E"/>
    <w:rsid w:val="004D3A58"/>
    <w:rsid w:val="004D41C4"/>
    <w:rsid w:val="004D4ACD"/>
    <w:rsid w:val="004D4D07"/>
    <w:rsid w:val="004D6A84"/>
    <w:rsid w:val="004E100F"/>
    <w:rsid w:val="004E1470"/>
    <w:rsid w:val="004E20CE"/>
    <w:rsid w:val="004E3740"/>
    <w:rsid w:val="004E39F3"/>
    <w:rsid w:val="004E44AC"/>
    <w:rsid w:val="004E6201"/>
    <w:rsid w:val="004F05DA"/>
    <w:rsid w:val="004F2201"/>
    <w:rsid w:val="004F33DC"/>
    <w:rsid w:val="004F690D"/>
    <w:rsid w:val="005031EA"/>
    <w:rsid w:val="00507EDB"/>
    <w:rsid w:val="00511400"/>
    <w:rsid w:val="0051361A"/>
    <w:rsid w:val="00516CEC"/>
    <w:rsid w:val="0051781F"/>
    <w:rsid w:val="00521319"/>
    <w:rsid w:val="00523212"/>
    <w:rsid w:val="00523B66"/>
    <w:rsid w:val="005267B2"/>
    <w:rsid w:val="00527056"/>
    <w:rsid w:val="005377ED"/>
    <w:rsid w:val="005419BF"/>
    <w:rsid w:val="00542267"/>
    <w:rsid w:val="00542496"/>
    <w:rsid w:val="00542DEB"/>
    <w:rsid w:val="00543C02"/>
    <w:rsid w:val="0054423B"/>
    <w:rsid w:val="00547ECC"/>
    <w:rsid w:val="00550A05"/>
    <w:rsid w:val="00553427"/>
    <w:rsid w:val="005546D1"/>
    <w:rsid w:val="005547CB"/>
    <w:rsid w:val="00554B5A"/>
    <w:rsid w:val="005553AD"/>
    <w:rsid w:val="00555E64"/>
    <w:rsid w:val="00563F25"/>
    <w:rsid w:val="00564A30"/>
    <w:rsid w:val="005670BC"/>
    <w:rsid w:val="00570718"/>
    <w:rsid w:val="005707DF"/>
    <w:rsid w:val="00572181"/>
    <w:rsid w:val="005737E8"/>
    <w:rsid w:val="00573A31"/>
    <w:rsid w:val="005820C9"/>
    <w:rsid w:val="005844B7"/>
    <w:rsid w:val="00592615"/>
    <w:rsid w:val="00593975"/>
    <w:rsid w:val="005A01F5"/>
    <w:rsid w:val="005A05F4"/>
    <w:rsid w:val="005A673E"/>
    <w:rsid w:val="005A67C4"/>
    <w:rsid w:val="005A6ED1"/>
    <w:rsid w:val="005B191C"/>
    <w:rsid w:val="005B7E40"/>
    <w:rsid w:val="005C2CEF"/>
    <w:rsid w:val="005C2EBF"/>
    <w:rsid w:val="005D3F51"/>
    <w:rsid w:val="005D427B"/>
    <w:rsid w:val="005D4B62"/>
    <w:rsid w:val="005D5FAA"/>
    <w:rsid w:val="005E2B6C"/>
    <w:rsid w:val="005E4C4F"/>
    <w:rsid w:val="005F05FC"/>
    <w:rsid w:val="005F5721"/>
    <w:rsid w:val="00600CDB"/>
    <w:rsid w:val="00601563"/>
    <w:rsid w:val="006035FE"/>
    <w:rsid w:val="006104E7"/>
    <w:rsid w:val="00612928"/>
    <w:rsid w:val="00613698"/>
    <w:rsid w:val="00620AA8"/>
    <w:rsid w:val="00620B28"/>
    <w:rsid w:val="00621475"/>
    <w:rsid w:val="0062714F"/>
    <w:rsid w:val="00627248"/>
    <w:rsid w:val="00634A06"/>
    <w:rsid w:val="00634D94"/>
    <w:rsid w:val="0064041A"/>
    <w:rsid w:val="00641955"/>
    <w:rsid w:val="0064283C"/>
    <w:rsid w:val="0064627E"/>
    <w:rsid w:val="00654E49"/>
    <w:rsid w:val="006578D7"/>
    <w:rsid w:val="00664F22"/>
    <w:rsid w:val="006667BC"/>
    <w:rsid w:val="006766A8"/>
    <w:rsid w:val="006831BA"/>
    <w:rsid w:val="00683D60"/>
    <w:rsid w:val="006A0585"/>
    <w:rsid w:val="006A284D"/>
    <w:rsid w:val="006A3183"/>
    <w:rsid w:val="006A4AC1"/>
    <w:rsid w:val="006B3F1B"/>
    <w:rsid w:val="006B4188"/>
    <w:rsid w:val="006B68C4"/>
    <w:rsid w:val="006B7F82"/>
    <w:rsid w:val="006C1A3A"/>
    <w:rsid w:val="006C2482"/>
    <w:rsid w:val="006C2DC4"/>
    <w:rsid w:val="006C5704"/>
    <w:rsid w:val="006C7C58"/>
    <w:rsid w:val="006D153D"/>
    <w:rsid w:val="006D2CCB"/>
    <w:rsid w:val="006D3596"/>
    <w:rsid w:val="006D4B09"/>
    <w:rsid w:val="006E0E25"/>
    <w:rsid w:val="006E554C"/>
    <w:rsid w:val="006F033F"/>
    <w:rsid w:val="006F05D9"/>
    <w:rsid w:val="006F3FF3"/>
    <w:rsid w:val="006F6CD5"/>
    <w:rsid w:val="00700EFF"/>
    <w:rsid w:val="00703FC6"/>
    <w:rsid w:val="00706762"/>
    <w:rsid w:val="0070711A"/>
    <w:rsid w:val="00707D76"/>
    <w:rsid w:val="00716EC5"/>
    <w:rsid w:val="00723A68"/>
    <w:rsid w:val="00730252"/>
    <w:rsid w:val="00732367"/>
    <w:rsid w:val="00734FB2"/>
    <w:rsid w:val="00736AC2"/>
    <w:rsid w:val="007419A4"/>
    <w:rsid w:val="007506AE"/>
    <w:rsid w:val="007533F1"/>
    <w:rsid w:val="007571FD"/>
    <w:rsid w:val="0076064E"/>
    <w:rsid w:val="0076469D"/>
    <w:rsid w:val="00772C92"/>
    <w:rsid w:val="007831D4"/>
    <w:rsid w:val="00784E7B"/>
    <w:rsid w:val="0079047D"/>
    <w:rsid w:val="00790FDC"/>
    <w:rsid w:val="007929DF"/>
    <w:rsid w:val="00792D73"/>
    <w:rsid w:val="00795161"/>
    <w:rsid w:val="00797633"/>
    <w:rsid w:val="007A1043"/>
    <w:rsid w:val="007A3E1A"/>
    <w:rsid w:val="007A474E"/>
    <w:rsid w:val="007A7080"/>
    <w:rsid w:val="007B0E33"/>
    <w:rsid w:val="007B615A"/>
    <w:rsid w:val="007B68F1"/>
    <w:rsid w:val="007C0748"/>
    <w:rsid w:val="007C72E5"/>
    <w:rsid w:val="007D072C"/>
    <w:rsid w:val="007D190F"/>
    <w:rsid w:val="007D261F"/>
    <w:rsid w:val="007D37BA"/>
    <w:rsid w:val="007D3F16"/>
    <w:rsid w:val="007D41FF"/>
    <w:rsid w:val="007D6970"/>
    <w:rsid w:val="007E453C"/>
    <w:rsid w:val="007F0737"/>
    <w:rsid w:val="007F4BE5"/>
    <w:rsid w:val="007F55C2"/>
    <w:rsid w:val="008006DF"/>
    <w:rsid w:val="00800E96"/>
    <w:rsid w:val="00805282"/>
    <w:rsid w:val="008057E0"/>
    <w:rsid w:val="0081054D"/>
    <w:rsid w:val="008113E2"/>
    <w:rsid w:val="0081689C"/>
    <w:rsid w:val="00816CD1"/>
    <w:rsid w:val="00816F5B"/>
    <w:rsid w:val="00817F03"/>
    <w:rsid w:val="008260CD"/>
    <w:rsid w:val="00826B23"/>
    <w:rsid w:val="0083082A"/>
    <w:rsid w:val="00831272"/>
    <w:rsid w:val="00831E65"/>
    <w:rsid w:val="008329C9"/>
    <w:rsid w:val="008338A0"/>
    <w:rsid w:val="0083403D"/>
    <w:rsid w:val="00840843"/>
    <w:rsid w:val="00840F4E"/>
    <w:rsid w:val="00845B31"/>
    <w:rsid w:val="00847A6C"/>
    <w:rsid w:val="00850A40"/>
    <w:rsid w:val="008579DB"/>
    <w:rsid w:val="00862831"/>
    <w:rsid w:val="00862AA1"/>
    <w:rsid w:val="0086545E"/>
    <w:rsid w:val="008669D7"/>
    <w:rsid w:val="00870E3B"/>
    <w:rsid w:val="00871897"/>
    <w:rsid w:val="00871909"/>
    <w:rsid w:val="00874386"/>
    <w:rsid w:val="0087631F"/>
    <w:rsid w:val="00881D60"/>
    <w:rsid w:val="00882BDE"/>
    <w:rsid w:val="0088571C"/>
    <w:rsid w:val="00886444"/>
    <w:rsid w:val="00887093"/>
    <w:rsid w:val="008936C4"/>
    <w:rsid w:val="00897F58"/>
    <w:rsid w:val="008A0211"/>
    <w:rsid w:val="008A19E7"/>
    <w:rsid w:val="008A62A0"/>
    <w:rsid w:val="008A6871"/>
    <w:rsid w:val="008B1485"/>
    <w:rsid w:val="008B37F3"/>
    <w:rsid w:val="008B40DD"/>
    <w:rsid w:val="008C0BAB"/>
    <w:rsid w:val="008C269B"/>
    <w:rsid w:val="008C425F"/>
    <w:rsid w:val="008D01D1"/>
    <w:rsid w:val="008D383B"/>
    <w:rsid w:val="008D7013"/>
    <w:rsid w:val="008D7475"/>
    <w:rsid w:val="008E1CC4"/>
    <w:rsid w:val="008E2475"/>
    <w:rsid w:val="008E555A"/>
    <w:rsid w:val="008F16E1"/>
    <w:rsid w:val="008F31F7"/>
    <w:rsid w:val="008F3B88"/>
    <w:rsid w:val="008F4114"/>
    <w:rsid w:val="008F49B8"/>
    <w:rsid w:val="008F4F7E"/>
    <w:rsid w:val="008F7E90"/>
    <w:rsid w:val="00900F71"/>
    <w:rsid w:val="0090376D"/>
    <w:rsid w:val="00903E59"/>
    <w:rsid w:val="009226AB"/>
    <w:rsid w:val="00922FAC"/>
    <w:rsid w:val="00927102"/>
    <w:rsid w:val="00940063"/>
    <w:rsid w:val="0094307A"/>
    <w:rsid w:val="00943AE2"/>
    <w:rsid w:val="0094433B"/>
    <w:rsid w:val="00945C0A"/>
    <w:rsid w:val="009516BA"/>
    <w:rsid w:val="0095652A"/>
    <w:rsid w:val="00965777"/>
    <w:rsid w:val="00965FF6"/>
    <w:rsid w:val="009714D2"/>
    <w:rsid w:val="00972FDA"/>
    <w:rsid w:val="00976BFB"/>
    <w:rsid w:val="00997EC1"/>
    <w:rsid w:val="009A1B6A"/>
    <w:rsid w:val="009A1B94"/>
    <w:rsid w:val="009A227B"/>
    <w:rsid w:val="009A241C"/>
    <w:rsid w:val="009A31D1"/>
    <w:rsid w:val="009A4BC3"/>
    <w:rsid w:val="009B0CAB"/>
    <w:rsid w:val="009B1818"/>
    <w:rsid w:val="009B3FEE"/>
    <w:rsid w:val="009B5493"/>
    <w:rsid w:val="009B7331"/>
    <w:rsid w:val="009C1D16"/>
    <w:rsid w:val="009C2DF1"/>
    <w:rsid w:val="009C61C5"/>
    <w:rsid w:val="009D1370"/>
    <w:rsid w:val="009D177E"/>
    <w:rsid w:val="009D24C7"/>
    <w:rsid w:val="009D56E0"/>
    <w:rsid w:val="009E07D9"/>
    <w:rsid w:val="009E1F11"/>
    <w:rsid w:val="009E2E8D"/>
    <w:rsid w:val="009E61BF"/>
    <w:rsid w:val="009E7990"/>
    <w:rsid w:val="009F350E"/>
    <w:rsid w:val="009F413A"/>
    <w:rsid w:val="009F4B9D"/>
    <w:rsid w:val="009F7851"/>
    <w:rsid w:val="00A022BC"/>
    <w:rsid w:val="00A03972"/>
    <w:rsid w:val="00A05A3A"/>
    <w:rsid w:val="00A106D7"/>
    <w:rsid w:val="00A11681"/>
    <w:rsid w:val="00A13B92"/>
    <w:rsid w:val="00A14501"/>
    <w:rsid w:val="00A1486B"/>
    <w:rsid w:val="00A21328"/>
    <w:rsid w:val="00A2612A"/>
    <w:rsid w:val="00A40251"/>
    <w:rsid w:val="00A4447D"/>
    <w:rsid w:val="00A4489E"/>
    <w:rsid w:val="00A476CA"/>
    <w:rsid w:val="00A51860"/>
    <w:rsid w:val="00A524F0"/>
    <w:rsid w:val="00A55B52"/>
    <w:rsid w:val="00A60633"/>
    <w:rsid w:val="00A615CC"/>
    <w:rsid w:val="00A61B65"/>
    <w:rsid w:val="00A63F8C"/>
    <w:rsid w:val="00A640E7"/>
    <w:rsid w:val="00A715AC"/>
    <w:rsid w:val="00A71B92"/>
    <w:rsid w:val="00A72AB5"/>
    <w:rsid w:val="00A73325"/>
    <w:rsid w:val="00A73C2F"/>
    <w:rsid w:val="00A75D22"/>
    <w:rsid w:val="00A76C7D"/>
    <w:rsid w:val="00A7776E"/>
    <w:rsid w:val="00A80A95"/>
    <w:rsid w:val="00A80DCC"/>
    <w:rsid w:val="00A8101D"/>
    <w:rsid w:val="00A83FBD"/>
    <w:rsid w:val="00A91290"/>
    <w:rsid w:val="00A96349"/>
    <w:rsid w:val="00A975AC"/>
    <w:rsid w:val="00AA05A5"/>
    <w:rsid w:val="00AA2304"/>
    <w:rsid w:val="00AA4438"/>
    <w:rsid w:val="00AA5AC5"/>
    <w:rsid w:val="00AA686C"/>
    <w:rsid w:val="00AB24CE"/>
    <w:rsid w:val="00AB751E"/>
    <w:rsid w:val="00AC247A"/>
    <w:rsid w:val="00AC50A6"/>
    <w:rsid w:val="00AD032B"/>
    <w:rsid w:val="00AD1BCB"/>
    <w:rsid w:val="00AD3C18"/>
    <w:rsid w:val="00AD5B76"/>
    <w:rsid w:val="00AD6376"/>
    <w:rsid w:val="00AE1A6D"/>
    <w:rsid w:val="00AE203A"/>
    <w:rsid w:val="00AE2840"/>
    <w:rsid w:val="00AF4542"/>
    <w:rsid w:val="00AF6B9E"/>
    <w:rsid w:val="00B00786"/>
    <w:rsid w:val="00B02AEB"/>
    <w:rsid w:val="00B03E18"/>
    <w:rsid w:val="00B03F2F"/>
    <w:rsid w:val="00B04DE5"/>
    <w:rsid w:val="00B14DFB"/>
    <w:rsid w:val="00B16FEA"/>
    <w:rsid w:val="00B227BC"/>
    <w:rsid w:val="00B248B6"/>
    <w:rsid w:val="00B253D2"/>
    <w:rsid w:val="00B25BC7"/>
    <w:rsid w:val="00B2696C"/>
    <w:rsid w:val="00B26F51"/>
    <w:rsid w:val="00B333B7"/>
    <w:rsid w:val="00B34FF5"/>
    <w:rsid w:val="00B358C7"/>
    <w:rsid w:val="00B36596"/>
    <w:rsid w:val="00B4140A"/>
    <w:rsid w:val="00B418A0"/>
    <w:rsid w:val="00B4200A"/>
    <w:rsid w:val="00B421EC"/>
    <w:rsid w:val="00B43B63"/>
    <w:rsid w:val="00B45820"/>
    <w:rsid w:val="00B515F0"/>
    <w:rsid w:val="00B55106"/>
    <w:rsid w:val="00B5613A"/>
    <w:rsid w:val="00B606CF"/>
    <w:rsid w:val="00B61187"/>
    <w:rsid w:val="00B622F9"/>
    <w:rsid w:val="00B62DA8"/>
    <w:rsid w:val="00B66F96"/>
    <w:rsid w:val="00B722F7"/>
    <w:rsid w:val="00B72369"/>
    <w:rsid w:val="00B75572"/>
    <w:rsid w:val="00B75C8A"/>
    <w:rsid w:val="00B765FF"/>
    <w:rsid w:val="00B85DB9"/>
    <w:rsid w:val="00B87233"/>
    <w:rsid w:val="00B872EB"/>
    <w:rsid w:val="00B90689"/>
    <w:rsid w:val="00B90FC4"/>
    <w:rsid w:val="00B93440"/>
    <w:rsid w:val="00B94622"/>
    <w:rsid w:val="00BA11B8"/>
    <w:rsid w:val="00BA46C8"/>
    <w:rsid w:val="00BA5C36"/>
    <w:rsid w:val="00BA5CE6"/>
    <w:rsid w:val="00BB12AD"/>
    <w:rsid w:val="00BB34A1"/>
    <w:rsid w:val="00BB496C"/>
    <w:rsid w:val="00BB6CA0"/>
    <w:rsid w:val="00BC1566"/>
    <w:rsid w:val="00BD5E88"/>
    <w:rsid w:val="00BD6315"/>
    <w:rsid w:val="00BD77D4"/>
    <w:rsid w:val="00BE0389"/>
    <w:rsid w:val="00BE2AA9"/>
    <w:rsid w:val="00BE2F5F"/>
    <w:rsid w:val="00BE418E"/>
    <w:rsid w:val="00BF13AA"/>
    <w:rsid w:val="00BF2B58"/>
    <w:rsid w:val="00BF754D"/>
    <w:rsid w:val="00C02291"/>
    <w:rsid w:val="00C02722"/>
    <w:rsid w:val="00C02E03"/>
    <w:rsid w:val="00C03663"/>
    <w:rsid w:val="00C12182"/>
    <w:rsid w:val="00C215EF"/>
    <w:rsid w:val="00C25A61"/>
    <w:rsid w:val="00C307A2"/>
    <w:rsid w:val="00C3226C"/>
    <w:rsid w:val="00C32BC0"/>
    <w:rsid w:val="00C43CD8"/>
    <w:rsid w:val="00C461DC"/>
    <w:rsid w:val="00C464DF"/>
    <w:rsid w:val="00C47EEE"/>
    <w:rsid w:val="00C610BA"/>
    <w:rsid w:val="00C613FC"/>
    <w:rsid w:val="00C6643E"/>
    <w:rsid w:val="00C700B4"/>
    <w:rsid w:val="00C7052A"/>
    <w:rsid w:val="00C71C42"/>
    <w:rsid w:val="00C73B35"/>
    <w:rsid w:val="00C75BAB"/>
    <w:rsid w:val="00C761C4"/>
    <w:rsid w:val="00C80BAE"/>
    <w:rsid w:val="00C82CB0"/>
    <w:rsid w:val="00C860BB"/>
    <w:rsid w:val="00C904EC"/>
    <w:rsid w:val="00C930F0"/>
    <w:rsid w:val="00C94A12"/>
    <w:rsid w:val="00C964B5"/>
    <w:rsid w:val="00CA1725"/>
    <w:rsid w:val="00CA1E36"/>
    <w:rsid w:val="00CA2BE2"/>
    <w:rsid w:val="00CA633E"/>
    <w:rsid w:val="00CB56F3"/>
    <w:rsid w:val="00CB7468"/>
    <w:rsid w:val="00CC094B"/>
    <w:rsid w:val="00CC338C"/>
    <w:rsid w:val="00CC4CF2"/>
    <w:rsid w:val="00CC69C3"/>
    <w:rsid w:val="00CC73EF"/>
    <w:rsid w:val="00CD1272"/>
    <w:rsid w:val="00CD1F86"/>
    <w:rsid w:val="00CD2934"/>
    <w:rsid w:val="00CD425B"/>
    <w:rsid w:val="00CD6E4F"/>
    <w:rsid w:val="00CD7DFF"/>
    <w:rsid w:val="00CE070D"/>
    <w:rsid w:val="00CF2AC0"/>
    <w:rsid w:val="00CF5B31"/>
    <w:rsid w:val="00D022D6"/>
    <w:rsid w:val="00D0314D"/>
    <w:rsid w:val="00D1061F"/>
    <w:rsid w:val="00D12E19"/>
    <w:rsid w:val="00D171B5"/>
    <w:rsid w:val="00D17C22"/>
    <w:rsid w:val="00D2070C"/>
    <w:rsid w:val="00D222FF"/>
    <w:rsid w:val="00D30116"/>
    <w:rsid w:val="00D30219"/>
    <w:rsid w:val="00D31195"/>
    <w:rsid w:val="00D3142E"/>
    <w:rsid w:val="00D316DF"/>
    <w:rsid w:val="00D31C15"/>
    <w:rsid w:val="00D31D0E"/>
    <w:rsid w:val="00D335D5"/>
    <w:rsid w:val="00D34878"/>
    <w:rsid w:val="00D3636E"/>
    <w:rsid w:val="00D36891"/>
    <w:rsid w:val="00D41222"/>
    <w:rsid w:val="00D46CCF"/>
    <w:rsid w:val="00D51530"/>
    <w:rsid w:val="00D51D96"/>
    <w:rsid w:val="00D55ED6"/>
    <w:rsid w:val="00D56C73"/>
    <w:rsid w:val="00D62BCE"/>
    <w:rsid w:val="00D669AA"/>
    <w:rsid w:val="00D66B76"/>
    <w:rsid w:val="00D677C4"/>
    <w:rsid w:val="00D71965"/>
    <w:rsid w:val="00D73BAA"/>
    <w:rsid w:val="00D76C0E"/>
    <w:rsid w:val="00D76F6E"/>
    <w:rsid w:val="00D7740D"/>
    <w:rsid w:val="00D77797"/>
    <w:rsid w:val="00D777F5"/>
    <w:rsid w:val="00D800BE"/>
    <w:rsid w:val="00D816E8"/>
    <w:rsid w:val="00D81D8E"/>
    <w:rsid w:val="00D93591"/>
    <w:rsid w:val="00D9740D"/>
    <w:rsid w:val="00DA007C"/>
    <w:rsid w:val="00DA020B"/>
    <w:rsid w:val="00DA0F98"/>
    <w:rsid w:val="00DA4793"/>
    <w:rsid w:val="00DA542F"/>
    <w:rsid w:val="00DA5AB1"/>
    <w:rsid w:val="00DA5AD6"/>
    <w:rsid w:val="00DA5FAF"/>
    <w:rsid w:val="00DB0158"/>
    <w:rsid w:val="00DB0F4C"/>
    <w:rsid w:val="00DB4AA5"/>
    <w:rsid w:val="00DB5EE6"/>
    <w:rsid w:val="00DC2A5E"/>
    <w:rsid w:val="00DC411D"/>
    <w:rsid w:val="00DC69AA"/>
    <w:rsid w:val="00DC6BD2"/>
    <w:rsid w:val="00DD1600"/>
    <w:rsid w:val="00DD658C"/>
    <w:rsid w:val="00DD7C1C"/>
    <w:rsid w:val="00DE060B"/>
    <w:rsid w:val="00DE57A0"/>
    <w:rsid w:val="00DF2349"/>
    <w:rsid w:val="00DF287A"/>
    <w:rsid w:val="00DF6801"/>
    <w:rsid w:val="00DF7F8C"/>
    <w:rsid w:val="00E012C0"/>
    <w:rsid w:val="00E01314"/>
    <w:rsid w:val="00E04431"/>
    <w:rsid w:val="00E05115"/>
    <w:rsid w:val="00E07F14"/>
    <w:rsid w:val="00E11FBE"/>
    <w:rsid w:val="00E136D8"/>
    <w:rsid w:val="00E13DB7"/>
    <w:rsid w:val="00E14E59"/>
    <w:rsid w:val="00E21E12"/>
    <w:rsid w:val="00E27C39"/>
    <w:rsid w:val="00E30643"/>
    <w:rsid w:val="00E3097E"/>
    <w:rsid w:val="00E30E30"/>
    <w:rsid w:val="00E36A47"/>
    <w:rsid w:val="00E43273"/>
    <w:rsid w:val="00E45E4C"/>
    <w:rsid w:val="00E515F0"/>
    <w:rsid w:val="00E53F6B"/>
    <w:rsid w:val="00E54047"/>
    <w:rsid w:val="00E553C3"/>
    <w:rsid w:val="00E62AC7"/>
    <w:rsid w:val="00E64EB2"/>
    <w:rsid w:val="00E76B6F"/>
    <w:rsid w:val="00E7790D"/>
    <w:rsid w:val="00E77EDA"/>
    <w:rsid w:val="00E813A1"/>
    <w:rsid w:val="00E81ECD"/>
    <w:rsid w:val="00E83EB4"/>
    <w:rsid w:val="00E84D03"/>
    <w:rsid w:val="00E8505A"/>
    <w:rsid w:val="00E879CE"/>
    <w:rsid w:val="00E87ADE"/>
    <w:rsid w:val="00E94F31"/>
    <w:rsid w:val="00E960AD"/>
    <w:rsid w:val="00EA02CD"/>
    <w:rsid w:val="00EA2804"/>
    <w:rsid w:val="00EA28E7"/>
    <w:rsid w:val="00EA2E80"/>
    <w:rsid w:val="00EA67B2"/>
    <w:rsid w:val="00EB1585"/>
    <w:rsid w:val="00EB7930"/>
    <w:rsid w:val="00EC1483"/>
    <w:rsid w:val="00EC1696"/>
    <w:rsid w:val="00EC5899"/>
    <w:rsid w:val="00ED3A68"/>
    <w:rsid w:val="00ED726E"/>
    <w:rsid w:val="00ED76F6"/>
    <w:rsid w:val="00EE0064"/>
    <w:rsid w:val="00EE1CFF"/>
    <w:rsid w:val="00EE2C93"/>
    <w:rsid w:val="00EF20A6"/>
    <w:rsid w:val="00EF70E2"/>
    <w:rsid w:val="00F015E5"/>
    <w:rsid w:val="00F02C21"/>
    <w:rsid w:val="00F0421A"/>
    <w:rsid w:val="00F04F9D"/>
    <w:rsid w:val="00F07112"/>
    <w:rsid w:val="00F07601"/>
    <w:rsid w:val="00F12A72"/>
    <w:rsid w:val="00F159B3"/>
    <w:rsid w:val="00F16E9A"/>
    <w:rsid w:val="00F17130"/>
    <w:rsid w:val="00F176EE"/>
    <w:rsid w:val="00F21AEF"/>
    <w:rsid w:val="00F248B4"/>
    <w:rsid w:val="00F24A4E"/>
    <w:rsid w:val="00F26513"/>
    <w:rsid w:val="00F43552"/>
    <w:rsid w:val="00F43B24"/>
    <w:rsid w:val="00F4492D"/>
    <w:rsid w:val="00F45DA7"/>
    <w:rsid w:val="00F466BD"/>
    <w:rsid w:val="00F525EF"/>
    <w:rsid w:val="00F5755E"/>
    <w:rsid w:val="00F61950"/>
    <w:rsid w:val="00F627A6"/>
    <w:rsid w:val="00F7133A"/>
    <w:rsid w:val="00F7424D"/>
    <w:rsid w:val="00F74B76"/>
    <w:rsid w:val="00F77AEE"/>
    <w:rsid w:val="00F84204"/>
    <w:rsid w:val="00F8434F"/>
    <w:rsid w:val="00F84BC9"/>
    <w:rsid w:val="00F860D4"/>
    <w:rsid w:val="00F91DBB"/>
    <w:rsid w:val="00F93504"/>
    <w:rsid w:val="00F96CC1"/>
    <w:rsid w:val="00FA1B28"/>
    <w:rsid w:val="00FA4983"/>
    <w:rsid w:val="00FB57F1"/>
    <w:rsid w:val="00FB67C8"/>
    <w:rsid w:val="00FB7D7F"/>
    <w:rsid w:val="00FC101A"/>
    <w:rsid w:val="00FC4A49"/>
    <w:rsid w:val="00FC6C69"/>
    <w:rsid w:val="00FC7E51"/>
    <w:rsid w:val="00FD0065"/>
    <w:rsid w:val="00FD02BE"/>
    <w:rsid w:val="00FD1670"/>
    <w:rsid w:val="00FD5234"/>
    <w:rsid w:val="00FD79CF"/>
    <w:rsid w:val="00FE1785"/>
    <w:rsid w:val="00FE19F7"/>
    <w:rsid w:val="00FF6E83"/>
    <w:rsid w:val="03227533"/>
    <w:rsid w:val="03423B66"/>
    <w:rsid w:val="0786C778"/>
    <w:rsid w:val="0BE67DC2"/>
    <w:rsid w:val="1075A0FC"/>
    <w:rsid w:val="10C70763"/>
    <w:rsid w:val="14636927"/>
    <w:rsid w:val="1A322A2C"/>
    <w:rsid w:val="1AD399F7"/>
    <w:rsid w:val="1C1E07A8"/>
    <w:rsid w:val="1EFA36C7"/>
    <w:rsid w:val="1F7DA040"/>
    <w:rsid w:val="24BF78EF"/>
    <w:rsid w:val="252640AE"/>
    <w:rsid w:val="271AAD3E"/>
    <w:rsid w:val="27B26ACB"/>
    <w:rsid w:val="290AECD9"/>
    <w:rsid w:val="3977B31B"/>
    <w:rsid w:val="3C1AC192"/>
    <w:rsid w:val="3DD7F829"/>
    <w:rsid w:val="44D399F4"/>
    <w:rsid w:val="46979870"/>
    <w:rsid w:val="4F4486C7"/>
    <w:rsid w:val="4FE766CF"/>
    <w:rsid w:val="53983218"/>
    <w:rsid w:val="54614C8B"/>
    <w:rsid w:val="56E56E67"/>
    <w:rsid w:val="5B68059F"/>
    <w:rsid w:val="5D7830E2"/>
    <w:rsid w:val="5E7CE31C"/>
    <w:rsid w:val="5E9C8D1C"/>
    <w:rsid w:val="6545746D"/>
    <w:rsid w:val="6767B369"/>
    <w:rsid w:val="69384C08"/>
    <w:rsid w:val="69D51548"/>
    <w:rsid w:val="6B548AE0"/>
    <w:rsid w:val="6EB9FD39"/>
    <w:rsid w:val="70B4E208"/>
    <w:rsid w:val="72421703"/>
    <w:rsid w:val="76E5DC3F"/>
    <w:rsid w:val="77E315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EB378"/>
  <w15:docId w15:val="{B6961E21-7635-4B3D-AB94-D2483EE9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8"/>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8"/>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2"/>
      </w:numPr>
    </w:pPr>
  </w:style>
  <w:style w:type="character" w:styleId="UnresolvedMention">
    <w:name w:val="Unresolved Mention"/>
    <w:basedOn w:val="DefaultParagraphFont"/>
    <w:uiPriority w:val="99"/>
    <w:unhideWhenUsed/>
    <w:rsid w:val="0090376D"/>
    <w:rPr>
      <w:color w:val="605E5C"/>
      <w:shd w:val="clear" w:color="auto" w:fill="E1DFDD"/>
    </w:rPr>
  </w:style>
  <w:style w:type="paragraph" w:styleId="Revision">
    <w:name w:val="Revision"/>
    <w:hidden/>
    <w:uiPriority w:val="99"/>
    <w:semiHidden/>
    <w:rsid w:val="008057E0"/>
    <w:rPr>
      <w:rFonts w:ascii="Calibri" w:eastAsiaTheme="minorEastAsia" w:hAnsi="Calibri"/>
      <w:lang w:eastAsia="en-AU"/>
    </w:rPr>
  </w:style>
  <w:style w:type="character" w:styleId="Mention">
    <w:name w:val="Mention"/>
    <w:basedOn w:val="DefaultParagraphFont"/>
    <w:uiPriority w:val="99"/>
    <w:unhideWhenUsed/>
    <w:rsid w:val="001D62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128">
      <w:bodyDiv w:val="1"/>
      <w:marLeft w:val="0"/>
      <w:marRight w:val="0"/>
      <w:marTop w:val="0"/>
      <w:marBottom w:val="0"/>
      <w:divBdr>
        <w:top w:val="none" w:sz="0" w:space="0" w:color="auto"/>
        <w:left w:val="none" w:sz="0" w:space="0" w:color="auto"/>
        <w:bottom w:val="none" w:sz="0" w:space="0" w:color="auto"/>
        <w:right w:val="none" w:sz="0" w:space="0" w:color="auto"/>
      </w:divBdr>
    </w:div>
    <w:div w:id="79108662">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38321536">
      <w:bodyDiv w:val="1"/>
      <w:marLeft w:val="0"/>
      <w:marRight w:val="0"/>
      <w:marTop w:val="0"/>
      <w:marBottom w:val="0"/>
      <w:divBdr>
        <w:top w:val="none" w:sz="0" w:space="0" w:color="auto"/>
        <w:left w:val="none" w:sz="0" w:space="0" w:color="auto"/>
        <w:bottom w:val="none" w:sz="0" w:space="0" w:color="auto"/>
        <w:right w:val="none" w:sz="0" w:space="0" w:color="auto"/>
      </w:divBdr>
    </w:div>
    <w:div w:id="639769076">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78248713">
      <w:bodyDiv w:val="1"/>
      <w:marLeft w:val="0"/>
      <w:marRight w:val="0"/>
      <w:marTop w:val="0"/>
      <w:marBottom w:val="0"/>
      <w:divBdr>
        <w:top w:val="none" w:sz="0" w:space="0" w:color="auto"/>
        <w:left w:val="none" w:sz="0" w:space="0" w:color="auto"/>
        <w:bottom w:val="none" w:sz="0" w:space="0" w:color="auto"/>
        <w:right w:val="none" w:sz="0" w:space="0" w:color="auto"/>
      </w:divBdr>
    </w:div>
    <w:div w:id="1053890467">
      <w:bodyDiv w:val="1"/>
      <w:marLeft w:val="0"/>
      <w:marRight w:val="0"/>
      <w:marTop w:val="0"/>
      <w:marBottom w:val="0"/>
      <w:divBdr>
        <w:top w:val="none" w:sz="0" w:space="0" w:color="auto"/>
        <w:left w:val="none" w:sz="0" w:space="0" w:color="auto"/>
        <w:bottom w:val="none" w:sz="0" w:space="0" w:color="auto"/>
        <w:right w:val="none" w:sz="0" w:space="0" w:color="auto"/>
      </w:divBdr>
    </w:div>
    <w:div w:id="1225797456">
      <w:bodyDiv w:val="1"/>
      <w:marLeft w:val="0"/>
      <w:marRight w:val="0"/>
      <w:marTop w:val="0"/>
      <w:marBottom w:val="0"/>
      <w:divBdr>
        <w:top w:val="none" w:sz="0" w:space="0" w:color="auto"/>
        <w:left w:val="none" w:sz="0" w:space="0" w:color="auto"/>
        <w:bottom w:val="none" w:sz="0" w:space="0" w:color="auto"/>
        <w:right w:val="none" w:sz="0" w:space="0" w:color="auto"/>
      </w:divBdr>
    </w:div>
    <w:div w:id="1272472900">
      <w:bodyDiv w:val="1"/>
      <w:marLeft w:val="0"/>
      <w:marRight w:val="0"/>
      <w:marTop w:val="0"/>
      <w:marBottom w:val="0"/>
      <w:divBdr>
        <w:top w:val="none" w:sz="0" w:space="0" w:color="auto"/>
        <w:left w:val="none" w:sz="0" w:space="0" w:color="auto"/>
        <w:bottom w:val="none" w:sz="0" w:space="0" w:color="auto"/>
        <w:right w:val="none" w:sz="0" w:space="0" w:color="auto"/>
      </w:divBdr>
    </w:div>
    <w:div w:id="1418404914">
      <w:bodyDiv w:val="1"/>
      <w:marLeft w:val="0"/>
      <w:marRight w:val="0"/>
      <w:marTop w:val="0"/>
      <w:marBottom w:val="0"/>
      <w:divBdr>
        <w:top w:val="none" w:sz="0" w:space="0" w:color="auto"/>
        <w:left w:val="none" w:sz="0" w:space="0" w:color="auto"/>
        <w:bottom w:val="none" w:sz="0" w:space="0" w:color="auto"/>
        <w:right w:val="none" w:sz="0" w:space="0" w:color="auto"/>
      </w:divBdr>
    </w:div>
    <w:div w:id="15842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mmunications.gov.au/publications/nbnstatementofexpectations" TargetMode="External"/><Relationship Id="rId13" Type="http://schemas.openxmlformats.org/officeDocument/2006/relationships/hyperlink" Target="https://accan.org.au/files/Submissions/ACCAN%20submission%20to%20ACCC%20draft%20decision.pdf" TargetMode="External"/><Relationship Id="rId3" Type="http://schemas.openxmlformats.org/officeDocument/2006/relationships/hyperlink" Target="https://www.nbnco.com.au/corporate-information/about-nbn-co/corporate-plan/weekly-progress-report" TargetMode="External"/><Relationship Id="rId7" Type="http://schemas.openxmlformats.org/officeDocument/2006/relationships/hyperlink" Target="https://www.communications.gov.au/what-we-do/internet/telecommunication-reform-package" TargetMode="External"/><Relationship Id="rId12" Type="http://schemas.openxmlformats.org/officeDocument/2006/relationships/hyperlink" Target="https://www.communications.gov.au/have-your-say/public-consultation-draft-standards-rules-and-benchmarks-statutory-infrastructure-providers-sips" TargetMode="External"/><Relationship Id="rId2" Type="http://schemas.openxmlformats.org/officeDocument/2006/relationships/hyperlink" Target="https://www.itnews.com.au/news/nbn-co-pays-3-billion-of-its-195-billion-government-loan-560876" TargetMode="External"/><Relationship Id="rId1" Type="http://schemas.openxmlformats.org/officeDocument/2006/relationships/hyperlink" Target="https://www.frontier-economics.com.au/publications/writing-down-the-nbn/" TargetMode="External"/><Relationship Id="rId6" Type="http://schemas.openxmlformats.org/officeDocument/2006/relationships/hyperlink" Target="https://www.accc.gov.au/regulated-infrastructure/communications/national-broadband-network-nbn/nbn-wholesale-market-indicators-report" TargetMode="External"/><Relationship Id="rId11" Type="http://schemas.openxmlformats.org/officeDocument/2006/relationships/hyperlink" Target="https://www.accc.gov.au/system/files/20-47RPT_Communications_Market_Report_FA.pdf" TargetMode="External"/><Relationship Id="rId5" Type="http://schemas.openxmlformats.org/officeDocument/2006/relationships/hyperlink" Target="https://www.accc.gov.au/regulated-infrastructure/communications/national-broadband-network-nbn/nbn-wholesale-market-indicators-report" TargetMode="External"/><Relationship Id="rId10" Type="http://schemas.openxmlformats.org/officeDocument/2006/relationships/hyperlink" Target="https://www.communications.gov.au/publications/affordability-communications-services-low-income-households" TargetMode="External"/><Relationship Id="rId4" Type="http://schemas.openxmlformats.org/officeDocument/2006/relationships/hyperlink" Target="https://www.nbnco.com.au/content/dam/nbn/documents/sell/wba/2021/sfaa-wba-nbn-ethernet-price-list-20210505.pdf" TargetMode="External"/><Relationship Id="rId9" Type="http://schemas.openxmlformats.org/officeDocument/2006/relationships/hyperlink" Target="https://www.sacoss.org.au/sites/default/files/public/Affordability%20and%20Waged%20Poor%20Report%20final%20Web.pdf" TargetMode="External"/><Relationship Id="rId14" Type="http://schemas.openxmlformats.org/officeDocument/2006/relationships/hyperlink" Target="https://www.nbnco.com.au/content/dam/nbn/documents/sell/wba/2021/sfaa-wba-nbn-ethernet-price-list-202105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Megan Ward</DisplayName>
        <AccountId>40</AccountId>
        <AccountType/>
      </UserInfo>
      <UserInfo>
        <DisplayName>Meredith Lea</DisplayName>
        <AccountId>27</AccountId>
        <AccountType/>
      </UserInfo>
      <UserInfo>
        <DisplayName>Una Lawrence</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37A61-4B11-4C75-A730-98BBA24274E1}">
  <ds:schemaRefs>
    <ds:schemaRef ds:uri="http://schemas.microsoft.com/office/2006/metadata/properties"/>
    <ds:schemaRef ds:uri="http://schemas.microsoft.com/office/infopath/2007/PartnerControls"/>
    <ds:schemaRef ds:uri="2afa1a33-c191-48ee-b288-192490d33fec"/>
  </ds:schemaRefs>
</ds:datastoreItem>
</file>

<file path=customXml/itemProps2.xml><?xml version="1.0" encoding="utf-8"?>
<ds:datastoreItem xmlns:ds="http://schemas.openxmlformats.org/officeDocument/2006/customXml" ds:itemID="{6551A64E-FC80-4A2B-89B8-E551B968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59E39461-FFDD-4029-A6D8-FFBCBE0A8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 template</Template>
  <TotalTime>20</TotalTime>
  <Pages>24</Pages>
  <Words>7980</Words>
  <Characters>45492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4</cp:revision>
  <cp:lastPrinted>2021-07-29T01:54:00Z</cp:lastPrinted>
  <dcterms:created xsi:type="dcterms:W3CDTF">2021-07-29T01:53:00Z</dcterms:created>
  <dcterms:modified xsi:type="dcterms:W3CDTF">2021-07-29T03:03:00Z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