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6A5E" w14:textId="7EE0B119" w:rsidR="00C7127B" w:rsidRPr="00D574F4" w:rsidRDefault="00AE18B3" w:rsidP="00C7127B">
      <w:pPr>
        <w:spacing w:after="0"/>
      </w:pPr>
      <w:r w:rsidRPr="00D574F4">
        <w:t>5</w:t>
      </w:r>
      <w:r w:rsidRPr="00D574F4">
        <w:rPr>
          <w:vertAlign w:val="superscript"/>
        </w:rPr>
        <w:t>th</w:t>
      </w:r>
      <w:r w:rsidRPr="00D574F4">
        <w:t xml:space="preserve"> February 2021</w:t>
      </w:r>
    </w:p>
    <w:p w14:paraId="5F78956D" w14:textId="77777777" w:rsidR="00C7127B" w:rsidRPr="00D574F4" w:rsidRDefault="00C7127B" w:rsidP="00C7127B">
      <w:pPr>
        <w:spacing w:after="0"/>
      </w:pPr>
    </w:p>
    <w:p w14:paraId="341C4D73" w14:textId="4A6B0350" w:rsidR="00C7127B" w:rsidRPr="00D574F4" w:rsidRDefault="00AE18B3" w:rsidP="00C7127B">
      <w:pPr>
        <w:spacing w:after="0"/>
      </w:pPr>
      <w:r w:rsidRPr="00D574F4">
        <w:t>Director</w:t>
      </w:r>
    </w:p>
    <w:p w14:paraId="066AF4A6" w14:textId="39823E08" w:rsidR="00AE18B3" w:rsidRPr="00D574F4" w:rsidRDefault="00AE18B3" w:rsidP="00C7127B">
      <w:pPr>
        <w:spacing w:after="0"/>
      </w:pPr>
      <w:r w:rsidRPr="00D574F4">
        <w:t xml:space="preserve">Telecommunications Competition </w:t>
      </w:r>
    </w:p>
    <w:p w14:paraId="54928DA6" w14:textId="3460B568" w:rsidR="00AE18B3" w:rsidRPr="00D574F4" w:rsidRDefault="00AE18B3" w:rsidP="00C7127B">
      <w:pPr>
        <w:spacing w:after="0"/>
      </w:pPr>
      <w:r w:rsidRPr="00D574F4">
        <w:t xml:space="preserve">Department of Infrastructure, Transport, Regional Development and Communications </w:t>
      </w:r>
    </w:p>
    <w:p w14:paraId="7D1C38EF" w14:textId="4714E069" w:rsidR="00AE18B3" w:rsidRPr="00D574F4" w:rsidRDefault="00AE18B3" w:rsidP="00C7127B">
      <w:pPr>
        <w:spacing w:after="0"/>
      </w:pPr>
      <w:r w:rsidRPr="00D574F4">
        <w:t>GPO Box 2154</w:t>
      </w:r>
    </w:p>
    <w:p w14:paraId="06F1EC06" w14:textId="354FC9EF" w:rsidR="00AE18B3" w:rsidRPr="00D574F4" w:rsidRDefault="00AE18B3" w:rsidP="00C7127B">
      <w:pPr>
        <w:spacing w:after="0"/>
      </w:pPr>
      <w:r w:rsidRPr="00D574F4">
        <w:t xml:space="preserve">Canberra </w:t>
      </w:r>
    </w:p>
    <w:p w14:paraId="5102B296" w14:textId="1064BD0A" w:rsidR="00AE18B3" w:rsidRPr="00D574F4" w:rsidRDefault="00AE18B3" w:rsidP="00C7127B">
      <w:pPr>
        <w:spacing w:after="0"/>
      </w:pPr>
      <w:r w:rsidRPr="00D574F4">
        <w:t>ACT 2601</w:t>
      </w:r>
    </w:p>
    <w:p w14:paraId="3CD416DC" w14:textId="77777777" w:rsidR="00C7127B" w:rsidRPr="00D574F4" w:rsidRDefault="00C7127B" w:rsidP="00C7127B">
      <w:pPr>
        <w:spacing w:after="0"/>
      </w:pPr>
    </w:p>
    <w:p w14:paraId="2F7DC6D9" w14:textId="072A40F7" w:rsidR="00C7127B" w:rsidRPr="00D574F4" w:rsidRDefault="001C0727" w:rsidP="00C7127B">
      <w:pPr>
        <w:spacing w:after="0"/>
      </w:pPr>
      <w:r>
        <w:t xml:space="preserve">Via email: </w:t>
      </w:r>
      <w:hyperlink r:id="rId8" w:history="1">
        <w:r w:rsidRPr="007F7295">
          <w:rPr>
            <w:rStyle w:val="Hyperlink"/>
          </w:rPr>
          <w:t>infrastructureandaccess@infrastructure.gov.au</w:t>
        </w:r>
      </w:hyperlink>
      <w:r w:rsidR="009E7BDF" w:rsidRPr="00D574F4">
        <w:t xml:space="preserve"> </w:t>
      </w:r>
    </w:p>
    <w:p w14:paraId="07422CE8" w14:textId="0CF701CC" w:rsidR="00C7127B" w:rsidRPr="00D574F4" w:rsidRDefault="00C7127B" w:rsidP="00C7127B">
      <w:pPr>
        <w:spacing w:after="0"/>
        <w:rPr>
          <w:rFonts w:cstheme="minorHAnsi"/>
        </w:rPr>
      </w:pPr>
    </w:p>
    <w:p w14:paraId="7B0CB05E" w14:textId="4395585F" w:rsidR="00AE18B3" w:rsidRPr="00D574F4" w:rsidRDefault="00D574F4" w:rsidP="00C7127B">
      <w:pPr>
        <w:spacing w:after="0"/>
        <w:rPr>
          <w:rStyle w:val="Strong"/>
        </w:rPr>
      </w:pPr>
      <w:r>
        <w:rPr>
          <w:rStyle w:val="Strong"/>
        </w:rPr>
        <w:t xml:space="preserve">Re: </w:t>
      </w:r>
      <w:r w:rsidR="00AE18B3" w:rsidRPr="00D574F4">
        <w:rPr>
          <w:rStyle w:val="Strong"/>
        </w:rPr>
        <w:t xml:space="preserve">Exemptions for controllers of superfast fixed-line networks from separation requirements </w:t>
      </w:r>
    </w:p>
    <w:p w14:paraId="57291F62" w14:textId="77777777" w:rsidR="00AE18B3" w:rsidRPr="00D574F4" w:rsidRDefault="00AE18B3" w:rsidP="00C7127B">
      <w:pPr>
        <w:spacing w:after="0"/>
        <w:rPr>
          <w:rFonts w:cstheme="minorHAnsi"/>
        </w:rPr>
      </w:pPr>
    </w:p>
    <w:p w14:paraId="10C16AFE" w14:textId="0408EA3E" w:rsidR="00C7127B" w:rsidRPr="00D574F4" w:rsidRDefault="00C7127B" w:rsidP="007B0479">
      <w:pPr>
        <w:jc w:val="both"/>
      </w:pPr>
      <w:r w:rsidRPr="00D574F4">
        <w:t xml:space="preserve">ACCAN thanks the </w:t>
      </w:r>
      <w:r w:rsidR="00AE18B3" w:rsidRPr="00D574F4">
        <w:t>Department of Infrastructure, Transport, Regional Development and Communications</w:t>
      </w:r>
      <w:r w:rsidRPr="00D574F4">
        <w:t xml:space="preserve"> for the opportunity to contribute to its </w:t>
      </w:r>
      <w:r w:rsidR="00AE18B3" w:rsidRPr="00D574F4">
        <w:t xml:space="preserve">consultation on whether the Australian Competition and Consumer Commission (ACCC) should have the power to allow certain high-speed fixed line networks to offer both wholesale and retail services. </w:t>
      </w:r>
    </w:p>
    <w:p w14:paraId="2377815A" w14:textId="278AE7D8" w:rsidR="00366160" w:rsidRPr="00D574F4" w:rsidRDefault="00534D15" w:rsidP="007B0479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ACCAN recommends that regulation should not allow the ACCC to increase the class exemption limit to 12,000 residential services until appropriate safeguards have been </w:t>
      </w:r>
      <w:r w:rsidR="005A302E" w:rsidRPr="00D574F4">
        <w:rPr>
          <w:rFonts w:asciiTheme="minorHAnsi" w:eastAsiaTheme="minorEastAsia" w:hAnsiTheme="minorHAnsi" w:cstheme="minorHAnsi"/>
          <w:color w:val="auto"/>
          <w:lang w:eastAsia="en-AU"/>
        </w:rPr>
        <w:t>established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. </w:t>
      </w:r>
      <w:r w:rsidR="00366160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Appropriate safeguards include having the Minister set </w:t>
      </w:r>
      <w:r w:rsidR="009235B5" w:rsidRPr="00D574F4">
        <w:rPr>
          <w:rFonts w:asciiTheme="minorHAnsi" w:eastAsiaTheme="minorEastAsia" w:hAnsiTheme="minorHAnsi" w:cstheme="minorHAnsi"/>
          <w:color w:val="auto"/>
          <w:lang w:eastAsia="en-AU"/>
        </w:rPr>
        <w:t>suitable</w:t>
      </w:r>
      <w:r w:rsidR="007B0479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  <w:r w:rsidR="00366160" w:rsidRPr="00D574F4">
        <w:rPr>
          <w:rFonts w:asciiTheme="minorHAnsi" w:eastAsiaTheme="minorEastAsia" w:hAnsiTheme="minorHAnsi" w:cstheme="minorHAnsi"/>
          <w:color w:val="auto"/>
          <w:lang w:eastAsia="en-AU"/>
        </w:rPr>
        <w:t>wholesale service standards where the network provider is the Statutory Infrastructure Provider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  <w:r w:rsidR="005A302E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(SIP) 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>and</w:t>
      </w:r>
      <w:r w:rsidR="005A302E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reviewing the Superfast Broadband Access Service (SBAS) and Local Bitstream Access Service (LBAS) Final Access Determination (FAD), so 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as to provide price regulation on </w:t>
      </w:r>
      <w:r w:rsidR="005A302E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all 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newly built networks. ACCAN considers these safeguards will mitigate the potential consumer harm and risk posed by vertically integrated </w:t>
      </w:r>
      <w:r w:rsidR="005A302E" w:rsidRPr="00D574F4">
        <w:rPr>
          <w:rFonts w:asciiTheme="minorHAnsi" w:eastAsiaTheme="minorEastAsia" w:hAnsiTheme="minorHAnsi" w:cstheme="minorHAnsi"/>
          <w:color w:val="auto"/>
          <w:lang w:eastAsia="en-AU"/>
        </w:rPr>
        <w:t>monopolies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  <w:r w:rsidR="005A302E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by ensuring minimum standards in terms of quality and price. </w:t>
      </w:r>
    </w:p>
    <w:p w14:paraId="2EDB516B" w14:textId="73E9FCE0" w:rsidR="00366160" w:rsidRPr="00D574F4" w:rsidRDefault="00366160" w:rsidP="007B0479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ACCAN </w:t>
      </w:r>
      <w:r w:rsidR="006E4A9C" w:rsidRPr="00D574F4">
        <w:rPr>
          <w:rFonts w:asciiTheme="minorHAnsi" w:eastAsiaTheme="minorEastAsia" w:hAnsiTheme="minorHAnsi" w:cstheme="minorHAnsi"/>
          <w:color w:val="auto"/>
          <w:lang w:eastAsia="en-AU"/>
        </w:rPr>
        <w:t>understands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that the purpose of increasing the exemption limit is to encourage network operators to enter the market, increasing infrastructure competition. </w:t>
      </w:r>
      <w:r w:rsidR="006E4A9C" w:rsidRPr="00D574F4">
        <w:rPr>
          <w:rFonts w:asciiTheme="minorHAnsi" w:eastAsiaTheme="minorEastAsia" w:hAnsiTheme="minorHAnsi" w:cstheme="minorHAnsi"/>
          <w:color w:val="auto"/>
          <w:lang w:eastAsia="en-AU"/>
        </w:rPr>
        <w:t>A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n increased choice of networks can benefit consumers where networks compete on price and quality in order to attract customers. However, i</w:t>
      </w:r>
      <w:r w:rsidR="00787A53" w:rsidRPr="00D574F4">
        <w:rPr>
          <w:rFonts w:asciiTheme="minorHAnsi" w:eastAsiaTheme="minorEastAsia" w:hAnsiTheme="minorHAnsi" w:cstheme="minorHAnsi"/>
          <w:color w:val="auto"/>
          <w:lang w:eastAsia="en-AU"/>
        </w:rPr>
        <w:t>n assessing whether the class exemption limit will promote competition, it is important to note that infrastructure competition will not be possible in many areas due to low population density</w:t>
      </w:r>
      <w:r w:rsidR="006E4A9C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and high costs</w:t>
      </w:r>
      <w:r w:rsidR="00787A53" w:rsidRPr="00D574F4">
        <w:rPr>
          <w:rFonts w:asciiTheme="minorHAnsi" w:eastAsiaTheme="minorEastAsia" w:hAnsiTheme="minorHAnsi" w:cstheme="minorHAnsi"/>
          <w:color w:val="auto"/>
          <w:lang w:eastAsia="en-AU"/>
        </w:rPr>
        <w:t>.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The ACCC has recognised that </w:t>
      </w:r>
      <w:r w:rsidR="009429E3" w:rsidRPr="00D574F4">
        <w:rPr>
          <w:rFonts w:asciiTheme="minorHAnsi" w:eastAsiaTheme="minorEastAsia" w:hAnsiTheme="minorHAnsi" w:cstheme="minorHAnsi"/>
          <w:i/>
          <w:iCs/>
          <w:color w:val="auto"/>
          <w:lang w:eastAsia="en-AU"/>
        </w:rPr>
        <w:t>‘economic and technical barriers to entry generally prevent multiple fixed line network providers from operating in the same service area and competing at a wholesale level</w:t>
      </w:r>
      <w:r w:rsidR="009429E3" w:rsidRPr="00D574F4">
        <w:rPr>
          <w:rFonts w:asciiTheme="minorHAnsi" w:eastAsiaTheme="minorEastAsia" w:hAnsiTheme="minorHAnsi" w:cstheme="minorHAnsi"/>
          <w:color w:val="auto"/>
          <w:lang w:eastAsia="en-AU"/>
        </w:rPr>
        <w:t>’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>.</w:t>
      </w:r>
      <w:r w:rsidR="00D85094" w:rsidRPr="00D574F4">
        <w:rPr>
          <w:rStyle w:val="FootnoteReference"/>
          <w:rFonts w:asciiTheme="minorHAnsi" w:eastAsiaTheme="minorEastAsia" w:hAnsiTheme="minorHAnsi" w:cstheme="minorHAnsi"/>
          <w:color w:val="auto"/>
          <w:lang w:eastAsia="en-AU"/>
        </w:rPr>
        <w:footnoteReference w:id="1"/>
      </w:r>
      <w:r w:rsidR="00787A53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</w:p>
    <w:p w14:paraId="0DB0BCD4" w14:textId="70AC442E" w:rsidR="00CA7FE6" w:rsidRDefault="00230266" w:rsidP="00D574F4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By increasing the class exemption limit,</w:t>
      </w:r>
      <w:r w:rsidR="009429E3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more providers are likely to enter the market. When this occurs in areas where providers face no competition, 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for example in newly developed greenfield sites, </w:t>
      </w:r>
      <w:r w:rsidR="00366160" w:rsidRPr="00D574F4">
        <w:rPr>
          <w:rFonts w:asciiTheme="minorHAnsi" w:eastAsiaTheme="minorEastAsia" w:hAnsiTheme="minorHAnsi" w:cstheme="minorHAnsi"/>
          <w:color w:val="auto"/>
          <w:lang w:eastAsia="en-AU"/>
        </w:rPr>
        <w:t>there is a risk of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localised fixed line infrastructure monopolies</w:t>
      </w:r>
      <w:r w:rsidR="00366160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emerging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.</w:t>
      </w:r>
      <w:r w:rsidR="00BE7392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  <w:r w:rsidR="009429E3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Infrastructure owners in this position will have the market power and incentives to maximise their profits by charging prices in </w:t>
      </w:r>
      <w:r w:rsidR="009429E3" w:rsidRPr="00D574F4">
        <w:rPr>
          <w:rFonts w:asciiTheme="minorHAnsi" w:eastAsiaTheme="minorEastAsia" w:hAnsiTheme="minorHAnsi" w:cstheme="minorHAnsi"/>
          <w:color w:val="auto"/>
          <w:lang w:eastAsia="en-AU"/>
        </w:rPr>
        <w:lastRenderedPageBreak/>
        <w:t>excess of competitive market rates</w:t>
      </w:r>
      <w:r w:rsidR="00467092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as well as providing low wholesale service standards</w:t>
      </w:r>
      <w:r w:rsidR="009429E3" w:rsidRPr="00D574F4">
        <w:rPr>
          <w:rFonts w:asciiTheme="minorHAnsi" w:eastAsiaTheme="minorEastAsia" w:hAnsiTheme="minorHAnsi" w:cstheme="minorHAnsi"/>
          <w:color w:val="auto"/>
          <w:lang w:eastAsia="en-AU"/>
        </w:rPr>
        <w:t>.</w:t>
      </w:r>
      <w:r w:rsidR="00467092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Residents being served by these networks will have no choice of </w:t>
      </w:r>
      <w:r w:rsidR="006E4A9C" w:rsidRPr="00D574F4">
        <w:rPr>
          <w:rFonts w:asciiTheme="minorHAnsi" w:eastAsiaTheme="minorEastAsia" w:hAnsiTheme="minorHAnsi" w:cstheme="minorHAnsi"/>
          <w:color w:val="auto"/>
          <w:lang w:eastAsia="en-AU"/>
        </w:rPr>
        <w:t>wholesaler and</w:t>
      </w:r>
      <w:r w:rsidR="00467092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are likely to face very limited choices of retail provider as well. </w:t>
      </w:r>
      <w:r w:rsidR="00BE7392" w:rsidRPr="00D574F4">
        <w:rPr>
          <w:rFonts w:asciiTheme="minorHAnsi" w:eastAsiaTheme="minorEastAsia" w:hAnsiTheme="minorHAnsi" w:cstheme="minorHAnsi"/>
          <w:color w:val="auto"/>
          <w:lang w:eastAsia="en-AU"/>
        </w:rPr>
        <w:t>Given this risk, there is a need for sufficient regulation to be put in place</w:t>
      </w:r>
      <w:r w:rsidR="00467092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prior to the exemption limit being expanded</w:t>
      </w:r>
      <w:r w:rsidR="00BE7392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to ensure consumers are not harmed through networks extracting monopoly rents.</w:t>
      </w:r>
    </w:p>
    <w:p w14:paraId="1BC08270" w14:textId="77777777" w:rsidR="00D574F4" w:rsidRPr="00D574F4" w:rsidRDefault="00D574F4" w:rsidP="00D574F4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</w:p>
    <w:p w14:paraId="1FBDFB62" w14:textId="5FEE4C82" w:rsidR="00D85094" w:rsidRPr="00D574F4" w:rsidRDefault="00C80E60" w:rsidP="00BE7392">
      <w:pPr>
        <w:pStyle w:val="BodyText1"/>
        <w:rPr>
          <w:rFonts w:asciiTheme="minorHAnsi" w:eastAsiaTheme="minorEastAsia" w:hAnsiTheme="minorHAnsi" w:cstheme="minorHAnsi"/>
          <w:color w:val="auto"/>
          <w:u w:val="single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u w:val="single"/>
          <w:lang w:eastAsia="en-AU"/>
        </w:rPr>
        <w:t>Price considerations</w:t>
      </w:r>
    </w:p>
    <w:p w14:paraId="383E9D48" w14:textId="08A3AB3C" w:rsidR="004D01DD" w:rsidRPr="00D574F4" w:rsidRDefault="00366160" w:rsidP="007B0479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As the </w:t>
      </w:r>
      <w:r w:rsidR="00CA7FE6" w:rsidRPr="00D574F4">
        <w:rPr>
          <w:rFonts w:asciiTheme="minorHAnsi" w:eastAsiaTheme="minorEastAsia" w:hAnsiTheme="minorHAnsi" w:cstheme="minorHAnsi"/>
          <w:color w:val="auto"/>
          <w:lang w:eastAsia="en-AU"/>
        </w:rPr>
        <w:t>consultation paper noted, the ACCC</w:t>
      </w:r>
      <w:r w:rsidR="00D3514F" w:rsidRPr="00D574F4">
        <w:rPr>
          <w:rFonts w:asciiTheme="minorHAnsi" w:eastAsiaTheme="minorEastAsia" w:hAnsiTheme="minorHAnsi" w:cstheme="minorHAnsi"/>
          <w:color w:val="auto"/>
          <w:lang w:eastAsia="en-AU"/>
        </w:rPr>
        <w:t>,</w:t>
      </w:r>
      <w:r w:rsidR="00CA7FE6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in creating the exemption instrument, </w:t>
      </w:r>
      <w:r w:rsidR="00CA7FE6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put forward the view that competition will continue to be safeguarded by the SBAS and LBAS declarations and determinations. However, </w:t>
      </w:r>
      <w:r w:rsidR="00E94649" w:rsidRPr="00D574F4">
        <w:rPr>
          <w:rFonts w:asciiTheme="minorHAnsi" w:eastAsiaTheme="minorEastAsia" w:hAnsiTheme="minorHAnsi" w:cstheme="minorHAnsi"/>
          <w:color w:val="auto"/>
          <w:lang w:eastAsia="en-AU"/>
        </w:rPr>
        <w:t>t</w:t>
      </w:r>
      <w:r w:rsidR="0004089A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he current SBAS 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>and LBAS</w:t>
      </w:r>
      <w:r w:rsidR="00467092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declarations and</w:t>
      </w:r>
      <w:r w:rsidR="00D85094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  <w:r w:rsidR="004D01D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associated </w:t>
      </w:r>
      <w:r w:rsidR="00E94649" w:rsidRPr="00D574F4">
        <w:rPr>
          <w:rFonts w:asciiTheme="minorHAnsi" w:eastAsiaTheme="minorEastAsia" w:hAnsiTheme="minorHAnsi" w:cstheme="minorHAnsi"/>
          <w:color w:val="auto"/>
          <w:lang w:eastAsia="en-AU"/>
        </w:rPr>
        <w:t>FAD</w:t>
      </w:r>
      <w:r w:rsidR="007B0479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are to</w:t>
      </w:r>
      <w:r w:rsidR="0004089A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expire in July 202</w:t>
      </w:r>
      <w:r w:rsidR="00D3514F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1 </w:t>
      </w:r>
      <w:r w:rsidR="00E94649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and there is no guarantee as of yet, that the declaration </w:t>
      </w:r>
      <w:r w:rsidR="00467092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nor the FAD </w:t>
      </w:r>
      <w:r w:rsidR="00E94649" w:rsidRPr="00D574F4">
        <w:rPr>
          <w:rFonts w:asciiTheme="minorHAnsi" w:eastAsiaTheme="minorEastAsia" w:hAnsiTheme="minorHAnsi" w:cstheme="minorHAnsi"/>
          <w:color w:val="auto"/>
          <w:lang w:eastAsia="en-AU"/>
        </w:rPr>
        <w:t>will continue.</w:t>
      </w:r>
      <w:r w:rsidR="00171C37" w:rsidRPr="00D574F4">
        <w:rPr>
          <w:rStyle w:val="FootnoteReference"/>
          <w:rFonts w:asciiTheme="minorHAnsi" w:eastAsiaTheme="minorEastAsia" w:hAnsiTheme="minorHAnsi" w:cstheme="minorHAnsi"/>
          <w:color w:val="auto"/>
          <w:lang w:eastAsia="en-AU"/>
        </w:rPr>
        <w:footnoteReference w:id="2"/>
      </w:r>
      <w:r w:rsidR="00E94649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</w:p>
    <w:p w14:paraId="76AA6C96" w14:textId="40F36A68" w:rsidR="00D3514F" w:rsidRPr="00D574F4" w:rsidRDefault="00467092" w:rsidP="007B0479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If the </w:t>
      </w:r>
      <w:r w:rsidR="004D01D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services are declared and the 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FAD is to be extended,</w:t>
      </w:r>
      <w:r w:rsidR="00D3514F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there is no assurance that 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it will</w:t>
      </w:r>
      <w:r w:rsidR="00D3514F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provide price regulation for smaller networks, noting that the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current</w:t>
      </w:r>
      <w:r w:rsidR="00D3514F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FAD contain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s</w:t>
      </w:r>
      <w:r w:rsidR="00D3514F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an exemption for </w:t>
      </w:r>
      <w:r w:rsidR="00C80E60" w:rsidRPr="00D574F4">
        <w:rPr>
          <w:rFonts w:asciiTheme="minorHAnsi" w:eastAsiaTheme="minorEastAsia" w:hAnsiTheme="minorHAnsi" w:cstheme="minorHAnsi"/>
          <w:color w:val="auto"/>
          <w:lang w:eastAsia="en-AU"/>
        </w:rPr>
        <w:t>certain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SBAS networks</w:t>
      </w:r>
      <w:r w:rsidR="00C80E60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(networks built before 2011 that serve up to 12,000 residential premises)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. If this exemption is extended to LBAS networks (</w:t>
      </w:r>
      <w:r w:rsidR="00393E1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networks 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built after 2011), it would </w:t>
      </w:r>
      <w:r w:rsidR="007B0479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allow newly built 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small networks the ability to charge whatever price they want. This is a real possibility given that the </w:t>
      </w:r>
      <w:r w:rsidR="004D01D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ACCC has proposed that the 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LBAS declaration is to be revoked</w:t>
      </w:r>
      <w:r w:rsidR="004D01DD" w:rsidRPr="00D574F4">
        <w:rPr>
          <w:rFonts w:asciiTheme="minorHAnsi" w:eastAsiaTheme="minorEastAsia" w:hAnsiTheme="minorHAnsi" w:cstheme="minorHAnsi"/>
          <w:color w:val="auto"/>
          <w:lang w:eastAsia="en-AU"/>
        </w:rPr>
        <w:t>.</w:t>
      </w:r>
      <w:r w:rsidR="007B0479" w:rsidRPr="00D574F4">
        <w:rPr>
          <w:rStyle w:val="FootnoteReference"/>
          <w:rFonts w:asciiTheme="minorHAnsi" w:eastAsiaTheme="minorEastAsia" w:hAnsiTheme="minorHAnsi" w:cstheme="minorHAnsi"/>
          <w:color w:val="auto"/>
          <w:lang w:eastAsia="en-AU"/>
        </w:rPr>
        <w:footnoteReference w:id="3"/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  <w:r w:rsidR="004D01D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This will then 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giv</w:t>
      </w:r>
      <w:r w:rsidR="004D01DD" w:rsidRPr="00D574F4">
        <w:rPr>
          <w:rFonts w:asciiTheme="minorHAnsi" w:eastAsiaTheme="minorEastAsia" w:hAnsiTheme="minorHAnsi" w:cstheme="minorHAnsi"/>
          <w:color w:val="auto"/>
          <w:lang w:eastAsia="en-AU"/>
        </w:rPr>
        <w:t>e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the ACCC the power to </w:t>
      </w:r>
      <w:r w:rsidR="00C80E60" w:rsidRPr="00D574F4">
        <w:rPr>
          <w:rFonts w:asciiTheme="minorHAnsi" w:eastAsiaTheme="minorEastAsia" w:hAnsiTheme="minorHAnsi" w:cstheme="minorHAnsi"/>
          <w:color w:val="auto"/>
          <w:lang w:eastAsia="en-AU"/>
        </w:rPr>
        <w:t>exempt LBAS networks from the obligations in the FAD</w:t>
      </w:r>
      <w:r w:rsidR="004D01DD" w:rsidRPr="00D574F4">
        <w:rPr>
          <w:rFonts w:asciiTheme="minorHAnsi" w:eastAsiaTheme="minorEastAsia" w:hAnsiTheme="minorHAnsi" w:cstheme="minorHAnsi"/>
          <w:color w:val="auto"/>
          <w:lang w:eastAsia="en-AU"/>
        </w:rPr>
        <w:t>, similar to the exemptions provided to SBAS networks</w:t>
      </w:r>
      <w:r w:rsidR="00C80E60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. </w:t>
      </w:r>
    </w:p>
    <w:p w14:paraId="15EE41AF" w14:textId="55D000E4" w:rsidR="00CA7FE6" w:rsidRPr="00D574F4" w:rsidRDefault="00D3514F" w:rsidP="007B0479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Without having the assurances of price regulation on these networks, ACCAN recommends not extending the class exemption limit to networks larger than 2,000 residential services. Doing so would create a risk of vertically integrated networks, with the ability to charge monopolistic prices for an essential service. </w:t>
      </w:r>
    </w:p>
    <w:p w14:paraId="27BF1BAC" w14:textId="2A031931" w:rsidR="00D3514F" w:rsidRPr="00D574F4" w:rsidRDefault="00D3514F" w:rsidP="00C7127B">
      <w:pPr>
        <w:pStyle w:val="BodyText1"/>
        <w:rPr>
          <w:rFonts w:asciiTheme="minorHAnsi" w:eastAsiaTheme="minorEastAsia" w:hAnsiTheme="minorHAnsi" w:cstheme="minorHAnsi"/>
          <w:color w:val="auto"/>
          <w:lang w:eastAsia="en-AU"/>
        </w:rPr>
      </w:pPr>
    </w:p>
    <w:p w14:paraId="53EA3196" w14:textId="3A3BE0B9" w:rsidR="00D3514F" w:rsidRPr="00D574F4" w:rsidRDefault="00D3514F" w:rsidP="00C7127B">
      <w:pPr>
        <w:pStyle w:val="BodyText1"/>
        <w:rPr>
          <w:rFonts w:asciiTheme="minorHAnsi" w:eastAsiaTheme="minorEastAsia" w:hAnsiTheme="minorHAnsi" w:cstheme="minorHAnsi"/>
          <w:color w:val="auto"/>
          <w:u w:val="single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u w:val="single"/>
          <w:lang w:eastAsia="en-AU"/>
        </w:rPr>
        <w:t>Service standards</w:t>
      </w:r>
    </w:p>
    <w:p w14:paraId="46A429E3" w14:textId="4421144A" w:rsidR="00537D00" w:rsidRPr="00D574F4" w:rsidRDefault="00D3514F" w:rsidP="007B0479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Through encouraging new entrants into the market, increasing the class exemption limit to 12,000 customers creates the risk of poor wholesale service quality for retailers and end users. </w:t>
      </w:r>
      <w:r w:rsidR="006E4A9C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We hear anecdotally of the frustration felt by consumers </w:t>
      </w:r>
      <w:r w:rsidR="007B0479" w:rsidRPr="00D574F4">
        <w:rPr>
          <w:rFonts w:asciiTheme="minorHAnsi" w:eastAsiaTheme="minorEastAsia" w:hAnsiTheme="minorHAnsi" w:cstheme="minorHAnsi"/>
          <w:color w:val="auto"/>
          <w:lang w:eastAsia="en-AU"/>
        </w:rPr>
        <w:t>due to a lack of consumer safeguards</w:t>
      </w:r>
      <w:r w:rsidR="006E4A9C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. 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ACCAN agrees</w:t>
      </w:r>
      <w:r w:rsidR="004D01D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with the consultation paper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that concerns about service quality could be mitigated by the new Statutory Infrastructure Provider (SIP) obligations. </w:t>
      </w:r>
    </w:p>
    <w:p w14:paraId="6F0075C8" w14:textId="483F63ED" w:rsidR="00082705" w:rsidRPr="00D574F4" w:rsidRDefault="006E4A9C" w:rsidP="007B0479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Wholesale service standards in terms of appointment keeping, fault rectification, performance and connections are required, as </w:t>
      </w:r>
      <w:r w:rsidR="00393E1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some 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consumers are currently being let down by their wholesale provider</w:t>
      </w:r>
      <w:r w:rsidR="00393E1D" w:rsidRPr="00D574F4">
        <w:rPr>
          <w:rFonts w:asciiTheme="minorHAnsi" w:eastAsiaTheme="minorEastAsia" w:hAnsiTheme="minorHAnsi" w:cstheme="minorHAnsi"/>
          <w:color w:val="auto"/>
          <w:lang w:eastAsia="en-AU"/>
        </w:rPr>
        <w:t>s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.</w:t>
      </w:r>
      <w:r w:rsidR="00082705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The following complaints were among the top 10 issues reported to the TIO in 2019-2020</w:t>
      </w:r>
      <w:r w:rsidR="00393E1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in regard to internet services</w:t>
      </w:r>
      <w:r w:rsidR="00082705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; </w:t>
      </w:r>
      <w:r w:rsidR="009235B5" w:rsidRPr="00D574F4">
        <w:rPr>
          <w:rFonts w:asciiTheme="minorHAnsi" w:eastAsiaTheme="minorEastAsia" w:hAnsiTheme="minorHAnsi" w:cstheme="minorHAnsi"/>
          <w:color w:val="auto"/>
          <w:lang w:eastAsia="en-AU"/>
        </w:rPr>
        <w:t>delay establishing a service (8,265 complaints), intermittent service or dropouts (6,875</w:t>
      </w:r>
      <w:r w:rsidR="00393E1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complaints</w:t>
      </w:r>
      <w:r w:rsidR="009235B5" w:rsidRPr="00D574F4">
        <w:rPr>
          <w:rFonts w:asciiTheme="minorHAnsi" w:eastAsiaTheme="minorEastAsia" w:hAnsiTheme="minorHAnsi" w:cstheme="minorHAnsi"/>
          <w:color w:val="auto"/>
          <w:lang w:eastAsia="en-AU"/>
        </w:rPr>
        <w:t>), slow data speeds (6,852</w:t>
      </w:r>
      <w:r w:rsidR="00393E1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complaints</w:t>
      </w:r>
      <w:r w:rsidR="009235B5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), </w:t>
      </w:r>
      <w:r w:rsidR="00082705" w:rsidRPr="00D574F4">
        <w:rPr>
          <w:rFonts w:asciiTheme="minorHAnsi" w:eastAsiaTheme="minorEastAsia" w:hAnsiTheme="minorHAnsi" w:cstheme="minorHAnsi"/>
          <w:color w:val="auto"/>
          <w:lang w:eastAsia="en-AU"/>
        </w:rPr>
        <w:t>no phone or internet service</w:t>
      </w:r>
      <w:r w:rsidR="009235B5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(6,803</w:t>
      </w:r>
      <w:r w:rsidR="00393E1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  <w:r w:rsidR="00393E1D" w:rsidRPr="00D574F4">
        <w:rPr>
          <w:rFonts w:asciiTheme="minorHAnsi" w:eastAsiaTheme="minorEastAsia" w:hAnsiTheme="minorHAnsi" w:cstheme="minorHAnsi"/>
          <w:color w:val="auto"/>
          <w:lang w:eastAsia="en-AU"/>
        </w:rPr>
        <w:lastRenderedPageBreak/>
        <w:t>complaints</w:t>
      </w:r>
      <w:r w:rsidR="009235B5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) and </w:t>
      </w:r>
      <w:r w:rsidR="00082705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missed appointment </w:t>
      </w:r>
      <w:r w:rsidR="009235B5" w:rsidRPr="00D574F4">
        <w:rPr>
          <w:rFonts w:asciiTheme="minorHAnsi" w:eastAsiaTheme="minorEastAsia" w:hAnsiTheme="minorHAnsi" w:cstheme="minorHAnsi"/>
          <w:color w:val="auto"/>
          <w:lang w:eastAsia="en-AU"/>
        </w:rPr>
        <w:t>(2,474</w:t>
      </w:r>
      <w:r w:rsidR="00393E1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complaints</w:t>
      </w:r>
      <w:r w:rsidR="009235B5" w:rsidRPr="00D574F4">
        <w:rPr>
          <w:rFonts w:asciiTheme="minorHAnsi" w:eastAsiaTheme="minorEastAsia" w:hAnsiTheme="minorHAnsi" w:cstheme="minorHAnsi"/>
          <w:color w:val="auto"/>
          <w:lang w:eastAsia="en-AU"/>
        </w:rPr>
        <w:t>)</w:t>
      </w:r>
      <w:r w:rsidR="00082705" w:rsidRPr="00D574F4">
        <w:rPr>
          <w:rFonts w:asciiTheme="minorHAnsi" w:eastAsiaTheme="minorEastAsia" w:hAnsiTheme="minorHAnsi" w:cstheme="minorHAnsi"/>
          <w:color w:val="auto"/>
          <w:lang w:eastAsia="en-AU"/>
        </w:rPr>
        <w:t>.</w:t>
      </w:r>
      <w:r w:rsidR="00082705" w:rsidRPr="00D574F4">
        <w:rPr>
          <w:rStyle w:val="FootnoteReference"/>
          <w:rFonts w:asciiTheme="minorHAnsi" w:eastAsiaTheme="minorEastAsia" w:hAnsiTheme="minorHAnsi" w:cstheme="minorHAnsi"/>
          <w:color w:val="auto"/>
          <w:lang w:eastAsia="en-AU"/>
        </w:rPr>
        <w:footnoteReference w:id="4"/>
      </w:r>
      <w:r w:rsidR="00082705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</w:t>
      </w:r>
      <w:r w:rsidR="00537D00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The complaints to the TIO in </w:t>
      </w:r>
      <w:r w:rsidR="00393E1D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relation to </w:t>
      </w:r>
      <w:r w:rsidR="00537D00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these issues </w:t>
      </w:r>
      <w:r w:rsidR="00D04D04">
        <w:rPr>
          <w:rFonts w:asciiTheme="minorHAnsi" w:eastAsiaTheme="minorEastAsia" w:hAnsiTheme="minorHAnsi" w:cstheme="minorHAnsi"/>
          <w:color w:val="auto"/>
          <w:lang w:eastAsia="en-AU"/>
        </w:rPr>
        <w:t>may</w:t>
      </w:r>
      <w:r w:rsidR="00537D00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be remedied by creating sufficient standards for networks to follow. </w:t>
      </w:r>
    </w:p>
    <w:p w14:paraId="6C0DF070" w14:textId="5324BCBD" w:rsidR="00667623" w:rsidRPr="00D574F4" w:rsidRDefault="007B0479" w:rsidP="007B0479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The </w:t>
      </w:r>
      <w:r w:rsidR="00D04D04">
        <w:rPr>
          <w:rFonts w:asciiTheme="minorHAnsi" w:eastAsiaTheme="minorEastAsia" w:hAnsiTheme="minorHAnsi" w:cstheme="minorHAnsi"/>
          <w:color w:val="auto"/>
          <w:lang w:eastAsia="en-AU"/>
        </w:rPr>
        <w:t>D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epartment </w:t>
      </w:r>
      <w:r w:rsidR="00D04D04">
        <w:rPr>
          <w:rFonts w:asciiTheme="minorHAnsi" w:eastAsiaTheme="minorEastAsia" w:hAnsiTheme="minorHAnsi" w:cstheme="minorHAnsi"/>
          <w:color w:val="auto"/>
          <w:lang w:eastAsia="en-AU"/>
        </w:rPr>
        <w:t xml:space="preserve">of Infrastructure, Transport, Regional Development and Communications </w:t>
      </w:r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has begun a consultation on draft standards, </w:t>
      </w:r>
      <w:proofErr w:type="gramStart"/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>rules</w:t>
      </w:r>
      <w:proofErr w:type="gramEnd"/>
      <w:r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and benchmarks for SIPs. </w:t>
      </w:r>
      <w:r w:rsidR="00647222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Setting appropriate wholesale service standards </w:t>
      </w:r>
      <w:r w:rsidR="00C80E60" w:rsidRPr="00D574F4">
        <w:rPr>
          <w:rFonts w:asciiTheme="minorHAnsi" w:eastAsiaTheme="minorEastAsia" w:hAnsiTheme="minorHAnsi" w:cstheme="minorHAnsi"/>
          <w:color w:val="auto"/>
          <w:lang w:eastAsia="en-AU"/>
        </w:rPr>
        <w:t>prior to increasing the class exemption limit</w:t>
      </w:r>
      <w:r w:rsidR="00D3514F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would mitigate the significant risk to consumers regarding the quality of service</w:t>
      </w:r>
      <w:r w:rsidR="00C80E60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 as well as provide a more certain regulatory framework for </w:t>
      </w:r>
      <w:r w:rsidR="00EC7786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potential </w:t>
      </w:r>
      <w:r w:rsidR="00C80E60" w:rsidRPr="00D574F4">
        <w:rPr>
          <w:rFonts w:asciiTheme="minorHAnsi" w:eastAsiaTheme="minorEastAsia" w:hAnsiTheme="minorHAnsi" w:cstheme="minorHAnsi"/>
          <w:color w:val="auto"/>
          <w:lang w:eastAsia="en-AU"/>
        </w:rPr>
        <w:t>network operators</w:t>
      </w:r>
      <w:r w:rsidR="00D3514F" w:rsidRPr="00D574F4">
        <w:rPr>
          <w:rFonts w:asciiTheme="minorHAnsi" w:eastAsiaTheme="minorEastAsia" w:hAnsiTheme="minorHAnsi" w:cstheme="minorHAnsi"/>
          <w:color w:val="auto"/>
          <w:lang w:eastAsia="en-AU"/>
        </w:rPr>
        <w:t xml:space="preserve">. </w:t>
      </w:r>
    </w:p>
    <w:p w14:paraId="56B6C758" w14:textId="07EC29E4" w:rsidR="00393E1D" w:rsidRPr="00D574F4" w:rsidRDefault="00393E1D" w:rsidP="007B0479">
      <w:pPr>
        <w:pStyle w:val="BodyText1"/>
        <w:jc w:val="both"/>
        <w:rPr>
          <w:rFonts w:asciiTheme="minorHAnsi" w:eastAsiaTheme="minorEastAsia" w:hAnsiTheme="minorHAnsi" w:cstheme="minorHAnsi"/>
          <w:color w:val="auto"/>
          <w:lang w:eastAsia="en-AU"/>
        </w:rPr>
      </w:pPr>
    </w:p>
    <w:p w14:paraId="0A0FBE23" w14:textId="3CA0FD95" w:rsidR="00D574F4" w:rsidRPr="00D574F4" w:rsidRDefault="00D574F4" w:rsidP="007B0479">
      <w:pPr>
        <w:pStyle w:val="BodyText1"/>
        <w:jc w:val="both"/>
        <w:rPr>
          <w:rFonts w:asciiTheme="minorHAnsi" w:eastAsiaTheme="minorEastAsia" w:hAnsiTheme="minorHAnsi" w:cstheme="minorHAnsi"/>
          <w:color w:val="auto"/>
          <w:u w:val="single"/>
          <w:lang w:eastAsia="en-AU"/>
        </w:rPr>
      </w:pPr>
      <w:r w:rsidRPr="00D574F4">
        <w:rPr>
          <w:rFonts w:asciiTheme="minorHAnsi" w:eastAsiaTheme="minorEastAsia" w:hAnsiTheme="minorHAnsi" w:cstheme="minorHAnsi"/>
          <w:color w:val="auto"/>
          <w:u w:val="single"/>
          <w:lang w:eastAsia="en-AU"/>
        </w:rPr>
        <w:t>Summary</w:t>
      </w:r>
    </w:p>
    <w:p w14:paraId="3A88B6EF" w14:textId="77777777" w:rsidR="001C0727" w:rsidRDefault="00C80E60" w:rsidP="007B0479">
      <w:pPr>
        <w:pStyle w:val="BodyText1"/>
        <w:jc w:val="both"/>
        <w:rPr>
          <w:rFonts w:asciiTheme="minorHAnsi" w:hAnsiTheme="minorHAnsi" w:cstheme="minorHAnsi"/>
          <w:color w:val="auto"/>
        </w:rPr>
      </w:pPr>
      <w:r w:rsidRPr="00D574F4">
        <w:rPr>
          <w:rFonts w:asciiTheme="minorHAnsi" w:hAnsiTheme="minorHAnsi" w:cstheme="minorHAnsi"/>
          <w:color w:val="auto"/>
        </w:rPr>
        <w:t>ACCAN recommends that</w:t>
      </w:r>
      <w:r w:rsidR="00CE48DB" w:rsidRPr="00D574F4">
        <w:rPr>
          <w:rFonts w:asciiTheme="minorHAnsi" w:hAnsiTheme="minorHAnsi" w:cstheme="minorHAnsi"/>
          <w:color w:val="auto"/>
        </w:rPr>
        <w:t xml:space="preserve"> the </w:t>
      </w:r>
      <w:r w:rsidR="00E74345" w:rsidRPr="00D574F4">
        <w:rPr>
          <w:rFonts w:asciiTheme="minorHAnsi" w:hAnsiTheme="minorHAnsi" w:cstheme="minorHAnsi"/>
          <w:color w:val="auto"/>
        </w:rPr>
        <w:t>D</w:t>
      </w:r>
      <w:r w:rsidR="00CE48DB" w:rsidRPr="00D574F4">
        <w:rPr>
          <w:rFonts w:asciiTheme="minorHAnsi" w:hAnsiTheme="minorHAnsi" w:cstheme="minorHAnsi"/>
          <w:color w:val="auto"/>
        </w:rPr>
        <w:t xml:space="preserve">epartment </w:t>
      </w:r>
      <w:r w:rsidRPr="00D574F4">
        <w:rPr>
          <w:rFonts w:asciiTheme="minorHAnsi" w:hAnsiTheme="minorHAnsi" w:cstheme="minorHAnsi"/>
          <w:color w:val="auto"/>
        </w:rPr>
        <w:t>only</w:t>
      </w:r>
      <w:r w:rsidR="00CE48DB" w:rsidRPr="00D574F4">
        <w:rPr>
          <w:rFonts w:asciiTheme="minorHAnsi" w:hAnsiTheme="minorHAnsi" w:cstheme="minorHAnsi"/>
          <w:color w:val="auto"/>
        </w:rPr>
        <w:t xml:space="preserve"> increase</w:t>
      </w:r>
      <w:r w:rsidRPr="00D574F4">
        <w:rPr>
          <w:rFonts w:asciiTheme="minorHAnsi" w:hAnsiTheme="minorHAnsi" w:cstheme="minorHAnsi"/>
          <w:color w:val="auto"/>
        </w:rPr>
        <w:t>s</w:t>
      </w:r>
      <w:r w:rsidR="00CE48DB" w:rsidRPr="00D574F4">
        <w:rPr>
          <w:rFonts w:asciiTheme="minorHAnsi" w:hAnsiTheme="minorHAnsi" w:cstheme="minorHAnsi"/>
          <w:color w:val="auto"/>
        </w:rPr>
        <w:t xml:space="preserve"> the </w:t>
      </w:r>
      <w:r w:rsidRPr="00D574F4">
        <w:rPr>
          <w:rFonts w:asciiTheme="minorHAnsi" w:hAnsiTheme="minorHAnsi" w:cstheme="minorHAnsi"/>
          <w:color w:val="auto"/>
        </w:rPr>
        <w:t xml:space="preserve">class exemption </w:t>
      </w:r>
      <w:r w:rsidR="00CE48DB" w:rsidRPr="00D574F4">
        <w:rPr>
          <w:rFonts w:asciiTheme="minorHAnsi" w:hAnsiTheme="minorHAnsi" w:cstheme="minorHAnsi"/>
          <w:color w:val="auto"/>
        </w:rPr>
        <w:t>limit to 12,000</w:t>
      </w:r>
      <w:r w:rsidRPr="00D574F4">
        <w:rPr>
          <w:rFonts w:asciiTheme="minorHAnsi" w:hAnsiTheme="minorHAnsi" w:cstheme="minorHAnsi"/>
          <w:color w:val="auto"/>
        </w:rPr>
        <w:t xml:space="preserve"> </w:t>
      </w:r>
      <w:r w:rsidR="00672CAD" w:rsidRPr="00D574F4">
        <w:rPr>
          <w:rFonts w:asciiTheme="minorHAnsi" w:hAnsiTheme="minorHAnsi" w:cstheme="minorHAnsi"/>
          <w:color w:val="auto"/>
        </w:rPr>
        <w:t>once</w:t>
      </w:r>
      <w:r w:rsidRPr="00D574F4">
        <w:rPr>
          <w:rFonts w:asciiTheme="minorHAnsi" w:hAnsiTheme="minorHAnsi" w:cstheme="minorHAnsi"/>
          <w:color w:val="auto"/>
        </w:rPr>
        <w:t xml:space="preserve"> </w:t>
      </w:r>
      <w:r w:rsidR="00672CAD" w:rsidRPr="00D574F4">
        <w:rPr>
          <w:rFonts w:asciiTheme="minorHAnsi" w:hAnsiTheme="minorHAnsi" w:cstheme="minorHAnsi"/>
          <w:color w:val="auto"/>
        </w:rPr>
        <w:t>the Minister has set</w:t>
      </w:r>
      <w:r w:rsidR="007B0479" w:rsidRPr="00D574F4">
        <w:rPr>
          <w:rFonts w:asciiTheme="minorHAnsi" w:hAnsiTheme="minorHAnsi" w:cstheme="minorHAnsi"/>
          <w:color w:val="auto"/>
        </w:rPr>
        <w:t xml:space="preserve"> appropriate</w:t>
      </w:r>
      <w:r w:rsidR="00672CAD" w:rsidRPr="00D574F4">
        <w:rPr>
          <w:rFonts w:asciiTheme="minorHAnsi" w:hAnsiTheme="minorHAnsi" w:cstheme="minorHAnsi"/>
          <w:color w:val="auto"/>
        </w:rPr>
        <w:t xml:space="preserve"> rules, standards and benchmarks for SIPs, and </w:t>
      </w:r>
      <w:r w:rsidR="006E4A9C" w:rsidRPr="00D574F4">
        <w:rPr>
          <w:rFonts w:asciiTheme="minorHAnsi" w:hAnsiTheme="minorHAnsi" w:cstheme="minorHAnsi"/>
          <w:color w:val="auto"/>
        </w:rPr>
        <w:t>there is guaranteed</w:t>
      </w:r>
      <w:r w:rsidR="00672CAD" w:rsidRPr="00D574F4">
        <w:rPr>
          <w:rFonts w:asciiTheme="minorHAnsi" w:hAnsiTheme="minorHAnsi" w:cstheme="minorHAnsi"/>
          <w:color w:val="auto"/>
        </w:rPr>
        <w:t xml:space="preserve"> price regulation on all networks, regardless of size. </w:t>
      </w:r>
      <w:r w:rsidR="00CE48DB" w:rsidRPr="00D574F4">
        <w:rPr>
          <w:rFonts w:asciiTheme="minorHAnsi" w:hAnsiTheme="minorHAnsi" w:cstheme="minorHAnsi"/>
          <w:color w:val="auto"/>
        </w:rPr>
        <w:t xml:space="preserve">This would ensure that anyone being served by a SIP receives a minimum </w:t>
      </w:r>
      <w:r w:rsidR="00EA0D63" w:rsidRPr="00D574F4">
        <w:rPr>
          <w:rFonts w:asciiTheme="minorHAnsi" w:hAnsiTheme="minorHAnsi" w:cstheme="minorHAnsi"/>
          <w:color w:val="auto"/>
        </w:rPr>
        <w:t>standard in terms of price and quality</w:t>
      </w:r>
      <w:r w:rsidR="00393E1D" w:rsidRPr="00D574F4">
        <w:rPr>
          <w:rFonts w:asciiTheme="minorHAnsi" w:hAnsiTheme="minorHAnsi" w:cstheme="minorHAnsi"/>
          <w:color w:val="auto"/>
        </w:rPr>
        <w:t xml:space="preserve"> regardless of who the network operator is</w:t>
      </w:r>
      <w:r w:rsidR="00EA0D63" w:rsidRPr="00D574F4">
        <w:rPr>
          <w:rFonts w:asciiTheme="minorHAnsi" w:hAnsiTheme="minorHAnsi" w:cstheme="minorHAnsi"/>
          <w:color w:val="auto"/>
        </w:rPr>
        <w:t>.</w:t>
      </w:r>
      <w:r w:rsidR="00672CAD" w:rsidRPr="00D574F4">
        <w:rPr>
          <w:rFonts w:asciiTheme="minorHAnsi" w:hAnsiTheme="minorHAnsi" w:cstheme="minorHAnsi"/>
          <w:color w:val="auto"/>
        </w:rPr>
        <w:t xml:space="preserve"> Given that broadband is an essential service, it should be regulated appropriately. </w:t>
      </w:r>
    </w:p>
    <w:p w14:paraId="4932F8A2" w14:textId="3F0C87EC" w:rsidR="00D574F4" w:rsidRPr="00D574F4" w:rsidRDefault="001C0727" w:rsidP="007B0479">
      <w:pPr>
        <w:pStyle w:val="BodyText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Thank you for the opportunity to provide feedback, should you wish to discuss this further, please do not hesitate to contact me.</w:t>
      </w:r>
    </w:p>
    <w:p w14:paraId="7D3E490F" w14:textId="77777777" w:rsidR="001C0727" w:rsidRDefault="00D574F4" w:rsidP="007B0479">
      <w:pPr>
        <w:pStyle w:val="BodyText1"/>
        <w:jc w:val="both"/>
        <w:rPr>
          <w:rFonts w:asciiTheme="minorHAnsi" w:hAnsiTheme="minorHAnsi" w:cstheme="minorHAnsi"/>
          <w:color w:val="auto"/>
        </w:rPr>
      </w:pPr>
      <w:r w:rsidRPr="00D574F4">
        <w:rPr>
          <w:rFonts w:asciiTheme="minorHAnsi" w:hAnsiTheme="minorHAnsi" w:cstheme="minorHAnsi"/>
          <w:color w:val="auto"/>
        </w:rPr>
        <w:t>Yours sincerely</w:t>
      </w:r>
      <w:r w:rsidR="001C0727">
        <w:rPr>
          <w:rFonts w:asciiTheme="minorHAnsi" w:hAnsiTheme="minorHAnsi" w:cstheme="minorHAnsi"/>
          <w:color w:val="auto"/>
        </w:rPr>
        <w:t>,</w:t>
      </w:r>
    </w:p>
    <w:p w14:paraId="1A83E6DE" w14:textId="1A77B3ED" w:rsidR="00D574F4" w:rsidRPr="00D574F4" w:rsidRDefault="00D574F4" w:rsidP="001C0727">
      <w:pPr>
        <w:pStyle w:val="BodyText1"/>
        <w:spacing w:after="0"/>
        <w:jc w:val="both"/>
        <w:rPr>
          <w:rFonts w:asciiTheme="minorHAnsi" w:hAnsiTheme="minorHAnsi" w:cstheme="minorHAnsi"/>
          <w:color w:val="auto"/>
        </w:rPr>
      </w:pPr>
      <w:r w:rsidRPr="00D574F4">
        <w:rPr>
          <w:rFonts w:asciiTheme="minorHAnsi" w:hAnsiTheme="minorHAnsi" w:cstheme="minorHAnsi"/>
          <w:color w:val="auto"/>
        </w:rPr>
        <w:t xml:space="preserve"> </w:t>
      </w:r>
    </w:p>
    <w:p w14:paraId="0226A388" w14:textId="6F4C1C33" w:rsidR="00D574F4" w:rsidRPr="00D574F4" w:rsidRDefault="00D574F4" w:rsidP="007B0479">
      <w:pPr>
        <w:pStyle w:val="BodyText1"/>
        <w:jc w:val="both"/>
        <w:rPr>
          <w:rFonts w:asciiTheme="minorHAnsi" w:hAnsiTheme="minorHAnsi" w:cstheme="minorHAnsi"/>
          <w:color w:val="auto"/>
        </w:rPr>
      </w:pPr>
      <w:r w:rsidRPr="00D574F4">
        <w:rPr>
          <w:rFonts w:asciiTheme="minorHAnsi" w:hAnsiTheme="minorHAnsi" w:cstheme="minorHAnsi"/>
          <w:color w:val="auto"/>
        </w:rPr>
        <w:t>Megan Ward</w:t>
      </w:r>
    </w:p>
    <w:p w14:paraId="55E2B082" w14:textId="01D076B3" w:rsidR="00D574F4" w:rsidRPr="00D574F4" w:rsidRDefault="00D574F4" w:rsidP="007B0479">
      <w:pPr>
        <w:pStyle w:val="BodyText1"/>
        <w:jc w:val="both"/>
        <w:rPr>
          <w:rFonts w:asciiTheme="minorHAnsi" w:hAnsiTheme="minorHAnsi" w:cstheme="minorHAnsi"/>
          <w:color w:val="auto"/>
        </w:rPr>
      </w:pPr>
      <w:r w:rsidRPr="00D574F4">
        <w:rPr>
          <w:rFonts w:asciiTheme="minorHAnsi" w:hAnsiTheme="minorHAnsi" w:cstheme="minorHAnsi"/>
          <w:color w:val="auto"/>
        </w:rPr>
        <w:t>Economic Adviser</w:t>
      </w:r>
    </w:p>
    <w:sectPr w:rsidR="00D574F4" w:rsidRPr="00D574F4" w:rsidSect="00C712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0CC1" w14:textId="77777777" w:rsidR="007949B6" w:rsidRDefault="007949B6" w:rsidP="00C7127B">
      <w:pPr>
        <w:spacing w:after="0" w:line="240" w:lineRule="auto"/>
      </w:pPr>
      <w:r>
        <w:separator/>
      </w:r>
    </w:p>
  </w:endnote>
  <w:endnote w:type="continuationSeparator" w:id="0">
    <w:p w14:paraId="06134690" w14:textId="77777777" w:rsidR="007949B6" w:rsidRDefault="007949B6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994D" w14:textId="77777777" w:rsidR="00C7127B" w:rsidRPr="00E05115" w:rsidRDefault="00C7127B" w:rsidP="00C7127B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A265E3">
      <w:rPr>
        <w:noProof/>
      </w:rPr>
      <w:t>2</w:t>
    </w:r>
    <w:r w:rsidRPr="00C4251E">
      <w:rPr>
        <w:noProof/>
      </w:rPr>
      <w:fldChar w:fldCharType="end"/>
    </w:r>
  </w:p>
  <w:p w14:paraId="334EF9B6" w14:textId="77777777" w:rsidR="00C7127B" w:rsidRDefault="00C71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18D0" w14:textId="77777777" w:rsidR="007949B6" w:rsidRPr="00E05115" w:rsidRDefault="007949B6" w:rsidP="007949B6">
    <w:pPr>
      <w:spacing w:after="0"/>
      <w:ind w:hanging="567"/>
      <w:rPr>
        <w:color w:val="23B0E6"/>
      </w:rPr>
    </w:pPr>
    <w:r w:rsidRPr="00E05115">
      <w:rPr>
        <w:color w:val="23B0E6"/>
      </w:rPr>
      <w:t>Australian Communications Consumer Action Network (ACCAN)</w:t>
    </w:r>
  </w:p>
  <w:p w14:paraId="1CA29A56" w14:textId="77777777" w:rsidR="007949B6" w:rsidRDefault="007949B6" w:rsidP="007949B6">
    <w:pPr>
      <w:spacing w:after="0"/>
      <w:ind w:hanging="567"/>
      <w:rPr>
        <w:i/>
        <w:color w:val="23B0E6"/>
      </w:rPr>
    </w:pPr>
    <w:r w:rsidRPr="00E05115">
      <w:rPr>
        <w:i/>
        <w:color w:val="23B0E6"/>
      </w:rPr>
      <w:t xml:space="preserve">Australia’s peak </w:t>
    </w:r>
    <w:r>
      <w:rPr>
        <w:i/>
        <w:color w:val="23B0E6"/>
      </w:rPr>
      <w:t>body representing communications consumers</w:t>
    </w:r>
  </w:p>
  <w:p w14:paraId="2507A69E" w14:textId="77777777" w:rsidR="007949B6" w:rsidRPr="00E05115" w:rsidRDefault="007949B6" w:rsidP="007949B6">
    <w:pPr>
      <w:spacing w:after="0"/>
      <w:ind w:left="-567" w:hanging="567"/>
      <w:rPr>
        <w:i/>
        <w:color w:val="23B0E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1F2EA7" wp14:editId="694D6E45">
              <wp:simplePos x="0" y="0"/>
              <wp:positionH relativeFrom="column">
                <wp:posOffset>-396240</wp:posOffset>
              </wp:positionH>
              <wp:positionV relativeFrom="paragraph">
                <wp:posOffset>97155</wp:posOffset>
              </wp:positionV>
              <wp:extent cx="6461760" cy="0"/>
              <wp:effectExtent l="0" t="1905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D6907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7.65pt" to="47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" strokecolor="#23b0e6" strokeweight="3pt"/>
          </w:pict>
        </mc:Fallback>
      </mc:AlternateContent>
    </w:r>
  </w:p>
  <w:p w14:paraId="318FB8EA" w14:textId="77777777" w:rsidR="007949B6" w:rsidRDefault="007949B6" w:rsidP="007949B6">
    <w:pPr>
      <w:spacing w:after="0"/>
      <w:ind w:hanging="567"/>
    </w:pPr>
    <w:r>
      <w:t>PO Box 639, Broadway NSW 2007</w:t>
    </w:r>
  </w:p>
  <w:p w14:paraId="71B5C7B7" w14:textId="77777777" w:rsidR="007949B6" w:rsidRDefault="007949B6" w:rsidP="007949B6">
    <w:pPr>
      <w:spacing w:after="0"/>
      <w:ind w:hanging="567"/>
    </w:pPr>
    <w:r>
      <w:t xml:space="preserve">Tel: (02) 9288 4000 | Fax: (02) 9288 4019 | Contact us through the </w:t>
    </w:r>
    <w:hyperlink r:id="rId1" w:history="1">
      <w:r w:rsidRPr="00FE6EAF">
        <w:rPr>
          <w:rStyle w:val="Hyperlink"/>
        </w:rPr>
        <w:t>National Relay Service</w:t>
      </w:r>
    </w:hyperlink>
  </w:p>
  <w:p w14:paraId="65BBA819" w14:textId="77777777" w:rsidR="00C7127B" w:rsidRPr="007949B6" w:rsidRDefault="007949B6" w:rsidP="007949B6">
    <w:pPr>
      <w:spacing w:after="0"/>
      <w:ind w:hanging="567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 xml:space="preserve"> | www.facebook.com/accanau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BFF7" w14:textId="77777777" w:rsidR="007949B6" w:rsidRDefault="007949B6" w:rsidP="00C7127B">
      <w:pPr>
        <w:spacing w:after="0" w:line="240" w:lineRule="auto"/>
      </w:pPr>
      <w:r>
        <w:separator/>
      </w:r>
    </w:p>
  </w:footnote>
  <w:footnote w:type="continuationSeparator" w:id="0">
    <w:p w14:paraId="53879C9D" w14:textId="77777777" w:rsidR="007949B6" w:rsidRDefault="007949B6" w:rsidP="00C7127B">
      <w:pPr>
        <w:spacing w:after="0" w:line="240" w:lineRule="auto"/>
      </w:pPr>
      <w:r>
        <w:continuationSeparator/>
      </w:r>
    </w:p>
  </w:footnote>
  <w:footnote w:id="1">
    <w:p w14:paraId="29D71D37" w14:textId="6DF732E7" w:rsidR="00D85094" w:rsidRPr="009429E3" w:rsidRDefault="00D850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429E3">
        <w:rPr>
          <w:lang w:val="en-US"/>
        </w:rPr>
        <w:t xml:space="preserve">ACCC, 2020. </w:t>
      </w:r>
      <w:r w:rsidR="009429E3">
        <w:rPr>
          <w:i/>
          <w:iCs/>
          <w:lang w:val="en-US"/>
        </w:rPr>
        <w:t xml:space="preserve">Superfast Broadband Access Service and Local Bitstream Access Service declaration inquiry Draft Decision. </w:t>
      </w:r>
      <w:r w:rsidR="009429E3">
        <w:rPr>
          <w:lang w:val="en-US"/>
        </w:rPr>
        <w:t>Pg.5</w:t>
      </w:r>
    </w:p>
  </w:footnote>
  <w:footnote w:id="2">
    <w:p w14:paraId="3797F8BF" w14:textId="03C70F9C" w:rsidR="00171C37" w:rsidRPr="00171C37" w:rsidRDefault="00171C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Noting that at the time of writing, the declaration is in its draft stage. </w:t>
      </w:r>
    </w:p>
  </w:footnote>
  <w:footnote w:id="3">
    <w:p w14:paraId="670ABFD0" w14:textId="2CF5D45D" w:rsidR="007B0479" w:rsidRPr="00D574F4" w:rsidRDefault="007B04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Ibid.</w:t>
      </w:r>
    </w:p>
  </w:footnote>
  <w:footnote w:id="4">
    <w:p w14:paraId="4CBFEAE4" w14:textId="19CBBC4B" w:rsidR="00082705" w:rsidRPr="00D574F4" w:rsidRDefault="000827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TIO, 2020</w:t>
      </w:r>
      <w:r w:rsidRPr="00D574F4">
        <w:rPr>
          <w:i/>
          <w:iCs/>
          <w:lang w:val="en-US"/>
        </w:rPr>
        <w:t>, Annual Report 2019-2020.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1630" w14:textId="77777777" w:rsidR="00C7127B" w:rsidRDefault="00C7127B" w:rsidP="009837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DAC9E2" wp14:editId="0B7FC0C4">
          <wp:simplePos x="0" y="0"/>
          <wp:positionH relativeFrom="column">
            <wp:posOffset>5029200</wp:posOffset>
          </wp:positionH>
          <wp:positionV relativeFrom="paragraph">
            <wp:posOffset>175260</wp:posOffset>
          </wp:positionV>
          <wp:extent cx="664682" cy="308131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99" cy="31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6EE0" w14:textId="77777777" w:rsidR="00C7127B" w:rsidRDefault="00C7127B" w:rsidP="007949B6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12D4A1" wp14:editId="5073EB85">
          <wp:simplePos x="0" y="0"/>
          <wp:positionH relativeFrom="column">
            <wp:posOffset>4072890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26CBF"/>
    <w:multiLevelType w:val="hybridMultilevel"/>
    <w:tmpl w:val="3BCA07C2"/>
    <w:lvl w:ilvl="0" w:tplc="1F5A17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D5869"/>
    <w:multiLevelType w:val="hybridMultilevel"/>
    <w:tmpl w:val="7E4EF3B6"/>
    <w:lvl w:ilvl="0" w:tplc="94C25B5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972"/>
    <w:multiLevelType w:val="hybridMultilevel"/>
    <w:tmpl w:val="62CCC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008AE"/>
    <w:multiLevelType w:val="hybridMultilevel"/>
    <w:tmpl w:val="1FAA2E5E"/>
    <w:lvl w:ilvl="0" w:tplc="1F5A17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B6"/>
    <w:rsid w:val="0004089A"/>
    <w:rsid w:val="00082705"/>
    <w:rsid w:val="001343CD"/>
    <w:rsid w:val="00155FA9"/>
    <w:rsid w:val="00171C37"/>
    <w:rsid w:val="001C0727"/>
    <w:rsid w:val="001C74EE"/>
    <w:rsid w:val="00230266"/>
    <w:rsid w:val="00323F1F"/>
    <w:rsid w:val="00366160"/>
    <w:rsid w:val="00393E1D"/>
    <w:rsid w:val="00467092"/>
    <w:rsid w:val="004D01DD"/>
    <w:rsid w:val="00534D15"/>
    <w:rsid w:val="00537D00"/>
    <w:rsid w:val="00545597"/>
    <w:rsid w:val="00587823"/>
    <w:rsid w:val="005A302E"/>
    <w:rsid w:val="00647222"/>
    <w:rsid w:val="006667CA"/>
    <w:rsid w:val="00667623"/>
    <w:rsid w:val="00672CAD"/>
    <w:rsid w:val="00684588"/>
    <w:rsid w:val="006E4A9C"/>
    <w:rsid w:val="00711131"/>
    <w:rsid w:val="00787A53"/>
    <w:rsid w:val="007949B6"/>
    <w:rsid w:val="007B0479"/>
    <w:rsid w:val="008B4C0A"/>
    <w:rsid w:val="009235B5"/>
    <w:rsid w:val="009429E3"/>
    <w:rsid w:val="00983739"/>
    <w:rsid w:val="009E7BDF"/>
    <w:rsid w:val="00A265E3"/>
    <w:rsid w:val="00AA30B7"/>
    <w:rsid w:val="00AE18B3"/>
    <w:rsid w:val="00BD1138"/>
    <w:rsid w:val="00BE7392"/>
    <w:rsid w:val="00C40DE3"/>
    <w:rsid w:val="00C546F2"/>
    <w:rsid w:val="00C7127B"/>
    <w:rsid w:val="00C80E60"/>
    <w:rsid w:val="00CA7FE6"/>
    <w:rsid w:val="00CE48DB"/>
    <w:rsid w:val="00D04D04"/>
    <w:rsid w:val="00D3514F"/>
    <w:rsid w:val="00D574F4"/>
    <w:rsid w:val="00D85094"/>
    <w:rsid w:val="00E74345"/>
    <w:rsid w:val="00E836F3"/>
    <w:rsid w:val="00E94649"/>
    <w:rsid w:val="00EA0D63"/>
    <w:rsid w:val="00EC7786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2793A8"/>
  <w15:docId w15:val="{795BE990-201F-4BCE-8D34-F566135A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18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7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7BD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C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ctureandaccess@infrastructure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8\Short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3" ma:contentTypeDescription="Create a new document." ma:contentTypeScope="" ma:versionID="ff6a07d1560f319dab6e1c50a45e8fca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9f0527337a7e30d618e5d1dcd7b02c68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1340F-057A-4D5E-A71F-7CC426BFB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F253C-5179-4C6C-8169-E160E4D1B29E}"/>
</file>

<file path=customXml/itemProps3.xml><?xml version="1.0" encoding="utf-8"?>
<ds:datastoreItem xmlns:ds="http://schemas.openxmlformats.org/officeDocument/2006/customXml" ds:itemID="{066A1569-D2A3-46AF-8C8E-D8196C4EB83F}"/>
</file>

<file path=customXml/itemProps4.xml><?xml version="1.0" encoding="utf-8"?>
<ds:datastoreItem xmlns:ds="http://schemas.openxmlformats.org/officeDocument/2006/customXml" ds:itemID="{0EC7DCB5-F8AF-4457-A2A6-45C30925CD53}"/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Template</Template>
  <TotalTime>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Sarkoezy</dc:creator>
  <cp:lastModifiedBy>Megan Ward</cp:lastModifiedBy>
  <cp:revision>2</cp:revision>
  <cp:lastPrinted>2021-02-05T03:17:00Z</cp:lastPrinted>
  <dcterms:created xsi:type="dcterms:W3CDTF">2021-02-05T03:17:00Z</dcterms:created>
  <dcterms:modified xsi:type="dcterms:W3CDTF">2021-02-05T03:17:00Z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