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8E3AA" w14:textId="16A131A7" w:rsidR="007A5D36" w:rsidRPr="00BD42C5" w:rsidRDefault="00901EB7" w:rsidP="00E32D59">
      <w:r>
        <w:t>15</w:t>
      </w:r>
      <w:r w:rsidR="007A5D36" w:rsidRPr="00BD42C5">
        <w:t xml:space="preserve"> </w:t>
      </w:r>
      <w:r w:rsidR="006A1E4D">
        <w:t>January</w:t>
      </w:r>
    </w:p>
    <w:p w14:paraId="6A329C97" w14:textId="413064DE" w:rsidR="007A5D36" w:rsidRPr="00BD42C5" w:rsidRDefault="005B702D" w:rsidP="005B702D">
      <w:r>
        <w:t>The Manager</w:t>
      </w:r>
      <w:r>
        <w:br/>
        <w:t>Communications Futures Section</w:t>
      </w:r>
      <w:r>
        <w:br/>
        <w:t>Australian Communications and Media Authority</w:t>
      </w:r>
      <w:r>
        <w:br/>
        <w:t xml:space="preserve">PO Box 13112 Law Courts </w:t>
      </w:r>
      <w:r>
        <w:br/>
        <w:t>Melbourne Vic 8010</w:t>
      </w:r>
      <w:r w:rsidR="007A5D36" w:rsidRPr="00E32D59">
        <w:t xml:space="preserve"> </w:t>
      </w:r>
    </w:p>
    <w:p w14:paraId="32AE30AA" w14:textId="02E30CB2" w:rsidR="00F0681B" w:rsidRDefault="005B702D" w:rsidP="00E32D59">
      <w:r>
        <w:t xml:space="preserve">By email: </w:t>
      </w:r>
      <w:hyperlink r:id="rId11" w:history="1">
        <w:r w:rsidRPr="005914DF">
          <w:rPr>
            <w:rStyle w:val="Hyperlink"/>
            <w:szCs w:val="20"/>
          </w:rPr>
          <w:t>communicationsfutures@acma.gov.au</w:t>
        </w:r>
      </w:hyperlink>
    </w:p>
    <w:p w14:paraId="5F8DA699" w14:textId="7DED2A37" w:rsidR="00BD42C5" w:rsidRPr="00BD42C5" w:rsidRDefault="00BD42C5" w:rsidP="00E32D59">
      <w:r w:rsidRPr="00BD42C5">
        <w:t xml:space="preserve">Dear </w:t>
      </w:r>
      <w:r w:rsidR="005B702D">
        <w:t>Manager</w:t>
      </w:r>
    </w:p>
    <w:p w14:paraId="583D284D" w14:textId="68DF164A" w:rsidR="007A5D36" w:rsidRPr="00BD42C5" w:rsidRDefault="00BD42C5" w:rsidP="005B702D">
      <w:pPr>
        <w:rPr>
          <w:b/>
        </w:rPr>
      </w:pPr>
      <w:r w:rsidRPr="00BD42C5">
        <w:rPr>
          <w:b/>
        </w:rPr>
        <w:t xml:space="preserve">Re: </w:t>
      </w:r>
      <w:r w:rsidR="005B702D" w:rsidRPr="005B702D">
        <w:rPr>
          <w:b/>
        </w:rPr>
        <w:t>Review of the Telecommunications Service</w:t>
      </w:r>
      <w:r w:rsidR="005B702D">
        <w:rPr>
          <w:b/>
        </w:rPr>
        <w:t xml:space="preserve"> </w:t>
      </w:r>
      <w:r w:rsidR="005B702D" w:rsidRPr="005B702D">
        <w:rPr>
          <w:b/>
        </w:rPr>
        <w:t>Provider (Mobile Premium Services) Determinations 2010 (No. 1) and (No. 2)</w:t>
      </w:r>
    </w:p>
    <w:p w14:paraId="08FA5B26" w14:textId="57C83006" w:rsidR="00655941" w:rsidRPr="005B702D" w:rsidRDefault="00BD42C5" w:rsidP="00655941">
      <w:r w:rsidRPr="00BD42C5">
        <w:t xml:space="preserve">ACCAN </w:t>
      </w:r>
      <w:r w:rsidR="005B702D">
        <w:t>thanks the ACMA for</w:t>
      </w:r>
      <w:r w:rsidRPr="00BD42C5">
        <w:t xml:space="preserve"> the opportunity to </w:t>
      </w:r>
      <w:r w:rsidR="00F0681B">
        <w:t xml:space="preserve">offer </w:t>
      </w:r>
      <w:r w:rsidR="00E32D59">
        <w:t>feedback</w:t>
      </w:r>
      <w:r w:rsidR="005B702D">
        <w:t xml:space="preserve"> on its review of </w:t>
      </w:r>
      <w:r w:rsidR="005B702D" w:rsidRPr="005B702D">
        <w:rPr>
          <w:i/>
          <w:iCs/>
        </w:rPr>
        <w:t>Telecommunications Service Provider (Mobile Premium Services) Determinations 2010 (No. 1)</w:t>
      </w:r>
      <w:r w:rsidR="005B702D">
        <w:rPr>
          <w:i/>
          <w:iCs/>
        </w:rPr>
        <w:t xml:space="preserve"> and (No. 2) </w:t>
      </w:r>
      <w:r w:rsidR="005B702D">
        <w:t xml:space="preserve">(hereafter </w:t>
      </w:r>
      <w:r w:rsidR="005B702D" w:rsidRPr="005B702D">
        <w:rPr>
          <w:b/>
          <w:bCs/>
        </w:rPr>
        <w:t>Determination 1</w:t>
      </w:r>
      <w:r w:rsidR="005B702D">
        <w:t xml:space="preserve"> and </w:t>
      </w:r>
      <w:r w:rsidR="005B702D" w:rsidRPr="005B702D">
        <w:rPr>
          <w:b/>
          <w:bCs/>
        </w:rPr>
        <w:t>Determination 2</w:t>
      </w:r>
      <w:r w:rsidR="005B702D">
        <w:t xml:space="preserve">). </w:t>
      </w:r>
    </w:p>
    <w:p w14:paraId="10E07C00" w14:textId="7612228B" w:rsidR="004B3570" w:rsidRDefault="00F06869" w:rsidP="00655941">
      <w:r>
        <w:t>ACCAN has engaged extensively with</w:t>
      </w:r>
      <w:r w:rsidR="00A91F46">
        <w:t xml:space="preserve"> the</w:t>
      </w:r>
      <w:r>
        <w:t xml:space="preserve"> Mobile Premium Services (</w:t>
      </w:r>
      <w:r w:rsidRPr="00F06869">
        <w:rPr>
          <w:b/>
          <w:bCs/>
        </w:rPr>
        <w:t>MPS</w:t>
      </w:r>
      <w:r>
        <w:t xml:space="preserve">) policy </w:t>
      </w:r>
      <w:r w:rsidR="00A91F46">
        <w:t>context</w:t>
      </w:r>
      <w:r>
        <w:t xml:space="preserve"> in the past. Historically, there has been significant and systemic consumer harm associated with poorly managed </w:t>
      </w:r>
      <w:r w:rsidR="0065393B">
        <w:t>and</w:t>
      </w:r>
      <w:r>
        <w:t xml:space="preserve"> fraudulent MPS </w:t>
      </w:r>
      <w:r w:rsidR="0065393B">
        <w:t xml:space="preserve">billing </w:t>
      </w:r>
      <w:r>
        <w:t>arrangements.</w:t>
      </w:r>
      <w:r w:rsidR="00453DC0">
        <w:rPr>
          <w:rStyle w:val="FootnoteReference"/>
        </w:rPr>
        <w:footnoteReference w:id="1"/>
      </w:r>
      <w:r>
        <w:t xml:space="preserve"> </w:t>
      </w:r>
      <w:r w:rsidR="004B3570">
        <w:t>ACCAN has had concerns about the effectiveness of the Mobile Premium Services Industry Code (</w:t>
      </w:r>
      <w:r w:rsidR="004B3570" w:rsidRPr="004B3570">
        <w:rPr>
          <w:b/>
          <w:bCs/>
        </w:rPr>
        <w:t xml:space="preserve">the </w:t>
      </w:r>
      <w:r w:rsidR="004B3570">
        <w:rPr>
          <w:b/>
          <w:bCs/>
        </w:rPr>
        <w:t xml:space="preserve">MPS </w:t>
      </w:r>
      <w:r w:rsidR="004B3570" w:rsidRPr="004B3570">
        <w:rPr>
          <w:b/>
          <w:bCs/>
        </w:rPr>
        <w:t>Code</w:t>
      </w:r>
      <w:r w:rsidR="004B3570">
        <w:t>) in addressing the consumer harm due to opportunistic conduct of content providers. This has historically resulted in large numbers of consumers inadvertently incurring premium rate charging, particularly for ‘subscription’ services involving ongoing charging at regular intervals.</w:t>
      </w:r>
    </w:p>
    <w:p w14:paraId="1514A9B2" w14:textId="0F01D7FB" w:rsidR="00655941" w:rsidRDefault="00453DC0" w:rsidP="00655941">
      <w:r>
        <w:t xml:space="preserve">According to </w:t>
      </w:r>
      <w:r w:rsidR="00F06869">
        <w:t>ACCAN</w:t>
      </w:r>
      <w:r>
        <w:t>’s</w:t>
      </w:r>
      <w:r w:rsidR="00F06869">
        <w:t xml:space="preserve"> </w:t>
      </w:r>
      <w:r w:rsidR="00512C16">
        <w:t xml:space="preserve">past </w:t>
      </w:r>
      <w:r w:rsidR="00F06869">
        <w:t>estimates</w:t>
      </w:r>
      <w:r>
        <w:t>,</w:t>
      </w:r>
      <w:r w:rsidR="00F06869">
        <w:t xml:space="preserve"> the material consumer loss incurred </w:t>
      </w:r>
      <w:r w:rsidR="00A91F46">
        <w:t xml:space="preserve">by some industry players </w:t>
      </w:r>
      <w:r w:rsidR="00F06869">
        <w:t xml:space="preserve">through unlawful MPS </w:t>
      </w:r>
      <w:r w:rsidR="00A91F46">
        <w:t>conduct</w:t>
      </w:r>
      <w:r w:rsidR="00F06869">
        <w:t xml:space="preserve"> </w:t>
      </w:r>
      <w:r>
        <w:t>sits at</w:t>
      </w:r>
      <w:r w:rsidR="00F06869">
        <w:t xml:space="preserve"> a minimum of $47.64 million.</w:t>
      </w:r>
      <w:r w:rsidR="00A0796F">
        <w:rPr>
          <w:rStyle w:val="FootnoteReference"/>
        </w:rPr>
        <w:footnoteReference w:id="2"/>
      </w:r>
      <w:r w:rsidR="00A0796F">
        <w:t xml:space="preserve"> </w:t>
      </w:r>
      <w:r w:rsidR="00A91F46">
        <w:t>Consequently, i</w:t>
      </w:r>
      <w:r w:rsidR="00A0796F">
        <w:t xml:space="preserve">t is of the utmost importance that careful consideration is </w:t>
      </w:r>
      <w:r w:rsidR="00A91F46">
        <w:t>taken</w:t>
      </w:r>
      <w:r w:rsidR="00A0796F">
        <w:t xml:space="preserve"> when </w:t>
      </w:r>
      <w:r w:rsidR="00A91F46">
        <w:t>amending existing consumer safeguards surrounding MPS rules.</w:t>
      </w:r>
    </w:p>
    <w:p w14:paraId="2E241808" w14:textId="1591F8F0" w:rsidR="005B702D" w:rsidRDefault="005B702D" w:rsidP="00655941">
      <w:r>
        <w:t>ACCAN’s view is that it is acceptable</w:t>
      </w:r>
      <w:r w:rsidR="004B3570">
        <w:t xml:space="preserve"> to repeal Determination 1 on the condition that </w:t>
      </w:r>
      <w:r>
        <w:t xml:space="preserve">all existing obligations contained in </w:t>
      </w:r>
      <w:r w:rsidR="004B3570">
        <w:t>that Determination</w:t>
      </w:r>
      <w:r>
        <w:t xml:space="preserve"> </w:t>
      </w:r>
      <w:r w:rsidR="004B3570">
        <w:t xml:space="preserve">are transferred </w:t>
      </w:r>
      <w:r>
        <w:t xml:space="preserve">to </w:t>
      </w:r>
      <w:r w:rsidR="004B3570">
        <w:t>a revised MPS Code</w:t>
      </w:r>
      <w:r>
        <w:t xml:space="preserve">. It </w:t>
      </w:r>
      <w:r w:rsidR="004B3570">
        <w:t>may</w:t>
      </w:r>
      <w:r>
        <w:t xml:space="preserve"> also</w:t>
      </w:r>
      <w:r w:rsidR="004B3570">
        <w:t xml:space="preserve"> be</w:t>
      </w:r>
      <w:r>
        <w:t xml:space="preserve"> reasonable to repeal Determination 2 in its current form; however, the ACMA’s Do Not Bill powers must be retained in a directly enforceable instrument to mitigate the risk of consumer harm stemming from fraudulent third-party billing. Retaining the Do Not Bill powers ensure the ACMA is able to intervene swiftly if such circumstances arise. </w:t>
      </w:r>
    </w:p>
    <w:p w14:paraId="359AA7D0" w14:textId="0DBCDAF7" w:rsidR="005B702D" w:rsidRDefault="00264FA1" w:rsidP="005B702D">
      <w:pPr>
        <w:pStyle w:val="Heading1"/>
      </w:pPr>
      <w:r>
        <w:lastRenderedPageBreak/>
        <w:t xml:space="preserve">MPS </w:t>
      </w:r>
      <w:r w:rsidR="005B702D">
        <w:t>Determination 1</w:t>
      </w:r>
    </w:p>
    <w:p w14:paraId="397F7310" w14:textId="3EA810B2" w:rsidR="005B702D" w:rsidRDefault="006A1E4D" w:rsidP="00655941">
      <w:r>
        <w:t xml:space="preserve">In ACCAN’s view, it is reasonable to </w:t>
      </w:r>
      <w:r w:rsidR="000D3F85">
        <w:t>transfer</w:t>
      </w:r>
      <w:r>
        <w:t xml:space="preserve"> </w:t>
      </w:r>
      <w:r w:rsidR="000D3F85">
        <w:t>safeguards</w:t>
      </w:r>
      <w:r>
        <w:t xml:space="preserve"> currently contained in</w:t>
      </w:r>
      <w:r w:rsidRPr="005B702D">
        <w:t xml:space="preserve"> </w:t>
      </w:r>
      <w:r w:rsidR="00A91F46" w:rsidRPr="005B702D">
        <w:t>Determination 1</w:t>
      </w:r>
      <w:r w:rsidR="00A91F46">
        <w:t xml:space="preserve"> </w:t>
      </w:r>
      <w:r>
        <w:t>into the</w:t>
      </w:r>
      <w:r w:rsidR="005B702D">
        <w:t xml:space="preserve"> MPS</w:t>
      </w:r>
      <w:r>
        <w:t xml:space="preserve"> Code,</w:t>
      </w:r>
      <w:r w:rsidR="00F06869">
        <w:t xml:space="preserve"> so long as </w:t>
      </w:r>
      <w:r w:rsidR="00A91F46">
        <w:t xml:space="preserve">all provisions </w:t>
      </w:r>
      <w:r w:rsidR="00C54340">
        <w:t>in</w:t>
      </w:r>
      <w:r w:rsidR="00A91F46">
        <w:t xml:space="preserve"> Determination 1 are captured within th</w:t>
      </w:r>
      <w:r w:rsidR="005B702D">
        <w:t xml:space="preserve">at </w:t>
      </w:r>
      <w:r w:rsidR="00A91F46">
        <w:t xml:space="preserve">Code. </w:t>
      </w:r>
      <w:r w:rsidR="005B702D">
        <w:t xml:space="preserve">This is due to the decreasing prevalence of MPS in the market. </w:t>
      </w:r>
    </w:p>
    <w:p w14:paraId="7357565E" w14:textId="7E8A3AEA" w:rsidR="00655941" w:rsidRDefault="005B702D" w:rsidP="00655941">
      <w:r>
        <w:t xml:space="preserve">ACCAN has reviewed the draft MPS Code </w:t>
      </w:r>
      <w:r w:rsidR="00C25442">
        <w:t>circulated by Communications Alliance</w:t>
      </w:r>
      <w:r>
        <w:t xml:space="preserve"> and </w:t>
      </w:r>
      <w:r w:rsidR="00A91F46">
        <w:t xml:space="preserve">has identified </w:t>
      </w:r>
      <w:r w:rsidR="00655941">
        <w:t>one key</w:t>
      </w:r>
      <w:r w:rsidR="00A91F46">
        <w:t xml:space="preserve"> </w:t>
      </w:r>
      <w:r w:rsidR="00C54340">
        <w:t>provision in</w:t>
      </w:r>
      <w:r w:rsidR="00A91F46">
        <w:t xml:space="preserve"> Determination 1 that appear</w:t>
      </w:r>
      <w:r w:rsidR="00655941">
        <w:t>s</w:t>
      </w:r>
      <w:r w:rsidR="00A91F46">
        <w:t xml:space="preserve"> to have been </w:t>
      </w:r>
      <w:r w:rsidR="00C25442">
        <w:t>omitted</w:t>
      </w:r>
      <w:r w:rsidR="00655941">
        <w:t xml:space="preserve">: the requirement to provide a customer-convenient service to facilitate the barring of MPS services. </w:t>
      </w:r>
    </w:p>
    <w:p w14:paraId="6E74E19C" w14:textId="2B54F9C7" w:rsidR="00655941" w:rsidRDefault="00655941" w:rsidP="00655941">
      <w:r>
        <w:t>Part 8 of Determination</w:t>
      </w:r>
      <w:r w:rsidR="0065393B">
        <w:t xml:space="preserve"> 1</w:t>
      </w:r>
      <w:r>
        <w:t xml:space="preserve"> outlines the requirement to provide </w:t>
      </w:r>
      <w:r w:rsidR="0065393B">
        <w:t xml:space="preserve">a </w:t>
      </w:r>
      <w:r>
        <w:t>customer-convenient service:</w:t>
      </w:r>
    </w:p>
    <w:p w14:paraId="1B88CAC6" w14:textId="77777777" w:rsidR="005B702D" w:rsidRDefault="00655941" w:rsidP="005B702D">
      <w:pPr>
        <w:ind w:left="720"/>
        <w:rPr>
          <w:i/>
          <w:iCs/>
        </w:rPr>
      </w:pPr>
      <w:r w:rsidRPr="00655941">
        <w:rPr>
          <w:i/>
          <w:iCs/>
        </w:rPr>
        <w:t xml:space="preserve">(1)   Without limiting subsection 7(3), the mobile carriage service provider must provide a </w:t>
      </w:r>
      <w:r w:rsidRPr="00655941">
        <w:rPr>
          <w:b/>
          <w:bCs/>
          <w:i/>
          <w:iCs/>
        </w:rPr>
        <w:t>customer-convenient service</w:t>
      </w:r>
      <w:r w:rsidRPr="00655941">
        <w:rPr>
          <w:i/>
          <w:iCs/>
        </w:rPr>
        <w:t xml:space="preserve"> that assists a customer to request the barring of all premium SMS and MMS services in relation to a public mobile telecommunications service supplied by it to the customer.</w:t>
      </w:r>
    </w:p>
    <w:p w14:paraId="5D5D526F" w14:textId="77777777" w:rsidR="005B702D" w:rsidRDefault="00655941" w:rsidP="005B702D">
      <w:pPr>
        <w:ind w:left="720"/>
        <w:rPr>
          <w:i/>
          <w:iCs/>
        </w:rPr>
      </w:pPr>
      <w:r w:rsidRPr="00655941">
        <w:rPr>
          <w:i/>
          <w:iCs/>
        </w:rPr>
        <w:t xml:space="preserve">(2)   A customer-convenient service means a service which:    </w:t>
      </w:r>
    </w:p>
    <w:p w14:paraId="7CD0FF59" w14:textId="77777777" w:rsidR="005B702D" w:rsidRDefault="00655941" w:rsidP="005B702D">
      <w:pPr>
        <w:ind w:left="1440"/>
        <w:rPr>
          <w:i/>
          <w:iCs/>
        </w:rPr>
      </w:pPr>
      <w:r w:rsidRPr="00655941">
        <w:rPr>
          <w:i/>
          <w:iCs/>
        </w:rPr>
        <w:t xml:space="preserve">(a)    ensures that a request mentioned in subsection (1) is </w:t>
      </w:r>
      <w:r w:rsidRPr="00655941">
        <w:rPr>
          <w:b/>
          <w:bCs/>
          <w:i/>
          <w:iCs/>
        </w:rPr>
        <w:t>received promptly</w:t>
      </w:r>
      <w:r w:rsidRPr="00655941">
        <w:rPr>
          <w:i/>
          <w:iCs/>
        </w:rPr>
        <w:t xml:space="preserve"> by the mobile carriage service provider; and</w:t>
      </w:r>
    </w:p>
    <w:p w14:paraId="52B700C1" w14:textId="77777777" w:rsidR="005B702D" w:rsidRDefault="00655941" w:rsidP="005B702D">
      <w:pPr>
        <w:ind w:left="1440"/>
        <w:rPr>
          <w:i/>
          <w:iCs/>
        </w:rPr>
      </w:pPr>
      <w:r w:rsidRPr="00655941">
        <w:rPr>
          <w:i/>
          <w:iCs/>
        </w:rPr>
        <w:t xml:space="preserve">(b)    is </w:t>
      </w:r>
      <w:r w:rsidRPr="00655941">
        <w:rPr>
          <w:b/>
          <w:bCs/>
          <w:i/>
          <w:iCs/>
        </w:rPr>
        <w:t>convenient</w:t>
      </w:r>
      <w:r w:rsidRPr="00655941">
        <w:rPr>
          <w:i/>
          <w:iCs/>
        </w:rPr>
        <w:t xml:space="preserve"> for the customer to use; and</w:t>
      </w:r>
    </w:p>
    <w:p w14:paraId="67D2D420" w14:textId="77777777" w:rsidR="005B702D" w:rsidRDefault="00655941" w:rsidP="005B702D">
      <w:pPr>
        <w:ind w:left="1440"/>
        <w:rPr>
          <w:i/>
          <w:iCs/>
        </w:rPr>
      </w:pPr>
      <w:r w:rsidRPr="00655941">
        <w:rPr>
          <w:i/>
          <w:iCs/>
        </w:rPr>
        <w:t xml:space="preserve">(c)    does not require the customer to </w:t>
      </w:r>
      <w:r w:rsidRPr="00655941">
        <w:rPr>
          <w:b/>
          <w:bCs/>
          <w:i/>
          <w:iCs/>
        </w:rPr>
        <w:t>use a postal service or to attend at any location in person</w:t>
      </w:r>
      <w:r w:rsidRPr="00655941">
        <w:rPr>
          <w:i/>
          <w:iCs/>
        </w:rPr>
        <w:t>; and</w:t>
      </w:r>
    </w:p>
    <w:p w14:paraId="66E1EAA0" w14:textId="77777777" w:rsidR="005B702D" w:rsidRDefault="00655941" w:rsidP="005B702D">
      <w:pPr>
        <w:ind w:left="1440"/>
        <w:rPr>
          <w:i/>
          <w:iCs/>
        </w:rPr>
      </w:pPr>
      <w:r w:rsidRPr="00655941">
        <w:rPr>
          <w:i/>
          <w:iCs/>
        </w:rPr>
        <w:t xml:space="preserve">(d)   can be </w:t>
      </w:r>
      <w:r w:rsidRPr="00655941">
        <w:rPr>
          <w:b/>
          <w:bCs/>
          <w:i/>
          <w:iCs/>
        </w:rPr>
        <w:t>accessed by each of the methods by which the mobile carriage service provider ordinarily enables the customer to communicate</w:t>
      </w:r>
      <w:r w:rsidRPr="00655941">
        <w:rPr>
          <w:i/>
          <w:iCs/>
        </w:rPr>
        <w:t xml:space="preserve"> with the mobile carriage service provider in relation to the customer’s public mobile telecommunications service.</w:t>
      </w:r>
      <w:r>
        <w:rPr>
          <w:rStyle w:val="FootnoteReference"/>
          <w:i/>
          <w:iCs/>
        </w:rPr>
        <w:footnoteReference w:id="3"/>
      </w:r>
    </w:p>
    <w:p w14:paraId="4C5E3BD1" w14:textId="728AE889" w:rsidR="005B702D" w:rsidRDefault="00C54340" w:rsidP="005B702D">
      <w:r>
        <w:t>I</w:t>
      </w:r>
      <w:r w:rsidR="000D3F85">
        <w:t xml:space="preserve">t is essential this provision is transferred to the </w:t>
      </w:r>
      <w:r w:rsidR="005B702D">
        <w:t>MPS</w:t>
      </w:r>
      <w:r w:rsidR="000D3F85">
        <w:t xml:space="preserve"> Code to ensure </w:t>
      </w:r>
      <w:r>
        <w:t>consumers</w:t>
      </w:r>
      <w:r w:rsidR="000D3F85">
        <w:t xml:space="preserve"> do not become subject to unduly onerous processes </w:t>
      </w:r>
      <w:proofErr w:type="gramStart"/>
      <w:r w:rsidR="00901EB7">
        <w:t>in order to</w:t>
      </w:r>
      <w:proofErr w:type="gramEnd"/>
      <w:r w:rsidR="000D3F85">
        <w:t xml:space="preserve"> bar MPS. Retaining this rule will </w:t>
      </w:r>
      <w:r w:rsidR="00CC5390">
        <w:t>build</w:t>
      </w:r>
      <w:r w:rsidR="000D3F85">
        <w:t xml:space="preserve"> consumer confidence that</w:t>
      </w:r>
      <w:r w:rsidR="00CC5390">
        <w:t xml:space="preserve"> the</w:t>
      </w:r>
      <w:r w:rsidR="000D3F85">
        <w:t xml:space="preserve"> industry can and will effectively manage the barring of MPS in a co-regulatory context. </w:t>
      </w:r>
    </w:p>
    <w:p w14:paraId="3DCD3732" w14:textId="3F2E42D3" w:rsidR="005B702D" w:rsidRPr="00667C72" w:rsidRDefault="005B702D" w:rsidP="005B702D">
      <w:pPr>
        <w:rPr>
          <w:b/>
          <w:bCs/>
        </w:rPr>
      </w:pPr>
      <w:r w:rsidRPr="00667C72">
        <w:rPr>
          <w:b/>
          <w:bCs/>
        </w:rPr>
        <w:t xml:space="preserve">Recommendation 1: </w:t>
      </w:r>
      <w:r w:rsidR="0041571F" w:rsidRPr="00667C72">
        <w:rPr>
          <w:b/>
          <w:bCs/>
        </w:rPr>
        <w:t xml:space="preserve">That the ACMA ensures provisions contained in Determination 1 Part 8(1)-(2) are transferred to the updated MPS Code. </w:t>
      </w:r>
    </w:p>
    <w:p w14:paraId="57682F33" w14:textId="662B4C4A" w:rsidR="0041571F" w:rsidRDefault="00264FA1" w:rsidP="00667C72">
      <w:pPr>
        <w:pStyle w:val="Heading1"/>
      </w:pPr>
      <w:r>
        <w:t xml:space="preserve">MPS </w:t>
      </w:r>
      <w:r w:rsidR="0041571F">
        <w:t>Determination 2</w:t>
      </w:r>
    </w:p>
    <w:p w14:paraId="0ED61C2B" w14:textId="341F33AE" w:rsidR="004B3570" w:rsidRDefault="004B3570" w:rsidP="005B702D">
      <w:r>
        <w:t xml:space="preserve">ACCAN is not aware of any issues regarding removing obligations surrounding the Do Not Contract rule outlined in Part 2 of Determination 2, as we understand the </w:t>
      </w:r>
      <w:r w:rsidR="00A14234">
        <w:t xml:space="preserve">content provider </w:t>
      </w:r>
      <w:r>
        <w:t xml:space="preserve">register </w:t>
      </w:r>
      <w:r w:rsidR="00C25442">
        <w:t xml:space="preserve">has not been maintained and has very limited current utility. </w:t>
      </w:r>
      <w:r>
        <w:t xml:space="preserve"> </w:t>
      </w:r>
    </w:p>
    <w:p w14:paraId="7FE70334" w14:textId="4DF0E2A7" w:rsidR="00E35BA2" w:rsidRDefault="00A14234" w:rsidP="005B702D">
      <w:r>
        <w:t>However</w:t>
      </w:r>
      <w:r w:rsidR="000D3F85">
        <w:t>, i</w:t>
      </w:r>
      <w:r w:rsidR="00A91F46">
        <w:t>t is ACCAN’s view that the ACMA’s Do Not Bill powers contained in Part 3</w:t>
      </w:r>
      <w:r w:rsidR="00667C72">
        <w:t xml:space="preserve"> </w:t>
      </w:r>
      <w:r>
        <w:t xml:space="preserve">of </w:t>
      </w:r>
      <w:r w:rsidR="00C54340" w:rsidRPr="00667C72">
        <w:t>Determination 2</w:t>
      </w:r>
      <w:r w:rsidR="00C54340">
        <w:t xml:space="preserve"> </w:t>
      </w:r>
      <w:r w:rsidR="00A91F46">
        <w:t xml:space="preserve">must be </w:t>
      </w:r>
      <w:r w:rsidR="00C54340">
        <w:t xml:space="preserve">retained </w:t>
      </w:r>
      <w:r w:rsidR="00261BA9">
        <w:t xml:space="preserve">in a directly enforceable instrument to ensure swift regulatory </w:t>
      </w:r>
      <w:r w:rsidR="00261BA9">
        <w:lastRenderedPageBreak/>
        <w:t xml:space="preserve">intervention in the event </w:t>
      </w:r>
      <w:r w:rsidR="000D3F85">
        <w:t xml:space="preserve">that </w:t>
      </w:r>
      <w:r w:rsidR="00261BA9">
        <w:t xml:space="preserve">an MPS </w:t>
      </w:r>
      <w:r>
        <w:t>content provider</w:t>
      </w:r>
      <w:r w:rsidR="00261BA9">
        <w:t xml:space="preserve"> contraven</w:t>
      </w:r>
      <w:r w:rsidR="000D3F85">
        <w:t>es</w:t>
      </w:r>
      <w:r w:rsidR="00261BA9">
        <w:t xml:space="preserve"> the Code and caus</w:t>
      </w:r>
      <w:r w:rsidR="000D3F85">
        <w:t>es</w:t>
      </w:r>
      <w:r w:rsidR="00261BA9">
        <w:t xml:space="preserve"> significant consumer detriment</w:t>
      </w:r>
      <w:r w:rsidR="00C54340">
        <w:t>.</w:t>
      </w:r>
      <w:r w:rsidR="00261BA9">
        <w:rPr>
          <w:rStyle w:val="FootnoteReference"/>
        </w:rPr>
        <w:footnoteReference w:id="4"/>
      </w:r>
      <w:r w:rsidR="00C54340">
        <w:t xml:space="preserve"> </w:t>
      </w:r>
    </w:p>
    <w:p w14:paraId="276F1CE7" w14:textId="2C0E625E" w:rsidR="001A5738" w:rsidRDefault="00E35BA2" w:rsidP="00E35BA2">
      <w:pPr>
        <w:keepNext/>
        <w:keepLines/>
      </w:pPr>
      <w:r>
        <w:t xml:space="preserve">We acknowledge that market changes and comparably low numbers of MPS-related TIO complaints indicate the prevalence of MPS usage is steadily decreasing. However, </w:t>
      </w:r>
      <w:r w:rsidR="00667C72">
        <w:t>the ACMA</w:t>
      </w:r>
      <w:r>
        <w:t xml:space="preserve"> has not demonstrated that appropriate conditions have been met </w:t>
      </w:r>
      <w:r w:rsidR="001A5738">
        <w:t>to justify revoking</w:t>
      </w:r>
      <w:r>
        <w:t xml:space="preserve"> </w:t>
      </w:r>
      <w:r w:rsidR="001A5738">
        <w:t xml:space="preserve">the </w:t>
      </w:r>
      <w:r>
        <w:t xml:space="preserve">Do Not Bill </w:t>
      </w:r>
      <w:r w:rsidR="001A5738">
        <w:t>powers</w:t>
      </w:r>
      <w:r>
        <w:t>. The</w:t>
      </w:r>
      <w:r w:rsidR="001A5738">
        <w:t>se powers</w:t>
      </w:r>
      <w:r>
        <w:t xml:space="preserve"> should be in place for as long as there is a risk of MPS aggregator misconduct</w:t>
      </w:r>
      <w:r w:rsidR="000D3F85">
        <w:t>, however minor</w:t>
      </w:r>
      <w:r w:rsidR="001A5738">
        <w:t xml:space="preserve">; </w:t>
      </w:r>
      <w:r>
        <w:t>this risk will persist so long as MPS is available</w:t>
      </w:r>
      <w:r w:rsidR="001A5738">
        <w:t xml:space="preserve"> to </w:t>
      </w:r>
      <w:r w:rsidR="00CC5390">
        <w:t>in any consumer market</w:t>
      </w:r>
      <w:r>
        <w:t xml:space="preserve">. </w:t>
      </w:r>
    </w:p>
    <w:p w14:paraId="7209F535" w14:textId="42F3541B" w:rsidR="004B3570" w:rsidRDefault="001A5738" w:rsidP="006A1E4D">
      <w:pPr>
        <w:keepNext/>
        <w:keepLines/>
      </w:pPr>
      <w:r>
        <w:t>ACCAN</w:t>
      </w:r>
      <w:r w:rsidR="00A14234">
        <w:t xml:space="preserve"> recommends that </w:t>
      </w:r>
      <w:r>
        <w:t xml:space="preserve">the Do Not Bill powers should be expanded to incorporate </w:t>
      </w:r>
      <w:r w:rsidR="00A14234">
        <w:t xml:space="preserve">direct carrier billing and </w:t>
      </w:r>
      <w:r>
        <w:t>any form of third-party billing</w:t>
      </w:r>
      <w:r w:rsidR="00A14234">
        <w:t>,</w:t>
      </w:r>
      <w:r>
        <w:t xml:space="preserve"> </w:t>
      </w:r>
      <w:proofErr w:type="gramStart"/>
      <w:r w:rsidR="000D3F85">
        <w:t xml:space="preserve">in order </w:t>
      </w:r>
      <w:r>
        <w:t>to</w:t>
      </w:r>
      <w:proofErr w:type="gramEnd"/>
      <w:r>
        <w:t xml:space="preserve"> </w:t>
      </w:r>
      <w:r w:rsidR="00FF2276">
        <w:t xml:space="preserve">consistently and </w:t>
      </w:r>
      <w:r>
        <w:t>effectively mitigate the risk of consumer harm</w:t>
      </w:r>
      <w:r w:rsidR="00A14234">
        <w:t xml:space="preserve"> from unauthorised third-party charges</w:t>
      </w:r>
      <w:r>
        <w:t xml:space="preserve">. ACCAN </w:t>
      </w:r>
      <w:r w:rsidR="00A14234">
        <w:t xml:space="preserve">understands </w:t>
      </w:r>
      <w:r>
        <w:t>that fraudulent third-party billing remains a persistent issue</w:t>
      </w:r>
      <w:r w:rsidR="00A14234">
        <w:t xml:space="preserve"> and costs consumers dearly, as is demonstrated by the following case study</w:t>
      </w:r>
      <w:r>
        <w:t>.</w:t>
      </w:r>
    </w:p>
    <w:p w14:paraId="03073D0E" w14:textId="77777777" w:rsidR="004B3570" w:rsidRDefault="004B3570" w:rsidP="004B3570">
      <w:pPr>
        <w:pStyle w:val="Heading2"/>
      </w:pPr>
      <w:r>
        <w:t>Case study: Third party charges scam</w:t>
      </w:r>
    </w:p>
    <w:p w14:paraId="47BE060C" w14:textId="77777777" w:rsidR="004B3570" w:rsidRDefault="004B3570" w:rsidP="004B3570">
      <w:pPr>
        <w:keepNext/>
        <w:keepLines/>
      </w:pPr>
      <w:r>
        <w:t xml:space="preserve">Between March and May 2020, </w:t>
      </w:r>
      <w:proofErr w:type="gramStart"/>
      <w:r>
        <w:t>a number of</w:t>
      </w:r>
      <w:proofErr w:type="gramEnd"/>
      <w:r>
        <w:t xml:space="preserve"> Telstra customers began reporting a $5 charge on their monthly bill titled ‘</w:t>
      </w:r>
      <w:proofErr w:type="spellStart"/>
      <w:r>
        <w:t>AirG</w:t>
      </w:r>
      <w:proofErr w:type="spellEnd"/>
      <w:r>
        <w:t xml:space="preserve"> </w:t>
      </w:r>
      <w:proofErr w:type="spellStart"/>
      <w:r>
        <w:t>MiniMe</w:t>
      </w:r>
      <w:proofErr w:type="spellEnd"/>
      <w:r>
        <w:t xml:space="preserve"> 500c’. Affected customers did not authorise this charge or recall signing up for the </w:t>
      </w:r>
      <w:proofErr w:type="spellStart"/>
      <w:r>
        <w:t>AirG</w:t>
      </w:r>
      <w:proofErr w:type="spellEnd"/>
      <w:r>
        <w:t xml:space="preserve"> service, which was an online chat function available through a Telstra media portal. It was later confirmed by Telstra to ACCAN that the </w:t>
      </w:r>
      <w:proofErr w:type="spellStart"/>
      <w:r>
        <w:t>AirG</w:t>
      </w:r>
      <w:proofErr w:type="spellEnd"/>
      <w:r>
        <w:t xml:space="preserve"> </w:t>
      </w:r>
      <w:proofErr w:type="spellStart"/>
      <w:r>
        <w:t>MiniMe</w:t>
      </w:r>
      <w:proofErr w:type="spellEnd"/>
      <w:r>
        <w:t xml:space="preserve"> charges were billed in error.</w:t>
      </w:r>
    </w:p>
    <w:p w14:paraId="43EA1CD9" w14:textId="52EAC766" w:rsidR="00A91F46" w:rsidRDefault="004B3570" w:rsidP="004B3570">
      <w:pPr>
        <w:keepNext/>
        <w:keepLines/>
      </w:pPr>
      <w:r>
        <w:t>Several consumers reported difficulty getting the charge refunded, as Telstra and the third</w:t>
      </w:r>
      <w:r w:rsidR="00FF2276">
        <w:t>-</w:t>
      </w:r>
      <w:r>
        <w:t xml:space="preserve">party billed service provider, </w:t>
      </w:r>
      <w:proofErr w:type="spellStart"/>
      <w:r>
        <w:t>AirG</w:t>
      </w:r>
      <w:proofErr w:type="spellEnd"/>
      <w:r>
        <w:t>, referred customers to each other to try and resolve the billing issue.</w:t>
      </w:r>
      <w:r w:rsidR="00264FA1">
        <w:rPr>
          <w:rStyle w:val="FootnoteReference"/>
        </w:rPr>
        <w:footnoteReference w:id="5"/>
      </w:r>
      <w:r>
        <w:t xml:space="preserve"> The number of Telstra customers that were affected by this issue is unclear. ACCAN understands that Telstra no longer provides </w:t>
      </w:r>
      <w:proofErr w:type="spellStart"/>
      <w:r>
        <w:t>AirG</w:t>
      </w:r>
      <w:proofErr w:type="spellEnd"/>
      <w:r>
        <w:t xml:space="preserve"> services.</w:t>
      </w:r>
      <w:r w:rsidR="001A5738">
        <w:t xml:space="preserve"> </w:t>
      </w:r>
    </w:p>
    <w:p w14:paraId="5ADE9CC0" w14:textId="71E0B299" w:rsidR="00A14234" w:rsidRPr="00A14234" w:rsidRDefault="00A14234" w:rsidP="00E32D59">
      <w:pPr>
        <w:rPr>
          <w:b/>
          <w:bCs/>
        </w:rPr>
      </w:pPr>
      <w:r w:rsidRPr="00A14234">
        <w:rPr>
          <w:b/>
          <w:bCs/>
        </w:rPr>
        <w:t xml:space="preserve">Recommendation 2: </w:t>
      </w:r>
      <w:r>
        <w:rPr>
          <w:b/>
          <w:bCs/>
        </w:rPr>
        <w:t xml:space="preserve">That </w:t>
      </w:r>
      <w:r w:rsidRPr="00A14234">
        <w:rPr>
          <w:b/>
          <w:bCs/>
        </w:rPr>
        <w:t>the ACMA’s Do Not Bill powers contained in Part 3</w:t>
      </w:r>
      <w:r>
        <w:rPr>
          <w:b/>
          <w:bCs/>
        </w:rPr>
        <w:t xml:space="preserve"> of</w:t>
      </w:r>
      <w:r w:rsidRPr="00A14234">
        <w:rPr>
          <w:b/>
          <w:bCs/>
        </w:rPr>
        <w:t xml:space="preserve"> Determination</w:t>
      </w:r>
      <w:r>
        <w:rPr>
          <w:b/>
          <w:bCs/>
        </w:rPr>
        <w:t xml:space="preserve"> 2 are retained and varied to incorporate all forms of third-party billing</w:t>
      </w:r>
      <w:r w:rsidRPr="00A14234">
        <w:rPr>
          <w:b/>
          <w:bCs/>
        </w:rPr>
        <w:t xml:space="preserve">. </w:t>
      </w:r>
    </w:p>
    <w:p w14:paraId="47A540DB" w14:textId="0854FD58" w:rsidR="00BD42C5" w:rsidRPr="00BD42C5" w:rsidRDefault="00BD42C5" w:rsidP="00E32D59">
      <w:r w:rsidRPr="00BD42C5">
        <w:t xml:space="preserve">Thank you </w:t>
      </w:r>
      <w:r w:rsidR="00056D71">
        <w:t>again for the opportunity to provide feedback on</w:t>
      </w:r>
      <w:r w:rsidR="00A14234">
        <w:t xml:space="preserve"> the review of MPS Determinations 1 and 2</w:t>
      </w:r>
      <w:r w:rsidR="00056D71">
        <w:t>.</w:t>
      </w:r>
      <w:r w:rsidRPr="00BD42C5">
        <w:t xml:space="preserve"> </w:t>
      </w:r>
      <w:r w:rsidR="00F0681B">
        <w:t xml:space="preserve">Please do not hesitate to contact </w:t>
      </w:r>
      <w:r w:rsidR="00BB2A36">
        <w:t xml:space="preserve">me at </w:t>
      </w:r>
      <w:hyperlink r:id="rId12" w:history="1">
        <w:r w:rsidR="00BB2A36" w:rsidRPr="004353E3">
          <w:rPr>
            <w:rStyle w:val="Hyperlink"/>
          </w:rPr>
          <w:t>Rebekah.Sarkoezy@accan.org.au</w:t>
        </w:r>
      </w:hyperlink>
      <w:r w:rsidR="00BB2A36">
        <w:t xml:space="preserve"> or at 02 9288 4000 should you require further </w:t>
      </w:r>
      <w:r w:rsidR="00F0681B">
        <w:t xml:space="preserve">clarification on any of the points raised. </w:t>
      </w:r>
    </w:p>
    <w:p w14:paraId="29B5F66A" w14:textId="77777777" w:rsidR="00ED7F0F" w:rsidRDefault="00BD42C5" w:rsidP="00E32D59">
      <w:r w:rsidRPr="00BD42C5">
        <w:t>Yours Sincerely</w:t>
      </w:r>
      <w:r w:rsidR="00ED7F0F">
        <w:t>,</w:t>
      </w:r>
    </w:p>
    <w:p w14:paraId="44BB06B7" w14:textId="77777777" w:rsidR="000576D9" w:rsidRDefault="00104DAD" w:rsidP="00E32D59">
      <w:r>
        <w:br/>
      </w:r>
      <w:r w:rsidR="00E32D59">
        <w:t>Rebekah Sarkoezy</w:t>
      </w:r>
      <w:r w:rsidR="00BD42C5" w:rsidRPr="00BD42C5">
        <w:br/>
      </w:r>
      <w:r w:rsidR="00E32D59">
        <w:t>Policy Officer</w:t>
      </w:r>
    </w:p>
    <w:sectPr w:rsidR="000576D9" w:rsidSect="007A5D36">
      <w:headerReference w:type="default" r:id="rId13"/>
      <w:footerReference w:type="default" r:id="rId14"/>
      <w:headerReference w:type="first" r:id="rId15"/>
      <w:footerReference w:type="first" r:id="rId16"/>
      <w:pgSz w:w="11906" w:h="16838"/>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8C0F8" w14:textId="77777777" w:rsidR="00DC7A00" w:rsidRDefault="00DC7A00">
      <w:pPr>
        <w:spacing w:after="0" w:line="240" w:lineRule="auto"/>
      </w:pPr>
      <w:r>
        <w:separator/>
      </w:r>
    </w:p>
  </w:endnote>
  <w:endnote w:type="continuationSeparator" w:id="0">
    <w:p w14:paraId="6D573622" w14:textId="77777777" w:rsidR="00DC7A00" w:rsidRDefault="00DC7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312BA" w14:textId="77777777" w:rsidR="0082329E" w:rsidRPr="0082329E" w:rsidRDefault="00F0681B" w:rsidP="0082329E">
    <w:pPr>
      <w:spacing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1A3380">
      <w:rPr>
        <w:noProof/>
      </w:rPr>
      <w:t>6</w:t>
    </w:r>
    <w:r w:rsidRPr="00C4251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64CC2" w14:textId="77777777" w:rsidR="00F014D6" w:rsidRPr="00026E5B" w:rsidRDefault="00F0681B" w:rsidP="00F014D6">
    <w:pPr>
      <w:pStyle w:val="Footerpage1"/>
      <w:ind w:right="-1440"/>
      <w:rPr>
        <w:color w:val="00B0F0"/>
      </w:rPr>
    </w:pPr>
    <w:r>
      <w:rPr>
        <w:color w:val="00B0F0"/>
      </w:rPr>
      <w:t xml:space="preserve">  </w:t>
    </w:r>
    <w:r w:rsidRPr="00026E5B">
      <w:rPr>
        <w:color w:val="00B0F0"/>
      </w:rPr>
      <w:t>Australian Communications Consumer Action Network (ACCAN)</w:t>
    </w:r>
  </w:p>
  <w:p w14:paraId="75FBA5D6" w14:textId="77777777" w:rsidR="00F014D6" w:rsidRPr="00026E5B" w:rsidRDefault="00F0681B" w:rsidP="00F014D6">
    <w:pPr>
      <w:pStyle w:val="Footerpage1"/>
      <w:rPr>
        <w:i/>
        <w:color w:val="00B0F0"/>
      </w:rPr>
    </w:pPr>
    <w:r>
      <w:rPr>
        <w:i/>
        <w:color w:val="00B0F0"/>
      </w:rPr>
      <w:t xml:space="preserve">  </w:t>
    </w:r>
    <w:r w:rsidRPr="00026E5B">
      <w:rPr>
        <w:i/>
        <w:color w:val="00B0F0"/>
      </w:rPr>
      <w:t>Australia’s peak body representing communications consumers</w:t>
    </w:r>
  </w:p>
  <w:p w14:paraId="52160125" w14:textId="77777777" w:rsidR="00F014D6" w:rsidRPr="00026E5B" w:rsidRDefault="00F0681B" w:rsidP="00F014D6">
    <w:pPr>
      <w:pStyle w:val="Footerpage1"/>
      <w:ind w:right="-1440"/>
      <w:rPr>
        <w:i/>
      </w:rPr>
    </w:pPr>
    <w:r>
      <w:rPr>
        <w:noProof/>
        <w:lang w:eastAsia="en-AU"/>
      </w:rPr>
      <mc:AlternateContent>
        <mc:Choice Requires="wps">
          <w:drawing>
            <wp:anchor distT="0" distB="0" distL="114300" distR="114300" simplePos="0" relativeHeight="251661312" behindDoc="0" locked="0" layoutInCell="1" allowOverlap="1" wp14:anchorId="51CA12A0" wp14:editId="503961B6">
              <wp:simplePos x="0" y="0"/>
              <wp:positionH relativeFrom="column">
                <wp:posOffset>-430924</wp:posOffset>
              </wp:positionH>
              <wp:positionV relativeFrom="paragraph">
                <wp:posOffset>90279</wp:posOffset>
              </wp:positionV>
              <wp:extent cx="6579476" cy="0"/>
              <wp:effectExtent l="0" t="19050" r="12065" b="19050"/>
              <wp:wrapNone/>
              <wp:docPr id="1" name="Straight Connector 1"/>
              <wp:cNvGraphicFramePr/>
              <a:graphic xmlns:a="http://schemas.openxmlformats.org/drawingml/2006/main">
                <a:graphicData uri="http://schemas.microsoft.com/office/word/2010/wordprocessingShape">
                  <wps:wsp>
                    <wps:cNvCnPr/>
                    <wps:spPr>
                      <a:xfrm>
                        <a:off x="0" y="0"/>
                        <a:ext cx="6579476"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174CBC"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95pt,7.1pt" to="484.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" strokecolor="#23b0e6" strokeweight="3pt"/>
          </w:pict>
        </mc:Fallback>
      </mc:AlternateContent>
    </w:r>
  </w:p>
  <w:p w14:paraId="3136D2C4" w14:textId="77777777" w:rsidR="00F014D6" w:rsidRPr="00026E5B" w:rsidRDefault="00F0681B" w:rsidP="00F014D6">
    <w:pPr>
      <w:pStyle w:val="Footerpage1"/>
    </w:pPr>
    <w:r>
      <w:t xml:space="preserve">  </w:t>
    </w:r>
    <w:r w:rsidRPr="00026E5B">
      <w:t>PO Box 639, Broadway NSW 2007</w:t>
    </w:r>
  </w:p>
  <w:p w14:paraId="1F407961" w14:textId="77777777" w:rsidR="00F014D6" w:rsidRPr="00026E5B" w:rsidRDefault="00F0681B" w:rsidP="00F014D6">
    <w:pPr>
      <w:pStyle w:val="Footerpage1"/>
      <w:rPr>
        <w:color w:val="00B0F0"/>
      </w:rPr>
    </w:pPr>
    <w:r>
      <w:t xml:space="preserve">  </w:t>
    </w:r>
    <w:r w:rsidRPr="00026E5B">
      <w:t>Tel: (02) 9288 4000 | Fax: (02</w:t>
    </w:r>
    <w:r w:rsidRPr="00026E5B">
      <w:rPr>
        <w:color w:val="00B0F0"/>
      </w:rPr>
      <w:t xml:space="preserve">) 9288 4019 | Contact us through the </w:t>
    </w:r>
    <w:hyperlink r:id="rId1" w:history="1">
      <w:r w:rsidRPr="00026E5B">
        <w:rPr>
          <w:rStyle w:val="Hyperlink"/>
          <w:color w:val="00B0F0"/>
        </w:rPr>
        <w:t>National Relay Service</w:t>
      </w:r>
    </w:hyperlink>
  </w:p>
  <w:p w14:paraId="077D3F5B" w14:textId="77777777" w:rsidR="00F014D6" w:rsidRPr="004D706D" w:rsidRDefault="00F0681B" w:rsidP="00F014D6">
    <w:pPr>
      <w:pStyle w:val="Footerpage1"/>
      <w:rPr>
        <w:color w:val="00B0F0"/>
      </w:rPr>
    </w:pPr>
    <w:r>
      <w:rPr>
        <w:color w:val="00B0F0"/>
      </w:rPr>
      <w:t xml:space="preserve">  </w:t>
    </w:r>
    <w:r w:rsidRPr="00026E5B">
      <w:rPr>
        <w:color w:val="00B0F0"/>
      </w:rPr>
      <w:t>www.accan.org.au | info@accan.org.au | twitter: @ACCA</w:t>
    </w:r>
    <w:r>
      <w:rPr>
        <w:color w:val="00B0F0"/>
      </w:rPr>
      <w:t>N_AU | www.facebook.com/accanau</w:t>
    </w:r>
  </w:p>
  <w:p w14:paraId="6AF4339D" w14:textId="77777777" w:rsidR="00F014D6" w:rsidRDefault="00210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804B4" w14:textId="77777777" w:rsidR="00DC7A00" w:rsidRDefault="00DC7A00">
      <w:pPr>
        <w:spacing w:after="0" w:line="240" w:lineRule="auto"/>
      </w:pPr>
      <w:r>
        <w:separator/>
      </w:r>
    </w:p>
  </w:footnote>
  <w:footnote w:type="continuationSeparator" w:id="0">
    <w:p w14:paraId="1925C3F1" w14:textId="77777777" w:rsidR="00DC7A00" w:rsidRDefault="00DC7A00">
      <w:pPr>
        <w:spacing w:after="0" w:line="240" w:lineRule="auto"/>
      </w:pPr>
      <w:r>
        <w:continuationSeparator/>
      </w:r>
    </w:p>
  </w:footnote>
  <w:footnote w:id="1">
    <w:p w14:paraId="271A51D1" w14:textId="6915F518" w:rsidR="00453DC0" w:rsidRPr="00453DC0" w:rsidRDefault="00453DC0">
      <w:pPr>
        <w:pStyle w:val="FootnoteText"/>
        <w:rPr>
          <w:lang w:val="en-US"/>
        </w:rPr>
      </w:pPr>
      <w:r>
        <w:rPr>
          <w:rStyle w:val="FootnoteReference"/>
        </w:rPr>
        <w:footnoteRef/>
      </w:r>
      <w:r>
        <w:t xml:space="preserve"> Ipsos 2017, </w:t>
      </w:r>
      <w:r w:rsidRPr="00453DC0">
        <w:rPr>
          <w:i/>
          <w:iCs/>
        </w:rPr>
        <w:t>Mobile third party billing</w:t>
      </w:r>
      <w:r>
        <w:rPr>
          <w:i/>
          <w:iCs/>
        </w:rPr>
        <w:t>:</w:t>
      </w:r>
      <w:r w:rsidRPr="00453DC0">
        <w:rPr>
          <w:i/>
          <w:iCs/>
        </w:rPr>
        <w:t xml:space="preserve"> Consumer experiences and expectations</w:t>
      </w:r>
      <w:r>
        <w:t xml:space="preserve">, prepared for ACCAN, </w:t>
      </w:r>
      <w:hyperlink r:id="rId1" w:history="1">
        <w:r w:rsidR="00A0796F" w:rsidRPr="000860E2">
          <w:rPr>
            <w:rStyle w:val="Hyperlink"/>
          </w:rPr>
          <w:t>https://accan.org.au/our-work/research/1400-third-party-charges-consumer-experiences-and-expectations</w:t>
        </w:r>
      </w:hyperlink>
      <w:r w:rsidR="00A0796F">
        <w:t xml:space="preserve"> </w:t>
      </w:r>
    </w:p>
  </w:footnote>
  <w:footnote w:id="2">
    <w:p w14:paraId="4A2FCD11" w14:textId="3618368F" w:rsidR="00A0796F" w:rsidRPr="00A0796F" w:rsidRDefault="00A0796F">
      <w:pPr>
        <w:pStyle w:val="FootnoteText"/>
        <w:rPr>
          <w:lang w:val="en-US"/>
        </w:rPr>
      </w:pPr>
      <w:r>
        <w:rPr>
          <w:rStyle w:val="FootnoteReference"/>
        </w:rPr>
        <w:footnoteRef/>
      </w:r>
      <w:r>
        <w:t xml:space="preserve"> ACCAN 2019, </w:t>
      </w:r>
      <w:r w:rsidRPr="00A0796F">
        <w:rPr>
          <w:i/>
          <w:iCs/>
        </w:rPr>
        <w:t>Draft Mobile Premium Services Code (DR C637:2019) – Submission by the Australian Communications Consumer Action Network</w:t>
      </w:r>
      <w:r>
        <w:t xml:space="preserve">, </w:t>
      </w:r>
      <w:hyperlink r:id="rId2" w:history="1">
        <w:r w:rsidRPr="000860E2">
          <w:rPr>
            <w:rStyle w:val="Hyperlink"/>
          </w:rPr>
          <w:t>http://accan.org.au/files/Submissions/ACCAN%20submission%20to%20the%20Draft%20Mobile%20Premium%20Services%20Code%20DR%20C637%202019.pdf</w:t>
        </w:r>
      </w:hyperlink>
      <w:r>
        <w:t xml:space="preserve"> </w:t>
      </w:r>
    </w:p>
  </w:footnote>
  <w:footnote w:id="3">
    <w:p w14:paraId="5537D9C0" w14:textId="4FCC2846" w:rsidR="00655941" w:rsidRPr="00655941" w:rsidRDefault="00655941">
      <w:pPr>
        <w:pStyle w:val="FootnoteText"/>
        <w:rPr>
          <w:lang w:val="en-US"/>
        </w:rPr>
      </w:pPr>
      <w:r>
        <w:rPr>
          <w:rStyle w:val="FootnoteReference"/>
        </w:rPr>
        <w:footnoteRef/>
      </w:r>
      <w:r>
        <w:t xml:space="preserve"> </w:t>
      </w:r>
      <w:r w:rsidRPr="00A91F46">
        <w:rPr>
          <w:i/>
          <w:iCs/>
        </w:rPr>
        <w:t xml:space="preserve">Telecommunications Service Provider (Mobile Premium Services) Determination 2010 (No. </w:t>
      </w:r>
      <w:r>
        <w:rPr>
          <w:i/>
          <w:iCs/>
        </w:rPr>
        <w:t>1</w:t>
      </w:r>
      <w:r w:rsidRPr="00A91F46">
        <w:rPr>
          <w:i/>
          <w:iCs/>
        </w:rPr>
        <w:t>)</w:t>
      </w:r>
      <w:r>
        <w:t xml:space="preserve"> (</w:t>
      </w:r>
      <w:proofErr w:type="spellStart"/>
      <w:r>
        <w:t>Cth</w:t>
      </w:r>
      <w:proofErr w:type="spellEnd"/>
      <w:r>
        <w:t xml:space="preserve">), </w:t>
      </w:r>
      <w:r w:rsidR="00264FA1">
        <w:t>Part</w:t>
      </w:r>
      <w:r>
        <w:t xml:space="preserve"> 8, </w:t>
      </w:r>
      <w:hyperlink r:id="rId3" w:history="1">
        <w:r w:rsidR="00264FA1" w:rsidRPr="009E6B3A">
          <w:rPr>
            <w:rStyle w:val="Hyperlink"/>
          </w:rPr>
          <w:t>https://www.legislation.gov.au/Details/F2014C011654</w:t>
        </w:r>
      </w:hyperlink>
      <w:r w:rsidR="00264FA1">
        <w:t xml:space="preserve"> </w:t>
      </w:r>
    </w:p>
  </w:footnote>
  <w:footnote w:id="4">
    <w:p w14:paraId="0A330E63" w14:textId="21D1EBEC" w:rsidR="00261BA9" w:rsidRPr="00261BA9" w:rsidRDefault="00261BA9">
      <w:pPr>
        <w:pStyle w:val="FootnoteText"/>
        <w:rPr>
          <w:lang w:val="en-US"/>
        </w:rPr>
      </w:pPr>
      <w:r>
        <w:rPr>
          <w:rStyle w:val="FootnoteReference"/>
        </w:rPr>
        <w:footnoteRef/>
      </w:r>
      <w:r>
        <w:t xml:space="preserve"> </w:t>
      </w:r>
      <w:r w:rsidRPr="00A91F46">
        <w:rPr>
          <w:i/>
          <w:iCs/>
        </w:rPr>
        <w:t>Telecommunications Service Provider (Mobile Premium Services) Determination 2010 (No. 2)</w:t>
      </w:r>
      <w:r>
        <w:t xml:space="preserve"> (</w:t>
      </w:r>
      <w:proofErr w:type="spellStart"/>
      <w:r>
        <w:t>Cth</w:t>
      </w:r>
      <w:proofErr w:type="spellEnd"/>
      <w:r>
        <w:t xml:space="preserve">), </w:t>
      </w:r>
      <w:r w:rsidR="00264FA1">
        <w:t>Part</w:t>
      </w:r>
      <w:r>
        <w:t xml:space="preserve"> 3.10(1), </w:t>
      </w:r>
      <w:hyperlink r:id="rId4" w:history="1">
        <w:r w:rsidR="00264FA1" w:rsidRPr="009E6B3A">
          <w:rPr>
            <w:rStyle w:val="Hyperlink"/>
          </w:rPr>
          <w:t>https://www.legislation.gov.au/Details/F2013C00124</w:t>
        </w:r>
      </w:hyperlink>
      <w:r w:rsidR="00264FA1">
        <w:t xml:space="preserve"> </w:t>
      </w:r>
    </w:p>
  </w:footnote>
  <w:footnote w:id="5">
    <w:p w14:paraId="4AB4BC04" w14:textId="67FE49E3" w:rsidR="00264FA1" w:rsidRPr="00264FA1" w:rsidRDefault="00264FA1">
      <w:pPr>
        <w:pStyle w:val="FootnoteText"/>
        <w:rPr>
          <w:lang w:val="en-US"/>
        </w:rPr>
      </w:pPr>
      <w:r>
        <w:rPr>
          <w:rStyle w:val="FootnoteReference"/>
        </w:rPr>
        <w:footnoteRef/>
      </w:r>
      <w:r>
        <w:t xml:space="preserve"> </w:t>
      </w:r>
      <w:r w:rsidRPr="00264FA1">
        <w:t xml:space="preserve">Various Telstra customers 2020, </w:t>
      </w:r>
      <w:r w:rsidRPr="00264FA1">
        <w:rPr>
          <w:i/>
          <w:iCs/>
        </w:rPr>
        <w:t xml:space="preserve">Unsolicited subscription to </w:t>
      </w:r>
      <w:proofErr w:type="spellStart"/>
      <w:r w:rsidRPr="00264FA1">
        <w:rPr>
          <w:i/>
          <w:iCs/>
        </w:rPr>
        <w:t>AirG</w:t>
      </w:r>
      <w:proofErr w:type="spellEnd"/>
      <w:r>
        <w:rPr>
          <w:i/>
          <w:iCs/>
        </w:rPr>
        <w:t xml:space="preserve"> </w:t>
      </w:r>
      <w:r w:rsidRPr="00264FA1">
        <w:rPr>
          <w:i/>
          <w:iCs/>
        </w:rPr>
        <w:t>and charges to account</w:t>
      </w:r>
      <w:r w:rsidRPr="00264FA1">
        <w:t xml:space="preserve">, blog post, </w:t>
      </w:r>
      <w:hyperlink r:id="rId5" w:history="1">
        <w:r w:rsidRPr="009E6B3A">
          <w:rPr>
            <w:rStyle w:val="Hyperlink"/>
          </w:rPr>
          <w:t>https://crowdsupport.telstra.com.au/t5/billing-payments/unsolicited-subscription-to-airg-and-charges-to-account/td-p/861377</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BEC9E" w14:textId="77777777" w:rsidR="0082329E" w:rsidRDefault="00F0681B" w:rsidP="00DE28B4">
    <w:pPr>
      <w:pStyle w:val="Header"/>
      <w:tabs>
        <w:tab w:val="clear" w:pos="9026"/>
      </w:tabs>
    </w:pPr>
    <w:r>
      <w:rPr>
        <w:noProof/>
      </w:rPr>
      <w:drawing>
        <wp:anchor distT="0" distB="0" distL="114300" distR="114300" simplePos="0" relativeHeight="251659264" behindDoc="1" locked="0" layoutInCell="1" allowOverlap="1" wp14:anchorId="0D468322" wp14:editId="65215A49">
          <wp:simplePos x="0" y="0"/>
          <wp:positionH relativeFrom="column">
            <wp:posOffset>5175445</wp:posOffset>
          </wp:positionH>
          <wp:positionV relativeFrom="paragraph">
            <wp:posOffset>90805</wp:posOffset>
          </wp:positionV>
          <wp:extent cx="773723" cy="358680"/>
          <wp:effectExtent l="0" t="0" r="762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773723" cy="3586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A6862" w14:textId="77777777" w:rsidR="00004C7D" w:rsidRDefault="00F0681B">
    <w:pPr>
      <w:pStyle w:val="Header"/>
    </w:pPr>
    <w:r>
      <w:rPr>
        <w:noProof/>
      </w:rPr>
      <w:drawing>
        <wp:anchor distT="0" distB="0" distL="114300" distR="114300" simplePos="0" relativeHeight="251660288" behindDoc="1" locked="0" layoutInCell="1" allowOverlap="1" wp14:anchorId="4B917F6E" wp14:editId="27D281CB">
          <wp:simplePos x="0" y="0"/>
          <wp:positionH relativeFrom="column">
            <wp:posOffset>4112078</wp:posOffset>
          </wp:positionH>
          <wp:positionV relativeFrom="paragraph">
            <wp:posOffset>332740</wp:posOffset>
          </wp:positionV>
          <wp:extent cx="1630800" cy="756000"/>
          <wp:effectExtent l="0" t="0" r="762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40A57"/>
    <w:multiLevelType w:val="hybridMultilevel"/>
    <w:tmpl w:val="A7A27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4F73F1"/>
    <w:multiLevelType w:val="hybridMultilevel"/>
    <w:tmpl w:val="68D092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CA6F09"/>
    <w:multiLevelType w:val="hybridMultilevel"/>
    <w:tmpl w:val="E276689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2B617668"/>
    <w:multiLevelType w:val="hybridMultilevel"/>
    <w:tmpl w:val="9DC8A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EA3AFD"/>
    <w:multiLevelType w:val="hybridMultilevel"/>
    <w:tmpl w:val="7C0C4234"/>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364709A3"/>
    <w:multiLevelType w:val="hybridMultilevel"/>
    <w:tmpl w:val="A0F45848"/>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6" w15:restartNumberingAfterBreak="0">
    <w:nsid w:val="3DCA3F08"/>
    <w:multiLevelType w:val="hybridMultilevel"/>
    <w:tmpl w:val="C72C623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3F877273"/>
    <w:multiLevelType w:val="hybridMultilevel"/>
    <w:tmpl w:val="E7A416D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3FA72970"/>
    <w:multiLevelType w:val="hybridMultilevel"/>
    <w:tmpl w:val="F0EAFC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A356FB"/>
    <w:multiLevelType w:val="hybridMultilevel"/>
    <w:tmpl w:val="69F66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EA6FFA"/>
    <w:multiLevelType w:val="hybridMultilevel"/>
    <w:tmpl w:val="6954256C"/>
    <w:lvl w:ilvl="0" w:tplc="8832724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2E82CAA"/>
    <w:multiLevelType w:val="hybridMultilevel"/>
    <w:tmpl w:val="5906AF9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64585F0D"/>
    <w:multiLevelType w:val="hybridMultilevel"/>
    <w:tmpl w:val="7C9E532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65C21CCC"/>
    <w:multiLevelType w:val="hybridMultilevel"/>
    <w:tmpl w:val="006C9E68"/>
    <w:lvl w:ilvl="0" w:tplc="DC484678">
      <w:start w:val="3"/>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E411E9"/>
    <w:multiLevelType w:val="hybridMultilevel"/>
    <w:tmpl w:val="F042AC26"/>
    <w:lvl w:ilvl="0" w:tplc="B6CC44BA">
      <w:start w:val="2"/>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A1C0B34"/>
    <w:multiLevelType w:val="hybridMultilevel"/>
    <w:tmpl w:val="945AB8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B002D2B"/>
    <w:multiLevelType w:val="hybridMultilevel"/>
    <w:tmpl w:val="330E1B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BA852CB"/>
    <w:multiLevelType w:val="hybridMultilevel"/>
    <w:tmpl w:val="E4366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AE0A63"/>
    <w:multiLevelType w:val="hybridMultilevel"/>
    <w:tmpl w:val="632026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8"/>
  </w:num>
  <w:num w:numId="3">
    <w:abstractNumId w:val="5"/>
  </w:num>
  <w:num w:numId="4">
    <w:abstractNumId w:val="3"/>
  </w:num>
  <w:num w:numId="5">
    <w:abstractNumId w:val="0"/>
  </w:num>
  <w:num w:numId="6">
    <w:abstractNumId w:val="17"/>
  </w:num>
  <w:num w:numId="7">
    <w:abstractNumId w:val="1"/>
  </w:num>
  <w:num w:numId="8">
    <w:abstractNumId w:val="11"/>
  </w:num>
  <w:num w:numId="9">
    <w:abstractNumId w:val="15"/>
  </w:num>
  <w:num w:numId="10">
    <w:abstractNumId w:val="2"/>
  </w:num>
  <w:num w:numId="11">
    <w:abstractNumId w:val="18"/>
  </w:num>
  <w:num w:numId="12">
    <w:abstractNumId w:val="4"/>
  </w:num>
  <w:num w:numId="13">
    <w:abstractNumId w:val="14"/>
  </w:num>
  <w:num w:numId="14">
    <w:abstractNumId w:val="16"/>
  </w:num>
  <w:num w:numId="15">
    <w:abstractNumId w:val="10"/>
  </w:num>
  <w:num w:numId="16">
    <w:abstractNumId w:val="7"/>
  </w:num>
  <w:num w:numId="17">
    <w:abstractNumId w:val="6"/>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D36"/>
    <w:rsid w:val="000345B4"/>
    <w:rsid w:val="00052737"/>
    <w:rsid w:val="000530BA"/>
    <w:rsid w:val="00056D71"/>
    <w:rsid w:val="000576D9"/>
    <w:rsid w:val="00077240"/>
    <w:rsid w:val="000D3F85"/>
    <w:rsid w:val="000E5CAE"/>
    <w:rsid w:val="00104DAD"/>
    <w:rsid w:val="00113AE0"/>
    <w:rsid w:val="001275E7"/>
    <w:rsid w:val="00151EAB"/>
    <w:rsid w:val="00185442"/>
    <w:rsid w:val="0019340F"/>
    <w:rsid w:val="001A3380"/>
    <w:rsid w:val="001A5738"/>
    <w:rsid w:val="001A772D"/>
    <w:rsid w:val="00210D35"/>
    <w:rsid w:val="00211174"/>
    <w:rsid w:val="00261BA9"/>
    <w:rsid w:val="00264FA1"/>
    <w:rsid w:val="002C30D3"/>
    <w:rsid w:val="002C7F9B"/>
    <w:rsid w:val="002F2ADF"/>
    <w:rsid w:val="00351C15"/>
    <w:rsid w:val="00381C48"/>
    <w:rsid w:val="003C3084"/>
    <w:rsid w:val="00405151"/>
    <w:rsid w:val="0041571F"/>
    <w:rsid w:val="00426E45"/>
    <w:rsid w:val="00445D76"/>
    <w:rsid w:val="00453DC0"/>
    <w:rsid w:val="00457A53"/>
    <w:rsid w:val="00470B4F"/>
    <w:rsid w:val="004B3570"/>
    <w:rsid w:val="004D4D32"/>
    <w:rsid w:val="004F16E4"/>
    <w:rsid w:val="00512C16"/>
    <w:rsid w:val="005310CC"/>
    <w:rsid w:val="00540A91"/>
    <w:rsid w:val="00554E89"/>
    <w:rsid w:val="005A23CC"/>
    <w:rsid w:val="005A7E55"/>
    <w:rsid w:val="005B702D"/>
    <w:rsid w:val="00616D29"/>
    <w:rsid w:val="00616D2F"/>
    <w:rsid w:val="00626BB2"/>
    <w:rsid w:val="0065393B"/>
    <w:rsid w:val="00655941"/>
    <w:rsid w:val="00667C72"/>
    <w:rsid w:val="00693CC5"/>
    <w:rsid w:val="0069798D"/>
    <w:rsid w:val="006A1E4D"/>
    <w:rsid w:val="006A2265"/>
    <w:rsid w:val="006C0196"/>
    <w:rsid w:val="0072184D"/>
    <w:rsid w:val="00735EB8"/>
    <w:rsid w:val="0074570E"/>
    <w:rsid w:val="00775B87"/>
    <w:rsid w:val="007908C5"/>
    <w:rsid w:val="007908C9"/>
    <w:rsid w:val="007944BC"/>
    <w:rsid w:val="007A5D36"/>
    <w:rsid w:val="007A77F8"/>
    <w:rsid w:val="00802234"/>
    <w:rsid w:val="00882492"/>
    <w:rsid w:val="008D3323"/>
    <w:rsid w:val="008F56F4"/>
    <w:rsid w:val="00901EB7"/>
    <w:rsid w:val="00970429"/>
    <w:rsid w:val="009762A1"/>
    <w:rsid w:val="00977753"/>
    <w:rsid w:val="009B4C71"/>
    <w:rsid w:val="009F5E7B"/>
    <w:rsid w:val="00A03B0E"/>
    <w:rsid w:val="00A0796F"/>
    <w:rsid w:val="00A10851"/>
    <w:rsid w:val="00A10C55"/>
    <w:rsid w:val="00A14234"/>
    <w:rsid w:val="00A73C9E"/>
    <w:rsid w:val="00A91F46"/>
    <w:rsid w:val="00AE02B9"/>
    <w:rsid w:val="00B03442"/>
    <w:rsid w:val="00B2146E"/>
    <w:rsid w:val="00B46C24"/>
    <w:rsid w:val="00B9041F"/>
    <w:rsid w:val="00BB2A36"/>
    <w:rsid w:val="00BD42C5"/>
    <w:rsid w:val="00C10481"/>
    <w:rsid w:val="00C1217A"/>
    <w:rsid w:val="00C155FA"/>
    <w:rsid w:val="00C25442"/>
    <w:rsid w:val="00C54340"/>
    <w:rsid w:val="00CC5390"/>
    <w:rsid w:val="00CD034D"/>
    <w:rsid w:val="00CD6D13"/>
    <w:rsid w:val="00D747CD"/>
    <w:rsid w:val="00DC0E05"/>
    <w:rsid w:val="00DC7A00"/>
    <w:rsid w:val="00DD6989"/>
    <w:rsid w:val="00DF4638"/>
    <w:rsid w:val="00DF7833"/>
    <w:rsid w:val="00E312DB"/>
    <w:rsid w:val="00E32D59"/>
    <w:rsid w:val="00E35BA2"/>
    <w:rsid w:val="00EA3214"/>
    <w:rsid w:val="00EB0736"/>
    <w:rsid w:val="00EB6D04"/>
    <w:rsid w:val="00ED7F0F"/>
    <w:rsid w:val="00EE709B"/>
    <w:rsid w:val="00EF3A6D"/>
    <w:rsid w:val="00F0681B"/>
    <w:rsid w:val="00F06869"/>
    <w:rsid w:val="00F2110A"/>
    <w:rsid w:val="00F8307D"/>
    <w:rsid w:val="00FF22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9C92C"/>
  <w15:docId w15:val="{6C6EB4D3-1567-41FA-9A20-2BC6A2B3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7F8"/>
    <w:rPr>
      <w:rFonts w:eastAsiaTheme="minorEastAsia"/>
      <w:lang w:eastAsia="en-AU"/>
    </w:rPr>
  </w:style>
  <w:style w:type="paragraph" w:styleId="Heading1">
    <w:name w:val="heading 1"/>
    <w:basedOn w:val="Normal"/>
    <w:next w:val="Normal"/>
    <w:link w:val="Heading1Char"/>
    <w:uiPriority w:val="9"/>
    <w:qFormat/>
    <w:rsid w:val="00E312DB"/>
    <w:pPr>
      <w:keepNext/>
      <w:keepLines/>
      <w:spacing w:before="120" w:after="0"/>
      <w:outlineLvl w:val="0"/>
    </w:pPr>
    <w:rPr>
      <w:rFonts w:eastAsiaTheme="majorEastAsia" w:cstheme="minorHAnsi"/>
      <w:b/>
      <w:bCs/>
      <w:sz w:val="28"/>
      <w:szCs w:val="28"/>
    </w:rPr>
  </w:style>
  <w:style w:type="paragraph" w:styleId="Heading2">
    <w:name w:val="heading 2"/>
    <w:basedOn w:val="Normal"/>
    <w:next w:val="Normal"/>
    <w:link w:val="Heading2Char"/>
    <w:uiPriority w:val="9"/>
    <w:unhideWhenUsed/>
    <w:qFormat/>
    <w:rsid w:val="00351C15"/>
    <w:pPr>
      <w:keepNext/>
      <w:keepLines/>
      <w:spacing w:before="200" w:after="100" w:afterAutospacing="1"/>
      <w:outlineLvl w:val="1"/>
    </w:pPr>
    <w:rPr>
      <w:rFonts w:eastAsiaTheme="majorEastAsia" w:cstheme="minorHAnsi"/>
      <w:bCs/>
      <w:i/>
      <w:sz w:val="26"/>
      <w:szCs w:val="26"/>
    </w:rPr>
  </w:style>
  <w:style w:type="paragraph" w:styleId="Heading3">
    <w:name w:val="heading 3"/>
    <w:basedOn w:val="Normal"/>
    <w:next w:val="Normal"/>
    <w:link w:val="Heading3Char"/>
    <w:uiPriority w:val="9"/>
    <w:unhideWhenUsed/>
    <w:qFormat/>
    <w:rsid w:val="00A10851"/>
    <w:pPr>
      <w:spacing w:before="100" w:beforeAutospacing="1" w:after="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D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D36"/>
    <w:rPr>
      <w:rFonts w:eastAsiaTheme="minorEastAsia"/>
      <w:lang w:eastAsia="en-AU"/>
    </w:rPr>
  </w:style>
  <w:style w:type="paragraph" w:styleId="Footer">
    <w:name w:val="footer"/>
    <w:basedOn w:val="Normal"/>
    <w:link w:val="FooterChar"/>
    <w:uiPriority w:val="99"/>
    <w:unhideWhenUsed/>
    <w:rsid w:val="007A5D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D36"/>
    <w:rPr>
      <w:rFonts w:eastAsiaTheme="minorEastAsia"/>
      <w:lang w:eastAsia="en-AU"/>
    </w:rPr>
  </w:style>
  <w:style w:type="character" w:styleId="Hyperlink">
    <w:name w:val="Hyperlink"/>
    <w:basedOn w:val="DefaultParagraphFont"/>
    <w:uiPriority w:val="99"/>
    <w:unhideWhenUsed/>
    <w:rsid w:val="007A5D36"/>
    <w:rPr>
      <w:color w:val="0000FF" w:themeColor="hyperlink"/>
      <w:u w:val="single"/>
    </w:rPr>
  </w:style>
  <w:style w:type="paragraph" w:customStyle="1" w:styleId="Footerpage1">
    <w:name w:val="Footer page 1"/>
    <w:rsid w:val="007A5D36"/>
    <w:pPr>
      <w:spacing w:line="240" w:lineRule="auto"/>
      <w:ind w:left="-754"/>
      <w:contextualSpacing/>
    </w:pPr>
    <w:rPr>
      <w:sz w:val="20"/>
      <w:szCs w:val="20"/>
    </w:rPr>
  </w:style>
  <w:style w:type="paragraph" w:styleId="ListParagraph">
    <w:name w:val="List Paragraph"/>
    <w:basedOn w:val="Normal"/>
    <w:uiPriority w:val="34"/>
    <w:qFormat/>
    <w:rsid w:val="00BD42C5"/>
    <w:pPr>
      <w:ind w:left="720"/>
      <w:contextualSpacing/>
    </w:pPr>
  </w:style>
  <w:style w:type="paragraph" w:styleId="Subtitle">
    <w:name w:val="Subtitle"/>
    <w:basedOn w:val="Normal"/>
    <w:next w:val="Normal"/>
    <w:link w:val="SubtitleChar"/>
    <w:uiPriority w:val="11"/>
    <w:qFormat/>
    <w:rsid w:val="003C30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3084"/>
    <w:rPr>
      <w:rFonts w:asciiTheme="majorHAnsi" w:eastAsiaTheme="majorEastAsia" w:hAnsiTheme="majorHAnsi" w:cstheme="majorBidi"/>
      <w:i/>
      <w:iCs/>
      <w:color w:val="4F81BD" w:themeColor="accent1"/>
      <w:spacing w:val="15"/>
      <w:sz w:val="24"/>
      <w:szCs w:val="24"/>
      <w:lang w:eastAsia="en-AU"/>
    </w:rPr>
  </w:style>
  <w:style w:type="character" w:customStyle="1" w:styleId="Heading1Char">
    <w:name w:val="Heading 1 Char"/>
    <w:basedOn w:val="DefaultParagraphFont"/>
    <w:link w:val="Heading1"/>
    <w:uiPriority w:val="9"/>
    <w:rsid w:val="00E312DB"/>
    <w:rPr>
      <w:rFonts w:eastAsiaTheme="majorEastAsia" w:cstheme="minorHAnsi"/>
      <w:b/>
      <w:bCs/>
      <w:sz w:val="28"/>
      <w:szCs w:val="28"/>
      <w:lang w:eastAsia="en-AU"/>
    </w:rPr>
  </w:style>
  <w:style w:type="paragraph" w:styleId="FootnoteText">
    <w:name w:val="footnote text"/>
    <w:basedOn w:val="Normal"/>
    <w:link w:val="FootnoteTextChar"/>
    <w:uiPriority w:val="99"/>
    <w:semiHidden/>
    <w:unhideWhenUsed/>
    <w:rsid w:val="00EA32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3214"/>
    <w:rPr>
      <w:rFonts w:eastAsiaTheme="minorEastAsia"/>
      <w:sz w:val="20"/>
      <w:szCs w:val="20"/>
      <w:lang w:eastAsia="en-AU"/>
    </w:rPr>
  </w:style>
  <w:style w:type="character" w:styleId="FootnoteReference">
    <w:name w:val="footnote reference"/>
    <w:basedOn w:val="DefaultParagraphFont"/>
    <w:uiPriority w:val="99"/>
    <w:semiHidden/>
    <w:unhideWhenUsed/>
    <w:rsid w:val="00EA3214"/>
    <w:rPr>
      <w:vertAlign w:val="superscript"/>
    </w:rPr>
  </w:style>
  <w:style w:type="character" w:styleId="CommentReference">
    <w:name w:val="annotation reference"/>
    <w:basedOn w:val="DefaultParagraphFont"/>
    <w:uiPriority w:val="99"/>
    <w:semiHidden/>
    <w:unhideWhenUsed/>
    <w:rsid w:val="00EA3214"/>
    <w:rPr>
      <w:sz w:val="16"/>
      <w:szCs w:val="16"/>
    </w:rPr>
  </w:style>
  <w:style w:type="paragraph" w:styleId="CommentText">
    <w:name w:val="annotation text"/>
    <w:basedOn w:val="Normal"/>
    <w:link w:val="CommentTextChar"/>
    <w:uiPriority w:val="99"/>
    <w:semiHidden/>
    <w:unhideWhenUsed/>
    <w:rsid w:val="00EA3214"/>
    <w:pPr>
      <w:spacing w:line="240" w:lineRule="auto"/>
    </w:pPr>
    <w:rPr>
      <w:sz w:val="20"/>
      <w:szCs w:val="20"/>
    </w:rPr>
  </w:style>
  <w:style w:type="character" w:customStyle="1" w:styleId="CommentTextChar">
    <w:name w:val="Comment Text Char"/>
    <w:basedOn w:val="DefaultParagraphFont"/>
    <w:link w:val="CommentText"/>
    <w:uiPriority w:val="99"/>
    <w:semiHidden/>
    <w:rsid w:val="00EA3214"/>
    <w:rPr>
      <w:rFonts w:eastAsiaTheme="minorEastAsia"/>
      <w:sz w:val="20"/>
      <w:szCs w:val="20"/>
      <w:lang w:eastAsia="en-AU"/>
    </w:rPr>
  </w:style>
  <w:style w:type="paragraph" w:styleId="CommentSubject">
    <w:name w:val="annotation subject"/>
    <w:basedOn w:val="CommentText"/>
    <w:next w:val="CommentText"/>
    <w:link w:val="CommentSubjectChar"/>
    <w:uiPriority w:val="99"/>
    <w:semiHidden/>
    <w:unhideWhenUsed/>
    <w:rsid w:val="00EA3214"/>
    <w:rPr>
      <w:b/>
      <w:bCs/>
    </w:rPr>
  </w:style>
  <w:style w:type="character" w:customStyle="1" w:styleId="CommentSubjectChar">
    <w:name w:val="Comment Subject Char"/>
    <w:basedOn w:val="CommentTextChar"/>
    <w:link w:val="CommentSubject"/>
    <w:uiPriority w:val="99"/>
    <w:semiHidden/>
    <w:rsid w:val="00EA3214"/>
    <w:rPr>
      <w:rFonts w:eastAsiaTheme="minorEastAsia"/>
      <w:b/>
      <w:bCs/>
      <w:sz w:val="20"/>
      <w:szCs w:val="20"/>
      <w:lang w:eastAsia="en-AU"/>
    </w:rPr>
  </w:style>
  <w:style w:type="paragraph" w:styleId="BalloonText">
    <w:name w:val="Balloon Text"/>
    <w:basedOn w:val="Normal"/>
    <w:link w:val="BalloonTextChar"/>
    <w:uiPriority w:val="99"/>
    <w:semiHidden/>
    <w:unhideWhenUsed/>
    <w:rsid w:val="00EA3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214"/>
    <w:rPr>
      <w:rFonts w:ascii="Tahoma" w:eastAsiaTheme="minorEastAsia" w:hAnsi="Tahoma" w:cs="Tahoma"/>
      <w:sz w:val="16"/>
      <w:szCs w:val="16"/>
      <w:lang w:eastAsia="en-AU"/>
    </w:rPr>
  </w:style>
  <w:style w:type="character" w:customStyle="1" w:styleId="Heading2Char">
    <w:name w:val="Heading 2 Char"/>
    <w:basedOn w:val="DefaultParagraphFont"/>
    <w:link w:val="Heading2"/>
    <w:uiPriority w:val="9"/>
    <w:rsid w:val="00351C15"/>
    <w:rPr>
      <w:rFonts w:eastAsiaTheme="majorEastAsia" w:cstheme="minorHAnsi"/>
      <w:bCs/>
      <w:i/>
      <w:sz w:val="26"/>
      <w:szCs w:val="26"/>
      <w:lang w:eastAsia="en-AU"/>
    </w:rPr>
  </w:style>
  <w:style w:type="character" w:customStyle="1" w:styleId="Heading3Char">
    <w:name w:val="Heading 3 Char"/>
    <w:basedOn w:val="DefaultParagraphFont"/>
    <w:link w:val="Heading3"/>
    <w:uiPriority w:val="9"/>
    <w:rsid w:val="00A10851"/>
    <w:rPr>
      <w:rFonts w:eastAsiaTheme="minorEastAsia"/>
      <w:b/>
      <w:sz w:val="24"/>
      <w:lang w:eastAsia="en-AU"/>
    </w:rPr>
  </w:style>
  <w:style w:type="character" w:styleId="UnresolvedMention">
    <w:name w:val="Unresolved Mention"/>
    <w:basedOn w:val="DefaultParagraphFont"/>
    <w:uiPriority w:val="99"/>
    <w:semiHidden/>
    <w:unhideWhenUsed/>
    <w:rsid w:val="00A0796F"/>
    <w:rPr>
      <w:color w:val="605E5C"/>
      <w:shd w:val="clear" w:color="auto" w:fill="E1DFDD"/>
    </w:rPr>
  </w:style>
  <w:style w:type="character" w:styleId="FollowedHyperlink">
    <w:name w:val="FollowedHyperlink"/>
    <w:basedOn w:val="DefaultParagraphFont"/>
    <w:uiPriority w:val="99"/>
    <w:semiHidden/>
    <w:unhideWhenUsed/>
    <w:rsid w:val="00264F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92367">
      <w:bodyDiv w:val="1"/>
      <w:marLeft w:val="0"/>
      <w:marRight w:val="0"/>
      <w:marTop w:val="0"/>
      <w:marBottom w:val="0"/>
      <w:divBdr>
        <w:top w:val="none" w:sz="0" w:space="0" w:color="auto"/>
        <w:left w:val="none" w:sz="0" w:space="0" w:color="auto"/>
        <w:bottom w:val="none" w:sz="0" w:space="0" w:color="auto"/>
        <w:right w:val="none" w:sz="0" w:space="0" w:color="auto"/>
      </w:divBdr>
    </w:div>
    <w:div w:id="937909959">
      <w:bodyDiv w:val="1"/>
      <w:marLeft w:val="0"/>
      <w:marRight w:val="0"/>
      <w:marTop w:val="0"/>
      <w:marBottom w:val="0"/>
      <w:divBdr>
        <w:top w:val="none" w:sz="0" w:space="0" w:color="auto"/>
        <w:left w:val="none" w:sz="0" w:space="0" w:color="auto"/>
        <w:bottom w:val="none" w:sz="0" w:space="0" w:color="auto"/>
        <w:right w:val="none" w:sz="0" w:space="0" w:color="auto"/>
      </w:divBdr>
    </w:div>
    <w:div w:id="1699894979">
      <w:bodyDiv w:val="1"/>
      <w:marLeft w:val="0"/>
      <w:marRight w:val="0"/>
      <w:marTop w:val="0"/>
      <w:marBottom w:val="0"/>
      <w:divBdr>
        <w:top w:val="none" w:sz="0" w:space="0" w:color="auto"/>
        <w:left w:val="none" w:sz="0" w:space="0" w:color="auto"/>
        <w:bottom w:val="none" w:sz="0" w:space="0" w:color="auto"/>
        <w:right w:val="none" w:sz="0" w:space="0" w:color="auto"/>
      </w:divBdr>
    </w:div>
    <w:div w:id="1712992693">
      <w:bodyDiv w:val="1"/>
      <w:marLeft w:val="0"/>
      <w:marRight w:val="0"/>
      <w:marTop w:val="0"/>
      <w:marBottom w:val="0"/>
      <w:divBdr>
        <w:top w:val="none" w:sz="0" w:space="0" w:color="auto"/>
        <w:left w:val="none" w:sz="0" w:space="0" w:color="auto"/>
        <w:bottom w:val="none" w:sz="0" w:space="0" w:color="auto"/>
        <w:right w:val="none" w:sz="0" w:space="0" w:color="auto"/>
      </w:divBdr>
    </w:div>
    <w:div w:id="1738438704">
      <w:bodyDiv w:val="1"/>
      <w:marLeft w:val="0"/>
      <w:marRight w:val="0"/>
      <w:marTop w:val="0"/>
      <w:marBottom w:val="0"/>
      <w:divBdr>
        <w:top w:val="none" w:sz="0" w:space="0" w:color="auto"/>
        <w:left w:val="none" w:sz="0" w:space="0" w:color="auto"/>
        <w:bottom w:val="none" w:sz="0" w:space="0" w:color="auto"/>
        <w:right w:val="none" w:sz="0" w:space="0" w:color="auto"/>
      </w:divBdr>
    </w:div>
    <w:div w:id="19319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bekah.Sarkoezy@accan.org.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unicationsfutures@acma.gov.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gov.au/Details/F2014C011654" TargetMode="External"/><Relationship Id="rId2" Type="http://schemas.openxmlformats.org/officeDocument/2006/relationships/hyperlink" Target="http://accan.org.au/files/Submissions/ACCAN%20submission%20to%20the%20Draft%20Mobile%20Premium%20Services%20Code%20DR%20C637%202019.pdf" TargetMode="External"/><Relationship Id="rId1" Type="http://schemas.openxmlformats.org/officeDocument/2006/relationships/hyperlink" Target="https://accan.org.au/our-work/research/1400-third-party-charges-consumer-experiences-and-expectations" TargetMode="External"/><Relationship Id="rId5" Type="http://schemas.openxmlformats.org/officeDocument/2006/relationships/hyperlink" Target="https://crowdsupport.telstra.com.au/t5/billing-payments/unsolicited-subscription-to-airg-and-charges-to-account/td-p/861377" TargetMode="External"/><Relationship Id="rId4" Type="http://schemas.openxmlformats.org/officeDocument/2006/relationships/hyperlink" Target="https://www.legislation.gov.au/Details/F2013C001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CB11904FCB124BB6ADC686B50405ED" ma:contentTypeVersion="13" ma:contentTypeDescription="Create a new document." ma:contentTypeScope="" ma:versionID="ff6a07d1560f319dab6e1c50a45e8fca">
  <xsd:schema xmlns:xsd="http://www.w3.org/2001/XMLSchema" xmlns:xs="http://www.w3.org/2001/XMLSchema" xmlns:p="http://schemas.microsoft.com/office/2006/metadata/properties" xmlns:ns2="2d8fb88f-3a1f-4799-a700-b6f357ce1403" xmlns:ns3="2afa1a33-c191-48ee-b288-192490d33fec" targetNamespace="http://schemas.microsoft.com/office/2006/metadata/properties" ma:root="true" ma:fieldsID="9f0527337a7e30d618e5d1dcd7b02c68" ns2:_="" ns3:_="">
    <xsd:import namespace="2d8fb88f-3a1f-4799-a700-b6f357ce1403"/>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b88f-3a1f-4799-a700-b6f357ce1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621059-ED64-41E2-A3AE-38567FD6CA10}">
  <ds:schemaRefs>
    <ds:schemaRef ds:uri="http://schemas.microsoft.com/sharepoint/v3/contenttype/forms"/>
  </ds:schemaRefs>
</ds:datastoreItem>
</file>

<file path=customXml/itemProps2.xml><?xml version="1.0" encoding="utf-8"?>
<ds:datastoreItem xmlns:ds="http://schemas.openxmlformats.org/officeDocument/2006/customXml" ds:itemID="{F29462B7-0F3D-4830-B2C4-16AC19D8A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fb88f-3a1f-4799-a700-b6f357ce1403"/>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458A00-611E-4A0F-95C0-BD527A2CB900}">
  <ds:schemaRefs>
    <ds:schemaRef ds:uri="http://schemas.openxmlformats.org/officeDocument/2006/bibliography"/>
  </ds:schemaRefs>
</ds:datastoreItem>
</file>

<file path=customXml/itemProps4.xml><?xml version="1.0" encoding="utf-8"?>
<ds:datastoreItem xmlns:ds="http://schemas.openxmlformats.org/officeDocument/2006/customXml" ds:itemID="{9B21398E-7C0A-4DFE-A70B-7A6D83ACB0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Sarkoezy</dc:creator>
  <cp:lastModifiedBy>Richard Van Der Male</cp:lastModifiedBy>
  <cp:revision>5</cp:revision>
  <cp:lastPrinted>2019-11-08T02:47:00Z</cp:lastPrinted>
  <dcterms:created xsi:type="dcterms:W3CDTF">2021-01-15T03:00:00Z</dcterms:created>
  <dcterms:modified xsi:type="dcterms:W3CDTF">2021-03-02T23:55:00Z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0x01010065CB11904FCB124BB6ADC686B50405ED</vt:lpwstr>
  </property>
</Properties>
</file>