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E3AA" w14:textId="39AC9865" w:rsidR="007A5D36" w:rsidRPr="00BD42C5" w:rsidRDefault="6A61E10E" w:rsidP="00566EB6">
      <w:pPr>
        <w:spacing w:line="240" w:lineRule="auto"/>
      </w:pPr>
      <w:r w:rsidRPr="004B7A5E">
        <w:t>19</w:t>
      </w:r>
      <w:r w:rsidR="00C14CA4" w:rsidRPr="004B7A5E">
        <w:t xml:space="preserve"> August</w:t>
      </w:r>
      <w:r w:rsidR="007A68A1">
        <w:t xml:space="preserve"> 2021</w:t>
      </w:r>
    </w:p>
    <w:p w14:paraId="35D9D941" w14:textId="1531D6BD" w:rsidR="00E146A8" w:rsidRPr="00BD42C5" w:rsidRDefault="00985CFE" w:rsidP="00E146A8">
      <w:pPr>
        <w:spacing w:line="240" w:lineRule="auto"/>
      </w:pPr>
      <w:r>
        <w:t>Craig Purdon</w:t>
      </w:r>
      <w:r w:rsidR="00E146A8" w:rsidRPr="00BD42C5">
        <w:br/>
        <w:t>Project Manager</w:t>
      </w:r>
      <w:r w:rsidR="00E146A8" w:rsidRPr="00BD42C5">
        <w:br/>
        <w:t>Communications Alliance</w:t>
      </w:r>
      <w:r w:rsidR="00E146A8" w:rsidRPr="00BD42C5">
        <w:br/>
      </w:r>
      <w:r w:rsidR="00E146A8" w:rsidRPr="00E32D59">
        <w:t xml:space="preserve">By </w:t>
      </w:r>
      <w:r w:rsidR="00E146A8" w:rsidRPr="00E32D59">
        <w:rPr>
          <w:rFonts w:cstheme="minorHAnsi"/>
        </w:rPr>
        <w:t xml:space="preserve">email: </w:t>
      </w:r>
      <w:hyperlink r:id="rId11" w:history="1">
        <w:r w:rsidR="00E146A8" w:rsidRPr="00E32D59">
          <w:rPr>
            <w:rStyle w:val="Hyperlink"/>
            <w:rFonts w:cstheme="minorHAnsi"/>
          </w:rPr>
          <w:t>c.purdon@commsalliance.com.au</w:t>
        </w:r>
      </w:hyperlink>
      <w:r w:rsidR="00E146A8" w:rsidRPr="00E32D59">
        <w:t xml:space="preserve"> </w:t>
      </w:r>
    </w:p>
    <w:p w14:paraId="6D4706A5" w14:textId="77777777" w:rsidR="00086378" w:rsidRDefault="00086378" w:rsidP="00566EB6">
      <w:pPr>
        <w:spacing w:line="240" w:lineRule="auto"/>
      </w:pPr>
    </w:p>
    <w:p w14:paraId="3A94FE6B" w14:textId="2E127497" w:rsidR="00565E28" w:rsidRPr="00565E28" w:rsidRDefault="00BD42C5" w:rsidP="00566EB6">
      <w:pPr>
        <w:spacing w:line="240" w:lineRule="auto"/>
      </w:pPr>
      <w:r>
        <w:t xml:space="preserve">Dear </w:t>
      </w:r>
      <w:r w:rsidR="00985CFE">
        <w:t>Craig</w:t>
      </w:r>
    </w:p>
    <w:p w14:paraId="583D284D" w14:textId="59DD467B" w:rsidR="007A5D36" w:rsidRPr="00BD42C5" w:rsidRDefault="00BD42C5" w:rsidP="00566EB6">
      <w:pPr>
        <w:spacing w:line="240" w:lineRule="auto"/>
        <w:rPr>
          <w:b/>
        </w:rPr>
      </w:pPr>
      <w:r w:rsidRPr="00BD42C5">
        <w:rPr>
          <w:b/>
        </w:rPr>
        <w:t>Re:</w:t>
      </w:r>
      <w:r w:rsidR="009F524B">
        <w:rPr>
          <w:b/>
        </w:rPr>
        <w:t xml:space="preserve"> Review of</w:t>
      </w:r>
      <w:r w:rsidRPr="00BD42C5">
        <w:rPr>
          <w:b/>
        </w:rPr>
        <w:t xml:space="preserve"> </w:t>
      </w:r>
      <w:r w:rsidR="00F322F0" w:rsidRPr="00F322F0">
        <w:rPr>
          <w:b/>
        </w:rPr>
        <w:t>C540:2013 Local Number Portability - Incorporating Variation No.1/2016</w:t>
      </w:r>
    </w:p>
    <w:p w14:paraId="4F07B4D4" w14:textId="1DF84E37" w:rsidR="00B4329B" w:rsidRDefault="00BD42C5" w:rsidP="0021558D">
      <w:r w:rsidRPr="00BD42C5">
        <w:t xml:space="preserve">ACCAN </w:t>
      </w:r>
      <w:r w:rsidR="00086378">
        <w:t xml:space="preserve">thanks </w:t>
      </w:r>
      <w:r w:rsidR="00511465">
        <w:t xml:space="preserve">Communications Alliance for the opportunity to provide comments on the review of </w:t>
      </w:r>
      <w:r w:rsidR="001A0171" w:rsidRPr="001A0171">
        <w:t xml:space="preserve">C540:2013 Local Number Portability - Incorporating Variation No.1/2016 </w:t>
      </w:r>
      <w:r w:rsidR="00062A46">
        <w:t>(</w:t>
      </w:r>
      <w:r w:rsidR="00062A46" w:rsidRPr="00062A46">
        <w:rPr>
          <w:b/>
          <w:bCs/>
        </w:rPr>
        <w:t>the Code</w:t>
      </w:r>
      <w:r w:rsidR="00062A46">
        <w:t>)</w:t>
      </w:r>
      <w:r w:rsidR="00386C98">
        <w:t xml:space="preserve">. </w:t>
      </w:r>
    </w:p>
    <w:p w14:paraId="649A4C1E" w14:textId="77777777" w:rsidR="002F48F3" w:rsidRDefault="00F23629" w:rsidP="0012636E">
      <w:r>
        <w:t xml:space="preserve">Telecommunications market competition hinges on consumers’ ability to easily change providers, and this ability relies on industry’s compliance with clearly defined and well-designed number porting rules. </w:t>
      </w:r>
    </w:p>
    <w:p w14:paraId="18BBE033" w14:textId="78409459" w:rsidR="00544CE4" w:rsidRDefault="0063541B" w:rsidP="0012636E">
      <w:r>
        <w:t>In our submission to the review of</w:t>
      </w:r>
      <w:r w:rsidR="0012636E">
        <w:t xml:space="preserve"> </w:t>
      </w:r>
      <w:r w:rsidR="0012636E" w:rsidRPr="00544CE4">
        <w:rPr>
          <w:i/>
          <w:iCs/>
        </w:rPr>
        <w:t xml:space="preserve">C566:2005 </w:t>
      </w:r>
      <w:r w:rsidR="00F27564" w:rsidRPr="00544CE4">
        <w:rPr>
          <w:i/>
          <w:iCs/>
        </w:rPr>
        <w:t xml:space="preserve">Rights </w:t>
      </w:r>
      <w:proofErr w:type="gramStart"/>
      <w:r w:rsidR="00F27564" w:rsidRPr="00544CE4">
        <w:rPr>
          <w:i/>
          <w:iCs/>
        </w:rPr>
        <w:t>Of</w:t>
      </w:r>
      <w:proofErr w:type="gramEnd"/>
      <w:r w:rsidR="00F27564" w:rsidRPr="00544CE4">
        <w:rPr>
          <w:i/>
          <w:iCs/>
        </w:rPr>
        <w:t xml:space="preserve"> Use Of Numbers</w:t>
      </w:r>
      <w:r w:rsidR="00832250" w:rsidRPr="00544CE4">
        <w:rPr>
          <w:i/>
          <w:iCs/>
        </w:rPr>
        <w:t xml:space="preserve"> Industry Code</w:t>
      </w:r>
      <w:r w:rsidR="00544CE4">
        <w:t xml:space="preserve"> (the </w:t>
      </w:r>
      <w:r w:rsidR="00544CE4" w:rsidRPr="00AA321A">
        <w:rPr>
          <w:b/>
          <w:bCs/>
        </w:rPr>
        <w:t>ROU Code</w:t>
      </w:r>
      <w:r w:rsidR="00544CE4">
        <w:t>)</w:t>
      </w:r>
      <w:r w:rsidR="00F27564">
        <w:t xml:space="preserve">, we detailed </w:t>
      </w:r>
      <w:r w:rsidR="00832250">
        <w:t>our concerns with the extent of consumer detriment</w:t>
      </w:r>
      <w:r w:rsidR="00916BAD">
        <w:t xml:space="preserve"> stemming from unsuitable</w:t>
      </w:r>
      <w:r w:rsidR="00832250">
        <w:t xml:space="preserve"> number</w:t>
      </w:r>
      <w:r w:rsidR="00AA321A">
        <w:t>ing</w:t>
      </w:r>
      <w:r w:rsidR="00D128D1">
        <w:t xml:space="preserve"> regulations</w:t>
      </w:r>
      <w:r w:rsidR="00832250">
        <w:t xml:space="preserve">: specifically, </w:t>
      </w:r>
      <w:r w:rsidR="00544CE4">
        <w:t xml:space="preserve">insufficient requirements surrounding CSPs’ </w:t>
      </w:r>
      <w:r w:rsidR="00916BAD">
        <w:t>retrieval of number</w:t>
      </w:r>
      <w:r w:rsidR="00832250">
        <w:t>s from</w:t>
      </w:r>
      <w:r w:rsidR="00916BAD">
        <w:t xml:space="preserve"> quarantine</w:t>
      </w:r>
      <w:r w:rsidR="00832250">
        <w:t xml:space="preserve"> once disconnected.</w:t>
      </w:r>
      <w:r w:rsidR="00CC3862">
        <w:t xml:space="preserve"> </w:t>
      </w:r>
    </w:p>
    <w:p w14:paraId="18B68200" w14:textId="5C762ABD" w:rsidR="0063714D" w:rsidRDefault="00F230DD" w:rsidP="00031DE1">
      <w:r>
        <w:t>ACCAN</w:t>
      </w:r>
      <w:r w:rsidR="00193DB9">
        <w:t xml:space="preserve"> holds similar </w:t>
      </w:r>
      <w:r w:rsidR="003D7DCC">
        <w:t xml:space="preserve">and additional </w:t>
      </w:r>
      <w:r w:rsidR="00193DB9">
        <w:t>concerns in relation to the Local Number Portability Code</w:t>
      </w:r>
      <w:r w:rsidR="00106AEC">
        <w:t xml:space="preserve"> which are detailed below</w:t>
      </w:r>
      <w:r w:rsidR="00193DB9">
        <w:t>.</w:t>
      </w:r>
      <w:r w:rsidR="003D7DCC">
        <w:t xml:space="preserve"> </w:t>
      </w:r>
    </w:p>
    <w:p w14:paraId="7E54DF4D" w14:textId="629EF1E5" w:rsidR="0063714D" w:rsidRPr="006628BD" w:rsidRDefault="0063714D" w:rsidP="0063714D">
      <w:pPr>
        <w:pStyle w:val="Heading3"/>
      </w:pPr>
      <w:r>
        <w:t>Consumer experiences of local number port</w:t>
      </w:r>
      <w:r w:rsidR="00106AEC">
        <w:t>ability</w:t>
      </w:r>
    </w:p>
    <w:p w14:paraId="19077C18" w14:textId="0D8118D8" w:rsidR="0063714D" w:rsidRDefault="00106AEC" w:rsidP="0063714D">
      <w:r>
        <w:t>Aside from widespread consumer inconvenience and detriment stemming from Telstra’s non-compliance with the Code in 2020,</w:t>
      </w:r>
      <w:r>
        <w:rPr>
          <w:rStyle w:val="FootnoteReference"/>
        </w:rPr>
        <w:footnoteReference w:id="2"/>
      </w:r>
      <w:r>
        <w:t xml:space="preserve"> ACCAN has been made directly aware of 4 consumer cases in the past 12 months where mismanaged local number porting created consumer detriment</w:t>
      </w:r>
      <w:r w:rsidR="39788F36">
        <w:t xml:space="preserve">. </w:t>
      </w:r>
      <w:r w:rsidR="3365DF7D">
        <w:t>I</w:t>
      </w:r>
      <w:r>
        <w:t xml:space="preserve">n these cases, the detriment ranged from substantial inconvenience to significant income loss. </w:t>
      </w:r>
      <w:r w:rsidR="0063714D">
        <w:t>Additionally, the Telecommunications Industry Ombudsman (</w:t>
      </w:r>
      <w:r w:rsidR="0063714D" w:rsidRPr="007E24B6">
        <w:rPr>
          <w:b/>
          <w:bCs/>
        </w:rPr>
        <w:t>TIO</w:t>
      </w:r>
      <w:r w:rsidR="0063714D">
        <w:t>) and Australian Communications and Media Authority (</w:t>
      </w:r>
      <w:r w:rsidR="0063714D" w:rsidRPr="007E24B6">
        <w:rPr>
          <w:b/>
          <w:bCs/>
        </w:rPr>
        <w:t>ACMA</w:t>
      </w:r>
      <w:r w:rsidR="0063714D">
        <w:t xml:space="preserve">) have expressed their concerns in relation to local number loss while consumers transition to the NBN, identifying this as a systemic consumer issue. </w:t>
      </w:r>
    </w:p>
    <w:p w14:paraId="4F306695" w14:textId="24662670" w:rsidR="0063714D" w:rsidRDefault="0063714D" w:rsidP="0063714D">
      <w:r>
        <w:t xml:space="preserve">Of </w:t>
      </w:r>
      <w:proofErr w:type="gramStart"/>
      <w:r>
        <w:t>particular note</w:t>
      </w:r>
      <w:proofErr w:type="gramEnd"/>
      <w:r>
        <w:t xml:space="preserve">, ACCAN </w:t>
      </w:r>
      <w:r w:rsidR="00106AEC">
        <w:t>was recently</w:t>
      </w:r>
      <w:r>
        <w:t xml:space="preserve"> contacted by a small business consumer whose local number port was reversed in error</w:t>
      </w:r>
      <w:r w:rsidR="00FA5CF6">
        <w:t>,</w:t>
      </w:r>
      <w:r>
        <w:t xml:space="preserve"> months after switching providers</w:t>
      </w:r>
      <w:r w:rsidR="00106AEC">
        <w:t xml:space="preserve"> and successfully porting their local number</w:t>
      </w:r>
      <w:r>
        <w:t>. The</w:t>
      </w:r>
      <w:r w:rsidR="008F13EC">
        <w:t xml:space="preserve"> losing</w:t>
      </w:r>
      <w:r>
        <w:t xml:space="preserve"> provider was slow to respond to the affected consumer who immediately made a complaint to the TIO. The local number was returned to the consumer after one week</w:t>
      </w:r>
      <w:r w:rsidR="00D85024">
        <w:t xml:space="preserve"> of being </w:t>
      </w:r>
      <w:r w:rsidR="00D85024">
        <w:lastRenderedPageBreak/>
        <w:t>unable to receive calls; by this time,</w:t>
      </w:r>
      <w:r>
        <w:t xml:space="preserve"> the consumer had experienced significant business loss and </w:t>
      </w:r>
      <w:r w:rsidR="0064568C">
        <w:t xml:space="preserve">consequently </w:t>
      </w:r>
      <w:r>
        <w:t>sought financial compensation from the provid</w:t>
      </w:r>
      <w:r w:rsidR="0064568C">
        <w:t>er</w:t>
      </w:r>
      <w:r>
        <w:t>.</w:t>
      </w:r>
    </w:p>
    <w:p w14:paraId="746914EE" w14:textId="7B594BB5" w:rsidR="0063714D" w:rsidRDefault="0064568C" w:rsidP="00031DE1">
      <w:r>
        <w:t>In fact, i</w:t>
      </w:r>
      <w:r w:rsidR="0063714D">
        <w:t xml:space="preserve">t took 3 months for ACCAN’s own </w:t>
      </w:r>
      <w:r w:rsidR="00403105">
        <w:t xml:space="preserve">local </w:t>
      </w:r>
      <w:r w:rsidR="0063714D">
        <w:t>number range to be ported prior to the ADSL switch-off. ACCAN’s number port</w:t>
      </w:r>
      <w:r w:rsidR="00A83589">
        <w:t xml:space="preserve"> request</w:t>
      </w:r>
      <w:r w:rsidR="0063714D">
        <w:t xml:space="preserve">, </w:t>
      </w:r>
      <w:r w:rsidR="00A83589">
        <w:t xml:space="preserve">involving </w:t>
      </w:r>
      <w:r w:rsidR="0063714D">
        <w:t>a batch of approximately 20</w:t>
      </w:r>
      <w:r w:rsidR="00A83589">
        <w:t xml:space="preserve"> local</w:t>
      </w:r>
      <w:r w:rsidR="0063714D">
        <w:t xml:space="preserve"> numbers, was repeatedly automatically rejected by our carrier due to an unexplained systems error. The losing carrier was not obligated to resolve the issue of the unexplained port reject</w:t>
      </w:r>
      <w:r w:rsidR="003B4F26">
        <w:t>ion</w:t>
      </w:r>
      <w:r w:rsidR="0063714D">
        <w:t xml:space="preserve"> within any specified timeframe, nor was it required to keep in communication with ACCAN regarding the progress of the port. This meant that it took an astonishing 3 months of frequent following up by ACCAN staff to resolve the issue; in the end, the issue was resolved after ACCAN escalated the issue to senior executives at the provider, a channel not available to </w:t>
      </w:r>
      <w:proofErr w:type="gramStart"/>
      <w:r w:rsidR="0063714D">
        <w:t>the vast majority of</w:t>
      </w:r>
      <w:proofErr w:type="gramEnd"/>
      <w:r w:rsidR="0063714D">
        <w:t xml:space="preserve"> communications consumers. </w:t>
      </w:r>
    </w:p>
    <w:p w14:paraId="45F3EFB2" w14:textId="2CA5EC5A" w:rsidR="001A2BA5" w:rsidRDefault="003D7DCC" w:rsidP="00031DE1">
      <w:r>
        <w:t xml:space="preserve">There is widespread evidence </w:t>
      </w:r>
      <w:r w:rsidR="00031DE1">
        <w:t>to</w:t>
      </w:r>
      <w:r>
        <w:t xml:space="preserve"> suggest current industry processes surrounding </w:t>
      </w:r>
      <w:r w:rsidR="002F48F3">
        <w:t xml:space="preserve">local number porting </w:t>
      </w:r>
      <w:r w:rsidR="00031DE1">
        <w:t>are far out of line with consumer expectations</w:t>
      </w:r>
      <w:r w:rsidR="008667DF">
        <w:t xml:space="preserve"> and market developments, particularly the technical capabilities of facilitating telephone number porting.</w:t>
      </w:r>
      <w:r>
        <w:t xml:space="preserve"> </w:t>
      </w:r>
      <w:r w:rsidR="001A2BA5" w:rsidRPr="0062761A">
        <w:t xml:space="preserve">In the 2019-20 financial year, </w:t>
      </w:r>
      <w:r w:rsidR="006545DD">
        <w:t>approximately 10</w:t>
      </w:r>
      <w:r w:rsidR="001A2BA5" w:rsidRPr="0062761A">
        <w:t>% of the 15,990 landline complaints received by the TIO involved a</w:t>
      </w:r>
      <w:r w:rsidR="00991452">
        <w:t xml:space="preserve">n issue </w:t>
      </w:r>
      <w:r w:rsidR="001A2BA5" w:rsidRPr="0062761A">
        <w:t xml:space="preserve">related to connection, </w:t>
      </w:r>
      <w:proofErr w:type="gramStart"/>
      <w:r w:rsidR="001A2BA5" w:rsidRPr="0062761A">
        <w:t>disconnection</w:t>
      </w:r>
      <w:proofErr w:type="gramEnd"/>
      <w:r w:rsidR="001A2BA5" w:rsidRPr="0062761A">
        <w:t xml:space="preserve"> or the transfer of a telephone number</w:t>
      </w:r>
      <w:r w:rsidR="006E23C6">
        <w:t xml:space="preserve">; </w:t>
      </w:r>
      <w:r w:rsidR="00C90987">
        <w:t>conversely</w:t>
      </w:r>
      <w:r w:rsidR="006E23C6">
        <w:t>,</w:t>
      </w:r>
      <w:r w:rsidR="00A30BF5">
        <w:t xml:space="preserve"> </w:t>
      </w:r>
      <w:r w:rsidR="009C0C6D">
        <w:t xml:space="preserve">numbering problems were not featured in the </w:t>
      </w:r>
      <w:r w:rsidR="00A30BF5">
        <w:t>top 10 issues in TIO mobile complaints</w:t>
      </w:r>
      <w:r w:rsidR="001A2BA5" w:rsidRPr="0062761A">
        <w:t>.</w:t>
      </w:r>
      <w:r w:rsidR="00991452">
        <w:rPr>
          <w:rStyle w:val="FootnoteReference"/>
        </w:rPr>
        <w:footnoteReference w:id="3"/>
      </w:r>
      <w:r w:rsidR="001A2BA5" w:rsidRPr="0062761A">
        <w:t xml:space="preserve"> This demonstrates that</w:t>
      </w:r>
      <w:r w:rsidR="006545DD">
        <w:t xml:space="preserve"> fixed-voice</w:t>
      </w:r>
      <w:r w:rsidR="001A2BA5" w:rsidRPr="0062761A">
        <w:t xml:space="preserve"> numbering issues continue to</w:t>
      </w:r>
      <w:r w:rsidR="006545DD">
        <w:t xml:space="preserve"> plague communications consumers</w:t>
      </w:r>
      <w:r w:rsidR="001A2BA5" w:rsidRPr="0062761A">
        <w:t>.</w:t>
      </w:r>
    </w:p>
    <w:p w14:paraId="643BFCBF" w14:textId="460B3215" w:rsidR="00090606" w:rsidRDefault="00090606" w:rsidP="00031DE1">
      <w:r>
        <w:t xml:space="preserve">ACCAN perceives the need for a significant review of </w:t>
      </w:r>
      <w:r w:rsidR="00336F1E">
        <w:t xml:space="preserve">the Code to </w:t>
      </w:r>
      <w:r w:rsidR="0076578C">
        <w:t>update</w:t>
      </w:r>
      <w:r w:rsidR="00336F1E">
        <w:t xml:space="preserve"> obligations and guidance related to </w:t>
      </w:r>
      <w:r w:rsidR="70DB41FD">
        <w:t xml:space="preserve">local </w:t>
      </w:r>
      <w:r w:rsidR="00336F1E">
        <w:t xml:space="preserve">number porting and </w:t>
      </w:r>
      <w:r w:rsidR="008B2703">
        <w:t xml:space="preserve">achieve </w:t>
      </w:r>
      <w:r w:rsidR="00336F1E">
        <w:t>adjust</w:t>
      </w:r>
      <w:r w:rsidR="008B2703">
        <w:t>ments</w:t>
      </w:r>
      <w:r w:rsidR="00336F1E">
        <w:t xml:space="preserve"> in line with industry’s operational capability and consumer expectations. ACCAN has identified three key areas for reform, detailed below. </w:t>
      </w:r>
    </w:p>
    <w:p w14:paraId="146AD6A9" w14:textId="22676AD8" w:rsidR="00735194" w:rsidRDefault="00735194" w:rsidP="00735194">
      <w:pPr>
        <w:pStyle w:val="Heading3"/>
      </w:pPr>
      <w:r>
        <w:t>Local number porting timeframes are not in line with consumer expectations or market developments</w:t>
      </w:r>
    </w:p>
    <w:p w14:paraId="51D8B883" w14:textId="3D4E0327" w:rsidR="00976CF0" w:rsidRDefault="00976CF0" w:rsidP="00F71C7C">
      <w:r>
        <w:t xml:space="preserve">It is essential </w:t>
      </w:r>
      <w:r w:rsidR="00E071C0">
        <w:t xml:space="preserve">for consumers </w:t>
      </w:r>
      <w:r>
        <w:t xml:space="preserve">that all telephone number ports are </w:t>
      </w:r>
      <w:r w:rsidR="00E071C0">
        <w:t xml:space="preserve">successfully completed as soon as is operationally feasible. </w:t>
      </w:r>
      <w:r w:rsidR="00491F05">
        <w:t xml:space="preserve">In the event of delays, </w:t>
      </w:r>
      <w:r w:rsidR="000F0991">
        <w:t>consumers</w:t>
      </w:r>
      <w:r w:rsidR="00022D35">
        <w:t xml:space="preserve"> </w:t>
      </w:r>
      <w:r w:rsidR="00DC5330">
        <w:t xml:space="preserve">should </w:t>
      </w:r>
      <w:r w:rsidR="00022D35">
        <w:t>be kept informed about</w:t>
      </w:r>
      <w:r w:rsidR="000F0991">
        <w:t xml:space="preserve"> the nat</w:t>
      </w:r>
      <w:r w:rsidR="00EF54D8">
        <w:t xml:space="preserve">ure of </w:t>
      </w:r>
      <w:r w:rsidR="6339AB16">
        <w:t xml:space="preserve">the </w:t>
      </w:r>
      <w:r w:rsidR="00EF54D8">
        <w:t xml:space="preserve">delay and when it is expected to be resolved. </w:t>
      </w:r>
      <w:r w:rsidR="00E071C0">
        <w:t xml:space="preserve">Regrettably, ACCAN understands this is not </w:t>
      </w:r>
      <w:r w:rsidR="575579AB">
        <w:t xml:space="preserve">always </w:t>
      </w:r>
      <w:r w:rsidR="00E071C0">
        <w:t xml:space="preserve">the case for local number porting. </w:t>
      </w:r>
    </w:p>
    <w:p w14:paraId="5825BF9F" w14:textId="77777777" w:rsidR="00E071C0" w:rsidRDefault="00F71C7C" w:rsidP="00F71C7C">
      <w:r>
        <w:t xml:space="preserve">Timeframes for successful completion of a local number port is dependent on </w:t>
      </w:r>
      <w:proofErr w:type="gramStart"/>
      <w:r>
        <w:t>a number of</w:t>
      </w:r>
      <w:proofErr w:type="gramEnd"/>
      <w:r w:rsidR="00976CF0">
        <w:t xml:space="preserve"> operational</w:t>
      </w:r>
      <w:r>
        <w:t xml:space="preserve"> factors </w:t>
      </w:r>
      <w:r w:rsidR="00D15B26">
        <w:t xml:space="preserve">as is </w:t>
      </w:r>
      <w:r>
        <w:t>outlined in the Code</w:t>
      </w:r>
      <w:r w:rsidR="00E071C0">
        <w:t>. M</w:t>
      </w:r>
      <w:r w:rsidR="00D15B26">
        <w:t xml:space="preserve">any of the </w:t>
      </w:r>
      <w:r w:rsidR="00E071C0">
        <w:t>mandated</w:t>
      </w:r>
      <w:r w:rsidR="00D15B26">
        <w:t xml:space="preserve"> steps for</w:t>
      </w:r>
      <w:r w:rsidR="00FF7EE4">
        <w:t xml:space="preserve"> </w:t>
      </w:r>
      <w:r w:rsidR="00125060">
        <w:t>completing a</w:t>
      </w:r>
      <w:r w:rsidR="00D15B26">
        <w:t xml:space="preserve"> Cat</w:t>
      </w:r>
      <w:r w:rsidR="00125060">
        <w:t xml:space="preserve">egory </w:t>
      </w:r>
      <w:r w:rsidR="00D15B26">
        <w:t>C number port</w:t>
      </w:r>
      <w:r w:rsidR="00125060">
        <w:t xml:space="preserve"> </w:t>
      </w:r>
      <w:r w:rsidR="00D15B26">
        <w:t>do not have associated timeframes, meaning</w:t>
      </w:r>
      <w:r w:rsidR="00125060">
        <w:t xml:space="preserve"> </w:t>
      </w:r>
      <w:r w:rsidR="00D15B26">
        <w:t xml:space="preserve">it can take as long as six months </w:t>
      </w:r>
      <w:r w:rsidR="009C094B">
        <w:t>for a</w:t>
      </w:r>
      <w:r w:rsidR="00F20AE5">
        <w:t xml:space="preserve"> more complex</w:t>
      </w:r>
      <w:r w:rsidR="009C094B">
        <w:t xml:space="preserve"> local number port</w:t>
      </w:r>
      <w:r w:rsidR="002C58B8">
        <w:t xml:space="preserve"> to be successfully completed</w:t>
      </w:r>
      <w:r w:rsidR="00D15B26">
        <w:t xml:space="preserve">. </w:t>
      </w:r>
      <w:r w:rsidR="004D1EC9">
        <w:t>Conversely, mobile number ports can be completed in a matter of hours.</w:t>
      </w:r>
    </w:p>
    <w:p w14:paraId="565A5217" w14:textId="7DDD5972" w:rsidR="001828D8" w:rsidRDefault="00E071C0" w:rsidP="00F71C7C">
      <w:r>
        <w:t>Additionally,</w:t>
      </w:r>
      <w:r w:rsidR="004D1EC9">
        <w:t xml:space="preserve"> </w:t>
      </w:r>
      <w:r>
        <w:t xml:space="preserve">ACCAN understands that many local number ports categorised as complex under the Code are not necessarily operationally </w:t>
      </w:r>
      <w:proofErr w:type="gramStart"/>
      <w:r>
        <w:t>complex, and</w:t>
      </w:r>
      <w:proofErr w:type="gramEnd"/>
      <w:r>
        <w:t xml:space="preserve"> could reasonably be completed much sooner than the Code requires. </w:t>
      </w:r>
    </w:p>
    <w:p w14:paraId="57A50499" w14:textId="7A2A874E" w:rsidR="009C0C6D" w:rsidRPr="00F71C7C" w:rsidRDefault="009C0C6D" w:rsidP="00F71C7C">
      <w:r>
        <w:lastRenderedPageBreak/>
        <w:t>ACCAN strongly urges</w:t>
      </w:r>
      <w:r w:rsidR="00905305">
        <w:t xml:space="preserve"> that</w:t>
      </w:r>
      <w:r>
        <w:t xml:space="preserve"> the</w:t>
      </w:r>
      <w:r w:rsidR="00905305">
        <w:t xml:space="preserve"> timeframes for local number porting </w:t>
      </w:r>
      <w:r w:rsidR="00793530">
        <w:t xml:space="preserve">as </w:t>
      </w:r>
      <w:r w:rsidR="00905305">
        <w:t>expressed in the</w:t>
      </w:r>
      <w:r>
        <w:t xml:space="preserve"> Code </w:t>
      </w:r>
      <w:r w:rsidR="00793530">
        <w:t>are</w:t>
      </w:r>
      <w:r>
        <w:t xml:space="preserve"> reviewed</w:t>
      </w:r>
      <w:r w:rsidR="0032136A">
        <w:t xml:space="preserve"> </w:t>
      </w:r>
      <w:r w:rsidR="00C23144">
        <w:t>to bring Code obligations in line with</w:t>
      </w:r>
      <w:r w:rsidR="0032136A">
        <w:t xml:space="preserve"> </w:t>
      </w:r>
      <w:r w:rsidR="004F4E15">
        <w:t xml:space="preserve">consumer expectations and the </w:t>
      </w:r>
      <w:r w:rsidR="0032136A">
        <w:t>industry</w:t>
      </w:r>
      <w:r w:rsidR="00905305">
        <w:t>’s</w:t>
      </w:r>
      <w:r w:rsidR="0032136A">
        <w:t xml:space="preserve"> </w:t>
      </w:r>
      <w:r w:rsidR="00905305">
        <w:t>operational</w:t>
      </w:r>
      <w:r w:rsidR="0032136A">
        <w:t xml:space="preserve"> </w:t>
      </w:r>
      <w:r w:rsidR="00905305">
        <w:t xml:space="preserve">number porting </w:t>
      </w:r>
      <w:r w:rsidR="0032136A">
        <w:t>capabilities</w:t>
      </w:r>
      <w:r w:rsidR="004F4E15">
        <w:t>.</w:t>
      </w:r>
      <w:r w:rsidR="00D95B0C">
        <w:t xml:space="preserve"> It is of the utmost importance that a</w:t>
      </w:r>
      <w:r w:rsidR="00E071C0">
        <w:t>ny process or activity</w:t>
      </w:r>
      <w:r w:rsidR="009774D0">
        <w:t xml:space="preserve"> directed by the Code should have an associated timeframe to ensure efficiency of process and </w:t>
      </w:r>
      <w:r w:rsidR="5441D815">
        <w:t>to</w:t>
      </w:r>
      <w:r w:rsidR="04A842DD">
        <w:t xml:space="preserve"> </w:t>
      </w:r>
      <w:r w:rsidR="009774D0">
        <w:t>mitigate consumer inconvenience and detriment in the local number porting process</w:t>
      </w:r>
      <w:r w:rsidR="00D95B0C">
        <w:t xml:space="preserve">; failure to do so creates substantial process blockages and unnecessarily prolongs </w:t>
      </w:r>
      <w:r w:rsidR="000130E1">
        <w:t>local number port</w:t>
      </w:r>
      <w:r w:rsidR="2302CB33">
        <w:t>ing</w:t>
      </w:r>
      <w:r w:rsidR="009774D0">
        <w:t xml:space="preserve">. </w:t>
      </w:r>
      <w:r w:rsidR="00EF54D8">
        <w:t xml:space="preserve">Additionally, there must be a requirement that the consumer is </w:t>
      </w:r>
      <w:r w:rsidR="007F2DE0">
        <w:t xml:space="preserve">kept </w:t>
      </w:r>
      <w:r w:rsidR="00EF54D8">
        <w:t xml:space="preserve">informed about </w:t>
      </w:r>
      <w:r w:rsidR="007F2DE0">
        <w:t>delays to local number porting,</w:t>
      </w:r>
      <w:r w:rsidR="006B7377">
        <w:t xml:space="preserve"> </w:t>
      </w:r>
      <w:r w:rsidR="14B88DC5">
        <w:t>including</w:t>
      </w:r>
      <w:r w:rsidR="006B7377">
        <w:t xml:space="preserve"> how and when the delay will be addressed. </w:t>
      </w:r>
    </w:p>
    <w:p w14:paraId="158D6247" w14:textId="7E54CE18" w:rsidR="00735194" w:rsidRDefault="00735194" w:rsidP="00735194">
      <w:pPr>
        <w:pStyle w:val="Heading3"/>
      </w:pPr>
      <w:r>
        <w:t>Local number port categorisations</w:t>
      </w:r>
      <w:r w:rsidR="00B610A5">
        <w:t xml:space="preserve"> and consumer rights</w:t>
      </w:r>
      <w:r>
        <w:t xml:space="preserve"> should be reviewed</w:t>
      </w:r>
    </w:p>
    <w:p w14:paraId="0DF51880" w14:textId="2FBD648C" w:rsidR="008E6279" w:rsidRDefault="0068607D" w:rsidP="00A62E89">
      <w:r>
        <w:t xml:space="preserve">There are legacy and historical </w:t>
      </w:r>
      <w:r w:rsidR="44A4249E">
        <w:t xml:space="preserve">factors </w:t>
      </w:r>
      <w:r w:rsidR="00AF49BE">
        <w:t xml:space="preserve">underpinning the way </w:t>
      </w:r>
      <w:r w:rsidR="004F4E15">
        <w:t>in which local number ports are categorised: Category A for ‘simple’ ports</w:t>
      </w:r>
      <w:r w:rsidR="00E53F99">
        <w:t xml:space="preserve">, Category C for ‘complex’ ports that require project management, and Category D for </w:t>
      </w:r>
      <w:r w:rsidR="0093372D">
        <w:t xml:space="preserve">simple ports </w:t>
      </w:r>
      <w:r w:rsidR="00DD33C5">
        <w:t xml:space="preserve">involving an </w:t>
      </w:r>
      <w:r w:rsidR="0093372D">
        <w:t>unconditioned local loop request</w:t>
      </w:r>
      <w:r w:rsidR="00DD33C5">
        <w:t xml:space="preserve">. </w:t>
      </w:r>
    </w:p>
    <w:p w14:paraId="7F72B89B" w14:textId="3F9541AA" w:rsidR="00C73ADC" w:rsidRDefault="00CB1EDF" w:rsidP="009774D0">
      <w:r>
        <w:t>These port</w:t>
      </w:r>
      <w:r w:rsidR="002C21D2">
        <w:t>ing</w:t>
      </w:r>
      <w:r>
        <w:t xml:space="preserve"> categories </w:t>
      </w:r>
      <w:r w:rsidR="002C21D2">
        <w:t xml:space="preserve">– like their associated timeframes </w:t>
      </w:r>
      <w:r w:rsidR="00274126">
        <w:t>–</w:t>
      </w:r>
      <w:r w:rsidR="002C21D2">
        <w:t xml:space="preserve"> </w:t>
      </w:r>
      <w:r w:rsidR="0078393C">
        <w:t xml:space="preserve">were developed for a vastly different pre-NBN communications landscape, and </w:t>
      </w:r>
      <w:r w:rsidR="00274126">
        <w:t>do not reflect technical developments in industry’s operational number porting capabilities.</w:t>
      </w:r>
      <w:r w:rsidR="00C73ADC">
        <w:t xml:space="preserve"> The Code itself is highly operational</w:t>
      </w:r>
      <w:r w:rsidR="0064428D">
        <w:t xml:space="preserve">, </w:t>
      </w:r>
      <w:proofErr w:type="gramStart"/>
      <w:r w:rsidR="0064428D">
        <w:t>technical</w:t>
      </w:r>
      <w:proofErr w:type="gramEnd"/>
      <w:r w:rsidR="00C73ADC">
        <w:t xml:space="preserve"> and complex, lending well to confusion about porting types and consumers’ rights in relation to the port of their number. </w:t>
      </w:r>
    </w:p>
    <w:p w14:paraId="4BBB0FB2" w14:textId="7E4A2E22" w:rsidR="00A62E89" w:rsidRPr="00A62E89" w:rsidRDefault="0068607D" w:rsidP="009774D0">
      <w:r>
        <w:t xml:space="preserve">ACCAN </w:t>
      </w:r>
      <w:r w:rsidR="2AE38681">
        <w:t xml:space="preserve">recommends </w:t>
      </w:r>
      <w:r>
        <w:t xml:space="preserve">that </w:t>
      </w:r>
      <w:r w:rsidR="008E6279">
        <w:t>local number porting categorisation</w:t>
      </w:r>
      <w:r w:rsidR="00F441BE">
        <w:t xml:space="preserve"> </w:t>
      </w:r>
      <w:r w:rsidR="601A1D0B">
        <w:t xml:space="preserve">be </w:t>
      </w:r>
      <w:r w:rsidR="0054584B">
        <w:t>reviewed to ensure it is fit for purpose</w:t>
      </w:r>
      <w:r w:rsidR="00F441BE">
        <w:t xml:space="preserve">, and </w:t>
      </w:r>
      <w:r w:rsidR="00251782">
        <w:t xml:space="preserve">that it </w:t>
      </w:r>
      <w:r w:rsidR="00F441BE">
        <w:t>reflects the</w:t>
      </w:r>
      <w:r w:rsidR="00251782">
        <w:t xml:space="preserve"> porting</w:t>
      </w:r>
      <w:r w:rsidR="00F441BE">
        <w:t xml:space="preserve"> timeframes </w:t>
      </w:r>
      <w:r w:rsidR="00251782">
        <w:t>t</w:t>
      </w:r>
      <w:r w:rsidR="00F441BE">
        <w:t>hat are</w:t>
      </w:r>
      <w:r w:rsidR="00251782">
        <w:t xml:space="preserve"> now</w:t>
      </w:r>
      <w:r w:rsidR="00F441BE">
        <w:t xml:space="preserve"> operationally feasible</w:t>
      </w:r>
      <w:r w:rsidR="00251782">
        <w:t xml:space="preserve"> due to technological developments</w:t>
      </w:r>
      <w:r w:rsidR="00F441BE">
        <w:t xml:space="preserve">. </w:t>
      </w:r>
      <w:r w:rsidR="00A8138B">
        <w:t xml:space="preserve">Additionally, a review of the Code should address ways in which </w:t>
      </w:r>
      <w:r w:rsidR="00DD5568">
        <w:t xml:space="preserve">the Code can be clarified, </w:t>
      </w:r>
      <w:proofErr w:type="gramStart"/>
      <w:r w:rsidR="00DD5568">
        <w:t>simplified</w:t>
      </w:r>
      <w:proofErr w:type="gramEnd"/>
      <w:r w:rsidR="00DD5568">
        <w:t xml:space="preserve"> and streamlined to ensure that consumers’ local number porting</w:t>
      </w:r>
      <w:r w:rsidR="00E944A1">
        <w:t xml:space="preserve"> rights</w:t>
      </w:r>
      <w:r w:rsidR="00DD5568">
        <w:t xml:space="preserve"> are </w:t>
      </w:r>
      <w:r w:rsidR="00E944A1">
        <w:t>easily identifiable</w:t>
      </w:r>
      <w:r w:rsidR="00DD5568">
        <w:t xml:space="preserve">. It may be appropriate </w:t>
      </w:r>
      <w:r w:rsidR="00E217A3">
        <w:t>for the Code to be restructured</w:t>
      </w:r>
      <w:r w:rsidR="000B11EF">
        <w:t xml:space="preserve"> to introduce a section specifically related </w:t>
      </w:r>
      <w:r w:rsidR="59C908CE">
        <w:t xml:space="preserve">to </w:t>
      </w:r>
      <w:r w:rsidR="000B11EF">
        <w:t>the consumers’ local number porting rights including</w:t>
      </w:r>
      <w:r w:rsidR="00B610A5">
        <w:t xml:space="preserve"> key timeframes, number giveback processes, and guidance on rights of use. </w:t>
      </w:r>
    </w:p>
    <w:p w14:paraId="583CBA98" w14:textId="5DA32805" w:rsidR="00CB1342" w:rsidRDefault="00CB1342" w:rsidP="00CB1342">
      <w:pPr>
        <w:pStyle w:val="Heading3"/>
      </w:pPr>
      <w:r>
        <w:t>Number giveback procedures for unauthorised</w:t>
      </w:r>
      <w:r w:rsidR="0008068C">
        <w:t xml:space="preserve"> or fraudu</w:t>
      </w:r>
      <w:r w:rsidR="00111F02">
        <w:t>lent</w:t>
      </w:r>
      <w:r>
        <w:t xml:space="preserve"> local number ports must be improved</w:t>
      </w:r>
    </w:p>
    <w:p w14:paraId="032404DD" w14:textId="158DF081" w:rsidR="005770BF" w:rsidRDefault="005770BF" w:rsidP="005770BF">
      <w:r>
        <w:t xml:space="preserve">Unauthorised local number ports can occur for </w:t>
      </w:r>
      <w:proofErr w:type="gramStart"/>
      <w:r>
        <w:t>a number of</w:t>
      </w:r>
      <w:proofErr w:type="gramEnd"/>
      <w:r>
        <w:t xml:space="preserve"> reasons</w:t>
      </w:r>
      <w:r w:rsidR="007122C9">
        <w:t>, including industry, consumer or technical error</w:t>
      </w:r>
      <w:r w:rsidR="00BC38F7">
        <w:t>, or number fraud</w:t>
      </w:r>
      <w:r w:rsidR="007122C9">
        <w:t>. It is essential that the Code outlines clear responsibilities</w:t>
      </w:r>
      <w:r w:rsidR="006422C6">
        <w:t xml:space="preserve">, </w:t>
      </w:r>
      <w:proofErr w:type="gramStart"/>
      <w:r w:rsidR="006422C6">
        <w:t>obligations</w:t>
      </w:r>
      <w:proofErr w:type="gramEnd"/>
      <w:r w:rsidR="006422C6">
        <w:t xml:space="preserve"> and timeframes</w:t>
      </w:r>
      <w:r w:rsidR="007122C9">
        <w:t xml:space="preserve"> </w:t>
      </w:r>
      <w:r w:rsidR="008303C1">
        <w:t xml:space="preserve">for all </w:t>
      </w:r>
      <w:r w:rsidR="00BC38F7">
        <w:t xml:space="preserve">industry </w:t>
      </w:r>
      <w:r w:rsidR="008303C1">
        <w:t>parties</w:t>
      </w:r>
      <w:r w:rsidR="00BC38F7">
        <w:t xml:space="preserve"> </w:t>
      </w:r>
      <w:r w:rsidR="008303C1">
        <w:t>–</w:t>
      </w:r>
      <w:r w:rsidR="006422C6">
        <w:t xml:space="preserve"> the</w:t>
      </w:r>
      <w:r w:rsidR="008303C1">
        <w:t xml:space="preserve"> losing carrier, donor carrier and gaining carri</w:t>
      </w:r>
      <w:r w:rsidR="006422C6">
        <w:t>er</w:t>
      </w:r>
      <w:r w:rsidR="008303C1">
        <w:t xml:space="preserve"> (if applicable) – </w:t>
      </w:r>
      <w:r w:rsidR="006422C6">
        <w:t xml:space="preserve">to ensure resolution of an unauthorised local number port and the return of the lost number to </w:t>
      </w:r>
      <w:r w:rsidR="338AD733">
        <w:t xml:space="preserve">the </w:t>
      </w:r>
      <w:r w:rsidR="00C61DE3">
        <w:t xml:space="preserve">consumer as soon as is practicable. </w:t>
      </w:r>
    </w:p>
    <w:p w14:paraId="4E626D8F" w14:textId="75AAB785" w:rsidR="009F4086" w:rsidRDefault="00E413C8" w:rsidP="00964685">
      <w:r>
        <w:t xml:space="preserve">Quarantining and number giveback procedures differ between mobile and local number portability. </w:t>
      </w:r>
      <w:r w:rsidR="009F4086">
        <w:t>Under the Code,</w:t>
      </w:r>
      <w:r w:rsidR="00EF2B1E">
        <w:t xml:space="preserve"> an unused local number must be returned to the donor carrier</w:t>
      </w:r>
      <w:r w:rsidR="00912373">
        <w:t xml:space="preserve"> – the carrier to which the number was initially assigned –</w:t>
      </w:r>
      <w:r w:rsidR="00EF2B1E">
        <w:t xml:space="preserve"> within a matter of days. </w:t>
      </w:r>
      <w:r w:rsidR="009F4086">
        <w:t xml:space="preserve"> </w:t>
      </w:r>
      <w:r w:rsidR="00964685">
        <w:t xml:space="preserve">This can create extreme confusion and delays in circumstances where a consumer is subject to an unauthorised or fraudulent number </w:t>
      </w:r>
      <w:proofErr w:type="gramStart"/>
      <w:r w:rsidR="00964685">
        <w:t>port, and</w:t>
      </w:r>
      <w:proofErr w:type="gramEnd"/>
      <w:r w:rsidR="00964685">
        <w:t xml:space="preserve"> seeks to have </w:t>
      </w:r>
      <w:r w:rsidR="3345A429">
        <w:t xml:space="preserve">the </w:t>
      </w:r>
      <w:r w:rsidR="00964685">
        <w:t xml:space="preserve">port reversed and the number returned to their service. </w:t>
      </w:r>
      <w:r w:rsidR="00717E2E">
        <w:t xml:space="preserve">ACCAN understands it is </w:t>
      </w:r>
      <w:r w:rsidR="00006849">
        <w:t>not unusual</w:t>
      </w:r>
      <w:r w:rsidR="00717E2E">
        <w:t xml:space="preserve"> for a local number to become ‘lost’ </w:t>
      </w:r>
      <w:r w:rsidR="003D5727">
        <w:t xml:space="preserve">between </w:t>
      </w:r>
      <w:r w:rsidR="464B9401">
        <w:t xml:space="preserve">the </w:t>
      </w:r>
      <w:r w:rsidR="003D5727">
        <w:t>losing, donor and gaining carriers</w:t>
      </w:r>
      <w:r w:rsidR="00E62DFF">
        <w:t>/providers</w:t>
      </w:r>
      <w:r w:rsidR="003D5727">
        <w:t xml:space="preserve">, and for there to be confusion about </w:t>
      </w:r>
      <w:r w:rsidR="00E62DFF">
        <w:t>which carrier</w:t>
      </w:r>
      <w:r w:rsidR="00072C5D">
        <w:t xml:space="preserve"> is responsible for </w:t>
      </w:r>
      <w:r w:rsidR="00774248">
        <w:t>retrieving the number. T</w:t>
      </w:r>
      <w:r w:rsidR="009A7891">
        <w:t xml:space="preserve">his </w:t>
      </w:r>
      <w:r w:rsidR="00E55AF0">
        <w:t>creat</w:t>
      </w:r>
      <w:r w:rsidR="009A7891">
        <w:t>es</w:t>
      </w:r>
      <w:r w:rsidR="00E55AF0">
        <w:t xml:space="preserve"> significant delays and interrupt</w:t>
      </w:r>
      <w:r w:rsidR="009A7891">
        <w:t>s</w:t>
      </w:r>
      <w:r w:rsidR="00E55AF0">
        <w:t xml:space="preserve"> consumers’ services for an unacceptable length of time. </w:t>
      </w:r>
    </w:p>
    <w:p w14:paraId="722BD86A" w14:textId="673F9697" w:rsidR="009A7891" w:rsidRDefault="009A7891" w:rsidP="00964685">
      <w:r>
        <w:lastRenderedPageBreak/>
        <w:t>In line with our recommendations for the R</w:t>
      </w:r>
      <w:r w:rsidR="42A044BE">
        <w:t>OU</w:t>
      </w:r>
      <w:r>
        <w:t xml:space="preserve"> Code, we urge that giveback and quarantining </w:t>
      </w:r>
      <w:r w:rsidR="00774248">
        <w:t>provisions</w:t>
      </w:r>
      <w:r>
        <w:t xml:space="preserve"> </w:t>
      </w:r>
      <w:r w:rsidR="00025032">
        <w:t xml:space="preserve">in the </w:t>
      </w:r>
      <w:r w:rsidR="2CF63441">
        <w:t xml:space="preserve">Local Number Portability </w:t>
      </w:r>
      <w:r w:rsidR="00025032">
        <w:t xml:space="preserve">Code </w:t>
      </w:r>
      <w:r w:rsidR="00CB2FCD">
        <w:t xml:space="preserve">are </w:t>
      </w:r>
      <w:r w:rsidR="008052C7">
        <w:t xml:space="preserve">clarified and </w:t>
      </w:r>
      <w:r w:rsidR="00CB2FCD">
        <w:t xml:space="preserve">strengthened in line with consumer expectations, and to </w:t>
      </w:r>
      <w:r w:rsidR="31987144">
        <w:t xml:space="preserve">prevent </w:t>
      </w:r>
      <w:r w:rsidR="00CB2FCD">
        <w:t xml:space="preserve">consumer detriment in the event of an unauthorised or </w:t>
      </w:r>
      <w:r w:rsidR="0008068C">
        <w:t>fraudulent local number port</w:t>
      </w:r>
      <w:r w:rsidR="00025032">
        <w:t>.</w:t>
      </w:r>
    </w:p>
    <w:p w14:paraId="6DDF2D3A" w14:textId="522D15D1" w:rsidR="00862505" w:rsidRDefault="00025032" w:rsidP="00964685">
      <w:r>
        <w:t xml:space="preserve">For example, Section 6.1.13 of the Code </w:t>
      </w:r>
      <w:r w:rsidR="00862505">
        <w:t>state</w:t>
      </w:r>
      <w:r w:rsidR="00CB2FCD">
        <w:t>s</w:t>
      </w:r>
      <w:r w:rsidR="00862505">
        <w:t xml:space="preserve"> that:</w:t>
      </w:r>
    </w:p>
    <w:p w14:paraId="656A32BF" w14:textId="12923C65" w:rsidR="004D4D1C" w:rsidRPr="00CB2FCD" w:rsidRDefault="00CB2FCD" w:rsidP="00964685">
      <w:pPr>
        <w:rPr>
          <w:i/>
          <w:iCs/>
        </w:rPr>
      </w:pPr>
      <w:r w:rsidRPr="00CB2FCD">
        <w:rPr>
          <w:i/>
          <w:iCs/>
        </w:rPr>
        <w:t>‘</w:t>
      </w:r>
      <w:r w:rsidR="00862505" w:rsidRPr="00CB2FCD">
        <w:rPr>
          <w:i/>
          <w:iCs/>
        </w:rPr>
        <w:t xml:space="preserve">If a Ported Telephone Number is proven to be incorrectly Given Back, the former Gaining Carrier </w:t>
      </w:r>
      <w:r w:rsidR="00862505" w:rsidRPr="00CB2FCD">
        <w:rPr>
          <w:b/>
          <w:bCs/>
          <w:i/>
          <w:iCs/>
        </w:rPr>
        <w:t>may</w:t>
      </w:r>
      <w:r w:rsidR="00862505" w:rsidRPr="00CB2FCD">
        <w:rPr>
          <w:i/>
          <w:iCs/>
        </w:rPr>
        <w:t xml:space="preserve"> approach the Donor Carrier and apply for the release of that Telephone Number from Quarantine</w:t>
      </w:r>
      <w:r w:rsidR="004D4D1C" w:rsidRPr="00CB2FCD">
        <w:rPr>
          <w:i/>
          <w:iCs/>
        </w:rPr>
        <w:t xml:space="preserve"> … the Donor CSP must, </w:t>
      </w:r>
      <w:r w:rsidR="004D4D1C" w:rsidRPr="00CB2FCD">
        <w:rPr>
          <w:b/>
          <w:bCs/>
          <w:i/>
          <w:iCs/>
        </w:rPr>
        <w:t>if possible</w:t>
      </w:r>
      <w:r w:rsidR="004D4D1C" w:rsidRPr="00CB2FCD">
        <w:rPr>
          <w:i/>
          <w:iCs/>
        </w:rPr>
        <w:t xml:space="preserve">, make the necessary changes in the system to stop the Give Back being processed within the Donor Carrier’s Network or release the Telephone Number, </w:t>
      </w:r>
      <w:r w:rsidR="004D4D1C" w:rsidRPr="00CB2FCD">
        <w:rPr>
          <w:b/>
          <w:bCs/>
          <w:i/>
          <w:iCs/>
        </w:rPr>
        <w:t>provided that the Telephone Number has not already been Issued to a new Customer</w:t>
      </w:r>
      <w:r w:rsidR="004D4D1C" w:rsidRPr="00CB2FCD">
        <w:rPr>
          <w:i/>
          <w:iCs/>
        </w:rPr>
        <w:t>.</w:t>
      </w:r>
      <w:r w:rsidRPr="00CB2FCD">
        <w:rPr>
          <w:i/>
          <w:iCs/>
        </w:rPr>
        <w:t>’</w:t>
      </w:r>
    </w:p>
    <w:p w14:paraId="7A3C7946" w14:textId="426625F1" w:rsidR="00D876D2" w:rsidRPr="005770BF" w:rsidRDefault="004D4D1C" w:rsidP="004D4D1C">
      <w:r>
        <w:t>From a consumer perspective, these arrangements are extremely inadequate</w:t>
      </w:r>
      <w:r w:rsidR="0027168A">
        <w:t xml:space="preserve"> and do not reflect the extent to which residential and small business consumers rely on </w:t>
      </w:r>
      <w:r w:rsidR="004F4BCB">
        <w:t xml:space="preserve">their </w:t>
      </w:r>
      <w:r w:rsidR="0027168A">
        <w:t>fixed voice services</w:t>
      </w:r>
      <w:r>
        <w:t>.</w:t>
      </w:r>
      <w:r w:rsidR="00CB2FCD">
        <w:t xml:space="preserve"> Donor carriers must be obligated to work with the gaining or losing provider to return a customer’s number</w:t>
      </w:r>
      <w:r w:rsidR="00111F02">
        <w:t xml:space="preserve"> at the customer’s request</w:t>
      </w:r>
      <w:r w:rsidR="00CB2FCD">
        <w:t xml:space="preserve"> in the event of an unauthorised or fraudulent local number port. The Code should also specif</w:t>
      </w:r>
      <w:r w:rsidR="00D95B0C">
        <w:t>y</w:t>
      </w:r>
      <w:r w:rsidR="00CB2FCD">
        <w:t xml:space="preserve"> a timeframe for this re-allocation, as soon as is operationally feasible. </w:t>
      </w:r>
    </w:p>
    <w:p w14:paraId="67F16B78" w14:textId="436B8311" w:rsidR="003D7DCC" w:rsidRDefault="003D7DCC" w:rsidP="003D7DCC">
      <w:pPr>
        <w:pStyle w:val="Heading1"/>
      </w:pPr>
      <w:r>
        <w:t xml:space="preserve">Next steps </w:t>
      </w:r>
    </w:p>
    <w:p w14:paraId="60AA4088" w14:textId="26AAC5A6" w:rsidR="001D6F9E" w:rsidRDefault="003403FD" w:rsidP="005C3340">
      <w:r>
        <w:t xml:space="preserve">ACCAN supports a detailed review </w:t>
      </w:r>
      <w:r w:rsidR="001D6F9E">
        <w:t xml:space="preserve">of the Code </w:t>
      </w:r>
      <w:r>
        <w:t xml:space="preserve">to explore ways in which </w:t>
      </w:r>
      <w:r w:rsidR="001D6F9E">
        <w:t>it</w:t>
      </w:r>
      <w:r>
        <w:t xml:space="preserve"> can</w:t>
      </w:r>
      <w:r w:rsidR="001D6F9E">
        <w:t xml:space="preserve"> be</w:t>
      </w:r>
      <w:r>
        <w:t xml:space="preserve"> amended to improve the efficiency</w:t>
      </w:r>
      <w:r w:rsidR="001D6F9E">
        <w:t xml:space="preserve"> </w:t>
      </w:r>
      <w:r w:rsidR="00902659">
        <w:t>of local number porting</w:t>
      </w:r>
      <w:r w:rsidR="001D6F9E">
        <w:t xml:space="preserve"> </w:t>
      </w:r>
      <w:proofErr w:type="gramStart"/>
      <w:r w:rsidR="003C3577">
        <w:t>provisions, and</w:t>
      </w:r>
      <w:proofErr w:type="gramEnd"/>
      <w:r w:rsidR="003C3577">
        <w:t xml:space="preserve"> bring these in line with consumer expectations and industry capabilities. </w:t>
      </w:r>
    </w:p>
    <w:p w14:paraId="0C1C0FA7" w14:textId="7936BB26" w:rsidR="003D7DCC" w:rsidRDefault="00C52CDF" w:rsidP="005C3340">
      <w:r>
        <w:t xml:space="preserve">ACCAN understands the review of the Code </w:t>
      </w:r>
      <w:r w:rsidR="2A81308F">
        <w:t xml:space="preserve">will </w:t>
      </w:r>
      <w:r>
        <w:t>occur in an environment where broader number portability regulatory arrangements are being examined by industry and government</w:t>
      </w:r>
      <w:r w:rsidR="6F99D76B">
        <w:t xml:space="preserve">. </w:t>
      </w:r>
      <w:r w:rsidR="5DDEE69A">
        <w:t>H</w:t>
      </w:r>
      <w:r w:rsidR="77FD9B55">
        <w:t>owever</w:t>
      </w:r>
      <w:r>
        <w:t>,</w:t>
      </w:r>
      <w:r w:rsidR="005C3340">
        <w:t xml:space="preserve"> the improvements</w:t>
      </w:r>
      <w:r>
        <w:t xml:space="preserve"> </w:t>
      </w:r>
      <w:r w:rsidR="005C3340">
        <w:t>to the Code</w:t>
      </w:r>
      <w:r w:rsidR="003C3577">
        <w:t xml:space="preserve"> that</w:t>
      </w:r>
      <w:r w:rsidR="005C3340">
        <w:t xml:space="preserve"> ACCAN recommends can </w:t>
      </w:r>
      <w:r w:rsidR="0B20F9A4">
        <w:t>and should</w:t>
      </w:r>
      <w:r w:rsidR="42E39FD1">
        <w:t xml:space="preserve"> </w:t>
      </w:r>
      <w:r w:rsidR="005C3340">
        <w:t>be addressed with immediacy to prevent any further consumer harm from inadequate</w:t>
      </w:r>
      <w:r w:rsidR="00D46488">
        <w:t xml:space="preserve"> </w:t>
      </w:r>
      <w:r w:rsidR="003C3577">
        <w:t xml:space="preserve">local number porting provisions. </w:t>
      </w:r>
    </w:p>
    <w:p w14:paraId="43300B02" w14:textId="77777777" w:rsidR="001D6F9E" w:rsidRDefault="001D6F9E" w:rsidP="001D6F9E">
      <w:pPr>
        <w:spacing w:after="0" w:line="240" w:lineRule="auto"/>
      </w:pPr>
      <w:r w:rsidRPr="0074602B">
        <w:rPr>
          <w:rFonts w:cstheme="minorHAnsi"/>
        </w:rPr>
        <w:t xml:space="preserve">Please </w:t>
      </w:r>
      <w:r>
        <w:t xml:space="preserve">do not hesitate to get in touch on 02 9288 4000 or at </w:t>
      </w:r>
      <w:hyperlink r:id="rId12" w:history="1">
        <w:r w:rsidRPr="00164A29">
          <w:rPr>
            <w:rStyle w:val="Hyperlink"/>
          </w:rPr>
          <w:t>Rebekah.Sarkoezy@accan.org.au</w:t>
        </w:r>
      </w:hyperlink>
      <w:r>
        <w:t xml:space="preserve"> if you seek to discuss our feedback further. </w:t>
      </w:r>
    </w:p>
    <w:p w14:paraId="25231C34" w14:textId="77777777" w:rsidR="001D6F9E" w:rsidRDefault="001D6F9E" w:rsidP="001D6F9E">
      <w:pPr>
        <w:spacing w:line="240" w:lineRule="auto"/>
      </w:pPr>
    </w:p>
    <w:p w14:paraId="4EFDAD83" w14:textId="77777777" w:rsidR="001D6F9E" w:rsidRDefault="001D6F9E" w:rsidP="001D6F9E">
      <w:pPr>
        <w:spacing w:line="240" w:lineRule="auto"/>
      </w:pPr>
      <w:r w:rsidRPr="00BD42C5">
        <w:t xml:space="preserve">Yours </w:t>
      </w:r>
      <w:r>
        <w:t>s</w:t>
      </w:r>
      <w:r w:rsidRPr="00BD42C5">
        <w:t>incerely</w:t>
      </w:r>
      <w:r>
        <w:t>,</w:t>
      </w:r>
    </w:p>
    <w:p w14:paraId="39B2107B" w14:textId="67DC8CE8" w:rsidR="0066764F" w:rsidRDefault="001D6F9E" w:rsidP="00DB4F7A">
      <w:pPr>
        <w:spacing w:line="240" w:lineRule="auto"/>
      </w:pPr>
      <w:r>
        <w:br/>
        <w:t>Rebekah Sarkoezy</w:t>
      </w:r>
      <w:r w:rsidRPr="00BD42C5">
        <w:br/>
      </w:r>
      <w:r>
        <w:t>Policy Officer</w:t>
      </w:r>
      <w:r w:rsidR="00DB4F7A">
        <w:t xml:space="preserve"> </w:t>
      </w:r>
    </w:p>
    <w:sectPr w:rsidR="0066764F" w:rsidSect="007A5D3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D9F0" w14:textId="77777777" w:rsidR="004A6815" w:rsidRDefault="004A6815">
      <w:pPr>
        <w:spacing w:after="0" w:line="240" w:lineRule="auto"/>
      </w:pPr>
      <w:r>
        <w:separator/>
      </w:r>
    </w:p>
  </w:endnote>
  <w:endnote w:type="continuationSeparator" w:id="0">
    <w:p w14:paraId="58CA6148" w14:textId="77777777" w:rsidR="004A6815" w:rsidRDefault="004A6815">
      <w:pPr>
        <w:spacing w:after="0" w:line="240" w:lineRule="auto"/>
      </w:pPr>
      <w:r>
        <w:continuationSeparator/>
      </w:r>
    </w:p>
  </w:endnote>
  <w:endnote w:type="continuationNotice" w:id="1">
    <w:p w14:paraId="73B8113B" w14:textId="77777777" w:rsidR="004A6815" w:rsidRDefault="004A68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2BA" w14:textId="77777777" w:rsidR="00200982" w:rsidRPr="0082329E" w:rsidRDefault="00F0681B" w:rsidP="00200982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1A3380">
      <w:rPr>
        <w:noProof/>
      </w:rPr>
      <w:t>6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CC2" w14:textId="77777777" w:rsidR="00200982" w:rsidRPr="00026E5B" w:rsidRDefault="00F0681B" w:rsidP="00200982">
    <w:pPr>
      <w:pStyle w:val="Footerpage1"/>
      <w:ind w:right="-1440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Australian Communications Consumer Action Network (ACCAN)</w:t>
    </w:r>
  </w:p>
  <w:p w14:paraId="75FBA5D6" w14:textId="77777777" w:rsidR="00200982" w:rsidRPr="00026E5B" w:rsidRDefault="00F0681B" w:rsidP="00200982">
    <w:pPr>
      <w:pStyle w:val="Footerpage1"/>
      <w:rPr>
        <w:i/>
        <w:color w:val="00B0F0"/>
      </w:rPr>
    </w:pPr>
    <w:r>
      <w:rPr>
        <w:i/>
        <w:color w:val="00B0F0"/>
      </w:rPr>
      <w:t xml:space="preserve">  </w:t>
    </w:r>
    <w:r w:rsidRPr="00026E5B">
      <w:rPr>
        <w:i/>
        <w:color w:val="00B0F0"/>
      </w:rPr>
      <w:t>Australia’s peak body representing communications consumers</w:t>
    </w:r>
  </w:p>
  <w:p w14:paraId="52160125" w14:textId="77777777" w:rsidR="00200982" w:rsidRPr="00026E5B" w:rsidRDefault="00F0681B" w:rsidP="00200982">
    <w:pPr>
      <w:pStyle w:val="Footerpage1"/>
      <w:ind w:right="-1440"/>
      <w:rPr>
        <w:i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CA12A0" wp14:editId="503961B6">
              <wp:simplePos x="0" y="0"/>
              <wp:positionH relativeFrom="column">
                <wp:posOffset>-430924</wp:posOffset>
              </wp:positionH>
              <wp:positionV relativeFrom="paragraph">
                <wp:posOffset>90279</wp:posOffset>
              </wp:positionV>
              <wp:extent cx="6579476" cy="0"/>
              <wp:effectExtent l="0" t="19050" r="120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47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5A44BBAC">
            <v:line id="Straight Connector 1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3b0e6" strokeweight="3pt" from="-33.95pt,7.1pt" to="484.1pt,7.1pt" w14:anchorId="1828BE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ju3wEAAA4EAAAOAAAAZHJzL2Uyb0RvYy54bWysU11v0zAUfUfiP1h+p0k66Lao6SQ6xguC&#10;isEPcB07seQvXZsm/fdcO2k2AUIa4sWJ7XvOPefY3t6NRpOTgKCcbWi1KikRlrtW2a6h3789vLmh&#10;JERmW6adFQ09i0Dvdq9fbQdfi7XrnW4FECSxoR58Q/sYfV0UgffCsLByXljclA4MiziFrmiBDchu&#10;dLEuy00xOGg9OC5CwNX7aZPuMr+UgscvUgYRiW4oaot5hDwe01jstqzugPle8VkG+wcVhimLTReq&#10;exYZ+QHqNyqjOLjgZFxxZwonpeIie0A3VfmLm8eeeZG9YDjBLzGF/0fLP58OQFSLZ0eJZQaP6DEC&#10;U10fyd5ZiwE6IFXKafChxvK9PcA8C/4AyfQowaQv2iFjzva8ZCvGSDgubt5d37693lDCL3vFE9BD&#10;iB+FMyT9NFQrm2yzmp0+hYjNsPRSkpa1JUNDr26qssxlwWnVPiit02aA7rjXQE4Mj3x99b78sEnq&#10;keJZGc60xcXkaXKR/+JZi6nBVyExFdRdTR3SfRQLLeNc2JhTyUxYnWASJSzAWdrfgHN9gop8V18C&#10;XhC5s7NxARtlHfxJdhwvkuVUf0lg8p0iOLr2nM83R4OXLic3P5B0q5/PM/zpGe9+AgAA//8DAFBL&#10;AwQUAAYACAAAACEAlgl8g94AAAAJAQAADwAAAGRycy9kb3ducmV2LnhtbEyPQU/CQBCF7yb+h82Y&#10;eIOtSCrUbgkhYGJioiLeh+7QNnZna3eB+u8d40FvM/Ne3nwvXwyuVSfqQ+PZwM04AUVcettwZWD3&#10;thnNQIWIbLH1TAa+KMCiuLzIMbP+zK902sZKSQiHDA3UMXaZ1qGsyWEY+45YtIPvHUZZ+0rbHs8S&#10;7lo9SZJUO2xYPtTY0aqm8mN7dAY2j8unly58rtbOaT7cPq/fpw87Y66vhuU9qEhD/DPDD76gQyFM&#10;e39kG1RrYJTezcUqwnQCSgzzdCbD/vegi1z/b1B8AwAA//8DAFBLAQItABQABgAIAAAAIQC2gziS&#10;/gAAAOEBAAATAAAAAAAAAAAAAAAAAAAAAABbQ29udGVudF9UeXBlc10ueG1sUEsBAi0AFAAGAAgA&#10;AAAhADj9If/WAAAAlAEAAAsAAAAAAAAAAAAAAAAALwEAAF9yZWxzLy5yZWxzUEsBAi0AFAAGAAgA&#10;AAAhADRryO7fAQAADgQAAA4AAAAAAAAAAAAAAAAALgIAAGRycy9lMm9Eb2MueG1sUEsBAi0AFAAG&#10;AAgAAAAhAJYJfIPeAAAACQEAAA8AAAAAAAAAAAAAAAAAOQQAAGRycy9kb3ducmV2LnhtbFBLBQYA&#10;AAAABAAEAPMAAABEBQAAAAA=&#10;"/>
          </w:pict>
        </mc:Fallback>
      </mc:AlternateContent>
    </w:r>
  </w:p>
  <w:p w14:paraId="3136D2C4" w14:textId="77777777" w:rsidR="00200982" w:rsidRPr="00026E5B" w:rsidRDefault="00F0681B" w:rsidP="00200982">
    <w:pPr>
      <w:pStyle w:val="Footerpage1"/>
    </w:pPr>
    <w:r>
      <w:t xml:space="preserve">  </w:t>
    </w:r>
    <w:r w:rsidRPr="00026E5B">
      <w:t>PO Box 639, Broadway NSW 2007</w:t>
    </w:r>
  </w:p>
  <w:p w14:paraId="1F407961" w14:textId="77777777" w:rsidR="00200982" w:rsidRPr="00026E5B" w:rsidRDefault="00F0681B" w:rsidP="00200982">
    <w:pPr>
      <w:pStyle w:val="Footerpage1"/>
      <w:rPr>
        <w:color w:val="00B0F0"/>
      </w:rPr>
    </w:pPr>
    <w:r>
      <w:t xml:space="preserve">  </w:t>
    </w:r>
    <w:r w:rsidRPr="00026E5B">
      <w:t>Tel: (02) 9288 4000 | Fax: (02</w:t>
    </w:r>
    <w:r w:rsidRPr="00026E5B">
      <w:rPr>
        <w:color w:val="00B0F0"/>
      </w:rPr>
      <w:t xml:space="preserve">) 9288 4019 | Contact us through the </w:t>
    </w:r>
    <w:hyperlink r:id="rId1" w:history="1">
      <w:r w:rsidRPr="00026E5B">
        <w:rPr>
          <w:rStyle w:val="Hyperlink"/>
          <w:color w:val="00B0F0"/>
        </w:rPr>
        <w:t>National Relay Service</w:t>
      </w:r>
    </w:hyperlink>
  </w:p>
  <w:p w14:paraId="077D3F5B" w14:textId="77777777" w:rsidR="00200982" w:rsidRPr="004D706D" w:rsidRDefault="00F0681B" w:rsidP="00200982">
    <w:pPr>
      <w:pStyle w:val="Footerpage1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www.accan.org.au | info@accan.org.au | twitter: @ACCA</w:t>
    </w:r>
    <w:r>
      <w:rPr>
        <w:color w:val="00B0F0"/>
      </w:rPr>
      <w:t>N_AU | www.facebook.com/accanau</w:t>
    </w:r>
  </w:p>
  <w:p w14:paraId="6AF4339D" w14:textId="77777777" w:rsidR="00200982" w:rsidRDefault="0020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B98F" w14:textId="77777777" w:rsidR="004A6815" w:rsidRDefault="004A6815">
      <w:pPr>
        <w:spacing w:after="0" w:line="240" w:lineRule="auto"/>
      </w:pPr>
      <w:r>
        <w:separator/>
      </w:r>
    </w:p>
  </w:footnote>
  <w:footnote w:type="continuationSeparator" w:id="0">
    <w:p w14:paraId="2227687D" w14:textId="77777777" w:rsidR="004A6815" w:rsidRDefault="004A6815">
      <w:pPr>
        <w:spacing w:after="0" w:line="240" w:lineRule="auto"/>
      </w:pPr>
      <w:r>
        <w:continuationSeparator/>
      </w:r>
    </w:p>
  </w:footnote>
  <w:footnote w:type="continuationNotice" w:id="1">
    <w:p w14:paraId="23865308" w14:textId="77777777" w:rsidR="004A6815" w:rsidRDefault="004A6815">
      <w:pPr>
        <w:spacing w:after="0" w:line="240" w:lineRule="auto"/>
      </w:pPr>
    </w:p>
  </w:footnote>
  <w:footnote w:id="2">
    <w:p w14:paraId="2D350EF6" w14:textId="77777777" w:rsidR="00106AEC" w:rsidRPr="00AC7448" w:rsidRDefault="00106AEC" w:rsidP="00106A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ACMA 2021, </w:t>
      </w:r>
      <w:r w:rsidRPr="00461AA6">
        <w:rPr>
          <w:i/>
          <w:iCs/>
        </w:rPr>
        <w:t>Telstra pays $1.5 million penalty for breaching customer rights</w:t>
      </w:r>
      <w:r>
        <w:t xml:space="preserve">, media release, </w:t>
      </w:r>
      <w:hyperlink r:id="rId1" w:history="1">
        <w:r w:rsidRPr="00B62E61">
          <w:rPr>
            <w:rStyle w:val="Hyperlink"/>
          </w:rPr>
          <w:t>https://www.acma.gov.au/articles/2021-05/telstra-pays-15-million-penalty-breaching-customer-rights</w:t>
        </w:r>
      </w:hyperlink>
      <w:r>
        <w:t xml:space="preserve"> </w:t>
      </w:r>
    </w:p>
  </w:footnote>
  <w:footnote w:id="3">
    <w:p w14:paraId="5111E804" w14:textId="786511C1" w:rsidR="00991452" w:rsidRPr="00991452" w:rsidRDefault="0099145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Telecommunications Industry Ombudsman 20</w:t>
      </w:r>
      <w:r w:rsidR="00AA321A">
        <w:t xml:space="preserve">20, </w:t>
      </w:r>
      <w:r w:rsidR="00AA321A" w:rsidRPr="00461AA6">
        <w:rPr>
          <w:i/>
          <w:iCs/>
        </w:rPr>
        <w:t>TIO 2019-2020 Annual Report</w:t>
      </w:r>
      <w:r w:rsidR="00AA321A">
        <w:t xml:space="preserve">, </w:t>
      </w:r>
      <w:hyperlink r:id="rId2" w:history="1">
        <w:r w:rsidR="00AC7448" w:rsidRPr="00B62E61">
          <w:rPr>
            <w:rStyle w:val="Hyperlink"/>
          </w:rPr>
          <w:t>https://www.tio.com.au/sites/default/files/2020-09/TIO%20AR2019-20_High-Res.pdf</w:t>
        </w:r>
      </w:hyperlink>
      <w:r w:rsidR="00AC744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EC9E" w14:textId="77777777" w:rsidR="00200982" w:rsidRDefault="00F0681B" w:rsidP="00200982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68322" wp14:editId="65215A49">
          <wp:simplePos x="0" y="0"/>
          <wp:positionH relativeFrom="column">
            <wp:posOffset>5175445</wp:posOffset>
          </wp:positionH>
          <wp:positionV relativeFrom="paragraph">
            <wp:posOffset>90805</wp:posOffset>
          </wp:positionV>
          <wp:extent cx="773723" cy="358680"/>
          <wp:effectExtent l="0" t="0" r="762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" cy="3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6862" w14:textId="77777777" w:rsidR="00200982" w:rsidRDefault="00F0681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B917F6E" wp14:editId="27D281CB">
          <wp:simplePos x="0" y="0"/>
          <wp:positionH relativeFrom="column">
            <wp:posOffset>4112078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57"/>
    <w:multiLevelType w:val="hybridMultilevel"/>
    <w:tmpl w:val="A7A2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3F1"/>
    <w:multiLevelType w:val="hybridMultilevel"/>
    <w:tmpl w:val="68D0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1586"/>
    <w:multiLevelType w:val="hybridMultilevel"/>
    <w:tmpl w:val="F676B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61A9"/>
    <w:multiLevelType w:val="hybridMultilevel"/>
    <w:tmpl w:val="9AF41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104C"/>
    <w:multiLevelType w:val="hybridMultilevel"/>
    <w:tmpl w:val="D1148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6F09"/>
    <w:multiLevelType w:val="hybridMultilevel"/>
    <w:tmpl w:val="E27668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17668"/>
    <w:multiLevelType w:val="hybridMultilevel"/>
    <w:tmpl w:val="9DC8A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3AFD"/>
    <w:multiLevelType w:val="hybridMultilevel"/>
    <w:tmpl w:val="7C0C423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64709A3"/>
    <w:multiLevelType w:val="hybridMultilevel"/>
    <w:tmpl w:val="A0F4584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DCA3F08"/>
    <w:multiLevelType w:val="hybridMultilevel"/>
    <w:tmpl w:val="C72C623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82FE8"/>
    <w:multiLevelType w:val="hybridMultilevel"/>
    <w:tmpl w:val="A198B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7273"/>
    <w:multiLevelType w:val="hybridMultilevel"/>
    <w:tmpl w:val="E7A416D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72970"/>
    <w:multiLevelType w:val="hybridMultilevel"/>
    <w:tmpl w:val="F0EAF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356FB"/>
    <w:multiLevelType w:val="hybridMultilevel"/>
    <w:tmpl w:val="69F66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A6FFA"/>
    <w:multiLevelType w:val="hybridMultilevel"/>
    <w:tmpl w:val="6954256C"/>
    <w:lvl w:ilvl="0" w:tplc="88327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90838"/>
    <w:multiLevelType w:val="hybridMultilevel"/>
    <w:tmpl w:val="061A6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2E82CAA"/>
    <w:multiLevelType w:val="hybridMultilevel"/>
    <w:tmpl w:val="5906AF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85F0D"/>
    <w:multiLevelType w:val="hybridMultilevel"/>
    <w:tmpl w:val="7C9E532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21CCC"/>
    <w:multiLevelType w:val="hybridMultilevel"/>
    <w:tmpl w:val="006C9E68"/>
    <w:lvl w:ilvl="0" w:tplc="DC4846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411E9"/>
    <w:multiLevelType w:val="hybridMultilevel"/>
    <w:tmpl w:val="F042AC26"/>
    <w:lvl w:ilvl="0" w:tplc="B6CC4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21178"/>
    <w:multiLevelType w:val="hybridMultilevel"/>
    <w:tmpl w:val="C038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C0B34"/>
    <w:multiLevelType w:val="hybridMultilevel"/>
    <w:tmpl w:val="945AB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02D2B"/>
    <w:multiLevelType w:val="hybridMultilevel"/>
    <w:tmpl w:val="330E1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852CB"/>
    <w:multiLevelType w:val="hybridMultilevel"/>
    <w:tmpl w:val="E4366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02C3C"/>
    <w:multiLevelType w:val="hybridMultilevel"/>
    <w:tmpl w:val="7DD85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E0A63"/>
    <w:multiLevelType w:val="hybridMultilevel"/>
    <w:tmpl w:val="63202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5EC"/>
    <w:multiLevelType w:val="hybridMultilevel"/>
    <w:tmpl w:val="C256F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23"/>
  </w:num>
  <w:num w:numId="7">
    <w:abstractNumId w:val="1"/>
  </w:num>
  <w:num w:numId="8">
    <w:abstractNumId w:val="16"/>
  </w:num>
  <w:num w:numId="9">
    <w:abstractNumId w:val="21"/>
  </w:num>
  <w:num w:numId="10">
    <w:abstractNumId w:val="5"/>
  </w:num>
  <w:num w:numId="11">
    <w:abstractNumId w:val="25"/>
  </w:num>
  <w:num w:numId="12">
    <w:abstractNumId w:val="7"/>
  </w:num>
  <w:num w:numId="13">
    <w:abstractNumId w:val="19"/>
  </w:num>
  <w:num w:numId="14">
    <w:abstractNumId w:val="22"/>
  </w:num>
  <w:num w:numId="15">
    <w:abstractNumId w:val="14"/>
  </w:num>
  <w:num w:numId="16">
    <w:abstractNumId w:val="11"/>
  </w:num>
  <w:num w:numId="17">
    <w:abstractNumId w:val="9"/>
  </w:num>
  <w:num w:numId="18">
    <w:abstractNumId w:val="17"/>
  </w:num>
  <w:num w:numId="19">
    <w:abstractNumId w:val="13"/>
  </w:num>
  <w:num w:numId="20">
    <w:abstractNumId w:val="10"/>
  </w:num>
  <w:num w:numId="21">
    <w:abstractNumId w:val="26"/>
  </w:num>
  <w:num w:numId="22">
    <w:abstractNumId w:val="24"/>
  </w:num>
  <w:num w:numId="23">
    <w:abstractNumId w:val="20"/>
  </w:num>
  <w:num w:numId="24">
    <w:abstractNumId w:val="15"/>
  </w:num>
  <w:num w:numId="25">
    <w:abstractNumId w:val="2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36"/>
    <w:rsid w:val="00002A84"/>
    <w:rsid w:val="000039D9"/>
    <w:rsid w:val="00006849"/>
    <w:rsid w:val="00006C00"/>
    <w:rsid w:val="000130E1"/>
    <w:rsid w:val="00014E08"/>
    <w:rsid w:val="0001751C"/>
    <w:rsid w:val="00020140"/>
    <w:rsid w:val="0002144A"/>
    <w:rsid w:val="0002178D"/>
    <w:rsid w:val="00021EEE"/>
    <w:rsid w:val="00022D35"/>
    <w:rsid w:val="00024E5A"/>
    <w:rsid w:val="00025032"/>
    <w:rsid w:val="00025FC3"/>
    <w:rsid w:val="00031DE1"/>
    <w:rsid w:val="00032441"/>
    <w:rsid w:val="000345B4"/>
    <w:rsid w:val="000362DE"/>
    <w:rsid w:val="00044434"/>
    <w:rsid w:val="00052737"/>
    <w:rsid w:val="000530BA"/>
    <w:rsid w:val="00056D71"/>
    <w:rsid w:val="000576D9"/>
    <w:rsid w:val="00061D64"/>
    <w:rsid w:val="00062A46"/>
    <w:rsid w:val="00066C39"/>
    <w:rsid w:val="00066CD4"/>
    <w:rsid w:val="00072C5D"/>
    <w:rsid w:val="00075C32"/>
    <w:rsid w:val="00077240"/>
    <w:rsid w:val="0008068C"/>
    <w:rsid w:val="000840C2"/>
    <w:rsid w:val="00086136"/>
    <w:rsid w:val="00086378"/>
    <w:rsid w:val="00090606"/>
    <w:rsid w:val="0009245D"/>
    <w:rsid w:val="000A0DE3"/>
    <w:rsid w:val="000A3FBC"/>
    <w:rsid w:val="000A4520"/>
    <w:rsid w:val="000B11EF"/>
    <w:rsid w:val="000C463F"/>
    <w:rsid w:val="000C5BAA"/>
    <w:rsid w:val="000D17E4"/>
    <w:rsid w:val="000D3F85"/>
    <w:rsid w:val="000D6C9F"/>
    <w:rsid w:val="000E0A5E"/>
    <w:rsid w:val="000E2A17"/>
    <w:rsid w:val="000E5CAE"/>
    <w:rsid w:val="000E624D"/>
    <w:rsid w:val="000F0991"/>
    <w:rsid w:val="000F21D4"/>
    <w:rsid w:val="000F3856"/>
    <w:rsid w:val="00103999"/>
    <w:rsid w:val="00103DAC"/>
    <w:rsid w:val="00104DAD"/>
    <w:rsid w:val="00106AEC"/>
    <w:rsid w:val="00111F02"/>
    <w:rsid w:val="00113465"/>
    <w:rsid w:val="00113AE0"/>
    <w:rsid w:val="001217E2"/>
    <w:rsid w:val="001217FD"/>
    <w:rsid w:val="00121D47"/>
    <w:rsid w:val="00125060"/>
    <w:rsid w:val="00126183"/>
    <w:rsid w:val="0012636E"/>
    <w:rsid w:val="001275E7"/>
    <w:rsid w:val="00130E70"/>
    <w:rsid w:val="00134BAC"/>
    <w:rsid w:val="0015159F"/>
    <w:rsid w:val="00151EAB"/>
    <w:rsid w:val="00161B2B"/>
    <w:rsid w:val="00163B56"/>
    <w:rsid w:val="00167714"/>
    <w:rsid w:val="001730E0"/>
    <w:rsid w:val="001754ED"/>
    <w:rsid w:val="001766A1"/>
    <w:rsid w:val="001828D8"/>
    <w:rsid w:val="00185442"/>
    <w:rsid w:val="0019340F"/>
    <w:rsid w:val="00193DB9"/>
    <w:rsid w:val="0019461C"/>
    <w:rsid w:val="0019567C"/>
    <w:rsid w:val="001A0171"/>
    <w:rsid w:val="001A2736"/>
    <w:rsid w:val="001A2BA5"/>
    <w:rsid w:val="001A3380"/>
    <w:rsid w:val="001A5738"/>
    <w:rsid w:val="001A60E4"/>
    <w:rsid w:val="001A772D"/>
    <w:rsid w:val="001B0DED"/>
    <w:rsid w:val="001B5856"/>
    <w:rsid w:val="001B5FB2"/>
    <w:rsid w:val="001B63DD"/>
    <w:rsid w:val="001B6438"/>
    <w:rsid w:val="001C4264"/>
    <w:rsid w:val="001D6F9E"/>
    <w:rsid w:val="001D7A1B"/>
    <w:rsid w:val="001E1AE7"/>
    <w:rsid w:val="001E7889"/>
    <w:rsid w:val="001F3911"/>
    <w:rsid w:val="001F7374"/>
    <w:rsid w:val="001F77F6"/>
    <w:rsid w:val="00200982"/>
    <w:rsid w:val="00207BED"/>
    <w:rsid w:val="00207EC8"/>
    <w:rsid w:val="00211174"/>
    <w:rsid w:val="0021558D"/>
    <w:rsid w:val="00244FE0"/>
    <w:rsid w:val="00251782"/>
    <w:rsid w:val="00260397"/>
    <w:rsid w:val="00261BA9"/>
    <w:rsid w:val="0027168A"/>
    <w:rsid w:val="002718A5"/>
    <w:rsid w:val="00272512"/>
    <w:rsid w:val="00274126"/>
    <w:rsid w:val="00274E04"/>
    <w:rsid w:val="002767A3"/>
    <w:rsid w:val="00276F66"/>
    <w:rsid w:val="002801B4"/>
    <w:rsid w:val="00281129"/>
    <w:rsid w:val="00281FF9"/>
    <w:rsid w:val="002B0920"/>
    <w:rsid w:val="002C21D2"/>
    <w:rsid w:val="002C30D3"/>
    <w:rsid w:val="002C58B8"/>
    <w:rsid w:val="002C7F9B"/>
    <w:rsid w:val="002D0309"/>
    <w:rsid w:val="002D1707"/>
    <w:rsid w:val="002E5AFB"/>
    <w:rsid w:val="002F1EFA"/>
    <w:rsid w:val="002F292E"/>
    <w:rsid w:val="002F2ADF"/>
    <w:rsid w:val="002F48F3"/>
    <w:rsid w:val="00301D3A"/>
    <w:rsid w:val="00310CBD"/>
    <w:rsid w:val="0031654A"/>
    <w:rsid w:val="00317E1B"/>
    <w:rsid w:val="0032136A"/>
    <w:rsid w:val="00336BC3"/>
    <w:rsid w:val="00336F1E"/>
    <w:rsid w:val="003403FD"/>
    <w:rsid w:val="003437B0"/>
    <w:rsid w:val="00351C15"/>
    <w:rsid w:val="003532F3"/>
    <w:rsid w:val="00360987"/>
    <w:rsid w:val="00364A72"/>
    <w:rsid w:val="00370BF8"/>
    <w:rsid w:val="00372F65"/>
    <w:rsid w:val="003753FF"/>
    <w:rsid w:val="00381C48"/>
    <w:rsid w:val="00383369"/>
    <w:rsid w:val="00386C98"/>
    <w:rsid w:val="0039416E"/>
    <w:rsid w:val="003A0471"/>
    <w:rsid w:val="003A2485"/>
    <w:rsid w:val="003A504A"/>
    <w:rsid w:val="003B0198"/>
    <w:rsid w:val="003B4F26"/>
    <w:rsid w:val="003C3084"/>
    <w:rsid w:val="003C3577"/>
    <w:rsid w:val="003D5727"/>
    <w:rsid w:val="003D7C36"/>
    <w:rsid w:val="003D7DCC"/>
    <w:rsid w:val="003E2DAA"/>
    <w:rsid w:val="003E3D2C"/>
    <w:rsid w:val="003E57DE"/>
    <w:rsid w:val="003F0FC3"/>
    <w:rsid w:val="003F3FBD"/>
    <w:rsid w:val="003F74E3"/>
    <w:rsid w:val="00401C2C"/>
    <w:rsid w:val="0040204B"/>
    <w:rsid w:val="00403105"/>
    <w:rsid w:val="00405151"/>
    <w:rsid w:val="0040553A"/>
    <w:rsid w:val="004205D1"/>
    <w:rsid w:val="00426E45"/>
    <w:rsid w:val="00434C0C"/>
    <w:rsid w:val="004431B1"/>
    <w:rsid w:val="00443D19"/>
    <w:rsid w:val="00445BB7"/>
    <w:rsid w:val="00445D76"/>
    <w:rsid w:val="00453DC0"/>
    <w:rsid w:val="00456C63"/>
    <w:rsid w:val="004572B8"/>
    <w:rsid w:val="00457A53"/>
    <w:rsid w:val="00461876"/>
    <w:rsid w:val="00461AA6"/>
    <w:rsid w:val="00470B4F"/>
    <w:rsid w:val="00484120"/>
    <w:rsid w:val="00487EC4"/>
    <w:rsid w:val="00491F05"/>
    <w:rsid w:val="00492DA2"/>
    <w:rsid w:val="0049502E"/>
    <w:rsid w:val="00497F47"/>
    <w:rsid w:val="004A631E"/>
    <w:rsid w:val="004A6815"/>
    <w:rsid w:val="004A6F23"/>
    <w:rsid w:val="004B7A5E"/>
    <w:rsid w:val="004C04CB"/>
    <w:rsid w:val="004C09B2"/>
    <w:rsid w:val="004C175A"/>
    <w:rsid w:val="004C6001"/>
    <w:rsid w:val="004C644B"/>
    <w:rsid w:val="004D1EC9"/>
    <w:rsid w:val="004D34AA"/>
    <w:rsid w:val="004D4D1C"/>
    <w:rsid w:val="004D4D32"/>
    <w:rsid w:val="004D4D8A"/>
    <w:rsid w:val="004E144C"/>
    <w:rsid w:val="004E2FD7"/>
    <w:rsid w:val="004E54E8"/>
    <w:rsid w:val="004F16E4"/>
    <w:rsid w:val="004F4BCB"/>
    <w:rsid w:val="004F4E15"/>
    <w:rsid w:val="004F53E8"/>
    <w:rsid w:val="004F757D"/>
    <w:rsid w:val="00500C39"/>
    <w:rsid w:val="0050401D"/>
    <w:rsid w:val="00507159"/>
    <w:rsid w:val="00511465"/>
    <w:rsid w:val="0051223B"/>
    <w:rsid w:val="0051227E"/>
    <w:rsid w:val="00512C16"/>
    <w:rsid w:val="0051315D"/>
    <w:rsid w:val="00523A77"/>
    <w:rsid w:val="00531161"/>
    <w:rsid w:val="00533CCD"/>
    <w:rsid w:val="00540A91"/>
    <w:rsid w:val="00544CE4"/>
    <w:rsid w:val="0054584B"/>
    <w:rsid w:val="00554E89"/>
    <w:rsid w:val="005559F4"/>
    <w:rsid w:val="00557D9A"/>
    <w:rsid w:val="005623FF"/>
    <w:rsid w:val="00565E28"/>
    <w:rsid w:val="00566EB6"/>
    <w:rsid w:val="00571A94"/>
    <w:rsid w:val="005770BF"/>
    <w:rsid w:val="0058019C"/>
    <w:rsid w:val="00587E39"/>
    <w:rsid w:val="00593AF7"/>
    <w:rsid w:val="00594C44"/>
    <w:rsid w:val="005A23CC"/>
    <w:rsid w:val="005A7E55"/>
    <w:rsid w:val="005B091B"/>
    <w:rsid w:val="005B0A64"/>
    <w:rsid w:val="005B3D95"/>
    <w:rsid w:val="005B7A51"/>
    <w:rsid w:val="005B7B2B"/>
    <w:rsid w:val="005C3340"/>
    <w:rsid w:val="005C6875"/>
    <w:rsid w:val="005D0532"/>
    <w:rsid w:val="005E0929"/>
    <w:rsid w:val="005E57B7"/>
    <w:rsid w:val="005F7DF4"/>
    <w:rsid w:val="00604233"/>
    <w:rsid w:val="006059A8"/>
    <w:rsid w:val="0060609A"/>
    <w:rsid w:val="0061685B"/>
    <w:rsid w:val="00616D29"/>
    <w:rsid w:val="00616D2F"/>
    <w:rsid w:val="00626BB2"/>
    <w:rsid w:val="0062761A"/>
    <w:rsid w:val="0063541B"/>
    <w:rsid w:val="0063714D"/>
    <w:rsid w:val="0064170A"/>
    <w:rsid w:val="006417CE"/>
    <w:rsid w:val="006422C6"/>
    <w:rsid w:val="0064428D"/>
    <w:rsid w:val="0064568C"/>
    <w:rsid w:val="00646957"/>
    <w:rsid w:val="0065393B"/>
    <w:rsid w:val="006545DD"/>
    <w:rsid w:val="00654DC5"/>
    <w:rsid w:val="00655941"/>
    <w:rsid w:val="006608AE"/>
    <w:rsid w:val="00662263"/>
    <w:rsid w:val="006628BD"/>
    <w:rsid w:val="00665366"/>
    <w:rsid w:val="0066764F"/>
    <w:rsid w:val="00671DFD"/>
    <w:rsid w:val="006747FE"/>
    <w:rsid w:val="0068607D"/>
    <w:rsid w:val="006860F1"/>
    <w:rsid w:val="00692275"/>
    <w:rsid w:val="00693CC5"/>
    <w:rsid w:val="00696D38"/>
    <w:rsid w:val="0069798D"/>
    <w:rsid w:val="006A1E4D"/>
    <w:rsid w:val="006A2265"/>
    <w:rsid w:val="006A46CD"/>
    <w:rsid w:val="006A4B35"/>
    <w:rsid w:val="006A4D2B"/>
    <w:rsid w:val="006A5C89"/>
    <w:rsid w:val="006B6387"/>
    <w:rsid w:val="006B7377"/>
    <w:rsid w:val="006C0196"/>
    <w:rsid w:val="006C5BBE"/>
    <w:rsid w:val="006C74DF"/>
    <w:rsid w:val="006D6A6A"/>
    <w:rsid w:val="006D75E8"/>
    <w:rsid w:val="006E0712"/>
    <w:rsid w:val="006E08E3"/>
    <w:rsid w:val="006E23C6"/>
    <w:rsid w:val="006F26D3"/>
    <w:rsid w:val="006F27D4"/>
    <w:rsid w:val="007039D9"/>
    <w:rsid w:val="00705139"/>
    <w:rsid w:val="007122C9"/>
    <w:rsid w:val="00717E2E"/>
    <w:rsid w:val="0072184D"/>
    <w:rsid w:val="007318C0"/>
    <w:rsid w:val="00735194"/>
    <w:rsid w:val="00735EB8"/>
    <w:rsid w:val="00741E8F"/>
    <w:rsid w:val="00743E4F"/>
    <w:rsid w:val="0074488D"/>
    <w:rsid w:val="0074570E"/>
    <w:rsid w:val="0074602B"/>
    <w:rsid w:val="00746385"/>
    <w:rsid w:val="00756D28"/>
    <w:rsid w:val="0076578C"/>
    <w:rsid w:val="00774248"/>
    <w:rsid w:val="00774BCF"/>
    <w:rsid w:val="00775B87"/>
    <w:rsid w:val="007766CF"/>
    <w:rsid w:val="0078393C"/>
    <w:rsid w:val="007908C5"/>
    <w:rsid w:val="007908C9"/>
    <w:rsid w:val="00792D73"/>
    <w:rsid w:val="00793530"/>
    <w:rsid w:val="007944BC"/>
    <w:rsid w:val="007A009C"/>
    <w:rsid w:val="007A061F"/>
    <w:rsid w:val="007A1BEB"/>
    <w:rsid w:val="007A1C9E"/>
    <w:rsid w:val="007A2591"/>
    <w:rsid w:val="007A4B52"/>
    <w:rsid w:val="007A5D36"/>
    <w:rsid w:val="007A68A1"/>
    <w:rsid w:val="007A77F8"/>
    <w:rsid w:val="007B538B"/>
    <w:rsid w:val="007C1BB5"/>
    <w:rsid w:val="007C4901"/>
    <w:rsid w:val="007C7B9D"/>
    <w:rsid w:val="007D4CC8"/>
    <w:rsid w:val="007D5DEF"/>
    <w:rsid w:val="007D608B"/>
    <w:rsid w:val="007E015B"/>
    <w:rsid w:val="007E0E9D"/>
    <w:rsid w:val="007E24B6"/>
    <w:rsid w:val="007E4A9C"/>
    <w:rsid w:val="007E52CD"/>
    <w:rsid w:val="007F2DE0"/>
    <w:rsid w:val="007F4E7A"/>
    <w:rsid w:val="00802234"/>
    <w:rsid w:val="0080352B"/>
    <w:rsid w:val="008052C7"/>
    <w:rsid w:val="00812754"/>
    <w:rsid w:val="00814BC9"/>
    <w:rsid w:val="0081707B"/>
    <w:rsid w:val="008303C1"/>
    <w:rsid w:val="008303F2"/>
    <w:rsid w:val="00832250"/>
    <w:rsid w:val="00833ECB"/>
    <w:rsid w:val="00834584"/>
    <w:rsid w:val="00834A8D"/>
    <w:rsid w:val="00836216"/>
    <w:rsid w:val="00840080"/>
    <w:rsid w:val="00840BDC"/>
    <w:rsid w:val="00853DCF"/>
    <w:rsid w:val="00861923"/>
    <w:rsid w:val="0086232B"/>
    <w:rsid w:val="00862505"/>
    <w:rsid w:val="0086493C"/>
    <w:rsid w:val="00865249"/>
    <w:rsid w:val="008667DF"/>
    <w:rsid w:val="00874291"/>
    <w:rsid w:val="00874C05"/>
    <w:rsid w:val="00876AD1"/>
    <w:rsid w:val="00880915"/>
    <w:rsid w:val="00882492"/>
    <w:rsid w:val="00882A26"/>
    <w:rsid w:val="00883444"/>
    <w:rsid w:val="0088458A"/>
    <w:rsid w:val="00884979"/>
    <w:rsid w:val="00886F38"/>
    <w:rsid w:val="00890F30"/>
    <w:rsid w:val="0089767D"/>
    <w:rsid w:val="008A7DB4"/>
    <w:rsid w:val="008B1C8C"/>
    <w:rsid w:val="008B2703"/>
    <w:rsid w:val="008B6761"/>
    <w:rsid w:val="008D28EA"/>
    <w:rsid w:val="008D3323"/>
    <w:rsid w:val="008D4538"/>
    <w:rsid w:val="008D6210"/>
    <w:rsid w:val="008E6279"/>
    <w:rsid w:val="008F05C4"/>
    <w:rsid w:val="008F13EC"/>
    <w:rsid w:val="008F56F4"/>
    <w:rsid w:val="008F7808"/>
    <w:rsid w:val="00902659"/>
    <w:rsid w:val="00905305"/>
    <w:rsid w:val="00912373"/>
    <w:rsid w:val="00916AA4"/>
    <w:rsid w:val="00916BAD"/>
    <w:rsid w:val="00923CC1"/>
    <w:rsid w:val="00924089"/>
    <w:rsid w:val="00924C5F"/>
    <w:rsid w:val="0093282D"/>
    <w:rsid w:val="0093361E"/>
    <w:rsid w:val="0093372D"/>
    <w:rsid w:val="00940C92"/>
    <w:rsid w:val="00944218"/>
    <w:rsid w:val="00952FAD"/>
    <w:rsid w:val="00953837"/>
    <w:rsid w:val="00955677"/>
    <w:rsid w:val="0096083B"/>
    <w:rsid w:val="00964685"/>
    <w:rsid w:val="00970429"/>
    <w:rsid w:val="009762A1"/>
    <w:rsid w:val="00976CF0"/>
    <w:rsid w:val="009774D0"/>
    <w:rsid w:val="00977753"/>
    <w:rsid w:val="00983D15"/>
    <w:rsid w:val="00985CFE"/>
    <w:rsid w:val="00991452"/>
    <w:rsid w:val="0099331F"/>
    <w:rsid w:val="00995B6D"/>
    <w:rsid w:val="00997D9E"/>
    <w:rsid w:val="009A7891"/>
    <w:rsid w:val="009B0CD4"/>
    <w:rsid w:val="009B2B83"/>
    <w:rsid w:val="009B4C71"/>
    <w:rsid w:val="009C094B"/>
    <w:rsid w:val="009C0C6D"/>
    <w:rsid w:val="009C3F77"/>
    <w:rsid w:val="009C6CCE"/>
    <w:rsid w:val="009D1AE9"/>
    <w:rsid w:val="009D3634"/>
    <w:rsid w:val="009E22EE"/>
    <w:rsid w:val="009E2F5F"/>
    <w:rsid w:val="009F4086"/>
    <w:rsid w:val="009F524B"/>
    <w:rsid w:val="009F5E7B"/>
    <w:rsid w:val="00A03B0E"/>
    <w:rsid w:val="00A0796F"/>
    <w:rsid w:val="00A10851"/>
    <w:rsid w:val="00A10C55"/>
    <w:rsid w:val="00A13212"/>
    <w:rsid w:val="00A13884"/>
    <w:rsid w:val="00A166FF"/>
    <w:rsid w:val="00A2058A"/>
    <w:rsid w:val="00A25492"/>
    <w:rsid w:val="00A268B1"/>
    <w:rsid w:val="00A30BF5"/>
    <w:rsid w:val="00A323BF"/>
    <w:rsid w:val="00A33D37"/>
    <w:rsid w:val="00A369C3"/>
    <w:rsid w:val="00A376FC"/>
    <w:rsid w:val="00A42142"/>
    <w:rsid w:val="00A43E3D"/>
    <w:rsid w:val="00A53835"/>
    <w:rsid w:val="00A62E89"/>
    <w:rsid w:val="00A63027"/>
    <w:rsid w:val="00A64D8D"/>
    <w:rsid w:val="00A73092"/>
    <w:rsid w:val="00A73C9E"/>
    <w:rsid w:val="00A8138B"/>
    <w:rsid w:val="00A83589"/>
    <w:rsid w:val="00A8659F"/>
    <w:rsid w:val="00A91F46"/>
    <w:rsid w:val="00A95CC8"/>
    <w:rsid w:val="00A97440"/>
    <w:rsid w:val="00AA321A"/>
    <w:rsid w:val="00AB0507"/>
    <w:rsid w:val="00AC1C2D"/>
    <w:rsid w:val="00AC7448"/>
    <w:rsid w:val="00AD2DC0"/>
    <w:rsid w:val="00AD7546"/>
    <w:rsid w:val="00AE02B9"/>
    <w:rsid w:val="00AE3A9B"/>
    <w:rsid w:val="00AE466D"/>
    <w:rsid w:val="00AE4F32"/>
    <w:rsid w:val="00AF49BE"/>
    <w:rsid w:val="00AF675C"/>
    <w:rsid w:val="00B003CF"/>
    <w:rsid w:val="00B03442"/>
    <w:rsid w:val="00B042CB"/>
    <w:rsid w:val="00B05CAC"/>
    <w:rsid w:val="00B0759E"/>
    <w:rsid w:val="00B2146E"/>
    <w:rsid w:val="00B21FC8"/>
    <w:rsid w:val="00B30C5E"/>
    <w:rsid w:val="00B31ABF"/>
    <w:rsid w:val="00B3271C"/>
    <w:rsid w:val="00B356F6"/>
    <w:rsid w:val="00B4329B"/>
    <w:rsid w:val="00B45BE3"/>
    <w:rsid w:val="00B46C24"/>
    <w:rsid w:val="00B47D72"/>
    <w:rsid w:val="00B520F1"/>
    <w:rsid w:val="00B610A5"/>
    <w:rsid w:val="00B633E6"/>
    <w:rsid w:val="00B640FC"/>
    <w:rsid w:val="00B64A95"/>
    <w:rsid w:val="00B65ADE"/>
    <w:rsid w:val="00B73EF4"/>
    <w:rsid w:val="00B756A9"/>
    <w:rsid w:val="00B76659"/>
    <w:rsid w:val="00B828ED"/>
    <w:rsid w:val="00B84A76"/>
    <w:rsid w:val="00B9041F"/>
    <w:rsid w:val="00BA35C0"/>
    <w:rsid w:val="00BB2A36"/>
    <w:rsid w:val="00BC1E7F"/>
    <w:rsid w:val="00BC38F7"/>
    <w:rsid w:val="00BC5BEE"/>
    <w:rsid w:val="00BC5E7A"/>
    <w:rsid w:val="00BD15C1"/>
    <w:rsid w:val="00BD42C5"/>
    <w:rsid w:val="00BD6678"/>
    <w:rsid w:val="00BD71A1"/>
    <w:rsid w:val="00BE1D4A"/>
    <w:rsid w:val="00BE2D70"/>
    <w:rsid w:val="00BF1DD0"/>
    <w:rsid w:val="00BF6213"/>
    <w:rsid w:val="00BF7077"/>
    <w:rsid w:val="00BF79E2"/>
    <w:rsid w:val="00C041A3"/>
    <w:rsid w:val="00C10481"/>
    <w:rsid w:val="00C1217A"/>
    <w:rsid w:val="00C14CA4"/>
    <w:rsid w:val="00C14CE3"/>
    <w:rsid w:val="00C155FA"/>
    <w:rsid w:val="00C22CAE"/>
    <w:rsid w:val="00C23144"/>
    <w:rsid w:val="00C24A8E"/>
    <w:rsid w:val="00C24F4F"/>
    <w:rsid w:val="00C30B67"/>
    <w:rsid w:val="00C33115"/>
    <w:rsid w:val="00C41CCA"/>
    <w:rsid w:val="00C4427A"/>
    <w:rsid w:val="00C513C2"/>
    <w:rsid w:val="00C52CDF"/>
    <w:rsid w:val="00C54340"/>
    <w:rsid w:val="00C609FE"/>
    <w:rsid w:val="00C61DE3"/>
    <w:rsid w:val="00C64C9B"/>
    <w:rsid w:val="00C73ADC"/>
    <w:rsid w:val="00C7435F"/>
    <w:rsid w:val="00C90987"/>
    <w:rsid w:val="00C923D4"/>
    <w:rsid w:val="00C94D36"/>
    <w:rsid w:val="00C965A4"/>
    <w:rsid w:val="00C967DE"/>
    <w:rsid w:val="00CA4583"/>
    <w:rsid w:val="00CA6773"/>
    <w:rsid w:val="00CB1342"/>
    <w:rsid w:val="00CB1EDF"/>
    <w:rsid w:val="00CB2FCD"/>
    <w:rsid w:val="00CB529E"/>
    <w:rsid w:val="00CB6F86"/>
    <w:rsid w:val="00CC283B"/>
    <w:rsid w:val="00CC3862"/>
    <w:rsid w:val="00CC5390"/>
    <w:rsid w:val="00CC73A0"/>
    <w:rsid w:val="00CC7F94"/>
    <w:rsid w:val="00CD034D"/>
    <w:rsid w:val="00CD6D13"/>
    <w:rsid w:val="00CE20A7"/>
    <w:rsid w:val="00CE4EF2"/>
    <w:rsid w:val="00CF6428"/>
    <w:rsid w:val="00CF6E51"/>
    <w:rsid w:val="00D0588B"/>
    <w:rsid w:val="00D128D1"/>
    <w:rsid w:val="00D13843"/>
    <w:rsid w:val="00D15B26"/>
    <w:rsid w:val="00D15F20"/>
    <w:rsid w:val="00D377AC"/>
    <w:rsid w:val="00D4079C"/>
    <w:rsid w:val="00D418F0"/>
    <w:rsid w:val="00D46488"/>
    <w:rsid w:val="00D466ED"/>
    <w:rsid w:val="00D5651E"/>
    <w:rsid w:val="00D57128"/>
    <w:rsid w:val="00D611C0"/>
    <w:rsid w:val="00D61427"/>
    <w:rsid w:val="00D72AD7"/>
    <w:rsid w:val="00D747CD"/>
    <w:rsid w:val="00D74943"/>
    <w:rsid w:val="00D80B77"/>
    <w:rsid w:val="00D85024"/>
    <w:rsid w:val="00D876D2"/>
    <w:rsid w:val="00D90774"/>
    <w:rsid w:val="00D95B0C"/>
    <w:rsid w:val="00D96114"/>
    <w:rsid w:val="00D97344"/>
    <w:rsid w:val="00DA2614"/>
    <w:rsid w:val="00DA7FA9"/>
    <w:rsid w:val="00DB4F7A"/>
    <w:rsid w:val="00DB7E65"/>
    <w:rsid w:val="00DC0E05"/>
    <w:rsid w:val="00DC33DC"/>
    <w:rsid w:val="00DC5330"/>
    <w:rsid w:val="00DC775D"/>
    <w:rsid w:val="00DC7933"/>
    <w:rsid w:val="00DC7A00"/>
    <w:rsid w:val="00DD33C5"/>
    <w:rsid w:val="00DD3656"/>
    <w:rsid w:val="00DD4E1A"/>
    <w:rsid w:val="00DD5568"/>
    <w:rsid w:val="00DD6989"/>
    <w:rsid w:val="00DE1615"/>
    <w:rsid w:val="00DE3D95"/>
    <w:rsid w:val="00DF4638"/>
    <w:rsid w:val="00DF553B"/>
    <w:rsid w:val="00DF7833"/>
    <w:rsid w:val="00E005ED"/>
    <w:rsid w:val="00E05439"/>
    <w:rsid w:val="00E071C0"/>
    <w:rsid w:val="00E146A8"/>
    <w:rsid w:val="00E217A3"/>
    <w:rsid w:val="00E21CE0"/>
    <w:rsid w:val="00E25A9C"/>
    <w:rsid w:val="00E261B9"/>
    <w:rsid w:val="00E312DB"/>
    <w:rsid w:val="00E32D59"/>
    <w:rsid w:val="00E35BA2"/>
    <w:rsid w:val="00E413C8"/>
    <w:rsid w:val="00E46C64"/>
    <w:rsid w:val="00E53F99"/>
    <w:rsid w:val="00E546A4"/>
    <w:rsid w:val="00E55AF0"/>
    <w:rsid w:val="00E56349"/>
    <w:rsid w:val="00E62DFF"/>
    <w:rsid w:val="00E63612"/>
    <w:rsid w:val="00E71183"/>
    <w:rsid w:val="00E7255A"/>
    <w:rsid w:val="00E762D0"/>
    <w:rsid w:val="00E81349"/>
    <w:rsid w:val="00E84BEE"/>
    <w:rsid w:val="00E84FF3"/>
    <w:rsid w:val="00E8765E"/>
    <w:rsid w:val="00E9075C"/>
    <w:rsid w:val="00E91CBC"/>
    <w:rsid w:val="00E944A1"/>
    <w:rsid w:val="00EA3214"/>
    <w:rsid w:val="00EA3A0D"/>
    <w:rsid w:val="00EA691A"/>
    <w:rsid w:val="00EB0736"/>
    <w:rsid w:val="00EB0FB9"/>
    <w:rsid w:val="00EB32C1"/>
    <w:rsid w:val="00EB344B"/>
    <w:rsid w:val="00EB6D04"/>
    <w:rsid w:val="00EC7219"/>
    <w:rsid w:val="00EC7AD7"/>
    <w:rsid w:val="00ED607C"/>
    <w:rsid w:val="00ED7F0F"/>
    <w:rsid w:val="00EE1941"/>
    <w:rsid w:val="00EE28B1"/>
    <w:rsid w:val="00EE709B"/>
    <w:rsid w:val="00EF1554"/>
    <w:rsid w:val="00EF1E11"/>
    <w:rsid w:val="00EF2B1E"/>
    <w:rsid w:val="00EF3A6D"/>
    <w:rsid w:val="00EF54D8"/>
    <w:rsid w:val="00EF5BCF"/>
    <w:rsid w:val="00EF7B2A"/>
    <w:rsid w:val="00F0681B"/>
    <w:rsid w:val="00F06869"/>
    <w:rsid w:val="00F17485"/>
    <w:rsid w:val="00F20AE5"/>
    <w:rsid w:val="00F2110A"/>
    <w:rsid w:val="00F230DD"/>
    <w:rsid w:val="00F23629"/>
    <w:rsid w:val="00F27564"/>
    <w:rsid w:val="00F322F0"/>
    <w:rsid w:val="00F3257F"/>
    <w:rsid w:val="00F42AEB"/>
    <w:rsid w:val="00F441BE"/>
    <w:rsid w:val="00F47A31"/>
    <w:rsid w:val="00F64C59"/>
    <w:rsid w:val="00F71C7C"/>
    <w:rsid w:val="00F72F58"/>
    <w:rsid w:val="00F8307D"/>
    <w:rsid w:val="00F84D57"/>
    <w:rsid w:val="00F86B82"/>
    <w:rsid w:val="00F9170F"/>
    <w:rsid w:val="00F9507F"/>
    <w:rsid w:val="00FA5CF6"/>
    <w:rsid w:val="00FB5A5C"/>
    <w:rsid w:val="00FB6FA8"/>
    <w:rsid w:val="00FC255F"/>
    <w:rsid w:val="00FC2678"/>
    <w:rsid w:val="00FC501F"/>
    <w:rsid w:val="00FC6EE1"/>
    <w:rsid w:val="00FD3AF2"/>
    <w:rsid w:val="00FE2A3B"/>
    <w:rsid w:val="00FE2F7F"/>
    <w:rsid w:val="00FE3CC6"/>
    <w:rsid w:val="00FE5691"/>
    <w:rsid w:val="00FF5DD5"/>
    <w:rsid w:val="00FF7819"/>
    <w:rsid w:val="00FF7EE4"/>
    <w:rsid w:val="01FDD292"/>
    <w:rsid w:val="03343D49"/>
    <w:rsid w:val="03ABFBC1"/>
    <w:rsid w:val="03FB6761"/>
    <w:rsid w:val="04A842DD"/>
    <w:rsid w:val="07A5CA34"/>
    <w:rsid w:val="0879D5AE"/>
    <w:rsid w:val="08C96EF0"/>
    <w:rsid w:val="0B20F9A4"/>
    <w:rsid w:val="0CD6C8E2"/>
    <w:rsid w:val="0D1B25FC"/>
    <w:rsid w:val="0D458C1C"/>
    <w:rsid w:val="0E0CDA7D"/>
    <w:rsid w:val="0EF774F8"/>
    <w:rsid w:val="10B9CCE1"/>
    <w:rsid w:val="118E25D2"/>
    <w:rsid w:val="14B88DC5"/>
    <w:rsid w:val="153FD142"/>
    <w:rsid w:val="16400262"/>
    <w:rsid w:val="168BB1CA"/>
    <w:rsid w:val="16DD5E9A"/>
    <w:rsid w:val="190D0892"/>
    <w:rsid w:val="1985E77A"/>
    <w:rsid w:val="1A9E3202"/>
    <w:rsid w:val="1D415E47"/>
    <w:rsid w:val="1D9EDDA9"/>
    <w:rsid w:val="1F86CAFA"/>
    <w:rsid w:val="214B9DC9"/>
    <w:rsid w:val="2302CB33"/>
    <w:rsid w:val="240ED094"/>
    <w:rsid w:val="246FF141"/>
    <w:rsid w:val="26A87E29"/>
    <w:rsid w:val="270BE237"/>
    <w:rsid w:val="289D53CC"/>
    <w:rsid w:val="292F0F01"/>
    <w:rsid w:val="299E2144"/>
    <w:rsid w:val="2A81308F"/>
    <w:rsid w:val="2AE38681"/>
    <w:rsid w:val="2B081428"/>
    <w:rsid w:val="2B3B09B8"/>
    <w:rsid w:val="2B9EEE33"/>
    <w:rsid w:val="2BFBABBE"/>
    <w:rsid w:val="2CF1DEE6"/>
    <w:rsid w:val="2CF63441"/>
    <w:rsid w:val="2D960BA9"/>
    <w:rsid w:val="300921B9"/>
    <w:rsid w:val="3014E9D1"/>
    <w:rsid w:val="30DC9912"/>
    <w:rsid w:val="3152AA26"/>
    <w:rsid w:val="31987144"/>
    <w:rsid w:val="320C096E"/>
    <w:rsid w:val="3345A429"/>
    <w:rsid w:val="3365DF7D"/>
    <w:rsid w:val="338AD733"/>
    <w:rsid w:val="348624F1"/>
    <w:rsid w:val="369DDED0"/>
    <w:rsid w:val="371064C4"/>
    <w:rsid w:val="39788F36"/>
    <w:rsid w:val="3BEFD102"/>
    <w:rsid w:val="3D31C50C"/>
    <w:rsid w:val="40B91A68"/>
    <w:rsid w:val="40FA4FF1"/>
    <w:rsid w:val="42A044BE"/>
    <w:rsid w:val="42E39FD1"/>
    <w:rsid w:val="43FBFF56"/>
    <w:rsid w:val="43FFB094"/>
    <w:rsid w:val="44A4249E"/>
    <w:rsid w:val="45101BF9"/>
    <w:rsid w:val="464B9401"/>
    <w:rsid w:val="4CC560BF"/>
    <w:rsid w:val="4D04151A"/>
    <w:rsid w:val="4D54D746"/>
    <w:rsid w:val="4E0EF0D1"/>
    <w:rsid w:val="4E412C67"/>
    <w:rsid w:val="4F4DC1C5"/>
    <w:rsid w:val="4F5D6062"/>
    <w:rsid w:val="4FF5D099"/>
    <w:rsid w:val="5348577F"/>
    <w:rsid w:val="5441D815"/>
    <w:rsid w:val="575579AB"/>
    <w:rsid w:val="58679F10"/>
    <w:rsid w:val="59C908CE"/>
    <w:rsid w:val="5B6B783E"/>
    <w:rsid w:val="5BCA9AF6"/>
    <w:rsid w:val="5DDEE69A"/>
    <w:rsid w:val="5EE16208"/>
    <w:rsid w:val="5FB826F7"/>
    <w:rsid w:val="601A1D0B"/>
    <w:rsid w:val="63232560"/>
    <w:rsid w:val="6339AB16"/>
    <w:rsid w:val="63F757F1"/>
    <w:rsid w:val="64551E2C"/>
    <w:rsid w:val="6495636B"/>
    <w:rsid w:val="679146BB"/>
    <w:rsid w:val="686C4CBA"/>
    <w:rsid w:val="6A310B7F"/>
    <w:rsid w:val="6A5C6F67"/>
    <w:rsid w:val="6A61E10E"/>
    <w:rsid w:val="6C9DD8CB"/>
    <w:rsid w:val="6CB88AED"/>
    <w:rsid w:val="6D249D3F"/>
    <w:rsid w:val="6E9F620F"/>
    <w:rsid w:val="6F99D76B"/>
    <w:rsid w:val="703110F8"/>
    <w:rsid w:val="70DB41FD"/>
    <w:rsid w:val="70DE2D26"/>
    <w:rsid w:val="712F303C"/>
    <w:rsid w:val="72B7E760"/>
    <w:rsid w:val="73AD4C73"/>
    <w:rsid w:val="73DAC2B2"/>
    <w:rsid w:val="7601EEAE"/>
    <w:rsid w:val="7633D172"/>
    <w:rsid w:val="775121DD"/>
    <w:rsid w:val="77FD9B55"/>
    <w:rsid w:val="79C8B336"/>
    <w:rsid w:val="79D4427B"/>
    <w:rsid w:val="7BD595DF"/>
    <w:rsid w:val="7D2F853A"/>
    <w:rsid w:val="7E4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C92C"/>
  <w15:docId w15:val="{3807181C-F6D9-466F-BC64-9A243894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F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2DB"/>
    <w:pPr>
      <w:keepNext/>
      <w:keepLines/>
      <w:spacing w:before="120" w:after="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C15"/>
    <w:pPr>
      <w:keepNext/>
      <w:keepLines/>
      <w:spacing w:before="200" w:after="100" w:afterAutospacing="1"/>
      <w:outlineLvl w:val="1"/>
    </w:pPr>
    <w:rPr>
      <w:rFonts w:eastAsiaTheme="majorEastAsia" w:cstheme="minorHAns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851"/>
    <w:pPr>
      <w:spacing w:before="100" w:beforeAutospacing="1" w:after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3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3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7A5D36"/>
    <w:rPr>
      <w:color w:val="0000FF" w:themeColor="hyperlink"/>
      <w:u w:val="single"/>
    </w:rPr>
  </w:style>
  <w:style w:type="paragraph" w:customStyle="1" w:styleId="Footerpage1">
    <w:name w:val="Footer page 1"/>
    <w:rsid w:val="007A5D36"/>
    <w:pPr>
      <w:spacing w:line="240" w:lineRule="auto"/>
      <w:ind w:left="-754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2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C30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0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312DB"/>
    <w:rPr>
      <w:rFonts w:eastAsiaTheme="majorEastAsia" w:cstheme="minorHAnsi"/>
      <w:b/>
      <w:bCs/>
      <w:sz w:val="28"/>
      <w:szCs w:val="2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214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A32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21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14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14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51C15"/>
    <w:rPr>
      <w:rFonts w:eastAsiaTheme="majorEastAsia" w:cstheme="minorHAnsi"/>
      <w:bCs/>
      <w:i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851"/>
    <w:rPr>
      <w:rFonts w:eastAsiaTheme="minorEastAsia"/>
      <w:b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796F"/>
    <w:rPr>
      <w:color w:val="605E5C"/>
      <w:shd w:val="clear" w:color="auto" w:fill="E1DFDD"/>
    </w:rPr>
  </w:style>
  <w:style w:type="paragraph" w:customStyle="1" w:styleId="BodyText1">
    <w:name w:val="Body Text1"/>
    <w:basedOn w:val="Normal"/>
    <w:qFormat/>
    <w:rsid w:val="00940C92"/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kah.Sarkoezy@acca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.purdon@commsalliance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layservice.gov.a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io.com.au/sites/default/files/2020-09/TIO%20AR2019-20_High-Res.pdf" TargetMode="External"/><Relationship Id="rId1" Type="http://schemas.openxmlformats.org/officeDocument/2006/relationships/hyperlink" Target="https://www.acma.gov.au/articles/2021-05/telstra-pays-15-million-penalty-breaching-customer-righ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a1a33-c191-48ee-b288-192490d33fec">
      <UserInfo>
        <DisplayName>Rebekah Sarkoezy</DisplayName>
        <AccountId>16</AccountId>
        <AccountType/>
      </UserInfo>
      <UserInfo>
        <DisplayName>Meredith Lea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F4F94-1AF4-4521-991E-7AE5BA2A5212}">
  <ds:schemaRefs>
    <ds:schemaRef ds:uri="http://schemas.microsoft.com/office/2006/metadata/properties"/>
    <ds:schemaRef ds:uri="http://schemas.microsoft.com/office/infopath/2007/PartnerControls"/>
    <ds:schemaRef ds:uri="2afa1a33-c191-48ee-b288-192490d33fec"/>
  </ds:schemaRefs>
</ds:datastoreItem>
</file>

<file path=customXml/itemProps2.xml><?xml version="1.0" encoding="utf-8"?>
<ds:datastoreItem xmlns:ds="http://schemas.openxmlformats.org/officeDocument/2006/customXml" ds:itemID="{6951A666-5A32-436E-BAA7-85CE70A76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0EADF-B74E-4262-8D85-D9588AD9FF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C21FB9-1321-4B4B-A22E-45DA56E9F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1603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Links>
    <vt:vector size="30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mailto:Rebekah.Sarkoezy@accan.org.au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mailto:c.purdon@commsalliance.com.au</vt:lpwstr>
      </vt:variant>
      <vt:variant>
        <vt:lpwstr/>
      </vt:variant>
      <vt:variant>
        <vt:i4>4718700</vt:i4>
      </vt:variant>
      <vt:variant>
        <vt:i4>3</vt:i4>
      </vt:variant>
      <vt:variant>
        <vt:i4>0</vt:i4>
      </vt:variant>
      <vt:variant>
        <vt:i4>5</vt:i4>
      </vt:variant>
      <vt:variant>
        <vt:lpwstr>https://www.tio.com.au/sites/default/files/2020-09/TIO AR2019-20_High-Res.pdf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https://www.acma.gov.au/articles/2021-05/telstra-pays-15-million-penalty-breaching-customer-rights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http://relayservice.gov.au/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Sarkoezy</dc:creator>
  <cp:keywords/>
  <cp:lastModifiedBy>Rebekah Sarkoezy</cp:lastModifiedBy>
  <cp:revision>45</cp:revision>
  <cp:lastPrinted>2021-08-19T01:33:00Z</cp:lastPrinted>
  <dcterms:created xsi:type="dcterms:W3CDTF">2021-08-18T08:32:00Z</dcterms:created>
  <dcterms:modified xsi:type="dcterms:W3CDTF">2021-08-19T01:42:00Z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