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AA89B" w14:textId="77777777" w:rsidR="00C7127B" w:rsidRDefault="00C7127B" w:rsidP="00C7127B">
      <w:pPr>
        <w:spacing w:after="0"/>
        <w:rPr>
          <w:sz w:val="23"/>
          <w:szCs w:val="23"/>
        </w:rPr>
      </w:pPr>
    </w:p>
    <w:p w14:paraId="67953907" w14:textId="37C1FBC8" w:rsidR="00C7127B" w:rsidRPr="004956A5" w:rsidRDefault="004956A5" w:rsidP="00C7127B">
      <w:pPr>
        <w:spacing w:after="0"/>
        <w:rPr>
          <w:sz w:val="23"/>
          <w:szCs w:val="23"/>
        </w:rPr>
      </w:pPr>
      <w:r w:rsidRPr="004956A5">
        <w:rPr>
          <w:sz w:val="23"/>
          <w:szCs w:val="23"/>
        </w:rPr>
        <w:t>21</w:t>
      </w:r>
      <w:r w:rsidRPr="004956A5">
        <w:rPr>
          <w:sz w:val="23"/>
          <w:szCs w:val="23"/>
          <w:vertAlign w:val="superscript"/>
        </w:rPr>
        <w:t>st</w:t>
      </w:r>
      <w:r w:rsidRPr="004956A5">
        <w:rPr>
          <w:sz w:val="23"/>
          <w:szCs w:val="23"/>
        </w:rPr>
        <w:t xml:space="preserve"> </w:t>
      </w:r>
      <w:r w:rsidR="00F71BBF" w:rsidRPr="004956A5">
        <w:rPr>
          <w:sz w:val="23"/>
          <w:szCs w:val="23"/>
        </w:rPr>
        <w:t>July 2021</w:t>
      </w:r>
    </w:p>
    <w:p w14:paraId="62B9C198" w14:textId="0FDCF55F" w:rsidR="00C7127B" w:rsidRDefault="00AF2500" w:rsidP="00C7127B">
      <w:pPr>
        <w:spacing w:after="0"/>
        <w:rPr>
          <w:sz w:val="23"/>
          <w:szCs w:val="23"/>
        </w:rPr>
      </w:pPr>
      <w:hyperlink r:id="rId11" w:history="1">
        <w:r w:rsidR="00F71BBF" w:rsidRPr="004956A5">
          <w:rPr>
            <w:rStyle w:val="Hyperlink"/>
            <w:sz w:val="23"/>
            <w:szCs w:val="23"/>
          </w:rPr>
          <w:t>nbn@accc.gov.au</w:t>
        </w:r>
      </w:hyperlink>
      <w:r w:rsidR="00F71BBF">
        <w:rPr>
          <w:sz w:val="23"/>
          <w:szCs w:val="23"/>
        </w:rPr>
        <w:t xml:space="preserve"> </w:t>
      </w:r>
    </w:p>
    <w:p w14:paraId="2ABE02E6" w14:textId="21B0C925" w:rsidR="00F71BBF" w:rsidRDefault="00F71BBF" w:rsidP="00C7127B">
      <w:pPr>
        <w:spacing w:after="0"/>
        <w:rPr>
          <w:rStyle w:val="Strong"/>
        </w:rPr>
      </w:pPr>
    </w:p>
    <w:p w14:paraId="0B44CE52" w14:textId="40026AA4" w:rsidR="00C7127B" w:rsidRPr="008604CF" w:rsidRDefault="00F71BBF" w:rsidP="00C7127B">
      <w:pPr>
        <w:spacing w:after="0"/>
        <w:rPr>
          <w:b/>
          <w:bCs/>
        </w:rPr>
      </w:pPr>
      <w:r w:rsidRPr="6A9A6957">
        <w:rPr>
          <w:rStyle w:val="Strong"/>
        </w:rPr>
        <w:t xml:space="preserve">ACCC Industry Roundtable on regulatory arrangements under NBN Co’s </w:t>
      </w:r>
      <w:r w:rsidR="679CFD9C" w:rsidRPr="6A9A6957">
        <w:rPr>
          <w:rStyle w:val="Strong"/>
        </w:rPr>
        <w:t>S</w:t>
      </w:r>
      <w:r w:rsidRPr="6A9A6957">
        <w:rPr>
          <w:rStyle w:val="Strong"/>
        </w:rPr>
        <w:t xml:space="preserve">pecial Access Undertaking </w:t>
      </w:r>
    </w:p>
    <w:p w14:paraId="69ABDB0E" w14:textId="1843DAB3" w:rsidR="00C7127B" w:rsidRDefault="00C7127B" w:rsidP="008604CF">
      <w:r>
        <w:t xml:space="preserve">ACCAN thanks the </w:t>
      </w:r>
      <w:r w:rsidR="00F71BBF">
        <w:t>ACCC</w:t>
      </w:r>
      <w:r>
        <w:t xml:space="preserve"> for the </w:t>
      </w:r>
      <w:r w:rsidRPr="00DD1B6E">
        <w:t>opportunity</w:t>
      </w:r>
      <w:r>
        <w:t xml:space="preserve"> to </w:t>
      </w:r>
      <w:r w:rsidR="00F71BBF">
        <w:t>participate in the roundtable held on Friday 18</w:t>
      </w:r>
      <w:r w:rsidR="00F71BBF" w:rsidRPr="00F71BBF">
        <w:rPr>
          <w:vertAlign w:val="superscript"/>
        </w:rPr>
        <w:t>th</w:t>
      </w:r>
      <w:r w:rsidR="00F71BBF">
        <w:t xml:space="preserve"> June 2021. At the roundtable ACCAN outlined some key expectations </w:t>
      </w:r>
      <w:r w:rsidR="00FE7BAE">
        <w:t>from</w:t>
      </w:r>
      <w:r w:rsidR="00F71BBF">
        <w:t xml:space="preserve"> consumers, which we believe, through the appropriate regulatory framework, nbn will be able to achieve. To summarise,</w:t>
      </w:r>
      <w:r w:rsidR="00D75E97">
        <w:t xml:space="preserve"> ACCAN consider</w:t>
      </w:r>
      <w:r w:rsidR="7C5F8037">
        <w:t>s</w:t>
      </w:r>
      <w:r w:rsidR="00D75E97">
        <w:t xml:space="preserve"> the </w:t>
      </w:r>
      <w:r w:rsidR="00035413">
        <w:t>Special Access Undertaking (SAU)</w:t>
      </w:r>
      <w:r w:rsidR="00D75E97">
        <w:t xml:space="preserve"> should</w:t>
      </w:r>
      <w:r w:rsidR="00035413">
        <w:t xml:space="preserve"> </w:t>
      </w:r>
      <w:r w:rsidR="00D75E97">
        <w:t>ensure</w:t>
      </w:r>
      <w:r w:rsidR="00F71BBF">
        <w:t>:</w:t>
      </w:r>
    </w:p>
    <w:p w14:paraId="336E38F3" w14:textId="41CC8F5C" w:rsidR="00F71BBF" w:rsidRDefault="00D75E97" w:rsidP="008604CF">
      <w:pPr>
        <w:pStyle w:val="ListParagraph"/>
        <w:numPr>
          <w:ilvl w:val="0"/>
          <w:numId w:val="6"/>
        </w:numPr>
      </w:pPr>
      <w:r>
        <w:t>Nbn’s services are</w:t>
      </w:r>
      <w:r w:rsidR="00D0535D">
        <w:t xml:space="preserve"> </w:t>
      </w:r>
      <w:r w:rsidR="00724F94">
        <w:t>able to meet appropriate</w:t>
      </w:r>
      <w:r w:rsidR="00D0535D">
        <w:t xml:space="preserve"> minimum performance and service standards</w:t>
      </w:r>
    </w:p>
    <w:p w14:paraId="22BE84ED" w14:textId="2C1E2BFB" w:rsidR="00D75E97" w:rsidRDefault="00035413" w:rsidP="008604CF">
      <w:pPr>
        <w:pStyle w:val="ListParagraph"/>
        <w:numPr>
          <w:ilvl w:val="0"/>
          <w:numId w:val="6"/>
        </w:numPr>
      </w:pPr>
      <w:r>
        <w:t xml:space="preserve">The </w:t>
      </w:r>
      <w:r w:rsidR="00D75E97">
        <w:t xml:space="preserve">25/5 Mbps service is regulated as the entry-level product </w:t>
      </w:r>
    </w:p>
    <w:p w14:paraId="621F5C28" w14:textId="5AD3CDD8" w:rsidR="00D75E97" w:rsidRDefault="00035413" w:rsidP="008604CF">
      <w:pPr>
        <w:pStyle w:val="ListParagraph"/>
        <w:numPr>
          <w:ilvl w:val="0"/>
          <w:numId w:val="6"/>
        </w:numPr>
      </w:pPr>
      <w:r>
        <w:t>Prices are s</w:t>
      </w:r>
      <w:r w:rsidR="00D75E97">
        <w:t>teady</w:t>
      </w:r>
      <w:r w:rsidR="0009697E">
        <w:t xml:space="preserve"> and</w:t>
      </w:r>
      <w:r w:rsidR="00D75E97">
        <w:t xml:space="preserve"> </w:t>
      </w:r>
      <w:r w:rsidR="00357A41">
        <w:t>affordable</w:t>
      </w:r>
    </w:p>
    <w:p w14:paraId="7B0D0C7E" w14:textId="6465580B" w:rsidR="00D75E97" w:rsidRDefault="00035413" w:rsidP="008604CF">
      <w:pPr>
        <w:pStyle w:val="ListParagraph"/>
        <w:numPr>
          <w:ilvl w:val="0"/>
          <w:numId w:val="6"/>
        </w:numPr>
      </w:pPr>
      <w:r>
        <w:t>Retail competition is supported</w:t>
      </w:r>
    </w:p>
    <w:p w14:paraId="47FA084D" w14:textId="4BE39FB7" w:rsidR="00035413" w:rsidRDefault="00035413" w:rsidP="008604CF">
      <w:pPr>
        <w:pStyle w:val="ListParagraph"/>
        <w:numPr>
          <w:ilvl w:val="0"/>
          <w:numId w:val="6"/>
        </w:numPr>
      </w:pPr>
      <w:r>
        <w:t>A range of service qualities</w:t>
      </w:r>
      <w:r w:rsidR="00FE7BAE">
        <w:t xml:space="preserve"> are available</w:t>
      </w:r>
    </w:p>
    <w:p w14:paraId="22C28584" w14:textId="195FE47C" w:rsidR="00035413" w:rsidRDefault="00035413" w:rsidP="00FE7BAE">
      <w:r>
        <w:t xml:space="preserve">ACCAN </w:t>
      </w:r>
      <w:r w:rsidR="00964927">
        <w:t>will</w:t>
      </w:r>
      <w:r>
        <w:t xml:space="preserve"> provide a response to nbn’s dis</w:t>
      </w:r>
      <w:r w:rsidR="00FE7BAE">
        <w:t>cussion paper titled ‘</w:t>
      </w:r>
      <w:r w:rsidR="00FE7BAE">
        <w:rPr>
          <w:i/>
          <w:iCs/>
        </w:rPr>
        <w:t>RMID1064 – nbn’s Special Access Undertaking Variation 2021</w:t>
      </w:r>
      <w:r w:rsidR="00FE7BAE">
        <w:t>’ w</w:t>
      </w:r>
      <w:r w:rsidR="00155BC1">
        <w:t>h</w:t>
      </w:r>
      <w:r w:rsidR="00FE7BAE">
        <w:t>ere we</w:t>
      </w:r>
      <w:r w:rsidR="00B7628F">
        <w:t xml:space="preserve"> will</w:t>
      </w:r>
      <w:r w:rsidR="00FE7BAE">
        <w:t xml:space="preserve"> recommend:</w:t>
      </w:r>
    </w:p>
    <w:p w14:paraId="043F07B2" w14:textId="08357592" w:rsidR="00B756EC" w:rsidRDefault="00B756EC" w:rsidP="00B756EC">
      <w:pPr>
        <w:pStyle w:val="Bulletlist1"/>
        <w:rPr>
          <w:rFonts w:asciiTheme="minorHAnsi" w:hAnsiTheme="minorHAnsi"/>
        </w:rPr>
      </w:pPr>
      <w:bookmarkStart w:id="0" w:name="_Hlk76567571"/>
      <w:r>
        <w:t xml:space="preserve">For the </w:t>
      </w:r>
      <w:r w:rsidR="0E02CC11">
        <w:t>Long-term Revenue Constraint Methodology (</w:t>
      </w:r>
      <w:r>
        <w:t>LTRCM</w:t>
      </w:r>
      <w:r w:rsidR="0A935AB2">
        <w:t>)</w:t>
      </w:r>
      <w:r>
        <w:t xml:space="preserve"> to be re-examined to ensure it is fit for purpose.</w:t>
      </w:r>
    </w:p>
    <w:p w14:paraId="0116E54D" w14:textId="77777777" w:rsidR="00B756EC" w:rsidRDefault="00B756EC" w:rsidP="00B756EC">
      <w:pPr>
        <w:pStyle w:val="Bulletlist1"/>
      </w:pPr>
      <w:r>
        <w:t>For the Maximum Regulated Price to cover all access technologies and be updated to reflect the predominant method in which nbn’s services are charged as well as the efficient cost of providing the service.</w:t>
      </w:r>
    </w:p>
    <w:p w14:paraId="66675FD6" w14:textId="5A452698" w:rsidR="00B756EC" w:rsidRDefault="00964927" w:rsidP="00B756EC">
      <w:pPr>
        <w:pStyle w:val="Bulletlist1"/>
      </w:pPr>
      <w:r>
        <w:t>For p</w:t>
      </w:r>
      <w:r w:rsidR="00B756EC">
        <w:t xml:space="preserve">rices set in the SAU </w:t>
      </w:r>
      <w:r>
        <w:t>to</w:t>
      </w:r>
      <w:r w:rsidR="00B756EC">
        <w:t xml:space="preserve"> be periodically reviewed in line with replacement modules.</w:t>
      </w:r>
    </w:p>
    <w:p w14:paraId="26D47CAC" w14:textId="77777777" w:rsidR="00B756EC" w:rsidRPr="00F007A2" w:rsidRDefault="00B756EC" w:rsidP="00B756EC">
      <w:pPr>
        <w:pStyle w:val="Bulletlist1"/>
        <w:rPr>
          <w:rStyle w:val="Strong"/>
          <w:b w:val="0"/>
          <w:bCs w:val="0"/>
        </w:rPr>
      </w:pPr>
      <w:r w:rsidRPr="00A84DAD">
        <w:rPr>
          <w:rStyle w:val="Strong"/>
          <w:b w:val="0"/>
          <w:bCs w:val="0"/>
        </w:rPr>
        <w:t>That any pricing changes are done in such a manner that ensures lower speed plans are an affordable option for consumers.</w:t>
      </w:r>
    </w:p>
    <w:p w14:paraId="40BF8EF4" w14:textId="5E8F3222" w:rsidR="00B756EC" w:rsidRPr="00CA2BE2" w:rsidRDefault="00B756EC" w:rsidP="00B756EC">
      <w:pPr>
        <w:pStyle w:val="Bulletlist1"/>
      </w:pPr>
      <w:r w:rsidRPr="00BF3B91">
        <w:t>Nbn should continue developing and</w:t>
      </w:r>
      <w:r>
        <w:t xml:space="preserve"> implementing a targeted product aimed at improving affordability of services </w:t>
      </w:r>
      <w:r w:rsidR="00A84DAD">
        <w:t xml:space="preserve">for low income consumers </w:t>
      </w:r>
      <w:r>
        <w:t>as initially planned as part of the 2021 Pricing Review, as well as the SAU variation process.</w:t>
      </w:r>
    </w:p>
    <w:bookmarkEnd w:id="0"/>
    <w:p w14:paraId="0C42A6BA" w14:textId="1612C6D9" w:rsidR="00FE7BAE" w:rsidRDefault="00155BC1" w:rsidP="00155BC1">
      <w:r>
        <w:t xml:space="preserve">ACCAN will provide the ACCC with our response to </w:t>
      </w:r>
      <w:r w:rsidR="00F37A0D">
        <w:t xml:space="preserve">nbn’s </w:t>
      </w:r>
      <w:r>
        <w:t xml:space="preserve">discussion paper. Here we provide our views on the questions asked in the ACCC framing paper for the </w:t>
      </w:r>
      <w:r w:rsidR="003A175C">
        <w:t>R</w:t>
      </w:r>
      <w:r>
        <w:t xml:space="preserve">oundtable. </w:t>
      </w:r>
    </w:p>
    <w:p w14:paraId="4069A429" w14:textId="453C4D46" w:rsidR="00155BC1" w:rsidRPr="008604CF" w:rsidRDefault="00155BC1" w:rsidP="00155BC1">
      <w:pPr>
        <w:pStyle w:val="Heading1"/>
        <w:rPr>
          <w:color w:val="00B0F0"/>
        </w:rPr>
      </w:pPr>
      <w:r w:rsidRPr="008604CF">
        <w:rPr>
          <w:color w:val="00B0F0"/>
        </w:rPr>
        <w:t xml:space="preserve">Price controls </w:t>
      </w:r>
    </w:p>
    <w:p w14:paraId="54BC846F" w14:textId="447CA41A" w:rsidR="00C67964" w:rsidRDefault="00155BC1" w:rsidP="00357A41">
      <w:pPr>
        <w:pStyle w:val="BodyText1"/>
        <w:rPr>
          <w:rFonts w:asciiTheme="minorHAnsi" w:eastAsiaTheme="minorEastAsia" w:hAnsiTheme="minorHAnsi" w:cstheme="minorHAnsi"/>
          <w:color w:val="auto"/>
          <w:lang w:eastAsia="en-AU"/>
        </w:rPr>
      </w:pPr>
      <w:r>
        <w:rPr>
          <w:rFonts w:asciiTheme="minorHAnsi" w:eastAsiaTheme="minorEastAsia" w:hAnsiTheme="minorHAnsi" w:cstheme="minorHAnsi"/>
          <w:color w:val="auto"/>
          <w:lang w:eastAsia="en-AU"/>
        </w:rPr>
        <w:t xml:space="preserve">ACCAN agrees with the ACCC that it is important for the SAU to provide mechanisms that encourage the supply of nbn access products with certainty over cost and technical quality so as to promote downstream competition and the efficient use of the nbn. Certainty over cost is vital to ensuring consumers are not at risk of facing price shock in the future. </w:t>
      </w:r>
    </w:p>
    <w:p w14:paraId="378DE9E4" w14:textId="7F50D1C7" w:rsidR="00C67964" w:rsidRDefault="00C67964" w:rsidP="00C67964">
      <w:pPr>
        <w:rPr>
          <w:rStyle w:val="Emphasis"/>
          <w:color w:val="00B0F0"/>
        </w:rPr>
      </w:pPr>
      <w:r w:rsidRPr="00C67964">
        <w:rPr>
          <w:rStyle w:val="Emphasis"/>
          <w:color w:val="00B0F0"/>
        </w:rPr>
        <w:lastRenderedPageBreak/>
        <w:t xml:space="preserve">1. We have outlined three high level principles to use in assessing whether particular NBN access product and pricing arrangements would promote the long term interests of end-users. What additions, deletions or refinements would you recommend? </w:t>
      </w:r>
    </w:p>
    <w:p w14:paraId="7CA4BCAB" w14:textId="5FE3A3C7" w:rsidR="00357A41" w:rsidRPr="008604CF" w:rsidRDefault="00C67964" w:rsidP="6A9A6957">
      <w:pPr>
        <w:rPr>
          <w:lang w:val="en-US"/>
        </w:rPr>
      </w:pPr>
      <w:r w:rsidRPr="6A9A6957">
        <w:rPr>
          <w:rStyle w:val="Emphasis"/>
          <w:i w:val="0"/>
          <w:iCs w:val="0"/>
        </w:rPr>
        <w:t xml:space="preserve">ACCAN supports the three high level principles. </w:t>
      </w:r>
      <w:r w:rsidRPr="6A9A6957">
        <w:rPr>
          <w:lang w:val="en-US"/>
        </w:rPr>
        <w:t xml:space="preserve">The first principle, </w:t>
      </w:r>
      <w:r w:rsidRPr="6A9A6957">
        <w:rPr>
          <w:i/>
          <w:iCs/>
          <w:lang w:val="en-US"/>
        </w:rPr>
        <w:t>access arrangement should support a range of retail service offerings that represent value to different categories of end-users</w:t>
      </w:r>
      <w:r w:rsidRPr="6A9A6957">
        <w:rPr>
          <w:lang w:val="en-US"/>
        </w:rPr>
        <w:t>,</w:t>
      </w:r>
      <w:r w:rsidRPr="6A9A6957">
        <w:rPr>
          <w:b/>
          <w:bCs/>
          <w:lang w:val="en-US"/>
        </w:rPr>
        <w:t xml:space="preserve"> </w:t>
      </w:r>
      <w:r w:rsidRPr="6A9A6957">
        <w:rPr>
          <w:lang w:val="en-US"/>
        </w:rPr>
        <w:t xml:space="preserve">should acknowledge that there needs to be a minimum standard available for all consumers to prevent </w:t>
      </w:r>
      <w:r w:rsidR="00A84DAD" w:rsidRPr="6A9A6957">
        <w:rPr>
          <w:lang w:val="en-US"/>
        </w:rPr>
        <w:t>a situation</w:t>
      </w:r>
      <w:r w:rsidR="00361969" w:rsidRPr="6A9A6957">
        <w:rPr>
          <w:lang w:val="en-US"/>
        </w:rPr>
        <w:t xml:space="preserve"> where </w:t>
      </w:r>
      <w:r w:rsidRPr="6A9A6957">
        <w:rPr>
          <w:lang w:val="en-US"/>
        </w:rPr>
        <w:t>mediocre service</w:t>
      </w:r>
      <w:r w:rsidR="00830393" w:rsidRPr="6A9A6957">
        <w:rPr>
          <w:lang w:val="en-US"/>
        </w:rPr>
        <w:t>s</w:t>
      </w:r>
      <w:r w:rsidRPr="6A9A6957">
        <w:rPr>
          <w:lang w:val="en-US"/>
        </w:rPr>
        <w:t xml:space="preserve"> </w:t>
      </w:r>
      <w:r w:rsidR="00361969" w:rsidRPr="6A9A6957">
        <w:rPr>
          <w:lang w:val="en-US"/>
        </w:rPr>
        <w:t xml:space="preserve">are </w:t>
      </w:r>
      <w:r w:rsidRPr="6A9A6957">
        <w:rPr>
          <w:lang w:val="en-US"/>
        </w:rPr>
        <w:t xml:space="preserve">available for low-income consumers, and only those who are able to </w:t>
      </w:r>
      <w:r w:rsidR="00361969" w:rsidRPr="6A9A6957">
        <w:rPr>
          <w:lang w:val="en-US"/>
        </w:rPr>
        <w:t>pay a premium</w:t>
      </w:r>
      <w:r w:rsidR="00F878A5" w:rsidRPr="6A9A6957">
        <w:rPr>
          <w:lang w:val="en-US"/>
        </w:rPr>
        <w:t xml:space="preserve"> </w:t>
      </w:r>
      <w:r w:rsidR="00EE4E95" w:rsidRPr="6A9A6957">
        <w:rPr>
          <w:lang w:val="en-US"/>
        </w:rPr>
        <w:t xml:space="preserve">can access services </w:t>
      </w:r>
      <w:r w:rsidR="00E14A85" w:rsidRPr="6A9A6957">
        <w:rPr>
          <w:lang w:val="en-US"/>
        </w:rPr>
        <w:t>that per</w:t>
      </w:r>
      <w:r w:rsidR="00B1624E" w:rsidRPr="6A9A6957">
        <w:rPr>
          <w:lang w:val="en-US"/>
        </w:rPr>
        <w:t xml:space="preserve">form at a level </w:t>
      </w:r>
      <w:r w:rsidR="007F58E2" w:rsidRPr="6A9A6957">
        <w:rPr>
          <w:lang w:val="en-US"/>
        </w:rPr>
        <w:t>t</w:t>
      </w:r>
      <w:r w:rsidR="000B7831" w:rsidRPr="6A9A6957">
        <w:rPr>
          <w:lang w:val="en-US"/>
        </w:rPr>
        <w:t xml:space="preserve">hat is </w:t>
      </w:r>
      <w:r w:rsidR="0018067C" w:rsidRPr="6A9A6957">
        <w:rPr>
          <w:lang w:val="en-US"/>
        </w:rPr>
        <w:t>r</w:t>
      </w:r>
      <w:r w:rsidR="00FC304E" w:rsidRPr="6A9A6957">
        <w:rPr>
          <w:lang w:val="en-US"/>
        </w:rPr>
        <w:t xml:space="preserve">easonably </w:t>
      </w:r>
      <w:r w:rsidR="007F58E2" w:rsidRPr="6A9A6957">
        <w:rPr>
          <w:lang w:val="en-US"/>
        </w:rPr>
        <w:t xml:space="preserve">expected of </w:t>
      </w:r>
      <w:r w:rsidR="00B1624E" w:rsidRPr="6A9A6957">
        <w:rPr>
          <w:lang w:val="en-US"/>
        </w:rPr>
        <w:t xml:space="preserve">a </w:t>
      </w:r>
      <w:r w:rsidR="00A84DAD" w:rsidRPr="6A9A6957">
        <w:rPr>
          <w:lang w:val="en-US"/>
        </w:rPr>
        <w:t>high-speed</w:t>
      </w:r>
      <w:r w:rsidR="00B1624E" w:rsidRPr="6A9A6957">
        <w:rPr>
          <w:lang w:val="en-US"/>
        </w:rPr>
        <w:t xml:space="preserve"> broadband network</w:t>
      </w:r>
      <w:r w:rsidR="0034432E" w:rsidRPr="6A9A6957">
        <w:rPr>
          <w:lang w:val="en-US"/>
        </w:rPr>
        <w:t xml:space="preserve">. </w:t>
      </w:r>
    </w:p>
    <w:p w14:paraId="6FEB5FBE" w14:textId="5890944A" w:rsidR="00C67964" w:rsidRDefault="00C67964" w:rsidP="00C67964">
      <w:pPr>
        <w:rPr>
          <w:rStyle w:val="Emphasis"/>
          <w:color w:val="00B0F0"/>
        </w:rPr>
      </w:pPr>
      <w:r w:rsidRPr="00C67964">
        <w:rPr>
          <w:rStyle w:val="Emphasis"/>
          <w:color w:val="00B0F0"/>
        </w:rPr>
        <w:t xml:space="preserve">2. What ideas do you have so that NBN Co and access seekers can have reasonable certainty over their wholesale average revenues per user and access costs respectively? </w:t>
      </w:r>
    </w:p>
    <w:p w14:paraId="64281BA6" w14:textId="38DAB321" w:rsidR="002C31E7" w:rsidRDefault="00975277" w:rsidP="00C67964">
      <w:pPr>
        <w:rPr>
          <w:rStyle w:val="Emphasis"/>
          <w:i w:val="0"/>
          <w:iCs w:val="0"/>
        </w:rPr>
      </w:pPr>
      <w:r>
        <w:rPr>
          <w:rStyle w:val="Emphasis"/>
          <w:i w:val="0"/>
          <w:iCs w:val="0"/>
        </w:rPr>
        <w:t>Removing the variable CVC charge</w:t>
      </w:r>
      <w:r w:rsidR="00BD04ED">
        <w:rPr>
          <w:rStyle w:val="Emphasis"/>
          <w:i w:val="0"/>
          <w:iCs w:val="0"/>
        </w:rPr>
        <w:t xml:space="preserve"> </w:t>
      </w:r>
      <w:r>
        <w:rPr>
          <w:rStyle w:val="Emphasis"/>
          <w:i w:val="0"/>
          <w:iCs w:val="0"/>
        </w:rPr>
        <w:t xml:space="preserve">is the most direct way of ensuring RSPs have certainty over their wholesale costs. The disadvantage of this pricing construct is it </w:t>
      </w:r>
      <w:r w:rsidR="00BF1FFA">
        <w:rPr>
          <w:rStyle w:val="Emphasis"/>
          <w:i w:val="0"/>
          <w:iCs w:val="0"/>
        </w:rPr>
        <w:t>could</w:t>
      </w:r>
      <w:r>
        <w:rPr>
          <w:rStyle w:val="Emphasis"/>
          <w:i w:val="0"/>
          <w:iCs w:val="0"/>
        </w:rPr>
        <w:t xml:space="preserve"> prevent RSPs from offering </w:t>
      </w:r>
      <w:r w:rsidR="007A64C8">
        <w:rPr>
          <w:rStyle w:val="Emphasis"/>
          <w:i w:val="0"/>
          <w:iCs w:val="0"/>
        </w:rPr>
        <w:t xml:space="preserve">lower cost </w:t>
      </w:r>
      <w:r>
        <w:rPr>
          <w:rStyle w:val="Emphasis"/>
          <w:i w:val="0"/>
          <w:iCs w:val="0"/>
        </w:rPr>
        <w:t>data limited plans on lower speed tiers</w:t>
      </w:r>
      <w:r w:rsidR="00BF1FFA">
        <w:rPr>
          <w:rStyle w:val="Emphasis"/>
          <w:i w:val="0"/>
          <w:iCs w:val="0"/>
        </w:rPr>
        <w:t xml:space="preserve"> which are valued by consumers who do not require </w:t>
      </w:r>
      <w:r w:rsidR="00AC7B9A">
        <w:rPr>
          <w:rStyle w:val="Emphasis"/>
          <w:i w:val="0"/>
          <w:iCs w:val="0"/>
        </w:rPr>
        <w:t>large amounts of data</w:t>
      </w:r>
      <w:r>
        <w:rPr>
          <w:rStyle w:val="Emphasis"/>
          <w:i w:val="0"/>
          <w:iCs w:val="0"/>
        </w:rPr>
        <w:t xml:space="preserve">. </w:t>
      </w:r>
      <w:r w:rsidR="00062512">
        <w:rPr>
          <w:rStyle w:val="Emphasis"/>
          <w:i w:val="0"/>
          <w:iCs w:val="0"/>
        </w:rPr>
        <w:t>ACCAN considers that the nbn should work to ensure that end users currently purchasing lower speed data capped plans do not experience a price increase if the CVC charge is removed</w:t>
      </w:r>
      <w:r w:rsidR="00873C4D">
        <w:rPr>
          <w:rStyle w:val="Emphasis"/>
          <w:i w:val="0"/>
          <w:iCs w:val="0"/>
        </w:rPr>
        <w:t>, in the short and longer term</w:t>
      </w:r>
      <w:r w:rsidR="00062512">
        <w:rPr>
          <w:rStyle w:val="Emphasis"/>
          <w:i w:val="0"/>
          <w:iCs w:val="0"/>
        </w:rPr>
        <w:t>.</w:t>
      </w:r>
      <w:r w:rsidR="001F4DAE">
        <w:rPr>
          <w:rStyle w:val="Emphasis"/>
          <w:i w:val="0"/>
          <w:iCs w:val="0"/>
        </w:rPr>
        <w:t xml:space="preserve"> This would also allow future low data users to be able to purchase access to the network at a reasonable price.</w:t>
      </w:r>
    </w:p>
    <w:p w14:paraId="47FB39EC" w14:textId="77777777" w:rsidR="00034F08" w:rsidRDefault="00C67964" w:rsidP="00034F08">
      <w:pPr>
        <w:rPr>
          <w:rStyle w:val="Emphasis"/>
          <w:color w:val="00B0F0"/>
        </w:rPr>
      </w:pPr>
      <w:r w:rsidRPr="00C67964">
        <w:rPr>
          <w:rStyle w:val="Emphasis"/>
          <w:color w:val="00B0F0"/>
        </w:rPr>
        <w:t xml:space="preserve">3. What suggestions do you have to preserve the breadth of retail products that are in market in the event that volumetric CVC charges were to be withdrawn or scaled back? Please consider how support for unique maximum speed products, diverse busy hour speeds, voice only and low data quota products could best be provided in such a wholesale pricing model. </w:t>
      </w:r>
    </w:p>
    <w:p w14:paraId="6B1CD70B" w14:textId="564858BC" w:rsidR="000B4D8E" w:rsidRPr="00A84DAD" w:rsidRDefault="000B4D8E" w:rsidP="00034F08">
      <w:pPr>
        <w:rPr>
          <w:b/>
          <w:bCs/>
        </w:rPr>
      </w:pPr>
      <w:r w:rsidRPr="00A84DAD">
        <w:rPr>
          <w:b/>
          <w:bCs/>
        </w:rPr>
        <w:t>Unique maximum speed products</w:t>
      </w:r>
    </w:p>
    <w:p w14:paraId="0D68C373" w14:textId="69633225" w:rsidR="00867FB6" w:rsidRDefault="00034F08" w:rsidP="00034F08">
      <w:r>
        <w:t xml:space="preserve">Unique maximum speed products could be achieved via nbn selling a greater </w:t>
      </w:r>
      <w:r w:rsidR="00867FB6">
        <w:t>array</w:t>
      </w:r>
      <w:r>
        <w:t xml:space="preserve"> of AVC speed tiers</w:t>
      </w:r>
      <w:r w:rsidR="308D3C73">
        <w:t>.</w:t>
      </w:r>
      <w:r>
        <w:t xml:space="preserve"> </w:t>
      </w:r>
      <w:r w:rsidR="33EC1A94">
        <w:t>T</w:t>
      </w:r>
      <w:r>
        <w:t>his is particularly needed in situations where due to the access technology used, the end</w:t>
      </w:r>
      <w:r w:rsidR="00222AA6">
        <w:t xml:space="preserve"> </w:t>
      </w:r>
      <w:r>
        <w:t>user can only receive a speed which falls between the speed tiers nbn</w:t>
      </w:r>
      <w:r w:rsidR="002728F6">
        <w:t xml:space="preserve"> currently</w:t>
      </w:r>
      <w:r>
        <w:t xml:space="preserve"> sells</w:t>
      </w:r>
      <w:r w:rsidR="468FE775">
        <w:t xml:space="preserve">, </w:t>
      </w:r>
      <w:r w:rsidR="068D40E5" w:rsidRPr="6A9A6957">
        <w:rPr>
          <w:lang w:val="en-US"/>
        </w:rPr>
        <w:t>f</w:t>
      </w:r>
      <w:r w:rsidR="00867FB6" w:rsidRPr="6A9A6957">
        <w:rPr>
          <w:lang w:val="en-US"/>
        </w:rPr>
        <w:t xml:space="preserve">or example, in a situation where a FTTN connection reaches a maximum speed of 40 Mbps. </w:t>
      </w:r>
      <w:r w:rsidR="00AC7B9A" w:rsidRPr="6A9A6957">
        <w:rPr>
          <w:lang w:val="en-US"/>
        </w:rPr>
        <w:t>In this situation</w:t>
      </w:r>
      <w:r w:rsidR="00867FB6" w:rsidRPr="6A9A6957">
        <w:rPr>
          <w:lang w:val="en-US"/>
        </w:rPr>
        <w:t>, a consumer has the choice between purchasing a 25 Mbps service or paying for a 50</w:t>
      </w:r>
      <w:r w:rsidR="052AF190" w:rsidRPr="6A9A6957">
        <w:rPr>
          <w:lang w:val="en-US"/>
        </w:rPr>
        <w:t xml:space="preserve"> M</w:t>
      </w:r>
      <w:r w:rsidR="00867FB6" w:rsidRPr="6A9A6957">
        <w:rPr>
          <w:lang w:val="en-US"/>
        </w:rPr>
        <w:t xml:space="preserve">bps </w:t>
      </w:r>
      <w:r w:rsidR="00F0697E" w:rsidRPr="6A9A6957">
        <w:rPr>
          <w:lang w:val="en-US"/>
        </w:rPr>
        <w:t xml:space="preserve">service </w:t>
      </w:r>
      <w:r w:rsidR="00867FB6" w:rsidRPr="6A9A6957">
        <w:rPr>
          <w:lang w:val="en-US"/>
        </w:rPr>
        <w:t>to allow them to reach the maximum speed</w:t>
      </w:r>
      <w:r w:rsidR="00222AA6" w:rsidRPr="6A9A6957">
        <w:rPr>
          <w:lang w:val="en-US"/>
        </w:rPr>
        <w:t xml:space="preserve"> of 40 Mbps</w:t>
      </w:r>
      <w:r w:rsidR="00867FB6" w:rsidRPr="6A9A6957">
        <w:rPr>
          <w:lang w:val="en-US"/>
        </w:rPr>
        <w:t xml:space="preserve"> attainable on the line. This issue</w:t>
      </w:r>
      <w:r w:rsidR="00222AA6" w:rsidRPr="6A9A6957">
        <w:rPr>
          <w:lang w:val="en-US"/>
        </w:rPr>
        <w:t xml:space="preserve"> is both an inefficient use of the network and unfair to the </w:t>
      </w:r>
      <w:r w:rsidR="002E6568" w:rsidRPr="6A9A6957">
        <w:rPr>
          <w:lang w:val="en-US"/>
        </w:rPr>
        <w:t>consumer and</w:t>
      </w:r>
      <w:r w:rsidR="45DD438B" w:rsidRPr="6A9A6957">
        <w:rPr>
          <w:lang w:val="en-US"/>
        </w:rPr>
        <w:t xml:space="preserve"> </w:t>
      </w:r>
      <w:r w:rsidR="00867FB6" w:rsidRPr="6A9A6957">
        <w:rPr>
          <w:lang w:val="en-US"/>
        </w:rPr>
        <w:t xml:space="preserve">could be mitigated somewhat if </w:t>
      </w:r>
      <w:r w:rsidR="00222AA6">
        <w:t>nbn</w:t>
      </w:r>
      <w:r w:rsidR="00867FB6">
        <w:t xml:space="preserve"> sold </w:t>
      </w:r>
      <w:r w:rsidR="00222AA6">
        <w:t xml:space="preserve">a greater selection of </w:t>
      </w:r>
      <w:r w:rsidR="00867FB6">
        <w:t>AVC speed tiers</w:t>
      </w:r>
      <w:r w:rsidR="00222AA6">
        <w:t>.</w:t>
      </w:r>
    </w:p>
    <w:p w14:paraId="5D325E4C" w14:textId="4CE5E27F" w:rsidR="000B4D8E" w:rsidRDefault="000B4D8E" w:rsidP="00034F08">
      <w:pPr>
        <w:rPr>
          <w:rFonts w:cstheme="minorHAnsi"/>
        </w:rPr>
      </w:pPr>
      <w:r>
        <w:rPr>
          <w:rFonts w:cstheme="minorHAnsi"/>
          <w:b/>
          <w:bCs/>
        </w:rPr>
        <w:t>Pre-paid services</w:t>
      </w:r>
    </w:p>
    <w:p w14:paraId="6933B552" w14:textId="45E79D7B" w:rsidR="00716962" w:rsidRDefault="00867FB6" w:rsidP="00034F08">
      <w:r>
        <w:t>Additionally,</w:t>
      </w:r>
      <w:r w:rsidR="00034F08">
        <w:t xml:space="preserve"> </w:t>
      </w:r>
      <w:r w:rsidR="5ABA4445">
        <w:t>n</w:t>
      </w:r>
      <w:r w:rsidR="002C31E7">
        <w:t xml:space="preserve">bn could </w:t>
      </w:r>
      <w:r w:rsidR="00034F08">
        <w:t xml:space="preserve">provide an option to purchase access on a pre-paid basis. Many consumers are mobile-only due to </w:t>
      </w:r>
      <w:r>
        <w:t>pre-payment</w:t>
      </w:r>
      <w:r w:rsidR="00034F08">
        <w:t xml:space="preserve"> being more suitable</w:t>
      </w:r>
      <w:r w:rsidR="00274C47">
        <w:t xml:space="preserve"> to them</w:t>
      </w:r>
      <w:r w:rsidR="00034F08">
        <w:t xml:space="preserve">. </w:t>
      </w:r>
      <w:r w:rsidR="00274C47">
        <w:t xml:space="preserve">Yet mobile only plans often </w:t>
      </w:r>
      <w:r w:rsidR="00A76531">
        <w:t>have</w:t>
      </w:r>
      <w:r w:rsidR="000F6B5B">
        <w:t xml:space="preserve"> lower data limits</w:t>
      </w:r>
      <w:r w:rsidR="00274C47">
        <w:t>, and cost</w:t>
      </w:r>
      <w:r w:rsidR="002728F6">
        <w:t xml:space="preserve"> </w:t>
      </w:r>
      <w:r w:rsidR="00274C47">
        <w:t>more per gigabyte</w:t>
      </w:r>
      <w:r w:rsidR="00B528BF">
        <w:t>,</w:t>
      </w:r>
      <w:r w:rsidR="00274C47">
        <w:t xml:space="preserve"> than fixed line broadband. </w:t>
      </w:r>
      <w:r w:rsidR="00222AA6">
        <w:t>I</w:t>
      </w:r>
      <w:r w:rsidR="00034F08">
        <w:t>f nbn offered services</w:t>
      </w:r>
      <w:r w:rsidR="00222AA6">
        <w:t xml:space="preserve"> </w:t>
      </w:r>
      <w:r w:rsidR="00034F08">
        <w:t>on a pre</w:t>
      </w:r>
      <w:r w:rsidR="5E22C7B5">
        <w:t>-</w:t>
      </w:r>
      <w:r w:rsidR="00034F08">
        <w:t xml:space="preserve">paid basis this would </w:t>
      </w:r>
      <w:r w:rsidR="002728F6">
        <w:t>support</w:t>
      </w:r>
      <w:r w:rsidR="00034F08">
        <w:t xml:space="preserve"> consumers who require pre</w:t>
      </w:r>
      <w:r w:rsidR="788E351A">
        <w:t>-</w:t>
      </w:r>
      <w:r w:rsidR="00034F08">
        <w:t>paid plans to assist with budgeting concerns.</w:t>
      </w:r>
      <w:r w:rsidR="00222AA6">
        <w:t xml:space="preserve"> We envisage this option would increase take up of nbn services. </w:t>
      </w:r>
      <w:r w:rsidR="006C59E1">
        <w:t xml:space="preserve">ACCAN frequently hears from </w:t>
      </w:r>
      <w:r w:rsidR="006D2148">
        <w:t xml:space="preserve">low income consumer groups that pre-paid </w:t>
      </w:r>
      <w:r w:rsidR="00B30F45">
        <w:t xml:space="preserve">NBN services are needed across all technologies, in order to meet the needs of households on limited fixed incomes. </w:t>
      </w:r>
    </w:p>
    <w:p w14:paraId="32FD219E" w14:textId="0BC90BD6" w:rsidR="00867FB6" w:rsidRDefault="00716962" w:rsidP="00034F08">
      <w:r>
        <w:lastRenderedPageBreak/>
        <w:t>If nbn is unable to adopt a pre-paid mode</w:t>
      </w:r>
      <w:r w:rsidR="003F2259">
        <w:t>l</w:t>
      </w:r>
      <w:r>
        <w:t xml:space="preserve">, then other models of delivery should be explored. For </w:t>
      </w:r>
      <w:r w:rsidR="00A25BB8">
        <w:t>example,</w:t>
      </w:r>
      <w:r w:rsidR="001F4DAE">
        <w:t xml:space="preserve"> one RSP, </w:t>
      </w:r>
      <w:proofErr w:type="spellStart"/>
      <w:r w:rsidR="001F4DAE">
        <w:t>Launtel</w:t>
      </w:r>
      <w:proofErr w:type="spellEnd"/>
      <w:r w:rsidR="001F4DAE">
        <w:t xml:space="preserve">, sells services on a day-to-day basis, which shows there is demand from consumers to have more flexibility in how they pay for their service. </w:t>
      </w:r>
    </w:p>
    <w:p w14:paraId="01A3970A" w14:textId="479E8C96" w:rsidR="000B4D8E" w:rsidRPr="001F4DAE" w:rsidRDefault="000B4D8E" w:rsidP="00034F08">
      <w:pPr>
        <w:rPr>
          <w:b/>
          <w:bCs/>
        </w:rPr>
      </w:pPr>
      <w:r w:rsidRPr="001F4DAE">
        <w:rPr>
          <w:b/>
          <w:bCs/>
        </w:rPr>
        <w:t>Diverse peak hour speeds</w:t>
      </w:r>
    </w:p>
    <w:p w14:paraId="0EA56075" w14:textId="273B9572" w:rsidR="00AB7FAF" w:rsidRPr="002E6568" w:rsidRDefault="00AB7FAF" w:rsidP="00034F08">
      <w:pPr>
        <w:rPr>
          <w:rFonts w:cstheme="minorHAnsi"/>
        </w:rPr>
      </w:pPr>
      <w:r w:rsidRPr="002E6568">
        <w:rPr>
          <w:rFonts w:cstheme="minorHAnsi"/>
        </w:rPr>
        <w:t xml:space="preserve">The ACCC discussion paper considers how peak hour speeds product differentiation can lead to more efficient outcomes by reducing the potential for over-investment in the network to meet unexpected demand peaks. </w:t>
      </w:r>
    </w:p>
    <w:p w14:paraId="625CA30E" w14:textId="0C573A96" w:rsidR="00A25BB8" w:rsidRDefault="00A579F9" w:rsidP="00274C47">
      <w:pPr>
        <w:rPr>
          <w:rFonts w:cstheme="minorHAnsi"/>
        </w:rPr>
      </w:pPr>
      <w:bookmarkStart w:id="1" w:name="_Hlk77175340"/>
      <w:r w:rsidRPr="002E6568">
        <w:rPr>
          <w:rFonts w:cstheme="minorHAnsi"/>
        </w:rPr>
        <w:t xml:space="preserve">For speeds </w:t>
      </w:r>
      <w:r w:rsidR="00AB7FAF" w:rsidRPr="002E6568">
        <w:rPr>
          <w:rFonts w:cstheme="minorHAnsi"/>
        </w:rPr>
        <w:t>tiers of 50</w:t>
      </w:r>
      <w:r w:rsidRPr="002E6568">
        <w:rPr>
          <w:rFonts w:cstheme="minorHAnsi"/>
        </w:rPr>
        <w:t xml:space="preserve"> Mbps</w:t>
      </w:r>
      <w:r w:rsidR="00867FB6" w:rsidRPr="002E6568">
        <w:rPr>
          <w:rFonts w:cstheme="minorHAnsi"/>
        </w:rPr>
        <w:t xml:space="preserve"> </w:t>
      </w:r>
      <w:r w:rsidR="00AB7FAF" w:rsidRPr="002E6568">
        <w:rPr>
          <w:rFonts w:cstheme="minorHAnsi"/>
        </w:rPr>
        <w:t xml:space="preserve">and below </w:t>
      </w:r>
      <w:r w:rsidR="00867FB6" w:rsidRPr="002E6568">
        <w:rPr>
          <w:rFonts w:cstheme="minorHAnsi"/>
        </w:rPr>
        <w:t>it appears that most retailers advertise busy hour speeds as the maximum speeds</w:t>
      </w:r>
      <w:r w:rsidR="00222AA6" w:rsidRPr="002E6568">
        <w:rPr>
          <w:rFonts w:cstheme="minorHAnsi"/>
        </w:rPr>
        <w:t xml:space="preserve"> attainable for that speed tier, so </w:t>
      </w:r>
      <w:r w:rsidR="00AB7FAF" w:rsidRPr="002E6568">
        <w:rPr>
          <w:rFonts w:cstheme="minorHAnsi"/>
        </w:rPr>
        <w:t>for the majority of services sold</w:t>
      </w:r>
      <w:r w:rsidR="00120D5C" w:rsidRPr="002E6568">
        <w:rPr>
          <w:rFonts w:cstheme="minorHAnsi"/>
        </w:rPr>
        <w:t xml:space="preserve"> (81%)</w:t>
      </w:r>
      <w:r w:rsidR="00AB7FAF" w:rsidRPr="002E6568">
        <w:rPr>
          <w:rStyle w:val="FootnoteReference"/>
          <w:rFonts w:cstheme="minorHAnsi"/>
        </w:rPr>
        <w:footnoteReference w:id="2"/>
      </w:r>
      <w:r w:rsidR="00222AA6" w:rsidRPr="002E6568">
        <w:rPr>
          <w:rFonts w:cstheme="minorHAnsi"/>
        </w:rPr>
        <w:t xml:space="preserve"> </w:t>
      </w:r>
      <w:r w:rsidR="00AB7FAF" w:rsidRPr="002E6568">
        <w:rPr>
          <w:rFonts w:cstheme="minorHAnsi"/>
        </w:rPr>
        <w:t>there is</w:t>
      </w:r>
      <w:r w:rsidR="00222AA6" w:rsidRPr="002E6568">
        <w:rPr>
          <w:rFonts w:cstheme="minorHAnsi"/>
        </w:rPr>
        <w:t xml:space="preserve"> not a lot of diversity regarding </w:t>
      </w:r>
      <w:r w:rsidR="006C4A77" w:rsidRPr="002E6568">
        <w:rPr>
          <w:rFonts w:cstheme="minorHAnsi"/>
        </w:rPr>
        <w:t xml:space="preserve">how </w:t>
      </w:r>
      <w:r w:rsidR="00222AA6" w:rsidRPr="002E6568">
        <w:rPr>
          <w:rFonts w:cstheme="minorHAnsi"/>
        </w:rPr>
        <w:t>busy hour speeds</w:t>
      </w:r>
      <w:r w:rsidR="006C4A77" w:rsidRPr="002E6568">
        <w:rPr>
          <w:rFonts w:cstheme="minorHAnsi"/>
        </w:rPr>
        <w:t xml:space="preserve"> are retailed</w:t>
      </w:r>
      <w:r w:rsidR="00222AA6" w:rsidRPr="002E6568">
        <w:rPr>
          <w:rFonts w:cstheme="minorHAnsi"/>
        </w:rPr>
        <w:t>.</w:t>
      </w:r>
      <w:bookmarkEnd w:id="1"/>
      <w:r w:rsidR="00222AA6" w:rsidRPr="002E6568">
        <w:rPr>
          <w:rFonts w:cstheme="minorHAnsi"/>
        </w:rPr>
        <w:t xml:space="preserve"> </w:t>
      </w:r>
      <w:bookmarkStart w:id="2" w:name="_Hlk77175420"/>
      <w:r w:rsidR="00274C47" w:rsidRPr="002E6568">
        <w:rPr>
          <w:rFonts w:cstheme="minorHAnsi"/>
        </w:rPr>
        <w:t>This has likely led to many</w:t>
      </w:r>
      <w:r w:rsidR="00AB7FAF" w:rsidRPr="002E6568">
        <w:rPr>
          <w:rFonts w:cstheme="minorHAnsi"/>
        </w:rPr>
        <w:t xml:space="preserve"> consumers expect</w:t>
      </w:r>
      <w:r w:rsidR="00274C47" w:rsidRPr="002E6568">
        <w:rPr>
          <w:rFonts w:cstheme="minorHAnsi"/>
        </w:rPr>
        <w:t>ing</w:t>
      </w:r>
      <w:r w:rsidR="00AB7FAF" w:rsidRPr="002E6568">
        <w:rPr>
          <w:rFonts w:cstheme="minorHAnsi"/>
        </w:rPr>
        <w:t xml:space="preserve"> to experience speeds close to the speed tier they are purchasing at all hours of the day, including peak hour.</w:t>
      </w:r>
      <w:r w:rsidR="00BE2016" w:rsidRPr="002E6568">
        <w:rPr>
          <w:rFonts w:cstheme="minorHAnsi"/>
        </w:rPr>
        <w:t xml:space="preserve"> </w:t>
      </w:r>
      <w:bookmarkEnd w:id="2"/>
      <w:r w:rsidR="00BE2016" w:rsidRPr="002E6568">
        <w:rPr>
          <w:rFonts w:cstheme="minorHAnsi"/>
        </w:rPr>
        <w:t xml:space="preserve">We are unable to say </w:t>
      </w:r>
      <w:r w:rsidR="00EC7AED" w:rsidRPr="002E6568">
        <w:rPr>
          <w:rFonts w:cstheme="minorHAnsi"/>
        </w:rPr>
        <w:t xml:space="preserve">how consumers will respond to peak speed performance add-ons and </w:t>
      </w:r>
      <w:r w:rsidR="00BE2016" w:rsidRPr="002E6568">
        <w:rPr>
          <w:rFonts w:cstheme="minorHAnsi"/>
        </w:rPr>
        <w:t xml:space="preserve">whether </w:t>
      </w:r>
      <w:r w:rsidR="00A25BB8">
        <w:rPr>
          <w:rFonts w:cstheme="minorHAnsi"/>
        </w:rPr>
        <w:t>the add-ons</w:t>
      </w:r>
      <w:r w:rsidR="00BE2016" w:rsidRPr="002E6568">
        <w:rPr>
          <w:rFonts w:cstheme="minorHAnsi"/>
        </w:rPr>
        <w:t xml:space="preserve"> will mitigate the </w:t>
      </w:r>
      <w:r w:rsidR="00274C47" w:rsidRPr="002E6568">
        <w:rPr>
          <w:rFonts w:cstheme="minorHAnsi"/>
        </w:rPr>
        <w:t xml:space="preserve">risk of overinvestment in the network. </w:t>
      </w:r>
    </w:p>
    <w:p w14:paraId="7F9C3911" w14:textId="5EB5870D" w:rsidR="00A579F9" w:rsidRDefault="00EC7AED" w:rsidP="6A9A6957">
      <w:r w:rsidRPr="6A9A6957">
        <w:t xml:space="preserve">Our concern is that </w:t>
      </w:r>
      <w:r w:rsidR="00F40C56" w:rsidRPr="6A9A6957">
        <w:t>th</w:t>
      </w:r>
      <w:r w:rsidRPr="6A9A6957">
        <w:t xml:space="preserve">is </w:t>
      </w:r>
      <w:r w:rsidR="006C471B" w:rsidRPr="6A9A6957">
        <w:t>proposal has potential to</w:t>
      </w:r>
      <w:r w:rsidRPr="6A9A6957">
        <w:t xml:space="preserve"> add further cost to the service and risks some consumers experiencing a sub-standard service during peak hours if they are unable to afford the add-on. </w:t>
      </w:r>
      <w:r w:rsidR="00274C47" w:rsidRPr="6A9A6957">
        <w:t>Therefore, we consider</w:t>
      </w:r>
      <w:r w:rsidR="00AB7FAF" w:rsidRPr="6A9A6957">
        <w:t xml:space="preserve"> that </w:t>
      </w:r>
      <w:r w:rsidR="00274C47" w:rsidRPr="6A9A6957">
        <w:t>this proposal would need further</w:t>
      </w:r>
      <w:r w:rsidR="00AB7FAF" w:rsidRPr="6A9A6957">
        <w:t xml:space="preserve"> consultation </w:t>
      </w:r>
      <w:r w:rsidR="00274C47" w:rsidRPr="6A9A6957">
        <w:t>to understand the impact of</w:t>
      </w:r>
      <w:r w:rsidR="00AB7FAF" w:rsidRPr="6A9A6957">
        <w:t xml:space="preserve"> peak hour speed </w:t>
      </w:r>
      <w:r w:rsidR="00274C47" w:rsidRPr="6A9A6957">
        <w:t>add</w:t>
      </w:r>
      <w:r w:rsidR="00A25BB8" w:rsidRPr="6A9A6957">
        <w:t>-</w:t>
      </w:r>
      <w:r w:rsidR="00274C47" w:rsidRPr="6A9A6957">
        <w:t>ons.</w:t>
      </w:r>
      <w:r w:rsidR="5E3141ED" w:rsidRPr="6A9A6957">
        <w:t xml:space="preserve"> </w:t>
      </w:r>
    </w:p>
    <w:p w14:paraId="749203C7" w14:textId="2CC96A13" w:rsidR="000B4D8E" w:rsidRPr="001F4DAE" w:rsidRDefault="000B4D8E" w:rsidP="00274C47">
      <w:pPr>
        <w:rPr>
          <w:rFonts w:cstheme="minorHAnsi"/>
          <w:b/>
          <w:bCs/>
        </w:rPr>
      </w:pPr>
      <w:r>
        <w:rPr>
          <w:rFonts w:cstheme="minorHAnsi"/>
          <w:b/>
          <w:bCs/>
        </w:rPr>
        <w:t>Voice services</w:t>
      </w:r>
    </w:p>
    <w:p w14:paraId="54C10B58" w14:textId="3BCAB14C" w:rsidR="00274C47" w:rsidRDefault="0024734E" w:rsidP="00034F08">
      <w:r w:rsidRPr="53C62904">
        <w:t xml:space="preserve">Whilst demand for fixed voice services has fallen significantly, the service remains essential to households who live in regional and remote areas, in bushfire prone areas, in areas with no or limited mobile coverage, and for older people or people with life threatening medical conditions. It is of the upmost importance that consumers in these circumstances should have the choice </w:t>
      </w:r>
      <w:r w:rsidR="6A3912DF" w:rsidRPr="53C62904">
        <w:t xml:space="preserve">of </w:t>
      </w:r>
      <w:r w:rsidRPr="53C62904">
        <w:t xml:space="preserve">a fixed line voice service at an affordable price. </w:t>
      </w:r>
      <w:r w:rsidR="00F634E5" w:rsidRPr="53C62904">
        <w:t>B</w:t>
      </w:r>
      <w:r w:rsidRPr="53C62904">
        <w:t>asic entry-level</w:t>
      </w:r>
      <w:r w:rsidR="00F634E5" w:rsidRPr="53C62904">
        <w:t xml:space="preserve"> fixed</w:t>
      </w:r>
      <w:r w:rsidR="5BC089AF" w:rsidRPr="53C62904">
        <w:t xml:space="preserve"> </w:t>
      </w:r>
      <w:r w:rsidR="00F634E5" w:rsidRPr="53C62904">
        <w:t>voice</w:t>
      </w:r>
      <w:r w:rsidRPr="53C62904">
        <w:t xml:space="preserve"> plans retail at $25-$40 a month</w:t>
      </w:r>
      <w:r w:rsidR="000B4D8E">
        <w:t xml:space="preserve"> and involve additional charges per call</w:t>
      </w:r>
      <w:r w:rsidRPr="53C62904">
        <w:t xml:space="preserve">. However </w:t>
      </w:r>
      <w:r w:rsidR="00674EA2" w:rsidRPr="53C62904">
        <w:t xml:space="preserve">recent developments have seen entry-level plans being removed from the market, replaced by all-inclusive plans </w:t>
      </w:r>
      <w:r w:rsidR="002E6568">
        <w:t>costing</w:t>
      </w:r>
      <w:r w:rsidR="00674EA2" w:rsidRPr="53C62904">
        <w:t xml:space="preserve"> between $40-$70.</w:t>
      </w:r>
      <w:r w:rsidR="00F634E5" w:rsidRPr="53C62904">
        <w:rPr>
          <w:rStyle w:val="FootnoteReference"/>
        </w:rPr>
        <w:footnoteReference w:id="3"/>
      </w:r>
      <w:r w:rsidR="00674EA2" w:rsidRPr="53C62904">
        <w:t xml:space="preserve"> </w:t>
      </w:r>
      <w:r w:rsidR="000B4D8E">
        <w:t>This service is prohibitively expensive, and it is unclear to us whether the price of fixed voice service reflects the cost of providing the service.</w:t>
      </w:r>
    </w:p>
    <w:p w14:paraId="477DB466" w14:textId="1D87A1F1" w:rsidR="002C31E7" w:rsidRDefault="00F634E5" w:rsidP="00034F08">
      <w:pPr>
        <w:rPr>
          <w:rFonts w:cstheme="minorHAnsi"/>
        </w:rPr>
      </w:pPr>
      <w:r>
        <w:rPr>
          <w:rFonts w:cstheme="minorHAnsi"/>
        </w:rPr>
        <w:t>There need to be assurances</w:t>
      </w:r>
      <w:r w:rsidR="000B4D8E">
        <w:rPr>
          <w:rFonts w:cstheme="minorHAnsi"/>
        </w:rPr>
        <w:t>,</w:t>
      </w:r>
      <w:r>
        <w:rPr>
          <w:rFonts w:cstheme="minorHAnsi"/>
        </w:rPr>
        <w:t xml:space="preserve"> </w:t>
      </w:r>
      <w:r w:rsidR="000B4D8E">
        <w:rPr>
          <w:rFonts w:cstheme="minorHAnsi"/>
        </w:rPr>
        <w:t xml:space="preserve">through an appropriate price cap, </w:t>
      </w:r>
      <w:r>
        <w:rPr>
          <w:rFonts w:cstheme="minorHAnsi"/>
        </w:rPr>
        <w:t>that consumers are able to purchase a basic voice service at an affordable price should they require one.</w:t>
      </w:r>
      <w:r w:rsidR="00274C47">
        <w:rPr>
          <w:rFonts w:cstheme="minorHAnsi"/>
        </w:rPr>
        <w:t xml:space="preserve"> It is important to understand why basic entry-level voice plans are being removed from the market, and measures </w:t>
      </w:r>
      <w:r w:rsidR="00942900">
        <w:rPr>
          <w:rFonts w:cstheme="minorHAnsi"/>
        </w:rPr>
        <w:t xml:space="preserve">need to be </w:t>
      </w:r>
      <w:r w:rsidR="00274C47">
        <w:rPr>
          <w:rFonts w:cstheme="minorHAnsi"/>
        </w:rPr>
        <w:t xml:space="preserve">put in place to ensure that an affordable option remains available. </w:t>
      </w:r>
    </w:p>
    <w:p w14:paraId="47878213" w14:textId="77777777" w:rsidR="00D6523F" w:rsidRDefault="00D6523F">
      <w:pPr>
        <w:rPr>
          <w:rStyle w:val="Emphasis"/>
          <w:color w:val="00B0F0"/>
        </w:rPr>
      </w:pPr>
      <w:r>
        <w:rPr>
          <w:rStyle w:val="Emphasis"/>
          <w:color w:val="00B0F0"/>
        </w:rPr>
        <w:br w:type="page"/>
      </w:r>
    </w:p>
    <w:p w14:paraId="296D0558" w14:textId="7658CB98" w:rsidR="00C67964" w:rsidRPr="00C67964" w:rsidRDefault="00C67964" w:rsidP="00C67964">
      <w:pPr>
        <w:rPr>
          <w:rStyle w:val="Emphasis"/>
          <w:color w:val="00B0F0"/>
        </w:rPr>
      </w:pPr>
      <w:r w:rsidRPr="00C67964">
        <w:rPr>
          <w:rStyle w:val="Emphasis"/>
          <w:color w:val="00B0F0"/>
        </w:rPr>
        <w:lastRenderedPageBreak/>
        <w:t xml:space="preserve">4. Should we consider regulatory controls to safeguard against discounts again becoming the principal means by which NBN access products and pricing are implemented? What form could </w:t>
      </w:r>
      <w:proofErr w:type="gramStart"/>
      <w:r w:rsidRPr="00C67964">
        <w:rPr>
          <w:rStyle w:val="Emphasis"/>
          <w:color w:val="00B0F0"/>
        </w:rPr>
        <w:t>these take</w:t>
      </w:r>
      <w:proofErr w:type="gramEnd"/>
      <w:r w:rsidRPr="00C67964">
        <w:rPr>
          <w:rStyle w:val="Emphasis"/>
          <w:color w:val="00B0F0"/>
        </w:rPr>
        <w:t xml:space="preserve">? </w:t>
      </w:r>
    </w:p>
    <w:p w14:paraId="40C53428" w14:textId="77777777" w:rsidR="00674EA2" w:rsidRDefault="00D679F5" w:rsidP="00D679F5">
      <w:pPr>
        <w:rPr>
          <w:rStyle w:val="Emphasis"/>
          <w:i w:val="0"/>
          <w:iCs w:val="0"/>
        </w:rPr>
      </w:pPr>
      <w:r>
        <w:rPr>
          <w:rStyle w:val="Emphasis"/>
          <w:i w:val="0"/>
          <w:iCs w:val="0"/>
        </w:rPr>
        <w:t xml:space="preserve">There is a trade-off between nbn having the flexibility to provide discounts, and the costs this creates through RSPs having to create a buffer in the event that discounts are withdrawn. We would like to understand to what extent the uncertainty created through discounting drives up costs for end users, acknowledging that consumers do benefit from these discounts. </w:t>
      </w:r>
    </w:p>
    <w:p w14:paraId="33F04FD4" w14:textId="775C4E9F" w:rsidR="00413B8A" w:rsidRDefault="00674EA2" w:rsidP="6A9A6957">
      <w:pPr>
        <w:rPr>
          <w:rStyle w:val="Emphasis"/>
          <w:i w:val="0"/>
          <w:iCs w:val="0"/>
        </w:rPr>
      </w:pPr>
      <w:r w:rsidRPr="6A9A6957">
        <w:rPr>
          <w:rStyle w:val="Emphasis"/>
          <w:i w:val="0"/>
          <w:iCs w:val="0"/>
        </w:rPr>
        <w:t xml:space="preserve">ACCAN considers that nbn should retain the ability to introduce discounts, but there </w:t>
      </w:r>
      <w:r w:rsidR="2184EA6F" w:rsidRPr="6A9A6957">
        <w:rPr>
          <w:rStyle w:val="Emphasis"/>
          <w:i w:val="0"/>
          <w:iCs w:val="0"/>
        </w:rPr>
        <w:t xml:space="preserve">must </w:t>
      </w:r>
      <w:r w:rsidRPr="6A9A6957">
        <w:rPr>
          <w:rStyle w:val="Emphasis"/>
          <w:i w:val="0"/>
          <w:iCs w:val="0"/>
        </w:rPr>
        <w:t xml:space="preserve">be safeguards in place to prevent the possibility of </w:t>
      </w:r>
      <w:r w:rsidR="002728F6" w:rsidRPr="6A9A6957">
        <w:rPr>
          <w:rStyle w:val="Emphasis"/>
          <w:i w:val="0"/>
          <w:iCs w:val="0"/>
        </w:rPr>
        <w:t xml:space="preserve">significant </w:t>
      </w:r>
      <w:r w:rsidRPr="6A9A6957">
        <w:rPr>
          <w:rStyle w:val="Emphasis"/>
          <w:i w:val="0"/>
          <w:iCs w:val="0"/>
        </w:rPr>
        <w:t>price shock</w:t>
      </w:r>
      <w:r w:rsidR="00F878A5" w:rsidRPr="6A9A6957">
        <w:rPr>
          <w:rStyle w:val="Emphasis"/>
          <w:i w:val="0"/>
          <w:iCs w:val="0"/>
        </w:rPr>
        <w:t xml:space="preserve"> for consumers</w:t>
      </w:r>
      <w:r w:rsidR="00E42A7B" w:rsidRPr="6A9A6957">
        <w:rPr>
          <w:rStyle w:val="Emphasis"/>
          <w:i w:val="0"/>
          <w:iCs w:val="0"/>
        </w:rPr>
        <w:t xml:space="preserve"> when discounts are withdrawn</w:t>
      </w:r>
      <w:r w:rsidRPr="6A9A6957">
        <w:rPr>
          <w:rStyle w:val="Emphasis"/>
          <w:i w:val="0"/>
          <w:iCs w:val="0"/>
        </w:rPr>
        <w:t xml:space="preserve">. </w:t>
      </w:r>
      <w:r w:rsidR="00413B8A" w:rsidRPr="6A9A6957">
        <w:rPr>
          <w:rStyle w:val="Emphasis"/>
          <w:i w:val="0"/>
          <w:iCs w:val="0"/>
        </w:rPr>
        <w:t xml:space="preserve">We are aware of measures introduced in the Wholesale Broadband Agreement 4 which aimed to reduce uncertainty for RSPs. It would be useful to know if these measures have assisted RSPs in planning their retail offers. Any measures that have proven helpful in reducing uncertainty could be incorporated into the SAU. </w:t>
      </w:r>
    </w:p>
    <w:p w14:paraId="690DA5E4" w14:textId="39D05ABB" w:rsidR="00C7127B" w:rsidRPr="00D1666A" w:rsidRDefault="00413B8A" w:rsidP="00D1666A">
      <w:r>
        <w:rPr>
          <w:rStyle w:val="Emphasis"/>
          <w:i w:val="0"/>
          <w:iCs w:val="0"/>
        </w:rPr>
        <w:t xml:space="preserve">Additionally, </w:t>
      </w:r>
      <w:r w:rsidR="00D1666A">
        <w:rPr>
          <w:rStyle w:val="Emphasis"/>
          <w:i w:val="0"/>
          <w:iCs w:val="0"/>
        </w:rPr>
        <w:t xml:space="preserve">ACCAN considers that SAU prices should be updated in line with the replacement modules, which occur on a 3-5 year basis. This would ensure that prices in the regulatory framework are more up to date with market developments and will prevent a situation where there is potential for significant price shocks. </w:t>
      </w:r>
    </w:p>
    <w:p w14:paraId="3214E012" w14:textId="77777777" w:rsidR="00C67964" w:rsidRPr="00C67964" w:rsidRDefault="00C67964" w:rsidP="00C67964">
      <w:pPr>
        <w:rPr>
          <w:rStyle w:val="Emphasis"/>
          <w:color w:val="00B0F0"/>
        </w:rPr>
      </w:pPr>
      <w:r w:rsidRPr="00C67964">
        <w:rPr>
          <w:rStyle w:val="Emphasis"/>
          <w:color w:val="00B0F0"/>
        </w:rPr>
        <w:t xml:space="preserve">5. Do you support a cheaper broadband product for low income earners? What form should it take and how should it be funded? </w:t>
      </w:r>
    </w:p>
    <w:p w14:paraId="2051EDBA" w14:textId="569A7A9C" w:rsidR="00C67964" w:rsidRDefault="00D1666A" w:rsidP="00FE7BAE">
      <w:pPr>
        <w:pStyle w:val="BodyText1"/>
        <w:rPr>
          <w:rFonts w:asciiTheme="minorHAnsi" w:hAnsiTheme="minorHAnsi" w:cstheme="minorHAnsi"/>
          <w:color w:val="auto"/>
        </w:rPr>
      </w:pPr>
      <w:r w:rsidRPr="6A9A6957">
        <w:rPr>
          <w:rFonts w:asciiTheme="minorHAnsi" w:hAnsiTheme="minorHAnsi" w:cstheme="minorBidi"/>
          <w:color w:val="auto"/>
        </w:rPr>
        <w:t>ACCAN continues to call for a concession</w:t>
      </w:r>
      <w:r w:rsidR="0044264F" w:rsidRPr="6A9A6957">
        <w:rPr>
          <w:rFonts w:asciiTheme="minorHAnsi" w:hAnsiTheme="minorHAnsi" w:cstheme="minorBidi"/>
          <w:color w:val="auto"/>
        </w:rPr>
        <w:t>al</w:t>
      </w:r>
      <w:r w:rsidRPr="6A9A6957">
        <w:rPr>
          <w:rFonts w:asciiTheme="minorHAnsi" w:hAnsiTheme="minorHAnsi" w:cstheme="minorBidi"/>
          <w:color w:val="auto"/>
        </w:rPr>
        <w:t xml:space="preserve"> service for low income households. Our position </w:t>
      </w:r>
      <w:r w:rsidR="00674EA2" w:rsidRPr="6A9A6957">
        <w:rPr>
          <w:rFonts w:asciiTheme="minorHAnsi" w:hAnsiTheme="minorHAnsi" w:cstheme="minorBidi"/>
          <w:color w:val="auto"/>
        </w:rPr>
        <w:t>is</w:t>
      </w:r>
      <w:r w:rsidR="00637B3A" w:rsidRPr="6A9A6957">
        <w:rPr>
          <w:rFonts w:asciiTheme="minorHAnsi" w:hAnsiTheme="minorHAnsi" w:cstheme="minorBidi"/>
          <w:color w:val="auto"/>
        </w:rPr>
        <w:t xml:space="preserve"> that households receiving government financial support should be able to receive </w:t>
      </w:r>
      <w:r w:rsidRPr="6A9A6957">
        <w:rPr>
          <w:rFonts w:asciiTheme="minorHAnsi" w:hAnsiTheme="minorHAnsi" w:cstheme="minorBidi"/>
          <w:color w:val="auto"/>
        </w:rPr>
        <w:t>a 50 Mbps unlimited broadband service offered at a wholesale price of $20 per month</w:t>
      </w:r>
      <w:r w:rsidR="00637B3A" w:rsidRPr="6A9A6957">
        <w:rPr>
          <w:rFonts w:asciiTheme="minorHAnsi" w:hAnsiTheme="minorHAnsi" w:cstheme="minorBidi"/>
          <w:color w:val="auto"/>
        </w:rPr>
        <w:t>.</w:t>
      </w:r>
      <w:r w:rsidR="00674EA2" w:rsidRPr="6A9A6957">
        <w:rPr>
          <w:rStyle w:val="FootnoteReference"/>
          <w:rFonts w:asciiTheme="minorHAnsi" w:hAnsiTheme="minorHAnsi" w:cstheme="minorBidi"/>
          <w:color w:val="auto"/>
        </w:rPr>
        <w:footnoteReference w:id="4"/>
      </w:r>
      <w:r w:rsidR="005E2D2E" w:rsidRPr="6A9A6957">
        <w:rPr>
          <w:rFonts w:asciiTheme="minorHAnsi" w:hAnsiTheme="minorHAnsi" w:cstheme="minorBidi"/>
          <w:color w:val="auto"/>
        </w:rPr>
        <w:t xml:space="preserve"> This service will allow </w:t>
      </w:r>
      <w:r w:rsidR="002E6568" w:rsidRPr="6A9A6957">
        <w:rPr>
          <w:rFonts w:asciiTheme="minorHAnsi" w:hAnsiTheme="minorHAnsi" w:cstheme="minorBidi"/>
          <w:color w:val="auto"/>
        </w:rPr>
        <w:t>households struggling financially</w:t>
      </w:r>
      <w:r w:rsidR="005E2D2E" w:rsidRPr="6A9A6957">
        <w:rPr>
          <w:rFonts w:asciiTheme="minorHAnsi" w:hAnsiTheme="minorHAnsi" w:cstheme="minorBidi"/>
          <w:color w:val="auto"/>
        </w:rPr>
        <w:t xml:space="preserve"> to fully engage in the digital economy. </w:t>
      </w:r>
    </w:p>
    <w:p w14:paraId="25EECFE9" w14:textId="3408624C" w:rsidR="00C1598B" w:rsidRDefault="00413B8A" w:rsidP="6A9A6957">
      <w:pPr>
        <w:pStyle w:val="BodyText1"/>
        <w:rPr>
          <w:rFonts w:asciiTheme="minorHAnsi" w:hAnsiTheme="minorHAnsi" w:cstheme="minorBidi"/>
          <w:color w:val="auto"/>
        </w:rPr>
      </w:pPr>
      <w:r w:rsidRPr="6A9A6957">
        <w:rPr>
          <w:rFonts w:asciiTheme="minorHAnsi" w:hAnsiTheme="minorHAnsi" w:cstheme="minorBidi"/>
          <w:color w:val="auto"/>
        </w:rPr>
        <w:t xml:space="preserve">ACCAN is aware of the financial implication on </w:t>
      </w:r>
      <w:r w:rsidR="00674EA2" w:rsidRPr="6A9A6957">
        <w:rPr>
          <w:rFonts w:asciiTheme="minorHAnsi" w:hAnsiTheme="minorHAnsi" w:cstheme="minorBidi"/>
          <w:color w:val="auto"/>
        </w:rPr>
        <w:t>nbn</w:t>
      </w:r>
      <w:r w:rsidRPr="6A9A6957">
        <w:rPr>
          <w:rFonts w:asciiTheme="minorHAnsi" w:hAnsiTheme="minorHAnsi" w:cstheme="minorBidi"/>
          <w:color w:val="auto"/>
        </w:rPr>
        <w:t xml:space="preserve"> if it were to provide </w:t>
      </w:r>
      <w:r w:rsidR="000D630B">
        <w:rPr>
          <w:rFonts w:asciiTheme="minorHAnsi" w:hAnsiTheme="minorHAnsi" w:cstheme="minorBidi"/>
          <w:color w:val="auto"/>
        </w:rPr>
        <w:t xml:space="preserve">the full discount for </w:t>
      </w:r>
      <w:r w:rsidRPr="6A9A6957">
        <w:rPr>
          <w:rFonts w:asciiTheme="minorHAnsi" w:hAnsiTheme="minorHAnsi" w:cstheme="minorBidi"/>
          <w:color w:val="auto"/>
        </w:rPr>
        <w:t xml:space="preserve">such a service, which is why we </w:t>
      </w:r>
      <w:r w:rsidR="005E2D2E" w:rsidRPr="6A9A6957">
        <w:rPr>
          <w:rFonts w:asciiTheme="minorHAnsi" w:hAnsiTheme="minorHAnsi" w:cstheme="minorBidi"/>
          <w:color w:val="auto"/>
        </w:rPr>
        <w:t>consider there needs to be a</w:t>
      </w:r>
      <w:r w:rsidR="009E0C40">
        <w:rPr>
          <w:rFonts w:asciiTheme="minorHAnsi" w:hAnsiTheme="minorHAnsi" w:cstheme="minorBidi"/>
          <w:color w:val="auto"/>
        </w:rPr>
        <w:t xml:space="preserve"> supplementary</w:t>
      </w:r>
      <w:r w:rsidR="005E2D2E" w:rsidRPr="6A9A6957">
        <w:rPr>
          <w:rFonts w:asciiTheme="minorHAnsi" w:hAnsiTheme="minorHAnsi" w:cstheme="minorBidi"/>
          <w:color w:val="auto"/>
        </w:rPr>
        <w:t xml:space="preserve"> funding mechanism. We recommend that the Federal Government partially fund the broadband concession</w:t>
      </w:r>
      <w:r w:rsidR="0DFEF86F" w:rsidRPr="6A9A6957">
        <w:rPr>
          <w:rFonts w:asciiTheme="minorHAnsi" w:hAnsiTheme="minorHAnsi" w:cstheme="minorBidi"/>
          <w:color w:val="auto"/>
        </w:rPr>
        <w:t>al</w:t>
      </w:r>
      <w:r w:rsidR="005E2D2E" w:rsidRPr="6A9A6957">
        <w:rPr>
          <w:rFonts w:asciiTheme="minorHAnsi" w:hAnsiTheme="minorHAnsi" w:cstheme="minorBidi"/>
          <w:color w:val="auto"/>
        </w:rPr>
        <w:t xml:space="preserve"> service to financially stressed households. </w:t>
      </w:r>
    </w:p>
    <w:p w14:paraId="68F215E8" w14:textId="3353DAAF" w:rsidR="00413B8A" w:rsidRDefault="00DF2AF3" w:rsidP="00FE7BAE">
      <w:pPr>
        <w:pStyle w:val="BodyText1"/>
        <w:rPr>
          <w:rFonts w:asciiTheme="minorHAnsi" w:hAnsiTheme="minorHAnsi" w:cstheme="minorHAnsi"/>
          <w:color w:val="auto"/>
        </w:rPr>
      </w:pPr>
      <w:r>
        <w:rPr>
          <w:rFonts w:asciiTheme="minorHAnsi" w:hAnsiTheme="minorHAnsi" w:cstheme="minorHAnsi"/>
          <w:color w:val="auto"/>
        </w:rPr>
        <w:t xml:space="preserve">A concessional </w:t>
      </w:r>
      <w:r w:rsidR="00092700">
        <w:rPr>
          <w:rFonts w:asciiTheme="minorHAnsi" w:hAnsiTheme="minorHAnsi" w:cstheme="minorHAnsi"/>
          <w:color w:val="auto"/>
        </w:rPr>
        <w:t>service is justified given the social benefit from access to the network exceeds the private benefit.</w:t>
      </w:r>
      <w:r w:rsidR="00CB71F5">
        <w:rPr>
          <w:rFonts w:asciiTheme="minorHAnsi" w:hAnsiTheme="minorHAnsi" w:cstheme="minorHAnsi"/>
          <w:color w:val="auto"/>
        </w:rPr>
        <w:t xml:space="preserve"> For example, take up of broadband service</w:t>
      </w:r>
      <w:r w:rsidR="006F101C">
        <w:rPr>
          <w:rFonts w:asciiTheme="minorHAnsi" w:hAnsiTheme="minorHAnsi" w:cstheme="minorHAnsi"/>
          <w:color w:val="auto"/>
        </w:rPr>
        <w:t>s</w:t>
      </w:r>
      <w:r w:rsidR="00CB71F5">
        <w:rPr>
          <w:rFonts w:asciiTheme="minorHAnsi" w:hAnsiTheme="minorHAnsi" w:cstheme="minorHAnsi"/>
          <w:color w:val="auto"/>
        </w:rPr>
        <w:t xml:space="preserve"> has been demonstrated to improve economic outcomes through increases in average incomes of 0.85% GDP per capita;</w:t>
      </w:r>
      <w:r w:rsidR="00CB71F5">
        <w:rPr>
          <w:rStyle w:val="FootnoteReference"/>
          <w:rFonts w:asciiTheme="minorHAnsi" w:hAnsiTheme="minorHAnsi" w:cstheme="minorHAnsi"/>
          <w:color w:val="auto"/>
        </w:rPr>
        <w:footnoteReference w:id="5"/>
      </w:r>
      <w:r w:rsidR="00CB71F5">
        <w:rPr>
          <w:rFonts w:asciiTheme="minorHAnsi" w:hAnsiTheme="minorHAnsi" w:cstheme="minorHAnsi"/>
          <w:color w:val="auto"/>
        </w:rPr>
        <w:t xml:space="preserve"> creation of new business, with 1900 to 5400 businesses formed and an additional 3400 to 6400 individuals creating new employment opportunities for themselves in areas with high nbn rollout;</w:t>
      </w:r>
      <w:r w:rsidR="00CB71F5">
        <w:rPr>
          <w:rStyle w:val="FootnoteReference"/>
          <w:rFonts w:asciiTheme="minorHAnsi" w:hAnsiTheme="minorHAnsi" w:cstheme="minorHAnsi"/>
          <w:color w:val="auto"/>
        </w:rPr>
        <w:footnoteReference w:id="6"/>
      </w:r>
      <w:r w:rsidR="00CB71F5">
        <w:rPr>
          <w:rFonts w:asciiTheme="minorHAnsi" w:hAnsiTheme="minorHAnsi" w:cstheme="minorHAnsi"/>
          <w:color w:val="auto"/>
        </w:rPr>
        <w:t xml:space="preserve"> and potential savings from government digital transformation in the order of $20.5 billion.</w:t>
      </w:r>
      <w:r w:rsidR="00CB71F5">
        <w:rPr>
          <w:rStyle w:val="FootnoteReference"/>
          <w:rFonts w:asciiTheme="minorHAnsi" w:hAnsiTheme="minorHAnsi" w:cstheme="minorHAnsi"/>
          <w:color w:val="auto"/>
        </w:rPr>
        <w:footnoteReference w:id="7"/>
      </w:r>
      <w:r w:rsidR="00CB71F5">
        <w:rPr>
          <w:rFonts w:asciiTheme="minorHAnsi" w:hAnsiTheme="minorHAnsi" w:cstheme="minorHAnsi"/>
          <w:color w:val="auto"/>
        </w:rPr>
        <w:t xml:space="preserve"> </w:t>
      </w:r>
      <w:r w:rsidR="00C1598B">
        <w:rPr>
          <w:rFonts w:asciiTheme="minorHAnsi" w:hAnsiTheme="minorHAnsi" w:cstheme="minorHAnsi"/>
          <w:color w:val="auto"/>
        </w:rPr>
        <w:t xml:space="preserve">These benefits are in addition </w:t>
      </w:r>
      <w:r w:rsidR="00C1598B">
        <w:rPr>
          <w:rFonts w:asciiTheme="minorHAnsi" w:hAnsiTheme="minorHAnsi" w:cstheme="minorHAnsi"/>
          <w:color w:val="auto"/>
        </w:rPr>
        <w:lastRenderedPageBreak/>
        <w:t xml:space="preserve">to the impact broadband uptake can have on </w:t>
      </w:r>
      <w:r>
        <w:rPr>
          <w:rFonts w:asciiTheme="minorHAnsi" w:hAnsiTheme="minorHAnsi" w:cstheme="minorHAnsi"/>
          <w:color w:val="auto"/>
        </w:rPr>
        <w:t xml:space="preserve">an </w:t>
      </w:r>
      <w:r w:rsidR="00C1598B">
        <w:rPr>
          <w:rFonts w:asciiTheme="minorHAnsi" w:hAnsiTheme="minorHAnsi" w:cstheme="minorHAnsi"/>
          <w:color w:val="auto"/>
        </w:rPr>
        <w:t>individual’s cost and time savings and improved health, social and educational outcomes.</w:t>
      </w:r>
    </w:p>
    <w:p w14:paraId="1FCE8234" w14:textId="36BDB9AA" w:rsidR="00B512C8" w:rsidRPr="00B512C8" w:rsidRDefault="00B512C8" w:rsidP="00B512C8">
      <w:pPr>
        <w:rPr>
          <w:lang w:val="en-US"/>
        </w:rPr>
      </w:pPr>
      <w:r w:rsidRPr="6A9A6957">
        <w:rPr>
          <w:lang w:val="en-US"/>
        </w:rPr>
        <w:t xml:space="preserve">ACCAN considers the eligibility criteria of the </w:t>
      </w:r>
      <w:r w:rsidR="42A0EA69" w:rsidRPr="6A9A6957">
        <w:rPr>
          <w:lang w:val="en-US"/>
        </w:rPr>
        <w:t xml:space="preserve">concessional </w:t>
      </w:r>
      <w:r w:rsidRPr="6A9A6957">
        <w:rPr>
          <w:lang w:val="en-US"/>
        </w:rPr>
        <w:t xml:space="preserve">service should include: </w:t>
      </w:r>
    </w:p>
    <w:p w14:paraId="5065C6E7" w14:textId="77777777" w:rsidR="00B512C8" w:rsidRPr="00B512C8" w:rsidRDefault="00B512C8" w:rsidP="00B512C8">
      <w:pPr>
        <w:pStyle w:val="ListParagraph"/>
        <w:numPr>
          <w:ilvl w:val="0"/>
          <w:numId w:val="7"/>
        </w:numPr>
        <w:spacing w:after="160" w:line="259" w:lineRule="auto"/>
        <w:rPr>
          <w:lang w:val="en-US"/>
        </w:rPr>
      </w:pPr>
      <w:r w:rsidRPr="00B512C8">
        <w:rPr>
          <w:lang w:val="en-US"/>
        </w:rPr>
        <w:t xml:space="preserve">Individuals and families on Disability Support Pension payments </w:t>
      </w:r>
    </w:p>
    <w:p w14:paraId="6B8C66BB" w14:textId="77777777" w:rsidR="00B512C8" w:rsidRPr="00B512C8" w:rsidRDefault="00B512C8" w:rsidP="00B512C8">
      <w:pPr>
        <w:pStyle w:val="ListParagraph"/>
        <w:numPr>
          <w:ilvl w:val="0"/>
          <w:numId w:val="7"/>
        </w:numPr>
        <w:spacing w:after="160" w:line="259" w:lineRule="auto"/>
        <w:rPr>
          <w:lang w:val="en-US"/>
        </w:rPr>
      </w:pPr>
      <w:r w:rsidRPr="00B512C8">
        <w:rPr>
          <w:lang w:val="en-US"/>
        </w:rPr>
        <w:t xml:space="preserve">Individuals and families with members on </w:t>
      </w:r>
      <w:proofErr w:type="spellStart"/>
      <w:r w:rsidRPr="00B512C8">
        <w:rPr>
          <w:lang w:val="en-US"/>
        </w:rPr>
        <w:t>JobSeeker</w:t>
      </w:r>
      <w:proofErr w:type="spellEnd"/>
      <w:r w:rsidRPr="00B512C8">
        <w:rPr>
          <w:lang w:val="en-US"/>
        </w:rPr>
        <w:t xml:space="preserve"> payments</w:t>
      </w:r>
    </w:p>
    <w:p w14:paraId="044DF379" w14:textId="77777777" w:rsidR="00B512C8" w:rsidRPr="00B512C8" w:rsidRDefault="00B512C8" w:rsidP="00B512C8">
      <w:pPr>
        <w:pStyle w:val="ListParagraph"/>
        <w:numPr>
          <w:ilvl w:val="0"/>
          <w:numId w:val="7"/>
        </w:numPr>
        <w:spacing w:after="160" w:line="259" w:lineRule="auto"/>
        <w:rPr>
          <w:lang w:val="en-US"/>
        </w:rPr>
      </w:pPr>
      <w:r w:rsidRPr="00B512C8">
        <w:rPr>
          <w:lang w:val="en-US"/>
        </w:rPr>
        <w:t xml:space="preserve">Individuals on Youth Allowance payments </w:t>
      </w:r>
    </w:p>
    <w:p w14:paraId="3D820CD9" w14:textId="77777777" w:rsidR="00B512C8" w:rsidRPr="00B512C8" w:rsidRDefault="00B512C8" w:rsidP="00B512C8">
      <w:pPr>
        <w:pStyle w:val="ListParagraph"/>
        <w:numPr>
          <w:ilvl w:val="0"/>
          <w:numId w:val="7"/>
        </w:numPr>
        <w:spacing w:after="160" w:line="259" w:lineRule="auto"/>
        <w:rPr>
          <w:lang w:val="en-US"/>
        </w:rPr>
      </w:pPr>
      <w:r w:rsidRPr="00B512C8">
        <w:rPr>
          <w:lang w:val="en-US"/>
        </w:rPr>
        <w:t xml:space="preserve">Families on Parenting Payments </w:t>
      </w:r>
    </w:p>
    <w:p w14:paraId="4133BAE5" w14:textId="77777777" w:rsidR="00B512C8" w:rsidRPr="00B512C8" w:rsidRDefault="00B512C8" w:rsidP="00B512C8">
      <w:pPr>
        <w:pStyle w:val="ListParagraph"/>
        <w:numPr>
          <w:ilvl w:val="0"/>
          <w:numId w:val="7"/>
        </w:numPr>
        <w:spacing w:after="160" w:line="259" w:lineRule="auto"/>
        <w:rPr>
          <w:lang w:val="en-US"/>
        </w:rPr>
      </w:pPr>
      <w:r w:rsidRPr="00B512C8">
        <w:rPr>
          <w:lang w:val="en-US"/>
        </w:rPr>
        <w:t xml:space="preserve">Households receiving the </w:t>
      </w:r>
      <w:proofErr w:type="spellStart"/>
      <w:r w:rsidRPr="00B512C8">
        <w:rPr>
          <w:lang w:val="en-US"/>
        </w:rPr>
        <w:t>carer</w:t>
      </w:r>
      <w:proofErr w:type="spellEnd"/>
      <w:r w:rsidRPr="00B512C8">
        <w:rPr>
          <w:lang w:val="en-US"/>
        </w:rPr>
        <w:t xml:space="preserve"> payment</w:t>
      </w:r>
    </w:p>
    <w:p w14:paraId="7895C9C4" w14:textId="77777777" w:rsidR="00B512C8" w:rsidRPr="00B512C8" w:rsidRDefault="00B512C8" w:rsidP="00B512C8">
      <w:pPr>
        <w:pStyle w:val="ListParagraph"/>
        <w:numPr>
          <w:ilvl w:val="0"/>
          <w:numId w:val="7"/>
        </w:numPr>
        <w:spacing w:after="160" w:line="259" w:lineRule="auto"/>
        <w:rPr>
          <w:lang w:val="en-US"/>
        </w:rPr>
      </w:pPr>
      <w:r w:rsidRPr="00B512C8">
        <w:rPr>
          <w:lang w:val="en-US"/>
        </w:rPr>
        <w:t xml:space="preserve">Individuals and couples on the Age Pension </w:t>
      </w:r>
    </w:p>
    <w:p w14:paraId="256A5798" w14:textId="77777777" w:rsidR="00B512C8" w:rsidRPr="00B512C8" w:rsidRDefault="00B512C8" w:rsidP="00B512C8">
      <w:pPr>
        <w:pStyle w:val="ListParagraph"/>
        <w:numPr>
          <w:ilvl w:val="0"/>
          <w:numId w:val="7"/>
        </w:numPr>
        <w:spacing w:after="160" w:line="259" w:lineRule="auto"/>
        <w:rPr>
          <w:lang w:val="en-US"/>
        </w:rPr>
      </w:pPr>
      <w:r w:rsidRPr="00B512C8">
        <w:rPr>
          <w:lang w:val="en-US"/>
        </w:rPr>
        <w:t xml:space="preserve">Indigenous Australians on income support </w:t>
      </w:r>
    </w:p>
    <w:p w14:paraId="272DB6E7" w14:textId="138D4638" w:rsidR="00B512C8" w:rsidRDefault="00B512C8" w:rsidP="00FE7BAE">
      <w:pPr>
        <w:pStyle w:val="ListParagraph"/>
        <w:numPr>
          <w:ilvl w:val="0"/>
          <w:numId w:val="7"/>
        </w:numPr>
        <w:spacing w:after="160" w:line="259" w:lineRule="auto"/>
        <w:rPr>
          <w:lang w:val="en-US"/>
        </w:rPr>
      </w:pPr>
      <w:r w:rsidRPr="00B512C8">
        <w:rPr>
          <w:lang w:val="en-US"/>
        </w:rPr>
        <w:t>Families on Family Tax Benefit A (full rate) and Family Tax Benefit B</w:t>
      </w:r>
    </w:p>
    <w:p w14:paraId="2DCB9E3F" w14:textId="30637F39" w:rsidR="001F4DAE" w:rsidRDefault="001F4DAE">
      <w:pPr>
        <w:spacing w:after="160" w:line="259" w:lineRule="auto"/>
        <w:rPr>
          <w:lang w:val="en-US"/>
        </w:rPr>
      </w:pPr>
      <w:r>
        <w:rPr>
          <w:lang w:val="en-US"/>
        </w:rPr>
        <w:t>ACCAN considers that there is an immediate need for an offer which aims to provide affordable broadband to households who are receiving the supports above.</w:t>
      </w:r>
      <w:r w:rsidR="008A0FF0">
        <w:rPr>
          <w:lang w:val="en-US"/>
        </w:rPr>
        <w:t xml:space="preserve"> </w:t>
      </w:r>
    </w:p>
    <w:p w14:paraId="7414799B" w14:textId="53EDDE0A" w:rsidR="004C7D7A" w:rsidRPr="00513118" w:rsidRDefault="004C7D7A" w:rsidP="002E6568">
      <w:pPr>
        <w:spacing w:after="160" w:line="259" w:lineRule="auto"/>
        <w:rPr>
          <w:b/>
          <w:bCs/>
          <w:lang w:val="en-US"/>
        </w:rPr>
      </w:pPr>
      <w:r w:rsidRPr="002E6568">
        <w:rPr>
          <w:b/>
          <w:bCs/>
          <w:lang w:val="en-US"/>
        </w:rPr>
        <w:t>Mobile-only usage reduces digital inclusion</w:t>
      </w:r>
      <w:r w:rsidR="00BF3B91">
        <w:rPr>
          <w:rStyle w:val="FootnoteReference"/>
        </w:rPr>
        <w:footnoteReference w:id="8"/>
      </w:r>
    </w:p>
    <w:p w14:paraId="0AA87DA7" w14:textId="536465AA" w:rsidR="001F4DAE" w:rsidRDefault="001F4DAE" w:rsidP="004F130E">
      <w:r>
        <w:t>There are 4 million households that access the internet through mobile services only. Whilst 19.9% of Australians are mobile-only users, we know this type of use is linked to socio-economic factors as the proportion of mobile-only users increases to:</w:t>
      </w:r>
    </w:p>
    <w:p w14:paraId="7CE93101" w14:textId="77777777" w:rsidR="001F4DAE" w:rsidRDefault="001F4DAE" w:rsidP="004F130E">
      <w:pPr>
        <w:pStyle w:val="ListParagraph"/>
        <w:numPr>
          <w:ilvl w:val="0"/>
          <w:numId w:val="9"/>
        </w:numPr>
      </w:pPr>
      <w:r>
        <w:t xml:space="preserve">32.8% of people in the lowest household income quintile </w:t>
      </w:r>
    </w:p>
    <w:p w14:paraId="1909DC31" w14:textId="77777777" w:rsidR="001F4DAE" w:rsidRDefault="001F4DAE" w:rsidP="004F130E">
      <w:pPr>
        <w:pStyle w:val="ListParagraph"/>
        <w:numPr>
          <w:ilvl w:val="0"/>
          <w:numId w:val="9"/>
        </w:numPr>
      </w:pPr>
      <w:r>
        <w:t xml:space="preserve">26.6% of those with low levels of education </w:t>
      </w:r>
    </w:p>
    <w:p w14:paraId="2A50FBC6" w14:textId="77777777" w:rsidR="001F4DAE" w:rsidRDefault="001F4DAE" w:rsidP="004F130E">
      <w:pPr>
        <w:pStyle w:val="ListParagraph"/>
        <w:numPr>
          <w:ilvl w:val="0"/>
          <w:numId w:val="9"/>
        </w:numPr>
      </w:pPr>
      <w:r>
        <w:t>26.7% of the unemployed are mobile only users</w:t>
      </w:r>
    </w:p>
    <w:p w14:paraId="7FD7A8B4" w14:textId="20E8706F" w:rsidR="001F4DAE" w:rsidRDefault="001F4DAE" w:rsidP="004F130E">
      <w:pPr>
        <w:pStyle w:val="ListParagraph"/>
        <w:numPr>
          <w:ilvl w:val="0"/>
          <w:numId w:val="9"/>
        </w:numPr>
      </w:pPr>
      <w:r>
        <w:t xml:space="preserve">35% of </w:t>
      </w:r>
      <w:r w:rsidR="00D01BD8">
        <w:t>I</w:t>
      </w:r>
      <w:r>
        <w:t xml:space="preserve">ndigenous Australians </w:t>
      </w:r>
    </w:p>
    <w:p w14:paraId="0F6FF010" w14:textId="0C017146" w:rsidR="001F4DAE" w:rsidRDefault="001F4DAE" w:rsidP="004F130E">
      <w:pPr>
        <w:pStyle w:val="ListParagraph"/>
        <w:numPr>
          <w:ilvl w:val="0"/>
          <w:numId w:val="9"/>
        </w:numPr>
      </w:pPr>
      <w:r>
        <w:t xml:space="preserve">31.2% of Australians with disability </w:t>
      </w:r>
    </w:p>
    <w:p w14:paraId="5459543A" w14:textId="77777777" w:rsidR="001F4DAE" w:rsidRDefault="001F4DAE" w:rsidP="004F130E">
      <w:pPr>
        <w:pStyle w:val="ListParagraph"/>
        <w:numPr>
          <w:ilvl w:val="0"/>
          <w:numId w:val="9"/>
        </w:numPr>
      </w:pPr>
      <w:r>
        <w:t>33.5% of low income families with school aged children</w:t>
      </w:r>
    </w:p>
    <w:p w14:paraId="02011AAD" w14:textId="3DA666F0" w:rsidR="001F4DAE" w:rsidRDefault="001F4DAE" w:rsidP="004C7D7A">
      <w:pPr>
        <w:jc w:val="both"/>
      </w:pPr>
      <w:r>
        <w:t>Being mobile-only reduces digital inclusion</w:t>
      </w:r>
      <w:r w:rsidR="6E51A8FA">
        <w:t xml:space="preserve"> as</w:t>
      </w:r>
      <w:r w:rsidR="14E67759">
        <w:t xml:space="preserve"> </w:t>
      </w:r>
      <w:r w:rsidR="002E6568">
        <w:t xml:space="preserve">it </w:t>
      </w:r>
      <w:r>
        <w:t>reduces the connectivity options available to a person as well as the amount of data allowance users have access to</w:t>
      </w:r>
      <w:r w:rsidR="0064690C">
        <w:t>,</w:t>
      </w:r>
      <w:r>
        <w:t xml:space="preserve"> since mobile plans tend to have significantly lower data allowances than fixed line broadband plans. There is also a greater prevalence of pre</w:t>
      </w:r>
      <w:r w:rsidR="1B6B3445">
        <w:t>-</w:t>
      </w:r>
      <w:r>
        <w:t>paid users amongst mobile</w:t>
      </w:r>
      <w:r w:rsidR="02348CB3">
        <w:t>-</w:t>
      </w:r>
      <w:r>
        <w:t>only users, which also depresses data allowance</w:t>
      </w:r>
      <w:r w:rsidR="0F335FF3">
        <w:t>s</w:t>
      </w:r>
      <w:r>
        <w:t>. Mobile data costs more per gigabyte than fixed line broadband and mobile-only users are likely to be more restricted in heavy data use activities.</w:t>
      </w:r>
      <w:r>
        <w:rPr>
          <w:rStyle w:val="FootnoteReference"/>
        </w:rPr>
        <w:footnoteReference w:id="9"/>
      </w:r>
      <w:r>
        <w:t xml:space="preserve"> </w:t>
      </w:r>
    </w:p>
    <w:p w14:paraId="1DEFCE1D" w14:textId="2D739545" w:rsidR="002A42D5" w:rsidRDefault="002A42D5" w:rsidP="004C7D7A">
      <w:pPr>
        <w:jc w:val="both"/>
        <w:rPr>
          <w:b/>
          <w:bCs/>
        </w:rPr>
      </w:pPr>
      <w:r>
        <w:rPr>
          <w:b/>
          <w:bCs/>
        </w:rPr>
        <w:t>Families with school age children without internet access</w:t>
      </w:r>
      <w:r>
        <w:rPr>
          <w:rStyle w:val="FootnoteReference"/>
          <w:rFonts w:cstheme="minorHAnsi"/>
        </w:rPr>
        <w:footnoteReference w:id="10"/>
      </w:r>
    </w:p>
    <w:p w14:paraId="232BCC8D" w14:textId="4C215661" w:rsidR="002A42D5" w:rsidRPr="00F37A0D" w:rsidRDefault="002A42D5" w:rsidP="004956A5">
      <w:pPr>
        <w:pStyle w:val="BodyText1"/>
        <w:rPr>
          <w:rFonts w:cstheme="minorHAnsi"/>
        </w:rPr>
      </w:pPr>
      <w:r>
        <w:rPr>
          <w:rFonts w:asciiTheme="minorHAnsi" w:hAnsiTheme="minorHAnsi" w:cstheme="minorHAnsi"/>
          <w:color w:val="auto"/>
        </w:rPr>
        <w:t>The COVID-19 pandemic and subsequent shift to online learning highlighted the digital inclusion gap amongst school age children and illuminated the severity of the existing structural problem</w:t>
      </w:r>
      <w:r w:rsidR="000B5E6C">
        <w:rPr>
          <w:rFonts w:asciiTheme="minorHAnsi" w:hAnsiTheme="minorHAnsi" w:cstheme="minorHAnsi"/>
          <w:color w:val="auto"/>
        </w:rPr>
        <w:t>:</w:t>
      </w:r>
      <w:r>
        <w:rPr>
          <w:rFonts w:asciiTheme="minorHAnsi" w:hAnsiTheme="minorHAnsi" w:cstheme="minorHAnsi"/>
          <w:color w:val="auto"/>
        </w:rPr>
        <w:t xml:space="preserve"> </w:t>
      </w:r>
    </w:p>
    <w:p w14:paraId="172758A5" w14:textId="4F308FEC" w:rsidR="002A42D5" w:rsidRDefault="00DF2AF3" w:rsidP="00DF2AF3">
      <w:pPr>
        <w:pStyle w:val="ListParagraph"/>
        <w:numPr>
          <w:ilvl w:val="0"/>
          <w:numId w:val="11"/>
        </w:numPr>
      </w:pPr>
      <w:r>
        <w:t>In 2016, 9% of students with low family incomes had no internet access at home, while only 1% of students with high family incomes did not have access to the internet at home.</w:t>
      </w:r>
    </w:p>
    <w:p w14:paraId="1544F8AB" w14:textId="0C9265AA" w:rsidR="002A42D5" w:rsidRDefault="002A42D5" w:rsidP="00DF2AF3">
      <w:pPr>
        <w:pStyle w:val="ListParagraph"/>
        <w:numPr>
          <w:ilvl w:val="0"/>
          <w:numId w:val="11"/>
        </w:numPr>
      </w:pPr>
      <w:r>
        <w:lastRenderedPageBreak/>
        <w:t xml:space="preserve">Overall, 125,000 Australian students did not have </w:t>
      </w:r>
      <w:r w:rsidR="212D1863">
        <w:t xml:space="preserve">internet </w:t>
      </w:r>
      <w:r>
        <w:t>access at home (including via mobile) in 2016.</w:t>
      </w:r>
    </w:p>
    <w:p w14:paraId="593DFBB9" w14:textId="14F20AA9" w:rsidR="000B5E6C" w:rsidRDefault="002A42D5" w:rsidP="00143992">
      <w:pPr>
        <w:pStyle w:val="ListParagraph"/>
        <w:numPr>
          <w:ilvl w:val="0"/>
          <w:numId w:val="11"/>
        </w:numPr>
      </w:pPr>
      <w:r>
        <w:t xml:space="preserve">The report prepared for the Australian Education Union acknowledges that the roll-out of the nbn continued after the collection of the 2016 Census data, yet </w:t>
      </w:r>
      <w:r w:rsidRPr="6A9A6957">
        <w:t>it highlights that there is a t</w:t>
      </w:r>
      <w:r w:rsidR="000B5E6C" w:rsidRPr="6A9A6957">
        <w:t>r</w:t>
      </w:r>
      <w:r w:rsidRPr="6A9A6957">
        <w:t xml:space="preserve">end for </w:t>
      </w:r>
      <w:r w:rsidR="000B5E6C" w:rsidRPr="6A9A6957">
        <w:t xml:space="preserve">an </w:t>
      </w:r>
      <w:r w:rsidRPr="6A9A6957">
        <w:t xml:space="preserve">increasing percentage of Australian children living in poverty </w:t>
      </w:r>
      <w:r w:rsidR="23D514E6" w:rsidRPr="6A9A6957">
        <w:t>(</w:t>
      </w:r>
      <w:r w:rsidRPr="6A9A6957">
        <w:t>around 17% in 2017</w:t>
      </w:r>
      <w:r w:rsidR="5C693D33" w:rsidRPr="6A9A6957">
        <w:t>)</w:t>
      </w:r>
      <w:r w:rsidRPr="6A9A6957">
        <w:t xml:space="preserve">, so that even where nbn or other internet providers are now available, it tends not to be affordable </w:t>
      </w:r>
      <w:r w:rsidR="4D913534" w:rsidRPr="6A9A6957">
        <w:t xml:space="preserve">for </w:t>
      </w:r>
      <w:r w:rsidRPr="6A9A6957">
        <w:t>those living in poverty.</w:t>
      </w:r>
      <w:r w:rsidRPr="6A9A6957">
        <w:rPr>
          <w:rStyle w:val="FootnoteReference"/>
        </w:rPr>
        <w:t xml:space="preserve"> </w:t>
      </w:r>
      <w:r>
        <w:rPr>
          <w:rStyle w:val="FootnoteReference"/>
        </w:rPr>
        <w:footnoteReference w:id="11"/>
      </w:r>
    </w:p>
    <w:p w14:paraId="36B56515" w14:textId="248FA25A" w:rsidR="00143992" w:rsidRPr="00143992" w:rsidRDefault="00143992" w:rsidP="004956A5">
      <w:pPr>
        <w:pStyle w:val="ListParagraph"/>
        <w:numPr>
          <w:ilvl w:val="0"/>
          <w:numId w:val="11"/>
        </w:numPr>
      </w:pPr>
      <w:r>
        <w:t>For many First Nations students the closure of schools during COVID-19 lockdowns meant a stop to education altogether.</w:t>
      </w:r>
      <w:r w:rsidR="000B5E6C">
        <w:rPr>
          <w:rStyle w:val="FootnoteReference"/>
        </w:rPr>
        <w:footnoteReference w:id="12"/>
      </w:r>
      <w:r>
        <w:t xml:space="preserve"> </w:t>
      </w:r>
      <w:r w:rsidR="000B5E6C">
        <w:t xml:space="preserve">First </w:t>
      </w:r>
      <w:r w:rsidR="79255588">
        <w:t>N</w:t>
      </w:r>
      <w:r w:rsidR="000B5E6C">
        <w:t xml:space="preserve">ations students were much more likely to have no internet access at home, </w:t>
      </w:r>
      <w:r w:rsidR="0BC751BC">
        <w:t xml:space="preserve">at </w:t>
      </w:r>
      <w:r w:rsidR="000B5E6C">
        <w:t>21% compared to 5% of all public-school students.</w:t>
      </w:r>
      <w:r w:rsidR="000B5E6C">
        <w:rPr>
          <w:rStyle w:val="FootnoteReference"/>
        </w:rPr>
        <w:footnoteReference w:id="13"/>
      </w:r>
      <w:r w:rsidR="000B5E6C">
        <w:t xml:space="preserve"> </w:t>
      </w:r>
    </w:p>
    <w:p w14:paraId="73F9E3C2" w14:textId="4945E09E" w:rsidR="004C7D7A" w:rsidRPr="00513118" w:rsidRDefault="005D6C1D" w:rsidP="00513118">
      <w:pPr>
        <w:jc w:val="both"/>
        <w:rPr>
          <w:b/>
          <w:bCs/>
        </w:rPr>
      </w:pPr>
      <w:r w:rsidRPr="00513118">
        <w:rPr>
          <w:b/>
          <w:bCs/>
        </w:rPr>
        <w:t>Broadband</w:t>
      </w:r>
      <w:r w:rsidR="004C7D7A" w:rsidRPr="00513118">
        <w:rPr>
          <w:b/>
          <w:bCs/>
        </w:rPr>
        <w:t xml:space="preserve"> and financial stress</w:t>
      </w:r>
      <w:r w:rsidRPr="00513118">
        <w:rPr>
          <w:b/>
          <w:bCs/>
        </w:rPr>
        <w:t xml:space="preserve"> indicators</w:t>
      </w:r>
    </w:p>
    <w:p w14:paraId="188BF15F" w14:textId="4D9D0C64" w:rsidR="004C7D7A" w:rsidRDefault="004C7D7A" w:rsidP="00513118">
      <w:r>
        <w:t xml:space="preserve">ACCAN does not consider it acceptable that </w:t>
      </w:r>
      <w:r w:rsidR="001F4DAE">
        <w:t>1 in 8 households report affordability concerns with the nbn</w:t>
      </w:r>
      <w:r w:rsidR="005D6C1D">
        <w:t>, an essential service</w:t>
      </w:r>
      <w:r w:rsidR="001F4DAE">
        <w:t>.</w:t>
      </w:r>
      <w:r w:rsidR="001F4DAE">
        <w:rPr>
          <w:rStyle w:val="FootnoteReference"/>
          <w:rFonts w:cstheme="minorHAnsi"/>
        </w:rPr>
        <w:footnoteReference w:id="14"/>
      </w:r>
      <w:r>
        <w:t xml:space="preserve"> The cost of broadband can create a significant amount of financial stress for low income households</w:t>
      </w:r>
      <w:r w:rsidR="000B5E6C">
        <w:t>:</w:t>
      </w:r>
    </w:p>
    <w:p w14:paraId="46F3E493" w14:textId="77777777" w:rsidR="004C7D7A" w:rsidRDefault="001F4DAE" w:rsidP="004C7D7A">
      <w:pPr>
        <w:pStyle w:val="ListParagraph"/>
        <w:numPr>
          <w:ilvl w:val="0"/>
          <w:numId w:val="11"/>
        </w:numPr>
      </w:pPr>
      <w:r>
        <w:t>20% of households not connected to the nbn cite price as their main concern with the network.</w:t>
      </w:r>
      <w:r w:rsidRPr="6A9A6957">
        <w:rPr>
          <w:rStyle w:val="FootnoteReference"/>
        </w:rPr>
        <w:footnoteReference w:id="15"/>
      </w:r>
    </w:p>
    <w:p w14:paraId="458F6509" w14:textId="326838A2" w:rsidR="004C7D7A" w:rsidRDefault="001F4DAE" w:rsidP="00513118">
      <w:pPr>
        <w:pStyle w:val="ListParagraph"/>
        <w:numPr>
          <w:ilvl w:val="1"/>
          <w:numId w:val="11"/>
        </w:numPr>
      </w:pPr>
      <w:r>
        <w:t xml:space="preserve">Given there are approximately 4 million households not connected to the network, </w:t>
      </w:r>
      <w:r w:rsidR="004C7D7A">
        <w:t>we estimate this to mean around</w:t>
      </w:r>
      <w:r>
        <w:t xml:space="preserve"> 800,000 households who are not connected </w:t>
      </w:r>
      <w:r w:rsidR="00BF3B91">
        <w:t>and</w:t>
      </w:r>
      <w:r>
        <w:t xml:space="preserve"> </w:t>
      </w:r>
      <w:r w:rsidR="00F94E94">
        <w:t>cite price as their main concern with the network</w:t>
      </w:r>
      <w:r>
        <w:t>.</w:t>
      </w:r>
    </w:p>
    <w:p w14:paraId="62DB81DB" w14:textId="27D1503B" w:rsidR="004C7D7A" w:rsidRDefault="004C7D7A" w:rsidP="004C7D7A">
      <w:pPr>
        <w:pStyle w:val="ListParagraph"/>
        <w:numPr>
          <w:ilvl w:val="0"/>
          <w:numId w:val="11"/>
        </w:numPr>
      </w:pPr>
      <w:r>
        <w:t>Almost half (46%) of waged poor households</w:t>
      </w:r>
      <w:r>
        <w:rPr>
          <w:rStyle w:val="FootnoteReference"/>
        </w:rPr>
        <w:footnoteReference w:id="16"/>
      </w:r>
      <w:r>
        <w:t xml:space="preserve"> with a broadband service reported having trouble paying for the ongoing cost of the service, around a third of households ‘usually or always’ had trouble paying.</w:t>
      </w:r>
      <w:r w:rsidR="00BF3B91" w:rsidRPr="00BF3B91">
        <w:rPr>
          <w:rStyle w:val="FootnoteReference"/>
        </w:rPr>
        <w:t xml:space="preserve"> </w:t>
      </w:r>
      <w:r w:rsidR="00BF3B91">
        <w:rPr>
          <w:rStyle w:val="FootnoteReference"/>
        </w:rPr>
        <w:footnoteReference w:id="17"/>
      </w:r>
      <w:r>
        <w:t xml:space="preserve"> </w:t>
      </w:r>
    </w:p>
    <w:p w14:paraId="304BEC61" w14:textId="7FA44F47" w:rsidR="004C7D7A" w:rsidRDefault="004C7D7A" w:rsidP="00513118">
      <w:pPr>
        <w:pStyle w:val="ListParagraph"/>
        <w:numPr>
          <w:ilvl w:val="0"/>
          <w:numId w:val="11"/>
        </w:numPr>
      </w:pPr>
      <w:r>
        <w:t xml:space="preserve">For waged poor households living in rented accommodation, the proportion of households struggling to pay for the service was 53%. </w:t>
      </w:r>
      <w:r w:rsidR="00A129F3" w:rsidRPr="00F94E94">
        <w:t>28.2% of waged poor households</w:t>
      </w:r>
      <w:r w:rsidRPr="00A129F3">
        <w:t xml:space="preserve"> </w:t>
      </w:r>
      <w:r w:rsidR="00A129F3" w:rsidRPr="00F94E94">
        <w:t>reported</w:t>
      </w:r>
      <w:r w:rsidRPr="00A129F3">
        <w:t xml:space="preserve"> cutting back on telecommunications services.</w:t>
      </w:r>
      <w:r w:rsidR="00BF3B91" w:rsidRPr="00A129F3">
        <w:rPr>
          <w:rStyle w:val="FootnoteReference"/>
        </w:rPr>
        <w:footnoteReference w:id="18"/>
      </w:r>
    </w:p>
    <w:p w14:paraId="6BB80A65" w14:textId="067F6690" w:rsidR="004C7D7A" w:rsidRDefault="004C7D7A" w:rsidP="00513118">
      <w:pPr>
        <w:pStyle w:val="ListParagraph"/>
        <w:numPr>
          <w:ilvl w:val="0"/>
          <w:numId w:val="11"/>
        </w:numPr>
      </w:pPr>
      <w:r>
        <w:t>The ability to pay phone and internet bills was found to be the result of prioritising those bills and going without other goods and services.</w:t>
      </w:r>
      <w:r>
        <w:rPr>
          <w:rStyle w:val="FootnoteReference"/>
        </w:rPr>
        <w:footnoteReference w:id="19"/>
      </w:r>
      <w:r w:rsidR="005D6C1D">
        <w:t xml:space="preserve"> </w:t>
      </w:r>
    </w:p>
    <w:p w14:paraId="34265384" w14:textId="5DB709C6" w:rsidR="004C7D7A" w:rsidRDefault="004C7D7A" w:rsidP="007A6A29">
      <w:pPr>
        <w:pStyle w:val="ListParagraph"/>
        <w:numPr>
          <w:ilvl w:val="0"/>
          <w:numId w:val="11"/>
        </w:numPr>
      </w:pPr>
      <w:r>
        <w:t xml:space="preserve">During the COVID-19 pandemic, 20% of consumers </w:t>
      </w:r>
      <w:r w:rsidR="00EE1D70">
        <w:t xml:space="preserve">last year </w:t>
      </w:r>
      <w:r>
        <w:t>were concerned about their ability to pay for telecommunications.</w:t>
      </w:r>
      <w:r>
        <w:rPr>
          <w:rStyle w:val="FootnoteReference"/>
        </w:rPr>
        <w:footnoteReference w:id="20"/>
      </w:r>
    </w:p>
    <w:p w14:paraId="1EF10522" w14:textId="315D849E" w:rsidR="004C7D7A" w:rsidRPr="00513118" w:rsidRDefault="004C7D7A" w:rsidP="00513118">
      <w:pPr>
        <w:rPr>
          <w:b/>
          <w:bCs/>
        </w:rPr>
      </w:pPr>
      <w:r w:rsidRPr="00513118">
        <w:rPr>
          <w:b/>
          <w:bCs/>
        </w:rPr>
        <w:lastRenderedPageBreak/>
        <w:t>Affordability based on proportion of household income</w:t>
      </w:r>
      <w:r w:rsidR="00E76C10">
        <w:rPr>
          <w:rStyle w:val="FootnoteReference"/>
        </w:rPr>
        <w:footnoteReference w:id="21"/>
      </w:r>
    </w:p>
    <w:p w14:paraId="6DEAA718" w14:textId="77EDD26C" w:rsidR="001F4DAE" w:rsidRDefault="00E76C10" w:rsidP="00513118">
      <w:pPr>
        <w:pStyle w:val="ListParagraph"/>
        <w:numPr>
          <w:ilvl w:val="0"/>
          <w:numId w:val="12"/>
        </w:numPr>
      </w:pPr>
      <w:r>
        <w:t xml:space="preserve">The Australian Digital Inclusion Index </w:t>
      </w:r>
      <w:r w:rsidR="00F94E94">
        <w:t>shows</w:t>
      </w:r>
      <w:r>
        <w:t xml:space="preserve"> how the</w:t>
      </w:r>
      <w:r w:rsidR="001F4DAE">
        <w:t xml:space="preserve"> national average proportion of household income spent on internet services in 2020 </w:t>
      </w:r>
      <w:r w:rsidR="003F3D72">
        <w:t>was</w:t>
      </w:r>
      <w:r w:rsidR="001F4DAE">
        <w:t xml:space="preserve"> 1.16%, yet the proportion of household income spent on internet access by those living in the lowest household income quintile </w:t>
      </w:r>
      <w:r w:rsidR="003F3D72">
        <w:t>was</w:t>
      </w:r>
      <w:r w:rsidR="001F4DAE">
        <w:t xml:space="preserve"> above 4%.</w:t>
      </w:r>
    </w:p>
    <w:p w14:paraId="5E192D4B" w14:textId="6820A955" w:rsidR="001F4DAE" w:rsidRDefault="001F4DAE" w:rsidP="00513118">
      <w:pPr>
        <w:pStyle w:val="ListParagraph"/>
        <w:numPr>
          <w:ilvl w:val="0"/>
          <w:numId w:val="12"/>
        </w:numPr>
      </w:pPr>
      <w:r>
        <w:t xml:space="preserve">The proportion of household income spent on internet access by those living in the lowest household income quintile has increased every year since 2014, underpinning a widening gap in affordability between those in the lowest income quintile and those in the highest. </w:t>
      </w:r>
    </w:p>
    <w:p w14:paraId="2FDA54B1" w14:textId="77777777" w:rsidR="005D6C1D" w:rsidRDefault="001F4DAE" w:rsidP="005D6C1D">
      <w:pPr>
        <w:pStyle w:val="ListParagraph"/>
        <w:numPr>
          <w:ilvl w:val="0"/>
          <w:numId w:val="12"/>
        </w:numPr>
      </w:pPr>
      <w:r>
        <w:t>Families in the lowest income quintile with school age children spend 5.3% of their household income on internet access each month.</w:t>
      </w:r>
      <w:r w:rsidR="004C7D7A">
        <w:t xml:space="preserve"> </w:t>
      </w:r>
    </w:p>
    <w:p w14:paraId="10D61210" w14:textId="65EFC7BD" w:rsidR="001F4DAE" w:rsidRDefault="001F4DAE" w:rsidP="005D6C1D">
      <w:pPr>
        <w:pStyle w:val="ListParagraph"/>
        <w:numPr>
          <w:ilvl w:val="0"/>
          <w:numId w:val="12"/>
        </w:numPr>
      </w:pPr>
      <w:r>
        <w:t xml:space="preserve">Australians with disability spend a greater proportion of their income on internet access than the Australian average and receive less data for each dollar of expenditure than the average. </w:t>
      </w:r>
    </w:p>
    <w:p w14:paraId="3ACE9BC4" w14:textId="79BFCA79" w:rsidR="005D6C1D" w:rsidRPr="00513118" w:rsidRDefault="00BC6644" w:rsidP="00513118">
      <w:pPr>
        <w:rPr>
          <w:b/>
          <w:bCs/>
        </w:rPr>
      </w:pPr>
      <w:r>
        <w:rPr>
          <w:b/>
          <w:bCs/>
        </w:rPr>
        <w:t>Advertised price for lower speed plans has increased</w:t>
      </w:r>
      <w:r w:rsidR="00A129F3">
        <w:rPr>
          <w:rStyle w:val="FootnoteReference"/>
        </w:rPr>
        <w:footnoteReference w:id="22"/>
      </w:r>
    </w:p>
    <w:p w14:paraId="3F5948BE" w14:textId="77777777" w:rsidR="005D6C1D" w:rsidRDefault="001F4DAE" w:rsidP="005D6C1D">
      <w:pPr>
        <w:pStyle w:val="ListParagraph"/>
        <w:numPr>
          <w:ilvl w:val="0"/>
          <w:numId w:val="13"/>
        </w:numPr>
      </w:pPr>
      <w:r>
        <w:t xml:space="preserve">Between 2018/19 – 2019-20 the advertised price for lower speed nbn plans experienced a price increase of 6.1%, and prices on the median price point increased by 1.2%. </w:t>
      </w:r>
    </w:p>
    <w:p w14:paraId="79E64A3B" w14:textId="6DA568BA" w:rsidR="005D6C1D" w:rsidRDefault="001F4DAE" w:rsidP="005D6C1D">
      <w:pPr>
        <w:pStyle w:val="ListParagraph"/>
        <w:numPr>
          <w:ilvl w:val="0"/>
          <w:numId w:val="13"/>
        </w:numPr>
      </w:pPr>
      <w:r>
        <w:t>Between 2015/16 – 2019/20 consumers on the 25</w:t>
      </w:r>
      <w:r w:rsidRPr="007A6A29">
        <w:rPr>
          <w:vertAlign w:val="superscript"/>
        </w:rPr>
        <w:t>th</w:t>
      </w:r>
      <w:r>
        <w:t xml:space="preserve"> and median price percentile experienced a price increase of 16.6% and 6.6% respectively. </w:t>
      </w:r>
    </w:p>
    <w:p w14:paraId="794D45AE" w14:textId="0F34790B" w:rsidR="001F4DAE" w:rsidRPr="00513118" w:rsidRDefault="001F4DAE" w:rsidP="00513118">
      <w:pPr>
        <w:pStyle w:val="ListParagraph"/>
        <w:numPr>
          <w:ilvl w:val="0"/>
          <w:numId w:val="13"/>
        </w:numPr>
      </w:pPr>
      <w:r>
        <w:t xml:space="preserve">The average consumer may be receiving more value for their money as over time plans have increased their inclusions. However, a low income consumer may not value these additional inclusions and would prefer to access the service at a lower price. </w:t>
      </w:r>
    </w:p>
    <w:p w14:paraId="503C345B" w14:textId="77777777" w:rsidR="00C67964" w:rsidRPr="00C67964" w:rsidRDefault="00C67964" w:rsidP="00C67964">
      <w:pPr>
        <w:rPr>
          <w:rStyle w:val="Emphasis"/>
          <w:color w:val="00B0F0"/>
        </w:rPr>
      </w:pPr>
      <w:r w:rsidRPr="00C67964">
        <w:rPr>
          <w:rStyle w:val="Emphasis"/>
          <w:color w:val="00B0F0"/>
        </w:rPr>
        <w:t xml:space="preserve">6. Regulatory controls can conceivably take the form of direct controls over certain price related access terms, along with more flexible arrangements for other prices. For instance, some individual tariff items could be specified in a regulatory instrument while other tariff items could be included within a broad basket for which there is an overall regulatory control. In what circumstances (if any) should we consider providing greater flexibility for NBN access product and pricing commitments within a regulatory period? For which price related terms is certainty so important that we should not consider providing such flexibility? </w:t>
      </w:r>
    </w:p>
    <w:p w14:paraId="6CE60368" w14:textId="4DC77E50" w:rsidR="00B512C8" w:rsidRDefault="005E2D2E" w:rsidP="6A9A6957">
      <w:pPr>
        <w:pStyle w:val="BodyText1"/>
        <w:rPr>
          <w:rFonts w:asciiTheme="minorHAnsi" w:hAnsiTheme="minorHAnsi" w:cstheme="minorBidi"/>
          <w:color w:val="auto"/>
        </w:rPr>
      </w:pPr>
      <w:r w:rsidRPr="6A9A6957">
        <w:rPr>
          <w:rFonts w:asciiTheme="minorHAnsi" w:hAnsiTheme="minorHAnsi" w:cstheme="minorBidi"/>
          <w:color w:val="auto"/>
        </w:rPr>
        <w:t xml:space="preserve">In regard to price control measures </w:t>
      </w:r>
      <w:r w:rsidR="4F10F804" w:rsidRPr="6A9A6957">
        <w:rPr>
          <w:rFonts w:asciiTheme="minorHAnsi" w:hAnsiTheme="minorHAnsi" w:cstheme="minorBidi"/>
          <w:color w:val="auto"/>
        </w:rPr>
        <w:t xml:space="preserve">ACCAN </w:t>
      </w:r>
      <w:r w:rsidRPr="6A9A6957">
        <w:rPr>
          <w:rFonts w:asciiTheme="minorHAnsi" w:hAnsiTheme="minorHAnsi" w:cstheme="minorBidi"/>
          <w:color w:val="auto"/>
        </w:rPr>
        <w:t>would want to see the tightest controls applied to an appropriate entry-level product. We consider that this product would be able to reach maximum download speeds of 25 Mbps</w:t>
      </w:r>
      <w:r w:rsidR="000629D3" w:rsidRPr="6A9A6957">
        <w:rPr>
          <w:rFonts w:asciiTheme="minorHAnsi" w:hAnsiTheme="minorHAnsi" w:cstheme="minorBidi"/>
          <w:color w:val="auto"/>
        </w:rPr>
        <w:t xml:space="preserve"> and upload speeds of 5 Mbps</w:t>
      </w:r>
      <w:r w:rsidRPr="6A9A6957">
        <w:rPr>
          <w:rFonts w:asciiTheme="minorHAnsi" w:hAnsiTheme="minorHAnsi" w:cstheme="minorBidi"/>
          <w:color w:val="auto"/>
        </w:rPr>
        <w:t xml:space="preserve">. This would ensure that over the duration of the SAU, the entry-level product remains fit for purpose. </w:t>
      </w:r>
      <w:r w:rsidR="00B151B3" w:rsidRPr="6A9A6957">
        <w:rPr>
          <w:rFonts w:asciiTheme="minorHAnsi" w:hAnsiTheme="minorHAnsi" w:cstheme="minorBidi"/>
          <w:color w:val="auto"/>
        </w:rPr>
        <w:t xml:space="preserve">Setting an appropriate entry-level product will also constrain prices for higher speeds by the fact that consumers can choose the entry-level service. </w:t>
      </w:r>
    </w:p>
    <w:p w14:paraId="57B29A02" w14:textId="313F135A" w:rsidR="005740F4" w:rsidRDefault="005E2D2E" w:rsidP="00FE7BAE">
      <w:pPr>
        <w:pStyle w:val="BodyText1"/>
        <w:rPr>
          <w:rFonts w:asciiTheme="minorHAnsi" w:hAnsiTheme="minorHAnsi" w:cstheme="minorHAnsi"/>
          <w:color w:val="auto"/>
        </w:rPr>
      </w:pPr>
      <w:r w:rsidRPr="005E2D2E">
        <w:rPr>
          <w:rFonts w:asciiTheme="minorHAnsi" w:hAnsiTheme="minorHAnsi" w:cstheme="minorHAnsi"/>
          <w:color w:val="auto"/>
        </w:rPr>
        <w:t xml:space="preserve">Additionally, we would also like to see price controls for a voice only product as well as a targeted product for low income households. </w:t>
      </w:r>
      <w:r w:rsidR="005740F4">
        <w:rPr>
          <w:rFonts w:asciiTheme="minorHAnsi" w:hAnsiTheme="minorHAnsi" w:cstheme="minorHAnsi"/>
          <w:color w:val="auto"/>
        </w:rPr>
        <w:t>It is important that</w:t>
      </w:r>
      <w:r w:rsidR="00B512C8">
        <w:rPr>
          <w:rFonts w:asciiTheme="minorHAnsi" w:hAnsiTheme="minorHAnsi" w:cstheme="minorHAnsi"/>
          <w:color w:val="auto"/>
        </w:rPr>
        <w:t xml:space="preserve"> price controls exist for the voice only service </w:t>
      </w:r>
      <w:r w:rsidR="00B512C8">
        <w:rPr>
          <w:rFonts w:asciiTheme="minorHAnsi" w:hAnsiTheme="minorHAnsi" w:cstheme="minorHAnsi"/>
          <w:color w:val="auto"/>
        </w:rPr>
        <w:lastRenderedPageBreak/>
        <w:t xml:space="preserve">as </w:t>
      </w:r>
      <w:r w:rsidR="00F634E5">
        <w:rPr>
          <w:rFonts w:asciiTheme="minorHAnsi" w:hAnsiTheme="minorHAnsi" w:cstheme="minorHAnsi"/>
          <w:color w:val="auto"/>
        </w:rPr>
        <w:t>mentioned previously, the households and individuals who rely on this service do so out of necessity</w:t>
      </w:r>
      <w:r w:rsidR="00B512C8">
        <w:rPr>
          <w:rFonts w:asciiTheme="minorHAnsi" w:hAnsiTheme="minorHAnsi" w:cstheme="minorHAnsi"/>
          <w:color w:val="auto"/>
        </w:rPr>
        <w:t xml:space="preserve">. </w:t>
      </w:r>
    </w:p>
    <w:p w14:paraId="000C9F3D" w14:textId="76CAF7F6" w:rsidR="00BF1FFA" w:rsidRDefault="00B151B3" w:rsidP="22546B8C">
      <w:pPr>
        <w:pStyle w:val="BodyText1"/>
        <w:rPr>
          <w:rFonts w:asciiTheme="minorHAnsi" w:hAnsiTheme="minorHAnsi" w:cstheme="minorBidi"/>
          <w:color w:val="auto"/>
        </w:rPr>
      </w:pPr>
      <w:r w:rsidRPr="22546B8C">
        <w:rPr>
          <w:rFonts w:asciiTheme="minorHAnsi" w:hAnsiTheme="minorHAnsi" w:cstheme="minorBidi"/>
          <w:color w:val="auto"/>
        </w:rPr>
        <w:t xml:space="preserve">Beyond these key products, price controls could be </w:t>
      </w:r>
      <w:r w:rsidR="008F2F72" w:rsidRPr="22546B8C">
        <w:rPr>
          <w:rFonts w:asciiTheme="minorHAnsi" w:hAnsiTheme="minorHAnsi" w:cstheme="minorBidi"/>
          <w:color w:val="auto"/>
        </w:rPr>
        <w:t xml:space="preserve">applied </w:t>
      </w:r>
      <w:r w:rsidR="00513118" w:rsidRPr="22546B8C">
        <w:rPr>
          <w:rFonts w:asciiTheme="minorHAnsi" w:hAnsiTheme="minorHAnsi" w:cstheme="minorBidi"/>
          <w:color w:val="auto"/>
        </w:rPr>
        <w:t>to a</w:t>
      </w:r>
      <w:r w:rsidRPr="22546B8C">
        <w:rPr>
          <w:rFonts w:asciiTheme="minorHAnsi" w:hAnsiTheme="minorHAnsi" w:cstheme="minorBidi"/>
          <w:color w:val="auto"/>
        </w:rPr>
        <w:t xml:space="preserve"> basket of goods to allow nbn flexibility in responding to changes in the market. ACCAN </w:t>
      </w:r>
      <w:r w:rsidR="001E6EC6">
        <w:rPr>
          <w:rFonts w:asciiTheme="minorHAnsi" w:hAnsiTheme="minorHAnsi" w:cstheme="minorBidi"/>
          <w:color w:val="auto"/>
        </w:rPr>
        <w:t>believes</w:t>
      </w:r>
      <w:r w:rsidRPr="22546B8C">
        <w:rPr>
          <w:rFonts w:asciiTheme="minorHAnsi" w:hAnsiTheme="minorHAnsi" w:cstheme="minorBidi"/>
          <w:color w:val="auto"/>
        </w:rPr>
        <w:t xml:space="preserve"> the price controls within the SAU </w:t>
      </w:r>
      <w:r w:rsidR="000B4D8E" w:rsidRPr="22546B8C">
        <w:rPr>
          <w:rFonts w:asciiTheme="minorHAnsi" w:hAnsiTheme="minorHAnsi" w:cstheme="minorBidi"/>
          <w:color w:val="auto"/>
        </w:rPr>
        <w:t xml:space="preserve">variation </w:t>
      </w:r>
      <w:r w:rsidRPr="22546B8C">
        <w:rPr>
          <w:rFonts w:asciiTheme="minorHAnsi" w:hAnsiTheme="minorHAnsi" w:cstheme="minorBidi"/>
          <w:color w:val="auto"/>
        </w:rPr>
        <w:t xml:space="preserve">should be more ambitious than those </w:t>
      </w:r>
      <w:r w:rsidR="000B4D8E" w:rsidRPr="22546B8C">
        <w:rPr>
          <w:rFonts w:asciiTheme="minorHAnsi" w:hAnsiTheme="minorHAnsi" w:cstheme="minorBidi"/>
          <w:color w:val="auto"/>
        </w:rPr>
        <w:t xml:space="preserve">currently </w:t>
      </w:r>
      <w:r w:rsidRPr="22546B8C">
        <w:rPr>
          <w:rFonts w:asciiTheme="minorHAnsi" w:hAnsiTheme="minorHAnsi" w:cstheme="minorBidi"/>
          <w:color w:val="auto"/>
        </w:rPr>
        <w:t>set</w:t>
      </w:r>
      <w:r w:rsidR="000B4D8E" w:rsidRPr="22546B8C">
        <w:rPr>
          <w:rFonts w:asciiTheme="minorHAnsi" w:hAnsiTheme="minorHAnsi" w:cstheme="minorBidi"/>
          <w:color w:val="auto"/>
        </w:rPr>
        <w:t xml:space="preserve"> by the SAU</w:t>
      </w:r>
      <w:r w:rsidRPr="22546B8C">
        <w:rPr>
          <w:rFonts w:asciiTheme="minorHAnsi" w:hAnsiTheme="minorHAnsi" w:cstheme="minorBidi"/>
          <w:color w:val="auto"/>
        </w:rPr>
        <w:t xml:space="preserve">; </w:t>
      </w:r>
      <w:r w:rsidR="00F634E5" w:rsidRPr="22546B8C">
        <w:rPr>
          <w:rFonts w:asciiTheme="minorHAnsi" w:hAnsiTheme="minorHAnsi" w:cstheme="minorBidi"/>
          <w:color w:val="auto"/>
        </w:rPr>
        <w:t xml:space="preserve">we </w:t>
      </w:r>
      <w:r w:rsidR="006574EB">
        <w:rPr>
          <w:rFonts w:asciiTheme="minorHAnsi" w:hAnsiTheme="minorHAnsi" w:cstheme="minorBidi"/>
          <w:color w:val="auto"/>
        </w:rPr>
        <w:t xml:space="preserve">consider there is scope </w:t>
      </w:r>
      <w:r w:rsidR="00A137A3">
        <w:rPr>
          <w:rFonts w:asciiTheme="minorHAnsi" w:hAnsiTheme="minorHAnsi" w:cstheme="minorBidi"/>
          <w:color w:val="auto"/>
        </w:rPr>
        <w:t xml:space="preserve">for </w:t>
      </w:r>
      <w:r w:rsidR="00A137A3" w:rsidRPr="22546B8C">
        <w:rPr>
          <w:rFonts w:asciiTheme="minorHAnsi" w:hAnsiTheme="minorHAnsi" w:cstheme="minorBidi"/>
          <w:color w:val="auto"/>
        </w:rPr>
        <w:t>nbn</w:t>
      </w:r>
      <w:r w:rsidR="00F634E5" w:rsidRPr="22546B8C">
        <w:rPr>
          <w:rFonts w:asciiTheme="minorHAnsi" w:hAnsiTheme="minorHAnsi" w:cstheme="minorBidi"/>
          <w:color w:val="auto"/>
        </w:rPr>
        <w:t xml:space="preserve"> </w:t>
      </w:r>
      <w:r w:rsidR="00A61007">
        <w:rPr>
          <w:rFonts w:asciiTheme="minorHAnsi" w:hAnsiTheme="minorHAnsi" w:cstheme="minorBidi"/>
          <w:color w:val="auto"/>
        </w:rPr>
        <w:t>to</w:t>
      </w:r>
      <w:r w:rsidR="00F634E5" w:rsidRPr="22546B8C">
        <w:rPr>
          <w:rFonts w:asciiTheme="minorHAnsi" w:hAnsiTheme="minorHAnsi" w:cstheme="minorBidi"/>
          <w:color w:val="auto"/>
        </w:rPr>
        <w:t xml:space="preserve"> face stronger</w:t>
      </w:r>
      <w:r w:rsidRPr="22546B8C">
        <w:rPr>
          <w:rFonts w:asciiTheme="minorHAnsi" w:hAnsiTheme="minorHAnsi" w:cstheme="minorBidi"/>
          <w:color w:val="auto"/>
        </w:rPr>
        <w:t xml:space="preserve"> </w:t>
      </w:r>
      <w:r w:rsidR="00F634E5" w:rsidRPr="22546B8C">
        <w:rPr>
          <w:rFonts w:asciiTheme="minorHAnsi" w:hAnsiTheme="minorHAnsi" w:cstheme="minorBidi"/>
          <w:color w:val="auto"/>
        </w:rPr>
        <w:t>incentives to</w:t>
      </w:r>
      <w:r w:rsidRPr="22546B8C">
        <w:rPr>
          <w:rFonts w:asciiTheme="minorHAnsi" w:hAnsiTheme="minorHAnsi" w:cstheme="minorBidi"/>
          <w:color w:val="auto"/>
        </w:rPr>
        <w:t xml:space="preserve"> become more efficient via a CPI – X price cap</w:t>
      </w:r>
      <w:r w:rsidR="000629D3" w:rsidRPr="22546B8C">
        <w:rPr>
          <w:rFonts w:asciiTheme="minorHAnsi" w:hAnsiTheme="minorHAnsi" w:cstheme="minorBidi"/>
          <w:color w:val="auto"/>
        </w:rPr>
        <w:t>,</w:t>
      </w:r>
      <w:r w:rsidRPr="22546B8C">
        <w:rPr>
          <w:rFonts w:asciiTheme="minorHAnsi" w:hAnsiTheme="minorHAnsi" w:cstheme="minorBidi"/>
          <w:color w:val="auto"/>
        </w:rPr>
        <w:t xml:space="preserve"> </w:t>
      </w:r>
      <w:r w:rsidR="000629D3" w:rsidRPr="22546B8C">
        <w:rPr>
          <w:rFonts w:asciiTheme="minorHAnsi" w:hAnsiTheme="minorHAnsi" w:cstheme="minorBidi"/>
          <w:color w:val="auto"/>
        </w:rPr>
        <w:t>w</w:t>
      </w:r>
      <w:r w:rsidRPr="22546B8C">
        <w:rPr>
          <w:rFonts w:asciiTheme="minorHAnsi" w:hAnsiTheme="minorHAnsi" w:cstheme="minorBidi"/>
          <w:color w:val="auto"/>
        </w:rPr>
        <w:t>here X represents efficiency savings in order for consumers to experience real decreases in the price of services each year.</w:t>
      </w:r>
      <w:r w:rsidR="009C31D9" w:rsidRPr="22546B8C">
        <w:rPr>
          <w:rFonts w:asciiTheme="minorHAnsi" w:hAnsiTheme="minorHAnsi" w:cstheme="minorBidi"/>
          <w:color w:val="auto"/>
        </w:rPr>
        <w:t xml:space="preserve"> </w:t>
      </w:r>
      <w:r w:rsidR="00E76C10">
        <w:rPr>
          <w:rFonts w:asciiTheme="minorHAnsi" w:hAnsiTheme="minorHAnsi" w:cstheme="minorBidi"/>
          <w:color w:val="auto"/>
        </w:rPr>
        <w:t>The existing SAU price controls are ineffective at preventing significant price increases over time and i</w:t>
      </w:r>
      <w:r w:rsidR="00BF1FFA" w:rsidRPr="22546B8C">
        <w:rPr>
          <w:rFonts w:asciiTheme="minorHAnsi" w:hAnsiTheme="minorHAnsi" w:cstheme="minorBidi"/>
          <w:color w:val="auto"/>
        </w:rPr>
        <w:t>t is unclear to ACCAN why prices</w:t>
      </w:r>
      <w:r w:rsidR="00F634E5" w:rsidRPr="22546B8C">
        <w:rPr>
          <w:rFonts w:asciiTheme="minorHAnsi" w:hAnsiTheme="minorHAnsi" w:cstheme="minorBidi"/>
          <w:color w:val="auto"/>
        </w:rPr>
        <w:t xml:space="preserve"> for nbn’s services</w:t>
      </w:r>
      <w:r w:rsidR="00BF1FFA" w:rsidRPr="22546B8C">
        <w:rPr>
          <w:rFonts w:asciiTheme="minorHAnsi" w:hAnsiTheme="minorHAnsi" w:cstheme="minorBidi"/>
          <w:color w:val="auto"/>
        </w:rPr>
        <w:t xml:space="preserve"> should be expected to rise against the general trend of telecommunications prices falling.</w:t>
      </w:r>
    </w:p>
    <w:p w14:paraId="5420DFA3" w14:textId="20C1D3D5" w:rsidR="00B151B3" w:rsidRDefault="009C31D9" w:rsidP="00FE7BAE">
      <w:pPr>
        <w:pStyle w:val="BodyText1"/>
        <w:rPr>
          <w:rFonts w:asciiTheme="minorHAnsi" w:hAnsiTheme="minorHAnsi" w:cstheme="minorHAnsi"/>
          <w:color w:val="auto"/>
        </w:rPr>
      </w:pPr>
      <w:r>
        <w:rPr>
          <w:rFonts w:asciiTheme="minorHAnsi" w:hAnsiTheme="minorHAnsi" w:cstheme="minorHAnsi"/>
          <w:color w:val="auto"/>
        </w:rPr>
        <w:t>Alternatively, if there was significant concern that such price controls would not be feasible</w:t>
      </w:r>
      <w:r w:rsidR="00B151B3">
        <w:rPr>
          <w:rFonts w:asciiTheme="minorHAnsi" w:hAnsiTheme="minorHAnsi" w:cstheme="minorHAnsi"/>
          <w:color w:val="auto"/>
        </w:rPr>
        <w:t xml:space="preserve">, </w:t>
      </w:r>
      <w:r w:rsidR="00F634E5">
        <w:rPr>
          <w:rFonts w:asciiTheme="minorHAnsi" w:hAnsiTheme="minorHAnsi" w:cstheme="minorHAnsi"/>
          <w:color w:val="auto"/>
        </w:rPr>
        <w:t>at a minimum cost</w:t>
      </w:r>
      <w:r w:rsidR="00B151B3">
        <w:rPr>
          <w:rFonts w:asciiTheme="minorHAnsi" w:hAnsiTheme="minorHAnsi" w:cstheme="minorHAnsi"/>
          <w:color w:val="auto"/>
        </w:rPr>
        <w:t xml:space="preserve"> should be kept stable in real terms</w:t>
      </w:r>
      <w:r>
        <w:rPr>
          <w:rFonts w:asciiTheme="minorHAnsi" w:hAnsiTheme="minorHAnsi" w:cstheme="minorHAnsi"/>
          <w:color w:val="auto"/>
        </w:rPr>
        <w:t xml:space="preserve">, </w:t>
      </w:r>
      <w:r w:rsidR="00B151B3">
        <w:rPr>
          <w:rFonts w:asciiTheme="minorHAnsi" w:hAnsiTheme="minorHAnsi" w:cstheme="minorHAnsi"/>
          <w:color w:val="auto"/>
        </w:rPr>
        <w:t>balanc</w:t>
      </w:r>
      <w:r>
        <w:rPr>
          <w:rFonts w:asciiTheme="minorHAnsi" w:hAnsiTheme="minorHAnsi" w:cstheme="minorHAnsi"/>
          <w:color w:val="auto"/>
        </w:rPr>
        <w:t>ing</w:t>
      </w:r>
      <w:r w:rsidR="00B151B3">
        <w:rPr>
          <w:rFonts w:asciiTheme="minorHAnsi" w:hAnsiTheme="minorHAnsi" w:cstheme="minorHAnsi"/>
          <w:color w:val="auto"/>
        </w:rPr>
        <w:t xml:space="preserve"> out the increased usage of the network with</w:t>
      </w:r>
      <w:r>
        <w:rPr>
          <w:rFonts w:asciiTheme="minorHAnsi" w:hAnsiTheme="minorHAnsi" w:cstheme="minorHAnsi"/>
          <w:color w:val="auto"/>
        </w:rPr>
        <w:t xml:space="preserve"> </w:t>
      </w:r>
      <w:r w:rsidR="00F634E5">
        <w:rPr>
          <w:rFonts w:asciiTheme="minorHAnsi" w:hAnsiTheme="minorHAnsi" w:cstheme="minorHAnsi"/>
          <w:color w:val="auto"/>
        </w:rPr>
        <w:t>efficiency</w:t>
      </w:r>
      <w:r>
        <w:rPr>
          <w:rFonts w:asciiTheme="minorHAnsi" w:hAnsiTheme="minorHAnsi" w:cstheme="minorHAnsi"/>
          <w:color w:val="auto"/>
        </w:rPr>
        <w:t xml:space="preserve"> savings in providing the service. </w:t>
      </w:r>
    </w:p>
    <w:p w14:paraId="6E17948B" w14:textId="77777777" w:rsidR="00C67964" w:rsidRPr="00C67964" w:rsidRDefault="00C67964" w:rsidP="00C67964">
      <w:pPr>
        <w:rPr>
          <w:rStyle w:val="Emphasis"/>
          <w:color w:val="00B0F0"/>
        </w:rPr>
      </w:pPr>
      <w:r w:rsidRPr="00C67964">
        <w:rPr>
          <w:rStyle w:val="Emphasis"/>
          <w:color w:val="00B0F0"/>
        </w:rPr>
        <w:t xml:space="preserve">7. How often should the price related regulatory controls be reset? </w:t>
      </w:r>
    </w:p>
    <w:p w14:paraId="2373AF0E" w14:textId="2BA55CCD" w:rsidR="00C7127B" w:rsidRDefault="005E2D2E" w:rsidP="00FE7BAE">
      <w:pPr>
        <w:pStyle w:val="BodyText1"/>
        <w:rPr>
          <w:rFonts w:asciiTheme="minorHAnsi" w:hAnsiTheme="minorHAnsi" w:cstheme="minorHAnsi"/>
          <w:color w:val="auto"/>
        </w:rPr>
      </w:pPr>
      <w:r>
        <w:rPr>
          <w:rFonts w:asciiTheme="minorHAnsi" w:hAnsiTheme="minorHAnsi" w:cstheme="minorHAnsi"/>
          <w:color w:val="auto"/>
        </w:rPr>
        <w:t xml:space="preserve">As mentioned previously, price related regulatory controls </w:t>
      </w:r>
      <w:r w:rsidR="005740F4">
        <w:rPr>
          <w:rFonts w:asciiTheme="minorHAnsi" w:hAnsiTheme="minorHAnsi" w:cstheme="minorHAnsi"/>
          <w:color w:val="auto"/>
        </w:rPr>
        <w:t xml:space="preserve">could be reset in line with the SAU replacement modules which occur on a 3-5 year basis. </w:t>
      </w:r>
    </w:p>
    <w:p w14:paraId="280F7571" w14:textId="5E40F96C" w:rsidR="00C7127B" w:rsidRDefault="008604CF" w:rsidP="008604CF">
      <w:pPr>
        <w:pStyle w:val="Heading1"/>
        <w:rPr>
          <w:color w:val="00B0F0"/>
        </w:rPr>
      </w:pPr>
      <w:r w:rsidRPr="008604CF">
        <w:rPr>
          <w:color w:val="00B0F0"/>
        </w:rPr>
        <w:t xml:space="preserve">Revenue Controls </w:t>
      </w:r>
    </w:p>
    <w:p w14:paraId="7DAD8AA8" w14:textId="658F9A18" w:rsidR="00236D7B" w:rsidRPr="00A137A3" w:rsidRDefault="008A0FF0" w:rsidP="00A137A3">
      <w:r>
        <w:t>ACCAN has previously expressed our concern regarding the impact of a lack of revenue constraint on a monopoly provider of an essential service.</w:t>
      </w:r>
      <w:r>
        <w:rPr>
          <w:rStyle w:val="FootnoteReference"/>
        </w:rPr>
        <w:footnoteReference w:id="23"/>
      </w:r>
      <w:r>
        <w:t xml:space="preserve"> Specifically we have questioned whether the Weighted Average Cost of Capital (WACC) is appropriate in addition to the level of transparency within the Long-term Revenue Constraint Methodology</w:t>
      </w:r>
      <w:r w:rsidR="18989B1D">
        <w:t xml:space="preserve"> (LTRCM)</w:t>
      </w:r>
      <w:r>
        <w:t xml:space="preserve">. </w:t>
      </w:r>
    </w:p>
    <w:p w14:paraId="7CF8815E" w14:textId="0D8ED152" w:rsidR="008604CF" w:rsidRDefault="008604CF" w:rsidP="008604CF">
      <w:pPr>
        <w:pStyle w:val="BodyText1"/>
        <w:rPr>
          <w:rStyle w:val="Emphasis"/>
          <w:rFonts w:asciiTheme="minorHAnsi" w:hAnsiTheme="minorHAnsi" w:cstheme="minorHAnsi"/>
          <w:color w:val="00B0F0"/>
        </w:rPr>
      </w:pPr>
      <w:r w:rsidRPr="008604CF">
        <w:rPr>
          <w:rStyle w:val="Emphasis"/>
          <w:rFonts w:asciiTheme="minorHAnsi" w:hAnsiTheme="minorHAnsi" w:cstheme="minorHAnsi"/>
          <w:color w:val="00B0F0"/>
        </w:rPr>
        <w:t xml:space="preserve">1. Do you have any views on the ACCC’s objectives for the SAU revenue control mechanism? Are there any other objectives that should be considered? </w:t>
      </w:r>
    </w:p>
    <w:p w14:paraId="3B00F641" w14:textId="50048064" w:rsidR="008604CF" w:rsidRPr="008604CF" w:rsidRDefault="0054576D" w:rsidP="008604CF">
      <w:pPr>
        <w:pStyle w:val="BodyText1"/>
        <w:rPr>
          <w:rStyle w:val="Emphasis"/>
          <w:rFonts w:asciiTheme="minorHAnsi" w:hAnsiTheme="minorHAnsi" w:cstheme="minorHAnsi"/>
          <w:i w:val="0"/>
          <w:iCs w:val="0"/>
          <w:color w:val="auto"/>
        </w:rPr>
      </w:pPr>
      <w:r>
        <w:rPr>
          <w:rStyle w:val="Emphasis"/>
          <w:rFonts w:asciiTheme="minorHAnsi" w:hAnsiTheme="minorHAnsi" w:cstheme="minorHAnsi"/>
          <w:i w:val="0"/>
          <w:iCs w:val="0"/>
          <w:color w:val="auto"/>
        </w:rPr>
        <w:t xml:space="preserve">ACCAN supports the </w:t>
      </w:r>
      <w:r w:rsidR="00A137A3">
        <w:rPr>
          <w:rStyle w:val="Emphasis"/>
          <w:rFonts w:asciiTheme="minorHAnsi" w:hAnsiTheme="minorHAnsi" w:cstheme="minorHAnsi"/>
          <w:i w:val="0"/>
          <w:iCs w:val="0"/>
          <w:color w:val="auto"/>
        </w:rPr>
        <w:t xml:space="preserve">ACCC’s </w:t>
      </w:r>
      <w:r>
        <w:rPr>
          <w:rStyle w:val="Emphasis"/>
          <w:rFonts w:asciiTheme="minorHAnsi" w:hAnsiTheme="minorHAnsi" w:cstheme="minorHAnsi"/>
          <w:i w:val="0"/>
          <w:iCs w:val="0"/>
          <w:color w:val="auto"/>
        </w:rPr>
        <w:t xml:space="preserve">objectives for the SAU revenue control mechanism. </w:t>
      </w:r>
    </w:p>
    <w:p w14:paraId="50CE7381" w14:textId="71B1784F" w:rsidR="008604CF" w:rsidRDefault="008604CF" w:rsidP="008604CF">
      <w:pPr>
        <w:pStyle w:val="BodyText1"/>
        <w:rPr>
          <w:rStyle w:val="Emphasis"/>
          <w:rFonts w:asciiTheme="minorHAnsi" w:hAnsiTheme="minorHAnsi" w:cstheme="minorHAnsi"/>
          <w:color w:val="00B0F0"/>
        </w:rPr>
      </w:pPr>
      <w:r w:rsidRPr="008604CF">
        <w:rPr>
          <w:rStyle w:val="Emphasis"/>
          <w:rFonts w:asciiTheme="minorHAnsi" w:hAnsiTheme="minorHAnsi" w:cstheme="minorHAnsi"/>
          <w:color w:val="00B0F0"/>
        </w:rPr>
        <w:t xml:space="preserve">2. What do you think would be an appropriate approach for incorporating ICRA in a BBM for the SAU? </w:t>
      </w:r>
    </w:p>
    <w:p w14:paraId="45595B3B" w14:textId="360E284F" w:rsidR="00754B7F" w:rsidRDefault="00754B7F" w:rsidP="008604CF">
      <w:pPr>
        <w:pStyle w:val="BodyText1"/>
        <w:rPr>
          <w:rStyle w:val="Emphasis"/>
          <w:rFonts w:asciiTheme="minorHAnsi" w:hAnsiTheme="minorHAnsi" w:cstheme="minorBidi"/>
          <w:i w:val="0"/>
          <w:color w:val="auto"/>
        </w:rPr>
      </w:pPr>
      <w:r w:rsidRPr="53C62904">
        <w:rPr>
          <w:rStyle w:val="Emphasis"/>
          <w:rFonts w:asciiTheme="minorHAnsi" w:hAnsiTheme="minorHAnsi" w:cstheme="minorBidi"/>
          <w:i w:val="0"/>
          <w:color w:val="auto"/>
        </w:rPr>
        <w:t>W</w:t>
      </w:r>
      <w:r w:rsidR="006E7857" w:rsidRPr="53C62904">
        <w:rPr>
          <w:rStyle w:val="Emphasis"/>
          <w:rFonts w:asciiTheme="minorHAnsi" w:hAnsiTheme="minorHAnsi" w:cstheme="minorBidi"/>
          <w:i w:val="0"/>
          <w:color w:val="auto"/>
        </w:rPr>
        <w:t xml:space="preserve">e consider that </w:t>
      </w:r>
      <w:r w:rsidRPr="53C62904">
        <w:rPr>
          <w:rStyle w:val="Emphasis"/>
          <w:rFonts w:asciiTheme="minorHAnsi" w:hAnsiTheme="minorHAnsi" w:cstheme="minorBidi"/>
          <w:i w:val="0"/>
          <w:color w:val="auto"/>
        </w:rPr>
        <w:t xml:space="preserve">the Initial Cost Recovery Account </w:t>
      </w:r>
      <w:r w:rsidR="31C9165D" w:rsidRPr="53C62904">
        <w:rPr>
          <w:rStyle w:val="Emphasis"/>
          <w:rFonts w:asciiTheme="minorHAnsi" w:hAnsiTheme="minorHAnsi" w:cstheme="minorBidi"/>
          <w:i w:val="0"/>
          <w:iCs w:val="0"/>
          <w:color w:val="auto"/>
        </w:rPr>
        <w:t xml:space="preserve">(ICRA) </w:t>
      </w:r>
      <w:r w:rsidRPr="53C62904">
        <w:rPr>
          <w:rStyle w:val="Emphasis"/>
          <w:rFonts w:asciiTheme="minorHAnsi" w:hAnsiTheme="minorHAnsi" w:cstheme="minorBidi"/>
          <w:i w:val="0"/>
          <w:color w:val="auto"/>
        </w:rPr>
        <w:t>needs</w:t>
      </w:r>
      <w:r w:rsidR="006E7857" w:rsidRPr="53C62904">
        <w:rPr>
          <w:rStyle w:val="Emphasis"/>
          <w:rFonts w:asciiTheme="minorHAnsi" w:hAnsiTheme="minorHAnsi" w:cstheme="minorBidi"/>
          <w:i w:val="0"/>
          <w:color w:val="auto"/>
        </w:rPr>
        <w:t xml:space="preserve"> to be re-examined to understand what has contributed to the ICRA over the </w:t>
      </w:r>
      <w:r w:rsidR="00BF1FFA" w:rsidRPr="53C62904">
        <w:rPr>
          <w:rStyle w:val="Emphasis"/>
          <w:rFonts w:asciiTheme="minorHAnsi" w:hAnsiTheme="minorHAnsi" w:cstheme="minorBidi"/>
          <w:i w:val="0"/>
          <w:color w:val="auto"/>
        </w:rPr>
        <w:t>years and</w:t>
      </w:r>
      <w:r w:rsidR="006E7857" w:rsidRPr="53C62904">
        <w:rPr>
          <w:rStyle w:val="Emphasis"/>
          <w:rFonts w:asciiTheme="minorHAnsi" w:hAnsiTheme="minorHAnsi" w:cstheme="minorBidi"/>
          <w:i w:val="0"/>
          <w:color w:val="auto"/>
        </w:rPr>
        <w:t xml:space="preserve"> remove costs that have not been efficiently </w:t>
      </w:r>
      <w:r w:rsidRPr="53C62904">
        <w:rPr>
          <w:rStyle w:val="Emphasis"/>
          <w:rFonts w:asciiTheme="minorHAnsi" w:hAnsiTheme="minorHAnsi" w:cstheme="minorBidi"/>
          <w:i w:val="0"/>
          <w:color w:val="auto"/>
        </w:rPr>
        <w:t>incurred</w:t>
      </w:r>
      <w:r w:rsidR="006E7857" w:rsidRPr="53C62904">
        <w:rPr>
          <w:rStyle w:val="Emphasis"/>
          <w:rFonts w:asciiTheme="minorHAnsi" w:hAnsiTheme="minorHAnsi" w:cstheme="minorBidi"/>
          <w:i w:val="0"/>
          <w:color w:val="auto"/>
        </w:rPr>
        <w:t xml:space="preserve">. </w:t>
      </w:r>
      <w:r w:rsidRPr="53C62904">
        <w:rPr>
          <w:rStyle w:val="Emphasis"/>
          <w:rFonts w:asciiTheme="minorHAnsi" w:hAnsiTheme="minorHAnsi" w:cstheme="minorBidi"/>
          <w:i w:val="0"/>
          <w:color w:val="auto"/>
        </w:rPr>
        <w:t>In a situation where an inefficient decision was made by nbn, consumers should not be made to pay more for the services because of that decision. It</w:t>
      </w:r>
      <w:r w:rsidR="00DE7D7B">
        <w:rPr>
          <w:rStyle w:val="Emphasis"/>
          <w:rFonts w:asciiTheme="minorHAnsi" w:hAnsiTheme="minorHAnsi" w:cstheme="minorBidi"/>
          <w:i w:val="0"/>
          <w:color w:val="auto"/>
        </w:rPr>
        <w:t xml:space="preserve"> i</w:t>
      </w:r>
      <w:r w:rsidRPr="53C62904">
        <w:rPr>
          <w:rStyle w:val="Emphasis"/>
          <w:rFonts w:asciiTheme="minorHAnsi" w:hAnsiTheme="minorHAnsi" w:cstheme="minorBidi"/>
          <w:i w:val="0"/>
          <w:color w:val="auto"/>
        </w:rPr>
        <w:t>s feasible that not all of nbn’s decisions have been made efficiently as some decisions are made as a result of government policy</w:t>
      </w:r>
      <w:r w:rsidR="000629D3" w:rsidRPr="53C62904">
        <w:rPr>
          <w:rStyle w:val="Emphasis"/>
          <w:rFonts w:asciiTheme="minorHAnsi" w:hAnsiTheme="minorHAnsi" w:cstheme="minorBidi"/>
          <w:i w:val="0"/>
          <w:color w:val="auto"/>
        </w:rPr>
        <w:t xml:space="preserve"> and non-competitive processes</w:t>
      </w:r>
      <w:r w:rsidRPr="53C62904">
        <w:rPr>
          <w:rStyle w:val="Emphasis"/>
          <w:rFonts w:asciiTheme="minorHAnsi" w:hAnsiTheme="minorHAnsi" w:cstheme="minorBidi"/>
          <w:i w:val="0"/>
          <w:color w:val="auto"/>
        </w:rPr>
        <w:t xml:space="preserve">. </w:t>
      </w:r>
    </w:p>
    <w:p w14:paraId="582D3CBC" w14:textId="433A739C" w:rsidR="002F0FCC" w:rsidRDefault="002F0FCC" w:rsidP="008604CF">
      <w:pPr>
        <w:pStyle w:val="BodyText1"/>
        <w:rPr>
          <w:rStyle w:val="Emphasis"/>
          <w:rFonts w:asciiTheme="minorHAnsi" w:hAnsiTheme="minorHAnsi" w:cstheme="minorBidi"/>
          <w:i w:val="0"/>
          <w:color w:val="auto"/>
        </w:rPr>
      </w:pPr>
      <w:r>
        <w:rPr>
          <w:rStyle w:val="Emphasis"/>
          <w:rFonts w:asciiTheme="minorHAnsi" w:hAnsiTheme="minorHAnsi" w:cstheme="minorHAnsi"/>
          <w:i w:val="0"/>
          <w:iCs w:val="0"/>
          <w:color w:val="auto"/>
        </w:rPr>
        <w:t xml:space="preserve">Once the ICRA has been re-examined there should be a consideration of what proportion of the ICRA can be drawn down on each year, or if there should be a time limit to how long unrecovered costs can be kept in the ICRA. </w:t>
      </w:r>
    </w:p>
    <w:p w14:paraId="1C46BAE5" w14:textId="691A74AE" w:rsidR="008604CF" w:rsidRDefault="008604CF" w:rsidP="008604CF">
      <w:pPr>
        <w:pStyle w:val="BodyText1"/>
        <w:rPr>
          <w:rStyle w:val="Emphasis"/>
          <w:rFonts w:asciiTheme="minorHAnsi" w:hAnsiTheme="minorHAnsi" w:cstheme="minorHAnsi"/>
          <w:color w:val="00B0F0"/>
        </w:rPr>
      </w:pPr>
      <w:r w:rsidRPr="008604CF">
        <w:rPr>
          <w:rStyle w:val="Emphasis"/>
          <w:rFonts w:asciiTheme="minorHAnsi" w:hAnsiTheme="minorHAnsi" w:cstheme="minorHAnsi"/>
          <w:color w:val="00B0F0"/>
        </w:rPr>
        <w:lastRenderedPageBreak/>
        <w:t xml:space="preserve">3. What would be an appropriate approach to ensure NBN Co has appropriate incentives to upgrade its network in a timely and efficient manner? </w:t>
      </w:r>
    </w:p>
    <w:p w14:paraId="2FDA2B46" w14:textId="78548E08" w:rsidR="00254C3E" w:rsidRDefault="006E7857" w:rsidP="008604CF">
      <w:pPr>
        <w:pStyle w:val="BodyText1"/>
        <w:rPr>
          <w:rStyle w:val="Emphasis"/>
          <w:rFonts w:asciiTheme="minorHAnsi" w:hAnsiTheme="minorHAnsi" w:cstheme="minorBidi"/>
          <w:i w:val="0"/>
          <w:color w:val="auto"/>
        </w:rPr>
      </w:pPr>
      <w:r w:rsidRPr="53C62904">
        <w:rPr>
          <w:rStyle w:val="Emphasis"/>
          <w:rFonts w:asciiTheme="minorHAnsi" w:hAnsiTheme="minorHAnsi" w:cstheme="minorBidi"/>
          <w:i w:val="0"/>
          <w:color w:val="auto"/>
        </w:rPr>
        <w:t xml:space="preserve">Whilst the ICRA is significantly negative, </w:t>
      </w:r>
      <w:r w:rsidR="000629D3" w:rsidRPr="53C62904">
        <w:rPr>
          <w:rStyle w:val="Emphasis"/>
          <w:rFonts w:asciiTheme="minorHAnsi" w:hAnsiTheme="minorHAnsi" w:cstheme="minorBidi"/>
          <w:i w:val="0"/>
          <w:color w:val="auto"/>
        </w:rPr>
        <w:t>nbn</w:t>
      </w:r>
      <w:r w:rsidRPr="53C62904">
        <w:rPr>
          <w:rStyle w:val="Emphasis"/>
          <w:rFonts w:asciiTheme="minorHAnsi" w:hAnsiTheme="minorHAnsi" w:cstheme="minorBidi"/>
          <w:i w:val="0"/>
          <w:color w:val="auto"/>
        </w:rPr>
        <w:t xml:space="preserve"> may not necessarily be incentivised to invest in the network as they are able to increase revenue via price increases. If the ICRA is reduced, and becomes positive, </w:t>
      </w:r>
      <w:r w:rsidR="004A1A64">
        <w:rPr>
          <w:rStyle w:val="Emphasis"/>
          <w:rFonts w:asciiTheme="minorHAnsi" w:hAnsiTheme="minorHAnsi" w:cstheme="minorBidi"/>
          <w:i w:val="0"/>
          <w:color w:val="auto"/>
        </w:rPr>
        <w:t>nbn</w:t>
      </w:r>
      <w:r w:rsidRPr="53C62904">
        <w:rPr>
          <w:rStyle w:val="Emphasis"/>
          <w:rFonts w:asciiTheme="minorHAnsi" w:hAnsiTheme="minorHAnsi" w:cstheme="minorBidi"/>
          <w:i w:val="0"/>
          <w:color w:val="auto"/>
        </w:rPr>
        <w:t>’s ability to increase revenue will depend on them investing in the network. That said, there are</w:t>
      </w:r>
      <w:r w:rsidR="000629D3" w:rsidRPr="53C62904">
        <w:rPr>
          <w:rStyle w:val="Emphasis"/>
          <w:rFonts w:asciiTheme="minorHAnsi" w:hAnsiTheme="minorHAnsi" w:cstheme="minorBidi"/>
          <w:i w:val="0"/>
          <w:color w:val="auto"/>
        </w:rPr>
        <w:t xml:space="preserve"> also</w:t>
      </w:r>
      <w:r w:rsidRPr="53C62904">
        <w:rPr>
          <w:rStyle w:val="Emphasis"/>
          <w:rFonts w:asciiTheme="minorHAnsi" w:hAnsiTheme="minorHAnsi" w:cstheme="minorBidi"/>
          <w:i w:val="0"/>
          <w:color w:val="auto"/>
        </w:rPr>
        <w:t xml:space="preserve"> alternative incentives to ensure </w:t>
      </w:r>
      <w:r w:rsidR="000629D3" w:rsidRPr="53C62904">
        <w:rPr>
          <w:rStyle w:val="Emphasis"/>
          <w:rFonts w:asciiTheme="minorHAnsi" w:hAnsiTheme="minorHAnsi" w:cstheme="minorBidi"/>
          <w:i w:val="0"/>
          <w:color w:val="auto"/>
        </w:rPr>
        <w:t>nbn continues to invest in</w:t>
      </w:r>
      <w:r w:rsidRPr="53C62904">
        <w:rPr>
          <w:rStyle w:val="Emphasis"/>
          <w:rFonts w:asciiTheme="minorHAnsi" w:hAnsiTheme="minorHAnsi" w:cstheme="minorBidi"/>
          <w:i w:val="0"/>
          <w:color w:val="auto"/>
        </w:rPr>
        <w:t xml:space="preserve"> the network over time, for example </w:t>
      </w:r>
      <w:r w:rsidR="00F34129" w:rsidRPr="53C62904">
        <w:rPr>
          <w:rStyle w:val="Emphasis"/>
          <w:rFonts w:asciiTheme="minorHAnsi" w:hAnsiTheme="minorHAnsi" w:cstheme="minorBidi"/>
          <w:i w:val="0"/>
          <w:color w:val="auto"/>
        </w:rPr>
        <w:t xml:space="preserve">via appropriate </w:t>
      </w:r>
      <w:r w:rsidRPr="53C62904">
        <w:rPr>
          <w:rStyle w:val="Emphasis"/>
          <w:rFonts w:asciiTheme="minorHAnsi" w:hAnsiTheme="minorHAnsi" w:cstheme="minorBidi"/>
          <w:i w:val="0"/>
          <w:color w:val="auto"/>
        </w:rPr>
        <w:t xml:space="preserve">performance benchmarks. </w:t>
      </w:r>
    </w:p>
    <w:p w14:paraId="1285391A" w14:textId="02333278" w:rsidR="00875CC6" w:rsidRDefault="00D405B1" w:rsidP="6A9A6957">
      <w:pPr>
        <w:pStyle w:val="BodyText1"/>
        <w:rPr>
          <w:rStyle w:val="Emphasis"/>
          <w:rFonts w:asciiTheme="minorHAnsi" w:hAnsiTheme="minorHAnsi" w:cstheme="minorBidi"/>
          <w:i w:val="0"/>
          <w:iCs w:val="0"/>
          <w:color w:val="auto"/>
        </w:rPr>
      </w:pPr>
      <w:r w:rsidRPr="6A9A6957">
        <w:rPr>
          <w:rStyle w:val="Emphasis"/>
          <w:rFonts w:asciiTheme="minorHAnsi" w:hAnsiTheme="minorHAnsi" w:cstheme="minorBidi"/>
          <w:i w:val="0"/>
          <w:iCs w:val="0"/>
          <w:color w:val="auto"/>
        </w:rPr>
        <w:t>Earlier this year, t</w:t>
      </w:r>
      <w:r w:rsidR="00254C3E" w:rsidRPr="6A9A6957">
        <w:rPr>
          <w:rStyle w:val="Emphasis"/>
          <w:rFonts w:asciiTheme="minorHAnsi" w:hAnsiTheme="minorHAnsi" w:cstheme="minorBidi"/>
          <w:i w:val="0"/>
          <w:iCs w:val="0"/>
          <w:color w:val="auto"/>
        </w:rPr>
        <w:t xml:space="preserve">he </w:t>
      </w:r>
      <w:r w:rsidR="00A137A3" w:rsidRPr="6A9A6957">
        <w:rPr>
          <w:rStyle w:val="Emphasis"/>
          <w:rFonts w:asciiTheme="minorHAnsi" w:hAnsiTheme="minorHAnsi" w:cstheme="minorBidi"/>
          <w:i w:val="0"/>
          <w:iCs w:val="0"/>
          <w:color w:val="auto"/>
        </w:rPr>
        <w:t>Government consulted</w:t>
      </w:r>
      <w:r w:rsidR="00ED1825" w:rsidRPr="6A9A6957">
        <w:rPr>
          <w:rStyle w:val="Emphasis"/>
          <w:rFonts w:asciiTheme="minorHAnsi" w:hAnsiTheme="minorHAnsi" w:cstheme="minorBidi"/>
          <w:i w:val="0"/>
          <w:iCs w:val="0"/>
          <w:color w:val="auto"/>
        </w:rPr>
        <w:t xml:space="preserve"> </w:t>
      </w:r>
      <w:r w:rsidR="00254C3E" w:rsidRPr="6A9A6957">
        <w:rPr>
          <w:rStyle w:val="Emphasis"/>
          <w:rFonts w:asciiTheme="minorHAnsi" w:hAnsiTheme="minorHAnsi" w:cstheme="minorBidi"/>
          <w:i w:val="0"/>
          <w:iCs w:val="0"/>
          <w:color w:val="auto"/>
        </w:rPr>
        <w:t xml:space="preserve">on a draft Determination on standards, </w:t>
      </w:r>
      <w:proofErr w:type="gramStart"/>
      <w:r w:rsidR="00254C3E" w:rsidRPr="6A9A6957">
        <w:rPr>
          <w:rStyle w:val="Emphasis"/>
          <w:rFonts w:asciiTheme="minorHAnsi" w:hAnsiTheme="minorHAnsi" w:cstheme="minorBidi"/>
          <w:i w:val="0"/>
          <w:iCs w:val="0"/>
          <w:color w:val="auto"/>
        </w:rPr>
        <w:t>rules</w:t>
      </w:r>
      <w:proofErr w:type="gramEnd"/>
      <w:r w:rsidR="00254C3E" w:rsidRPr="6A9A6957">
        <w:rPr>
          <w:rStyle w:val="Emphasis"/>
          <w:rFonts w:asciiTheme="minorHAnsi" w:hAnsiTheme="minorHAnsi" w:cstheme="minorBidi"/>
          <w:i w:val="0"/>
          <w:iCs w:val="0"/>
          <w:color w:val="auto"/>
        </w:rPr>
        <w:t xml:space="preserve"> and benchmarks for Statutory Infrastructure Providers (SIPs).</w:t>
      </w:r>
      <w:r w:rsidR="00994FAB" w:rsidRPr="6A9A6957">
        <w:rPr>
          <w:rStyle w:val="FootnoteReference"/>
          <w:rFonts w:asciiTheme="minorHAnsi" w:hAnsiTheme="minorHAnsi" w:cstheme="minorBidi"/>
          <w:color w:val="auto"/>
        </w:rPr>
        <w:footnoteReference w:id="24"/>
      </w:r>
      <w:r w:rsidR="00254C3E" w:rsidRPr="6A9A6957">
        <w:rPr>
          <w:rStyle w:val="Emphasis"/>
          <w:rFonts w:asciiTheme="minorHAnsi" w:hAnsiTheme="minorHAnsi" w:cstheme="minorBidi"/>
          <w:i w:val="0"/>
          <w:iCs w:val="0"/>
          <w:color w:val="auto"/>
        </w:rPr>
        <w:t xml:space="preserve"> Appropriate performance standards and benchmarks set by the Minister </w:t>
      </w:r>
      <w:r w:rsidR="00875CC6" w:rsidRPr="6A9A6957">
        <w:rPr>
          <w:rStyle w:val="Emphasis"/>
          <w:rFonts w:asciiTheme="minorHAnsi" w:hAnsiTheme="minorHAnsi" w:cstheme="minorBidi"/>
          <w:i w:val="0"/>
          <w:iCs w:val="0"/>
          <w:color w:val="auto"/>
        </w:rPr>
        <w:t xml:space="preserve">should provide nbn suitable incentives to maintain and </w:t>
      </w:r>
      <w:r w:rsidR="00994FAB" w:rsidRPr="6A9A6957">
        <w:rPr>
          <w:rStyle w:val="Emphasis"/>
          <w:rFonts w:asciiTheme="minorHAnsi" w:hAnsiTheme="minorHAnsi" w:cstheme="minorBidi"/>
          <w:i w:val="0"/>
          <w:iCs w:val="0"/>
          <w:color w:val="auto"/>
        </w:rPr>
        <w:t>upgrade</w:t>
      </w:r>
      <w:r w:rsidR="00875CC6" w:rsidRPr="6A9A6957">
        <w:rPr>
          <w:rStyle w:val="Emphasis"/>
          <w:rFonts w:asciiTheme="minorHAnsi" w:hAnsiTheme="minorHAnsi" w:cstheme="minorBidi"/>
          <w:i w:val="0"/>
          <w:iCs w:val="0"/>
          <w:color w:val="auto"/>
        </w:rPr>
        <w:t xml:space="preserve"> </w:t>
      </w:r>
      <w:r w:rsidR="00994FAB" w:rsidRPr="6A9A6957">
        <w:rPr>
          <w:rStyle w:val="Emphasis"/>
          <w:rFonts w:asciiTheme="minorHAnsi" w:hAnsiTheme="minorHAnsi" w:cstheme="minorBidi"/>
          <w:i w:val="0"/>
          <w:iCs w:val="0"/>
          <w:color w:val="auto"/>
        </w:rPr>
        <w:t>the</w:t>
      </w:r>
      <w:r w:rsidR="00875CC6" w:rsidRPr="6A9A6957">
        <w:rPr>
          <w:rStyle w:val="Emphasis"/>
          <w:rFonts w:asciiTheme="minorHAnsi" w:hAnsiTheme="minorHAnsi" w:cstheme="minorBidi"/>
          <w:i w:val="0"/>
          <w:iCs w:val="0"/>
          <w:color w:val="auto"/>
        </w:rPr>
        <w:t xml:space="preserve"> network in a timely and efficient manner. However</w:t>
      </w:r>
      <w:r w:rsidR="00994FAB" w:rsidRPr="6A9A6957">
        <w:rPr>
          <w:rStyle w:val="Emphasis"/>
          <w:rFonts w:asciiTheme="minorHAnsi" w:hAnsiTheme="minorHAnsi" w:cstheme="minorBidi"/>
          <w:i w:val="0"/>
          <w:iCs w:val="0"/>
          <w:color w:val="auto"/>
        </w:rPr>
        <w:t>,</w:t>
      </w:r>
      <w:r w:rsidR="00875CC6" w:rsidRPr="6A9A6957">
        <w:rPr>
          <w:rStyle w:val="Emphasis"/>
          <w:rFonts w:asciiTheme="minorHAnsi" w:hAnsiTheme="minorHAnsi" w:cstheme="minorBidi"/>
          <w:i w:val="0"/>
          <w:iCs w:val="0"/>
          <w:color w:val="auto"/>
        </w:rPr>
        <w:t xml:space="preserve"> the outcome of the consultation is still uncertain, and if the </w:t>
      </w:r>
      <w:r w:rsidR="00273BDB" w:rsidRPr="6A9A6957">
        <w:rPr>
          <w:rStyle w:val="Emphasis"/>
          <w:rFonts w:asciiTheme="minorHAnsi" w:hAnsiTheme="minorHAnsi" w:cstheme="minorBidi"/>
          <w:i w:val="0"/>
          <w:iCs w:val="0"/>
          <w:color w:val="auto"/>
        </w:rPr>
        <w:t>D</w:t>
      </w:r>
      <w:r w:rsidR="00875CC6" w:rsidRPr="6A9A6957">
        <w:rPr>
          <w:rStyle w:val="Emphasis"/>
          <w:rFonts w:asciiTheme="minorHAnsi" w:hAnsiTheme="minorHAnsi" w:cstheme="minorBidi"/>
          <w:i w:val="0"/>
          <w:iCs w:val="0"/>
          <w:color w:val="auto"/>
        </w:rPr>
        <w:t xml:space="preserve">etermination does not deliver appropriate service standards, then the SAU could be a suitable option to embed service standards in nbn’s regulatory framework. </w:t>
      </w:r>
    </w:p>
    <w:p w14:paraId="36FB18D8" w14:textId="47CD00AB" w:rsidR="008604CF" w:rsidRDefault="00875CC6" w:rsidP="008604CF">
      <w:pPr>
        <w:pStyle w:val="BodyText1"/>
        <w:rPr>
          <w:rStyle w:val="Emphasis"/>
          <w:rFonts w:asciiTheme="minorHAnsi" w:hAnsiTheme="minorHAnsi" w:cstheme="minorBidi"/>
          <w:i w:val="0"/>
          <w:color w:val="auto"/>
        </w:rPr>
      </w:pPr>
      <w:r>
        <w:rPr>
          <w:rStyle w:val="Emphasis"/>
          <w:rFonts w:asciiTheme="minorHAnsi" w:hAnsiTheme="minorHAnsi" w:cstheme="minorBidi"/>
          <w:i w:val="0"/>
          <w:color w:val="auto"/>
        </w:rPr>
        <w:t>Given that performance and reliability of services are fundamentally important, ACCAN would like to see strong incentives for performance, reporting of performance metrics as well as an appropriate rebate scheme.</w:t>
      </w:r>
      <w:r w:rsidR="006701C8">
        <w:rPr>
          <w:rStyle w:val="FootnoteReference"/>
          <w:rFonts w:asciiTheme="minorHAnsi" w:hAnsiTheme="minorHAnsi" w:cstheme="minorBidi"/>
          <w:iCs/>
          <w:color w:val="auto"/>
        </w:rPr>
        <w:footnoteReference w:id="25"/>
      </w:r>
      <w:r>
        <w:rPr>
          <w:rStyle w:val="Emphasis"/>
          <w:rFonts w:asciiTheme="minorHAnsi" w:hAnsiTheme="minorHAnsi" w:cstheme="minorBidi"/>
          <w:i w:val="0"/>
          <w:color w:val="auto"/>
        </w:rPr>
        <w:t xml:space="preserve"> We consider that these issues should not be determined by commercial negotiations between nbn and RSPs as this will not necessarily result in the long term interest of end users.</w:t>
      </w:r>
    </w:p>
    <w:p w14:paraId="29AD5F58" w14:textId="3C9F435F" w:rsidR="008604CF" w:rsidRDefault="008604CF" w:rsidP="008604CF">
      <w:pPr>
        <w:pStyle w:val="BodyText1"/>
        <w:rPr>
          <w:rStyle w:val="Emphasis"/>
          <w:rFonts w:asciiTheme="minorHAnsi" w:hAnsiTheme="minorHAnsi" w:cstheme="minorHAnsi"/>
          <w:color w:val="00B0F0"/>
        </w:rPr>
      </w:pPr>
      <w:r w:rsidRPr="008604CF">
        <w:rPr>
          <w:rStyle w:val="Emphasis"/>
          <w:rFonts w:asciiTheme="minorHAnsi" w:hAnsiTheme="minorHAnsi" w:cstheme="minorHAnsi"/>
          <w:color w:val="00B0F0"/>
        </w:rPr>
        <w:t xml:space="preserve">4. Could elements of the arrangements that are currently intended to apply from 2023 under the current SAU provide a good blueprint for considering arrangements for new investment and expenditure proposals in a revised SAU? </w:t>
      </w:r>
    </w:p>
    <w:p w14:paraId="22D98DB6" w14:textId="41276A4B" w:rsidR="008604CF" w:rsidRPr="008604CF" w:rsidRDefault="00F34129" w:rsidP="008604CF">
      <w:pPr>
        <w:pStyle w:val="BodyText1"/>
        <w:rPr>
          <w:rStyle w:val="Emphasis"/>
          <w:rFonts w:asciiTheme="minorHAnsi" w:hAnsiTheme="minorHAnsi" w:cstheme="minorHAnsi"/>
          <w:i w:val="0"/>
          <w:iCs w:val="0"/>
          <w:color w:val="auto"/>
        </w:rPr>
      </w:pPr>
      <w:r>
        <w:rPr>
          <w:rStyle w:val="Emphasis"/>
          <w:rFonts w:asciiTheme="minorHAnsi" w:hAnsiTheme="minorHAnsi" w:cstheme="minorHAnsi"/>
          <w:i w:val="0"/>
          <w:iCs w:val="0"/>
          <w:color w:val="auto"/>
        </w:rPr>
        <w:t xml:space="preserve">ACCAN considers that current arrangements where nbn is to provide operating and capital expenditure forecasts to the ACCC as part of the replacement modules is appropriate. </w:t>
      </w:r>
    </w:p>
    <w:p w14:paraId="594A1686" w14:textId="77777777" w:rsidR="008604CF" w:rsidRPr="008604CF" w:rsidRDefault="008604CF" w:rsidP="008604CF">
      <w:pPr>
        <w:pStyle w:val="BodyText1"/>
        <w:rPr>
          <w:rStyle w:val="Emphasis"/>
          <w:rFonts w:asciiTheme="minorHAnsi" w:hAnsiTheme="minorHAnsi" w:cstheme="minorHAnsi"/>
          <w:color w:val="00B0F0"/>
        </w:rPr>
      </w:pPr>
      <w:r w:rsidRPr="008604CF">
        <w:rPr>
          <w:rStyle w:val="Emphasis"/>
          <w:rFonts w:asciiTheme="minorHAnsi" w:hAnsiTheme="minorHAnsi" w:cstheme="minorHAnsi"/>
          <w:color w:val="00B0F0"/>
        </w:rPr>
        <w:t xml:space="preserve">5. What </w:t>
      </w:r>
      <w:proofErr w:type="gramStart"/>
      <w:r w:rsidRPr="008604CF">
        <w:rPr>
          <w:rStyle w:val="Emphasis"/>
          <w:rFonts w:asciiTheme="minorHAnsi" w:hAnsiTheme="minorHAnsi" w:cstheme="minorHAnsi"/>
          <w:color w:val="00B0F0"/>
        </w:rPr>
        <w:t>reporting</w:t>
      </w:r>
      <w:proofErr w:type="gramEnd"/>
      <w:r w:rsidRPr="008604CF">
        <w:rPr>
          <w:rStyle w:val="Emphasis"/>
          <w:rFonts w:asciiTheme="minorHAnsi" w:hAnsiTheme="minorHAnsi" w:cstheme="minorHAnsi"/>
          <w:color w:val="00B0F0"/>
        </w:rPr>
        <w:t xml:space="preserve"> or transparency requirements should be established to support arrangements under a revised SAU? </w:t>
      </w:r>
    </w:p>
    <w:p w14:paraId="5249DA24" w14:textId="4AB7B954" w:rsidR="00C7127B" w:rsidRDefault="0004774E" w:rsidP="00DA0952">
      <w:r>
        <w:t xml:space="preserve">It is important that </w:t>
      </w:r>
      <w:r w:rsidR="00F90CCC">
        <w:t>nbn</w:t>
      </w:r>
      <w:r>
        <w:t xml:space="preserve"> is</w:t>
      </w:r>
      <w:r w:rsidRPr="6A9A6957">
        <w:t xml:space="preserve"> transparent regarding competitive segments. When the NBN is </w:t>
      </w:r>
      <w:r w:rsidR="00CB71F5" w:rsidRPr="6A9A6957">
        <w:t>privatised,</w:t>
      </w:r>
      <w:r w:rsidRPr="6A9A6957">
        <w:t xml:space="preserve"> there could be greater incentives for the network operator to participate in predatory pricing in the enterprise market, subsidised by the residential market. </w:t>
      </w:r>
      <w:r w:rsidR="00F34129" w:rsidRPr="6A9A6957">
        <w:t>Therefore,</w:t>
      </w:r>
      <w:r w:rsidRPr="6A9A6957">
        <w:t xml:space="preserve"> safeguards </w:t>
      </w:r>
      <w:r w:rsidR="00F34129" w:rsidRPr="6A9A6957">
        <w:t xml:space="preserve">through increased transparency arrangements </w:t>
      </w:r>
      <w:r w:rsidRPr="6A9A6957">
        <w:t>must be put in place to ensure that this does</w:t>
      </w:r>
      <w:r w:rsidR="003E7D69" w:rsidRPr="6A9A6957">
        <w:t xml:space="preserve"> </w:t>
      </w:r>
      <w:r w:rsidRPr="6A9A6957">
        <w:t>n</w:t>
      </w:r>
      <w:r w:rsidR="003E7D69" w:rsidRPr="6A9A6957">
        <w:t>o</w:t>
      </w:r>
      <w:r w:rsidRPr="6A9A6957">
        <w:t xml:space="preserve">t occur in the future. </w:t>
      </w:r>
      <w:r w:rsidR="008A0FF0" w:rsidRPr="6A9A6957">
        <w:t>This could involve segmenting the LTRCM</w:t>
      </w:r>
      <w:r w:rsidR="00697DE6" w:rsidRPr="6A9A6957">
        <w:t>.</w:t>
      </w:r>
      <w:r w:rsidR="008A0FF0" w:rsidRPr="6A9A6957">
        <w:t xml:space="preserve"> </w:t>
      </w:r>
      <w:r w:rsidR="003773DB" w:rsidRPr="6A9A6957">
        <w:t>T</w:t>
      </w:r>
      <w:r w:rsidR="008A0FF0" w:rsidRPr="6A9A6957">
        <w:t>he extent to which this occurs would require careful consideration, however at the very least there should be oversight between residential and enterprise reporting.</w:t>
      </w:r>
    </w:p>
    <w:sectPr w:rsidR="00C7127B" w:rsidSect="00C7127B">
      <w:headerReference w:type="default"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590B5" w14:textId="77777777" w:rsidR="00F44503" w:rsidRDefault="00F44503" w:rsidP="00C7127B">
      <w:pPr>
        <w:spacing w:after="0" w:line="240" w:lineRule="auto"/>
      </w:pPr>
      <w:r>
        <w:separator/>
      </w:r>
    </w:p>
  </w:endnote>
  <w:endnote w:type="continuationSeparator" w:id="0">
    <w:p w14:paraId="76AB4314" w14:textId="77777777" w:rsidR="00F44503" w:rsidRDefault="00F44503" w:rsidP="00C7127B">
      <w:pPr>
        <w:spacing w:after="0" w:line="240" w:lineRule="auto"/>
      </w:pPr>
      <w:r>
        <w:continuationSeparator/>
      </w:r>
    </w:p>
  </w:endnote>
  <w:endnote w:type="continuationNotice" w:id="1">
    <w:p w14:paraId="669DAF08" w14:textId="77777777" w:rsidR="00F44503" w:rsidRDefault="00F445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7FCA5" w14:textId="77777777" w:rsidR="00C7127B" w:rsidRPr="00E05115" w:rsidRDefault="00C7127B" w:rsidP="00C7127B">
    <w:pPr>
      <w:spacing w:after="0"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sidR="00A265E3">
      <w:rPr>
        <w:noProof/>
      </w:rPr>
      <w:t>2</w:t>
    </w:r>
    <w:r w:rsidRPr="00C4251E">
      <w:rPr>
        <w:noProof/>
      </w:rPr>
      <w:fldChar w:fldCharType="end"/>
    </w:r>
  </w:p>
  <w:p w14:paraId="33642720" w14:textId="77777777" w:rsidR="00C7127B" w:rsidRDefault="00C712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E2B4B" w14:textId="77777777" w:rsidR="007949B6" w:rsidRPr="00E05115" w:rsidRDefault="007949B6" w:rsidP="007949B6">
    <w:pPr>
      <w:spacing w:after="0"/>
      <w:ind w:hanging="567"/>
      <w:rPr>
        <w:color w:val="23B0E6"/>
      </w:rPr>
    </w:pPr>
    <w:r w:rsidRPr="00E05115">
      <w:rPr>
        <w:color w:val="23B0E6"/>
      </w:rPr>
      <w:t>Australian Communications Consumer Action Network (ACCAN)</w:t>
    </w:r>
  </w:p>
  <w:p w14:paraId="117F9DBD" w14:textId="77777777" w:rsidR="007949B6" w:rsidRDefault="007949B6" w:rsidP="007949B6">
    <w:pPr>
      <w:spacing w:after="0"/>
      <w:ind w:hanging="567"/>
      <w:rPr>
        <w:i/>
        <w:color w:val="23B0E6"/>
      </w:rPr>
    </w:pPr>
    <w:r w:rsidRPr="00E05115">
      <w:rPr>
        <w:i/>
        <w:color w:val="23B0E6"/>
      </w:rPr>
      <w:t xml:space="preserve">Australia’s peak </w:t>
    </w:r>
    <w:r>
      <w:rPr>
        <w:i/>
        <w:color w:val="23B0E6"/>
      </w:rPr>
      <w:t>body representing communications consumers</w:t>
    </w:r>
  </w:p>
  <w:p w14:paraId="67D305B1" w14:textId="77777777" w:rsidR="007949B6" w:rsidRPr="00E05115" w:rsidRDefault="007949B6" w:rsidP="007949B6">
    <w:pPr>
      <w:spacing w:after="0"/>
      <w:ind w:left="-567" w:hanging="567"/>
      <w:rPr>
        <w:i/>
        <w:color w:val="23B0E6"/>
      </w:rPr>
    </w:pPr>
    <w:r>
      <w:rPr>
        <w:noProof/>
      </w:rPr>
      <mc:AlternateContent>
        <mc:Choice Requires="wps">
          <w:drawing>
            <wp:anchor distT="0" distB="0" distL="114300" distR="114300" simplePos="0" relativeHeight="251658242" behindDoc="0" locked="0" layoutInCell="1" allowOverlap="1" wp14:anchorId="5CA1BE33" wp14:editId="440A86D7">
              <wp:simplePos x="0" y="0"/>
              <wp:positionH relativeFrom="column">
                <wp:posOffset>-396240</wp:posOffset>
              </wp:positionH>
              <wp:positionV relativeFrom="paragraph">
                <wp:posOffset>97155</wp:posOffset>
              </wp:positionV>
              <wp:extent cx="6461760" cy="0"/>
              <wp:effectExtent l="0" t="19050" r="15240" b="19050"/>
              <wp:wrapNone/>
              <wp:docPr id="1" name="Straight Connector 1"/>
              <wp:cNvGraphicFramePr/>
              <a:graphic xmlns:a="http://schemas.openxmlformats.org/drawingml/2006/main">
                <a:graphicData uri="http://schemas.microsoft.com/office/word/2010/wordprocessingShape">
                  <wps:wsp>
                    <wps:cNvCnPr/>
                    <wps:spPr>
                      <a:xfrm>
                        <a:off x="0" y="0"/>
                        <a:ext cx="646176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B49296" id="Straight Connector 1" o:spid="_x0000_s1026"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2pt,7.65pt" to="477.6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" strokecolor="#23b0e6" strokeweight="3pt"/>
          </w:pict>
        </mc:Fallback>
      </mc:AlternateContent>
    </w:r>
  </w:p>
  <w:p w14:paraId="258E53AF" w14:textId="6EAFBF20" w:rsidR="007949B6" w:rsidRDefault="007949B6" w:rsidP="007949B6">
    <w:pPr>
      <w:spacing w:after="0"/>
      <w:ind w:hanging="567"/>
    </w:pPr>
    <w:r>
      <w:t xml:space="preserve">PO Box </w:t>
    </w:r>
    <w:r w:rsidR="00F71BBF">
      <w:t>A1158</w:t>
    </w:r>
    <w:r>
      <w:t xml:space="preserve">, </w:t>
    </w:r>
    <w:r w:rsidR="00F71BBF">
      <w:t>Sydney South</w:t>
    </w:r>
    <w:r>
      <w:t xml:space="preserve"> NSW </w:t>
    </w:r>
    <w:r w:rsidR="00F71BBF">
      <w:t>1235</w:t>
    </w:r>
  </w:p>
  <w:p w14:paraId="602D2821" w14:textId="0EF2724A" w:rsidR="007949B6" w:rsidRDefault="007949B6" w:rsidP="007949B6">
    <w:pPr>
      <w:spacing w:after="0"/>
      <w:ind w:hanging="567"/>
    </w:pPr>
    <w:r>
      <w:t xml:space="preserve">Tel: (02) 9288 4000 </w:t>
    </w:r>
  </w:p>
  <w:p w14:paraId="3F6965BC" w14:textId="77777777" w:rsidR="00C7127B" w:rsidRPr="007949B6" w:rsidRDefault="007949B6" w:rsidP="007949B6">
    <w:pPr>
      <w:spacing w:after="0"/>
      <w:ind w:hanging="567"/>
      <w:rPr>
        <w:color w:val="23B0E6"/>
      </w:rPr>
    </w:pPr>
    <w:r w:rsidRPr="00E05115">
      <w:rPr>
        <w:color w:val="23B0E6"/>
      </w:rPr>
      <w:t>www.accan.org.au | info@accan.org.au | twitter: @ACCAN_AU</w:t>
    </w:r>
    <w:r>
      <w:rPr>
        <w:color w:val="23B0E6"/>
      </w:rPr>
      <w:t xml:space="preserve"> | www.facebook.com/accanau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1021B" w14:textId="77777777" w:rsidR="00F44503" w:rsidRDefault="00F44503" w:rsidP="00C7127B">
      <w:pPr>
        <w:spacing w:after="0" w:line="240" w:lineRule="auto"/>
      </w:pPr>
      <w:r>
        <w:separator/>
      </w:r>
    </w:p>
  </w:footnote>
  <w:footnote w:type="continuationSeparator" w:id="0">
    <w:p w14:paraId="6D311E03" w14:textId="77777777" w:rsidR="00F44503" w:rsidRDefault="00F44503" w:rsidP="00C7127B">
      <w:pPr>
        <w:spacing w:after="0" w:line="240" w:lineRule="auto"/>
      </w:pPr>
      <w:r>
        <w:continuationSeparator/>
      </w:r>
    </w:p>
  </w:footnote>
  <w:footnote w:type="continuationNotice" w:id="1">
    <w:p w14:paraId="4AEF302B" w14:textId="77777777" w:rsidR="00F44503" w:rsidRDefault="00F44503">
      <w:pPr>
        <w:spacing w:after="0" w:line="240" w:lineRule="auto"/>
      </w:pPr>
    </w:p>
  </w:footnote>
  <w:footnote w:id="2">
    <w:p w14:paraId="02FD3C80" w14:textId="35A383E3" w:rsidR="00AB7FAF" w:rsidRPr="00AB7FAF" w:rsidRDefault="00AB7FAF">
      <w:pPr>
        <w:pStyle w:val="FootnoteText"/>
        <w:rPr>
          <w:lang w:val="en-US"/>
        </w:rPr>
      </w:pPr>
      <w:r w:rsidRPr="00120D5C">
        <w:rPr>
          <w:rStyle w:val="FootnoteReference"/>
        </w:rPr>
        <w:footnoteRef/>
      </w:r>
      <w:r w:rsidRPr="00120D5C">
        <w:t xml:space="preserve"> </w:t>
      </w:r>
      <w:r w:rsidR="00120D5C" w:rsidRPr="00120D5C">
        <w:rPr>
          <w:lang w:val="en-US"/>
        </w:rPr>
        <w:t xml:space="preserve">ACCC, </w:t>
      </w:r>
      <w:r w:rsidR="00120D5C" w:rsidRPr="002E6568">
        <w:rPr>
          <w:i/>
          <w:iCs/>
          <w:lang w:val="en-US"/>
        </w:rPr>
        <w:t>NBN Wholesale Market Indicators Report</w:t>
      </w:r>
      <w:r w:rsidR="00120D5C">
        <w:rPr>
          <w:lang w:val="en-US"/>
        </w:rPr>
        <w:t xml:space="preserve">, 2021. </w:t>
      </w:r>
      <w:hyperlink r:id="rId1" w:history="1">
        <w:r w:rsidR="002E6568" w:rsidRPr="00212164">
          <w:rPr>
            <w:rStyle w:val="Hyperlink"/>
            <w:lang w:val="en-US"/>
          </w:rPr>
          <w:t>https://www.accc.gov.au/regulated-infrastructure/communications/national-broadband-network-nbn/nbn-wholesale-market-indicators-report</w:t>
        </w:r>
      </w:hyperlink>
      <w:r w:rsidR="002E6568">
        <w:rPr>
          <w:lang w:val="en-US"/>
        </w:rPr>
        <w:t xml:space="preserve"> </w:t>
      </w:r>
    </w:p>
  </w:footnote>
  <w:footnote w:id="3">
    <w:p w14:paraId="204C7C5C" w14:textId="43281565" w:rsidR="00F634E5" w:rsidRPr="00F634E5" w:rsidRDefault="00F634E5">
      <w:pPr>
        <w:pStyle w:val="FootnoteText"/>
        <w:rPr>
          <w:lang w:val="en-US"/>
        </w:rPr>
      </w:pPr>
      <w:r w:rsidRPr="00513118">
        <w:rPr>
          <w:rStyle w:val="FootnoteReference"/>
        </w:rPr>
        <w:footnoteRef/>
      </w:r>
      <w:r w:rsidRPr="00513118">
        <w:t xml:space="preserve"> </w:t>
      </w:r>
      <w:r w:rsidRPr="007A6A29">
        <w:t>ACCC,</w:t>
      </w:r>
      <w:r>
        <w:t xml:space="preserve"> </w:t>
      </w:r>
      <w:r w:rsidR="00B612DC">
        <w:t xml:space="preserve">2020, </w:t>
      </w:r>
      <w:r w:rsidR="00B612DC" w:rsidRPr="00674B09">
        <w:rPr>
          <w:i/>
          <w:iCs/>
        </w:rPr>
        <w:t>Communications Market Report.</w:t>
      </w:r>
      <w:r w:rsidR="00B612DC">
        <w:t xml:space="preserve"> </w:t>
      </w:r>
      <w:hyperlink r:id="rId2" w:history="1">
        <w:r w:rsidR="00B612DC" w:rsidRPr="008045E4">
          <w:rPr>
            <w:rStyle w:val="Hyperlink"/>
          </w:rPr>
          <w:t>https://www.accc.gov.au/system/files/20-47RPT_Communications_Market_Report_FA.pdf</w:t>
        </w:r>
      </w:hyperlink>
    </w:p>
  </w:footnote>
  <w:footnote w:id="4">
    <w:p w14:paraId="77F19A2C" w14:textId="1E5BEEB7" w:rsidR="00674EA2" w:rsidRPr="00674EA2" w:rsidRDefault="00674EA2">
      <w:pPr>
        <w:pStyle w:val="FootnoteText"/>
      </w:pPr>
      <w:r>
        <w:rPr>
          <w:rStyle w:val="FootnoteReference"/>
        </w:rPr>
        <w:footnoteRef/>
      </w:r>
      <w:r w:rsidR="6A9A6957">
        <w:t xml:space="preserve"> ACCAN, </w:t>
      </w:r>
      <w:r w:rsidR="6A9A6957" w:rsidRPr="002E6568">
        <w:rPr>
          <w:rStyle w:val="Hyperlink"/>
          <w:color w:val="auto"/>
          <w:u w:val="none"/>
        </w:rPr>
        <w:t xml:space="preserve">2019, </w:t>
      </w:r>
      <w:r w:rsidR="6A9A6957" w:rsidRPr="6A9A6957">
        <w:rPr>
          <w:rStyle w:val="Hyperlink"/>
          <w:i/>
          <w:iCs/>
          <w:color w:val="auto"/>
          <w:u w:val="none"/>
        </w:rPr>
        <w:t>No Australian Left Offline:</w:t>
      </w:r>
      <w:r w:rsidR="6A9A6957" w:rsidRPr="002E6568">
        <w:t xml:space="preserve"> </w:t>
      </w:r>
      <w:r w:rsidR="6A9A6957" w:rsidRPr="6A9A6957">
        <w:rPr>
          <w:rStyle w:val="Hyperlink"/>
          <w:i/>
          <w:iCs/>
          <w:color w:val="auto"/>
          <w:u w:val="none"/>
        </w:rPr>
        <w:t>ACCAN pushes for affordable broadband</w:t>
      </w:r>
      <w:r w:rsidR="6A9A6957" w:rsidRPr="6A9A6957">
        <w:rPr>
          <w:rStyle w:val="Hyperlink"/>
          <w:i/>
          <w:iCs/>
          <w:u w:val="none"/>
        </w:rPr>
        <w:t>.</w:t>
      </w:r>
      <w:r w:rsidR="6A9A6957">
        <w:rPr>
          <w:rStyle w:val="Hyperlink"/>
        </w:rPr>
        <w:t xml:space="preserve"> </w:t>
      </w:r>
      <w:hyperlink r:id="rId3" w:history="1">
        <w:r w:rsidR="6A9A6957" w:rsidRPr="00212164">
          <w:rPr>
            <w:rStyle w:val="Hyperlink"/>
          </w:rPr>
          <w:t>https://accan.org.au/media-centre/media-releases/1572-nalo-media-release</w:t>
        </w:r>
      </w:hyperlink>
      <w:r w:rsidR="6A9A6957">
        <w:t xml:space="preserve"> </w:t>
      </w:r>
    </w:p>
  </w:footnote>
  <w:footnote w:id="5">
    <w:p w14:paraId="35A95595" w14:textId="72BCFE90" w:rsidR="00CB71F5" w:rsidRPr="004956A5" w:rsidRDefault="00CB71F5">
      <w:pPr>
        <w:pStyle w:val="FootnoteText"/>
        <w:rPr>
          <w:lang w:val="en-US"/>
        </w:rPr>
      </w:pPr>
      <w:r>
        <w:rPr>
          <w:rStyle w:val="FootnoteReference"/>
        </w:rPr>
        <w:footnoteRef/>
      </w:r>
      <w:r>
        <w:t xml:space="preserve"> Greenstein, S. &amp; McDevitt, R. 2012, </w:t>
      </w:r>
      <w:r w:rsidRPr="004956A5">
        <w:rPr>
          <w:i/>
          <w:iCs/>
        </w:rPr>
        <w:t>Measuring the Broadband Bonus in Thirty OECD Countries</w:t>
      </w:r>
      <w:r>
        <w:t>, OECD Digital Economy Papers.</w:t>
      </w:r>
    </w:p>
  </w:footnote>
  <w:footnote w:id="6">
    <w:p w14:paraId="27FFEE88" w14:textId="6FB9878B" w:rsidR="00CB71F5" w:rsidRPr="004956A5" w:rsidRDefault="00CB71F5">
      <w:pPr>
        <w:pStyle w:val="FootnoteText"/>
        <w:rPr>
          <w:lang w:val="en-US"/>
        </w:rPr>
      </w:pPr>
      <w:r>
        <w:rPr>
          <w:rStyle w:val="FootnoteReference"/>
        </w:rPr>
        <w:footnoteRef/>
      </w:r>
      <w:r>
        <w:t xml:space="preserve"> </w:t>
      </w:r>
      <w:r>
        <w:rPr>
          <w:lang w:val="en-US"/>
        </w:rPr>
        <w:t xml:space="preserve">Nbn Co, 2018, </w:t>
      </w:r>
      <w:r w:rsidRPr="004956A5">
        <w:rPr>
          <w:i/>
          <w:iCs/>
          <w:lang w:val="en-US"/>
        </w:rPr>
        <w:t xml:space="preserve">Connecting Australia: A report by </w:t>
      </w:r>
      <w:proofErr w:type="spellStart"/>
      <w:r w:rsidRPr="004956A5">
        <w:rPr>
          <w:i/>
          <w:iCs/>
          <w:lang w:val="en-US"/>
        </w:rPr>
        <w:t>AlphaBeta</w:t>
      </w:r>
      <w:proofErr w:type="spellEnd"/>
      <w:r w:rsidRPr="004956A5">
        <w:rPr>
          <w:i/>
          <w:iCs/>
          <w:lang w:val="en-US"/>
        </w:rPr>
        <w:t xml:space="preserve"> Consulting.</w:t>
      </w:r>
    </w:p>
  </w:footnote>
  <w:footnote w:id="7">
    <w:p w14:paraId="08C9F2A0" w14:textId="7EC0D47F" w:rsidR="00CB71F5" w:rsidRPr="004956A5" w:rsidRDefault="00CB71F5">
      <w:pPr>
        <w:pStyle w:val="FootnoteText"/>
        <w:rPr>
          <w:lang w:val="en-US"/>
        </w:rPr>
      </w:pPr>
      <w:r>
        <w:rPr>
          <w:rStyle w:val="FootnoteReference"/>
        </w:rPr>
        <w:footnoteRef/>
      </w:r>
      <w:r>
        <w:t xml:space="preserve"> </w:t>
      </w:r>
      <w:r>
        <w:rPr>
          <w:lang w:val="en-US"/>
        </w:rPr>
        <w:t xml:space="preserve">Deloitte Access Economics, 2015, </w:t>
      </w:r>
      <w:r w:rsidRPr="004956A5">
        <w:rPr>
          <w:i/>
          <w:iCs/>
          <w:lang w:val="en-US"/>
        </w:rPr>
        <w:t>Digital government transformation.</w:t>
      </w:r>
    </w:p>
  </w:footnote>
  <w:footnote w:id="8">
    <w:p w14:paraId="676BFAC0" w14:textId="77777777" w:rsidR="00BF3B91" w:rsidRPr="005479E5" w:rsidRDefault="00BF3B91" w:rsidP="00BF3B91">
      <w:pPr>
        <w:pStyle w:val="FootnoteText"/>
        <w:rPr>
          <w:lang w:val="en-US"/>
        </w:rPr>
      </w:pPr>
      <w:r>
        <w:rPr>
          <w:rStyle w:val="FootnoteReference"/>
        </w:rPr>
        <w:footnoteRef/>
      </w:r>
      <w:r>
        <w:t xml:space="preserve"> Thomas et al. 2020</w:t>
      </w:r>
      <w:r w:rsidRPr="005479E5">
        <w:rPr>
          <w:i/>
          <w:iCs/>
        </w:rPr>
        <w:t>, Measuring Australia’s Digital Divide: The Australian Digital Inclusion Index 2020</w:t>
      </w:r>
      <w:r>
        <w:t>, RMIT and Swinburne University of Technology, Melbourne, for Telstra.</w:t>
      </w:r>
    </w:p>
  </w:footnote>
  <w:footnote w:id="9">
    <w:p w14:paraId="3700D3F6" w14:textId="77777777" w:rsidR="001F4DAE" w:rsidRDefault="001F4DAE" w:rsidP="001F4DAE">
      <w:pPr>
        <w:pStyle w:val="FootnoteText"/>
        <w:rPr>
          <w:lang w:val="en-US"/>
        </w:rPr>
      </w:pPr>
      <w:r>
        <w:rPr>
          <w:rStyle w:val="FootnoteReference"/>
        </w:rPr>
        <w:footnoteRef/>
      </w:r>
      <w:r>
        <w:t xml:space="preserve"> </w:t>
      </w:r>
      <w:r>
        <w:rPr>
          <w:lang w:val="en-US"/>
        </w:rPr>
        <w:t>Ibid.</w:t>
      </w:r>
    </w:p>
  </w:footnote>
  <w:footnote w:id="10">
    <w:p w14:paraId="46324132" w14:textId="0123D27B" w:rsidR="002A42D5" w:rsidRPr="00271F6E" w:rsidRDefault="002A42D5" w:rsidP="002A42D5">
      <w:pPr>
        <w:pStyle w:val="FootnoteText"/>
        <w:rPr>
          <w:lang w:val="en-US"/>
        </w:rPr>
      </w:pPr>
      <w:r>
        <w:rPr>
          <w:rStyle w:val="FootnoteReference"/>
        </w:rPr>
        <w:footnoteRef/>
      </w:r>
      <w:r>
        <w:t xml:space="preserve"> Preston, 2020, </w:t>
      </w:r>
      <w:r>
        <w:rPr>
          <w:i/>
          <w:iCs/>
        </w:rPr>
        <w:t xml:space="preserve">Digital inclusion for all public school students. A report prepared for the Australian Education </w:t>
      </w:r>
      <w:r w:rsidR="00CE6331">
        <w:rPr>
          <w:i/>
          <w:iCs/>
        </w:rPr>
        <w:t>U</w:t>
      </w:r>
      <w:r>
        <w:rPr>
          <w:i/>
          <w:iCs/>
        </w:rPr>
        <w:t>nion.</w:t>
      </w:r>
    </w:p>
  </w:footnote>
  <w:footnote w:id="11">
    <w:p w14:paraId="5992D172" w14:textId="0A25B278" w:rsidR="002A42D5" w:rsidRPr="00DD5DA9" w:rsidRDefault="002A42D5" w:rsidP="002A42D5">
      <w:pPr>
        <w:pStyle w:val="FootnoteText"/>
        <w:rPr>
          <w:lang w:val="en-US"/>
        </w:rPr>
      </w:pPr>
      <w:r>
        <w:rPr>
          <w:rStyle w:val="FootnoteReference"/>
        </w:rPr>
        <w:footnoteRef/>
      </w:r>
      <w:r>
        <w:t xml:space="preserve"> </w:t>
      </w:r>
      <w:r>
        <w:rPr>
          <w:lang w:val="en-US"/>
        </w:rPr>
        <w:t>Preston, 2020.</w:t>
      </w:r>
    </w:p>
  </w:footnote>
  <w:footnote w:id="12">
    <w:p w14:paraId="1F810F9C" w14:textId="1AF7C83D" w:rsidR="000B5E6C" w:rsidRPr="004956A5" w:rsidRDefault="000B5E6C">
      <w:pPr>
        <w:pStyle w:val="FootnoteText"/>
        <w:rPr>
          <w:i/>
          <w:iCs/>
          <w:lang w:val="en-US"/>
        </w:rPr>
      </w:pPr>
      <w:r>
        <w:rPr>
          <w:rStyle w:val="FootnoteReference"/>
        </w:rPr>
        <w:footnoteRef/>
      </w:r>
      <w:r>
        <w:t xml:space="preserve"> </w:t>
      </w:r>
      <w:r>
        <w:rPr>
          <w:lang w:val="en-US"/>
        </w:rPr>
        <w:t xml:space="preserve">World Vision &amp; The Australian Literacy &amp; Numeracy Foundation, 2021, </w:t>
      </w:r>
      <w:r>
        <w:rPr>
          <w:i/>
          <w:iCs/>
          <w:lang w:val="en-US"/>
        </w:rPr>
        <w:t>Connecting on Country.</w:t>
      </w:r>
    </w:p>
  </w:footnote>
  <w:footnote w:id="13">
    <w:p w14:paraId="0D1775DB" w14:textId="59FD5AD3" w:rsidR="000B5E6C" w:rsidRPr="004956A5" w:rsidRDefault="000B5E6C">
      <w:pPr>
        <w:pStyle w:val="FootnoteText"/>
        <w:rPr>
          <w:lang w:val="en-US"/>
        </w:rPr>
      </w:pPr>
      <w:r>
        <w:rPr>
          <w:rStyle w:val="FootnoteReference"/>
        </w:rPr>
        <w:footnoteRef/>
      </w:r>
      <w:r>
        <w:t xml:space="preserve"> </w:t>
      </w:r>
      <w:r>
        <w:rPr>
          <w:lang w:val="en-US"/>
        </w:rPr>
        <w:t>Preston, 2020.</w:t>
      </w:r>
    </w:p>
  </w:footnote>
  <w:footnote w:id="14">
    <w:p w14:paraId="35D055AA" w14:textId="77777777" w:rsidR="001F4DAE" w:rsidRPr="00386AC1" w:rsidRDefault="001F4DAE" w:rsidP="001F4DAE">
      <w:pPr>
        <w:pStyle w:val="FootnoteText"/>
        <w:rPr>
          <w:lang w:val="en-US"/>
        </w:rPr>
      </w:pPr>
      <w:r>
        <w:rPr>
          <w:rStyle w:val="FootnoteReference"/>
        </w:rPr>
        <w:footnoteRef/>
      </w:r>
      <w:r>
        <w:t xml:space="preserve"> </w:t>
      </w:r>
      <w:r>
        <w:rPr>
          <w:lang w:val="en-US"/>
        </w:rPr>
        <w:t xml:space="preserve">Accenture, 2021, </w:t>
      </w:r>
      <w:r w:rsidRPr="00386AC1">
        <w:rPr>
          <w:i/>
          <w:iCs/>
          <w:lang w:val="en-US"/>
        </w:rPr>
        <w:t>Moving to a fixed price wholesale pricing model: Risks for low data users</w:t>
      </w:r>
      <w:r>
        <w:rPr>
          <w:lang w:val="en-US"/>
        </w:rPr>
        <w:t xml:space="preserve">. Commissioned by Nbn Co. </w:t>
      </w:r>
    </w:p>
  </w:footnote>
  <w:footnote w:id="15">
    <w:p w14:paraId="147337AC" w14:textId="77777777" w:rsidR="001F4DAE" w:rsidRPr="00386AC1" w:rsidRDefault="001F4DAE" w:rsidP="001F4DAE">
      <w:pPr>
        <w:pStyle w:val="FootnoteText"/>
        <w:rPr>
          <w:lang w:val="en-US"/>
        </w:rPr>
      </w:pPr>
      <w:r>
        <w:rPr>
          <w:rStyle w:val="FootnoteReference"/>
        </w:rPr>
        <w:footnoteRef/>
      </w:r>
      <w:r>
        <w:t xml:space="preserve"> </w:t>
      </w:r>
      <w:r>
        <w:rPr>
          <w:lang w:val="en-US"/>
        </w:rPr>
        <w:t>ibid</w:t>
      </w:r>
    </w:p>
  </w:footnote>
  <w:footnote w:id="16">
    <w:p w14:paraId="08588DE8" w14:textId="77777777" w:rsidR="004C7D7A" w:rsidRPr="00386AC1" w:rsidRDefault="004C7D7A" w:rsidP="004C7D7A">
      <w:pPr>
        <w:pStyle w:val="FootnoteText"/>
        <w:rPr>
          <w:lang w:val="en-US"/>
        </w:rPr>
      </w:pPr>
      <w:r>
        <w:rPr>
          <w:rStyle w:val="FootnoteReference"/>
        </w:rPr>
        <w:footnoteRef/>
      </w:r>
      <w:r>
        <w:t xml:space="preserve"> </w:t>
      </w:r>
      <w:r>
        <w:rPr>
          <w:lang w:val="en-US"/>
        </w:rPr>
        <w:t xml:space="preserve">Waged poor households are defined as those living below the poverty line (50% of median </w:t>
      </w:r>
      <w:proofErr w:type="spellStart"/>
      <w:r>
        <w:rPr>
          <w:lang w:val="en-US"/>
        </w:rPr>
        <w:t>equivalised</w:t>
      </w:r>
      <w:proofErr w:type="spellEnd"/>
      <w:r>
        <w:rPr>
          <w:lang w:val="en-US"/>
        </w:rPr>
        <w:t xml:space="preserve"> household disposable income) whose main source of household income is wages and salaries.</w:t>
      </w:r>
    </w:p>
  </w:footnote>
  <w:footnote w:id="17">
    <w:p w14:paraId="10019582" w14:textId="77777777" w:rsidR="00BF3B91" w:rsidRPr="00386AC1" w:rsidRDefault="00BF3B91" w:rsidP="00BF3B91">
      <w:pPr>
        <w:pStyle w:val="FootnoteText"/>
        <w:rPr>
          <w:lang w:val="en-US"/>
        </w:rPr>
      </w:pPr>
      <w:r>
        <w:rPr>
          <w:rStyle w:val="FootnoteReference"/>
        </w:rPr>
        <w:footnoteRef/>
      </w:r>
      <w:r>
        <w:t xml:space="preserve"> </w:t>
      </w:r>
      <w:r>
        <w:rPr>
          <w:lang w:val="en-US"/>
        </w:rPr>
        <w:t xml:space="preserve">SACOSS, 2020, </w:t>
      </w:r>
      <w:r w:rsidRPr="00386AC1">
        <w:rPr>
          <w:i/>
          <w:iCs/>
          <w:lang w:val="en-US"/>
        </w:rPr>
        <w:t>Connectivity Costs II: Telecommunications affordability and waged poor households.</w:t>
      </w:r>
      <w:r>
        <w:rPr>
          <w:lang w:val="en-US"/>
        </w:rPr>
        <w:t xml:space="preserve"> </w:t>
      </w:r>
      <w:hyperlink r:id="rId4" w:history="1">
        <w:r w:rsidRPr="0077729C">
          <w:rPr>
            <w:rStyle w:val="Hyperlink"/>
            <w:lang w:val="en-US"/>
          </w:rPr>
          <w:t>https://www.sacoss.org.au/sites/default/files/public/Affordability%20and%20Waged%20Poor%20Report%20final%20Web.pdf</w:t>
        </w:r>
      </w:hyperlink>
      <w:r>
        <w:rPr>
          <w:lang w:val="en-US"/>
        </w:rPr>
        <w:t xml:space="preserve"> </w:t>
      </w:r>
    </w:p>
  </w:footnote>
  <w:footnote w:id="18">
    <w:p w14:paraId="203CEA70" w14:textId="49CE4D77" w:rsidR="00BF3B91" w:rsidRPr="00623224" w:rsidRDefault="00BF3B91">
      <w:pPr>
        <w:pStyle w:val="FootnoteText"/>
        <w:rPr>
          <w:lang w:val="en-US"/>
        </w:rPr>
      </w:pPr>
      <w:r>
        <w:rPr>
          <w:rStyle w:val="FootnoteReference"/>
        </w:rPr>
        <w:footnoteRef/>
      </w:r>
      <w:r w:rsidR="003F3D72">
        <w:rPr>
          <w:lang w:val="en-US"/>
        </w:rPr>
        <w:t xml:space="preserve"> </w:t>
      </w:r>
      <w:r>
        <w:rPr>
          <w:lang w:val="en-US"/>
        </w:rPr>
        <w:t>Ibid.</w:t>
      </w:r>
    </w:p>
  </w:footnote>
  <w:footnote w:id="19">
    <w:p w14:paraId="29CB5BF7" w14:textId="77777777" w:rsidR="004C7D7A" w:rsidRPr="00386AC1" w:rsidRDefault="004C7D7A" w:rsidP="004C7D7A">
      <w:pPr>
        <w:pStyle w:val="FootnoteText"/>
        <w:rPr>
          <w:lang w:val="en-US"/>
        </w:rPr>
      </w:pPr>
      <w:r>
        <w:rPr>
          <w:rStyle w:val="FootnoteReference"/>
        </w:rPr>
        <w:footnoteRef/>
      </w:r>
      <w:r>
        <w:t xml:space="preserve"> </w:t>
      </w:r>
      <w:r>
        <w:rPr>
          <w:lang w:val="en-US"/>
        </w:rPr>
        <w:t>Ibid.</w:t>
      </w:r>
    </w:p>
  </w:footnote>
  <w:footnote w:id="20">
    <w:p w14:paraId="7993E8BF" w14:textId="77777777" w:rsidR="004C7D7A" w:rsidRPr="00386AC1" w:rsidRDefault="004C7D7A" w:rsidP="004C7D7A">
      <w:pPr>
        <w:pStyle w:val="FootnoteText"/>
        <w:rPr>
          <w:lang w:val="en-US"/>
        </w:rPr>
      </w:pPr>
      <w:r>
        <w:rPr>
          <w:rStyle w:val="FootnoteReference"/>
        </w:rPr>
        <w:footnoteRef/>
      </w:r>
      <w:r>
        <w:t xml:space="preserve"> </w:t>
      </w:r>
      <w:r>
        <w:rPr>
          <w:lang w:val="en-US"/>
        </w:rPr>
        <w:t>Consumer Policy Research Center, 2020,</w:t>
      </w:r>
      <w:r w:rsidRPr="00386AC1">
        <w:rPr>
          <w:i/>
          <w:iCs/>
          <w:lang w:val="en-US"/>
        </w:rPr>
        <w:t xml:space="preserve"> COVID-19 and Consumers: From </w:t>
      </w:r>
      <w:r>
        <w:rPr>
          <w:i/>
          <w:iCs/>
          <w:lang w:val="en-US"/>
        </w:rPr>
        <w:t>C</w:t>
      </w:r>
      <w:r w:rsidRPr="00386AC1">
        <w:rPr>
          <w:i/>
          <w:iCs/>
          <w:lang w:val="en-US"/>
        </w:rPr>
        <w:t xml:space="preserve">risis to </w:t>
      </w:r>
      <w:r>
        <w:rPr>
          <w:i/>
          <w:iCs/>
          <w:lang w:val="en-US"/>
        </w:rPr>
        <w:t>R</w:t>
      </w:r>
      <w:r w:rsidRPr="00386AC1">
        <w:rPr>
          <w:i/>
          <w:iCs/>
          <w:lang w:val="en-US"/>
        </w:rPr>
        <w:t xml:space="preserve">ecovery </w:t>
      </w:r>
      <w:r>
        <w:rPr>
          <w:i/>
          <w:iCs/>
          <w:lang w:val="en-US"/>
        </w:rPr>
        <w:t>R</w:t>
      </w:r>
      <w:r w:rsidRPr="00386AC1">
        <w:rPr>
          <w:i/>
          <w:iCs/>
          <w:lang w:val="en-US"/>
        </w:rPr>
        <w:t xml:space="preserve">eport </w:t>
      </w:r>
      <w:r>
        <w:rPr>
          <w:i/>
          <w:iCs/>
          <w:lang w:val="en-US"/>
        </w:rPr>
        <w:t>S</w:t>
      </w:r>
      <w:r w:rsidRPr="00386AC1">
        <w:rPr>
          <w:i/>
          <w:iCs/>
          <w:lang w:val="en-US"/>
        </w:rPr>
        <w:t xml:space="preserve">ummary. </w:t>
      </w:r>
      <w:hyperlink r:id="rId5" w:history="1">
        <w:r w:rsidRPr="0077729C">
          <w:rPr>
            <w:rStyle w:val="Hyperlink"/>
            <w:lang w:val="en-US"/>
          </w:rPr>
          <w:t>https://cprc.org.au/app/uploads/2020/09/Consumers-and-COVID-19_summary_25June2020_compressed.pdf</w:t>
        </w:r>
      </w:hyperlink>
      <w:r>
        <w:rPr>
          <w:lang w:val="en-US"/>
        </w:rPr>
        <w:t xml:space="preserve"> </w:t>
      </w:r>
    </w:p>
  </w:footnote>
  <w:footnote w:id="21">
    <w:p w14:paraId="6BB57D42" w14:textId="77777777" w:rsidR="00E76C10" w:rsidRPr="00386AC1" w:rsidRDefault="00E76C10" w:rsidP="00E76C10">
      <w:pPr>
        <w:pStyle w:val="FootnoteText"/>
        <w:rPr>
          <w:lang w:val="en-US"/>
        </w:rPr>
      </w:pPr>
      <w:r>
        <w:rPr>
          <w:rStyle w:val="FootnoteReference"/>
        </w:rPr>
        <w:footnoteRef/>
      </w:r>
      <w:r>
        <w:t xml:space="preserve"> </w:t>
      </w:r>
      <w:r>
        <w:rPr>
          <w:lang w:val="en-US"/>
        </w:rPr>
        <w:t>Thomas et al, 2020.</w:t>
      </w:r>
    </w:p>
  </w:footnote>
  <w:footnote w:id="22">
    <w:p w14:paraId="58657DEB" w14:textId="77777777" w:rsidR="00A129F3" w:rsidRPr="00386AC1" w:rsidRDefault="00A129F3" w:rsidP="00A129F3">
      <w:pPr>
        <w:pStyle w:val="FootnoteText"/>
        <w:rPr>
          <w:lang w:val="en-US"/>
        </w:rPr>
      </w:pPr>
      <w:r>
        <w:rPr>
          <w:rStyle w:val="FootnoteReference"/>
        </w:rPr>
        <w:footnoteRef/>
      </w:r>
      <w:r>
        <w:t xml:space="preserve"> ACCC, 2020, </w:t>
      </w:r>
      <w:r w:rsidRPr="00386AC1">
        <w:rPr>
          <w:i/>
          <w:iCs/>
        </w:rPr>
        <w:t>Communications Market Report.</w:t>
      </w:r>
      <w:r>
        <w:t xml:space="preserve"> </w:t>
      </w:r>
      <w:hyperlink r:id="rId6" w:history="1">
        <w:r w:rsidRPr="008045E4">
          <w:rPr>
            <w:rStyle w:val="Hyperlink"/>
          </w:rPr>
          <w:t>https://www.accc.gov.au/system/files/20-47RPT_Communications_Market_Report_FA.pdf</w:t>
        </w:r>
      </w:hyperlink>
      <w:r>
        <w:t xml:space="preserve"> </w:t>
      </w:r>
    </w:p>
  </w:footnote>
  <w:footnote w:id="23">
    <w:p w14:paraId="4DB50B0E" w14:textId="37B65FB8" w:rsidR="008A0FF0" w:rsidRPr="00513118" w:rsidRDefault="008A0FF0">
      <w:pPr>
        <w:pStyle w:val="FootnoteText"/>
        <w:rPr>
          <w:lang w:val="en-US"/>
        </w:rPr>
      </w:pPr>
      <w:r>
        <w:rPr>
          <w:rStyle w:val="FootnoteReference"/>
        </w:rPr>
        <w:footnoteRef/>
      </w:r>
      <w:r>
        <w:t xml:space="preserve"> </w:t>
      </w:r>
      <w:r>
        <w:rPr>
          <w:lang w:val="en-US"/>
        </w:rPr>
        <w:t xml:space="preserve">ACCAN, 2020, </w:t>
      </w:r>
      <w:r w:rsidRPr="00DC2A5E">
        <w:rPr>
          <w:i/>
          <w:iCs/>
          <w:lang w:val="en-US"/>
        </w:rPr>
        <w:t>Submission to ACCC Long-term Revenue Constraint Methodology 2018-19 Draft Determination.</w:t>
      </w:r>
      <w:r w:rsidR="00A137A3" w:rsidRPr="00A137A3">
        <w:t xml:space="preserve"> </w:t>
      </w:r>
      <w:hyperlink r:id="rId7" w:history="1">
        <w:r w:rsidR="00A137A3" w:rsidRPr="00212164">
          <w:rPr>
            <w:rStyle w:val="Hyperlink"/>
            <w:lang w:val="en-US"/>
          </w:rPr>
          <w:t>https://www.accc.gov.au/system/files/ACCAN%20submission%20-%2029%20May%202020.pdf</w:t>
        </w:r>
      </w:hyperlink>
      <w:r w:rsidR="00A137A3">
        <w:rPr>
          <w:lang w:val="en-US"/>
        </w:rPr>
        <w:t xml:space="preserve"> </w:t>
      </w:r>
    </w:p>
  </w:footnote>
  <w:footnote w:id="24">
    <w:p w14:paraId="3BC3390B" w14:textId="1D4FC864" w:rsidR="00994FAB" w:rsidRPr="00513118" w:rsidRDefault="00994FAB">
      <w:pPr>
        <w:pStyle w:val="FootnoteText"/>
        <w:rPr>
          <w:lang w:val="en-US"/>
        </w:rPr>
      </w:pPr>
      <w:r>
        <w:rPr>
          <w:rStyle w:val="FootnoteReference"/>
        </w:rPr>
        <w:footnoteRef/>
      </w:r>
      <w:r>
        <w:t xml:space="preserve"> Department of Infrastructure, Transport, Regional Development and Communications</w:t>
      </w:r>
      <w:r w:rsidR="00A137A3">
        <w:t>, 2021</w:t>
      </w:r>
      <w:r>
        <w:t xml:space="preserve">, </w:t>
      </w:r>
      <w:r>
        <w:rPr>
          <w:i/>
          <w:iCs/>
        </w:rPr>
        <w:t>Public consultation on draft standards, rules and benchmarks for statutory infrastructure providers (SIPs</w:t>
      </w:r>
      <w:r>
        <w:t xml:space="preserve">) </w:t>
      </w:r>
      <w:hyperlink r:id="rId8" w:history="1">
        <w:r w:rsidR="006701C8" w:rsidRPr="004C7462">
          <w:rPr>
            <w:rStyle w:val="Hyperlink"/>
          </w:rPr>
          <w:t>https://www.communications.gov.au/have-your-say/public-consultation-draft-standards-rules-and-benchmarks-statutory-infrastructure-providers-sips</w:t>
        </w:r>
      </w:hyperlink>
      <w:r w:rsidR="006701C8">
        <w:t xml:space="preserve"> </w:t>
      </w:r>
    </w:p>
  </w:footnote>
  <w:footnote w:id="25">
    <w:p w14:paraId="03ED4E07" w14:textId="2E3E4CFE" w:rsidR="006701C8" w:rsidRPr="00513118" w:rsidRDefault="006701C8">
      <w:pPr>
        <w:pStyle w:val="FootnoteText"/>
        <w:rPr>
          <w:lang w:val="en-US"/>
        </w:rPr>
      </w:pPr>
      <w:r>
        <w:rPr>
          <w:rStyle w:val="FootnoteReference"/>
        </w:rPr>
        <w:footnoteRef/>
      </w:r>
      <w:r>
        <w:t xml:space="preserve"> </w:t>
      </w:r>
      <w:r>
        <w:rPr>
          <w:lang w:val="en-US"/>
        </w:rPr>
        <w:t xml:space="preserve">ACCAN, 2021, </w:t>
      </w:r>
      <w:r>
        <w:rPr>
          <w:i/>
          <w:iCs/>
          <w:lang w:val="en-US"/>
        </w:rPr>
        <w:t xml:space="preserve">Telecommunications (Statutory Infrastructure Providers – Standards, Rules and Benchmarks) Determination 2021 Consultation. </w:t>
      </w:r>
      <w:hyperlink r:id="rId9" w:history="1">
        <w:r w:rsidRPr="007A6A29">
          <w:rPr>
            <w:rStyle w:val="Hyperlink"/>
            <w:lang w:val="en-US"/>
          </w:rPr>
          <w:t>https://accan.org.au/files/Submissions/2021/ACCAN%20submission%20to%20DITRDC%20SIP%20Standards%20rules%20and%20benchmarks.pdf</w:t>
        </w:r>
      </w:hyperlink>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E3DF6" w14:textId="77777777" w:rsidR="00C7127B" w:rsidRDefault="00C7127B" w:rsidP="00983739">
    <w:pPr>
      <w:pStyle w:val="Header"/>
    </w:pPr>
    <w:r>
      <w:rPr>
        <w:noProof/>
      </w:rPr>
      <w:drawing>
        <wp:anchor distT="0" distB="0" distL="114300" distR="114300" simplePos="0" relativeHeight="251658240" behindDoc="1" locked="0" layoutInCell="1" allowOverlap="1" wp14:anchorId="78B45F33" wp14:editId="3AB51BF7">
          <wp:simplePos x="0" y="0"/>
          <wp:positionH relativeFrom="column">
            <wp:posOffset>5029200</wp:posOffset>
          </wp:positionH>
          <wp:positionV relativeFrom="paragraph">
            <wp:posOffset>175260</wp:posOffset>
          </wp:positionV>
          <wp:extent cx="664682" cy="308131"/>
          <wp:effectExtent l="0" t="0" r="254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669899" cy="31054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4B230" w14:textId="77777777" w:rsidR="00C7127B" w:rsidRDefault="00C7127B" w:rsidP="007949B6">
    <w:pPr>
      <w:pStyle w:val="Header"/>
      <w:jc w:val="right"/>
    </w:pPr>
    <w:r>
      <w:rPr>
        <w:noProof/>
      </w:rPr>
      <w:drawing>
        <wp:anchor distT="0" distB="0" distL="114300" distR="114300" simplePos="0" relativeHeight="251658241" behindDoc="1" locked="0" layoutInCell="1" allowOverlap="1" wp14:anchorId="50FEB70F" wp14:editId="56C19C9B">
          <wp:simplePos x="0" y="0"/>
          <wp:positionH relativeFrom="column">
            <wp:posOffset>4072890</wp:posOffset>
          </wp:positionH>
          <wp:positionV relativeFrom="paragraph">
            <wp:posOffset>332740</wp:posOffset>
          </wp:positionV>
          <wp:extent cx="1630800" cy="756000"/>
          <wp:effectExtent l="0" t="0" r="762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6039"/>
    <w:multiLevelType w:val="hybridMultilevel"/>
    <w:tmpl w:val="62723CCA"/>
    <w:lvl w:ilvl="0" w:tplc="2652722C">
      <w:start w:val="1"/>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3D0D55"/>
    <w:multiLevelType w:val="hybridMultilevel"/>
    <w:tmpl w:val="2AE6FF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9821BF"/>
    <w:multiLevelType w:val="hybridMultilevel"/>
    <w:tmpl w:val="9168E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731718"/>
    <w:multiLevelType w:val="hybridMultilevel"/>
    <w:tmpl w:val="4F609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4F0862"/>
    <w:multiLevelType w:val="multilevel"/>
    <w:tmpl w:val="0200285E"/>
    <w:styleLink w:val="Bullets"/>
    <w:lvl w:ilvl="0">
      <w:start w:val="1"/>
      <w:numFmt w:val="bullet"/>
      <w:pStyle w:val="Bulletlist1"/>
      <w:lvlText w:val=""/>
      <w:lvlJc w:val="left"/>
      <w:pPr>
        <w:ind w:left="644" w:hanging="284"/>
      </w:pPr>
      <w:rPr>
        <w:rFonts w:ascii="Symbol" w:hAnsi="Symbol" w:hint="default"/>
      </w:rPr>
    </w:lvl>
    <w:lvl w:ilvl="1">
      <w:start w:val="1"/>
      <w:numFmt w:val="bullet"/>
      <w:pStyle w:val="Bulletlist2"/>
      <w:lvlText w:val=""/>
      <w:lvlJc w:val="left"/>
      <w:pPr>
        <w:ind w:left="1211" w:hanging="284"/>
      </w:pPr>
      <w:rPr>
        <w:rFonts w:ascii="Symbol" w:hAnsi="Symbol" w:hint="default"/>
      </w:rPr>
    </w:lvl>
    <w:lvl w:ilvl="2">
      <w:start w:val="1"/>
      <w:numFmt w:val="bullet"/>
      <w:pStyle w:val="Bulletlist3"/>
      <w:lvlText w:val=""/>
      <w:lvlJc w:val="left"/>
      <w:pPr>
        <w:ind w:left="1778" w:hanging="284"/>
      </w:pPr>
      <w:rPr>
        <w:rFonts w:ascii="Symbol" w:hAnsi="Symbol" w:hint="default"/>
        <w:color w:val="auto"/>
      </w:rPr>
    </w:lvl>
    <w:lvl w:ilvl="3">
      <w:start w:val="1"/>
      <w:numFmt w:val="bullet"/>
      <w:lvlText w:val=""/>
      <w:lvlJc w:val="left"/>
      <w:pPr>
        <w:ind w:left="2345" w:hanging="284"/>
      </w:pPr>
      <w:rPr>
        <w:rFonts w:ascii="Symbol" w:hAnsi="Symbol" w:hint="default"/>
      </w:rPr>
    </w:lvl>
    <w:lvl w:ilvl="4">
      <w:start w:val="1"/>
      <w:numFmt w:val="bullet"/>
      <w:lvlText w:val=""/>
      <w:lvlJc w:val="left"/>
      <w:pPr>
        <w:ind w:left="2912" w:hanging="284"/>
      </w:pPr>
      <w:rPr>
        <w:rFonts w:ascii="Symbol" w:hAnsi="Symbol" w:hint="default"/>
      </w:rPr>
    </w:lvl>
    <w:lvl w:ilvl="5">
      <w:start w:val="1"/>
      <w:numFmt w:val="bullet"/>
      <w:lvlText w:val=""/>
      <w:lvlJc w:val="left"/>
      <w:pPr>
        <w:ind w:left="3479" w:hanging="284"/>
      </w:pPr>
      <w:rPr>
        <w:rFonts w:ascii="Symbol" w:hAnsi="Symbol" w:hint="default"/>
      </w:rPr>
    </w:lvl>
    <w:lvl w:ilvl="6">
      <w:start w:val="1"/>
      <w:numFmt w:val="bullet"/>
      <w:lvlText w:val=""/>
      <w:lvlJc w:val="left"/>
      <w:pPr>
        <w:ind w:left="4046" w:hanging="284"/>
      </w:pPr>
      <w:rPr>
        <w:rFonts w:ascii="Symbol" w:hAnsi="Symbol" w:hint="default"/>
      </w:rPr>
    </w:lvl>
    <w:lvl w:ilvl="7">
      <w:start w:val="1"/>
      <w:numFmt w:val="bullet"/>
      <w:lvlText w:val=""/>
      <w:lvlJc w:val="left"/>
      <w:pPr>
        <w:ind w:left="4613" w:hanging="284"/>
      </w:pPr>
      <w:rPr>
        <w:rFonts w:ascii="Symbol" w:hAnsi="Symbol" w:hint="default"/>
      </w:rPr>
    </w:lvl>
    <w:lvl w:ilvl="8">
      <w:start w:val="1"/>
      <w:numFmt w:val="bullet"/>
      <w:lvlText w:val=""/>
      <w:lvlJc w:val="left"/>
      <w:pPr>
        <w:ind w:left="5180" w:hanging="284"/>
      </w:pPr>
      <w:rPr>
        <w:rFonts w:ascii="Symbol" w:hAnsi="Symbol" w:hint="default"/>
      </w:rPr>
    </w:lvl>
  </w:abstractNum>
  <w:abstractNum w:abstractNumId="5" w15:restartNumberingAfterBreak="0">
    <w:nsid w:val="337C5FB2"/>
    <w:multiLevelType w:val="multilevel"/>
    <w:tmpl w:val="0200285E"/>
    <w:lvl w:ilvl="0">
      <w:start w:val="1"/>
      <w:numFmt w:val="bullet"/>
      <w:lvlText w:val=""/>
      <w:lvlJc w:val="left"/>
      <w:pPr>
        <w:ind w:left="851" w:hanging="284"/>
      </w:pPr>
      <w:rPr>
        <w:rFonts w:ascii="Symbol" w:hAnsi="Symbol" w:hint="default"/>
      </w:rPr>
    </w:lvl>
    <w:lvl w:ilvl="1">
      <w:start w:val="1"/>
      <w:numFmt w:val="bullet"/>
      <w:lvlText w:val=""/>
      <w:lvlJc w:val="left"/>
      <w:pPr>
        <w:ind w:left="1418" w:hanging="284"/>
      </w:pPr>
      <w:rPr>
        <w:rFonts w:ascii="Symbol" w:hAnsi="Symbol" w:hint="default"/>
      </w:rPr>
    </w:lvl>
    <w:lvl w:ilvl="2">
      <w:start w:val="1"/>
      <w:numFmt w:val="bullet"/>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6" w15:restartNumberingAfterBreak="0">
    <w:nsid w:val="33E8139D"/>
    <w:multiLevelType w:val="hybridMultilevel"/>
    <w:tmpl w:val="4792FDD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552538"/>
    <w:multiLevelType w:val="hybridMultilevel"/>
    <w:tmpl w:val="4322D7A0"/>
    <w:lvl w:ilvl="0" w:tplc="2652722C">
      <w:start w:val="1"/>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D81D88"/>
    <w:multiLevelType w:val="hybridMultilevel"/>
    <w:tmpl w:val="561E1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3056E0"/>
    <w:multiLevelType w:val="hybridMultilevel"/>
    <w:tmpl w:val="B8869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86E3E6C"/>
    <w:multiLevelType w:val="hybridMultilevel"/>
    <w:tmpl w:val="6E32F1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1DA312D"/>
    <w:multiLevelType w:val="hybridMultilevel"/>
    <w:tmpl w:val="7EF4D80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58E52F0"/>
    <w:multiLevelType w:val="hybridMultilevel"/>
    <w:tmpl w:val="B7582C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60D3BBC"/>
    <w:multiLevelType w:val="hybridMultilevel"/>
    <w:tmpl w:val="9A38F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6C32260"/>
    <w:multiLevelType w:val="hybridMultilevel"/>
    <w:tmpl w:val="1548DA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4"/>
    <w:lvlOverride w:ilvl="0">
      <w:lvl w:ilvl="0">
        <w:start w:val="1"/>
        <w:numFmt w:val="bullet"/>
        <w:pStyle w:val="Bulletlist1"/>
        <w:lvlText w:val=""/>
        <w:lvlJc w:val="left"/>
        <w:pPr>
          <w:ind w:left="851" w:hanging="284"/>
        </w:pPr>
        <w:rPr>
          <w:rFonts w:ascii="Symbol" w:hAnsi="Symbol" w:hint="default"/>
        </w:rPr>
      </w:lvl>
    </w:lvlOverride>
  </w:num>
  <w:num w:numId="4">
    <w:abstractNumId w:val="1"/>
  </w:num>
  <w:num w:numId="5">
    <w:abstractNumId w:val="7"/>
  </w:num>
  <w:num w:numId="6">
    <w:abstractNumId w:val="3"/>
  </w:num>
  <w:num w:numId="7">
    <w:abstractNumId w:val="12"/>
  </w:num>
  <w:num w:numId="8">
    <w:abstractNumId w:val="2"/>
  </w:num>
  <w:num w:numId="9">
    <w:abstractNumId w:val="14"/>
  </w:num>
  <w:num w:numId="10">
    <w:abstractNumId w:val="6"/>
  </w:num>
  <w:num w:numId="11">
    <w:abstractNumId w:val="10"/>
  </w:num>
  <w:num w:numId="12">
    <w:abstractNumId w:val="9"/>
  </w:num>
  <w:num w:numId="13">
    <w:abstractNumId w:val="13"/>
  </w:num>
  <w:num w:numId="14">
    <w:abstractNumId w:val="5"/>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9B6"/>
    <w:rsid w:val="0000114A"/>
    <w:rsid w:val="00005E24"/>
    <w:rsid w:val="00015D33"/>
    <w:rsid w:val="00034C91"/>
    <w:rsid w:val="00034F08"/>
    <w:rsid w:val="00035413"/>
    <w:rsid w:val="0004774E"/>
    <w:rsid w:val="00054372"/>
    <w:rsid w:val="00062512"/>
    <w:rsid w:val="000625F5"/>
    <w:rsid w:val="00062862"/>
    <w:rsid w:val="000629D3"/>
    <w:rsid w:val="0007479A"/>
    <w:rsid w:val="00090807"/>
    <w:rsid w:val="00092700"/>
    <w:rsid w:val="00094B11"/>
    <w:rsid w:val="000965D7"/>
    <w:rsid w:val="0009697E"/>
    <w:rsid w:val="000B14A0"/>
    <w:rsid w:val="000B4D8E"/>
    <w:rsid w:val="000B5E6C"/>
    <w:rsid w:val="000B7831"/>
    <w:rsid w:val="000C7180"/>
    <w:rsid w:val="000D630B"/>
    <w:rsid w:val="000E169B"/>
    <w:rsid w:val="000E3033"/>
    <w:rsid w:val="000F5A3A"/>
    <w:rsid w:val="000F6B5B"/>
    <w:rsid w:val="00120D5C"/>
    <w:rsid w:val="0013542F"/>
    <w:rsid w:val="00137666"/>
    <w:rsid w:val="00143755"/>
    <w:rsid w:val="00143992"/>
    <w:rsid w:val="00155BC1"/>
    <w:rsid w:val="00155FA9"/>
    <w:rsid w:val="0017101C"/>
    <w:rsid w:val="0017784A"/>
    <w:rsid w:val="0018067C"/>
    <w:rsid w:val="00195AEA"/>
    <w:rsid w:val="001C4B93"/>
    <w:rsid w:val="001D120F"/>
    <w:rsid w:val="001D6AF9"/>
    <w:rsid w:val="001E03F1"/>
    <w:rsid w:val="001E6EC6"/>
    <w:rsid w:val="001F4DAE"/>
    <w:rsid w:val="00202810"/>
    <w:rsid w:val="00203A09"/>
    <w:rsid w:val="00215B19"/>
    <w:rsid w:val="00222AA6"/>
    <w:rsid w:val="00234E36"/>
    <w:rsid w:val="00236D7B"/>
    <w:rsid w:val="0024734E"/>
    <w:rsid w:val="00254C3E"/>
    <w:rsid w:val="002600A8"/>
    <w:rsid w:val="002702F9"/>
    <w:rsid w:val="002728F6"/>
    <w:rsid w:val="00273BDB"/>
    <w:rsid w:val="00274C47"/>
    <w:rsid w:val="002A42D5"/>
    <w:rsid w:val="002A5B06"/>
    <w:rsid w:val="002C31E7"/>
    <w:rsid w:val="002E6568"/>
    <w:rsid w:val="002F0FCC"/>
    <w:rsid w:val="003132FA"/>
    <w:rsid w:val="003204F3"/>
    <w:rsid w:val="00320D63"/>
    <w:rsid w:val="00336960"/>
    <w:rsid w:val="0034432E"/>
    <w:rsid w:val="003455C6"/>
    <w:rsid w:val="00357A41"/>
    <w:rsid w:val="00361969"/>
    <w:rsid w:val="00373D88"/>
    <w:rsid w:val="003773DB"/>
    <w:rsid w:val="003815A0"/>
    <w:rsid w:val="003873B7"/>
    <w:rsid w:val="003879AE"/>
    <w:rsid w:val="003913F4"/>
    <w:rsid w:val="003A175C"/>
    <w:rsid w:val="003B75D5"/>
    <w:rsid w:val="003D1FC9"/>
    <w:rsid w:val="003D36A5"/>
    <w:rsid w:val="003D54EE"/>
    <w:rsid w:val="003E4FDE"/>
    <w:rsid w:val="003E7D69"/>
    <w:rsid w:val="003F2259"/>
    <w:rsid w:val="003F3D72"/>
    <w:rsid w:val="00413B8A"/>
    <w:rsid w:val="00421FA8"/>
    <w:rsid w:val="0042424B"/>
    <w:rsid w:val="004259E5"/>
    <w:rsid w:val="0044264F"/>
    <w:rsid w:val="0046182A"/>
    <w:rsid w:val="00465A75"/>
    <w:rsid w:val="00475846"/>
    <w:rsid w:val="00482A53"/>
    <w:rsid w:val="004956A5"/>
    <w:rsid w:val="00495842"/>
    <w:rsid w:val="0049606E"/>
    <w:rsid w:val="004A1A64"/>
    <w:rsid w:val="004B25EE"/>
    <w:rsid w:val="004B4A2C"/>
    <w:rsid w:val="004B576E"/>
    <w:rsid w:val="004C7D7A"/>
    <w:rsid w:val="004D1802"/>
    <w:rsid w:val="004F130E"/>
    <w:rsid w:val="004F2907"/>
    <w:rsid w:val="00504942"/>
    <w:rsid w:val="00504F56"/>
    <w:rsid w:val="00511894"/>
    <w:rsid w:val="00513118"/>
    <w:rsid w:val="00521286"/>
    <w:rsid w:val="0052492D"/>
    <w:rsid w:val="00524F44"/>
    <w:rsid w:val="005408EF"/>
    <w:rsid w:val="00540C28"/>
    <w:rsid w:val="005428E9"/>
    <w:rsid w:val="00545597"/>
    <w:rsid w:val="0054576D"/>
    <w:rsid w:val="005740F4"/>
    <w:rsid w:val="00580D19"/>
    <w:rsid w:val="00586966"/>
    <w:rsid w:val="005928BB"/>
    <w:rsid w:val="005978EE"/>
    <w:rsid w:val="005B0782"/>
    <w:rsid w:val="005B6994"/>
    <w:rsid w:val="005D6C1D"/>
    <w:rsid w:val="005E2D2E"/>
    <w:rsid w:val="006100D0"/>
    <w:rsid w:val="0061408E"/>
    <w:rsid w:val="00623224"/>
    <w:rsid w:val="006366B7"/>
    <w:rsid w:val="00637B3A"/>
    <w:rsid w:val="00644C5D"/>
    <w:rsid w:val="0064690C"/>
    <w:rsid w:val="006574EB"/>
    <w:rsid w:val="006619D8"/>
    <w:rsid w:val="006667CA"/>
    <w:rsid w:val="006701C8"/>
    <w:rsid w:val="00674EA2"/>
    <w:rsid w:val="006752AA"/>
    <w:rsid w:val="00676918"/>
    <w:rsid w:val="00697DE6"/>
    <w:rsid w:val="006A4CF1"/>
    <w:rsid w:val="006B5060"/>
    <w:rsid w:val="006C0E85"/>
    <w:rsid w:val="006C471B"/>
    <w:rsid w:val="006C4A77"/>
    <w:rsid w:val="006C59E1"/>
    <w:rsid w:val="006D2148"/>
    <w:rsid w:val="006D3E77"/>
    <w:rsid w:val="006E7857"/>
    <w:rsid w:val="006F101C"/>
    <w:rsid w:val="00700C72"/>
    <w:rsid w:val="007129A4"/>
    <w:rsid w:val="00715EBC"/>
    <w:rsid w:val="00716962"/>
    <w:rsid w:val="0071745A"/>
    <w:rsid w:val="00724F94"/>
    <w:rsid w:val="00734E30"/>
    <w:rsid w:val="00754B7F"/>
    <w:rsid w:val="007662CE"/>
    <w:rsid w:val="0076759A"/>
    <w:rsid w:val="0078642C"/>
    <w:rsid w:val="00793457"/>
    <w:rsid w:val="007949B6"/>
    <w:rsid w:val="007A64C8"/>
    <w:rsid w:val="007A6A29"/>
    <w:rsid w:val="007C475E"/>
    <w:rsid w:val="007D786C"/>
    <w:rsid w:val="007F390D"/>
    <w:rsid w:val="007F58E2"/>
    <w:rsid w:val="008110B8"/>
    <w:rsid w:val="00820113"/>
    <w:rsid w:val="00826EAD"/>
    <w:rsid w:val="00830393"/>
    <w:rsid w:val="008575BD"/>
    <w:rsid w:val="008604CF"/>
    <w:rsid w:val="00867FB6"/>
    <w:rsid w:val="00873C4D"/>
    <w:rsid w:val="00875CC6"/>
    <w:rsid w:val="00897C10"/>
    <w:rsid w:val="008A0FF0"/>
    <w:rsid w:val="008A13DE"/>
    <w:rsid w:val="008A7830"/>
    <w:rsid w:val="008D483A"/>
    <w:rsid w:val="008D4FBE"/>
    <w:rsid w:val="008D5733"/>
    <w:rsid w:val="008F2BFE"/>
    <w:rsid w:val="008F2F72"/>
    <w:rsid w:val="008F51DC"/>
    <w:rsid w:val="00912979"/>
    <w:rsid w:val="0091489C"/>
    <w:rsid w:val="00916A60"/>
    <w:rsid w:val="00935D69"/>
    <w:rsid w:val="009365C4"/>
    <w:rsid w:val="00942900"/>
    <w:rsid w:val="0094548E"/>
    <w:rsid w:val="0096344C"/>
    <w:rsid w:val="00964927"/>
    <w:rsid w:val="00975277"/>
    <w:rsid w:val="009769C4"/>
    <w:rsid w:val="0098185C"/>
    <w:rsid w:val="00983739"/>
    <w:rsid w:val="00994FAB"/>
    <w:rsid w:val="009A27AC"/>
    <w:rsid w:val="009C31D9"/>
    <w:rsid w:val="009D76A1"/>
    <w:rsid w:val="009D7DD3"/>
    <w:rsid w:val="009E003A"/>
    <w:rsid w:val="009E0C40"/>
    <w:rsid w:val="009E5150"/>
    <w:rsid w:val="009E7EB3"/>
    <w:rsid w:val="00A129F3"/>
    <w:rsid w:val="00A137A3"/>
    <w:rsid w:val="00A159A8"/>
    <w:rsid w:val="00A23122"/>
    <w:rsid w:val="00A25BB8"/>
    <w:rsid w:val="00A25FE8"/>
    <w:rsid w:val="00A265E3"/>
    <w:rsid w:val="00A308BD"/>
    <w:rsid w:val="00A43574"/>
    <w:rsid w:val="00A46984"/>
    <w:rsid w:val="00A47F1E"/>
    <w:rsid w:val="00A505B0"/>
    <w:rsid w:val="00A5410F"/>
    <w:rsid w:val="00A579F9"/>
    <w:rsid w:val="00A61007"/>
    <w:rsid w:val="00A61B3C"/>
    <w:rsid w:val="00A76531"/>
    <w:rsid w:val="00A7762C"/>
    <w:rsid w:val="00A84DAD"/>
    <w:rsid w:val="00A97904"/>
    <w:rsid w:val="00AA63D4"/>
    <w:rsid w:val="00AB661E"/>
    <w:rsid w:val="00AB7FAF"/>
    <w:rsid w:val="00AC7B9A"/>
    <w:rsid w:val="00AF2500"/>
    <w:rsid w:val="00B151B3"/>
    <w:rsid w:val="00B1624E"/>
    <w:rsid w:val="00B227F0"/>
    <w:rsid w:val="00B22FA1"/>
    <w:rsid w:val="00B27C15"/>
    <w:rsid w:val="00B30F45"/>
    <w:rsid w:val="00B46716"/>
    <w:rsid w:val="00B512C8"/>
    <w:rsid w:val="00B51BBC"/>
    <w:rsid w:val="00B52053"/>
    <w:rsid w:val="00B528BF"/>
    <w:rsid w:val="00B612DC"/>
    <w:rsid w:val="00B756EC"/>
    <w:rsid w:val="00B7628F"/>
    <w:rsid w:val="00B91198"/>
    <w:rsid w:val="00BB5520"/>
    <w:rsid w:val="00BB55B4"/>
    <w:rsid w:val="00BC2495"/>
    <w:rsid w:val="00BC44D9"/>
    <w:rsid w:val="00BC6644"/>
    <w:rsid w:val="00BD04ED"/>
    <w:rsid w:val="00BD79E3"/>
    <w:rsid w:val="00BE001C"/>
    <w:rsid w:val="00BE2016"/>
    <w:rsid w:val="00BF1FFA"/>
    <w:rsid w:val="00BF3B91"/>
    <w:rsid w:val="00BF7A45"/>
    <w:rsid w:val="00C02E28"/>
    <w:rsid w:val="00C1598B"/>
    <w:rsid w:val="00C663AD"/>
    <w:rsid w:val="00C67964"/>
    <w:rsid w:val="00C7127B"/>
    <w:rsid w:val="00C97048"/>
    <w:rsid w:val="00C97B89"/>
    <w:rsid w:val="00CA2549"/>
    <w:rsid w:val="00CA2962"/>
    <w:rsid w:val="00CB71F5"/>
    <w:rsid w:val="00CC1272"/>
    <w:rsid w:val="00CE6331"/>
    <w:rsid w:val="00CF490E"/>
    <w:rsid w:val="00D01BD8"/>
    <w:rsid w:val="00D0535D"/>
    <w:rsid w:val="00D15A7F"/>
    <w:rsid w:val="00D1666A"/>
    <w:rsid w:val="00D217BB"/>
    <w:rsid w:val="00D22BA7"/>
    <w:rsid w:val="00D26EDD"/>
    <w:rsid w:val="00D319B4"/>
    <w:rsid w:val="00D31E1E"/>
    <w:rsid w:val="00D338EB"/>
    <w:rsid w:val="00D371A6"/>
    <w:rsid w:val="00D405B1"/>
    <w:rsid w:val="00D450D6"/>
    <w:rsid w:val="00D4577B"/>
    <w:rsid w:val="00D54565"/>
    <w:rsid w:val="00D60083"/>
    <w:rsid w:val="00D613A8"/>
    <w:rsid w:val="00D64BCC"/>
    <w:rsid w:val="00D6523F"/>
    <w:rsid w:val="00D6722E"/>
    <w:rsid w:val="00D679F5"/>
    <w:rsid w:val="00D7416A"/>
    <w:rsid w:val="00D75E97"/>
    <w:rsid w:val="00D82264"/>
    <w:rsid w:val="00D87A81"/>
    <w:rsid w:val="00D95EBA"/>
    <w:rsid w:val="00DA0952"/>
    <w:rsid w:val="00DA1F88"/>
    <w:rsid w:val="00DA52C0"/>
    <w:rsid w:val="00DD5B92"/>
    <w:rsid w:val="00DE36E2"/>
    <w:rsid w:val="00DE7D7B"/>
    <w:rsid w:val="00DF2AF3"/>
    <w:rsid w:val="00DF432F"/>
    <w:rsid w:val="00DF6961"/>
    <w:rsid w:val="00E00485"/>
    <w:rsid w:val="00E04A3D"/>
    <w:rsid w:val="00E14A85"/>
    <w:rsid w:val="00E42A7B"/>
    <w:rsid w:val="00E541A3"/>
    <w:rsid w:val="00E62FC3"/>
    <w:rsid w:val="00E723EE"/>
    <w:rsid w:val="00E76C10"/>
    <w:rsid w:val="00E92A9B"/>
    <w:rsid w:val="00EA3E3B"/>
    <w:rsid w:val="00EC7AED"/>
    <w:rsid w:val="00ED1825"/>
    <w:rsid w:val="00EE1D70"/>
    <w:rsid w:val="00EE4E95"/>
    <w:rsid w:val="00EF1CA8"/>
    <w:rsid w:val="00F007A2"/>
    <w:rsid w:val="00F0697E"/>
    <w:rsid w:val="00F07A1B"/>
    <w:rsid w:val="00F17948"/>
    <w:rsid w:val="00F26EA6"/>
    <w:rsid w:val="00F34129"/>
    <w:rsid w:val="00F37A0D"/>
    <w:rsid w:val="00F40C56"/>
    <w:rsid w:val="00F4148C"/>
    <w:rsid w:val="00F41D6E"/>
    <w:rsid w:val="00F4389D"/>
    <w:rsid w:val="00F44503"/>
    <w:rsid w:val="00F57B7F"/>
    <w:rsid w:val="00F634E5"/>
    <w:rsid w:val="00F7111A"/>
    <w:rsid w:val="00F71BBF"/>
    <w:rsid w:val="00F81DF3"/>
    <w:rsid w:val="00F878A5"/>
    <w:rsid w:val="00F90CCC"/>
    <w:rsid w:val="00F94E94"/>
    <w:rsid w:val="00F96E83"/>
    <w:rsid w:val="00FA4213"/>
    <w:rsid w:val="00FA4E18"/>
    <w:rsid w:val="00FB4E0F"/>
    <w:rsid w:val="00FC132C"/>
    <w:rsid w:val="00FC304E"/>
    <w:rsid w:val="00FD49FB"/>
    <w:rsid w:val="00FD4AC3"/>
    <w:rsid w:val="00FD58D9"/>
    <w:rsid w:val="00FE057A"/>
    <w:rsid w:val="00FE7BAE"/>
    <w:rsid w:val="00FF5C29"/>
    <w:rsid w:val="02348CB3"/>
    <w:rsid w:val="052AF190"/>
    <w:rsid w:val="068D40E5"/>
    <w:rsid w:val="0703D864"/>
    <w:rsid w:val="070E0937"/>
    <w:rsid w:val="096BFCE1"/>
    <w:rsid w:val="0A935AB2"/>
    <w:rsid w:val="0AEA9D8B"/>
    <w:rsid w:val="0BA5DF09"/>
    <w:rsid w:val="0BC751BC"/>
    <w:rsid w:val="0D1FAAA9"/>
    <w:rsid w:val="0DF5417E"/>
    <w:rsid w:val="0DFEF86F"/>
    <w:rsid w:val="0E02CC11"/>
    <w:rsid w:val="0E50125E"/>
    <w:rsid w:val="0F335FF3"/>
    <w:rsid w:val="1322E076"/>
    <w:rsid w:val="14E67759"/>
    <w:rsid w:val="178AC1AF"/>
    <w:rsid w:val="181DD9EC"/>
    <w:rsid w:val="18989B1D"/>
    <w:rsid w:val="1ADBE32F"/>
    <w:rsid w:val="1B13F565"/>
    <w:rsid w:val="1B6B3445"/>
    <w:rsid w:val="20D6155A"/>
    <w:rsid w:val="212D1863"/>
    <w:rsid w:val="2184EA6F"/>
    <w:rsid w:val="22546B8C"/>
    <w:rsid w:val="22F942E8"/>
    <w:rsid w:val="23D514E6"/>
    <w:rsid w:val="2A7C973D"/>
    <w:rsid w:val="2BA3ED1C"/>
    <w:rsid w:val="2C08655C"/>
    <w:rsid w:val="2DA435BD"/>
    <w:rsid w:val="2EFBBF01"/>
    <w:rsid w:val="308D3C73"/>
    <w:rsid w:val="31C9165D"/>
    <w:rsid w:val="33EC1A94"/>
    <w:rsid w:val="357F78B5"/>
    <w:rsid w:val="35E3F0F5"/>
    <w:rsid w:val="365F4296"/>
    <w:rsid w:val="373AE158"/>
    <w:rsid w:val="396023FF"/>
    <w:rsid w:val="39688D8D"/>
    <w:rsid w:val="397CC668"/>
    <w:rsid w:val="42A0EA69"/>
    <w:rsid w:val="44A8E254"/>
    <w:rsid w:val="454A73DA"/>
    <w:rsid w:val="45DD438B"/>
    <w:rsid w:val="461E5B6D"/>
    <w:rsid w:val="468FE775"/>
    <w:rsid w:val="48A457C1"/>
    <w:rsid w:val="4BD76F94"/>
    <w:rsid w:val="4C8CA0D2"/>
    <w:rsid w:val="4D913534"/>
    <w:rsid w:val="4E4A75F4"/>
    <w:rsid w:val="4F10F804"/>
    <w:rsid w:val="4F53D474"/>
    <w:rsid w:val="53C62904"/>
    <w:rsid w:val="54DC122E"/>
    <w:rsid w:val="55C782F4"/>
    <w:rsid w:val="5781B49A"/>
    <w:rsid w:val="580EE14D"/>
    <w:rsid w:val="5ABA4445"/>
    <w:rsid w:val="5BC089AF"/>
    <w:rsid w:val="5C693D33"/>
    <w:rsid w:val="5E22C7B5"/>
    <w:rsid w:val="5E3141ED"/>
    <w:rsid w:val="6252B2B0"/>
    <w:rsid w:val="62AAE74C"/>
    <w:rsid w:val="63B1C25C"/>
    <w:rsid w:val="6501AB62"/>
    <w:rsid w:val="65AA4402"/>
    <w:rsid w:val="663BED48"/>
    <w:rsid w:val="679CFD9C"/>
    <w:rsid w:val="680F698A"/>
    <w:rsid w:val="69B56863"/>
    <w:rsid w:val="6A25CC5C"/>
    <w:rsid w:val="6A3912DF"/>
    <w:rsid w:val="6A9A6957"/>
    <w:rsid w:val="6E51A8FA"/>
    <w:rsid w:val="6EE4ADBC"/>
    <w:rsid w:val="6F6CC268"/>
    <w:rsid w:val="6FC37F60"/>
    <w:rsid w:val="70D729F9"/>
    <w:rsid w:val="7186E35F"/>
    <w:rsid w:val="71F30BFD"/>
    <w:rsid w:val="7380D30C"/>
    <w:rsid w:val="739DEAAC"/>
    <w:rsid w:val="7586B767"/>
    <w:rsid w:val="76A83F82"/>
    <w:rsid w:val="788E351A"/>
    <w:rsid w:val="79255588"/>
    <w:rsid w:val="7A5A3F68"/>
    <w:rsid w:val="7B87CDB8"/>
    <w:rsid w:val="7C5F8037"/>
    <w:rsid w:val="7CFF03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058712"/>
  <w15:docId w15:val="{F8E4DE74-A760-4B42-BFC2-6801D1EA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5BC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F1CA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27B"/>
  </w:style>
  <w:style w:type="paragraph" w:styleId="Footer">
    <w:name w:val="footer"/>
    <w:basedOn w:val="Normal"/>
    <w:link w:val="FooterChar"/>
    <w:uiPriority w:val="99"/>
    <w:unhideWhenUsed/>
    <w:rsid w:val="00C71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27B"/>
  </w:style>
  <w:style w:type="paragraph" w:customStyle="1" w:styleId="BodyText1">
    <w:name w:val="Body Text1"/>
    <w:basedOn w:val="Normal"/>
    <w:qFormat/>
    <w:rsid w:val="00C7127B"/>
    <w:rPr>
      <w:rFonts w:ascii="Arial" w:eastAsia="Calibri" w:hAnsi="Arial" w:cs="Arial"/>
      <w:color w:val="000000"/>
      <w:lang w:eastAsia="en-US"/>
    </w:rPr>
  </w:style>
  <w:style w:type="character" w:styleId="Hyperlink">
    <w:name w:val="Hyperlink"/>
    <w:basedOn w:val="DefaultParagraphFont"/>
    <w:uiPriority w:val="99"/>
    <w:unhideWhenUsed/>
    <w:rsid w:val="00C7127B"/>
    <w:rPr>
      <w:color w:val="0000FF" w:themeColor="hyperlink"/>
      <w:u w:val="single"/>
    </w:rPr>
  </w:style>
  <w:style w:type="character" w:styleId="UnresolvedMention">
    <w:name w:val="Unresolved Mention"/>
    <w:basedOn w:val="DefaultParagraphFont"/>
    <w:uiPriority w:val="99"/>
    <w:semiHidden/>
    <w:unhideWhenUsed/>
    <w:rsid w:val="00F71BBF"/>
    <w:rPr>
      <w:color w:val="605E5C"/>
      <w:shd w:val="clear" w:color="auto" w:fill="E1DFDD"/>
    </w:rPr>
  </w:style>
  <w:style w:type="character" w:styleId="Strong">
    <w:name w:val="Strong"/>
    <w:basedOn w:val="DefaultParagraphFont"/>
    <w:uiPriority w:val="22"/>
    <w:qFormat/>
    <w:rsid w:val="00F71BBF"/>
    <w:rPr>
      <w:b/>
      <w:bCs/>
    </w:rPr>
  </w:style>
  <w:style w:type="paragraph" w:styleId="CommentText">
    <w:name w:val="annotation text"/>
    <w:basedOn w:val="Normal"/>
    <w:link w:val="CommentTextChar"/>
    <w:uiPriority w:val="99"/>
    <w:unhideWhenUsed/>
    <w:rsid w:val="00FE7BAE"/>
    <w:pPr>
      <w:spacing w:before="100" w:beforeAutospacing="1" w:after="100" w:afterAutospacing="1" w:line="240" w:lineRule="auto"/>
    </w:pPr>
    <w:rPr>
      <w:rFonts w:ascii="Calibri" w:eastAsiaTheme="minorHAnsi" w:hAnsi="Calibri"/>
      <w:sz w:val="20"/>
      <w:szCs w:val="20"/>
      <w:lang w:eastAsia="en-US"/>
    </w:rPr>
  </w:style>
  <w:style w:type="character" w:customStyle="1" w:styleId="CommentTextChar">
    <w:name w:val="Comment Text Char"/>
    <w:basedOn w:val="DefaultParagraphFont"/>
    <w:link w:val="CommentText"/>
    <w:uiPriority w:val="99"/>
    <w:rsid w:val="00FE7BAE"/>
    <w:rPr>
      <w:rFonts w:ascii="Calibri" w:eastAsiaTheme="minorHAnsi" w:hAnsi="Calibri"/>
      <w:sz w:val="20"/>
      <w:szCs w:val="20"/>
      <w:lang w:eastAsia="en-US"/>
    </w:rPr>
  </w:style>
  <w:style w:type="character" w:styleId="CommentReference">
    <w:name w:val="annotation reference"/>
    <w:basedOn w:val="DefaultParagraphFont"/>
    <w:uiPriority w:val="99"/>
    <w:semiHidden/>
    <w:unhideWhenUsed/>
    <w:rsid w:val="00FE7BAE"/>
    <w:rPr>
      <w:sz w:val="16"/>
      <w:szCs w:val="16"/>
    </w:rPr>
  </w:style>
  <w:style w:type="numbering" w:customStyle="1" w:styleId="Bullets">
    <w:name w:val="Bullets"/>
    <w:uiPriority w:val="99"/>
    <w:rsid w:val="00FE7BAE"/>
    <w:pPr>
      <w:numPr>
        <w:numId w:val="2"/>
      </w:numPr>
    </w:pPr>
  </w:style>
  <w:style w:type="paragraph" w:customStyle="1" w:styleId="Bulletlist1">
    <w:name w:val="Bullet list 1"/>
    <w:basedOn w:val="Normal"/>
    <w:link w:val="Bulletlist1Char"/>
    <w:qFormat/>
    <w:rsid w:val="00FE7BAE"/>
    <w:pPr>
      <w:numPr>
        <w:numId w:val="2"/>
      </w:numPr>
      <w:spacing w:before="100" w:beforeAutospacing="1" w:after="100" w:afterAutospacing="1" w:line="240" w:lineRule="auto"/>
    </w:pPr>
    <w:rPr>
      <w:rFonts w:ascii="Calibri" w:hAnsi="Calibri"/>
    </w:rPr>
  </w:style>
  <w:style w:type="paragraph" w:customStyle="1" w:styleId="Bulletlist2">
    <w:name w:val="Bullet list 2"/>
    <w:basedOn w:val="Bulletlist1"/>
    <w:qFormat/>
    <w:rsid w:val="00FE7BAE"/>
    <w:pPr>
      <w:numPr>
        <w:ilvl w:val="1"/>
      </w:numPr>
      <w:tabs>
        <w:tab w:val="num" w:pos="360"/>
      </w:tabs>
    </w:pPr>
  </w:style>
  <w:style w:type="character" w:customStyle="1" w:styleId="Bulletlist1Char">
    <w:name w:val="Bullet list 1 Char"/>
    <w:basedOn w:val="DefaultParagraphFont"/>
    <w:link w:val="Bulletlist1"/>
    <w:rsid w:val="00FE7BAE"/>
    <w:rPr>
      <w:rFonts w:ascii="Calibri" w:hAnsi="Calibri"/>
    </w:rPr>
  </w:style>
  <w:style w:type="paragraph" w:customStyle="1" w:styleId="Bulletlist3">
    <w:name w:val="Bullet list 3"/>
    <w:basedOn w:val="Bulletlist2"/>
    <w:qFormat/>
    <w:rsid w:val="00FE7BAE"/>
    <w:pPr>
      <w:numPr>
        <w:ilvl w:val="2"/>
      </w:numPr>
      <w:tabs>
        <w:tab w:val="num" w:pos="360"/>
      </w:tabs>
    </w:pPr>
  </w:style>
  <w:style w:type="character" w:customStyle="1" w:styleId="Heading1Char">
    <w:name w:val="Heading 1 Char"/>
    <w:basedOn w:val="DefaultParagraphFont"/>
    <w:link w:val="Heading1"/>
    <w:uiPriority w:val="9"/>
    <w:rsid w:val="00155BC1"/>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39"/>
    <w:rsid w:val="00C6796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7964"/>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Emphasis">
    <w:name w:val="Emphasis"/>
    <w:basedOn w:val="DefaultParagraphFont"/>
    <w:uiPriority w:val="20"/>
    <w:qFormat/>
    <w:rsid w:val="00C67964"/>
    <w:rPr>
      <w:i/>
      <w:iCs/>
    </w:rPr>
  </w:style>
  <w:style w:type="paragraph" w:styleId="ListParagraph">
    <w:name w:val="List Paragraph"/>
    <w:basedOn w:val="Normal"/>
    <w:uiPriority w:val="34"/>
    <w:qFormat/>
    <w:rsid w:val="008604CF"/>
    <w:pPr>
      <w:ind w:left="720"/>
      <w:contextualSpacing/>
    </w:pPr>
  </w:style>
  <w:style w:type="paragraph" w:styleId="FootnoteText">
    <w:name w:val="footnote text"/>
    <w:basedOn w:val="Normal"/>
    <w:link w:val="FootnoteTextChar"/>
    <w:uiPriority w:val="99"/>
    <w:semiHidden/>
    <w:unhideWhenUsed/>
    <w:rsid w:val="00637B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7B3A"/>
    <w:rPr>
      <w:sz w:val="20"/>
      <w:szCs w:val="20"/>
    </w:rPr>
  </w:style>
  <w:style w:type="character" w:styleId="FootnoteReference">
    <w:name w:val="footnote reference"/>
    <w:basedOn w:val="DefaultParagraphFont"/>
    <w:uiPriority w:val="99"/>
    <w:semiHidden/>
    <w:unhideWhenUsed/>
    <w:rsid w:val="00637B3A"/>
    <w:rPr>
      <w:vertAlign w:val="superscript"/>
    </w:rPr>
  </w:style>
  <w:style w:type="character" w:styleId="FollowedHyperlink">
    <w:name w:val="FollowedHyperlink"/>
    <w:basedOn w:val="DefaultParagraphFont"/>
    <w:uiPriority w:val="99"/>
    <w:semiHidden/>
    <w:unhideWhenUsed/>
    <w:rsid w:val="00B512C8"/>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D64BCC"/>
    <w:pPr>
      <w:spacing w:before="0" w:beforeAutospacing="0" w:after="200" w:afterAutospacing="0"/>
    </w:pPr>
    <w:rPr>
      <w:rFonts w:asciiTheme="minorHAnsi" w:eastAsiaTheme="minorEastAsia" w:hAnsiTheme="minorHAnsi"/>
      <w:b/>
      <w:bCs/>
      <w:lang w:eastAsia="en-AU"/>
    </w:rPr>
  </w:style>
  <w:style w:type="character" w:customStyle="1" w:styleId="CommentSubjectChar">
    <w:name w:val="Comment Subject Char"/>
    <w:basedOn w:val="CommentTextChar"/>
    <w:link w:val="CommentSubject"/>
    <w:uiPriority w:val="99"/>
    <w:semiHidden/>
    <w:rsid w:val="00D64BCC"/>
    <w:rPr>
      <w:rFonts w:ascii="Calibri" w:eastAsiaTheme="minorHAnsi" w:hAnsi="Calibri"/>
      <w:b/>
      <w:bCs/>
      <w:sz w:val="20"/>
      <w:szCs w:val="20"/>
      <w:lang w:eastAsia="en-US"/>
    </w:rPr>
  </w:style>
  <w:style w:type="character" w:customStyle="1" w:styleId="Heading2Char">
    <w:name w:val="Heading 2 Char"/>
    <w:basedOn w:val="DefaultParagraphFont"/>
    <w:link w:val="Heading2"/>
    <w:uiPriority w:val="9"/>
    <w:rsid w:val="00EF1CA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504351">
      <w:bodyDiv w:val="1"/>
      <w:marLeft w:val="0"/>
      <w:marRight w:val="0"/>
      <w:marTop w:val="0"/>
      <w:marBottom w:val="0"/>
      <w:divBdr>
        <w:top w:val="none" w:sz="0" w:space="0" w:color="auto"/>
        <w:left w:val="none" w:sz="0" w:space="0" w:color="auto"/>
        <w:bottom w:val="none" w:sz="0" w:space="0" w:color="auto"/>
        <w:right w:val="none" w:sz="0" w:space="0" w:color="auto"/>
      </w:divBdr>
    </w:div>
    <w:div w:id="1551651950">
      <w:bodyDiv w:val="1"/>
      <w:marLeft w:val="0"/>
      <w:marRight w:val="0"/>
      <w:marTop w:val="0"/>
      <w:marBottom w:val="0"/>
      <w:divBdr>
        <w:top w:val="none" w:sz="0" w:space="0" w:color="auto"/>
        <w:left w:val="none" w:sz="0" w:space="0" w:color="auto"/>
        <w:bottom w:val="none" w:sz="0" w:space="0" w:color="auto"/>
        <w:right w:val="none" w:sz="0" w:space="0" w:color="auto"/>
      </w:divBdr>
    </w:div>
    <w:div w:id="200848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bn@accc.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communications.gov.au/have-your-say/public-consultation-draft-standards-rules-and-benchmarks-statutory-infrastructure-providers-sips" TargetMode="External"/><Relationship Id="rId3" Type="http://schemas.openxmlformats.org/officeDocument/2006/relationships/hyperlink" Target="https://accan.org.au/media-centre/media-releases/1572-nalo-media-release" TargetMode="External"/><Relationship Id="rId7" Type="http://schemas.openxmlformats.org/officeDocument/2006/relationships/hyperlink" Target="https://www.accc.gov.au/system/files/ACCAN%20submission%20-%2029%20May%202020.pdf" TargetMode="External"/><Relationship Id="rId2" Type="http://schemas.openxmlformats.org/officeDocument/2006/relationships/hyperlink" Target="https://www.accc.gov.au/system/files/20-47RPT_Communications_Market_Report_FA.pdf" TargetMode="External"/><Relationship Id="rId1" Type="http://schemas.openxmlformats.org/officeDocument/2006/relationships/hyperlink" Target="https://www.accc.gov.au/regulated-infrastructure/communications/national-broadband-network-nbn/nbn-wholesale-market-indicators-report" TargetMode="External"/><Relationship Id="rId6" Type="http://schemas.openxmlformats.org/officeDocument/2006/relationships/hyperlink" Target="https://www.accc.gov.au/system/files/20-47RPT_Communications_Market_Report_FA.pdf" TargetMode="External"/><Relationship Id="rId5" Type="http://schemas.openxmlformats.org/officeDocument/2006/relationships/hyperlink" Target="https://cprc.org.au/app/uploads/2020/09/Consumers-and-COVID-19_summary_25June2020_compressed.pdf" TargetMode="External"/><Relationship Id="rId4" Type="http://schemas.openxmlformats.org/officeDocument/2006/relationships/hyperlink" Target="https://www.sacoss.org.au/sites/default/files/public/Affordability%20and%20Waged%20Poor%20Report%20final%20Web.pdf" TargetMode="External"/><Relationship Id="rId9" Type="http://schemas.openxmlformats.org/officeDocument/2006/relationships/hyperlink" Target="https://accan.org.au/files/Submissions/2021/ACCAN%20submission%20to%20DITRDC%20SIP%20Standards%20rules%20and%20benchmark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8\Short%20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afa1a33-c191-48ee-b288-192490d33fec">
      <UserInfo>
        <DisplayName>Megan Ward</DisplayName>
        <AccountId>40</AccountId>
        <AccountType/>
      </UserInfo>
      <UserInfo>
        <DisplayName>Meredith Lea</DisplayName>
        <AccountId>27</AccountId>
        <AccountType/>
      </UserInfo>
      <UserInfo>
        <DisplayName>Una Lawrence</DisplayName>
        <AccountId>28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CB11904FCB124BB6ADC686B50405ED" ma:contentTypeVersion="14" ma:contentTypeDescription="Create a new document." ma:contentTypeScope="" ma:versionID="52efb4e70ccb9f1841db40bc5acb691f">
  <xsd:schema xmlns:xsd="http://www.w3.org/2001/XMLSchema" xmlns:xs="http://www.w3.org/2001/XMLSchema" xmlns:p="http://schemas.microsoft.com/office/2006/metadata/properties" xmlns:ns2="2d8fb88f-3a1f-4799-a700-b6f357ce1403" xmlns:ns3="2afa1a33-c191-48ee-b288-192490d33fec" targetNamespace="http://schemas.microsoft.com/office/2006/metadata/properties" ma:root="true" ma:fieldsID="a70ba2a6e533d2412e2b9425888641c9" ns2:_="" ns3:_="">
    <xsd:import namespace="2d8fb88f-3a1f-4799-a700-b6f357ce1403"/>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fb88f-3a1f-4799-a700-b6f357ce14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B7440-EAB0-4178-8DD9-E26A0DF056A9}">
  <ds:schemaRefs>
    <ds:schemaRef ds:uri="http://schemas.microsoft.com/sharepoint/v3/contenttype/forms"/>
  </ds:schemaRefs>
</ds:datastoreItem>
</file>

<file path=customXml/itemProps2.xml><?xml version="1.0" encoding="utf-8"?>
<ds:datastoreItem xmlns:ds="http://schemas.openxmlformats.org/officeDocument/2006/customXml" ds:itemID="{9061AEE1-4FBD-4B22-AEEC-B843E643638A}">
  <ds:schemaRefs>
    <ds:schemaRef ds:uri="http://schemas.microsoft.com/office/2006/metadata/properties"/>
    <ds:schemaRef ds:uri="http://schemas.microsoft.com/office/infopath/2007/PartnerControls"/>
    <ds:schemaRef ds:uri="2afa1a33-c191-48ee-b288-192490d33fec"/>
  </ds:schemaRefs>
</ds:datastoreItem>
</file>

<file path=customXml/itemProps3.xml><?xml version="1.0" encoding="utf-8"?>
<ds:datastoreItem xmlns:ds="http://schemas.openxmlformats.org/officeDocument/2006/customXml" ds:itemID="{728E68E9-EB29-40C1-AAD5-9A2ED92E4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fb88f-3a1f-4799-a700-b6f357ce1403"/>
    <ds:schemaRef ds:uri="2afa1a33-c191-48ee-b288-192490d33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89C287-5EE3-4789-9DFA-DAEBDD467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Submission Template</Template>
  <TotalTime>1</TotalTime>
  <Pages>9</Pages>
  <Words>3536</Words>
  <Characters>20157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Sarkoezy</dc:creator>
  <cp:lastModifiedBy>Megan Ward</cp:lastModifiedBy>
  <cp:revision>2</cp:revision>
  <dcterms:created xsi:type="dcterms:W3CDTF">2021-07-21T07:04:00Z</dcterms:created>
  <dcterms:modified xsi:type="dcterms:W3CDTF">2021-07-21T07:04:00Z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0x01010065CB11904FCB124BB6ADC686B50405ED</vt:lpwstr>
  </property>
</Properties>
</file>