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9845" w14:textId="77777777" w:rsidR="002B7967" w:rsidRPr="002B7967" w:rsidRDefault="002778D0" w:rsidP="2AB23108">
      <w:pPr>
        <w:pStyle w:val="Title"/>
        <w:ind w:firstLine="720"/>
        <w:rPr>
          <w:i/>
          <w:iCs/>
        </w:rPr>
      </w:pPr>
      <w:r>
        <w:t xml:space="preserve">ACCAN response to </w:t>
      </w:r>
      <w:bookmarkStart w:id="0" w:name="_Hlk81386098"/>
      <w:r w:rsidR="002B7967" w:rsidRPr="002B7967">
        <w:rPr>
          <w:i/>
          <w:iCs/>
        </w:rPr>
        <w:t>Consumer vulnerability: expectations for the telecommunications industry</w:t>
      </w:r>
    </w:p>
    <w:bookmarkEnd w:id="0"/>
    <w:p w14:paraId="3A4617BC" w14:textId="465DBCF5" w:rsidR="005820C9" w:rsidRPr="002B7967" w:rsidRDefault="005820C9" w:rsidP="002B7967">
      <w:pPr>
        <w:pStyle w:val="Title"/>
        <w:rPr>
          <w:i/>
          <w:iCs/>
        </w:rPr>
      </w:pPr>
    </w:p>
    <w:p w14:paraId="2E096136" w14:textId="3118B029" w:rsidR="009F4B9D" w:rsidRPr="003441E5" w:rsidRDefault="009F4B9D" w:rsidP="00AE3C9B">
      <w:pPr>
        <w:pStyle w:val="Subtitle"/>
      </w:pPr>
      <w:r w:rsidRPr="003441E5">
        <w:t>Submission by the Australian Communications Consumer Action Network</w:t>
      </w:r>
      <w:r w:rsidR="0013514F">
        <w:t xml:space="preserve"> (ACCAN)</w:t>
      </w:r>
      <w:r w:rsidRPr="003441E5">
        <w:t xml:space="preserve"> to the</w:t>
      </w:r>
      <w:r w:rsidR="002778D0">
        <w:t xml:space="preserve"> </w:t>
      </w:r>
      <w:r w:rsidR="002B7967">
        <w:t>Australian Communications and Media Authority</w:t>
      </w:r>
    </w:p>
    <w:p w14:paraId="38E32D42" w14:textId="36C0A55B" w:rsidR="009F4B9D" w:rsidRPr="003441E5" w:rsidRDefault="005F5BC8" w:rsidP="00AE3C9B">
      <w:pPr>
        <w:pStyle w:val="Subtitle"/>
      </w:pPr>
      <w:r>
        <w:t>10</w:t>
      </w:r>
      <w:r w:rsidR="002778D0" w:rsidRPr="00754287">
        <w:t xml:space="preserve"> </w:t>
      </w:r>
      <w:r w:rsidR="00CD3495" w:rsidRPr="00754287">
        <w:t>September</w:t>
      </w:r>
      <w:r w:rsidR="002778D0" w:rsidRPr="00754287">
        <w:t xml:space="preserve"> 202</w:t>
      </w:r>
      <w:r w:rsidR="002B7967">
        <w:t>1</w:t>
      </w:r>
    </w:p>
    <w:p w14:paraId="7E4C123E" w14:textId="29D16D0E" w:rsidR="009F4B9D" w:rsidRPr="00D80FB7" w:rsidRDefault="009F4B9D" w:rsidP="002535E9">
      <w:pPr>
        <w:rPr>
          <w:sz w:val="18"/>
          <w:szCs w:val="18"/>
          <w:lang w:eastAsia="en-US"/>
        </w:rPr>
      </w:pPr>
      <w:r w:rsidRPr="00D80FB7">
        <w:rPr>
          <w:sz w:val="18"/>
          <w:szCs w:val="18"/>
          <w:lang w:eastAsia="en-US"/>
        </w:rPr>
        <w:br w:type="page"/>
      </w:r>
    </w:p>
    <w:p w14:paraId="4764C97D" w14:textId="77777777" w:rsidR="009F4B9D" w:rsidRPr="003441E5" w:rsidRDefault="009F4B9D" w:rsidP="00884AF1">
      <w:pPr>
        <w:pStyle w:val="About"/>
      </w:pPr>
      <w:r w:rsidRPr="003441E5">
        <w:lastRenderedPageBreak/>
        <w:t xml:space="preserve">About ACCAN </w:t>
      </w:r>
    </w:p>
    <w:p w14:paraId="009288B8" w14:textId="77777777" w:rsidR="009F4B9D" w:rsidRPr="003441E5" w:rsidRDefault="009F4B9D" w:rsidP="00884AF1">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1093B930" w14:textId="77777777" w:rsidR="00A615CC" w:rsidRPr="003441E5" w:rsidRDefault="00A615CC" w:rsidP="00884AF1">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0E341EB7" w14:textId="77777777" w:rsidR="009F4B9D" w:rsidRPr="003441E5" w:rsidRDefault="009F4B9D" w:rsidP="00884AF1">
      <w:pPr>
        <w:pStyle w:val="About"/>
      </w:pPr>
      <w:r w:rsidRPr="003441E5">
        <w:t>Contact</w:t>
      </w:r>
    </w:p>
    <w:p w14:paraId="179B185E" w14:textId="518EADDA" w:rsidR="00BF754D" w:rsidRDefault="007E526F" w:rsidP="00814F3F">
      <w:pPr>
        <w:jc w:val="left"/>
      </w:pPr>
      <w:r>
        <w:t xml:space="preserve">PO Box A1158 Sydney South, NSW 1235 </w:t>
      </w:r>
      <w:r w:rsidR="00BE6B96">
        <w:br/>
      </w:r>
      <w:r w:rsidR="009F4B9D" w:rsidRPr="003441E5">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r>
      <w:r w:rsidR="00BF754D">
        <w:t xml:space="preserve">Contact us through the </w:t>
      </w:r>
      <w:hyperlink r:id="rId12" w:history="1">
        <w:r w:rsidR="00BF754D" w:rsidRPr="00FE6EAF">
          <w:rPr>
            <w:rStyle w:val="Hyperlink"/>
          </w:rPr>
          <w:t>National Relay Service</w:t>
        </w:r>
      </w:hyperlink>
    </w:p>
    <w:p w14:paraId="3402970E" w14:textId="65169AF9" w:rsidR="009F4B9D" w:rsidRPr="003441E5" w:rsidRDefault="009F4B9D" w:rsidP="00884AF1"/>
    <w:sdt>
      <w:sdtPr>
        <w:rPr>
          <w:rFonts w:eastAsiaTheme="minorEastAsia" w:cstheme="minorBidi"/>
          <w:bCs w:val="0"/>
          <w:sz w:val="23"/>
          <w:szCs w:val="22"/>
          <w:lang w:eastAsia="en-AU"/>
        </w:rPr>
        <w:id w:val="-39521029"/>
        <w:docPartObj>
          <w:docPartGallery w:val="Table of Contents"/>
          <w:docPartUnique/>
        </w:docPartObj>
      </w:sdtPr>
      <w:sdtEndPr>
        <w:rPr>
          <w:noProof/>
          <w:sz w:val="22"/>
        </w:rPr>
      </w:sdtEndPr>
      <w:sdtContent>
        <w:p w14:paraId="6269C3CF" w14:textId="77777777" w:rsidR="00EC1696" w:rsidRPr="003441E5" w:rsidRDefault="00EC1696" w:rsidP="004C2BAA">
          <w:pPr>
            <w:pStyle w:val="TOCHeading"/>
            <w:jc w:val="both"/>
          </w:pPr>
          <w:r w:rsidRPr="003441E5">
            <w:t>Contents</w:t>
          </w:r>
        </w:p>
        <w:p w14:paraId="1D2FB380" w14:textId="24F95D14" w:rsidR="00CE097A"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82181485" w:history="1">
            <w:r w:rsidR="00CE097A" w:rsidRPr="00A81376">
              <w:rPr>
                <w:rStyle w:val="Hyperlink"/>
                <w:noProof/>
              </w:rPr>
              <w:t>Executive Summary</w:t>
            </w:r>
            <w:r w:rsidR="00CE097A">
              <w:rPr>
                <w:noProof/>
                <w:webHidden/>
              </w:rPr>
              <w:tab/>
            </w:r>
            <w:r w:rsidR="00CE097A">
              <w:rPr>
                <w:noProof/>
                <w:webHidden/>
              </w:rPr>
              <w:fldChar w:fldCharType="begin"/>
            </w:r>
            <w:r w:rsidR="00CE097A">
              <w:rPr>
                <w:noProof/>
                <w:webHidden/>
              </w:rPr>
              <w:instrText xml:space="preserve"> PAGEREF _Toc82181485 \h </w:instrText>
            </w:r>
            <w:r w:rsidR="00CE097A">
              <w:rPr>
                <w:noProof/>
                <w:webHidden/>
              </w:rPr>
            </w:r>
            <w:r w:rsidR="00CE097A">
              <w:rPr>
                <w:noProof/>
                <w:webHidden/>
              </w:rPr>
              <w:fldChar w:fldCharType="separate"/>
            </w:r>
            <w:r w:rsidR="00BC459D">
              <w:rPr>
                <w:noProof/>
                <w:webHidden/>
              </w:rPr>
              <w:t>4</w:t>
            </w:r>
            <w:r w:rsidR="00CE097A">
              <w:rPr>
                <w:noProof/>
                <w:webHidden/>
              </w:rPr>
              <w:fldChar w:fldCharType="end"/>
            </w:r>
          </w:hyperlink>
        </w:p>
        <w:p w14:paraId="4A0600BA" w14:textId="09942AC5" w:rsidR="00CE097A" w:rsidRDefault="00E2790C">
          <w:pPr>
            <w:pStyle w:val="TOC1"/>
            <w:rPr>
              <w:rFonts w:asciiTheme="minorHAnsi" w:hAnsiTheme="minorHAnsi"/>
              <w:noProof/>
            </w:rPr>
          </w:pPr>
          <w:hyperlink w:anchor="_Toc82181486" w:history="1">
            <w:r w:rsidR="00CE097A" w:rsidRPr="00A81376">
              <w:rPr>
                <w:rStyle w:val="Hyperlink"/>
                <w:noProof/>
              </w:rPr>
              <w:t>List of recommendations</w:t>
            </w:r>
            <w:r w:rsidR="00CE097A">
              <w:rPr>
                <w:noProof/>
                <w:webHidden/>
              </w:rPr>
              <w:tab/>
            </w:r>
            <w:r w:rsidR="00CE097A">
              <w:rPr>
                <w:noProof/>
                <w:webHidden/>
              </w:rPr>
              <w:fldChar w:fldCharType="begin"/>
            </w:r>
            <w:r w:rsidR="00CE097A">
              <w:rPr>
                <w:noProof/>
                <w:webHidden/>
              </w:rPr>
              <w:instrText xml:space="preserve"> PAGEREF _Toc82181486 \h </w:instrText>
            </w:r>
            <w:r w:rsidR="00CE097A">
              <w:rPr>
                <w:noProof/>
                <w:webHidden/>
              </w:rPr>
            </w:r>
            <w:r w:rsidR="00CE097A">
              <w:rPr>
                <w:noProof/>
                <w:webHidden/>
              </w:rPr>
              <w:fldChar w:fldCharType="separate"/>
            </w:r>
            <w:r w:rsidR="00BC459D">
              <w:rPr>
                <w:noProof/>
                <w:webHidden/>
              </w:rPr>
              <w:t>5</w:t>
            </w:r>
            <w:r w:rsidR="00CE097A">
              <w:rPr>
                <w:noProof/>
                <w:webHidden/>
              </w:rPr>
              <w:fldChar w:fldCharType="end"/>
            </w:r>
          </w:hyperlink>
        </w:p>
        <w:p w14:paraId="6356C77E" w14:textId="7CF2BE00" w:rsidR="00CE097A" w:rsidRDefault="00E2790C">
          <w:pPr>
            <w:pStyle w:val="TOC1"/>
            <w:rPr>
              <w:rFonts w:asciiTheme="minorHAnsi" w:hAnsiTheme="minorHAnsi"/>
              <w:noProof/>
            </w:rPr>
          </w:pPr>
          <w:hyperlink w:anchor="_Toc82181487" w:history="1">
            <w:r w:rsidR="00CE097A" w:rsidRPr="00A81376">
              <w:rPr>
                <w:rStyle w:val="Hyperlink"/>
                <w:noProof/>
              </w:rPr>
              <w:t>1.</w:t>
            </w:r>
            <w:r w:rsidR="00CE097A">
              <w:rPr>
                <w:rFonts w:asciiTheme="minorHAnsi" w:hAnsiTheme="minorHAnsi"/>
                <w:noProof/>
              </w:rPr>
              <w:tab/>
            </w:r>
            <w:r w:rsidR="00CE097A" w:rsidRPr="00A81376">
              <w:rPr>
                <w:rStyle w:val="Hyperlink"/>
                <w:noProof/>
              </w:rPr>
              <w:t>General comments</w:t>
            </w:r>
            <w:r w:rsidR="00CE097A">
              <w:rPr>
                <w:noProof/>
                <w:webHidden/>
              </w:rPr>
              <w:tab/>
            </w:r>
            <w:r w:rsidR="00CE097A">
              <w:rPr>
                <w:noProof/>
                <w:webHidden/>
              </w:rPr>
              <w:fldChar w:fldCharType="begin"/>
            </w:r>
            <w:r w:rsidR="00CE097A">
              <w:rPr>
                <w:noProof/>
                <w:webHidden/>
              </w:rPr>
              <w:instrText xml:space="preserve"> PAGEREF _Toc82181487 \h </w:instrText>
            </w:r>
            <w:r w:rsidR="00CE097A">
              <w:rPr>
                <w:noProof/>
                <w:webHidden/>
              </w:rPr>
            </w:r>
            <w:r w:rsidR="00CE097A">
              <w:rPr>
                <w:noProof/>
                <w:webHidden/>
              </w:rPr>
              <w:fldChar w:fldCharType="separate"/>
            </w:r>
            <w:r w:rsidR="00BC459D">
              <w:rPr>
                <w:noProof/>
                <w:webHidden/>
              </w:rPr>
              <w:t>6</w:t>
            </w:r>
            <w:r w:rsidR="00CE097A">
              <w:rPr>
                <w:noProof/>
                <w:webHidden/>
              </w:rPr>
              <w:fldChar w:fldCharType="end"/>
            </w:r>
          </w:hyperlink>
        </w:p>
        <w:p w14:paraId="13302A82" w14:textId="6E773866" w:rsidR="00CE097A" w:rsidRDefault="00E2790C">
          <w:pPr>
            <w:pStyle w:val="TOC2"/>
            <w:rPr>
              <w:rFonts w:asciiTheme="minorHAnsi" w:hAnsiTheme="minorHAnsi"/>
            </w:rPr>
          </w:pPr>
          <w:hyperlink w:anchor="_Toc82181488" w:history="1">
            <w:r w:rsidR="00CE097A" w:rsidRPr="00A81376">
              <w:rPr>
                <w:rStyle w:val="Hyperlink"/>
              </w:rPr>
              <w:t>1.1.</w:t>
            </w:r>
            <w:r w:rsidR="00CE097A">
              <w:rPr>
                <w:rFonts w:asciiTheme="minorHAnsi" w:hAnsiTheme="minorHAnsi"/>
              </w:rPr>
              <w:tab/>
            </w:r>
            <w:r w:rsidR="00CE097A" w:rsidRPr="00A81376">
              <w:rPr>
                <w:rStyle w:val="Hyperlink"/>
              </w:rPr>
              <w:t>Telcos should treat all consumers fairly</w:t>
            </w:r>
            <w:r w:rsidR="00CE097A">
              <w:rPr>
                <w:webHidden/>
              </w:rPr>
              <w:tab/>
            </w:r>
            <w:r w:rsidR="00CE097A">
              <w:rPr>
                <w:webHidden/>
              </w:rPr>
              <w:fldChar w:fldCharType="begin"/>
            </w:r>
            <w:r w:rsidR="00CE097A">
              <w:rPr>
                <w:webHidden/>
              </w:rPr>
              <w:instrText xml:space="preserve"> PAGEREF _Toc82181488 \h </w:instrText>
            </w:r>
            <w:r w:rsidR="00CE097A">
              <w:rPr>
                <w:webHidden/>
              </w:rPr>
            </w:r>
            <w:r w:rsidR="00CE097A">
              <w:rPr>
                <w:webHidden/>
              </w:rPr>
              <w:fldChar w:fldCharType="separate"/>
            </w:r>
            <w:r w:rsidR="00BC459D">
              <w:rPr>
                <w:webHidden/>
              </w:rPr>
              <w:t>6</w:t>
            </w:r>
            <w:r w:rsidR="00CE097A">
              <w:rPr>
                <w:webHidden/>
              </w:rPr>
              <w:fldChar w:fldCharType="end"/>
            </w:r>
          </w:hyperlink>
        </w:p>
        <w:p w14:paraId="39DB68C3" w14:textId="2C2C7512" w:rsidR="00CE097A" w:rsidRDefault="00E2790C">
          <w:pPr>
            <w:pStyle w:val="TOC2"/>
            <w:rPr>
              <w:rFonts w:asciiTheme="minorHAnsi" w:hAnsiTheme="minorHAnsi"/>
            </w:rPr>
          </w:pPr>
          <w:hyperlink w:anchor="_Toc82181489" w:history="1">
            <w:r w:rsidR="00CE097A" w:rsidRPr="00A81376">
              <w:rPr>
                <w:rStyle w:val="Hyperlink"/>
              </w:rPr>
              <w:t>1.2.</w:t>
            </w:r>
            <w:r w:rsidR="00CE097A">
              <w:rPr>
                <w:rFonts w:asciiTheme="minorHAnsi" w:hAnsiTheme="minorHAnsi"/>
              </w:rPr>
              <w:tab/>
            </w:r>
            <w:r w:rsidR="00CE097A" w:rsidRPr="00A81376">
              <w:rPr>
                <w:rStyle w:val="Hyperlink"/>
              </w:rPr>
              <w:t>Telcos should do better when supporting consumers experiencing vulnerability</w:t>
            </w:r>
            <w:r w:rsidR="00CE097A">
              <w:rPr>
                <w:webHidden/>
              </w:rPr>
              <w:tab/>
            </w:r>
            <w:r w:rsidR="00CE097A">
              <w:rPr>
                <w:webHidden/>
              </w:rPr>
              <w:fldChar w:fldCharType="begin"/>
            </w:r>
            <w:r w:rsidR="00CE097A">
              <w:rPr>
                <w:webHidden/>
              </w:rPr>
              <w:instrText xml:space="preserve"> PAGEREF _Toc82181489 \h </w:instrText>
            </w:r>
            <w:r w:rsidR="00CE097A">
              <w:rPr>
                <w:webHidden/>
              </w:rPr>
            </w:r>
            <w:r w:rsidR="00CE097A">
              <w:rPr>
                <w:webHidden/>
              </w:rPr>
              <w:fldChar w:fldCharType="separate"/>
            </w:r>
            <w:r w:rsidR="00BC459D">
              <w:rPr>
                <w:webHidden/>
              </w:rPr>
              <w:t>7</w:t>
            </w:r>
            <w:r w:rsidR="00CE097A">
              <w:rPr>
                <w:webHidden/>
              </w:rPr>
              <w:fldChar w:fldCharType="end"/>
            </w:r>
          </w:hyperlink>
        </w:p>
        <w:p w14:paraId="314EC8C6" w14:textId="09C99FD0" w:rsidR="00CE097A" w:rsidRDefault="00E2790C">
          <w:pPr>
            <w:pStyle w:val="TOC2"/>
            <w:rPr>
              <w:rFonts w:asciiTheme="minorHAnsi" w:hAnsiTheme="minorHAnsi"/>
            </w:rPr>
          </w:pPr>
          <w:hyperlink w:anchor="_Toc82181490" w:history="1">
            <w:r w:rsidR="00CE097A" w:rsidRPr="00A81376">
              <w:rPr>
                <w:rStyle w:val="Hyperlink"/>
              </w:rPr>
              <w:t>1.3.</w:t>
            </w:r>
            <w:r w:rsidR="00CE097A">
              <w:rPr>
                <w:rFonts w:asciiTheme="minorHAnsi" w:hAnsiTheme="minorHAnsi"/>
              </w:rPr>
              <w:tab/>
            </w:r>
            <w:r w:rsidR="00CE097A" w:rsidRPr="00A81376">
              <w:rPr>
                <w:rStyle w:val="Hyperlink"/>
              </w:rPr>
              <w:t>The SoE’s outcomes and examples need more clarity and detail, and adoption of the SoE should be monitored</w:t>
            </w:r>
            <w:r w:rsidR="00CE097A">
              <w:rPr>
                <w:webHidden/>
              </w:rPr>
              <w:tab/>
            </w:r>
            <w:r w:rsidR="00CE097A">
              <w:rPr>
                <w:webHidden/>
              </w:rPr>
              <w:fldChar w:fldCharType="begin"/>
            </w:r>
            <w:r w:rsidR="00CE097A">
              <w:rPr>
                <w:webHidden/>
              </w:rPr>
              <w:instrText xml:space="preserve"> PAGEREF _Toc82181490 \h </w:instrText>
            </w:r>
            <w:r w:rsidR="00CE097A">
              <w:rPr>
                <w:webHidden/>
              </w:rPr>
            </w:r>
            <w:r w:rsidR="00CE097A">
              <w:rPr>
                <w:webHidden/>
              </w:rPr>
              <w:fldChar w:fldCharType="separate"/>
            </w:r>
            <w:r w:rsidR="00BC459D">
              <w:rPr>
                <w:webHidden/>
              </w:rPr>
              <w:t>8</w:t>
            </w:r>
            <w:r w:rsidR="00CE097A">
              <w:rPr>
                <w:webHidden/>
              </w:rPr>
              <w:fldChar w:fldCharType="end"/>
            </w:r>
          </w:hyperlink>
        </w:p>
        <w:p w14:paraId="367915CB" w14:textId="270B73D8" w:rsidR="00CE097A" w:rsidRDefault="00E2790C">
          <w:pPr>
            <w:pStyle w:val="TOC2"/>
            <w:rPr>
              <w:rFonts w:asciiTheme="minorHAnsi" w:hAnsiTheme="minorHAnsi"/>
            </w:rPr>
          </w:pPr>
          <w:hyperlink w:anchor="_Toc82181491" w:history="1">
            <w:r w:rsidR="00CE097A" w:rsidRPr="00A81376">
              <w:rPr>
                <w:rStyle w:val="Hyperlink"/>
              </w:rPr>
              <w:t>1.4.</w:t>
            </w:r>
            <w:r w:rsidR="00CE097A">
              <w:rPr>
                <w:rFonts w:asciiTheme="minorHAnsi" w:hAnsiTheme="minorHAnsi"/>
              </w:rPr>
              <w:tab/>
            </w:r>
            <w:r w:rsidR="00CE097A" w:rsidRPr="00A81376">
              <w:rPr>
                <w:rStyle w:val="Hyperlink"/>
              </w:rPr>
              <w:t>The SoE should emphasise proactive support, performance monitoring and improvement</w:t>
            </w:r>
            <w:r w:rsidR="00CE097A">
              <w:rPr>
                <w:webHidden/>
              </w:rPr>
              <w:tab/>
            </w:r>
            <w:r w:rsidR="00CE097A">
              <w:rPr>
                <w:webHidden/>
              </w:rPr>
              <w:fldChar w:fldCharType="begin"/>
            </w:r>
            <w:r w:rsidR="00CE097A">
              <w:rPr>
                <w:webHidden/>
              </w:rPr>
              <w:instrText xml:space="preserve"> PAGEREF _Toc82181491 \h </w:instrText>
            </w:r>
            <w:r w:rsidR="00CE097A">
              <w:rPr>
                <w:webHidden/>
              </w:rPr>
            </w:r>
            <w:r w:rsidR="00CE097A">
              <w:rPr>
                <w:webHidden/>
              </w:rPr>
              <w:fldChar w:fldCharType="separate"/>
            </w:r>
            <w:r w:rsidR="00BC459D">
              <w:rPr>
                <w:webHidden/>
              </w:rPr>
              <w:t>9</w:t>
            </w:r>
            <w:r w:rsidR="00CE097A">
              <w:rPr>
                <w:webHidden/>
              </w:rPr>
              <w:fldChar w:fldCharType="end"/>
            </w:r>
          </w:hyperlink>
        </w:p>
        <w:p w14:paraId="5E45D99F" w14:textId="146D886A" w:rsidR="00CE097A" w:rsidRDefault="00E2790C">
          <w:pPr>
            <w:pStyle w:val="TOC2"/>
            <w:rPr>
              <w:rFonts w:asciiTheme="minorHAnsi" w:hAnsiTheme="minorHAnsi"/>
            </w:rPr>
          </w:pPr>
          <w:hyperlink w:anchor="_Toc82181492" w:history="1">
            <w:r w:rsidR="00CE097A" w:rsidRPr="00A81376">
              <w:rPr>
                <w:rStyle w:val="Hyperlink"/>
              </w:rPr>
              <w:t>1.5.</w:t>
            </w:r>
            <w:r w:rsidR="00CE097A">
              <w:rPr>
                <w:rFonts w:asciiTheme="minorHAnsi" w:hAnsiTheme="minorHAnsi"/>
              </w:rPr>
              <w:tab/>
            </w:r>
            <w:r w:rsidR="00CE097A" w:rsidRPr="00A81376">
              <w:rPr>
                <w:rStyle w:val="Hyperlink"/>
              </w:rPr>
              <w:t>Telco consumer protection rules need to be reviewed &amp; improved</w:t>
            </w:r>
            <w:r w:rsidR="00CE097A">
              <w:rPr>
                <w:webHidden/>
              </w:rPr>
              <w:tab/>
            </w:r>
            <w:r w:rsidR="00CE097A">
              <w:rPr>
                <w:webHidden/>
              </w:rPr>
              <w:fldChar w:fldCharType="begin"/>
            </w:r>
            <w:r w:rsidR="00CE097A">
              <w:rPr>
                <w:webHidden/>
              </w:rPr>
              <w:instrText xml:space="preserve"> PAGEREF _Toc82181492 \h </w:instrText>
            </w:r>
            <w:r w:rsidR="00CE097A">
              <w:rPr>
                <w:webHidden/>
              </w:rPr>
            </w:r>
            <w:r w:rsidR="00CE097A">
              <w:rPr>
                <w:webHidden/>
              </w:rPr>
              <w:fldChar w:fldCharType="separate"/>
            </w:r>
            <w:r w:rsidR="00BC459D">
              <w:rPr>
                <w:webHidden/>
              </w:rPr>
              <w:t>9</w:t>
            </w:r>
            <w:r w:rsidR="00CE097A">
              <w:rPr>
                <w:webHidden/>
              </w:rPr>
              <w:fldChar w:fldCharType="end"/>
            </w:r>
          </w:hyperlink>
        </w:p>
        <w:p w14:paraId="38BA908A" w14:textId="1619D02E" w:rsidR="00CE097A" w:rsidRDefault="00E2790C">
          <w:pPr>
            <w:pStyle w:val="TOC1"/>
            <w:rPr>
              <w:rFonts w:asciiTheme="minorHAnsi" w:hAnsiTheme="minorHAnsi"/>
              <w:noProof/>
            </w:rPr>
          </w:pPr>
          <w:hyperlink w:anchor="_Toc82181493" w:history="1">
            <w:r w:rsidR="00CE097A" w:rsidRPr="00A81376">
              <w:rPr>
                <w:rStyle w:val="Hyperlink"/>
                <w:noProof/>
              </w:rPr>
              <w:t>2.</w:t>
            </w:r>
            <w:r w:rsidR="00CE097A">
              <w:rPr>
                <w:rFonts w:asciiTheme="minorHAnsi" w:hAnsiTheme="minorHAnsi"/>
                <w:noProof/>
              </w:rPr>
              <w:tab/>
            </w:r>
            <w:r w:rsidR="00CE097A" w:rsidRPr="00A81376">
              <w:rPr>
                <w:rStyle w:val="Hyperlink"/>
                <w:noProof/>
              </w:rPr>
              <w:t>Issues for comment</w:t>
            </w:r>
            <w:r w:rsidR="00CE097A">
              <w:rPr>
                <w:noProof/>
                <w:webHidden/>
              </w:rPr>
              <w:tab/>
            </w:r>
            <w:r w:rsidR="00CE097A">
              <w:rPr>
                <w:noProof/>
                <w:webHidden/>
              </w:rPr>
              <w:fldChar w:fldCharType="begin"/>
            </w:r>
            <w:r w:rsidR="00CE097A">
              <w:rPr>
                <w:noProof/>
                <w:webHidden/>
              </w:rPr>
              <w:instrText xml:space="preserve"> PAGEREF _Toc82181493 \h </w:instrText>
            </w:r>
            <w:r w:rsidR="00CE097A">
              <w:rPr>
                <w:noProof/>
                <w:webHidden/>
              </w:rPr>
            </w:r>
            <w:r w:rsidR="00CE097A">
              <w:rPr>
                <w:noProof/>
                <w:webHidden/>
              </w:rPr>
              <w:fldChar w:fldCharType="separate"/>
            </w:r>
            <w:r w:rsidR="00BC459D">
              <w:rPr>
                <w:noProof/>
                <w:webHidden/>
              </w:rPr>
              <w:t>11</w:t>
            </w:r>
            <w:r w:rsidR="00CE097A">
              <w:rPr>
                <w:noProof/>
                <w:webHidden/>
              </w:rPr>
              <w:fldChar w:fldCharType="end"/>
            </w:r>
          </w:hyperlink>
        </w:p>
        <w:p w14:paraId="6847C78F" w14:textId="76E099B4" w:rsidR="00CE097A" w:rsidRDefault="00E2790C">
          <w:pPr>
            <w:pStyle w:val="TOC2"/>
            <w:rPr>
              <w:rFonts w:asciiTheme="minorHAnsi" w:hAnsiTheme="minorHAnsi"/>
            </w:rPr>
          </w:pPr>
          <w:hyperlink w:anchor="_Toc82181494" w:history="1">
            <w:r w:rsidR="00CE097A" w:rsidRPr="00A81376">
              <w:rPr>
                <w:rStyle w:val="Hyperlink"/>
              </w:rPr>
              <w:t>2.1.</w:t>
            </w:r>
            <w:r w:rsidR="00CE097A">
              <w:rPr>
                <w:rFonts w:asciiTheme="minorHAnsi" w:hAnsiTheme="minorHAnsi"/>
              </w:rPr>
              <w:tab/>
            </w:r>
            <w:r w:rsidR="00CE097A" w:rsidRPr="00A81376">
              <w:rPr>
                <w:rStyle w:val="Hyperlink"/>
              </w:rPr>
              <w:t>Identifying consumers in vulnerable circumstances</w:t>
            </w:r>
            <w:r w:rsidR="00CE097A">
              <w:rPr>
                <w:webHidden/>
              </w:rPr>
              <w:tab/>
            </w:r>
            <w:r w:rsidR="00CE097A">
              <w:rPr>
                <w:webHidden/>
              </w:rPr>
              <w:fldChar w:fldCharType="begin"/>
            </w:r>
            <w:r w:rsidR="00CE097A">
              <w:rPr>
                <w:webHidden/>
              </w:rPr>
              <w:instrText xml:space="preserve"> PAGEREF _Toc82181494 \h </w:instrText>
            </w:r>
            <w:r w:rsidR="00CE097A">
              <w:rPr>
                <w:webHidden/>
              </w:rPr>
            </w:r>
            <w:r w:rsidR="00CE097A">
              <w:rPr>
                <w:webHidden/>
              </w:rPr>
              <w:fldChar w:fldCharType="separate"/>
            </w:r>
            <w:r w:rsidR="00BC459D">
              <w:rPr>
                <w:webHidden/>
              </w:rPr>
              <w:t>11</w:t>
            </w:r>
            <w:r w:rsidR="00CE097A">
              <w:rPr>
                <w:webHidden/>
              </w:rPr>
              <w:fldChar w:fldCharType="end"/>
            </w:r>
          </w:hyperlink>
        </w:p>
        <w:p w14:paraId="24BFB974" w14:textId="35A73212" w:rsidR="00CE097A" w:rsidRDefault="00E2790C">
          <w:pPr>
            <w:pStyle w:val="TOC3"/>
            <w:rPr>
              <w:rFonts w:asciiTheme="minorHAnsi" w:hAnsiTheme="minorHAnsi"/>
            </w:rPr>
          </w:pPr>
          <w:hyperlink w:anchor="_Toc82181495" w:history="1">
            <w:r w:rsidR="00CE097A" w:rsidRPr="00A81376">
              <w:rPr>
                <w:rStyle w:val="Hyperlink"/>
              </w:rPr>
              <w:t>Question 1</w:t>
            </w:r>
            <w:r w:rsidR="00CE097A">
              <w:rPr>
                <w:webHidden/>
              </w:rPr>
              <w:tab/>
            </w:r>
            <w:r w:rsidR="00CE097A">
              <w:rPr>
                <w:webHidden/>
              </w:rPr>
              <w:fldChar w:fldCharType="begin"/>
            </w:r>
            <w:r w:rsidR="00CE097A">
              <w:rPr>
                <w:webHidden/>
              </w:rPr>
              <w:instrText xml:space="preserve"> PAGEREF _Toc82181495 \h </w:instrText>
            </w:r>
            <w:r w:rsidR="00CE097A">
              <w:rPr>
                <w:webHidden/>
              </w:rPr>
            </w:r>
            <w:r w:rsidR="00CE097A">
              <w:rPr>
                <w:webHidden/>
              </w:rPr>
              <w:fldChar w:fldCharType="separate"/>
            </w:r>
            <w:r w:rsidR="00BC459D">
              <w:rPr>
                <w:webHidden/>
              </w:rPr>
              <w:t>11</w:t>
            </w:r>
            <w:r w:rsidR="00CE097A">
              <w:rPr>
                <w:webHidden/>
              </w:rPr>
              <w:fldChar w:fldCharType="end"/>
            </w:r>
          </w:hyperlink>
        </w:p>
        <w:p w14:paraId="6A3A5E52" w14:textId="1B46A999" w:rsidR="00CE097A" w:rsidRDefault="00E2790C">
          <w:pPr>
            <w:pStyle w:val="TOC2"/>
            <w:rPr>
              <w:rFonts w:asciiTheme="minorHAnsi" w:hAnsiTheme="minorHAnsi"/>
            </w:rPr>
          </w:pPr>
          <w:hyperlink w:anchor="_Toc82181496" w:history="1">
            <w:r w:rsidR="00CE097A" w:rsidRPr="00A81376">
              <w:rPr>
                <w:rStyle w:val="Hyperlink"/>
              </w:rPr>
              <w:t>2.2.</w:t>
            </w:r>
            <w:r w:rsidR="00CE097A">
              <w:rPr>
                <w:rFonts w:asciiTheme="minorHAnsi" w:hAnsiTheme="minorHAnsi"/>
              </w:rPr>
              <w:tab/>
            </w:r>
            <w:r w:rsidR="00CE097A" w:rsidRPr="00A81376">
              <w:rPr>
                <w:rStyle w:val="Hyperlink"/>
              </w:rPr>
              <w:t>Setting expectations for telcos – priority areas</w:t>
            </w:r>
            <w:r w:rsidR="00CE097A">
              <w:rPr>
                <w:webHidden/>
              </w:rPr>
              <w:tab/>
            </w:r>
            <w:r w:rsidR="00CE097A">
              <w:rPr>
                <w:webHidden/>
              </w:rPr>
              <w:fldChar w:fldCharType="begin"/>
            </w:r>
            <w:r w:rsidR="00CE097A">
              <w:rPr>
                <w:webHidden/>
              </w:rPr>
              <w:instrText xml:space="preserve"> PAGEREF _Toc82181496 \h </w:instrText>
            </w:r>
            <w:r w:rsidR="00CE097A">
              <w:rPr>
                <w:webHidden/>
              </w:rPr>
            </w:r>
            <w:r w:rsidR="00CE097A">
              <w:rPr>
                <w:webHidden/>
              </w:rPr>
              <w:fldChar w:fldCharType="separate"/>
            </w:r>
            <w:r w:rsidR="00BC459D">
              <w:rPr>
                <w:webHidden/>
              </w:rPr>
              <w:t>12</w:t>
            </w:r>
            <w:r w:rsidR="00CE097A">
              <w:rPr>
                <w:webHidden/>
              </w:rPr>
              <w:fldChar w:fldCharType="end"/>
            </w:r>
          </w:hyperlink>
        </w:p>
        <w:p w14:paraId="5C415F0E" w14:textId="6C432956" w:rsidR="00CE097A" w:rsidRDefault="00E2790C">
          <w:pPr>
            <w:pStyle w:val="TOC3"/>
            <w:rPr>
              <w:rFonts w:asciiTheme="minorHAnsi" w:hAnsiTheme="minorHAnsi"/>
            </w:rPr>
          </w:pPr>
          <w:hyperlink w:anchor="_Toc82181497" w:history="1">
            <w:r w:rsidR="00CE097A" w:rsidRPr="00A81376">
              <w:rPr>
                <w:rStyle w:val="Hyperlink"/>
              </w:rPr>
              <w:t>Question 2</w:t>
            </w:r>
            <w:r w:rsidR="00CE097A">
              <w:rPr>
                <w:webHidden/>
              </w:rPr>
              <w:tab/>
            </w:r>
            <w:r w:rsidR="00CE097A">
              <w:rPr>
                <w:webHidden/>
              </w:rPr>
              <w:fldChar w:fldCharType="begin"/>
            </w:r>
            <w:r w:rsidR="00CE097A">
              <w:rPr>
                <w:webHidden/>
              </w:rPr>
              <w:instrText xml:space="preserve"> PAGEREF _Toc82181497 \h </w:instrText>
            </w:r>
            <w:r w:rsidR="00CE097A">
              <w:rPr>
                <w:webHidden/>
              </w:rPr>
            </w:r>
            <w:r w:rsidR="00CE097A">
              <w:rPr>
                <w:webHidden/>
              </w:rPr>
              <w:fldChar w:fldCharType="separate"/>
            </w:r>
            <w:r w:rsidR="00BC459D">
              <w:rPr>
                <w:webHidden/>
              </w:rPr>
              <w:t>12</w:t>
            </w:r>
            <w:r w:rsidR="00CE097A">
              <w:rPr>
                <w:webHidden/>
              </w:rPr>
              <w:fldChar w:fldCharType="end"/>
            </w:r>
          </w:hyperlink>
        </w:p>
        <w:p w14:paraId="52E8922C" w14:textId="75325D69" w:rsidR="00CE097A" w:rsidRDefault="00E2790C">
          <w:pPr>
            <w:pStyle w:val="TOC3"/>
            <w:rPr>
              <w:rFonts w:asciiTheme="minorHAnsi" w:hAnsiTheme="minorHAnsi"/>
            </w:rPr>
          </w:pPr>
          <w:hyperlink w:anchor="_Toc82181498" w:history="1">
            <w:r w:rsidR="00CE097A" w:rsidRPr="00A81376">
              <w:rPr>
                <w:rStyle w:val="Hyperlink"/>
              </w:rPr>
              <w:t>Question 3</w:t>
            </w:r>
            <w:r w:rsidR="00CE097A">
              <w:rPr>
                <w:webHidden/>
              </w:rPr>
              <w:tab/>
            </w:r>
            <w:r w:rsidR="00CE097A">
              <w:rPr>
                <w:webHidden/>
              </w:rPr>
              <w:fldChar w:fldCharType="begin"/>
            </w:r>
            <w:r w:rsidR="00CE097A">
              <w:rPr>
                <w:webHidden/>
              </w:rPr>
              <w:instrText xml:space="preserve"> PAGEREF _Toc82181498 \h </w:instrText>
            </w:r>
            <w:r w:rsidR="00CE097A">
              <w:rPr>
                <w:webHidden/>
              </w:rPr>
            </w:r>
            <w:r w:rsidR="00CE097A">
              <w:rPr>
                <w:webHidden/>
              </w:rPr>
              <w:fldChar w:fldCharType="separate"/>
            </w:r>
            <w:r w:rsidR="00BC459D">
              <w:rPr>
                <w:webHidden/>
              </w:rPr>
              <w:t>13</w:t>
            </w:r>
            <w:r w:rsidR="00CE097A">
              <w:rPr>
                <w:webHidden/>
              </w:rPr>
              <w:fldChar w:fldCharType="end"/>
            </w:r>
          </w:hyperlink>
        </w:p>
        <w:p w14:paraId="3F3C8604" w14:textId="4DD4A298" w:rsidR="00CE097A" w:rsidRDefault="00E2790C">
          <w:pPr>
            <w:pStyle w:val="TOC3"/>
            <w:rPr>
              <w:rFonts w:asciiTheme="minorHAnsi" w:hAnsiTheme="minorHAnsi"/>
            </w:rPr>
          </w:pPr>
          <w:hyperlink w:anchor="_Toc82181499" w:history="1">
            <w:r w:rsidR="00CE097A" w:rsidRPr="00A81376">
              <w:rPr>
                <w:rStyle w:val="Hyperlink"/>
              </w:rPr>
              <w:t>Question 4</w:t>
            </w:r>
            <w:r w:rsidR="00CE097A">
              <w:rPr>
                <w:webHidden/>
              </w:rPr>
              <w:tab/>
            </w:r>
            <w:r w:rsidR="00CE097A">
              <w:rPr>
                <w:webHidden/>
              </w:rPr>
              <w:fldChar w:fldCharType="begin"/>
            </w:r>
            <w:r w:rsidR="00CE097A">
              <w:rPr>
                <w:webHidden/>
              </w:rPr>
              <w:instrText xml:space="preserve"> PAGEREF _Toc82181499 \h </w:instrText>
            </w:r>
            <w:r w:rsidR="00CE097A">
              <w:rPr>
                <w:webHidden/>
              </w:rPr>
            </w:r>
            <w:r w:rsidR="00CE097A">
              <w:rPr>
                <w:webHidden/>
              </w:rPr>
              <w:fldChar w:fldCharType="separate"/>
            </w:r>
            <w:r w:rsidR="00BC459D">
              <w:rPr>
                <w:webHidden/>
              </w:rPr>
              <w:t>13</w:t>
            </w:r>
            <w:r w:rsidR="00CE097A">
              <w:rPr>
                <w:webHidden/>
              </w:rPr>
              <w:fldChar w:fldCharType="end"/>
            </w:r>
          </w:hyperlink>
        </w:p>
        <w:p w14:paraId="6287FEAE" w14:textId="65754980" w:rsidR="009F4B9D" w:rsidRPr="003441E5" w:rsidRDefault="00EC1696" w:rsidP="00884AF1">
          <w:r w:rsidRPr="003441E5">
            <w:rPr>
              <w:bCs/>
              <w:noProof/>
            </w:rPr>
            <w:fldChar w:fldCharType="end"/>
          </w:r>
        </w:p>
      </w:sdtContent>
    </w:sdt>
    <w:p w14:paraId="1642341A" w14:textId="74DB63CE" w:rsidR="00027253" w:rsidRPr="003441E5" w:rsidRDefault="004B7462" w:rsidP="004C2BAA">
      <w:pPr>
        <w:pStyle w:val="Heading1"/>
        <w:numPr>
          <w:ilvl w:val="0"/>
          <w:numId w:val="0"/>
        </w:numPr>
        <w:jc w:val="both"/>
      </w:pPr>
      <w:bookmarkStart w:id="1" w:name="_Toc351382481"/>
      <w:bookmarkStart w:id="2" w:name="_Toc82181485"/>
      <w:r>
        <w:lastRenderedPageBreak/>
        <w:t>Executive S</w:t>
      </w:r>
      <w:r w:rsidR="00A022BC">
        <w:t>ummary</w:t>
      </w:r>
      <w:bookmarkEnd w:id="1"/>
      <w:bookmarkEnd w:id="2"/>
    </w:p>
    <w:p w14:paraId="3787232D" w14:textId="455120F6" w:rsidR="00C149A3" w:rsidRDefault="0013514F" w:rsidP="006924F7">
      <w:r>
        <w:t xml:space="preserve">ACCAN thanks the Australian Communications and Media Authority </w:t>
      </w:r>
      <w:r w:rsidR="0058032B">
        <w:t>(</w:t>
      </w:r>
      <w:r w:rsidR="0058032B" w:rsidRPr="008D6AD7">
        <w:rPr>
          <w:b/>
          <w:bCs/>
        </w:rPr>
        <w:t>ACMA</w:t>
      </w:r>
      <w:r w:rsidR="0058032B">
        <w:t xml:space="preserve">) </w:t>
      </w:r>
      <w:r>
        <w:t>for the opportunity to provide comments on its</w:t>
      </w:r>
      <w:r w:rsidR="00B226D9">
        <w:t xml:space="preserve"> discussion paper</w:t>
      </w:r>
      <w:r>
        <w:t xml:space="preserve"> </w:t>
      </w:r>
      <w:r w:rsidRPr="00B226D9">
        <w:rPr>
          <w:i/>
          <w:iCs/>
        </w:rPr>
        <w:t>Consumer vulnerability: expectations for the telecommunications industry – Draft for consultation</w:t>
      </w:r>
      <w:r w:rsidR="00B226D9">
        <w:t xml:space="preserve"> (the Statement of Expectations, hereafter </w:t>
      </w:r>
      <w:r w:rsidR="00B226D9" w:rsidRPr="00B226D9">
        <w:rPr>
          <w:b/>
          <w:bCs/>
        </w:rPr>
        <w:t>SoE</w:t>
      </w:r>
      <w:r w:rsidR="00B226D9">
        <w:t xml:space="preserve">). </w:t>
      </w:r>
    </w:p>
    <w:p w14:paraId="629B3046" w14:textId="51A544E3" w:rsidR="00BC214E" w:rsidRDefault="000614C3" w:rsidP="006924F7">
      <w:r>
        <w:t xml:space="preserve">ACCAN welcomes the ACMA’s efforts to </w:t>
      </w:r>
      <w:r w:rsidR="00B26755">
        <w:t>drive</w:t>
      </w:r>
      <w:r w:rsidR="00095F4B">
        <w:t xml:space="preserve"> systemic change </w:t>
      </w:r>
      <w:r w:rsidR="00641317">
        <w:t>to improve</w:t>
      </w:r>
      <w:r w:rsidR="00DE5401">
        <w:t xml:space="preserve"> </w:t>
      </w:r>
      <w:r w:rsidR="00C149A3">
        <w:t xml:space="preserve">the telco industry’s </w:t>
      </w:r>
      <w:r w:rsidR="00641317">
        <w:t>approach</w:t>
      </w:r>
      <w:r w:rsidR="00C149A3">
        <w:t xml:space="preserve"> to customers experiencing vulnerability.</w:t>
      </w:r>
      <w:r w:rsidR="00146293">
        <w:t xml:space="preserve"> While we would like to see the </w:t>
      </w:r>
      <w:r w:rsidR="00996B97">
        <w:t>SoE</w:t>
      </w:r>
      <w:r w:rsidR="00146293">
        <w:t xml:space="preserve"> as a</w:t>
      </w:r>
      <w:r w:rsidR="008867FD">
        <w:t>n enforceable</w:t>
      </w:r>
      <w:r w:rsidR="00A332F1">
        <w:t xml:space="preserve"> regulatory tool</w:t>
      </w:r>
      <w:r w:rsidR="008867FD">
        <w:t>, we understand the structural</w:t>
      </w:r>
      <w:r w:rsidR="00A332F1">
        <w:t xml:space="preserve"> and sectoral</w:t>
      </w:r>
      <w:r w:rsidR="008867FD">
        <w:t xml:space="preserve"> limitations</w:t>
      </w:r>
      <w:r w:rsidR="00A332F1">
        <w:t xml:space="preserve"> within which the ACMA is operating in terms of introducing reforms </w:t>
      </w:r>
      <w:r w:rsidR="007E2CE8">
        <w:t>between Telecommunications Consumer Protections Code (</w:t>
      </w:r>
      <w:r w:rsidR="007E2CE8" w:rsidRPr="007E2CE8">
        <w:rPr>
          <w:b/>
          <w:bCs/>
        </w:rPr>
        <w:t>TCP Code</w:t>
      </w:r>
      <w:r w:rsidR="007E2CE8">
        <w:t xml:space="preserve">) reviews, and in </w:t>
      </w:r>
      <w:r w:rsidR="00DE5401">
        <w:t>anticipation</w:t>
      </w:r>
      <w:r w:rsidR="007E2CE8">
        <w:t xml:space="preserve"> of </w:t>
      </w:r>
      <w:r w:rsidR="00BC214E">
        <w:t xml:space="preserve">the Australian Government’s response to </w:t>
      </w:r>
      <w:r w:rsidR="007E2CE8" w:rsidRPr="00BC214E">
        <w:rPr>
          <w:i/>
          <w:iCs/>
        </w:rPr>
        <w:t>Consumer Safeguards Review Part C: Choice and Fairness</w:t>
      </w:r>
      <w:r w:rsidR="007E2CE8">
        <w:t>.</w:t>
      </w:r>
      <w:r w:rsidR="008867FD">
        <w:t xml:space="preserve"> </w:t>
      </w:r>
    </w:p>
    <w:p w14:paraId="5A259830" w14:textId="0E20AE9D" w:rsidR="00E806B0" w:rsidRDefault="00641317" w:rsidP="006924F7">
      <w:r>
        <w:t>As a matter of urgency and high priority, i</w:t>
      </w:r>
      <w:r w:rsidR="008867FD">
        <w:t xml:space="preserve">t is </w:t>
      </w:r>
      <w:r w:rsidR="00BC214E">
        <w:t xml:space="preserve">essential </w:t>
      </w:r>
      <w:r w:rsidR="008867FD">
        <w:t xml:space="preserve">that the ACMA takes </w:t>
      </w:r>
      <w:r w:rsidR="00DE5401">
        <w:t>all</w:t>
      </w:r>
      <w:r w:rsidR="008867FD">
        <w:t xml:space="preserve"> avenues</w:t>
      </w:r>
      <w:r w:rsidR="00BC214E">
        <w:t xml:space="preserve"> available</w:t>
      </w:r>
      <w:r w:rsidR="008867FD">
        <w:t xml:space="preserve"> to </w:t>
      </w:r>
      <w:r>
        <w:t>deliver</w:t>
      </w:r>
      <w:r w:rsidR="00DE5401">
        <w:t xml:space="preserve"> </w:t>
      </w:r>
      <w:r w:rsidR="00995302">
        <w:t xml:space="preserve">stronger regulatory responses to </w:t>
      </w:r>
      <w:r>
        <w:t xml:space="preserve">any identified </w:t>
      </w:r>
      <w:r w:rsidR="007820C5">
        <w:t>mismanagement</w:t>
      </w:r>
      <w:r w:rsidR="00995302">
        <w:t xml:space="preserve"> of customer vulnerability</w:t>
      </w:r>
      <w:r>
        <w:t xml:space="preserve"> by telco</w:t>
      </w:r>
      <w:r w:rsidR="00DE5401">
        <w:t>s</w:t>
      </w:r>
      <w:r w:rsidR="00995302">
        <w:t>.</w:t>
      </w:r>
      <w:r w:rsidR="00DE5401">
        <w:t xml:space="preserve"> Furthermore</w:t>
      </w:r>
      <w:r w:rsidR="00661715">
        <w:t>,</w:t>
      </w:r>
      <w:r w:rsidR="00DE5401">
        <w:t xml:space="preserve"> while</w:t>
      </w:r>
      <w:r>
        <w:t xml:space="preserve"> it is understood that </w:t>
      </w:r>
      <w:r w:rsidR="00BC214E">
        <w:t xml:space="preserve">the SoE </w:t>
      </w:r>
      <w:r>
        <w:t xml:space="preserve">will not be </w:t>
      </w:r>
      <w:r w:rsidR="00190AE4">
        <w:t xml:space="preserve">an enforceable tool, </w:t>
      </w:r>
      <w:r>
        <w:t>the ACMA</w:t>
      </w:r>
      <w:r w:rsidR="00616FE9">
        <w:t xml:space="preserve"> </w:t>
      </w:r>
      <w:r w:rsidR="00F62058">
        <w:t>should</w:t>
      </w:r>
      <w:r w:rsidR="00190AE4">
        <w:t xml:space="preserve"> </w:t>
      </w:r>
      <w:r>
        <w:t xml:space="preserve">use it as an opportunity to </w:t>
      </w:r>
      <w:r w:rsidR="00BE6FFC">
        <w:t>provide</w:t>
      </w:r>
      <w:r w:rsidR="00190AE4">
        <w:t xml:space="preserve"> bold and ambitious be</w:t>
      </w:r>
      <w:r>
        <w:t>st</w:t>
      </w:r>
      <w:r w:rsidR="00190AE4">
        <w:t xml:space="preserve"> practice guidance</w:t>
      </w:r>
      <w:r w:rsidR="00DE5401">
        <w:t xml:space="preserve"> for industry</w:t>
      </w:r>
      <w:r>
        <w:t xml:space="preserve">. The ACMA must also ensure </w:t>
      </w:r>
      <w:r w:rsidR="00190AE4">
        <w:t xml:space="preserve">that </w:t>
      </w:r>
      <w:r w:rsidR="00DE5401">
        <w:t>adoption</w:t>
      </w:r>
      <w:r w:rsidR="001D0A5F">
        <w:t xml:space="preserve"> of the SoE</w:t>
      </w:r>
      <w:r w:rsidR="00DE5401">
        <w:t xml:space="preserve"> by telcos</w:t>
      </w:r>
      <w:r w:rsidR="001D0A5F">
        <w:t xml:space="preserve"> is </w:t>
      </w:r>
      <w:r w:rsidR="00DE5401">
        <w:t xml:space="preserve">transparent, </w:t>
      </w:r>
      <w:r w:rsidR="001D0A5F">
        <w:t xml:space="preserve">measurable and auditable. </w:t>
      </w:r>
    </w:p>
    <w:p w14:paraId="78996FA2" w14:textId="2358B6A9" w:rsidR="0013514F" w:rsidRDefault="005665C7" w:rsidP="006924F7">
      <w:r>
        <w:t>ACCAN’s views</w:t>
      </w:r>
      <w:r w:rsidR="006B3CEA">
        <w:t xml:space="preserve"> have been developed through extensive consultation with ACCAN members, consumer advocates and consumer case studies.</w:t>
      </w:r>
      <w:r>
        <w:t xml:space="preserve"> </w:t>
      </w:r>
      <w:r w:rsidR="00E806B0">
        <w:t xml:space="preserve">ACCAN’s submission </w:t>
      </w:r>
      <w:r w:rsidR="00F62058">
        <w:t>emphasises the following points</w:t>
      </w:r>
      <w:r w:rsidR="00E806B0">
        <w:t>:</w:t>
      </w:r>
      <w:r w:rsidR="00190AE4">
        <w:t xml:space="preserve"> </w:t>
      </w:r>
    </w:p>
    <w:p w14:paraId="54DE07FF" w14:textId="1B33DC67" w:rsidR="00C204A5" w:rsidRDefault="00C204A5" w:rsidP="00E806B0">
      <w:pPr>
        <w:pStyle w:val="ListParagraph"/>
        <w:numPr>
          <w:ilvl w:val="0"/>
          <w:numId w:val="31"/>
        </w:numPr>
      </w:pPr>
      <w:r>
        <w:t>T</w:t>
      </w:r>
      <w:r w:rsidR="00E806B0">
        <w:t>elcos must treat</w:t>
      </w:r>
      <w:r w:rsidR="001D0A5F">
        <w:t xml:space="preserve"> all</w:t>
      </w:r>
      <w:r w:rsidR="00E806B0">
        <w:t xml:space="preserve"> customers fairly,</w:t>
      </w:r>
      <w:r w:rsidR="001D0A5F">
        <w:t xml:space="preserve"> </w:t>
      </w:r>
      <w:r>
        <w:t>including</w:t>
      </w:r>
      <w:r w:rsidR="001D0A5F">
        <w:t xml:space="preserve"> those experiencing vulnerability</w:t>
      </w:r>
      <w:r w:rsidR="003811C4">
        <w:t>.</w:t>
      </w:r>
    </w:p>
    <w:p w14:paraId="3EB1FB87" w14:textId="1DF98C41" w:rsidR="00C204A5" w:rsidRDefault="00C204A5" w:rsidP="00E806B0">
      <w:pPr>
        <w:pStyle w:val="ListParagraph"/>
        <w:numPr>
          <w:ilvl w:val="0"/>
          <w:numId w:val="31"/>
        </w:numPr>
      </w:pPr>
      <w:r>
        <w:t>B</w:t>
      </w:r>
      <w:r w:rsidR="001D0A5F">
        <w:t xml:space="preserve">roadly speaking, there is significant evidence </w:t>
      </w:r>
      <w:r w:rsidR="00C04CEA">
        <w:t>that</w:t>
      </w:r>
      <w:r>
        <w:t xml:space="preserve"> current </w:t>
      </w:r>
      <w:r w:rsidR="00DE5401">
        <w:t xml:space="preserve">telco </w:t>
      </w:r>
      <w:r>
        <w:t>responses to consumers experiencing vulnerability</w:t>
      </w:r>
      <w:r w:rsidR="00C04CEA">
        <w:t xml:space="preserve"> are inadequate in many instances</w:t>
      </w:r>
      <w:r w:rsidR="000B644E">
        <w:t xml:space="preserve">, and that telcos are not currently incentivised to compete on improvements to customer service </w:t>
      </w:r>
      <w:r w:rsidR="00CE429E">
        <w:t>that ensure appropriate support for</w:t>
      </w:r>
      <w:r w:rsidR="000B644E">
        <w:t xml:space="preserve"> consumers experiencing vulnerability</w:t>
      </w:r>
      <w:r w:rsidR="003811C4">
        <w:t>.</w:t>
      </w:r>
    </w:p>
    <w:p w14:paraId="4B3898F8" w14:textId="4F1258FB" w:rsidR="001912A7" w:rsidRDefault="00C204A5" w:rsidP="00C204A5">
      <w:pPr>
        <w:pStyle w:val="ListParagraph"/>
        <w:numPr>
          <w:ilvl w:val="0"/>
          <w:numId w:val="31"/>
        </w:numPr>
      </w:pPr>
      <w:r>
        <w:t>The</w:t>
      </w:r>
      <w:r w:rsidR="000614C3" w:rsidRPr="001C5D3A">
        <w:t xml:space="preserve"> goals</w:t>
      </w:r>
      <w:r w:rsidR="001912A7">
        <w:t xml:space="preserve"> for industry</w:t>
      </w:r>
      <w:r w:rsidR="000614C3" w:rsidRPr="001C5D3A">
        <w:t xml:space="preserve"> </w:t>
      </w:r>
      <w:r>
        <w:t xml:space="preserve">expressed </w:t>
      </w:r>
      <w:r w:rsidR="001912A7">
        <w:t xml:space="preserve">in the SoE </w:t>
      </w:r>
      <w:r w:rsidR="000614C3" w:rsidRPr="001C5D3A">
        <w:t>are</w:t>
      </w:r>
      <w:r w:rsidR="001912A7">
        <w:t xml:space="preserve"> largely</w:t>
      </w:r>
      <w:r w:rsidR="000614C3" w:rsidRPr="001C5D3A">
        <w:t xml:space="preserve"> </w:t>
      </w:r>
      <w:r w:rsidR="001912A7">
        <w:t>appropriate and cover all bases</w:t>
      </w:r>
      <w:r w:rsidR="000614C3" w:rsidRPr="001C5D3A">
        <w:t>,</w:t>
      </w:r>
      <w:r w:rsidR="001912A7">
        <w:t xml:space="preserve"> </w:t>
      </w:r>
      <w:r w:rsidR="00DE5401">
        <w:t xml:space="preserve">except </w:t>
      </w:r>
      <w:r w:rsidR="001912A7">
        <w:t xml:space="preserve">for areas </w:t>
      </w:r>
      <w:r w:rsidR="00DE5401">
        <w:t xml:space="preserve">such as </w:t>
      </w:r>
      <w:r w:rsidR="001912A7">
        <w:t>dispute resolution and credit and debt management</w:t>
      </w:r>
      <w:r w:rsidR="00B33883">
        <w:t>.</w:t>
      </w:r>
      <w:r w:rsidR="001912A7">
        <w:t xml:space="preserve"> </w:t>
      </w:r>
    </w:p>
    <w:p w14:paraId="40D1A1C4" w14:textId="714BCE7B" w:rsidR="000614C3" w:rsidRDefault="001912A7" w:rsidP="006924F7">
      <w:pPr>
        <w:pStyle w:val="ListParagraph"/>
        <w:numPr>
          <w:ilvl w:val="0"/>
          <w:numId w:val="31"/>
        </w:numPr>
      </w:pPr>
      <w:r>
        <w:t>Th</w:t>
      </w:r>
      <w:r w:rsidR="000614C3" w:rsidRPr="001C5D3A">
        <w:t>e</w:t>
      </w:r>
      <w:r w:rsidR="00DE5401">
        <w:t xml:space="preserve"> SoE</w:t>
      </w:r>
      <w:r w:rsidR="00DD1F71">
        <w:t xml:space="preserve"> </w:t>
      </w:r>
      <w:r w:rsidR="000614C3" w:rsidRPr="001C5D3A">
        <w:t>need</w:t>
      </w:r>
      <w:r w:rsidR="00DE5401">
        <w:t>s</w:t>
      </w:r>
      <w:r>
        <w:t xml:space="preserve"> more </w:t>
      </w:r>
      <w:r w:rsidR="000614C3" w:rsidRPr="001C5D3A">
        <w:t>clarity</w:t>
      </w:r>
      <w:r w:rsidR="00F85DC7">
        <w:t xml:space="preserve">, </w:t>
      </w:r>
      <w:r w:rsidR="000614C3" w:rsidRPr="001C5D3A">
        <w:t>detail</w:t>
      </w:r>
      <w:r w:rsidR="00F85DC7">
        <w:t xml:space="preserve">, </w:t>
      </w:r>
      <w:r w:rsidR="00DE5401">
        <w:t xml:space="preserve">examples </w:t>
      </w:r>
      <w:r w:rsidR="00F85DC7">
        <w:t xml:space="preserve">and </w:t>
      </w:r>
      <w:r w:rsidR="00DE5401">
        <w:t xml:space="preserve">emphasis on </w:t>
      </w:r>
      <w:r w:rsidR="00990619">
        <w:t xml:space="preserve">aspirational </w:t>
      </w:r>
      <w:r w:rsidR="00537C7F">
        <w:t>outc</w:t>
      </w:r>
      <w:r w:rsidR="0047043A">
        <w:t>omes</w:t>
      </w:r>
      <w:r w:rsidR="00D421D6">
        <w:t xml:space="preserve"> </w:t>
      </w:r>
      <w:r w:rsidR="00DE5401">
        <w:t>to ensure it demonstrates what best practice encompasses.</w:t>
      </w:r>
    </w:p>
    <w:p w14:paraId="7A4D13E3" w14:textId="0168CC61" w:rsidR="00F62058" w:rsidRDefault="009774D3" w:rsidP="006924F7">
      <w:pPr>
        <w:pStyle w:val="ListParagraph"/>
        <w:numPr>
          <w:ilvl w:val="0"/>
          <w:numId w:val="31"/>
        </w:numPr>
      </w:pPr>
      <w:r>
        <w:t>Every outcome expressed in the SoE</w:t>
      </w:r>
      <w:r w:rsidR="00DE5401">
        <w:t xml:space="preserve"> should be</w:t>
      </w:r>
      <w:r>
        <w:t xml:space="preserve"> measurable to ensure that telco</w:t>
      </w:r>
      <w:r w:rsidR="00E27705">
        <w:t xml:space="preserve"> </w:t>
      </w:r>
      <w:r>
        <w:t>adoption of the SoE can be monitored by the ACMA</w:t>
      </w:r>
      <w:r w:rsidR="00F85DC7">
        <w:t xml:space="preserve"> to inform </w:t>
      </w:r>
      <w:r w:rsidR="00DE5401">
        <w:t xml:space="preserve">and support </w:t>
      </w:r>
      <w:r w:rsidR="00F85DC7">
        <w:t>its enforcement and regulatory activities</w:t>
      </w:r>
      <w:r w:rsidR="00B33883">
        <w:t>.</w:t>
      </w:r>
    </w:p>
    <w:p w14:paraId="0BABCF63" w14:textId="2C755605" w:rsidR="00FE2A4F" w:rsidRDefault="00F85DC7" w:rsidP="006924F7">
      <w:pPr>
        <w:pStyle w:val="ListParagraph"/>
        <w:numPr>
          <w:ilvl w:val="0"/>
          <w:numId w:val="31"/>
        </w:numPr>
      </w:pPr>
      <w:r>
        <w:t xml:space="preserve">The </w:t>
      </w:r>
      <w:r w:rsidR="00FE2A4F">
        <w:t xml:space="preserve">SoE should </w:t>
      </w:r>
      <w:r>
        <w:t xml:space="preserve">offer more guidance </w:t>
      </w:r>
      <w:r w:rsidR="00DE5401">
        <w:t>regarding</w:t>
      </w:r>
      <w:r>
        <w:t xml:space="preserve"> the</w:t>
      </w:r>
      <w:r w:rsidR="00FE2A4F">
        <w:t xml:space="preserve"> proactive</w:t>
      </w:r>
      <w:r>
        <w:t xml:space="preserve"> identification and provision of supports to consumers experiencing vulnerability</w:t>
      </w:r>
      <w:r w:rsidR="00B33883">
        <w:t>.</w:t>
      </w:r>
    </w:p>
    <w:p w14:paraId="11194352" w14:textId="2C71BAD0" w:rsidR="00B13AB0" w:rsidRDefault="00FE2A4F" w:rsidP="00F85DC7">
      <w:pPr>
        <w:pStyle w:val="ListParagraph"/>
        <w:numPr>
          <w:ilvl w:val="0"/>
          <w:numId w:val="31"/>
        </w:numPr>
      </w:pPr>
      <w:r>
        <w:t xml:space="preserve">Guidance </w:t>
      </w:r>
      <w:r w:rsidR="00DE5401">
        <w:t>in relation to</w:t>
      </w:r>
      <w:r>
        <w:t xml:space="preserve"> staff training should be complemented by </w:t>
      </w:r>
      <w:r w:rsidR="002E282E">
        <w:t xml:space="preserve">performance monitoring and </w:t>
      </w:r>
      <w:r w:rsidR="00EF6D9F">
        <w:t xml:space="preserve">measurable </w:t>
      </w:r>
      <w:r w:rsidR="002E282E">
        <w:t>improvements</w:t>
      </w:r>
      <w:r w:rsidR="00B33883">
        <w:t>.</w:t>
      </w:r>
    </w:p>
    <w:p w14:paraId="119AD05E" w14:textId="202C77EF" w:rsidR="00DE5401" w:rsidRPr="006E24F3" w:rsidRDefault="00DE5401" w:rsidP="00F85DC7">
      <w:pPr>
        <w:pStyle w:val="ListParagraph"/>
        <w:numPr>
          <w:ilvl w:val="0"/>
          <w:numId w:val="31"/>
        </w:numPr>
      </w:pPr>
      <w:r w:rsidRPr="0068188A">
        <w:t xml:space="preserve">There needs to be an emphasis on continuous improvement by telcos </w:t>
      </w:r>
      <w:r w:rsidR="00F1533E" w:rsidRPr="0068188A">
        <w:t xml:space="preserve">to ensure the sector keeps up with developments in other </w:t>
      </w:r>
      <w:r w:rsidR="00F1533E" w:rsidRPr="00BC2B23">
        <w:t xml:space="preserve">utility </w:t>
      </w:r>
      <w:r w:rsidR="00F1533E" w:rsidRPr="006E24F3">
        <w:t>market practices and related sectors.</w:t>
      </w:r>
    </w:p>
    <w:p w14:paraId="6501D733" w14:textId="337BBCCF" w:rsidR="00F1533E" w:rsidRPr="009D113B" w:rsidRDefault="00217C25" w:rsidP="00F85DC7">
      <w:pPr>
        <w:pStyle w:val="ListParagraph"/>
        <w:numPr>
          <w:ilvl w:val="0"/>
          <w:numId w:val="31"/>
        </w:numPr>
      </w:pPr>
      <w:r w:rsidRPr="00C06C21">
        <w:t>Industry</w:t>
      </w:r>
      <w:r w:rsidR="002E1115" w:rsidRPr="00C06C21">
        <w:t xml:space="preserve"> should regularly and publicly report on their performance against the goals and outcomes expressed in the SoE to increase transparency and in t</w:t>
      </w:r>
      <w:r w:rsidR="006E24F3">
        <w:t>urn</w:t>
      </w:r>
      <w:r w:rsidR="002E1115" w:rsidRPr="00C06C21">
        <w:t xml:space="preserve"> build consumer confidence</w:t>
      </w:r>
      <w:r w:rsidR="00F1533E" w:rsidRPr="00C06C21" w:rsidDel="002E1115">
        <w:t>.</w:t>
      </w:r>
    </w:p>
    <w:p w14:paraId="0544C23F" w14:textId="6F486883" w:rsidR="00F85DC7" w:rsidRPr="003441E5" w:rsidRDefault="00F85DC7" w:rsidP="00F85DC7">
      <w:pPr>
        <w:pStyle w:val="ListParagraph"/>
        <w:numPr>
          <w:ilvl w:val="0"/>
          <w:numId w:val="31"/>
        </w:numPr>
      </w:pPr>
      <w:r>
        <w:t xml:space="preserve">The development of the SoE does not negate the need for urgent </w:t>
      </w:r>
      <w:r w:rsidR="0027206F">
        <w:t xml:space="preserve">structural </w:t>
      </w:r>
      <w:r>
        <w:t>reforms to telecommunications consumer protections</w:t>
      </w:r>
      <w:r w:rsidR="007F6ABB">
        <w:t>.</w:t>
      </w:r>
      <w:r w:rsidR="00F75E33">
        <w:t xml:space="preserve"> </w:t>
      </w:r>
    </w:p>
    <w:p w14:paraId="0F0C058E" w14:textId="3E3C7342" w:rsidR="00886444" w:rsidRPr="003441E5" w:rsidRDefault="008E1CC4" w:rsidP="00D0119E">
      <w:pPr>
        <w:pStyle w:val="Heading1"/>
        <w:numPr>
          <w:ilvl w:val="0"/>
          <w:numId w:val="0"/>
        </w:numPr>
        <w:ind w:left="851" w:hanging="851"/>
      </w:pPr>
      <w:bookmarkStart w:id="3" w:name="_Toc351382482"/>
      <w:bookmarkStart w:id="4" w:name="_Toc82181486"/>
      <w:r w:rsidRPr="003441E5">
        <w:lastRenderedPageBreak/>
        <w:t>List of recommendations</w:t>
      </w:r>
      <w:bookmarkEnd w:id="3"/>
      <w:bookmarkEnd w:id="4"/>
    </w:p>
    <w:p w14:paraId="2C7ABB66" w14:textId="77777777" w:rsidR="00F02117" w:rsidRDefault="00F02117" w:rsidP="00C04CEA">
      <w:pPr>
        <w:pStyle w:val="Recommendation"/>
        <w:spacing w:after="120" w:afterAutospacing="0"/>
      </w:pPr>
      <w:r w:rsidRPr="008013A0">
        <w:t xml:space="preserve">That the SoE clearly articulates the need for not just system and process improvements, but also a </w:t>
      </w:r>
      <w:r>
        <w:t>deep</w:t>
      </w:r>
      <w:r w:rsidRPr="008013A0">
        <w:t xml:space="preserve"> cultur</w:t>
      </w:r>
      <w:r>
        <w:t>al</w:t>
      </w:r>
      <w:r w:rsidRPr="008013A0">
        <w:t xml:space="preserve"> shift in the telecommunications sector. </w:t>
      </w:r>
    </w:p>
    <w:p w14:paraId="39B48CB4" w14:textId="53598807" w:rsidR="00F02117" w:rsidRDefault="00F02117" w:rsidP="00C04CEA">
      <w:pPr>
        <w:pStyle w:val="Recommendation"/>
        <w:spacing w:after="120" w:afterAutospacing="0"/>
      </w:pPr>
      <w:r>
        <w:t xml:space="preserve">That the SoE’s outcomes and examples are clarified with sufficient detail to provide practical guidance </w:t>
      </w:r>
      <w:r w:rsidR="000A045A">
        <w:t xml:space="preserve">of best practice </w:t>
      </w:r>
      <w:r>
        <w:t xml:space="preserve">for industry. </w:t>
      </w:r>
    </w:p>
    <w:p w14:paraId="04B839FF" w14:textId="77777777" w:rsidR="00F02117" w:rsidRDefault="00F02117" w:rsidP="00C04CEA">
      <w:pPr>
        <w:pStyle w:val="Recommendation"/>
        <w:spacing w:after="120" w:afterAutospacing="0"/>
      </w:pPr>
      <w:r>
        <w:t xml:space="preserve">That each outcome expressed in the SoE is measurable to ensure that telcos’ adoption of the SoE can be monitored by the ACMA. </w:t>
      </w:r>
    </w:p>
    <w:p w14:paraId="7BAAAB96" w14:textId="79023A04" w:rsidR="0034298C" w:rsidRDefault="00A77599" w:rsidP="0034298C">
      <w:pPr>
        <w:pStyle w:val="Recommendation"/>
      </w:pPr>
      <w:r>
        <w:t>That the SoE outlines the need for telcos to publicly report their performances against SoE goals and outcomes, to increase transparency and build consumer confidence</w:t>
      </w:r>
      <w:r w:rsidR="00DB60EF">
        <w:t>.</w:t>
      </w:r>
    </w:p>
    <w:p w14:paraId="0CEC57F7" w14:textId="77777777" w:rsidR="00F02117" w:rsidRDefault="00F02117" w:rsidP="00C04CEA">
      <w:pPr>
        <w:pStyle w:val="Recommendation"/>
        <w:spacing w:after="120" w:afterAutospacing="0"/>
      </w:pPr>
      <w:r>
        <w:t xml:space="preserve">That the SoE is amended to provide practical guidance on proactively identifying and responding to customer vulnerability. </w:t>
      </w:r>
    </w:p>
    <w:p w14:paraId="365F3DE1" w14:textId="75B2D3C7" w:rsidR="00F02117" w:rsidRPr="00D3081D" w:rsidRDefault="00F02117" w:rsidP="00C04CEA">
      <w:pPr>
        <w:pStyle w:val="Recommendation"/>
        <w:spacing w:after="120" w:afterAutospacing="0"/>
      </w:pPr>
      <w:r>
        <w:t xml:space="preserve">That staff training in the SoE is </w:t>
      </w:r>
      <w:r w:rsidR="000A045A">
        <w:t>extended</w:t>
      </w:r>
      <w:r w:rsidR="002E454E">
        <w:t xml:space="preserve"> </w:t>
      </w:r>
      <w:r>
        <w:t xml:space="preserve">to incorporate monitoring of staff performance and rectifying deficiencies in customer service. </w:t>
      </w:r>
    </w:p>
    <w:p w14:paraId="5B48F340" w14:textId="482611C4" w:rsidR="007E2D40" w:rsidRDefault="007E2D40" w:rsidP="00C04CEA">
      <w:pPr>
        <w:pStyle w:val="Recommendation"/>
        <w:spacing w:after="120" w:afterAutospacing="0"/>
      </w:pPr>
      <w:r>
        <w:t xml:space="preserve">That the SoE </w:t>
      </w:r>
      <w:r w:rsidR="000A045A">
        <w:t>emphasi</w:t>
      </w:r>
      <w:r w:rsidR="007D3284">
        <w:t>se</w:t>
      </w:r>
      <w:r>
        <w:t xml:space="preserve"> the need for industry to treat all customers fairly, and that by doing so, consumers are less likely to experience vulnerability and harm when accessing and maintaining communications services. </w:t>
      </w:r>
    </w:p>
    <w:p w14:paraId="49408074" w14:textId="58E3DA82" w:rsidR="007E2D40" w:rsidRDefault="007E2D40" w:rsidP="00C04CEA">
      <w:pPr>
        <w:pStyle w:val="Recommendation"/>
        <w:spacing w:after="120" w:afterAutospacing="0"/>
      </w:pPr>
      <w:r>
        <w:t xml:space="preserve">That the SoE acknowledges the intersectional and often structural nature of vulnerability, and expands its list of factors contributing to vulnerability. </w:t>
      </w:r>
    </w:p>
    <w:p w14:paraId="4152B779" w14:textId="77777777" w:rsidR="007E2D40" w:rsidRDefault="007E2D40" w:rsidP="00C04CEA">
      <w:pPr>
        <w:pStyle w:val="Recommendation"/>
        <w:spacing w:after="120" w:afterAutospacing="0"/>
      </w:pPr>
      <w:r>
        <w:t>That Priority Area 5 is expanded to include Credit and Debt Management, and that the SoE recommends credit and debt management processes that are fair, accurate, flexible, and proportionate.</w:t>
      </w:r>
    </w:p>
    <w:p w14:paraId="311528AE" w14:textId="6561BD20" w:rsidR="0088571C" w:rsidRDefault="00CD3495" w:rsidP="004C2BAA">
      <w:pPr>
        <w:pStyle w:val="Heading1"/>
        <w:jc w:val="both"/>
      </w:pPr>
      <w:bookmarkStart w:id="5" w:name="_Toc82181487"/>
      <w:r>
        <w:lastRenderedPageBreak/>
        <w:t>General comments</w:t>
      </w:r>
      <w:bookmarkEnd w:id="5"/>
    </w:p>
    <w:p w14:paraId="0A6B822E" w14:textId="5BF29E9E" w:rsidR="000509DC" w:rsidRDefault="006A3D96" w:rsidP="002E133D">
      <w:pPr>
        <w:pStyle w:val="Heading2"/>
      </w:pPr>
      <w:bookmarkStart w:id="6" w:name="_Toc82181488"/>
      <w:r>
        <w:t>Telco</w:t>
      </w:r>
      <w:r w:rsidR="00293704">
        <w:t xml:space="preserve">s </w:t>
      </w:r>
      <w:r w:rsidR="002E133D">
        <w:t>should</w:t>
      </w:r>
      <w:r>
        <w:t xml:space="preserve"> treat</w:t>
      </w:r>
      <w:r w:rsidR="00595E5E">
        <w:t xml:space="preserve"> all</w:t>
      </w:r>
      <w:r>
        <w:t xml:space="preserve"> consumers fairly</w:t>
      </w:r>
      <w:bookmarkEnd w:id="6"/>
      <w:r>
        <w:t xml:space="preserve"> </w:t>
      </w:r>
    </w:p>
    <w:p w14:paraId="135D9F30" w14:textId="2CE42DE8" w:rsidR="00381F41" w:rsidRDefault="006A3368" w:rsidP="006924F7">
      <w:r>
        <w:t xml:space="preserve">Companies that sell phone and internet products and services should treat all their customers fairly. </w:t>
      </w:r>
      <w:r w:rsidR="00F6425F">
        <w:t>To do this, they need to</w:t>
      </w:r>
      <w:r w:rsidR="00761395">
        <w:t xml:space="preserve"> </w:t>
      </w:r>
      <w:r w:rsidR="006A2EB6">
        <w:t>offer</w:t>
      </w:r>
      <w:r w:rsidR="00F6425F">
        <w:t xml:space="preserve"> </w:t>
      </w:r>
      <w:r w:rsidR="00C63237">
        <w:t>tailored support to customers experiencing vulnerability</w:t>
      </w:r>
      <w:r w:rsidR="00143217">
        <w:t xml:space="preserve"> or</w:t>
      </w:r>
      <w:r w:rsidR="00C63237">
        <w:t xml:space="preserve"> </w:t>
      </w:r>
      <w:r w:rsidR="00143217">
        <w:t xml:space="preserve">disadvantage, </w:t>
      </w:r>
      <w:r w:rsidR="00AF03A2">
        <w:t xml:space="preserve">as well as </w:t>
      </w:r>
      <w:r w:rsidR="0047297F">
        <w:t>to</w:t>
      </w:r>
      <w:r w:rsidR="00220191">
        <w:t xml:space="preserve"> those who are </w:t>
      </w:r>
      <w:r w:rsidR="00143217">
        <w:t>at risk of harm</w:t>
      </w:r>
      <w:r w:rsidR="00BE2B03">
        <w:t xml:space="preserve"> or have difficulty </w:t>
      </w:r>
      <w:r w:rsidR="00AF03A2">
        <w:t>accessing services</w:t>
      </w:r>
      <w:r w:rsidR="18249436">
        <w:t xml:space="preserve"> </w:t>
      </w:r>
      <w:r w:rsidR="00143217">
        <w:t xml:space="preserve">due to personal, </w:t>
      </w:r>
      <w:r w:rsidR="001A2E0F">
        <w:t>demographic,</w:t>
      </w:r>
      <w:r w:rsidR="00D168BD">
        <w:t xml:space="preserve"> or </w:t>
      </w:r>
      <w:r w:rsidR="00143217">
        <w:t>structural</w:t>
      </w:r>
      <w:r w:rsidR="00D168BD">
        <w:t xml:space="preserve"> factors.</w:t>
      </w:r>
      <w:r w:rsidR="002C17F1">
        <w:t xml:space="preserve"> </w:t>
      </w:r>
      <w:r w:rsidR="00275A7C">
        <w:t xml:space="preserve">Treating customers fairly also </w:t>
      </w:r>
      <w:r w:rsidR="002C17F1">
        <w:t>includes designing</w:t>
      </w:r>
      <w:r w:rsidR="00381F41">
        <w:t>, selling</w:t>
      </w:r>
      <w:r w:rsidR="001A2E0F">
        <w:t>,</w:t>
      </w:r>
      <w:r w:rsidR="00381F41">
        <w:t xml:space="preserve"> and delivering</w:t>
      </w:r>
      <w:r w:rsidR="002C17F1">
        <w:t xml:space="preserve"> products and services </w:t>
      </w:r>
      <w:r w:rsidR="00982708">
        <w:t xml:space="preserve">in a way that is </w:t>
      </w:r>
      <w:r w:rsidR="00BD7084">
        <w:t>equitable</w:t>
      </w:r>
      <w:r w:rsidR="00381F41">
        <w:t xml:space="preserve"> and provides good value to customers. </w:t>
      </w:r>
    </w:p>
    <w:p w14:paraId="47F8256A" w14:textId="61BBA8A8" w:rsidR="00AC0183" w:rsidRDefault="00316972" w:rsidP="00AC0183">
      <w:r>
        <w:t>Apart from the obvious benefit of customer retention, t</w:t>
      </w:r>
      <w:r w:rsidR="00EE704A">
        <w:t xml:space="preserve">reating </w:t>
      </w:r>
      <w:r w:rsidR="00CF2BF9">
        <w:t>customers fairly</w:t>
      </w:r>
      <w:r w:rsidR="00812885">
        <w:t xml:space="preserve"> </w:t>
      </w:r>
      <w:r w:rsidR="007E2103">
        <w:t>is important for many</w:t>
      </w:r>
      <w:r w:rsidR="001E6087">
        <w:t xml:space="preserve"> </w:t>
      </w:r>
      <w:r w:rsidR="007E2103">
        <w:t>reasons</w:t>
      </w:r>
      <w:r w:rsidR="00CF2BF9">
        <w:t xml:space="preserve"> </w:t>
      </w:r>
      <w:r w:rsidR="001E6087">
        <w:t>including:</w:t>
      </w:r>
    </w:p>
    <w:p w14:paraId="3F918852" w14:textId="1D643C7A" w:rsidR="00AC0183" w:rsidRDefault="00AC0183" w:rsidP="00EA02D0">
      <w:pPr>
        <w:pStyle w:val="ListParagraph"/>
        <w:numPr>
          <w:ilvl w:val="0"/>
          <w:numId w:val="21"/>
        </w:numPr>
      </w:pPr>
      <w:r w:rsidRPr="00566A31">
        <w:rPr>
          <w:b/>
          <w:bCs/>
        </w:rPr>
        <w:t>Telecommunications are essential servic</w:t>
      </w:r>
      <w:r w:rsidR="00BD7084" w:rsidRPr="00566A31">
        <w:rPr>
          <w:b/>
          <w:bCs/>
        </w:rPr>
        <w:t>es</w:t>
      </w:r>
      <w:r w:rsidR="00BD7084">
        <w:t xml:space="preserve">. </w:t>
      </w:r>
      <w:r w:rsidR="00336A8B">
        <w:t>As the SoE indicates,</w:t>
      </w:r>
      <w:r w:rsidR="00EC2608">
        <w:rPr>
          <w:rStyle w:val="FootnoteReference"/>
        </w:rPr>
        <w:footnoteReference w:id="2"/>
      </w:r>
      <w:r w:rsidR="00336A8B">
        <w:t xml:space="preserve"> t</w:t>
      </w:r>
      <w:r w:rsidR="00566A31">
        <w:t xml:space="preserve">here is consensus between government and </w:t>
      </w:r>
      <w:r w:rsidR="009A7DFA">
        <w:t xml:space="preserve">consumers that telecommunications </w:t>
      </w:r>
      <w:r w:rsidR="00E20F89">
        <w:t xml:space="preserve">services </w:t>
      </w:r>
      <w:r w:rsidR="009A7DFA">
        <w:t>are an essential utility.</w:t>
      </w:r>
      <w:r w:rsidR="00EA02D0">
        <w:rPr>
          <w:rStyle w:val="FootnoteReference"/>
        </w:rPr>
        <w:footnoteReference w:id="3"/>
      </w:r>
      <w:r w:rsidR="009A7DFA">
        <w:t xml:space="preserve"> </w:t>
      </w:r>
      <w:r w:rsidR="00A27FCB">
        <w:t>C</w:t>
      </w:r>
      <w:r w:rsidR="00D57DFC">
        <w:t>ommunications</w:t>
      </w:r>
      <w:r w:rsidR="00A27FCB">
        <w:t xml:space="preserve"> </w:t>
      </w:r>
      <w:r w:rsidR="008B411A">
        <w:t xml:space="preserve">services allow </w:t>
      </w:r>
      <w:r w:rsidR="00A27FCB">
        <w:t>consumers</w:t>
      </w:r>
      <w:r w:rsidR="008B411A">
        <w:t xml:space="preserve"> to access emergency services</w:t>
      </w:r>
      <w:r w:rsidR="00AE7988">
        <w:t xml:space="preserve">, healthcare, employment, </w:t>
      </w:r>
      <w:r w:rsidR="00497B5E">
        <w:t xml:space="preserve">and </w:t>
      </w:r>
      <w:r w:rsidR="00AE7988">
        <w:t>education</w:t>
      </w:r>
      <w:r w:rsidR="00CE1D4C">
        <w:t>, as well as participate socially and in civic society</w:t>
      </w:r>
      <w:r w:rsidR="00497B5E">
        <w:t>.</w:t>
      </w:r>
      <w:r w:rsidR="00F715BC">
        <w:t xml:space="preserve"> Th</w:t>
      </w:r>
      <w:r w:rsidR="00CE1D4C">
        <w:t>e</w:t>
      </w:r>
      <w:r w:rsidR="00F715BC">
        <w:t xml:space="preserve"> COVID-19 environment</w:t>
      </w:r>
      <w:r w:rsidR="00CE1D4C">
        <w:t xml:space="preserve"> has exponentially increased Australians’ </w:t>
      </w:r>
      <w:r w:rsidR="00105EEA">
        <w:t xml:space="preserve">heavy </w:t>
      </w:r>
      <w:r w:rsidR="00CE1D4C">
        <w:t>reliance on communications services</w:t>
      </w:r>
      <w:r w:rsidR="00105EEA">
        <w:t>.</w:t>
      </w:r>
      <w:r w:rsidR="00F715BC">
        <w:rPr>
          <w:rStyle w:val="FootnoteReference"/>
        </w:rPr>
        <w:footnoteReference w:id="4"/>
      </w:r>
      <w:r w:rsidR="00E81FAD">
        <w:t xml:space="preserve"> </w:t>
      </w:r>
    </w:p>
    <w:p w14:paraId="3AF97CCB" w14:textId="34871849" w:rsidR="00AC0183" w:rsidRDefault="00CA254A" w:rsidP="00AC0183">
      <w:pPr>
        <w:pStyle w:val="ListParagraph"/>
        <w:numPr>
          <w:ilvl w:val="0"/>
          <w:numId w:val="21"/>
        </w:numPr>
      </w:pPr>
      <w:r>
        <w:rPr>
          <w:b/>
          <w:bCs/>
        </w:rPr>
        <w:t>Fairness</w:t>
      </w:r>
      <w:r w:rsidR="00AC0183" w:rsidRPr="001F737F">
        <w:rPr>
          <w:b/>
          <w:bCs/>
        </w:rPr>
        <w:t xml:space="preserve"> makes good commercial sense</w:t>
      </w:r>
      <w:r w:rsidR="00AC0183">
        <w:t>.</w:t>
      </w:r>
      <w:r w:rsidR="00CE1D4C">
        <w:t xml:space="preserve"> The </w:t>
      </w:r>
      <w:r w:rsidR="007A7573">
        <w:t xml:space="preserve">broader </w:t>
      </w:r>
      <w:r w:rsidR="00CE1D4C">
        <w:t xml:space="preserve">economic benefits </w:t>
      </w:r>
      <w:r w:rsidR="00441F2F">
        <w:t xml:space="preserve">of keeping consumers connected </w:t>
      </w:r>
      <w:r w:rsidR="00777ACD">
        <w:t xml:space="preserve">are well documented and </w:t>
      </w:r>
      <w:r w:rsidR="00441F2F">
        <w:t>cannot be overstated</w:t>
      </w:r>
      <w:r w:rsidR="00CE1D4C">
        <w:t>.</w:t>
      </w:r>
      <w:r w:rsidR="00777ACD">
        <w:rPr>
          <w:rStyle w:val="FootnoteReference"/>
        </w:rPr>
        <w:footnoteReference w:id="5"/>
      </w:r>
      <w:r w:rsidR="00CE1D4C">
        <w:t xml:space="preserve"> </w:t>
      </w:r>
      <w:r w:rsidR="007A7573">
        <w:t>Additionally, f</w:t>
      </w:r>
      <w:r w:rsidR="007C6878">
        <w:t xml:space="preserve">air dealings </w:t>
      </w:r>
      <w:r w:rsidR="00777ACD">
        <w:t xml:space="preserve">between telcos and consumers </w:t>
      </w:r>
      <w:r w:rsidR="001D7E87">
        <w:t xml:space="preserve">can </w:t>
      </w:r>
      <w:r w:rsidR="007C6878">
        <w:t xml:space="preserve">lead to customer </w:t>
      </w:r>
      <w:r w:rsidR="007A7573">
        <w:t>satisfaction and loyalty</w:t>
      </w:r>
      <w:r w:rsidR="00777ACD">
        <w:t xml:space="preserve">. </w:t>
      </w:r>
      <w:r w:rsidR="00B629B9">
        <w:t>I</w:t>
      </w:r>
      <w:r w:rsidR="00777ACD">
        <w:t xml:space="preserve">nvesting in customer service </w:t>
      </w:r>
      <w:r w:rsidR="00631F7E">
        <w:t xml:space="preserve">and </w:t>
      </w:r>
      <w:r w:rsidR="001C2FF3">
        <w:t>proactive, early r</w:t>
      </w:r>
      <w:r w:rsidR="00631F7E">
        <w:t>esponses to vulnerability</w:t>
      </w:r>
      <w:r w:rsidR="004E1DC6">
        <w:t xml:space="preserve"> </w:t>
      </w:r>
      <w:r w:rsidR="0082797A">
        <w:t>keep</w:t>
      </w:r>
      <w:r w:rsidR="00360A83">
        <w:t xml:space="preserve">s customers connected and </w:t>
      </w:r>
      <w:r w:rsidR="004E1DC6">
        <w:t xml:space="preserve">leads to </w:t>
      </w:r>
      <w:r w:rsidR="001C2FF3">
        <w:t xml:space="preserve">more efficient </w:t>
      </w:r>
      <w:r w:rsidR="006E28DB">
        <w:t>dispute resolution</w:t>
      </w:r>
      <w:r w:rsidR="00360A83">
        <w:t xml:space="preserve"> and debt management.</w:t>
      </w:r>
      <w:r w:rsidR="00B629B9">
        <w:rPr>
          <w:rStyle w:val="FootnoteReference"/>
        </w:rPr>
        <w:footnoteReference w:id="6"/>
      </w:r>
      <w:r w:rsidR="00360A83">
        <w:t xml:space="preserve"> </w:t>
      </w:r>
    </w:p>
    <w:p w14:paraId="6083D60A" w14:textId="3B7EB0A3" w:rsidR="00BD7084" w:rsidRDefault="00BD7084" w:rsidP="00AC0183">
      <w:pPr>
        <w:pStyle w:val="ListParagraph"/>
        <w:numPr>
          <w:ilvl w:val="0"/>
          <w:numId w:val="21"/>
        </w:numPr>
      </w:pPr>
      <w:r w:rsidRPr="001F737F">
        <w:rPr>
          <w:b/>
          <w:bCs/>
        </w:rPr>
        <w:t xml:space="preserve">Consumers expect </w:t>
      </w:r>
      <w:r w:rsidR="00CA254A">
        <w:rPr>
          <w:b/>
          <w:bCs/>
        </w:rPr>
        <w:t>fairness</w:t>
      </w:r>
      <w:r>
        <w:t>.</w:t>
      </w:r>
      <w:r w:rsidR="006D22F6">
        <w:t xml:space="preserve"> Increased consumer protections and improvements in customer service in other sectors (for example, banking and online retail) mean that consumers expect fair and proper dealings with service providers. </w:t>
      </w:r>
    </w:p>
    <w:p w14:paraId="6AA416A1" w14:textId="084EB171" w:rsidR="00566A31" w:rsidRDefault="00566A31" w:rsidP="00AC0183">
      <w:pPr>
        <w:pStyle w:val="ListParagraph"/>
        <w:numPr>
          <w:ilvl w:val="0"/>
          <w:numId w:val="21"/>
        </w:numPr>
      </w:pPr>
      <w:r w:rsidRPr="001F737F">
        <w:rPr>
          <w:b/>
          <w:bCs/>
        </w:rPr>
        <w:t>Anyone can experience adversity</w:t>
      </w:r>
      <w:r>
        <w:t xml:space="preserve">. </w:t>
      </w:r>
      <w:r w:rsidR="0014578B">
        <w:t xml:space="preserve">It is </w:t>
      </w:r>
      <w:r w:rsidR="00CA254A">
        <w:t xml:space="preserve">broadly </w:t>
      </w:r>
      <w:r w:rsidR="0014578B">
        <w:t xml:space="preserve">recognised that ‘vulnerable people’ do not make up a distinct, homogenous and static subset of consumers; any person can </w:t>
      </w:r>
      <w:r w:rsidR="00CA254A">
        <w:t>become vulnerable for a broad range of reasons as explained in the SoE</w:t>
      </w:r>
      <w:r w:rsidR="00BB2090">
        <w:t>.</w:t>
      </w:r>
      <w:r w:rsidR="00272C40">
        <w:rPr>
          <w:rStyle w:val="FootnoteReference"/>
        </w:rPr>
        <w:footnoteReference w:id="7"/>
      </w:r>
      <w:r w:rsidR="00BB2090">
        <w:t xml:space="preserve"> </w:t>
      </w:r>
      <w:r w:rsidR="003103E6">
        <w:t xml:space="preserve">In fact, consumers may not </w:t>
      </w:r>
      <w:r w:rsidR="002E4BCC">
        <w:t xml:space="preserve">identify themselves as vulnerable, </w:t>
      </w:r>
      <w:r w:rsidR="009A5C7E">
        <w:t xml:space="preserve">or may not realise they are experiencing </w:t>
      </w:r>
      <w:r w:rsidR="0000229A">
        <w:t>vulnerability</w:t>
      </w:r>
      <w:r w:rsidR="009A5C7E">
        <w:t xml:space="preserve"> for a variety of reasons.</w:t>
      </w:r>
      <w:r w:rsidR="003103E6">
        <w:t xml:space="preserve"> </w:t>
      </w:r>
      <w:r w:rsidR="00BB2090">
        <w:t xml:space="preserve">Consequently, markets should be inclusively designed in anticipation of </w:t>
      </w:r>
      <w:r w:rsidR="00BB2090">
        <w:lastRenderedPageBreak/>
        <w:t xml:space="preserve">vulnerability, </w:t>
      </w:r>
      <w:r w:rsidR="005F48BA">
        <w:t>by ensuring all aspects of service providers’ business practices and processes are fair</w:t>
      </w:r>
      <w:r w:rsidR="004E1DC6">
        <w:t>.</w:t>
      </w:r>
    </w:p>
    <w:p w14:paraId="050FA6C4" w14:textId="2AE5B212" w:rsidR="00B03D5A" w:rsidRDefault="0078247C" w:rsidP="002E133D">
      <w:pPr>
        <w:pStyle w:val="Heading2"/>
      </w:pPr>
      <w:bookmarkStart w:id="7" w:name="_Toc82181489"/>
      <w:r>
        <w:t>Telco</w:t>
      </w:r>
      <w:r w:rsidR="00293704">
        <w:t xml:space="preserve">s </w:t>
      </w:r>
      <w:r w:rsidR="0034052C">
        <w:t>should</w:t>
      </w:r>
      <w:r>
        <w:t xml:space="preserve"> do better </w:t>
      </w:r>
      <w:r w:rsidR="002E133D">
        <w:t>whe</w:t>
      </w:r>
      <w:r>
        <w:t>n supporting consumers experiencing vulnerability</w:t>
      </w:r>
      <w:bookmarkEnd w:id="7"/>
    </w:p>
    <w:p w14:paraId="45D242AE" w14:textId="45FFCCF1" w:rsidR="00651921" w:rsidRDefault="00851862" w:rsidP="008B1360">
      <w:pPr>
        <w:rPr>
          <w:lang w:eastAsia="en-US"/>
        </w:rPr>
      </w:pPr>
      <w:r>
        <w:rPr>
          <w:lang w:eastAsia="en-US"/>
        </w:rPr>
        <w:t>The SoE outlines</w:t>
      </w:r>
      <w:r w:rsidR="00297EBD">
        <w:rPr>
          <w:lang w:eastAsia="en-US"/>
        </w:rPr>
        <w:t xml:space="preserve"> a variety of areas in which the telco market has </w:t>
      </w:r>
      <w:r w:rsidR="00336A0F">
        <w:rPr>
          <w:lang w:eastAsia="en-US"/>
        </w:rPr>
        <w:t>in many cases</w:t>
      </w:r>
      <w:r w:rsidR="00297EBD">
        <w:rPr>
          <w:lang w:eastAsia="en-US"/>
        </w:rPr>
        <w:t xml:space="preserve"> </w:t>
      </w:r>
      <w:r w:rsidR="007415E3">
        <w:rPr>
          <w:lang w:eastAsia="en-US"/>
        </w:rPr>
        <w:t>failed to deliver adequate protections for people experiencing vulnerability</w:t>
      </w:r>
      <w:r w:rsidR="008B1360">
        <w:rPr>
          <w:lang w:eastAsia="en-US"/>
        </w:rPr>
        <w:t>, including accessing financial hardship supports, customer service, and selling practices.</w:t>
      </w:r>
      <w:r w:rsidR="00101CB0">
        <w:rPr>
          <w:rStyle w:val="FootnoteReference"/>
          <w:lang w:eastAsia="en-US"/>
        </w:rPr>
        <w:footnoteReference w:id="8"/>
      </w:r>
      <w:r w:rsidR="008B1360">
        <w:rPr>
          <w:lang w:eastAsia="en-US"/>
        </w:rPr>
        <w:t xml:space="preserve"> </w:t>
      </w:r>
    </w:p>
    <w:p w14:paraId="5AD51CA1" w14:textId="77422C3D" w:rsidR="003C45FF" w:rsidRDefault="00506025" w:rsidP="008B1360">
      <w:pPr>
        <w:rPr>
          <w:lang w:eastAsia="en-US"/>
        </w:rPr>
      </w:pPr>
      <w:r>
        <w:rPr>
          <w:lang w:eastAsia="en-US"/>
        </w:rPr>
        <w:t xml:space="preserve">Anecdotally and as expressed </w:t>
      </w:r>
      <w:r w:rsidR="00451370">
        <w:rPr>
          <w:lang w:eastAsia="en-US"/>
        </w:rPr>
        <w:t>through</w:t>
      </w:r>
      <w:r>
        <w:rPr>
          <w:lang w:eastAsia="en-US"/>
        </w:rPr>
        <w:t xml:space="preserve"> consistently high Telecommunications Industry Ombudsman (</w:t>
      </w:r>
      <w:r w:rsidRPr="002D615D">
        <w:rPr>
          <w:b/>
          <w:bCs/>
          <w:lang w:eastAsia="en-US"/>
        </w:rPr>
        <w:t>TIO</w:t>
      </w:r>
      <w:r>
        <w:rPr>
          <w:lang w:eastAsia="en-US"/>
        </w:rPr>
        <w:t>) complaints statistics, many consumers are frustrated and fatigued from difficulties dealing with telecommunications providers</w:t>
      </w:r>
      <w:r w:rsidR="007D6D2D">
        <w:rPr>
          <w:lang w:eastAsia="en-US"/>
        </w:rPr>
        <w:t>.</w:t>
      </w:r>
      <w:r>
        <w:rPr>
          <w:rStyle w:val="FootnoteReference"/>
          <w:lang w:eastAsia="en-US"/>
        </w:rPr>
        <w:footnoteReference w:id="9"/>
      </w:r>
      <w:r>
        <w:rPr>
          <w:lang w:eastAsia="en-US"/>
        </w:rPr>
        <w:t xml:space="preserve"> </w:t>
      </w:r>
      <w:r w:rsidR="00095CC0">
        <w:rPr>
          <w:lang w:eastAsia="en-US"/>
        </w:rPr>
        <w:t>Indeed,</w:t>
      </w:r>
      <w:r>
        <w:rPr>
          <w:lang w:eastAsia="en-US"/>
        </w:rPr>
        <w:t xml:space="preserve"> the same can be said for many consumer advocates and community organisations that deal with telco problems. </w:t>
      </w:r>
    </w:p>
    <w:p w14:paraId="7EB1C10C" w14:textId="5D9F3046" w:rsidR="003C45FF" w:rsidRDefault="00AF03A2" w:rsidP="008B1360">
      <w:pPr>
        <w:rPr>
          <w:lang w:eastAsia="en-US"/>
        </w:rPr>
      </w:pPr>
      <w:r>
        <w:rPr>
          <w:lang w:eastAsia="en-US"/>
        </w:rPr>
        <w:t xml:space="preserve">There is clearly </w:t>
      </w:r>
      <w:r w:rsidR="008013A0">
        <w:rPr>
          <w:lang w:eastAsia="en-US"/>
        </w:rPr>
        <w:t>a need for a broad culture shift in the telecommunications sector</w:t>
      </w:r>
      <w:r w:rsidR="001912CC">
        <w:rPr>
          <w:lang w:eastAsia="en-US"/>
        </w:rPr>
        <w:t xml:space="preserve"> in terms of how telcos identify and respond to vulnerability</w:t>
      </w:r>
      <w:r w:rsidR="008013A0">
        <w:rPr>
          <w:lang w:eastAsia="en-US"/>
        </w:rPr>
        <w:t>.</w:t>
      </w:r>
      <w:r w:rsidR="008013A0">
        <w:rPr>
          <w:rStyle w:val="FootnoteReference"/>
          <w:lang w:eastAsia="en-US"/>
        </w:rPr>
        <w:footnoteReference w:id="10"/>
      </w:r>
      <w:r w:rsidR="00DB12B5">
        <w:rPr>
          <w:lang w:eastAsia="en-US"/>
        </w:rPr>
        <w:t xml:space="preserve"> The </w:t>
      </w:r>
      <w:r w:rsidR="00526162">
        <w:rPr>
          <w:lang w:eastAsia="en-US"/>
        </w:rPr>
        <w:t>case</w:t>
      </w:r>
      <w:r w:rsidR="00DB12B5">
        <w:rPr>
          <w:lang w:eastAsia="en-US"/>
        </w:rPr>
        <w:t xml:space="preserve"> for reform is </w:t>
      </w:r>
      <w:r w:rsidR="001912CC">
        <w:rPr>
          <w:lang w:eastAsia="en-US"/>
        </w:rPr>
        <w:t>well</w:t>
      </w:r>
      <w:r w:rsidR="00526162">
        <w:rPr>
          <w:lang w:eastAsia="en-US"/>
        </w:rPr>
        <w:t>-</w:t>
      </w:r>
      <w:r w:rsidR="001912CC">
        <w:rPr>
          <w:lang w:eastAsia="en-US"/>
        </w:rPr>
        <w:t>documented</w:t>
      </w:r>
      <w:r w:rsidR="00842C2C">
        <w:rPr>
          <w:lang w:eastAsia="en-US"/>
        </w:rPr>
        <w:t xml:space="preserve"> in recent TIO systemic issues publications and the ACMA</w:t>
      </w:r>
      <w:r w:rsidR="0034052C">
        <w:rPr>
          <w:lang w:eastAsia="en-US"/>
        </w:rPr>
        <w:t>’s</w:t>
      </w:r>
      <w:r w:rsidR="002552C2">
        <w:rPr>
          <w:lang w:eastAsia="en-US"/>
        </w:rPr>
        <w:t xml:space="preserve"> 2019-20</w:t>
      </w:r>
      <w:r w:rsidR="00842C2C">
        <w:rPr>
          <w:lang w:eastAsia="en-US"/>
        </w:rPr>
        <w:t xml:space="preserve"> Financial Hardship</w:t>
      </w:r>
      <w:r w:rsidR="0034052C">
        <w:rPr>
          <w:lang w:eastAsia="en-US"/>
        </w:rPr>
        <w:t xml:space="preserve"> State of Play</w:t>
      </w:r>
      <w:r w:rsidR="00842C2C">
        <w:rPr>
          <w:lang w:eastAsia="en-US"/>
        </w:rPr>
        <w:t xml:space="preserve"> report</w:t>
      </w:r>
      <w:r w:rsidR="002C3667">
        <w:rPr>
          <w:lang w:eastAsia="en-US"/>
        </w:rPr>
        <w:t>.</w:t>
      </w:r>
      <w:r w:rsidR="00E6447E">
        <w:rPr>
          <w:lang w:eastAsia="en-US"/>
        </w:rPr>
        <w:t xml:space="preserve"> </w:t>
      </w:r>
      <w:r w:rsidR="002C3667">
        <w:rPr>
          <w:lang w:eastAsia="en-US"/>
        </w:rPr>
        <w:t>B</w:t>
      </w:r>
      <w:r w:rsidR="002C3667" w:rsidRPr="68B317C5">
        <w:rPr>
          <w:lang w:eastAsia="en-US"/>
        </w:rPr>
        <w:t xml:space="preserve">oth </w:t>
      </w:r>
      <w:r w:rsidR="012D7F7D" w:rsidRPr="68B317C5">
        <w:rPr>
          <w:lang w:eastAsia="en-US"/>
        </w:rPr>
        <w:t xml:space="preserve">of </w:t>
      </w:r>
      <w:r w:rsidR="002C3667">
        <w:rPr>
          <w:lang w:eastAsia="en-US"/>
        </w:rPr>
        <w:t>these</w:t>
      </w:r>
      <w:r w:rsidR="00E6447E">
        <w:rPr>
          <w:lang w:eastAsia="en-US"/>
        </w:rPr>
        <w:t xml:space="preserve"> </w:t>
      </w:r>
      <w:r w:rsidR="0047297F">
        <w:rPr>
          <w:lang w:eastAsia="en-US"/>
        </w:rPr>
        <w:t xml:space="preserve">reports </w:t>
      </w:r>
      <w:r w:rsidR="0034052C">
        <w:rPr>
          <w:lang w:eastAsia="en-US"/>
        </w:rPr>
        <w:t xml:space="preserve">identify </w:t>
      </w:r>
      <w:r w:rsidR="006F60FA">
        <w:rPr>
          <w:lang w:eastAsia="en-US"/>
        </w:rPr>
        <w:t xml:space="preserve">current </w:t>
      </w:r>
      <w:r w:rsidR="0034052C">
        <w:rPr>
          <w:lang w:eastAsia="en-US"/>
        </w:rPr>
        <w:t>trends where the supports offered by telcos</w:t>
      </w:r>
      <w:r w:rsidR="005A765D">
        <w:rPr>
          <w:lang w:eastAsia="en-US"/>
        </w:rPr>
        <w:t xml:space="preserve"> to consumers experiencing vulnerability</w:t>
      </w:r>
      <w:r w:rsidR="006F60FA">
        <w:rPr>
          <w:lang w:eastAsia="en-US"/>
        </w:rPr>
        <w:t xml:space="preserve"> are not suitable</w:t>
      </w:r>
      <w:r w:rsidR="005A765D">
        <w:rPr>
          <w:lang w:eastAsia="en-US"/>
        </w:rPr>
        <w:t xml:space="preserve"> in many instances</w:t>
      </w:r>
      <w:r w:rsidR="006F60FA">
        <w:rPr>
          <w:lang w:eastAsia="en-US"/>
        </w:rPr>
        <w:t>.</w:t>
      </w:r>
      <w:r w:rsidR="005A765D">
        <w:rPr>
          <w:rStyle w:val="FootnoteReference"/>
          <w:lang w:eastAsia="en-US"/>
        </w:rPr>
        <w:footnoteReference w:id="11"/>
      </w:r>
      <w:r w:rsidR="000629DD">
        <w:rPr>
          <w:lang w:eastAsia="en-US"/>
        </w:rPr>
        <w:t xml:space="preserve"> </w:t>
      </w:r>
      <w:r w:rsidR="0069229A">
        <w:rPr>
          <w:rStyle w:val="FootnoteReference"/>
          <w:lang w:eastAsia="en-US"/>
        </w:rPr>
        <w:footnoteReference w:id="12"/>
      </w:r>
      <w:r w:rsidR="006F60FA">
        <w:rPr>
          <w:lang w:eastAsia="en-US"/>
        </w:rPr>
        <w:t xml:space="preserve"> </w:t>
      </w:r>
      <w:r w:rsidR="00ED5BE9">
        <w:rPr>
          <w:rStyle w:val="FootnoteReference"/>
          <w:lang w:eastAsia="en-US"/>
        </w:rPr>
        <w:footnoteReference w:id="13"/>
      </w:r>
    </w:p>
    <w:p w14:paraId="3AEF4707" w14:textId="2CFC3DDD" w:rsidR="00851862" w:rsidRDefault="00451370" w:rsidP="008B1360">
      <w:pPr>
        <w:rPr>
          <w:lang w:eastAsia="en-US"/>
        </w:rPr>
      </w:pPr>
      <w:r>
        <w:rPr>
          <w:lang w:eastAsia="en-US"/>
        </w:rPr>
        <w:t>All telcos selling</w:t>
      </w:r>
      <w:r w:rsidR="00905965">
        <w:rPr>
          <w:lang w:eastAsia="en-US"/>
        </w:rPr>
        <w:t xml:space="preserve"> retail</w:t>
      </w:r>
      <w:r>
        <w:rPr>
          <w:lang w:eastAsia="en-US"/>
        </w:rPr>
        <w:t xml:space="preserve"> products </w:t>
      </w:r>
      <w:r w:rsidR="008368BC">
        <w:rPr>
          <w:lang w:eastAsia="en-US"/>
        </w:rPr>
        <w:t xml:space="preserve">and services must </w:t>
      </w:r>
      <w:r>
        <w:rPr>
          <w:lang w:eastAsia="en-US"/>
        </w:rPr>
        <w:t>recognise their status</w:t>
      </w:r>
      <w:r w:rsidR="00BC4A52">
        <w:rPr>
          <w:lang w:eastAsia="en-US"/>
        </w:rPr>
        <w:t xml:space="preserve"> as essential service providers</w:t>
      </w:r>
      <w:r>
        <w:rPr>
          <w:lang w:eastAsia="en-US"/>
        </w:rPr>
        <w:t>,</w:t>
      </w:r>
      <w:r w:rsidR="00BC4A52">
        <w:rPr>
          <w:lang w:eastAsia="en-US"/>
        </w:rPr>
        <w:t xml:space="preserve"> and should </w:t>
      </w:r>
      <w:r w:rsidR="004B166F">
        <w:rPr>
          <w:lang w:eastAsia="en-US"/>
        </w:rPr>
        <w:t>listen to</w:t>
      </w:r>
      <w:r w:rsidR="00BC4A52">
        <w:rPr>
          <w:lang w:eastAsia="en-US"/>
        </w:rPr>
        <w:t xml:space="preserve"> consumers</w:t>
      </w:r>
      <w:r w:rsidR="00753D7B">
        <w:rPr>
          <w:lang w:eastAsia="en-US"/>
        </w:rPr>
        <w:t xml:space="preserve"> when they articulate their needs</w:t>
      </w:r>
      <w:r w:rsidR="007320D4">
        <w:rPr>
          <w:lang w:eastAsia="en-US"/>
        </w:rPr>
        <w:t>.</w:t>
      </w:r>
      <w:r>
        <w:rPr>
          <w:lang w:eastAsia="en-US"/>
        </w:rPr>
        <w:t xml:space="preserve"> </w:t>
      </w:r>
    </w:p>
    <w:p w14:paraId="46611DD9" w14:textId="5D08FC54" w:rsidR="007D6850" w:rsidRPr="008013A0" w:rsidRDefault="007D6850" w:rsidP="008013A0">
      <w:pPr>
        <w:pStyle w:val="Recommendation"/>
        <w:numPr>
          <w:ilvl w:val="0"/>
          <w:numId w:val="22"/>
        </w:numPr>
      </w:pPr>
      <w:r w:rsidRPr="008013A0">
        <w:t xml:space="preserve">That the SoE clearly articulates the need for </w:t>
      </w:r>
      <w:r w:rsidR="004F1713" w:rsidRPr="008013A0">
        <w:t xml:space="preserve">not just system and process improvements, but also </w:t>
      </w:r>
      <w:r w:rsidRPr="008013A0">
        <w:t xml:space="preserve">a </w:t>
      </w:r>
      <w:r w:rsidR="002D615D">
        <w:t>deep</w:t>
      </w:r>
      <w:r w:rsidRPr="008013A0">
        <w:t xml:space="preserve"> cultur</w:t>
      </w:r>
      <w:r w:rsidR="00676BD2">
        <w:t>al</w:t>
      </w:r>
      <w:r w:rsidRPr="008013A0">
        <w:t xml:space="preserve"> shift in the telecommunications sector</w:t>
      </w:r>
      <w:r w:rsidR="004F1713" w:rsidRPr="008013A0">
        <w:t xml:space="preserve">. </w:t>
      </w:r>
    </w:p>
    <w:p w14:paraId="12BF6058" w14:textId="3CC519F4" w:rsidR="0078247C" w:rsidRDefault="0078247C" w:rsidP="00BC1008">
      <w:pPr>
        <w:pStyle w:val="Heading2"/>
      </w:pPr>
      <w:bookmarkStart w:id="8" w:name="_Toc82181490"/>
      <w:r>
        <w:lastRenderedPageBreak/>
        <w:t xml:space="preserve">The </w:t>
      </w:r>
      <w:r w:rsidR="00595E5E">
        <w:t>SoE’s</w:t>
      </w:r>
      <w:r>
        <w:t xml:space="preserve"> outcomes and examples </w:t>
      </w:r>
      <w:r w:rsidR="00595E5E">
        <w:t>need more clarity and detail</w:t>
      </w:r>
      <w:r w:rsidR="00BC1008">
        <w:t>, and adoption</w:t>
      </w:r>
      <w:r w:rsidR="00A330CA">
        <w:t xml:space="preserve"> of the SoE</w:t>
      </w:r>
      <w:r w:rsidR="00BC1008">
        <w:t xml:space="preserve"> should be monitored</w:t>
      </w:r>
      <w:bookmarkEnd w:id="8"/>
      <w:r w:rsidR="00BC1008">
        <w:t xml:space="preserve"> </w:t>
      </w:r>
    </w:p>
    <w:p w14:paraId="2BE7AEC0" w14:textId="77777777" w:rsidR="00D7761B" w:rsidRDefault="00753D7B" w:rsidP="006818F6">
      <w:pPr>
        <w:rPr>
          <w:lang w:eastAsia="en-US"/>
        </w:rPr>
      </w:pPr>
      <w:r>
        <w:rPr>
          <w:lang w:eastAsia="en-US"/>
        </w:rPr>
        <w:t xml:space="preserve">Overall, the </w:t>
      </w:r>
      <w:r w:rsidR="00BC1008">
        <w:rPr>
          <w:lang w:eastAsia="en-US"/>
        </w:rPr>
        <w:t xml:space="preserve">SoE’s priority areas and goals are sound and well-designed, and adequately reflect the complexity and needs of consumers </w:t>
      </w:r>
      <w:r w:rsidR="006818F6">
        <w:rPr>
          <w:lang w:eastAsia="en-US"/>
        </w:rPr>
        <w:t xml:space="preserve">experiencing vulnerability. </w:t>
      </w:r>
    </w:p>
    <w:p w14:paraId="1317D0AB" w14:textId="431E1E7C" w:rsidR="002A30C9" w:rsidRDefault="006818F6" w:rsidP="002A30C9">
      <w:r>
        <w:t>However,</w:t>
      </w:r>
      <w:r w:rsidR="00BC1008" w:rsidRPr="001C5D3A">
        <w:t xml:space="preserve"> there </w:t>
      </w:r>
      <w:r>
        <w:t>should</w:t>
      </w:r>
      <w:r w:rsidR="00BC1008" w:rsidRPr="001C5D3A">
        <w:t xml:space="preserve"> be more clarity and detail about what</w:t>
      </w:r>
      <w:r w:rsidR="00BC1008" w:rsidRPr="006A6366">
        <w:t xml:space="preserve"> </w:t>
      </w:r>
      <w:r>
        <w:t>‘</w:t>
      </w:r>
      <w:r w:rsidR="00BC1008" w:rsidRPr="001C5D3A">
        <w:t>be</w:t>
      </w:r>
      <w:r>
        <w:t>t</w:t>
      </w:r>
      <w:r w:rsidR="00BC1008" w:rsidRPr="001C5D3A">
        <w:t>t</w:t>
      </w:r>
      <w:r>
        <w:t>er</w:t>
      </w:r>
      <w:r w:rsidR="00BC1008" w:rsidRPr="001C5D3A">
        <w:t xml:space="preserve"> practice</w:t>
      </w:r>
      <w:r>
        <w:t xml:space="preserve">’ </w:t>
      </w:r>
      <w:r w:rsidR="008F698E">
        <w:t xml:space="preserve">should </w:t>
      </w:r>
      <w:r w:rsidR="00BC1008" w:rsidRPr="001C5D3A">
        <w:t xml:space="preserve">look like </w:t>
      </w:r>
      <w:r w:rsidR="008F698E">
        <w:t>for telcos</w:t>
      </w:r>
      <w:r w:rsidR="00BC1008" w:rsidRPr="001C5D3A">
        <w:t xml:space="preserve"> supporting consumers</w:t>
      </w:r>
      <w:r w:rsidR="002170FD">
        <w:t xml:space="preserve"> experiencing vulnerability</w:t>
      </w:r>
      <w:r w:rsidR="00BC1008" w:rsidRPr="001C5D3A">
        <w:t xml:space="preserve">. </w:t>
      </w:r>
      <w:r>
        <w:t>The</w:t>
      </w:r>
      <w:r w:rsidR="0047297F">
        <w:t xml:space="preserve"> </w:t>
      </w:r>
      <w:r w:rsidR="004B166F">
        <w:t>ACMA</w:t>
      </w:r>
      <w:r w:rsidR="0047297F">
        <w:t xml:space="preserve"> </w:t>
      </w:r>
      <w:r w:rsidR="00BC1008" w:rsidRPr="001C5D3A">
        <w:t>needs</w:t>
      </w:r>
      <w:r w:rsidR="000B39D4">
        <w:t xml:space="preserve"> to incorporate</w:t>
      </w:r>
      <w:r w:rsidR="00BC1008" w:rsidRPr="001C5D3A">
        <w:t xml:space="preserve"> clear guidance and concrete </w:t>
      </w:r>
      <w:r>
        <w:t>practical</w:t>
      </w:r>
      <w:r w:rsidR="00BC1008" w:rsidRPr="001C5D3A">
        <w:t xml:space="preserve"> examples,</w:t>
      </w:r>
      <w:r w:rsidR="000B39D4">
        <w:t xml:space="preserve"> like those</w:t>
      </w:r>
      <w:r w:rsidR="00BF425D">
        <w:t xml:space="preserve"> outlined</w:t>
      </w:r>
      <w:r w:rsidR="000B39D4">
        <w:t xml:space="preserve"> in the UK telecommunications regulator Ofcom’s </w:t>
      </w:r>
      <w:r w:rsidR="00BF425D" w:rsidRPr="00BF425D">
        <w:rPr>
          <w:i/>
          <w:iCs/>
        </w:rPr>
        <w:t xml:space="preserve">Treating </w:t>
      </w:r>
      <w:r w:rsidR="00C966F9">
        <w:rPr>
          <w:i/>
          <w:iCs/>
        </w:rPr>
        <w:t>V</w:t>
      </w:r>
      <w:r w:rsidR="00BF425D" w:rsidRPr="00BF425D">
        <w:rPr>
          <w:i/>
          <w:iCs/>
        </w:rPr>
        <w:t xml:space="preserve">ulnerable </w:t>
      </w:r>
      <w:r w:rsidR="00C966F9">
        <w:rPr>
          <w:i/>
          <w:iCs/>
        </w:rPr>
        <w:t>C</w:t>
      </w:r>
      <w:r w:rsidR="00BF425D" w:rsidRPr="00BF425D">
        <w:rPr>
          <w:i/>
          <w:iCs/>
        </w:rPr>
        <w:t xml:space="preserve">ustomers </w:t>
      </w:r>
      <w:r w:rsidR="00C966F9">
        <w:rPr>
          <w:i/>
          <w:iCs/>
        </w:rPr>
        <w:t>F</w:t>
      </w:r>
      <w:r w:rsidR="00BF425D" w:rsidRPr="00BF425D">
        <w:rPr>
          <w:i/>
          <w:iCs/>
        </w:rPr>
        <w:t>airly</w:t>
      </w:r>
      <w:r w:rsidR="00BF425D">
        <w:t xml:space="preserve"> guide.</w:t>
      </w:r>
      <w:r w:rsidR="00BF425D">
        <w:rPr>
          <w:rStyle w:val="FootnoteReference"/>
        </w:rPr>
        <w:footnoteReference w:id="14"/>
      </w:r>
      <w:r w:rsidR="00BF425D">
        <w:t xml:space="preserve"> Ambiguous language and </w:t>
      </w:r>
      <w:r w:rsidR="00FF0A3F">
        <w:t>minimal detail about outcomes and examples</w:t>
      </w:r>
      <w:r w:rsidR="00903925">
        <w:t xml:space="preserve"> leaves the SoE</w:t>
      </w:r>
      <w:r w:rsidR="00BC1008" w:rsidRPr="001C5D3A">
        <w:t xml:space="preserve"> open to interpretation</w:t>
      </w:r>
      <w:r w:rsidR="00903925">
        <w:t xml:space="preserve">, </w:t>
      </w:r>
      <w:r w:rsidR="00BC1008" w:rsidRPr="001C5D3A">
        <w:t>limit</w:t>
      </w:r>
      <w:r w:rsidR="00903925">
        <w:t>ing</w:t>
      </w:r>
      <w:r w:rsidR="00BC1008" w:rsidRPr="001C5D3A">
        <w:t xml:space="preserve"> its effectiveness.</w:t>
      </w:r>
      <w:r w:rsidR="00D7761B">
        <w:t xml:space="preserve"> Section 2 </w:t>
      </w:r>
      <w:r w:rsidR="006123FD">
        <w:t>of ACCAN’s submission</w:t>
      </w:r>
      <w:r w:rsidR="00D7761B">
        <w:t xml:space="preserve"> </w:t>
      </w:r>
      <w:r w:rsidR="00B1061B">
        <w:t xml:space="preserve">below </w:t>
      </w:r>
      <w:r w:rsidR="00D7761B">
        <w:t xml:space="preserve">provides recommendations </w:t>
      </w:r>
      <w:r w:rsidR="002A30C9">
        <w:t xml:space="preserve">to improve the clarity </w:t>
      </w:r>
      <w:r w:rsidR="00FF0A3F">
        <w:t>and expression</w:t>
      </w:r>
      <w:r w:rsidR="00A330CA">
        <w:t xml:space="preserve"> in the SoE. </w:t>
      </w:r>
    </w:p>
    <w:p w14:paraId="6ADC37AF" w14:textId="6A3A31CC" w:rsidR="00A330CA" w:rsidRDefault="00A330CA" w:rsidP="00A330CA">
      <w:pPr>
        <w:pStyle w:val="Recommendation"/>
      </w:pPr>
      <w:r>
        <w:t>That the SoE</w:t>
      </w:r>
      <w:r w:rsidR="00A55547">
        <w:t xml:space="preserve">’s outcomes and examples are clarified with sufficient detail to provide practical guidance </w:t>
      </w:r>
      <w:r w:rsidR="000A045A">
        <w:t xml:space="preserve">of best practice </w:t>
      </w:r>
      <w:r w:rsidR="00A55547">
        <w:t xml:space="preserve">for industry. </w:t>
      </w:r>
    </w:p>
    <w:p w14:paraId="7BDF08FB" w14:textId="773D25B8" w:rsidR="002A30C9" w:rsidRDefault="002A30C9" w:rsidP="002A30C9">
      <w:r>
        <w:t xml:space="preserve">Additionally, </w:t>
      </w:r>
      <w:r w:rsidR="00BC1008">
        <w:t>ACCAN understands</w:t>
      </w:r>
      <w:r>
        <w:t xml:space="preserve"> the ACMA</w:t>
      </w:r>
      <w:r w:rsidR="00BC1008">
        <w:t xml:space="preserve"> </w:t>
      </w:r>
      <w:r>
        <w:t xml:space="preserve">intends to </w:t>
      </w:r>
      <w:r w:rsidR="008A68AC">
        <w:t>monitor</w:t>
      </w:r>
      <w:r>
        <w:t xml:space="preserve"> the extent to which </w:t>
      </w:r>
      <w:r w:rsidR="00BC1008">
        <w:t xml:space="preserve">the SoE </w:t>
      </w:r>
      <w:r>
        <w:t>is adopted by the telco industr</w:t>
      </w:r>
      <w:r w:rsidR="00621782">
        <w:t>y to inform</w:t>
      </w:r>
      <w:r w:rsidR="000F3D8A">
        <w:t xml:space="preserve"> its regulatory activities</w:t>
      </w:r>
      <w:r w:rsidR="00A330CA">
        <w:t>.</w:t>
      </w:r>
      <w:r w:rsidR="000F3D8A">
        <w:t xml:space="preserve"> ACCAN strongly supports this objective. </w:t>
      </w:r>
      <w:r w:rsidR="003A6EFB">
        <w:t>To enable this</w:t>
      </w:r>
      <w:r w:rsidR="0072225E">
        <w:t>,</w:t>
      </w:r>
      <w:r w:rsidR="003A6EFB">
        <w:t xml:space="preserve"> i</w:t>
      </w:r>
      <w:r w:rsidR="000F3D8A">
        <w:t xml:space="preserve">t is essential that </w:t>
      </w:r>
      <w:r w:rsidR="00621782">
        <w:t>e</w:t>
      </w:r>
      <w:r w:rsidR="00381E9D">
        <w:t>ach</w:t>
      </w:r>
      <w:r w:rsidR="000F3D8A">
        <w:t xml:space="preserve"> outcome expressed in the SoE </w:t>
      </w:r>
      <w:r w:rsidR="00621782">
        <w:t>is</w:t>
      </w:r>
      <w:r w:rsidR="000F3D8A">
        <w:t xml:space="preserve"> auditable. </w:t>
      </w:r>
      <w:r w:rsidR="00FB0E8B">
        <w:t xml:space="preserve">The telco industry’s adoption of the SoE can only be </w:t>
      </w:r>
      <w:r w:rsidR="00B504B1">
        <w:t>measured</w:t>
      </w:r>
      <w:r w:rsidR="00FB0E8B">
        <w:t xml:space="preserve"> if outcomes are clearly identified and </w:t>
      </w:r>
      <w:r w:rsidR="00B504B1">
        <w:t xml:space="preserve">the extent to which they are met </w:t>
      </w:r>
      <w:r w:rsidR="00FB0E8B">
        <w:t xml:space="preserve">can be assessed. </w:t>
      </w:r>
    </w:p>
    <w:p w14:paraId="6BECB091" w14:textId="77777777" w:rsidR="000D0E80" w:rsidRDefault="000D0E80" w:rsidP="000D0E80">
      <w:pPr>
        <w:pStyle w:val="Recommendation"/>
      </w:pPr>
      <w:r>
        <w:t xml:space="preserve">That each outcome expressed in the SoE is measurable to ensure that telcos’ adoption of the SoE can be monitored by the ACMA. </w:t>
      </w:r>
    </w:p>
    <w:p w14:paraId="15D5CD64" w14:textId="420F1B26" w:rsidR="00B41561" w:rsidRDefault="00CE097A" w:rsidP="00E45B89">
      <w:r>
        <w:t>By ensuring the outcomes of the SoE are easily measurable and auditable, industry members would be able to publicly demonstrate the extent to which they have adopted the SoE and whether their practices are improving over time. This transparency will allow consumers to make more informed decisions when choosing a provider. As such, the SoE should stress that telcos should publicly report on the extent to which they meet its outcomes, to increase transparency and enhance consumer confidence</w:t>
      </w:r>
      <w:r w:rsidR="00A43332">
        <w:t>.</w:t>
      </w:r>
      <w:r w:rsidR="00E45B89">
        <w:t xml:space="preserve"> </w:t>
      </w:r>
    </w:p>
    <w:p w14:paraId="0A163247" w14:textId="01EF2BAF" w:rsidR="00C538D3" w:rsidRDefault="00CE097A" w:rsidP="00C538D3">
      <w:pPr>
        <w:pStyle w:val="Recommendation"/>
      </w:pPr>
      <w:r>
        <w:t xml:space="preserve">That the SoE </w:t>
      </w:r>
      <w:r w:rsidR="000946F7">
        <w:t xml:space="preserve">outlines </w:t>
      </w:r>
      <w:r w:rsidR="00C564A0">
        <w:t xml:space="preserve">the need for telcos to publicly report </w:t>
      </w:r>
      <w:r w:rsidR="00D05F5C">
        <w:t>their performance against SoE goals and outcomes</w:t>
      </w:r>
      <w:r w:rsidR="0015217C">
        <w:t xml:space="preserve">, to increase transparency and build consumer confidence. </w:t>
      </w:r>
    </w:p>
    <w:p w14:paraId="4F322AC7" w14:textId="59894586" w:rsidR="00AB6E1A" w:rsidRDefault="00AB6E1A" w:rsidP="00AB6E1A">
      <w:pPr>
        <w:pStyle w:val="Heading2"/>
      </w:pPr>
      <w:bookmarkStart w:id="9" w:name="_Toc82181491"/>
      <w:r>
        <w:lastRenderedPageBreak/>
        <w:t xml:space="preserve">The SoE should </w:t>
      </w:r>
      <w:r w:rsidR="00D3081D">
        <w:t xml:space="preserve">emphasise </w:t>
      </w:r>
      <w:r>
        <w:t>proactive support</w:t>
      </w:r>
      <w:r w:rsidR="00D3081D">
        <w:t>, performance monitoring and improvement</w:t>
      </w:r>
      <w:bookmarkEnd w:id="9"/>
    </w:p>
    <w:p w14:paraId="20C2B5AC" w14:textId="023CF9FA" w:rsidR="00E06467" w:rsidRDefault="00F770A8" w:rsidP="001B0C2A">
      <w:r>
        <w:t>There is consensus that the most effective way to respond to customer vulnerability is through early identification and</w:t>
      </w:r>
      <w:r w:rsidR="00D92F8B">
        <w:t xml:space="preserve"> proactive provision of</w:t>
      </w:r>
      <w:r>
        <w:t xml:space="preserve"> support.</w:t>
      </w:r>
      <w:r w:rsidR="005A5A15">
        <w:rPr>
          <w:rStyle w:val="FootnoteReference"/>
        </w:rPr>
        <w:footnoteReference w:id="15"/>
      </w:r>
      <w:r>
        <w:t xml:space="preserve"> </w:t>
      </w:r>
      <w:r w:rsidR="00296596">
        <w:rPr>
          <w:rStyle w:val="FootnoteReference"/>
        </w:rPr>
        <w:footnoteReference w:id="16"/>
      </w:r>
      <w:r w:rsidR="00A613B3">
        <w:t xml:space="preserve"> </w:t>
      </w:r>
      <w:r w:rsidR="008A6EA0">
        <w:t xml:space="preserve">The SoE </w:t>
      </w:r>
      <w:r w:rsidR="00D92F8B">
        <w:t>pla</w:t>
      </w:r>
      <w:r w:rsidR="00603FFA">
        <w:t>ces</w:t>
      </w:r>
      <w:r w:rsidR="00D16CB3">
        <w:t xml:space="preserve"> some</w:t>
      </w:r>
      <w:r w:rsidR="00603FFA">
        <w:t xml:space="preserve"> emphasis on consumers’ self-identification of vulnerability</w:t>
      </w:r>
      <w:r w:rsidR="00D16CB3">
        <w:t>, particularly in Priority Area 3: Customer Service. T</w:t>
      </w:r>
      <w:r w:rsidR="00603FFA">
        <w:t xml:space="preserve">his may be appropriate </w:t>
      </w:r>
      <w:r w:rsidR="00F014FA">
        <w:t xml:space="preserve">for some consumers, but not </w:t>
      </w:r>
      <w:r w:rsidR="00D16CB3">
        <w:t>all</w:t>
      </w:r>
      <w:r w:rsidR="001B0C2A">
        <w:t xml:space="preserve">, especially those experiencing payment difficulty, those with cognitive disability, or </w:t>
      </w:r>
      <w:r w:rsidR="009C55D4">
        <w:t>those</w:t>
      </w:r>
      <w:r w:rsidR="001B0C2A">
        <w:t xml:space="preserve"> for whom English is an additional language.</w:t>
      </w:r>
      <w:r w:rsidR="00603FFA">
        <w:t xml:space="preserve"> </w:t>
      </w:r>
      <w:r w:rsidR="00E06467">
        <w:t xml:space="preserve">In fact, the SoE contains very little guidance about how providers can practically </w:t>
      </w:r>
      <w:r w:rsidR="009A089D">
        <w:t>and</w:t>
      </w:r>
      <w:r w:rsidR="00E06467">
        <w:t xml:space="preserve"> proactively identify vulnerability. </w:t>
      </w:r>
    </w:p>
    <w:p w14:paraId="73E50C08" w14:textId="4DE453BA" w:rsidR="00B504B1" w:rsidRDefault="001B0C2A" w:rsidP="001B0C2A">
      <w:r>
        <w:t>Pr</w:t>
      </w:r>
      <w:r w:rsidR="00603FFA">
        <w:t xml:space="preserve">oviders </w:t>
      </w:r>
      <w:r>
        <w:t xml:space="preserve">should be encouraged to </w:t>
      </w:r>
      <w:r w:rsidR="00603FFA">
        <w:t>develop systems t</w:t>
      </w:r>
      <w:r>
        <w:t xml:space="preserve">hat </w:t>
      </w:r>
      <w:r w:rsidR="00603FFA">
        <w:t xml:space="preserve">proactively </w:t>
      </w:r>
      <w:r>
        <w:t>and</w:t>
      </w:r>
      <w:r w:rsidR="00B41561">
        <w:t xml:space="preserve"> </w:t>
      </w:r>
      <w:r w:rsidR="00805956">
        <w:t>where appropriate with assistance from automation software help</w:t>
      </w:r>
      <w:r>
        <w:t xml:space="preserve"> </w:t>
      </w:r>
      <w:r w:rsidR="00603FFA">
        <w:t xml:space="preserve">identify consumers </w:t>
      </w:r>
      <w:r>
        <w:t>who could be experiencing vulnerability</w:t>
      </w:r>
      <w:r w:rsidR="00E96C57">
        <w:t>; for example, by contacting customers who frequently miss payments</w:t>
      </w:r>
      <w:r w:rsidR="00805956">
        <w:t xml:space="preserve"> and offering assistance</w:t>
      </w:r>
      <w:r w:rsidR="0019615B">
        <w:t>. O</w:t>
      </w:r>
      <w:r>
        <w:t xml:space="preserve">ur feedback on Priority Area 3 on page </w:t>
      </w:r>
      <w:r w:rsidR="003E5894" w:rsidRPr="00A00451">
        <w:t>1</w:t>
      </w:r>
      <w:r w:rsidR="00D12EB6">
        <w:t>5</w:t>
      </w:r>
      <w:r>
        <w:t xml:space="preserve"> offers further recommendations to this end. </w:t>
      </w:r>
    </w:p>
    <w:p w14:paraId="3E9B9C9D" w14:textId="6919C992" w:rsidR="00325F77" w:rsidRDefault="00325F77" w:rsidP="00325F77">
      <w:pPr>
        <w:pStyle w:val="Recommendation"/>
      </w:pPr>
      <w:r>
        <w:t>Th</w:t>
      </w:r>
      <w:r w:rsidR="00CB6795">
        <w:t>at th</w:t>
      </w:r>
      <w:r>
        <w:t xml:space="preserve">e SoE </w:t>
      </w:r>
      <w:r w:rsidR="00AF3F8B">
        <w:t xml:space="preserve">is amended to provide practical guidance on proactively identifying and responding to customer vulnerability. </w:t>
      </w:r>
    </w:p>
    <w:p w14:paraId="17D36418" w14:textId="13306F65" w:rsidR="00AF03A2" w:rsidRDefault="009C55D4" w:rsidP="00AF03A2">
      <w:r>
        <w:t xml:space="preserve">The SoE </w:t>
      </w:r>
      <w:r w:rsidR="002E0296">
        <w:t>strongly emphasises staff training as a mechanism through which telcos can better support and respond to consumers</w:t>
      </w:r>
      <w:r w:rsidR="003B071E">
        <w:t xml:space="preserve">. </w:t>
      </w:r>
      <w:r w:rsidR="0003073B">
        <w:t xml:space="preserve">In ACCAN’s view, this staff training </w:t>
      </w:r>
      <w:r w:rsidR="00A351ED">
        <w:t xml:space="preserve">must be </w:t>
      </w:r>
      <w:r w:rsidR="00766CE2">
        <w:t xml:space="preserve">accompanied by an </w:t>
      </w:r>
      <w:r w:rsidR="00A6500A">
        <w:t>emphasis on monitoring and auditing staff interactions</w:t>
      </w:r>
      <w:r w:rsidR="00BA0EBF">
        <w:t>, evaluating performance</w:t>
      </w:r>
      <w:r w:rsidR="00DB7782">
        <w:t xml:space="preserve"> against that training,</w:t>
      </w:r>
      <w:r w:rsidR="00BA0EBF">
        <w:t xml:space="preserve"> and making </w:t>
      </w:r>
      <w:r w:rsidR="00805956">
        <w:t xml:space="preserve">continuous </w:t>
      </w:r>
      <w:r w:rsidR="00BA0EBF">
        <w:t>improvements</w:t>
      </w:r>
      <w:r w:rsidR="00DB7782">
        <w:t xml:space="preserve"> to staff training</w:t>
      </w:r>
      <w:r w:rsidR="00BA0EBF">
        <w:t xml:space="preserve"> where </w:t>
      </w:r>
      <w:r w:rsidR="00DB7782">
        <w:t>deficiencies</w:t>
      </w:r>
      <w:r w:rsidR="00BA0EBF">
        <w:t xml:space="preserve"> are identified. </w:t>
      </w:r>
      <w:r w:rsidR="00DB7782">
        <w:t>Frontline</w:t>
      </w:r>
      <w:r w:rsidR="00A32FE1">
        <w:t xml:space="preserve"> customer service</w:t>
      </w:r>
      <w:r w:rsidR="00DB7782">
        <w:t xml:space="preserve"> </w:t>
      </w:r>
      <w:r w:rsidR="00A32FE1">
        <w:t xml:space="preserve">staff are not social workers and cannot be expected to be social policy experts; instead, telcos must </w:t>
      </w:r>
      <w:r w:rsidR="00DF29BC">
        <w:t>e</w:t>
      </w:r>
      <w:r w:rsidR="00A32FE1">
        <w:t xml:space="preserve">nsure they have systems in place to train, monitor, and improve staff performance. </w:t>
      </w:r>
      <w:r w:rsidR="00AC6BD0">
        <w:t>F</w:t>
      </w:r>
      <w:r w:rsidR="00325F77">
        <w:t>eedback in S</w:t>
      </w:r>
      <w:r w:rsidR="0043586B">
        <w:t>ection 2 will provide more detailed recommendations</w:t>
      </w:r>
      <w:r w:rsidR="00DC1B9F">
        <w:t xml:space="preserve"> </w:t>
      </w:r>
      <w:r w:rsidR="00325F77">
        <w:t>on this topic.</w:t>
      </w:r>
    </w:p>
    <w:p w14:paraId="724B9033" w14:textId="217C21F8" w:rsidR="00AF3F8B" w:rsidRPr="00D3081D" w:rsidRDefault="00AF3F8B" w:rsidP="00AF3F8B">
      <w:pPr>
        <w:pStyle w:val="Recommendation"/>
      </w:pPr>
      <w:r>
        <w:t xml:space="preserve">That staff training </w:t>
      </w:r>
      <w:r w:rsidR="00892D18">
        <w:t>in the SoE</w:t>
      </w:r>
      <w:r>
        <w:t xml:space="preserve"> is </w:t>
      </w:r>
      <w:r w:rsidR="000A045A">
        <w:t>extended</w:t>
      </w:r>
      <w:r w:rsidR="002E454E">
        <w:t xml:space="preserve"> </w:t>
      </w:r>
      <w:r>
        <w:t xml:space="preserve">to incorporate monitoring </w:t>
      </w:r>
      <w:r w:rsidR="000E7EAB">
        <w:t>of</w:t>
      </w:r>
      <w:r>
        <w:t xml:space="preserve"> </w:t>
      </w:r>
      <w:r w:rsidR="000E7EAB">
        <w:t xml:space="preserve">staff </w:t>
      </w:r>
      <w:r>
        <w:t>performance</w:t>
      </w:r>
      <w:r w:rsidR="000E7EAB">
        <w:t xml:space="preserve"> and rectifying deficiencies in customer service. </w:t>
      </w:r>
    </w:p>
    <w:p w14:paraId="19596215" w14:textId="534F5864" w:rsidR="00DE6B95" w:rsidRDefault="00606B4C" w:rsidP="002E133D">
      <w:pPr>
        <w:pStyle w:val="Heading2"/>
      </w:pPr>
      <w:bookmarkStart w:id="10" w:name="_Toc82181492"/>
      <w:r>
        <w:t>Telco c</w:t>
      </w:r>
      <w:r w:rsidR="00DE6B95">
        <w:t>onsumer protection rules need to be reviewed</w:t>
      </w:r>
      <w:r w:rsidR="00AC6BD0">
        <w:t xml:space="preserve"> </w:t>
      </w:r>
      <w:r w:rsidR="002660C7">
        <w:t>and</w:t>
      </w:r>
      <w:r w:rsidR="00AC6BD0">
        <w:t xml:space="preserve"> improved</w:t>
      </w:r>
      <w:bookmarkEnd w:id="10"/>
    </w:p>
    <w:p w14:paraId="6DF8222E" w14:textId="401C6944" w:rsidR="00DC05D2" w:rsidRDefault="00A63F49" w:rsidP="00DC05D2">
      <w:pPr>
        <w:rPr>
          <w:lang w:eastAsia="en-US"/>
        </w:rPr>
      </w:pPr>
      <w:r>
        <w:rPr>
          <w:lang w:eastAsia="en-US"/>
        </w:rPr>
        <w:t>I</w:t>
      </w:r>
      <w:r w:rsidR="00001631">
        <w:rPr>
          <w:lang w:eastAsia="en-US"/>
        </w:rPr>
        <w:t>t is crucial to recognise</w:t>
      </w:r>
      <w:r w:rsidR="006F7E2B">
        <w:rPr>
          <w:lang w:eastAsia="en-US"/>
        </w:rPr>
        <w:t xml:space="preserve"> that the SoE </w:t>
      </w:r>
      <w:r>
        <w:rPr>
          <w:lang w:eastAsia="en-US"/>
        </w:rPr>
        <w:t>can</w:t>
      </w:r>
      <w:r w:rsidR="006F7E2B">
        <w:rPr>
          <w:lang w:eastAsia="en-US"/>
        </w:rPr>
        <w:t xml:space="preserve">not </w:t>
      </w:r>
      <w:r w:rsidR="00DC05D2">
        <w:rPr>
          <w:lang w:eastAsia="en-US"/>
        </w:rPr>
        <w:t>replace the need for an urgent and sweeping review of telecommunications consumer protections rules</w:t>
      </w:r>
      <w:r w:rsidR="006F7E2B">
        <w:rPr>
          <w:lang w:eastAsia="en-US"/>
        </w:rPr>
        <w:t xml:space="preserve">. </w:t>
      </w:r>
      <w:r w:rsidR="0022166D">
        <w:rPr>
          <w:lang w:eastAsia="en-US"/>
        </w:rPr>
        <w:t xml:space="preserve">The </w:t>
      </w:r>
      <w:r w:rsidR="000A79C5">
        <w:rPr>
          <w:lang w:eastAsia="en-US"/>
        </w:rPr>
        <w:t>TCP</w:t>
      </w:r>
      <w:r w:rsidR="0022166D">
        <w:rPr>
          <w:lang w:eastAsia="en-US"/>
        </w:rPr>
        <w:t xml:space="preserve"> Code</w:t>
      </w:r>
      <w:r>
        <w:rPr>
          <w:lang w:eastAsia="en-US"/>
        </w:rPr>
        <w:t xml:space="preserve"> is</w:t>
      </w:r>
      <w:r w:rsidR="670A829E" w:rsidRPr="0083F823">
        <w:rPr>
          <w:lang w:eastAsia="en-US"/>
        </w:rPr>
        <w:t xml:space="preserve"> </w:t>
      </w:r>
      <w:r w:rsidR="0022166D">
        <w:rPr>
          <w:lang w:eastAsia="en-US"/>
        </w:rPr>
        <w:t xml:space="preserve">the </w:t>
      </w:r>
      <w:r>
        <w:rPr>
          <w:lang w:eastAsia="en-US"/>
        </w:rPr>
        <w:t xml:space="preserve">co-regulatory </w:t>
      </w:r>
      <w:r w:rsidRPr="0C10A990">
        <w:rPr>
          <w:lang w:eastAsia="en-US"/>
        </w:rPr>
        <w:t>instrument</w:t>
      </w:r>
      <w:r w:rsidR="2A32AE74" w:rsidRPr="0C10A990">
        <w:rPr>
          <w:lang w:eastAsia="en-US"/>
        </w:rPr>
        <w:t xml:space="preserve"> </w:t>
      </w:r>
      <w:r w:rsidR="00967CB9">
        <w:rPr>
          <w:lang w:eastAsia="en-US"/>
        </w:rPr>
        <w:t>that</w:t>
      </w:r>
      <w:r w:rsidR="0022166D">
        <w:rPr>
          <w:lang w:eastAsia="en-US"/>
        </w:rPr>
        <w:t xml:space="preserve"> the SoE is intended to</w:t>
      </w:r>
      <w:r w:rsidR="0001442C">
        <w:rPr>
          <w:lang w:eastAsia="en-US"/>
        </w:rPr>
        <w:t xml:space="preserve"> expand upon</w:t>
      </w:r>
      <w:r>
        <w:rPr>
          <w:lang w:eastAsia="en-US"/>
        </w:rPr>
        <w:t>.</w:t>
      </w:r>
      <w:r w:rsidR="0022166D">
        <w:rPr>
          <w:lang w:eastAsia="en-US"/>
        </w:rPr>
        <w:t xml:space="preserve"> </w:t>
      </w:r>
      <w:r>
        <w:rPr>
          <w:lang w:eastAsia="en-US"/>
        </w:rPr>
        <w:t>Th</w:t>
      </w:r>
      <w:r w:rsidR="00FC71E5">
        <w:rPr>
          <w:lang w:eastAsia="en-US"/>
        </w:rPr>
        <w:t>i</w:t>
      </w:r>
      <w:r w:rsidR="00F80918">
        <w:rPr>
          <w:lang w:eastAsia="en-US"/>
        </w:rPr>
        <w:t xml:space="preserve">s </w:t>
      </w:r>
      <w:r>
        <w:rPr>
          <w:lang w:eastAsia="en-US"/>
        </w:rPr>
        <w:t xml:space="preserve">code </w:t>
      </w:r>
      <w:r w:rsidR="0022166D">
        <w:rPr>
          <w:lang w:eastAsia="en-US"/>
        </w:rPr>
        <w:t xml:space="preserve">is </w:t>
      </w:r>
      <w:r w:rsidR="00CA2AA0">
        <w:rPr>
          <w:lang w:eastAsia="en-US"/>
        </w:rPr>
        <w:t xml:space="preserve">developed by the industry </w:t>
      </w:r>
      <w:r w:rsidR="001F5B10">
        <w:rPr>
          <w:lang w:eastAsia="en-US"/>
        </w:rPr>
        <w:t>after consultation with consumer representatives</w:t>
      </w:r>
      <w:r>
        <w:rPr>
          <w:lang w:eastAsia="en-US"/>
        </w:rPr>
        <w:t>, the ACCC, the OAIC, the TIO</w:t>
      </w:r>
      <w:r w:rsidR="00CF4562">
        <w:rPr>
          <w:lang w:eastAsia="en-US"/>
        </w:rPr>
        <w:t xml:space="preserve"> and the ACMA</w:t>
      </w:r>
      <w:r w:rsidR="006508CF">
        <w:rPr>
          <w:lang w:eastAsia="en-US"/>
        </w:rPr>
        <w:t>. U</w:t>
      </w:r>
      <w:r w:rsidR="00EB39AF">
        <w:rPr>
          <w:lang w:eastAsia="en-US"/>
        </w:rPr>
        <w:t xml:space="preserve">ltimately </w:t>
      </w:r>
      <w:r w:rsidR="006508CF">
        <w:rPr>
          <w:lang w:eastAsia="en-US"/>
        </w:rPr>
        <w:t xml:space="preserve">it </w:t>
      </w:r>
      <w:r w:rsidR="00F227F0">
        <w:rPr>
          <w:lang w:eastAsia="en-US"/>
        </w:rPr>
        <w:t xml:space="preserve">sets out </w:t>
      </w:r>
      <w:r w:rsidR="00A97EB5">
        <w:rPr>
          <w:lang w:eastAsia="en-US"/>
        </w:rPr>
        <w:t xml:space="preserve">minimum measures </w:t>
      </w:r>
      <w:r w:rsidR="00F227F0">
        <w:rPr>
          <w:lang w:eastAsia="en-US"/>
        </w:rPr>
        <w:t xml:space="preserve">the industry </w:t>
      </w:r>
      <w:r w:rsidR="00CF4562">
        <w:rPr>
          <w:lang w:eastAsia="en-US"/>
        </w:rPr>
        <w:t>is</w:t>
      </w:r>
      <w:r w:rsidR="00F227F0">
        <w:rPr>
          <w:lang w:eastAsia="en-US"/>
        </w:rPr>
        <w:t xml:space="preserve"> prepared to</w:t>
      </w:r>
      <w:r w:rsidR="00B80C56">
        <w:rPr>
          <w:lang w:eastAsia="en-US"/>
        </w:rPr>
        <w:t xml:space="preserve"> </w:t>
      </w:r>
      <w:r w:rsidR="00A97EB5">
        <w:rPr>
          <w:lang w:eastAsia="en-US"/>
        </w:rPr>
        <w:t>adopt</w:t>
      </w:r>
      <w:r w:rsidR="00782C3B">
        <w:rPr>
          <w:lang w:eastAsia="en-US"/>
        </w:rPr>
        <w:t xml:space="preserve">. </w:t>
      </w:r>
      <w:r w:rsidR="008412C8">
        <w:rPr>
          <w:lang w:eastAsia="en-US"/>
        </w:rPr>
        <w:t>It</w:t>
      </w:r>
      <w:r w:rsidR="0022166D">
        <w:rPr>
          <w:lang w:eastAsia="en-US"/>
        </w:rPr>
        <w:t xml:space="preserve"> </w:t>
      </w:r>
      <w:r w:rsidR="00967CB9">
        <w:rPr>
          <w:lang w:eastAsia="en-US"/>
        </w:rPr>
        <w:t xml:space="preserve">has not been developed with fairness and inclusivity at </w:t>
      </w:r>
      <w:r w:rsidR="000A79C5">
        <w:rPr>
          <w:lang w:eastAsia="en-US"/>
        </w:rPr>
        <w:lastRenderedPageBreak/>
        <w:t xml:space="preserve">its </w:t>
      </w:r>
      <w:r w:rsidR="00967CB9">
        <w:rPr>
          <w:lang w:eastAsia="en-US"/>
        </w:rPr>
        <w:t xml:space="preserve">centre. This is in stark contrast to </w:t>
      </w:r>
      <w:r w:rsidR="007939AC">
        <w:rPr>
          <w:lang w:eastAsia="en-US"/>
        </w:rPr>
        <w:t xml:space="preserve">aspects of </w:t>
      </w:r>
      <w:r w:rsidR="00967CB9">
        <w:rPr>
          <w:lang w:eastAsia="en-US"/>
        </w:rPr>
        <w:t>consumer protections in other sectors</w:t>
      </w:r>
      <w:r w:rsidR="007939AC">
        <w:rPr>
          <w:lang w:eastAsia="en-US"/>
        </w:rPr>
        <w:t>, for example</w:t>
      </w:r>
      <w:r w:rsidR="007F5701">
        <w:rPr>
          <w:lang w:eastAsia="en-US"/>
        </w:rPr>
        <w:t xml:space="preserve">, the Victorian Essential Services Commission’s </w:t>
      </w:r>
      <w:r w:rsidR="007F5701" w:rsidRPr="007F5701">
        <w:rPr>
          <w:i/>
          <w:iCs/>
          <w:lang w:eastAsia="en-US"/>
        </w:rPr>
        <w:t>Payment Difficulty Framework</w:t>
      </w:r>
      <w:r w:rsidR="007F5701">
        <w:rPr>
          <w:lang w:eastAsia="en-US"/>
        </w:rPr>
        <w:t>.</w:t>
      </w:r>
      <w:r w:rsidR="007F5701">
        <w:rPr>
          <w:rStyle w:val="FootnoteReference"/>
          <w:lang w:eastAsia="en-US"/>
        </w:rPr>
        <w:footnoteReference w:id="17"/>
      </w:r>
      <w:r w:rsidR="00967CB9">
        <w:rPr>
          <w:lang w:eastAsia="en-US"/>
        </w:rPr>
        <w:t xml:space="preserve"> </w:t>
      </w:r>
    </w:p>
    <w:p w14:paraId="3EB6B9C6" w14:textId="6B3E45D9" w:rsidR="0030072E" w:rsidRDefault="000B035F" w:rsidP="00DC05D2">
      <w:pPr>
        <w:rPr>
          <w:lang w:eastAsia="en-US"/>
        </w:rPr>
      </w:pPr>
      <w:r>
        <w:rPr>
          <w:lang w:eastAsia="en-US"/>
        </w:rPr>
        <w:t xml:space="preserve">ACCAN routinely receives feedback from consumers and members representing people </w:t>
      </w:r>
      <w:r w:rsidR="00B35EF6">
        <w:rPr>
          <w:lang w:eastAsia="en-US"/>
        </w:rPr>
        <w:t>experiencing</w:t>
      </w:r>
      <w:r>
        <w:rPr>
          <w:lang w:eastAsia="en-US"/>
        </w:rPr>
        <w:t xml:space="preserve"> vulnerab</w:t>
      </w:r>
      <w:r w:rsidR="00B35EF6">
        <w:rPr>
          <w:lang w:eastAsia="en-US"/>
        </w:rPr>
        <w:t>ility</w:t>
      </w:r>
      <w:r>
        <w:rPr>
          <w:lang w:eastAsia="en-US"/>
        </w:rPr>
        <w:t xml:space="preserve"> that dealing with telcos about disputes and problems </w:t>
      </w:r>
      <w:r w:rsidR="009F138E">
        <w:rPr>
          <w:lang w:eastAsia="en-US"/>
        </w:rPr>
        <w:t>can be</w:t>
      </w:r>
      <w:r>
        <w:rPr>
          <w:lang w:eastAsia="en-US"/>
        </w:rPr>
        <w:t xml:space="preserve"> highly variable</w:t>
      </w:r>
      <w:r w:rsidR="00E96645">
        <w:rPr>
          <w:lang w:eastAsia="en-US"/>
        </w:rPr>
        <w:t>.</w:t>
      </w:r>
      <w:r>
        <w:rPr>
          <w:lang w:eastAsia="en-US"/>
        </w:rPr>
        <w:t xml:space="preserve"> </w:t>
      </w:r>
      <w:r w:rsidR="00E96645">
        <w:rPr>
          <w:lang w:eastAsia="en-US"/>
        </w:rPr>
        <w:t>S</w:t>
      </w:r>
      <w:r>
        <w:rPr>
          <w:lang w:eastAsia="en-US"/>
        </w:rPr>
        <w:t>ome providers are fairer</w:t>
      </w:r>
      <w:r w:rsidR="00E96645">
        <w:rPr>
          <w:lang w:eastAsia="en-US"/>
        </w:rPr>
        <w:t>, more flexible and more receptive to consumers’ needs than others</w:t>
      </w:r>
      <w:r>
        <w:rPr>
          <w:lang w:eastAsia="en-US"/>
        </w:rPr>
        <w:t>. Th</w:t>
      </w:r>
      <w:r w:rsidR="00555669">
        <w:rPr>
          <w:lang w:eastAsia="en-US"/>
        </w:rPr>
        <w:t>is</w:t>
      </w:r>
      <w:r>
        <w:rPr>
          <w:lang w:eastAsia="en-US"/>
        </w:rPr>
        <w:t xml:space="preserve"> lack of consistency is a concern in ACCAN’s view. </w:t>
      </w:r>
      <w:r w:rsidR="0065530E">
        <w:rPr>
          <w:lang w:eastAsia="en-US"/>
        </w:rPr>
        <w:t>A</w:t>
      </w:r>
      <w:r>
        <w:rPr>
          <w:lang w:eastAsia="en-US"/>
        </w:rPr>
        <w:t xml:space="preserve"> customer experiencing vulnerability should experience the same level of support</w:t>
      </w:r>
      <w:r w:rsidR="0065530E">
        <w:rPr>
          <w:lang w:eastAsia="en-US"/>
        </w:rPr>
        <w:t xml:space="preserve"> regardless of which telco they are</w:t>
      </w:r>
      <w:r w:rsidR="00A63F49">
        <w:rPr>
          <w:lang w:eastAsia="en-US"/>
        </w:rPr>
        <w:t xml:space="preserve"> receiving services from</w:t>
      </w:r>
      <w:r w:rsidR="006868C4">
        <w:rPr>
          <w:lang w:eastAsia="en-US"/>
        </w:rPr>
        <w:t>.</w:t>
      </w:r>
    </w:p>
    <w:p w14:paraId="6E2B38D7" w14:textId="7BECCD14" w:rsidR="00E52091" w:rsidRDefault="001B77FA" w:rsidP="00DC05D2">
      <w:pPr>
        <w:rPr>
          <w:lang w:eastAsia="en-US"/>
        </w:rPr>
      </w:pPr>
      <w:r>
        <w:rPr>
          <w:lang w:eastAsia="en-US"/>
        </w:rPr>
        <w:t>The</w:t>
      </w:r>
      <w:r w:rsidR="00E84EE1">
        <w:rPr>
          <w:lang w:eastAsia="en-US"/>
        </w:rPr>
        <w:t xml:space="preserve"> need for an</w:t>
      </w:r>
      <w:r w:rsidR="00AD61E9">
        <w:rPr>
          <w:lang w:eastAsia="en-US"/>
        </w:rPr>
        <w:t xml:space="preserve"> </w:t>
      </w:r>
      <w:r w:rsidR="00573384">
        <w:rPr>
          <w:lang w:eastAsia="en-US"/>
        </w:rPr>
        <w:t xml:space="preserve">SoE </w:t>
      </w:r>
      <w:r w:rsidR="00650D81">
        <w:rPr>
          <w:lang w:eastAsia="en-US"/>
        </w:rPr>
        <w:t xml:space="preserve">implies </w:t>
      </w:r>
      <w:r>
        <w:rPr>
          <w:lang w:eastAsia="en-US"/>
        </w:rPr>
        <w:t>that</w:t>
      </w:r>
      <w:r w:rsidR="00406B48">
        <w:rPr>
          <w:lang w:eastAsia="en-US"/>
        </w:rPr>
        <w:t xml:space="preserve"> </w:t>
      </w:r>
      <w:r w:rsidR="00E52091">
        <w:rPr>
          <w:lang w:eastAsia="en-US"/>
        </w:rPr>
        <w:t xml:space="preserve">under existing arrangements, telcos are not incentivised </w:t>
      </w:r>
      <w:r w:rsidR="00C60860">
        <w:rPr>
          <w:lang w:eastAsia="en-US"/>
        </w:rPr>
        <w:t>to compete on improvements in this area</w:t>
      </w:r>
      <w:r w:rsidR="00473DC3">
        <w:rPr>
          <w:lang w:eastAsia="en-US"/>
        </w:rPr>
        <w:t>, and there is</w:t>
      </w:r>
      <w:r w:rsidR="00823798">
        <w:rPr>
          <w:lang w:eastAsia="en-US"/>
        </w:rPr>
        <w:t xml:space="preserve"> </w:t>
      </w:r>
      <w:r w:rsidR="00473DC3">
        <w:rPr>
          <w:lang w:eastAsia="en-US"/>
        </w:rPr>
        <w:t>significant</w:t>
      </w:r>
      <w:r w:rsidR="00823798">
        <w:rPr>
          <w:lang w:eastAsia="en-US"/>
        </w:rPr>
        <w:t xml:space="preserve"> </w:t>
      </w:r>
      <w:r w:rsidR="00473DC3">
        <w:rPr>
          <w:lang w:eastAsia="en-US"/>
        </w:rPr>
        <w:t>consumer harm</w:t>
      </w:r>
      <w:r w:rsidR="00EE46BA">
        <w:rPr>
          <w:lang w:eastAsia="en-US"/>
        </w:rPr>
        <w:t xml:space="preserve"> as a consequence</w:t>
      </w:r>
      <w:r w:rsidR="00655B11">
        <w:rPr>
          <w:lang w:eastAsia="en-US"/>
        </w:rPr>
        <w:t>.</w:t>
      </w:r>
      <w:r w:rsidR="00626F66">
        <w:rPr>
          <w:lang w:eastAsia="en-US"/>
        </w:rPr>
        <w:t xml:space="preserve"> For this reason, </w:t>
      </w:r>
      <w:r w:rsidR="0030072E">
        <w:rPr>
          <w:lang w:eastAsia="en-US"/>
        </w:rPr>
        <w:t xml:space="preserve">it has been </w:t>
      </w:r>
      <w:r w:rsidR="00626F66">
        <w:rPr>
          <w:lang w:eastAsia="en-US"/>
        </w:rPr>
        <w:t xml:space="preserve">ACCAN’s view </w:t>
      </w:r>
      <w:r w:rsidR="0030072E">
        <w:rPr>
          <w:lang w:eastAsia="en-US"/>
        </w:rPr>
        <w:t>for some time</w:t>
      </w:r>
      <w:r w:rsidR="00626F66">
        <w:rPr>
          <w:lang w:eastAsia="en-US"/>
        </w:rPr>
        <w:t xml:space="preserve"> that </w:t>
      </w:r>
      <w:r w:rsidR="0030072E">
        <w:rPr>
          <w:lang w:eastAsia="en-US"/>
        </w:rPr>
        <w:t xml:space="preserve">a more fit for purpose </w:t>
      </w:r>
      <w:r w:rsidR="00D14482">
        <w:rPr>
          <w:lang w:eastAsia="en-US"/>
        </w:rPr>
        <w:t xml:space="preserve">regulatory </w:t>
      </w:r>
      <w:r w:rsidR="0030072E">
        <w:rPr>
          <w:lang w:eastAsia="en-US"/>
        </w:rPr>
        <w:t xml:space="preserve">instrument than a registered industry code </w:t>
      </w:r>
      <w:r>
        <w:rPr>
          <w:lang w:eastAsia="en-US"/>
        </w:rPr>
        <w:t>is</w:t>
      </w:r>
      <w:r w:rsidR="000727A8">
        <w:rPr>
          <w:lang w:eastAsia="en-US"/>
        </w:rPr>
        <w:t xml:space="preserve"> needed</w:t>
      </w:r>
      <w:r>
        <w:rPr>
          <w:lang w:eastAsia="en-US"/>
        </w:rPr>
        <w:t xml:space="preserve"> to address this imbalance</w:t>
      </w:r>
      <w:r w:rsidR="00EE46BA">
        <w:rPr>
          <w:lang w:eastAsia="en-US"/>
        </w:rPr>
        <w:t xml:space="preserve">. </w:t>
      </w:r>
      <w:r w:rsidR="0030072E">
        <w:rPr>
          <w:lang w:eastAsia="en-US"/>
        </w:rPr>
        <w:t xml:space="preserve">In the long term, an Industry Standard complimented by this SoE would provide the consumer safeguards required to protect </w:t>
      </w:r>
      <w:r w:rsidR="00F86745">
        <w:rPr>
          <w:lang w:eastAsia="en-US"/>
        </w:rPr>
        <w:t>consumers experiencing vulnerability</w:t>
      </w:r>
      <w:r w:rsidR="0030072E">
        <w:rPr>
          <w:lang w:eastAsia="en-US"/>
        </w:rPr>
        <w:t>.</w:t>
      </w:r>
    </w:p>
    <w:p w14:paraId="0BC4FBA2" w14:textId="6A25E6D1" w:rsidR="00A90523" w:rsidRPr="00B76D83" w:rsidRDefault="006F7E2B" w:rsidP="00B76D83">
      <w:pPr>
        <w:rPr>
          <w:lang w:eastAsia="en-US"/>
        </w:rPr>
      </w:pPr>
      <w:r>
        <w:rPr>
          <w:lang w:eastAsia="en-US"/>
        </w:rPr>
        <w:t xml:space="preserve">ACCAN understands </w:t>
      </w:r>
      <w:r w:rsidR="006F172F">
        <w:rPr>
          <w:lang w:eastAsia="en-US"/>
        </w:rPr>
        <w:t xml:space="preserve">that </w:t>
      </w:r>
      <w:r>
        <w:rPr>
          <w:lang w:eastAsia="en-US"/>
        </w:rPr>
        <w:t xml:space="preserve">the SoE </w:t>
      </w:r>
      <w:r w:rsidR="00DC05D2">
        <w:rPr>
          <w:lang w:eastAsia="en-US"/>
        </w:rPr>
        <w:t>is intended to</w:t>
      </w:r>
      <w:r w:rsidR="00A63F49">
        <w:rPr>
          <w:lang w:eastAsia="en-US"/>
        </w:rPr>
        <w:t xml:space="preserve"> build</w:t>
      </w:r>
      <w:r>
        <w:rPr>
          <w:lang w:eastAsia="en-US"/>
        </w:rPr>
        <w:t xml:space="preserve"> mo</w:t>
      </w:r>
      <w:r w:rsidR="00DC05D2">
        <w:rPr>
          <w:lang w:eastAsia="en-US"/>
        </w:rPr>
        <w:t>m</w:t>
      </w:r>
      <w:r>
        <w:rPr>
          <w:lang w:eastAsia="en-US"/>
        </w:rPr>
        <w:t>entum for</w:t>
      </w:r>
      <w:r w:rsidR="00DC05D2">
        <w:rPr>
          <w:lang w:eastAsia="en-US"/>
        </w:rPr>
        <w:t xml:space="preserve"> </w:t>
      </w:r>
      <w:r>
        <w:rPr>
          <w:lang w:eastAsia="en-US"/>
        </w:rPr>
        <w:t>sector-wide improvements</w:t>
      </w:r>
      <w:r w:rsidR="00DC05D2">
        <w:rPr>
          <w:lang w:eastAsia="en-US"/>
        </w:rPr>
        <w:t xml:space="preserve"> to telco responses to customer vulnerability. However</w:t>
      </w:r>
      <w:r>
        <w:rPr>
          <w:lang w:eastAsia="en-US"/>
        </w:rPr>
        <w:t>,</w:t>
      </w:r>
      <w:r w:rsidR="0023764B">
        <w:rPr>
          <w:lang w:eastAsia="en-US"/>
        </w:rPr>
        <w:t xml:space="preserve"> </w:t>
      </w:r>
      <w:r w:rsidR="0030072E">
        <w:rPr>
          <w:lang w:eastAsia="en-US"/>
        </w:rPr>
        <w:t xml:space="preserve">reports from agencies supporting consumers in hardship reported that </w:t>
      </w:r>
      <w:r w:rsidR="0023764B">
        <w:rPr>
          <w:lang w:eastAsia="en-US"/>
        </w:rPr>
        <w:t>the</w:t>
      </w:r>
      <w:r w:rsidR="00215603">
        <w:rPr>
          <w:lang w:eastAsia="en-US"/>
        </w:rPr>
        <w:t xml:space="preserve"> Australian Government’s</w:t>
      </w:r>
      <w:r w:rsidR="0023764B">
        <w:rPr>
          <w:lang w:eastAsia="en-US"/>
        </w:rPr>
        <w:t xml:space="preserve"> COVID-19 Statement of Expectations</w:t>
      </w:r>
      <w:r w:rsidR="00512EB9">
        <w:rPr>
          <w:lang w:eastAsia="en-US"/>
        </w:rPr>
        <w:t xml:space="preserve"> for Telecommunications Providers</w:t>
      </w:r>
      <w:r w:rsidR="006F7F4B" w:rsidRPr="006F7F4B">
        <w:rPr>
          <w:lang w:eastAsia="en-US"/>
        </w:rPr>
        <w:t xml:space="preserve"> </w:t>
      </w:r>
      <w:r w:rsidR="0030072E">
        <w:rPr>
          <w:lang w:eastAsia="en-US"/>
        </w:rPr>
        <w:t xml:space="preserve">had </w:t>
      </w:r>
      <w:r w:rsidR="006F7F4B">
        <w:rPr>
          <w:lang w:eastAsia="en-US"/>
        </w:rPr>
        <w:t xml:space="preserve">limited success and </w:t>
      </w:r>
      <w:r w:rsidR="0030072E">
        <w:rPr>
          <w:lang w:eastAsia="en-US"/>
        </w:rPr>
        <w:t>negligible impact</w:t>
      </w:r>
      <w:r w:rsidR="00B55C3F">
        <w:rPr>
          <w:lang w:eastAsia="en-US"/>
        </w:rPr>
        <w:t xml:space="preserve"> on consumer experiences</w:t>
      </w:r>
      <w:r w:rsidR="00512EB9">
        <w:rPr>
          <w:lang w:eastAsia="en-US"/>
        </w:rPr>
        <w:t>.</w:t>
      </w:r>
      <w:r w:rsidR="00DC4B1F">
        <w:rPr>
          <w:lang w:eastAsia="en-US"/>
        </w:rPr>
        <w:t xml:space="preserve"> </w:t>
      </w:r>
      <w:r w:rsidR="00EC3E3C">
        <w:rPr>
          <w:lang w:eastAsia="en-US"/>
        </w:rPr>
        <w:t xml:space="preserve">As such, </w:t>
      </w:r>
      <w:r w:rsidR="00DC4B1F">
        <w:rPr>
          <w:lang w:eastAsia="en-US"/>
        </w:rPr>
        <w:t xml:space="preserve">ACCAN is concerned that the </w:t>
      </w:r>
      <w:r w:rsidR="002203BA">
        <w:rPr>
          <w:lang w:eastAsia="en-US"/>
        </w:rPr>
        <w:t xml:space="preserve">ACMA’s </w:t>
      </w:r>
      <w:r w:rsidR="00DC4B1F">
        <w:rPr>
          <w:lang w:eastAsia="en-US"/>
        </w:rPr>
        <w:t xml:space="preserve">SoE will </w:t>
      </w:r>
      <w:r w:rsidR="00215603">
        <w:rPr>
          <w:lang w:eastAsia="en-US"/>
        </w:rPr>
        <w:t>have</w:t>
      </w:r>
      <w:r w:rsidR="72DD7C17" w:rsidRPr="1C658309">
        <w:rPr>
          <w:lang w:eastAsia="en-US"/>
        </w:rPr>
        <w:t xml:space="preserve"> </w:t>
      </w:r>
      <w:r w:rsidR="0030072E">
        <w:rPr>
          <w:lang w:eastAsia="en-US"/>
        </w:rPr>
        <w:t xml:space="preserve">a low adoption </w:t>
      </w:r>
      <w:r w:rsidR="0030072E" w:rsidRPr="5B6D0AAA">
        <w:rPr>
          <w:lang w:eastAsia="en-US"/>
        </w:rPr>
        <w:t>rate</w:t>
      </w:r>
      <w:r w:rsidR="46596D93" w:rsidRPr="5B6D0AAA">
        <w:rPr>
          <w:lang w:eastAsia="en-US"/>
        </w:rPr>
        <w:t>.</w:t>
      </w:r>
      <w:r w:rsidR="0030072E">
        <w:rPr>
          <w:lang w:eastAsia="en-US"/>
        </w:rPr>
        <w:t xml:space="preserve"> To ensure this is not the case, </w:t>
      </w:r>
      <w:r w:rsidR="00D404B4">
        <w:rPr>
          <w:lang w:eastAsia="en-US"/>
        </w:rPr>
        <w:t xml:space="preserve">ACCAN strongly recommends </w:t>
      </w:r>
      <w:r w:rsidR="00906971">
        <w:rPr>
          <w:lang w:eastAsia="en-US"/>
        </w:rPr>
        <w:t xml:space="preserve">that the ACMA monitors </w:t>
      </w:r>
      <w:r w:rsidR="00CB0E08">
        <w:rPr>
          <w:lang w:eastAsia="en-US"/>
        </w:rPr>
        <w:t>the</w:t>
      </w:r>
      <w:r w:rsidR="00906971">
        <w:rPr>
          <w:lang w:eastAsia="en-US"/>
        </w:rPr>
        <w:t xml:space="preserve"> adoption and impact of the SoE</w:t>
      </w:r>
      <w:r w:rsidR="0030072E">
        <w:rPr>
          <w:lang w:eastAsia="en-US"/>
        </w:rPr>
        <w:t xml:space="preserve"> on a regular on-going basis</w:t>
      </w:r>
      <w:r w:rsidR="00215603">
        <w:rPr>
          <w:lang w:eastAsia="en-US"/>
        </w:rPr>
        <w:t>.</w:t>
      </w:r>
      <w:r w:rsidR="00F5376D">
        <w:rPr>
          <w:rStyle w:val="FootnoteReference"/>
          <w:lang w:eastAsia="en-US"/>
        </w:rPr>
        <w:footnoteReference w:id="18"/>
      </w:r>
      <w:r w:rsidR="00327CB2">
        <w:rPr>
          <w:lang w:eastAsia="en-US"/>
        </w:rPr>
        <w:t xml:space="preserve"> </w:t>
      </w:r>
    </w:p>
    <w:p w14:paraId="14892BA8" w14:textId="77777777" w:rsidR="009156D9" w:rsidRPr="009156D9" w:rsidRDefault="009156D9" w:rsidP="009156D9">
      <w:pPr>
        <w:rPr>
          <w:lang w:eastAsia="en-US"/>
        </w:rPr>
      </w:pPr>
    </w:p>
    <w:p w14:paraId="50A0D14E" w14:textId="77777777" w:rsidR="0078247C" w:rsidRDefault="0078247C" w:rsidP="0078247C"/>
    <w:p w14:paraId="09DAEB63" w14:textId="77777777" w:rsidR="00B03D5A" w:rsidRPr="00B03D5A" w:rsidRDefault="00B03D5A" w:rsidP="00B03D5A">
      <w:pPr>
        <w:rPr>
          <w:lang w:eastAsia="en-US"/>
        </w:rPr>
      </w:pPr>
    </w:p>
    <w:p w14:paraId="5E042E46" w14:textId="32F813E9" w:rsidR="00B21EE7" w:rsidRDefault="00494C43" w:rsidP="00494C43">
      <w:pPr>
        <w:pStyle w:val="Heading1"/>
      </w:pPr>
      <w:bookmarkStart w:id="11" w:name="_Toc82181493"/>
      <w:r>
        <w:lastRenderedPageBreak/>
        <w:t>Issues for comment</w:t>
      </w:r>
      <w:bookmarkEnd w:id="11"/>
    </w:p>
    <w:p w14:paraId="7220A902" w14:textId="2114B623" w:rsidR="00494C43" w:rsidRPr="00050496" w:rsidRDefault="00710D45" w:rsidP="00494C43">
      <w:pPr>
        <w:pStyle w:val="Heading2"/>
        <w:rPr>
          <w:sz w:val="36"/>
          <w:szCs w:val="28"/>
        </w:rPr>
      </w:pPr>
      <w:bookmarkStart w:id="12" w:name="_Toc82181494"/>
      <w:r w:rsidRPr="00050496">
        <w:rPr>
          <w:sz w:val="36"/>
          <w:szCs w:val="28"/>
        </w:rPr>
        <w:t>Identifying consumers in vulnerable circumstances</w:t>
      </w:r>
      <w:bookmarkEnd w:id="12"/>
    </w:p>
    <w:p w14:paraId="5F76D762" w14:textId="51CFB164" w:rsidR="00A7120F" w:rsidRPr="008A5F5F" w:rsidRDefault="00922D0F" w:rsidP="008A5F5F">
      <w:pPr>
        <w:pStyle w:val="Heading3"/>
      </w:pPr>
      <w:bookmarkStart w:id="13" w:name="_Toc82181495"/>
      <w:r w:rsidRPr="008A5F5F">
        <w:t xml:space="preserve">Question 1. </w:t>
      </w:r>
      <w:r w:rsidR="00710D45" w:rsidRPr="008A5F5F">
        <w:t>The ACMA proposes that when identifying consumers who may be vulnerable, telcos should consider consumer vulnerability in terms of the circumstances that create risks of harm, detriment or disadvantage in consumers’ interactions with the telecommunications market. Do you agree with this approach? If not, please explain and provide alternative thinking.</w:t>
      </w:r>
      <w:bookmarkEnd w:id="13"/>
    </w:p>
    <w:p w14:paraId="01490D6A" w14:textId="0E11CC84" w:rsidR="00B75CC7" w:rsidRDefault="00B11A48" w:rsidP="008A5F5F">
      <w:pPr>
        <w:pStyle w:val="Heading4"/>
      </w:pPr>
      <w:r w:rsidRPr="008A5F5F">
        <w:t>Focus on f</w:t>
      </w:r>
      <w:r w:rsidR="00B75CC7" w:rsidRPr="008A5F5F">
        <w:t xml:space="preserve">airness </w:t>
      </w:r>
    </w:p>
    <w:p w14:paraId="21435B7C" w14:textId="63A79273" w:rsidR="00C157C0" w:rsidRDefault="00AD4E53" w:rsidP="00EC5205">
      <w:r>
        <w:t xml:space="preserve">ACCAN supports the ACMA’s </w:t>
      </w:r>
      <w:r w:rsidR="00E20980">
        <w:t>characterisation</w:t>
      </w:r>
      <w:r w:rsidR="00C02DDF">
        <w:t xml:space="preserve"> of vulnerability</w:t>
      </w:r>
      <w:r w:rsidR="008523E1">
        <w:t xml:space="preserve"> as</w:t>
      </w:r>
      <w:r w:rsidR="00E20980">
        <w:t xml:space="preserve"> a set of circumstances that impact </w:t>
      </w:r>
      <w:r w:rsidR="00751D80">
        <w:t>a consumer</w:t>
      </w:r>
      <w:r w:rsidR="00D41D64">
        <w:t>’</w:t>
      </w:r>
      <w:r w:rsidR="00751D80">
        <w:t>s ability</w:t>
      </w:r>
      <w:r w:rsidR="00003B4C">
        <w:t xml:space="preserve"> t</w:t>
      </w:r>
      <w:r w:rsidR="00B22A8E">
        <w:t xml:space="preserve">o </w:t>
      </w:r>
      <w:r w:rsidR="009E20A7">
        <w:t xml:space="preserve">interact with the telecommunications market, and procure and maintain access to communications services. </w:t>
      </w:r>
      <w:r w:rsidR="00CF6294">
        <w:t xml:space="preserve">ACCAN considers </w:t>
      </w:r>
      <w:r w:rsidR="00C157C0">
        <w:t xml:space="preserve">use of the </w:t>
      </w:r>
      <w:r w:rsidR="00CF6294">
        <w:t>term</w:t>
      </w:r>
      <w:r w:rsidR="00152C09">
        <w:t>s</w:t>
      </w:r>
      <w:r w:rsidR="00CF6294">
        <w:t xml:space="preserve"> ‘vulnerability’</w:t>
      </w:r>
      <w:r w:rsidR="00C157C0">
        <w:t xml:space="preserve"> and ‘consumers</w:t>
      </w:r>
      <w:r w:rsidR="00DC4915">
        <w:t xml:space="preserve"> experiencing vulnerability</w:t>
      </w:r>
      <w:r w:rsidR="00C157C0">
        <w:t>’</w:t>
      </w:r>
      <w:r w:rsidR="00CF6294">
        <w:t xml:space="preserve"> </w:t>
      </w:r>
      <w:r w:rsidR="003409E8">
        <w:t>appropriate</w:t>
      </w:r>
      <w:r w:rsidR="00C157C0">
        <w:t xml:space="preserve"> when engaging with industry </w:t>
      </w:r>
      <w:r w:rsidR="003756CE">
        <w:t>about how to support customers.</w:t>
      </w:r>
      <w:r w:rsidR="003B219E">
        <w:t xml:space="preserve"> </w:t>
      </w:r>
    </w:p>
    <w:p w14:paraId="0BCE42F1" w14:textId="04D7CE39" w:rsidR="00E20980" w:rsidRDefault="00C157C0" w:rsidP="00EC5205">
      <w:r>
        <w:t xml:space="preserve">However, for public facing communications and in its SoE, ACCAN encourages the ACMA to emphasise the concept of fairness. </w:t>
      </w:r>
      <w:r w:rsidR="00026A0E">
        <w:t>ACCAN</w:t>
      </w:r>
      <w:r w:rsidR="00152013">
        <w:t>’s</w:t>
      </w:r>
      <w:r w:rsidR="00026A0E">
        <w:t xml:space="preserve"> consultation with agencies </w:t>
      </w:r>
      <w:r w:rsidR="00447DB7">
        <w:t>that</w:t>
      </w:r>
      <w:r w:rsidR="00026A0E">
        <w:t xml:space="preserve"> support consumers experiencing vulnerability highlighted that many in this cohort would not identify with this label or refer to themselves as being “vulnerable”. The SoE needs to reflect this reality. As a result</w:t>
      </w:r>
      <w:r w:rsidR="000E7FF3">
        <w:t>,</w:t>
      </w:r>
      <w:r w:rsidR="00026A0E">
        <w:t xml:space="preserve"> there </w:t>
      </w:r>
      <w:r w:rsidR="008B7676">
        <w:t>must be</w:t>
      </w:r>
      <w:r w:rsidR="00026A0E">
        <w:t xml:space="preserve"> an even stronger emphasis on identifying indicators as customer-facing staff listen to a </w:t>
      </w:r>
      <w:r w:rsidR="00E57A3B">
        <w:t>customer’s requirements</w:t>
      </w:r>
      <w:r w:rsidR="00026A0E">
        <w:t xml:space="preserve"> and enquiries.</w:t>
      </w:r>
    </w:p>
    <w:p w14:paraId="1139F7CB" w14:textId="4332AEE3" w:rsidR="00F23EEB" w:rsidRDefault="00026A0E" w:rsidP="00F23EEB">
      <w:r>
        <w:t>In addition</w:t>
      </w:r>
      <w:r w:rsidR="009627BE">
        <w:t>,</w:t>
      </w:r>
      <w:r>
        <w:t xml:space="preserve"> a</w:t>
      </w:r>
      <w:r w:rsidR="00996D3B">
        <w:t>n</w:t>
      </w:r>
      <w:r w:rsidR="00F23EEB">
        <w:t xml:space="preserve"> approach that h</w:t>
      </w:r>
      <w:r w:rsidR="003B219E">
        <w:t>ighlight</w:t>
      </w:r>
      <w:r w:rsidR="00F23EEB">
        <w:t>s</w:t>
      </w:r>
      <w:r w:rsidR="003B219E">
        <w:t xml:space="preserve"> the ‘deficiencies’</w:t>
      </w:r>
      <w:r w:rsidR="00F23EEB">
        <w:t xml:space="preserve"> </w:t>
      </w:r>
      <w:r w:rsidR="003B219E">
        <w:t xml:space="preserve">and disadvantages </w:t>
      </w:r>
      <w:r w:rsidR="008C425F">
        <w:t>of</w:t>
      </w:r>
      <w:r w:rsidR="003B219E">
        <w:t xml:space="preserve"> consumers</w:t>
      </w:r>
      <w:r w:rsidR="008C425F">
        <w:t xml:space="preserve"> experiencing vulnerability –</w:t>
      </w:r>
      <w:r w:rsidR="003B219E">
        <w:t xml:space="preserve"> without considering the importance</w:t>
      </w:r>
      <w:r w:rsidR="008C425F">
        <w:t xml:space="preserve"> of telcos consistently treating all customers fairly – </w:t>
      </w:r>
      <w:r w:rsidR="003B219E">
        <w:t xml:space="preserve">overlooks the connection between market conditions </w:t>
      </w:r>
      <w:r w:rsidR="008C425F">
        <w:t xml:space="preserve">and how </w:t>
      </w:r>
      <w:r w:rsidR="00E55E0D">
        <w:t>these</w:t>
      </w:r>
      <w:r w:rsidR="008C425F">
        <w:t xml:space="preserve"> can produce</w:t>
      </w:r>
      <w:r w:rsidR="003B219E">
        <w:t xml:space="preserve"> </w:t>
      </w:r>
      <w:r w:rsidR="006A7FF6">
        <w:t>and ex</w:t>
      </w:r>
      <w:r w:rsidR="00EC27FA">
        <w:t xml:space="preserve">acerbate </w:t>
      </w:r>
      <w:r w:rsidR="003B219E">
        <w:t>vulnerability.</w:t>
      </w:r>
      <w:r w:rsidR="003E4986">
        <w:t xml:space="preserve"> </w:t>
      </w:r>
      <w:r w:rsidR="00F23EEB">
        <w:t>The complexity and intersectionality of vulnerability factors, the way in which consumers</w:t>
      </w:r>
      <w:r w:rsidR="00D52F98">
        <w:t xml:space="preserve">’ circumstances change rapidly, and </w:t>
      </w:r>
      <w:r w:rsidR="007A3B71">
        <w:t>the</w:t>
      </w:r>
      <w:r w:rsidR="00293704">
        <w:t xml:space="preserve"> </w:t>
      </w:r>
      <w:r w:rsidR="00251C1A">
        <w:t>demonstrated inability</w:t>
      </w:r>
      <w:r w:rsidR="00D52F98">
        <w:t xml:space="preserve"> </w:t>
      </w:r>
      <w:r w:rsidR="007A3B71">
        <w:t xml:space="preserve">of many telcos </w:t>
      </w:r>
      <w:r w:rsidR="00D52F98">
        <w:t>to</w:t>
      </w:r>
      <w:r w:rsidR="00251C1A">
        <w:t xml:space="preserve"> appropriate</w:t>
      </w:r>
      <w:r w:rsidR="00B30542">
        <w:t>ly</w:t>
      </w:r>
      <w:r w:rsidR="00D52F98">
        <w:t xml:space="preserve"> respond to vulnerability</w:t>
      </w:r>
      <w:r w:rsidR="00251C1A">
        <w:t xml:space="preserve"> </w:t>
      </w:r>
      <w:r w:rsidR="00F23EEB">
        <w:t xml:space="preserve">means </w:t>
      </w:r>
      <w:r w:rsidR="00010E9E">
        <w:t xml:space="preserve">that this </w:t>
      </w:r>
      <w:r w:rsidR="00251C1A">
        <w:t>d</w:t>
      </w:r>
      <w:r w:rsidR="00F23EEB">
        <w:t>eficit</w:t>
      </w:r>
      <w:r w:rsidR="00251C1A">
        <w:t>-</w:t>
      </w:r>
      <w:r w:rsidR="00F23EEB">
        <w:t xml:space="preserve">based approach </w:t>
      </w:r>
      <w:r w:rsidR="008B4AC7">
        <w:t>is not adequate.</w:t>
      </w:r>
    </w:p>
    <w:p w14:paraId="6619CD1C" w14:textId="66819AC8" w:rsidR="00F23EEB" w:rsidRDefault="00F23EEB" w:rsidP="00EC5205">
      <w:r>
        <w:t>Emphasising fairness for all customers through</w:t>
      </w:r>
      <w:r w:rsidR="00251C1A">
        <w:t xml:space="preserve"> the</w:t>
      </w:r>
      <w:r>
        <w:t xml:space="preserve"> provision of proactive supports,</w:t>
      </w:r>
      <w:r w:rsidR="00251C1A">
        <w:t xml:space="preserve"> through</w:t>
      </w:r>
      <w:r>
        <w:t xml:space="preserve"> active listening by customer service staff</w:t>
      </w:r>
      <w:r w:rsidR="009707E6">
        <w:t xml:space="preserve"> and</w:t>
      </w:r>
      <w:r>
        <w:t xml:space="preserve"> clear and trustworthy communications,</w:t>
      </w:r>
      <w:r w:rsidR="009707E6">
        <w:t xml:space="preserve"> and through</w:t>
      </w:r>
      <w:r>
        <w:t xml:space="preserve"> good value and reasonable products, services and dealings is </w:t>
      </w:r>
      <w:r w:rsidR="009707E6">
        <w:t>the</w:t>
      </w:r>
      <w:r>
        <w:t xml:space="preserve"> better practice approach</w:t>
      </w:r>
      <w:r w:rsidR="009707E6">
        <w:t xml:space="preserve"> that</w:t>
      </w:r>
      <w:r>
        <w:t xml:space="preserve"> the telecommunications industry should adopt. </w:t>
      </w:r>
    </w:p>
    <w:p w14:paraId="226DD57E" w14:textId="1114DA36" w:rsidR="00DE341B" w:rsidRDefault="00DE341B" w:rsidP="00FB632A">
      <w:pPr>
        <w:pStyle w:val="Recommendation"/>
      </w:pPr>
      <w:r>
        <w:t xml:space="preserve">That the SoE </w:t>
      </w:r>
      <w:r w:rsidR="000A045A">
        <w:t>emphasi</w:t>
      </w:r>
      <w:r w:rsidR="006742B8">
        <w:t>se</w:t>
      </w:r>
      <w:r w:rsidR="000A045A">
        <w:t>s</w:t>
      </w:r>
      <w:r>
        <w:t xml:space="preserve"> the need for industry to treat all customers fairly</w:t>
      </w:r>
      <w:r w:rsidR="00021BF2">
        <w:t xml:space="preserve">, and that </w:t>
      </w:r>
      <w:r w:rsidR="00FB632A">
        <w:t>by doing so, consumers are less likely to experience vulnerability</w:t>
      </w:r>
      <w:r w:rsidR="00C0097B">
        <w:t xml:space="preserve"> and harm</w:t>
      </w:r>
      <w:r w:rsidR="00FB632A">
        <w:t xml:space="preserve"> when accessing and maintaining communications services. </w:t>
      </w:r>
    </w:p>
    <w:p w14:paraId="3D0C8EDA" w14:textId="791CCFD5" w:rsidR="00322B8E" w:rsidRDefault="00A0509B" w:rsidP="008A5F5F">
      <w:pPr>
        <w:pStyle w:val="Heading4"/>
      </w:pPr>
      <w:r>
        <w:t xml:space="preserve">Intersectionality and additional </w:t>
      </w:r>
      <w:r w:rsidR="0026120C">
        <w:t>vulnerability</w:t>
      </w:r>
      <w:r>
        <w:t xml:space="preserve"> </w:t>
      </w:r>
      <w:r w:rsidR="0050609B">
        <w:t>factors</w:t>
      </w:r>
      <w:r>
        <w:t xml:space="preserve"> </w:t>
      </w:r>
    </w:p>
    <w:p w14:paraId="5D41FF23" w14:textId="5F44E292" w:rsidR="00672CB2" w:rsidRDefault="00FC1085" w:rsidP="00FC1085">
      <w:r>
        <w:t>The SoE should explain that often factors contributing to vulnerability are intersectional</w:t>
      </w:r>
      <w:r w:rsidR="00265DD4">
        <w:t>,</w:t>
      </w:r>
      <w:r>
        <w:t xml:space="preserve"> </w:t>
      </w:r>
      <w:r w:rsidR="000E5D6E">
        <w:t>and structural in nature</w:t>
      </w:r>
      <w:r w:rsidR="001D6009">
        <w:t>. F</w:t>
      </w:r>
      <w:r w:rsidR="0026120C">
        <w:t>or example, a person</w:t>
      </w:r>
      <w:r w:rsidR="00495772">
        <w:t xml:space="preserve"> that speaks</w:t>
      </w:r>
      <w:r w:rsidR="0026120C">
        <w:t xml:space="preserve"> </w:t>
      </w:r>
      <w:r w:rsidR="001E7256">
        <w:t xml:space="preserve">a </w:t>
      </w:r>
      <w:r w:rsidR="00495772">
        <w:t xml:space="preserve">primary language other than English is not vulnerable </w:t>
      </w:r>
      <w:r w:rsidR="00495772" w:rsidRPr="00E505CD">
        <w:rPr>
          <w:i/>
          <w:iCs/>
        </w:rPr>
        <w:t>because</w:t>
      </w:r>
      <w:r w:rsidR="00495772">
        <w:t xml:space="preserve"> they speak a </w:t>
      </w:r>
      <w:r w:rsidR="00E505CD">
        <w:t xml:space="preserve">primary </w:t>
      </w:r>
      <w:r w:rsidR="00495772">
        <w:t>language other than English</w:t>
      </w:r>
      <w:r w:rsidR="001D6009">
        <w:t xml:space="preserve">; it is because </w:t>
      </w:r>
      <w:r w:rsidR="00E505CD">
        <w:t>the telecommunications market is not structured to facilitate access to interpreters</w:t>
      </w:r>
      <w:r w:rsidR="00EC5628">
        <w:t xml:space="preserve"> or language support</w:t>
      </w:r>
      <w:r w:rsidR="006742B8">
        <w:t xml:space="preserve"> </w:t>
      </w:r>
      <w:r w:rsidR="00026A0E">
        <w:t>when required</w:t>
      </w:r>
      <w:r w:rsidR="00E505CD">
        <w:t xml:space="preserve">. </w:t>
      </w:r>
      <w:r w:rsidR="00A10504">
        <w:t xml:space="preserve">Additionally, a person who is experiencing </w:t>
      </w:r>
      <w:r w:rsidR="00A85D96">
        <w:t xml:space="preserve">a variety of vulnerability factors </w:t>
      </w:r>
      <w:r w:rsidR="009C21AB">
        <w:t xml:space="preserve">may be at </w:t>
      </w:r>
      <w:r w:rsidR="009C21AB">
        <w:lastRenderedPageBreak/>
        <w:t>further risk of harm</w:t>
      </w:r>
      <w:r w:rsidR="00F70BDB">
        <w:t xml:space="preserve"> and telcos must be aware that these intersecting factors may influence a consumer’s interactions with them</w:t>
      </w:r>
      <w:r w:rsidR="009C21AB">
        <w:t xml:space="preserve">. </w:t>
      </w:r>
    </w:p>
    <w:p w14:paraId="1854F1F7" w14:textId="2EAA3D37" w:rsidR="00E505CD" w:rsidRDefault="00C0097B" w:rsidP="00EC5628">
      <w:pPr>
        <w:keepNext/>
        <w:keepLines/>
      </w:pPr>
      <w:r>
        <w:t>ACCAN recommends adding additional personal and social characteristics to the list o</w:t>
      </w:r>
      <w:r w:rsidR="000D3DB4">
        <w:t>f</w:t>
      </w:r>
      <w:r w:rsidR="00D052F1">
        <w:t xml:space="preserve"> vulnerability factors on</w:t>
      </w:r>
      <w:r>
        <w:t xml:space="preserve"> page 8 of the SoE:</w:t>
      </w:r>
    </w:p>
    <w:p w14:paraId="23E71C50" w14:textId="319925D2" w:rsidR="002A75DD" w:rsidRDefault="00912A2E" w:rsidP="00EC5628">
      <w:pPr>
        <w:pStyle w:val="ListParagraph"/>
        <w:keepNext/>
        <w:keepLines/>
        <w:numPr>
          <w:ilvl w:val="0"/>
          <w:numId w:val="13"/>
        </w:numPr>
      </w:pPr>
      <w:r>
        <w:t xml:space="preserve">Serious or life-threatening medical condition, </w:t>
      </w:r>
      <w:r w:rsidR="002A75DD">
        <w:t xml:space="preserve">Precarious work or highly variable income, </w:t>
      </w:r>
    </w:p>
    <w:p w14:paraId="49EF6C00" w14:textId="6E14FEED" w:rsidR="002A75DD" w:rsidRDefault="002A75DD" w:rsidP="00EC5628">
      <w:pPr>
        <w:pStyle w:val="ListParagraph"/>
        <w:keepNext/>
        <w:keepLines/>
        <w:numPr>
          <w:ilvl w:val="0"/>
          <w:numId w:val="13"/>
        </w:numPr>
      </w:pPr>
      <w:r>
        <w:t>Owning and operating a small</w:t>
      </w:r>
      <w:r w:rsidR="00C7207E">
        <w:t xml:space="preserve"> </w:t>
      </w:r>
      <w:r>
        <w:t>business</w:t>
      </w:r>
      <w:r w:rsidR="00D946D9">
        <w:t xml:space="preserve"> turning a minimal profit, or operating at a loss, </w:t>
      </w:r>
    </w:p>
    <w:p w14:paraId="456BBBD2" w14:textId="31BD73D5" w:rsidR="00D946D9" w:rsidRDefault="00D946D9" w:rsidP="00EC5628">
      <w:pPr>
        <w:pStyle w:val="ListParagraph"/>
        <w:keepNext/>
        <w:keepLines/>
        <w:numPr>
          <w:ilvl w:val="0"/>
          <w:numId w:val="13"/>
        </w:numPr>
      </w:pPr>
      <w:r>
        <w:t xml:space="preserve">Coming from a </w:t>
      </w:r>
      <w:r w:rsidRPr="00F70BDB">
        <w:rPr>
          <w:i/>
          <w:iCs/>
        </w:rPr>
        <w:t>regional</w:t>
      </w:r>
      <w:r>
        <w:t xml:space="preserve"> </w:t>
      </w:r>
      <w:r w:rsidRPr="00F70BDB">
        <w:t>or remote</w:t>
      </w:r>
      <w:r>
        <w:t xml:space="preserve"> area</w:t>
      </w:r>
      <w:r w:rsidR="008E1231">
        <w:t>,</w:t>
      </w:r>
      <w:r>
        <w:rPr>
          <w:rStyle w:val="FootnoteReference"/>
        </w:rPr>
        <w:footnoteReference w:id="19"/>
      </w:r>
      <w:r w:rsidR="008E1231">
        <w:t xml:space="preserve"> and</w:t>
      </w:r>
      <w:r>
        <w:t xml:space="preserve"> </w:t>
      </w:r>
    </w:p>
    <w:p w14:paraId="654AC3FE" w14:textId="2E2DA69D" w:rsidR="008E1231" w:rsidRDefault="008E1231" w:rsidP="00EC5628">
      <w:pPr>
        <w:pStyle w:val="ListParagraph"/>
        <w:keepNext/>
        <w:keepLines/>
        <w:numPr>
          <w:ilvl w:val="0"/>
          <w:numId w:val="13"/>
        </w:numPr>
      </w:pPr>
      <w:r>
        <w:t>Living in a natural d</w:t>
      </w:r>
      <w:r w:rsidR="00A0509B">
        <w:t>isaster</w:t>
      </w:r>
      <w:r>
        <w:t>-p</w:t>
      </w:r>
      <w:r w:rsidR="00A0509B">
        <w:t>rone</w:t>
      </w:r>
      <w:r>
        <w:t xml:space="preserve"> area.</w:t>
      </w:r>
    </w:p>
    <w:p w14:paraId="1DE87C3D" w14:textId="5C7CC757" w:rsidR="007B7D32" w:rsidRDefault="008E1231" w:rsidP="008E1231">
      <w:pPr>
        <w:pStyle w:val="Recommendation"/>
      </w:pPr>
      <w:r>
        <w:t xml:space="preserve">That the SoE acknowledges the intersectional and </w:t>
      </w:r>
      <w:r w:rsidR="00091A98">
        <w:t xml:space="preserve">often </w:t>
      </w:r>
      <w:r>
        <w:t xml:space="preserve">structural nature of vulnerability, and expands its list of factors contributing to vulnerability. </w:t>
      </w:r>
    </w:p>
    <w:p w14:paraId="03051052" w14:textId="07F633E9" w:rsidR="00A7120F" w:rsidRDefault="00C424C0" w:rsidP="00A7120F">
      <w:pPr>
        <w:pStyle w:val="Heading2"/>
      </w:pPr>
      <w:bookmarkStart w:id="14" w:name="_Toc82181496"/>
      <w:r w:rsidRPr="00C424C0">
        <w:t>Setting expectations for telcos – priority areas</w:t>
      </w:r>
      <w:bookmarkEnd w:id="14"/>
    </w:p>
    <w:p w14:paraId="21B8E834" w14:textId="6394C459" w:rsidR="00C424C0" w:rsidRDefault="00922D0F" w:rsidP="008A5F5F">
      <w:pPr>
        <w:pStyle w:val="Heading3"/>
        <w:rPr>
          <w:i w:val="0"/>
          <w:iCs/>
        </w:rPr>
      </w:pPr>
      <w:bookmarkStart w:id="15" w:name="_Toc82181497"/>
      <w:r>
        <w:t xml:space="preserve">Question </w:t>
      </w:r>
      <w:r w:rsidR="00C424C0">
        <w:t>2. Are the ACMA’s 5 proposed priority areas appropriate? Are there any other priority areas that should be substituted or included?</w:t>
      </w:r>
      <w:bookmarkEnd w:id="15"/>
    </w:p>
    <w:p w14:paraId="78E9BC58" w14:textId="77777777" w:rsidR="0057222B" w:rsidRDefault="0057222B" w:rsidP="0057222B">
      <w:pPr>
        <w:pStyle w:val="Heading4"/>
      </w:pPr>
      <w:r>
        <w:t>Credit and debt management</w:t>
      </w:r>
    </w:p>
    <w:p w14:paraId="159E8A2F" w14:textId="532977E7" w:rsidR="00231FDA" w:rsidRDefault="00231FDA" w:rsidP="00231FDA">
      <w:r>
        <w:t xml:space="preserve">ACCAN </w:t>
      </w:r>
      <w:r w:rsidR="007C2EC2">
        <w:t xml:space="preserve">strongly recommends that </w:t>
      </w:r>
      <w:r w:rsidR="007C2EC2" w:rsidRPr="007C2EC2">
        <w:rPr>
          <w:i/>
          <w:iCs/>
        </w:rPr>
        <w:t>Priority Area 5: Disconnection</w:t>
      </w:r>
      <w:r w:rsidR="007C2EC2">
        <w:t xml:space="preserve"> is amended to be</w:t>
      </w:r>
      <w:r w:rsidR="00976873">
        <w:t>come</w:t>
      </w:r>
      <w:r w:rsidR="007C2EC2">
        <w:t xml:space="preserve"> </w:t>
      </w:r>
      <w:r w:rsidR="007C2EC2" w:rsidRPr="007C2EC2">
        <w:rPr>
          <w:i/>
          <w:iCs/>
        </w:rPr>
        <w:t xml:space="preserve">Credit and Debt Management. </w:t>
      </w:r>
      <w:r w:rsidR="00B6481A">
        <w:t xml:space="preserve">This is because disconnection is not the only area of concern in relation to telco providers’ credit management. </w:t>
      </w:r>
      <w:r w:rsidR="006639A9">
        <w:t xml:space="preserve">Other areas of concern </w:t>
      </w:r>
      <w:r w:rsidR="009A5E3E">
        <w:t>include</w:t>
      </w:r>
      <w:r w:rsidR="006639A9">
        <w:t>:</w:t>
      </w:r>
    </w:p>
    <w:p w14:paraId="1FF616C8" w14:textId="4A8E5D70" w:rsidR="0029367D" w:rsidRDefault="006639A9" w:rsidP="006639A9">
      <w:pPr>
        <w:pStyle w:val="ListParagraph"/>
        <w:numPr>
          <w:ilvl w:val="0"/>
          <w:numId w:val="25"/>
        </w:numPr>
      </w:pPr>
      <w:r w:rsidRPr="00CA7D3B">
        <w:rPr>
          <w:b/>
          <w:bCs/>
        </w:rPr>
        <w:t>Dealing with debt collectors</w:t>
      </w:r>
      <w:r>
        <w:t xml:space="preserve">: </w:t>
      </w:r>
      <w:r w:rsidR="008712B4">
        <w:t>S</w:t>
      </w:r>
      <w:r>
        <w:t>ome tel</w:t>
      </w:r>
      <w:r w:rsidR="00CA7D3B">
        <w:t>co</w:t>
      </w:r>
      <w:r w:rsidR="00CC764A">
        <w:t xml:space="preserve">s </w:t>
      </w:r>
      <w:r w:rsidR="00CA7D3B">
        <w:t xml:space="preserve">do not keep good records </w:t>
      </w:r>
      <w:r w:rsidR="008712B4">
        <w:t xml:space="preserve">of communications or disputes </w:t>
      </w:r>
      <w:r w:rsidR="00CA7D3B">
        <w:t>related to debts that have been sold</w:t>
      </w:r>
      <w:r w:rsidR="008712B4">
        <w:t xml:space="preserve">. </w:t>
      </w:r>
      <w:r w:rsidR="000A0B6B">
        <w:t>ACCAN is aware that in some instances</w:t>
      </w:r>
      <w:r w:rsidR="008712B4">
        <w:t xml:space="preserve">, telcos </w:t>
      </w:r>
      <w:r w:rsidR="00CA7D3B">
        <w:t>can take up to 6 months to provide debt collectors with relevant documentation.</w:t>
      </w:r>
    </w:p>
    <w:p w14:paraId="18124085" w14:textId="2D68AA03" w:rsidR="00217C30" w:rsidRDefault="004756F1" w:rsidP="006639A9">
      <w:pPr>
        <w:pStyle w:val="ListParagraph"/>
        <w:numPr>
          <w:ilvl w:val="0"/>
          <w:numId w:val="25"/>
        </w:numPr>
      </w:pPr>
      <w:r w:rsidRPr="00217C30">
        <w:rPr>
          <w:b/>
          <w:bCs/>
        </w:rPr>
        <w:t xml:space="preserve">Selling </w:t>
      </w:r>
      <w:r w:rsidR="008A0104" w:rsidRPr="00217C30">
        <w:rPr>
          <w:b/>
          <w:bCs/>
        </w:rPr>
        <w:t>debts</w:t>
      </w:r>
      <w:r w:rsidR="008A0104">
        <w:t xml:space="preserve">: </w:t>
      </w:r>
      <w:r w:rsidR="003D5C9E">
        <w:t xml:space="preserve">ACCAN is aware of consumer case studies where </w:t>
      </w:r>
      <w:r w:rsidR="00AB714D">
        <w:t xml:space="preserve">telcos </w:t>
      </w:r>
      <w:r w:rsidR="00804B8F">
        <w:t xml:space="preserve">have sold debts </w:t>
      </w:r>
      <w:r w:rsidR="00286DFF">
        <w:t>of extremely low amounts</w:t>
      </w:r>
      <w:r w:rsidR="00F876F6">
        <w:t xml:space="preserve"> or where it is clear the amount will not be recovered,</w:t>
      </w:r>
      <w:r w:rsidR="00217C30">
        <w:t xml:space="preserve"> and </w:t>
      </w:r>
      <w:r w:rsidR="003C3FF0">
        <w:t>where a debt has been pursued by multiple debt collectors</w:t>
      </w:r>
      <w:r w:rsidR="00217C30">
        <w:t xml:space="preserve">. </w:t>
      </w:r>
    </w:p>
    <w:p w14:paraId="77892989" w14:textId="123AD100" w:rsidR="002E6E0F" w:rsidRDefault="00217C30" w:rsidP="000E6430">
      <w:pPr>
        <w:pStyle w:val="ListParagraph"/>
        <w:numPr>
          <w:ilvl w:val="0"/>
          <w:numId w:val="25"/>
        </w:numPr>
      </w:pPr>
      <w:r>
        <w:rPr>
          <w:b/>
          <w:bCs/>
        </w:rPr>
        <w:t>Billing process</w:t>
      </w:r>
      <w:r w:rsidR="00412AD1">
        <w:rPr>
          <w:b/>
          <w:bCs/>
        </w:rPr>
        <w:t>es</w:t>
      </w:r>
      <w:r w:rsidRPr="00217C30">
        <w:t>:</w:t>
      </w:r>
      <w:r w:rsidR="00412AD1">
        <w:t xml:space="preserve"> Some providers’ billing systems shut consumers</w:t>
      </w:r>
      <w:r w:rsidR="002E6E0F">
        <w:t xml:space="preserve"> out of their accounts the moment their service is cancelled</w:t>
      </w:r>
      <w:r w:rsidR="00412AD1">
        <w:t>. ACCAN is aware of case studies where consumer</w:t>
      </w:r>
      <w:r w:rsidR="00A96AFC">
        <w:t xml:space="preserve">s have </w:t>
      </w:r>
      <w:r w:rsidR="00412AD1">
        <w:t>been unable to access a final bill for a disconnected service</w:t>
      </w:r>
      <w:r w:rsidR="000E6430">
        <w:t xml:space="preserve">, and the debt has been sold and pursued by a debt collector. </w:t>
      </w:r>
    </w:p>
    <w:p w14:paraId="64C088FF" w14:textId="7108E81A" w:rsidR="000E6430" w:rsidRDefault="000E6430" w:rsidP="000E6430">
      <w:pPr>
        <w:pStyle w:val="ListParagraph"/>
        <w:numPr>
          <w:ilvl w:val="0"/>
          <w:numId w:val="25"/>
        </w:numPr>
      </w:pPr>
      <w:r>
        <w:rPr>
          <w:b/>
          <w:bCs/>
        </w:rPr>
        <w:t>Lack of flexibility</w:t>
      </w:r>
      <w:r w:rsidR="00EE067A">
        <w:rPr>
          <w:b/>
          <w:bCs/>
        </w:rPr>
        <w:t xml:space="preserve"> and options</w:t>
      </w:r>
      <w:r w:rsidRPr="000E6430">
        <w:t>:</w:t>
      </w:r>
      <w:r>
        <w:t xml:space="preserve"> </w:t>
      </w:r>
      <w:r w:rsidR="00EE067A">
        <w:t>A</w:t>
      </w:r>
      <w:r w:rsidR="00AA3A76">
        <w:t xml:space="preserve"> </w:t>
      </w:r>
      <w:r w:rsidR="004338BF">
        <w:t>telco</w:t>
      </w:r>
      <w:r w:rsidR="00EE067A">
        <w:t xml:space="preserve"> can</w:t>
      </w:r>
      <w:r w:rsidR="004338BF">
        <w:t xml:space="preserve"> suspend</w:t>
      </w:r>
      <w:r w:rsidR="00EE067A">
        <w:t xml:space="preserve">, </w:t>
      </w:r>
      <w:r w:rsidR="004338BF">
        <w:t>restrict</w:t>
      </w:r>
      <w:r w:rsidR="00EE067A">
        <w:t xml:space="preserve"> or disconnect</w:t>
      </w:r>
      <w:r w:rsidR="00C8375F">
        <w:t xml:space="preserve"> a service as a part of credit and debt management</w:t>
      </w:r>
      <w:r w:rsidR="00EE067A">
        <w:t xml:space="preserve">. In many cases, consumers are not aware of their </w:t>
      </w:r>
      <w:r w:rsidR="00624651">
        <w:t xml:space="preserve">credit management </w:t>
      </w:r>
      <w:r w:rsidR="00EE067A">
        <w:t>options</w:t>
      </w:r>
      <w:r w:rsidR="00624651">
        <w:t xml:space="preserve">, </w:t>
      </w:r>
      <w:r w:rsidR="00EE067A">
        <w:t xml:space="preserve">or </w:t>
      </w:r>
      <w:r w:rsidR="00D67F4D">
        <w:t xml:space="preserve">are not empowered to negotiate </w:t>
      </w:r>
      <w:r w:rsidR="00A603B2">
        <w:t>or suggest options</w:t>
      </w:r>
      <w:r w:rsidR="005A6DA1">
        <w:t>.</w:t>
      </w:r>
      <w:r w:rsidR="00BB69D9">
        <w:t xml:space="preserve"> Some may not have </w:t>
      </w:r>
      <w:r w:rsidR="004118F3">
        <w:t xml:space="preserve">even </w:t>
      </w:r>
      <w:r w:rsidR="00BB69D9">
        <w:t>been given an option for a payment plan or one that is within their means.</w:t>
      </w:r>
    </w:p>
    <w:p w14:paraId="29E92166" w14:textId="6C1F1613" w:rsidR="00D87CCE" w:rsidRDefault="00D87CCE" w:rsidP="000E6430">
      <w:pPr>
        <w:pStyle w:val="ListParagraph"/>
        <w:numPr>
          <w:ilvl w:val="0"/>
          <w:numId w:val="25"/>
        </w:numPr>
      </w:pPr>
      <w:r>
        <w:rPr>
          <w:b/>
          <w:bCs/>
        </w:rPr>
        <w:t>Credit reporting</w:t>
      </w:r>
      <w:r w:rsidRPr="00D87CCE">
        <w:t>:</w:t>
      </w:r>
      <w:r>
        <w:t xml:space="preserve"> Even where financial hardship has been established, debt waivers have been offered, or mis-selling or </w:t>
      </w:r>
      <w:r w:rsidR="00C91835">
        <w:t xml:space="preserve">other </w:t>
      </w:r>
      <w:r>
        <w:t xml:space="preserve">poor provider conduct has been established, many providers will proceed to </w:t>
      </w:r>
      <w:r w:rsidR="004220A1">
        <w:t xml:space="preserve">report </w:t>
      </w:r>
      <w:r w:rsidR="00095C49">
        <w:t xml:space="preserve">defaults to a credit </w:t>
      </w:r>
      <w:r w:rsidR="00A429C7">
        <w:t>re</w:t>
      </w:r>
      <w:r w:rsidR="00095C49">
        <w:t xml:space="preserve">porting body. </w:t>
      </w:r>
    </w:p>
    <w:p w14:paraId="2A1C0FFB" w14:textId="1D92607C" w:rsidR="000E6430" w:rsidRDefault="00965B5E" w:rsidP="000E6430">
      <w:r>
        <w:lastRenderedPageBreak/>
        <w:t>Under best practice, t</w:t>
      </w:r>
      <w:r w:rsidR="005A6DA1">
        <w:t xml:space="preserve">elcos should not unilaterally impose </w:t>
      </w:r>
      <w:r w:rsidR="00B35A9E">
        <w:t xml:space="preserve">unfair </w:t>
      </w:r>
      <w:r w:rsidR="005A6DA1">
        <w:t>credit and debt management</w:t>
      </w:r>
      <w:r w:rsidR="008564A6">
        <w:t xml:space="preserve"> </w:t>
      </w:r>
      <w:r w:rsidR="00B35A9E">
        <w:t xml:space="preserve">measures </w:t>
      </w:r>
      <w:r w:rsidR="008564A6">
        <w:t>on customers experiencing vulnerability</w:t>
      </w:r>
      <w:r w:rsidR="00763E28">
        <w:t xml:space="preserve">. </w:t>
      </w:r>
      <w:r w:rsidR="000E6430">
        <w:t>Telcos should ensure that their credit and debt management</w:t>
      </w:r>
      <w:r w:rsidR="00C75697">
        <w:t xml:space="preserve"> processes are fai</w:t>
      </w:r>
      <w:r w:rsidR="008564A6">
        <w:t>r,</w:t>
      </w:r>
      <w:r w:rsidR="00B52532">
        <w:t xml:space="preserve"> accurate,</w:t>
      </w:r>
      <w:r w:rsidR="008564A6">
        <w:t xml:space="preserve"> </w:t>
      </w:r>
      <w:r w:rsidR="009A5E3E">
        <w:t>consultative</w:t>
      </w:r>
      <w:r w:rsidR="008564A6">
        <w:t>, and proportionate to the amount owed and the consumer’s circumstance</w:t>
      </w:r>
      <w:r w:rsidR="00C75697">
        <w:t xml:space="preserve">. </w:t>
      </w:r>
    </w:p>
    <w:p w14:paraId="71020BE2" w14:textId="5FFE3F63" w:rsidR="008564A6" w:rsidRDefault="00393094" w:rsidP="008564A6">
      <w:pPr>
        <w:pStyle w:val="Recommendation"/>
      </w:pPr>
      <w:r>
        <w:t>That Priority Area 5 is expanded to include Credit and Debt Management, and t</w:t>
      </w:r>
      <w:r w:rsidR="006B46D5">
        <w:t xml:space="preserve">hat </w:t>
      </w:r>
      <w:r>
        <w:t xml:space="preserve">the SoE </w:t>
      </w:r>
      <w:r w:rsidR="003268B4">
        <w:t>reco</w:t>
      </w:r>
      <w:r w:rsidR="00444D1E">
        <w:t xml:space="preserve">mmends credit and debt management processes that are fair, </w:t>
      </w:r>
      <w:r w:rsidR="00B52532">
        <w:t xml:space="preserve">accurate, </w:t>
      </w:r>
      <w:r w:rsidR="009A5E3E">
        <w:t>flexible</w:t>
      </w:r>
      <w:r w:rsidR="00444D1E">
        <w:t>, and proportionate</w:t>
      </w:r>
      <w:r w:rsidR="009A5E3E">
        <w:t>.</w:t>
      </w:r>
    </w:p>
    <w:p w14:paraId="4B4A84BA" w14:textId="4B053400" w:rsidR="0057222B" w:rsidRDefault="0057222B" w:rsidP="0057222B">
      <w:pPr>
        <w:pStyle w:val="Heading4"/>
      </w:pPr>
      <w:r>
        <w:t>Dispute resolution</w:t>
      </w:r>
    </w:p>
    <w:p w14:paraId="1A9835A0" w14:textId="3DD6485B" w:rsidR="002F6CF0" w:rsidRDefault="002F6CF0" w:rsidP="00231FDA">
      <w:r>
        <w:t xml:space="preserve">ACCAN recommends the addition of a sixth priority area: </w:t>
      </w:r>
      <w:r w:rsidRPr="002F6CF0">
        <w:rPr>
          <w:i/>
          <w:iCs/>
        </w:rPr>
        <w:t>Dispute Resolution</w:t>
      </w:r>
      <w:r>
        <w:t>. While the ACMA Complaints Handling Standard</w:t>
      </w:r>
      <w:r w:rsidR="004E54A7">
        <w:t xml:space="preserve"> </w:t>
      </w:r>
      <w:r w:rsidR="00EC5628">
        <w:t xml:space="preserve">2018 </w:t>
      </w:r>
      <w:r w:rsidR="004E54A7">
        <w:t>contains</w:t>
      </w:r>
      <w:r w:rsidR="00EC5628">
        <w:t xml:space="preserve"> telcos’ internal dispute resolution obligations</w:t>
      </w:r>
      <w:r>
        <w:t>, the SoE is a good opportunity for providers to build upon their minimum regulatory obligations</w:t>
      </w:r>
      <w:r w:rsidR="00201B41">
        <w:t xml:space="preserve"> and ensure internal dispute resolution processes are accessible and timely for all</w:t>
      </w:r>
      <w:r>
        <w:t xml:space="preserve">. </w:t>
      </w:r>
      <w:r w:rsidR="00201B41">
        <w:t>O</w:t>
      </w:r>
      <w:r w:rsidR="004E54A7">
        <w:t xml:space="preserve">utcomes </w:t>
      </w:r>
      <w:r w:rsidR="00201B41">
        <w:t xml:space="preserve">and examples </w:t>
      </w:r>
      <w:r w:rsidR="004E54A7">
        <w:t xml:space="preserve">for </w:t>
      </w:r>
      <w:r w:rsidR="004B343E">
        <w:t>a</w:t>
      </w:r>
      <w:r w:rsidR="004E54A7">
        <w:t xml:space="preserve"> dispute resolution </w:t>
      </w:r>
      <w:r w:rsidR="004B343E">
        <w:t xml:space="preserve">priority area </w:t>
      </w:r>
      <w:r w:rsidR="004E54A7">
        <w:t xml:space="preserve">could </w:t>
      </w:r>
      <w:r w:rsidR="00D678A3">
        <w:t>include</w:t>
      </w:r>
      <w:r w:rsidR="004E54A7">
        <w:t xml:space="preserve">: </w:t>
      </w:r>
    </w:p>
    <w:p w14:paraId="20DD3B91" w14:textId="02DEAFA6" w:rsidR="00EC5628" w:rsidRDefault="0057222B" w:rsidP="00EC5628">
      <w:pPr>
        <w:pStyle w:val="ListParagraph"/>
        <w:numPr>
          <w:ilvl w:val="0"/>
          <w:numId w:val="24"/>
        </w:numPr>
      </w:pPr>
      <w:r>
        <w:t>E</w:t>
      </w:r>
      <w:r w:rsidR="00883BAC">
        <w:t>nsuring that a</w:t>
      </w:r>
      <w:r w:rsidR="007F2159">
        <w:t>n adequately</w:t>
      </w:r>
      <w:r w:rsidR="00883BAC">
        <w:t xml:space="preserve"> staffed </w:t>
      </w:r>
      <w:r w:rsidR="00944A45">
        <w:t>customer service phoneline is available during business hours at a minimum</w:t>
      </w:r>
      <w:r w:rsidR="00B35A9E">
        <w:t>.</w:t>
      </w:r>
    </w:p>
    <w:p w14:paraId="781DED95" w14:textId="45099431" w:rsidR="0099636F" w:rsidRDefault="0099636F" w:rsidP="00EC5628">
      <w:pPr>
        <w:pStyle w:val="ListParagraph"/>
        <w:numPr>
          <w:ilvl w:val="0"/>
          <w:numId w:val="24"/>
        </w:numPr>
      </w:pPr>
      <w:r>
        <w:t>Acknowledging and resolving complaints</w:t>
      </w:r>
      <w:r w:rsidR="004373A0">
        <w:t xml:space="preserve"> earlier than the timeframes expressed in the Complaints Handling Standard</w:t>
      </w:r>
      <w:r w:rsidR="00B35A9E">
        <w:t>.</w:t>
      </w:r>
      <w:r w:rsidR="004373A0">
        <w:t xml:space="preserve"> </w:t>
      </w:r>
    </w:p>
    <w:p w14:paraId="07B8ED79" w14:textId="46B65294" w:rsidR="0099636F" w:rsidRDefault="00ED2B15" w:rsidP="00EC5628">
      <w:pPr>
        <w:pStyle w:val="ListParagraph"/>
        <w:numPr>
          <w:ilvl w:val="0"/>
          <w:numId w:val="24"/>
        </w:numPr>
      </w:pPr>
      <w:r>
        <w:t>Adequately r</w:t>
      </w:r>
      <w:r w:rsidR="00966A94">
        <w:t>esourcing customer service team</w:t>
      </w:r>
      <w:r w:rsidR="00D678A3">
        <w:t>s</w:t>
      </w:r>
      <w:r w:rsidR="00966A94">
        <w:t xml:space="preserve"> and l</w:t>
      </w:r>
      <w:r w:rsidR="0099636F">
        <w:t xml:space="preserve">imiting </w:t>
      </w:r>
      <w:r w:rsidR="00966A94">
        <w:t>customer service wait times</w:t>
      </w:r>
      <w:r w:rsidR="006217F5">
        <w:t>.</w:t>
      </w:r>
    </w:p>
    <w:p w14:paraId="43C23E72" w14:textId="21FA7C94" w:rsidR="0099636F" w:rsidRDefault="0099636F" w:rsidP="00D678A3">
      <w:pPr>
        <w:pStyle w:val="ListParagraph"/>
        <w:numPr>
          <w:ilvl w:val="0"/>
          <w:numId w:val="24"/>
        </w:numPr>
      </w:pPr>
      <w:r>
        <w:t xml:space="preserve">Ensuring that </w:t>
      </w:r>
      <w:r w:rsidR="00944A45">
        <w:t>dispute resolution</w:t>
      </w:r>
      <w:r>
        <w:t xml:space="preserve"> is not unreasonably conditional</w:t>
      </w:r>
      <w:r w:rsidR="00B35A9E">
        <w:t>,</w:t>
      </w:r>
      <w:r w:rsidR="004671BB">
        <w:t xml:space="preserve"> such as requiring a consumer to send a device back</w:t>
      </w:r>
      <w:r w:rsidR="00045FE8">
        <w:t xml:space="preserve"> to the telco</w:t>
      </w:r>
      <w:r w:rsidR="004671BB">
        <w:t xml:space="preserve"> </w:t>
      </w:r>
      <w:r w:rsidR="00237FAD">
        <w:t>prior to a debt being waived</w:t>
      </w:r>
      <w:r w:rsidR="00B35A9E">
        <w:t>.</w:t>
      </w:r>
    </w:p>
    <w:p w14:paraId="6862DDB4" w14:textId="22821C44" w:rsidR="00922D0F" w:rsidRDefault="00B22F8D" w:rsidP="00922D0F">
      <w:pPr>
        <w:pStyle w:val="ListParagraph"/>
        <w:numPr>
          <w:ilvl w:val="0"/>
          <w:numId w:val="24"/>
        </w:numPr>
      </w:pPr>
      <w:r>
        <w:t>Not reporting to a credit reporting agency any debts for which a waiver is provided</w:t>
      </w:r>
      <w:r w:rsidR="00753DC5">
        <w:t xml:space="preserve"> as a result of a dispute</w:t>
      </w:r>
      <w:r>
        <w:t>.</w:t>
      </w:r>
    </w:p>
    <w:p w14:paraId="58333C2D" w14:textId="16334EDE" w:rsidR="007F0D7B" w:rsidRPr="00922D0F" w:rsidRDefault="00B22F8D" w:rsidP="00922D0F">
      <w:pPr>
        <w:pStyle w:val="ListParagraph"/>
        <w:numPr>
          <w:ilvl w:val="0"/>
          <w:numId w:val="24"/>
        </w:numPr>
      </w:pPr>
      <w:r>
        <w:t>Not barring consumers experiencing vulnerability who have been subject to credit and debt management from contracting services from the provider at a later date</w:t>
      </w:r>
      <w:r w:rsidR="00D678A3">
        <w:t xml:space="preserve">. </w:t>
      </w:r>
    </w:p>
    <w:p w14:paraId="4DB0D5CD" w14:textId="1D07252B" w:rsidR="00C424C0" w:rsidRDefault="00922D0F" w:rsidP="008A5F5F">
      <w:pPr>
        <w:pStyle w:val="Heading3"/>
      </w:pPr>
      <w:bookmarkStart w:id="16" w:name="_Toc82181498"/>
      <w:r>
        <w:t>Question</w:t>
      </w:r>
      <w:r w:rsidR="00055970">
        <w:t>s</w:t>
      </w:r>
      <w:r>
        <w:t xml:space="preserve"> </w:t>
      </w:r>
      <w:r w:rsidR="00C424C0">
        <w:t xml:space="preserve">3. Are the </w:t>
      </w:r>
      <w:r w:rsidR="00885DB7">
        <w:t>outcomes</w:t>
      </w:r>
      <w:r w:rsidR="00C424C0">
        <w:t xml:space="preserve"> set out under each priority area appropriate? Are there any additional </w:t>
      </w:r>
      <w:r w:rsidR="00885DB7">
        <w:t>outcomes</w:t>
      </w:r>
      <w:r w:rsidR="00C424C0">
        <w:t xml:space="preserve"> that should be specified?</w:t>
      </w:r>
      <w:bookmarkEnd w:id="16"/>
    </w:p>
    <w:p w14:paraId="0B3223ED" w14:textId="4B2AA3EA" w:rsidR="00C424C0" w:rsidRDefault="00922D0F" w:rsidP="008A5F5F">
      <w:pPr>
        <w:pStyle w:val="Heading3"/>
      </w:pPr>
      <w:bookmarkStart w:id="17" w:name="_Toc82181499"/>
      <w:r>
        <w:t xml:space="preserve">Question </w:t>
      </w:r>
      <w:r w:rsidR="00C424C0">
        <w:t>4. Are the examples provided in the statement of expectations appropriate and realistic? Are there any additional examples that would assist telcos in understanding how to achieve the objectives?</w:t>
      </w:r>
      <w:bookmarkEnd w:id="17"/>
    </w:p>
    <w:p w14:paraId="02758A3F" w14:textId="4E389729" w:rsidR="00595C51" w:rsidRDefault="00595C51" w:rsidP="00595C51">
      <w:r>
        <w:t xml:space="preserve">Questions 3 and 4 will be answered in relation to each priority area. </w:t>
      </w:r>
    </w:p>
    <w:p w14:paraId="74ECC7B0" w14:textId="3EE3FFC2" w:rsidR="00E34D01" w:rsidRDefault="00936085" w:rsidP="00050496">
      <w:pPr>
        <w:pStyle w:val="Heading4"/>
      </w:pPr>
      <w:r>
        <w:t xml:space="preserve">Priority area 1: </w:t>
      </w:r>
      <w:r w:rsidR="00E34D01">
        <w:t>Internal business practices</w:t>
      </w:r>
    </w:p>
    <w:p w14:paraId="3D7F63DB" w14:textId="4B14D843" w:rsidR="00807925" w:rsidRDefault="00936085" w:rsidP="00595C51">
      <w:r>
        <w:t xml:space="preserve">This priority area places </w:t>
      </w:r>
      <w:r w:rsidR="008F2549">
        <w:t>a positive</w:t>
      </w:r>
      <w:r>
        <w:t xml:space="preserve"> emphasis on governanc</w:t>
      </w:r>
      <w:r w:rsidR="00867342">
        <w:t>e</w:t>
      </w:r>
      <w:r w:rsidR="006A3E75">
        <w:t xml:space="preserve">, </w:t>
      </w:r>
      <w:r w:rsidR="00642F00">
        <w:t>corporate responsibility</w:t>
      </w:r>
      <w:r w:rsidR="006A3E75">
        <w:t xml:space="preserve">, and training. However, more detail is needed in terms of </w:t>
      </w:r>
      <w:r w:rsidR="0053166A">
        <w:t xml:space="preserve">performance </w:t>
      </w:r>
      <w:r w:rsidR="006A3E75">
        <w:t>monitoring</w:t>
      </w:r>
      <w:r w:rsidR="0053166A">
        <w:t xml:space="preserve">, </w:t>
      </w:r>
      <w:r w:rsidR="006A3E75">
        <w:t>evaluation</w:t>
      </w:r>
      <w:r w:rsidR="0053166A">
        <w:t xml:space="preserve"> and improvement. </w:t>
      </w:r>
      <w:r w:rsidR="00BB69D9">
        <w:t xml:space="preserve">Not many of </w:t>
      </w:r>
      <w:r w:rsidR="001A3FF0">
        <w:t xml:space="preserve">the </w:t>
      </w:r>
      <w:r w:rsidR="00332656">
        <w:t>outcomes are phrased in a way that would be auditable</w:t>
      </w:r>
      <w:r w:rsidR="006A3E75">
        <w:t xml:space="preserve">. </w:t>
      </w:r>
      <w:r w:rsidR="004F3141">
        <w:t xml:space="preserve">For example, </w:t>
      </w:r>
      <w:r w:rsidR="00B03035">
        <w:t xml:space="preserve">one outcome is for telcos to ‘ensure staff who may interact with vulnerable consumers understand the importance of meeting the needs of vulnerable consumers’. It is not clear how a telco would be able to demonstrate all staff have this understanding. </w:t>
      </w:r>
    </w:p>
    <w:p w14:paraId="21392A1B" w14:textId="55DE94C1" w:rsidR="00595C51" w:rsidRDefault="006A3E75" w:rsidP="008A65DF">
      <w:pPr>
        <w:keepNext/>
      </w:pPr>
      <w:r>
        <w:lastRenderedPageBreak/>
        <w:t>Aside from the outcomes and examples specified</w:t>
      </w:r>
      <w:r w:rsidR="00690F56">
        <w:t xml:space="preserve"> in the SoE</w:t>
      </w:r>
      <w:r>
        <w:t xml:space="preserve">, </w:t>
      </w:r>
      <w:r w:rsidR="0091185E">
        <w:t>t</w:t>
      </w:r>
      <w:r>
        <w:t>elcos should:</w:t>
      </w:r>
    </w:p>
    <w:p w14:paraId="2290C388" w14:textId="19B2A165" w:rsidR="00881FAA" w:rsidRDefault="00B44329" w:rsidP="008A65DF">
      <w:pPr>
        <w:pStyle w:val="ListParagraph"/>
        <w:keepNext/>
        <w:numPr>
          <w:ilvl w:val="0"/>
          <w:numId w:val="19"/>
        </w:numPr>
      </w:pPr>
      <w:r>
        <w:t>E</w:t>
      </w:r>
      <w:r w:rsidR="00881FAA">
        <w:t>valuate</w:t>
      </w:r>
      <w:r>
        <w:t xml:space="preserve"> the content of</w:t>
      </w:r>
      <w:r w:rsidR="00881FAA">
        <w:t xml:space="preserve"> </w:t>
      </w:r>
      <w:r w:rsidR="005C32D8">
        <w:t>staff training</w:t>
      </w:r>
      <w:r>
        <w:t xml:space="preserve"> every 6 months</w:t>
      </w:r>
      <w:r w:rsidR="00FC5783">
        <w:t xml:space="preserve"> to assess </w:t>
      </w:r>
      <w:r w:rsidR="00704760">
        <w:t xml:space="preserve">its </w:t>
      </w:r>
      <w:r w:rsidR="00FC5783">
        <w:t>suitability,</w:t>
      </w:r>
      <w:r w:rsidR="00704760">
        <w:t xml:space="preserve"> and swiftly act upon opportunities for improvement</w:t>
      </w:r>
      <w:r w:rsidR="00646DD7">
        <w:t>.</w:t>
      </w:r>
      <w:r w:rsidR="00704760">
        <w:t xml:space="preserve"> </w:t>
      </w:r>
    </w:p>
    <w:p w14:paraId="6ED2691A" w14:textId="575C2910" w:rsidR="00A57B65" w:rsidRDefault="00A418DF" w:rsidP="008A65DF">
      <w:pPr>
        <w:pStyle w:val="ListParagraph"/>
        <w:keepNext/>
        <w:numPr>
          <w:ilvl w:val="0"/>
          <w:numId w:val="19"/>
        </w:numPr>
      </w:pPr>
      <w:r>
        <w:t>M</w:t>
      </w:r>
      <w:r w:rsidR="004F4A02">
        <w:t xml:space="preserve">onitor staff performance through regular auditing of customer interactions, for example, </w:t>
      </w:r>
      <w:r w:rsidR="00C91E8C">
        <w:t>random</w:t>
      </w:r>
      <w:r w:rsidR="00A57B65">
        <w:t>ised</w:t>
      </w:r>
      <w:r w:rsidR="00C91E8C">
        <w:t xml:space="preserve"> reviews of call and email correspondence.</w:t>
      </w:r>
      <w:r w:rsidR="00A57B65">
        <w:t xml:space="preserve"> </w:t>
      </w:r>
    </w:p>
    <w:p w14:paraId="5D131862" w14:textId="226F1B50" w:rsidR="00A418DF" w:rsidRDefault="00745872" w:rsidP="008A65DF">
      <w:pPr>
        <w:pStyle w:val="ListParagraph"/>
        <w:keepNext/>
        <w:numPr>
          <w:ilvl w:val="0"/>
          <w:numId w:val="19"/>
        </w:numPr>
      </w:pPr>
      <w:r>
        <w:t>Test</w:t>
      </w:r>
      <w:r w:rsidR="00A57B65">
        <w:t xml:space="preserve"> staff</w:t>
      </w:r>
      <w:r>
        <w:t xml:space="preserve">’s knowledge and understanding </w:t>
      </w:r>
      <w:r w:rsidR="00A57B65">
        <w:t xml:space="preserve">at the </w:t>
      </w:r>
      <w:r w:rsidR="00BB69D9">
        <w:t>completion</w:t>
      </w:r>
      <w:r w:rsidR="00A57B65">
        <w:t xml:space="preserve"> of training modules, and ensure staff undertake refresher training once a year at a minimum. </w:t>
      </w:r>
    </w:p>
    <w:p w14:paraId="572AAEFE" w14:textId="517F79C3" w:rsidR="000E6AA3" w:rsidRDefault="004F3141" w:rsidP="008A65DF">
      <w:pPr>
        <w:pStyle w:val="ListParagraph"/>
        <w:keepNext/>
        <w:numPr>
          <w:ilvl w:val="0"/>
          <w:numId w:val="19"/>
        </w:numPr>
      </w:pPr>
      <w:r>
        <w:t xml:space="preserve">For </w:t>
      </w:r>
      <w:r w:rsidR="00BB69D9">
        <w:t xml:space="preserve">large </w:t>
      </w:r>
      <w:r>
        <w:t>providers, w</w:t>
      </w:r>
      <w:r w:rsidR="000E6AA3">
        <w:t>ork</w:t>
      </w:r>
      <w:r w:rsidR="00710845">
        <w:t xml:space="preserve"> and consult</w:t>
      </w:r>
      <w:r w:rsidR="000E6AA3">
        <w:t xml:space="preserve"> with</w:t>
      </w:r>
      <w:r w:rsidR="009322AE">
        <w:t xml:space="preserve"> established networks of</w:t>
      </w:r>
      <w:r w:rsidR="000E6AA3">
        <w:t xml:space="preserve"> consumer advocates</w:t>
      </w:r>
      <w:r w:rsidR="009322AE">
        <w:t xml:space="preserve"> to identify</w:t>
      </w:r>
      <w:r w:rsidR="0057303A">
        <w:t xml:space="preserve"> deficiencies in performance</w:t>
      </w:r>
      <w:r w:rsidR="00496A7A">
        <w:t xml:space="preserve"> in terms of supporting customers</w:t>
      </w:r>
      <w:r w:rsidR="00DE0C65">
        <w:t xml:space="preserve"> experiencing vulnerability</w:t>
      </w:r>
      <w:r w:rsidR="0057303A">
        <w:t xml:space="preserve">. </w:t>
      </w:r>
    </w:p>
    <w:p w14:paraId="76F1B38B" w14:textId="14B8790A" w:rsidR="00921389" w:rsidRDefault="00921389" w:rsidP="008A65DF">
      <w:pPr>
        <w:pStyle w:val="ListParagraph"/>
        <w:keepNext/>
        <w:numPr>
          <w:ilvl w:val="0"/>
          <w:numId w:val="19"/>
        </w:numPr>
      </w:pPr>
      <w:r>
        <w:t>Undertake Vulnerability Impact Assessments for new products and services</w:t>
      </w:r>
      <w:r w:rsidR="006D4A94">
        <w:t>, to understand how a product or service may impact or be used by consumers experiencing vulnerability</w:t>
      </w:r>
      <w:r w:rsidR="00B1671E">
        <w:t>.</w:t>
      </w:r>
      <w:r w:rsidR="00497BFE">
        <w:rPr>
          <w:rStyle w:val="FootnoteReference"/>
        </w:rPr>
        <w:footnoteReference w:id="20"/>
      </w:r>
    </w:p>
    <w:p w14:paraId="7662C7AF" w14:textId="43FC96E4" w:rsidR="00BD5B2D" w:rsidRPr="00F67707" w:rsidRDefault="005A191F" w:rsidP="007B4EA7">
      <w:pPr>
        <w:pStyle w:val="ListParagraph"/>
        <w:numPr>
          <w:ilvl w:val="0"/>
          <w:numId w:val="19"/>
        </w:numPr>
      </w:pPr>
      <w:r>
        <w:t>Develop</w:t>
      </w:r>
      <w:r w:rsidR="00774515">
        <w:t xml:space="preserve"> </w:t>
      </w:r>
      <w:r w:rsidR="007B4EA7">
        <w:t xml:space="preserve">and abide by </w:t>
      </w:r>
      <w:r w:rsidR="00774515">
        <w:t>a Reconciliation Action Plan</w:t>
      </w:r>
      <w:r>
        <w:t xml:space="preserve"> </w:t>
      </w:r>
      <w:r w:rsidR="007B4EA7">
        <w:t xml:space="preserve">and a Disability Action Plan, </w:t>
      </w:r>
      <w:r>
        <w:t xml:space="preserve">and </w:t>
      </w:r>
      <w:r w:rsidR="007B4EA7">
        <w:t xml:space="preserve">make these publicly available. </w:t>
      </w:r>
    </w:p>
    <w:p w14:paraId="6813DB7B" w14:textId="3FD67E8B" w:rsidR="00E34D01" w:rsidRDefault="002136AE" w:rsidP="00050496">
      <w:pPr>
        <w:pStyle w:val="Heading4"/>
      </w:pPr>
      <w:r>
        <w:t xml:space="preserve">Priority </w:t>
      </w:r>
      <w:r w:rsidR="00AF7D9B">
        <w:t xml:space="preserve">area 2: </w:t>
      </w:r>
      <w:r w:rsidR="00E34D01">
        <w:t>Selling and contracting</w:t>
      </w:r>
    </w:p>
    <w:p w14:paraId="4B8644CF" w14:textId="721E90DE" w:rsidR="00AF7D9B" w:rsidRDefault="007778FD" w:rsidP="00AF7D9B">
      <w:r>
        <w:t xml:space="preserve">It is essential </w:t>
      </w:r>
      <w:r w:rsidR="005712A3">
        <w:t xml:space="preserve">that guidance in this section actively discourages </w:t>
      </w:r>
      <w:r w:rsidR="001D0BD6">
        <w:t>poor selling practices</w:t>
      </w:r>
      <w:r w:rsidR="00F84B1D">
        <w:t xml:space="preserve"> and encourages the provision of appropriate</w:t>
      </w:r>
      <w:r w:rsidR="00575534">
        <w:t xml:space="preserve"> products and</w:t>
      </w:r>
      <w:r w:rsidR="00F84B1D">
        <w:t xml:space="preserve"> services for customers experiencing vulnerability</w:t>
      </w:r>
      <w:r w:rsidR="001D0BD6">
        <w:t xml:space="preserve">. </w:t>
      </w:r>
      <w:r w:rsidR="00147503">
        <w:t>A clear outcome should be that</w:t>
      </w:r>
      <w:r w:rsidR="009A2F68">
        <w:t xml:space="preserve"> telcos selling in the mainstream market</w:t>
      </w:r>
      <w:r w:rsidR="00550B11">
        <w:t xml:space="preserve"> should</w:t>
      </w:r>
      <w:r w:rsidR="00147503">
        <w:t xml:space="preserve"> </w:t>
      </w:r>
      <w:r w:rsidR="009A2F68">
        <w:t xml:space="preserve">ensure affordable, </w:t>
      </w:r>
      <w:r w:rsidR="00F84B1D">
        <w:t xml:space="preserve">good-value and </w:t>
      </w:r>
      <w:r w:rsidR="009A2F68">
        <w:t xml:space="preserve">low-cost communications services </w:t>
      </w:r>
      <w:r w:rsidR="00CB62C1">
        <w:t xml:space="preserve">are available and </w:t>
      </w:r>
      <w:r w:rsidR="00E44B19">
        <w:t xml:space="preserve">are </w:t>
      </w:r>
      <w:r w:rsidR="00CB62C1">
        <w:t>advertised</w:t>
      </w:r>
      <w:r w:rsidR="00682D06">
        <w:t xml:space="preserve"> to consumers</w:t>
      </w:r>
      <w:r w:rsidR="00CB62C1">
        <w:t xml:space="preserve">. </w:t>
      </w:r>
    </w:p>
    <w:p w14:paraId="48B5CDB9" w14:textId="67EB5BD3" w:rsidR="00AF7D9B" w:rsidRDefault="00AF7D9B" w:rsidP="00AF7D9B">
      <w:r>
        <w:t>Aside from the outcomes and examples specified</w:t>
      </w:r>
      <w:r w:rsidR="004D2A65" w:rsidRPr="004D2A65">
        <w:t xml:space="preserve"> </w:t>
      </w:r>
      <w:r w:rsidR="004D2A65">
        <w:t>in the SoE</w:t>
      </w:r>
      <w:r>
        <w:t>, telcos should:</w:t>
      </w:r>
    </w:p>
    <w:p w14:paraId="22336A4F" w14:textId="07D6E1E4" w:rsidR="00381CBE" w:rsidRDefault="007474BB" w:rsidP="00381CBE">
      <w:pPr>
        <w:pStyle w:val="ListParagraph"/>
        <w:numPr>
          <w:ilvl w:val="0"/>
          <w:numId w:val="27"/>
        </w:numPr>
      </w:pPr>
      <w:r>
        <w:t>Introduce</w:t>
      </w:r>
      <w:r w:rsidR="00381CBE">
        <w:t xml:space="preserve"> a cooling-off period for </w:t>
      </w:r>
      <w:r w:rsidR="00C865D2">
        <w:t xml:space="preserve">all </w:t>
      </w:r>
      <w:r w:rsidR="00EB68B5">
        <w:t>sales</w:t>
      </w:r>
      <w:r w:rsidR="00C865D2">
        <w:t xml:space="preserve"> of </w:t>
      </w:r>
      <w:r w:rsidR="00E536D5">
        <w:t>post-paid</w:t>
      </w:r>
      <w:r w:rsidR="00EB68B5">
        <w:t xml:space="preserve"> value</w:t>
      </w:r>
      <w:r w:rsidR="004D2A65">
        <w:t>.</w:t>
      </w:r>
    </w:p>
    <w:p w14:paraId="3BF23E39" w14:textId="3750FC06" w:rsidR="003801C4" w:rsidRDefault="003136AA" w:rsidP="003801C4">
      <w:pPr>
        <w:pStyle w:val="ListParagraph"/>
        <w:numPr>
          <w:ilvl w:val="0"/>
          <w:numId w:val="27"/>
        </w:numPr>
      </w:pPr>
      <w:r>
        <w:t>Strongly disincentivise</w:t>
      </w:r>
      <w:r w:rsidR="00F662B6">
        <w:t xml:space="preserve"> and not reward</w:t>
      </w:r>
      <w:r>
        <w:t xml:space="preserve"> </w:t>
      </w:r>
      <w:r w:rsidR="008F411F">
        <w:t xml:space="preserve">inappropriate upselling </w:t>
      </w:r>
      <w:r w:rsidR="004858D0">
        <w:t>and penalise mis-selling</w:t>
      </w:r>
      <w:r w:rsidR="004D2A65">
        <w:t>.</w:t>
      </w:r>
      <w:r w:rsidR="004858D0">
        <w:t xml:space="preserve"> </w:t>
      </w:r>
    </w:p>
    <w:p w14:paraId="48B7FA0A" w14:textId="27A1F330" w:rsidR="003801C4" w:rsidRDefault="003801C4" w:rsidP="003801C4">
      <w:pPr>
        <w:pStyle w:val="ListParagraph"/>
        <w:numPr>
          <w:ilvl w:val="0"/>
          <w:numId w:val="27"/>
        </w:numPr>
      </w:pPr>
      <w:r>
        <w:t xml:space="preserve">Ensure that when interacting </w:t>
      </w:r>
      <w:r w:rsidR="002E40FE">
        <w:t xml:space="preserve">with </w:t>
      </w:r>
      <w:r>
        <w:t>customers</w:t>
      </w:r>
      <w:r w:rsidR="00F84B1D">
        <w:t xml:space="preserve"> in a selling environment, those customers</w:t>
      </w:r>
      <w:r>
        <w:t xml:space="preserve"> are informed </w:t>
      </w:r>
      <w:r w:rsidR="00F84B1D">
        <w:t xml:space="preserve">of low-cost, </w:t>
      </w:r>
      <w:r w:rsidR="00FE4602">
        <w:t>comparable and affordable options</w:t>
      </w:r>
      <w:r w:rsidR="00756E7B">
        <w:t>,</w:t>
      </w:r>
      <w:r w:rsidR="00AA5567">
        <w:t xml:space="preserve"> </w:t>
      </w:r>
      <w:r w:rsidR="00756E7B">
        <w:t>a</w:t>
      </w:r>
      <w:r w:rsidR="00AA5567">
        <w:t xml:space="preserve">nd </w:t>
      </w:r>
      <w:r w:rsidR="00756E7B">
        <w:t xml:space="preserve">are </w:t>
      </w:r>
      <w:r w:rsidR="00AA5567">
        <w:t xml:space="preserve">supported to consider their budget. </w:t>
      </w:r>
    </w:p>
    <w:p w14:paraId="11CE7E71" w14:textId="531EF7D9" w:rsidR="003801C4" w:rsidRDefault="00182924" w:rsidP="003801C4">
      <w:pPr>
        <w:pStyle w:val="ListParagraph"/>
        <w:numPr>
          <w:ilvl w:val="0"/>
          <w:numId w:val="27"/>
        </w:numPr>
      </w:pPr>
      <w:r>
        <w:t>Limit</w:t>
      </w:r>
      <w:r w:rsidR="009C2545">
        <w:t xml:space="preserve"> </w:t>
      </w:r>
      <w:r w:rsidR="00F84B1D">
        <w:t>advertising</w:t>
      </w:r>
      <w:r w:rsidR="003801C4">
        <w:t xml:space="preserve"> </w:t>
      </w:r>
      <w:r w:rsidR="00D23C14">
        <w:t>ad</w:t>
      </w:r>
      <w:r w:rsidR="009C2545">
        <w:t>d</w:t>
      </w:r>
      <w:r w:rsidR="00D23C14">
        <w:t>-ons</w:t>
      </w:r>
      <w:r w:rsidR="009C2545">
        <w:t xml:space="preserve"> and impulse purchases</w:t>
      </w:r>
      <w:r w:rsidR="00F84B1D">
        <w:t xml:space="preserve"> unless specifically requested by the customer – including in online/web sales</w:t>
      </w:r>
      <w:r w:rsidR="002E40FE">
        <w:t>.</w:t>
      </w:r>
      <w:r w:rsidR="00FE4602">
        <w:t xml:space="preserve"> </w:t>
      </w:r>
    </w:p>
    <w:p w14:paraId="624EDA8D" w14:textId="66170FA1" w:rsidR="00C1205E" w:rsidRDefault="00FE4602" w:rsidP="003801C4">
      <w:pPr>
        <w:pStyle w:val="ListParagraph"/>
        <w:numPr>
          <w:ilvl w:val="0"/>
          <w:numId w:val="27"/>
        </w:numPr>
      </w:pPr>
      <w:r>
        <w:t>Identify customers on lower value, more expensive legacy plans and proactively offer to switch them onto more affordable, better value plans</w:t>
      </w:r>
      <w:r w:rsidR="00151EA5">
        <w:t>.</w:t>
      </w:r>
    </w:p>
    <w:p w14:paraId="7B276DFE" w14:textId="56644392" w:rsidR="00FE4602" w:rsidRDefault="00FE4602" w:rsidP="00432ECE">
      <w:pPr>
        <w:pStyle w:val="ListParagraph"/>
        <w:numPr>
          <w:ilvl w:val="0"/>
          <w:numId w:val="19"/>
        </w:numPr>
      </w:pPr>
      <w:r>
        <w:t>For products and services suitable for or targeted at people with disability, ensure that those products and services are co-designed and user-tested</w:t>
      </w:r>
      <w:r w:rsidR="00151EA5">
        <w:t>.</w:t>
      </w:r>
      <w:r>
        <w:t xml:space="preserve"> </w:t>
      </w:r>
    </w:p>
    <w:p w14:paraId="7D5BACCE" w14:textId="5F8120CA" w:rsidR="007D637E" w:rsidRDefault="00B87787" w:rsidP="007D637E">
      <w:pPr>
        <w:pStyle w:val="ListParagraph"/>
        <w:numPr>
          <w:ilvl w:val="0"/>
          <w:numId w:val="19"/>
        </w:numPr>
      </w:pPr>
      <w:r>
        <w:t xml:space="preserve">Ensure </w:t>
      </w:r>
      <w:r w:rsidR="00701442">
        <w:t xml:space="preserve">products are simple and easy to understand, with key terms, costs, and </w:t>
      </w:r>
      <w:r w:rsidR="00182924">
        <w:t>conditions clearly expressed</w:t>
      </w:r>
      <w:r w:rsidR="006E32CC">
        <w:t>.</w:t>
      </w:r>
    </w:p>
    <w:p w14:paraId="37A9DE63" w14:textId="3D1E583E" w:rsidR="00C264A8" w:rsidRDefault="001961B3" w:rsidP="007D637E">
      <w:pPr>
        <w:pStyle w:val="ListParagraph"/>
        <w:numPr>
          <w:ilvl w:val="0"/>
          <w:numId w:val="19"/>
        </w:numPr>
      </w:pPr>
      <w:r>
        <w:t xml:space="preserve">For providers of scale in the mainstream market, provide a </w:t>
      </w:r>
      <w:r w:rsidR="006E3640">
        <w:t xml:space="preserve">basic and affordable fixed-voice plan, and a basic affordable mobile plan with a </w:t>
      </w:r>
      <w:r w:rsidR="00AB1234">
        <w:t>reasonable</w:t>
      </w:r>
      <w:r w:rsidR="006E3640">
        <w:t xml:space="preserve"> amount of data</w:t>
      </w:r>
      <w:r w:rsidR="006E32CC">
        <w:t>.</w:t>
      </w:r>
      <w:r w:rsidR="00453709">
        <w:t xml:space="preserve"> </w:t>
      </w:r>
    </w:p>
    <w:p w14:paraId="4E1076A3" w14:textId="77777777" w:rsidR="002660C7" w:rsidRDefault="00734885" w:rsidP="00432ECE">
      <w:pPr>
        <w:pStyle w:val="ListParagraph"/>
        <w:numPr>
          <w:ilvl w:val="0"/>
          <w:numId w:val="19"/>
        </w:numPr>
      </w:pPr>
      <w:r>
        <w:t xml:space="preserve">Ensure service cancellation is clear and straightforward; </w:t>
      </w:r>
      <w:r w:rsidR="00B41AA7">
        <w:t xml:space="preserve">and </w:t>
      </w:r>
      <w:r>
        <w:t xml:space="preserve">waive cancellation fees </w:t>
      </w:r>
      <w:r w:rsidR="00E865D2">
        <w:t xml:space="preserve">for consumers </w:t>
      </w:r>
      <w:r w:rsidR="00B41AA7">
        <w:t>experiencing vulnerability</w:t>
      </w:r>
      <w:r w:rsidR="00E865D2">
        <w:t xml:space="preserve"> if a p</w:t>
      </w:r>
      <w:r w:rsidR="00494FD6">
        <w:t>roduct</w:t>
      </w:r>
      <w:r w:rsidR="00E865D2">
        <w:t xml:space="preserve"> or service does not end up suiting their circumstance</w:t>
      </w:r>
      <w:r w:rsidR="006E32CC">
        <w:t>.</w:t>
      </w:r>
    </w:p>
    <w:p w14:paraId="549B4FAE" w14:textId="66FB811B" w:rsidR="00494FD6" w:rsidRDefault="002660C7" w:rsidP="00432ECE">
      <w:pPr>
        <w:pStyle w:val="ListParagraph"/>
        <w:numPr>
          <w:ilvl w:val="0"/>
          <w:numId w:val="19"/>
        </w:numPr>
      </w:pPr>
      <w:r>
        <w:t>Use affordability assessment tools to help customers understand the total costs and whether they can afford contracts.</w:t>
      </w:r>
    </w:p>
    <w:p w14:paraId="7778F1F7" w14:textId="4A1A1A84" w:rsidR="00E34D01" w:rsidRDefault="007F2159" w:rsidP="000A1B05">
      <w:pPr>
        <w:pStyle w:val="Heading4"/>
        <w:keepNext/>
      </w:pPr>
      <w:r>
        <w:lastRenderedPageBreak/>
        <w:t xml:space="preserve">Priority area 3: </w:t>
      </w:r>
      <w:r w:rsidR="00E34D01">
        <w:t>Customer service</w:t>
      </w:r>
    </w:p>
    <w:p w14:paraId="25B1539B" w14:textId="7A8DFF28" w:rsidR="006B00A9" w:rsidRDefault="00D873C3" w:rsidP="000A1B05">
      <w:pPr>
        <w:keepNext/>
      </w:pPr>
      <w:r>
        <w:t xml:space="preserve">ACCAN’s primary area of concern in relation to </w:t>
      </w:r>
      <w:r w:rsidR="007F2159">
        <w:t>telcos’ interactions with consumers experiencing vulnerab</w:t>
      </w:r>
      <w:r w:rsidR="00132E19">
        <w:t>ility</w:t>
      </w:r>
      <w:r w:rsidR="007F2159">
        <w:t xml:space="preserve"> is customer service</w:t>
      </w:r>
      <w:r w:rsidR="003140FA">
        <w:t xml:space="preserve"> – particularly in relation to wait times and being contactable, </w:t>
      </w:r>
      <w:r w:rsidR="00444B33">
        <w:t xml:space="preserve">fairness and flexibility. </w:t>
      </w:r>
      <w:r w:rsidR="00744B83">
        <w:t xml:space="preserve">While the examples provided </w:t>
      </w:r>
      <w:r w:rsidR="00793AF8">
        <w:t xml:space="preserve">in the SoE </w:t>
      </w:r>
      <w:r w:rsidR="00744B83">
        <w:t>are sound, w</w:t>
      </w:r>
      <w:r w:rsidR="00BB32C3">
        <w:t>e are</w:t>
      </w:r>
      <w:r w:rsidR="007F7E17">
        <w:t xml:space="preserve"> concerned </w:t>
      </w:r>
      <w:r w:rsidR="00BB32C3">
        <w:t>there is</w:t>
      </w:r>
      <w:r w:rsidR="007F7E17">
        <w:t xml:space="preserve"> </w:t>
      </w:r>
      <w:r w:rsidR="00793AF8">
        <w:t xml:space="preserve">a </w:t>
      </w:r>
      <w:r w:rsidR="00000323">
        <w:t>lack of presc</w:t>
      </w:r>
      <w:r w:rsidR="00BB32C3">
        <w:t>riptiveness and clarity in the outcomes under this priority area</w:t>
      </w:r>
      <w:r w:rsidR="0060584A">
        <w:t xml:space="preserve">, and consider it of the utmost importance that </w:t>
      </w:r>
      <w:r w:rsidR="004506A0">
        <w:t>all telcos are contactable via phone</w:t>
      </w:r>
      <w:r w:rsidR="00B37B92">
        <w:t>.</w:t>
      </w:r>
    </w:p>
    <w:p w14:paraId="63A9505F" w14:textId="131F668E" w:rsidR="00BA2CF4" w:rsidRDefault="00470606" w:rsidP="00CD7139">
      <w:pPr>
        <w:keepNext/>
        <w:keepLines/>
      </w:pPr>
      <w:r>
        <w:t>ACCAN</w:t>
      </w:r>
      <w:r w:rsidR="00BA2CF4">
        <w:t xml:space="preserve"> suggests the following edits to the existing outcomes listed under Priority Area 3:</w:t>
      </w:r>
      <w:r>
        <w:t xml:space="preserve"> </w:t>
      </w:r>
    </w:p>
    <w:p w14:paraId="6529F93A" w14:textId="77777777" w:rsidR="0070140F" w:rsidRDefault="0070140F" w:rsidP="0070140F">
      <w:pPr>
        <w:pStyle w:val="ListParagraph"/>
        <w:keepNext/>
        <w:keepLines/>
        <w:numPr>
          <w:ilvl w:val="0"/>
          <w:numId w:val="28"/>
        </w:numPr>
      </w:pPr>
      <w:r>
        <w:t xml:space="preserve">Design customer service arrangements and communications to be inclusive and accessible to </w:t>
      </w:r>
      <w:r w:rsidRPr="0094412F">
        <w:rPr>
          <w:strike/>
        </w:rPr>
        <w:t>consumers in vulnerable circumstances</w:t>
      </w:r>
      <w:r>
        <w:t xml:space="preserve"> </w:t>
      </w:r>
      <w:r w:rsidRPr="00B37B92">
        <w:rPr>
          <w:i/>
          <w:iCs/>
        </w:rPr>
        <w:t>all consumers</w:t>
      </w:r>
      <w:r>
        <w:t xml:space="preserve">. </w:t>
      </w:r>
    </w:p>
    <w:p w14:paraId="6CA4B4CB" w14:textId="66A99FDE" w:rsidR="00BA2CF4" w:rsidRDefault="0070140F" w:rsidP="00CD7139">
      <w:pPr>
        <w:pStyle w:val="ListParagraph"/>
        <w:keepNext/>
        <w:keepLines/>
        <w:numPr>
          <w:ilvl w:val="0"/>
          <w:numId w:val="28"/>
        </w:numPr>
      </w:pPr>
      <w:r>
        <w:t xml:space="preserve">Train staff to </w:t>
      </w:r>
      <w:r w:rsidRPr="00B26ED4">
        <w:rPr>
          <w:strike/>
        </w:rPr>
        <w:t>facilitate</w:t>
      </w:r>
      <w:r>
        <w:t xml:space="preserve"> </w:t>
      </w:r>
      <w:r w:rsidR="00B26ED4" w:rsidRPr="001C742C">
        <w:rPr>
          <w:i/>
          <w:iCs/>
        </w:rPr>
        <w:t>assist</w:t>
      </w:r>
      <w:r w:rsidR="00B26ED4">
        <w:t xml:space="preserve"> </w:t>
      </w:r>
      <w:r>
        <w:t>consumers</w:t>
      </w:r>
      <w:r w:rsidR="001C742C">
        <w:t xml:space="preserve"> </w:t>
      </w:r>
      <w:r w:rsidR="001C742C" w:rsidRPr="001C742C">
        <w:rPr>
          <w:i/>
          <w:iCs/>
        </w:rPr>
        <w:t>to</w:t>
      </w:r>
      <w:r>
        <w:t xml:space="preserve"> self-identify</w:t>
      </w:r>
      <w:r w:rsidRPr="001C742C">
        <w:rPr>
          <w:strike/>
        </w:rPr>
        <w:t>ing</w:t>
      </w:r>
      <w:r>
        <w:t xml:space="preserve"> as vulnerable, </w:t>
      </w:r>
      <w:r w:rsidRPr="0094412F">
        <w:rPr>
          <w:i/>
          <w:iCs/>
        </w:rPr>
        <w:t>and implement systems to proactively identify customers who may be experiencing vulnerability</w:t>
      </w:r>
      <w:r>
        <w:t>.</w:t>
      </w:r>
    </w:p>
    <w:p w14:paraId="043EE2E1" w14:textId="08BBD064" w:rsidR="00D873C3" w:rsidRDefault="0070140F" w:rsidP="00CD7139">
      <w:pPr>
        <w:keepNext/>
        <w:keepLines/>
      </w:pPr>
      <w:r>
        <w:t xml:space="preserve">Additionally, ACCAN </w:t>
      </w:r>
      <w:r w:rsidR="00470606">
        <w:t>recommends</w:t>
      </w:r>
      <w:r>
        <w:t xml:space="preserve"> adoption of</w:t>
      </w:r>
      <w:r w:rsidR="00470606">
        <w:t xml:space="preserve"> the following outcomes</w:t>
      </w:r>
      <w:r w:rsidR="00D560C4">
        <w:t xml:space="preserve"> and examples</w:t>
      </w:r>
      <w:r w:rsidR="00470606">
        <w:t xml:space="preserve">: </w:t>
      </w:r>
    </w:p>
    <w:p w14:paraId="726F72E2" w14:textId="6C62C589" w:rsidR="000D2875" w:rsidRDefault="00735CE4" w:rsidP="00CD7139">
      <w:pPr>
        <w:pStyle w:val="ListParagraph"/>
        <w:keepNext/>
        <w:keepLines/>
        <w:numPr>
          <w:ilvl w:val="0"/>
          <w:numId w:val="28"/>
        </w:numPr>
      </w:pPr>
      <w:r>
        <w:t>E</w:t>
      </w:r>
      <w:r w:rsidR="00AB6334">
        <w:t xml:space="preserve">nsure customers are able to contact </w:t>
      </w:r>
      <w:r w:rsidR="00B37B92">
        <w:t>telcos</w:t>
      </w:r>
      <w:r w:rsidR="00332366">
        <w:t xml:space="preserve"> in the mainstream market </w:t>
      </w:r>
      <w:r w:rsidR="00B94CAF">
        <w:t>via a variety of channels</w:t>
      </w:r>
      <w:r w:rsidR="001E6FB2">
        <w:t xml:space="preserve">. </w:t>
      </w:r>
      <w:r w:rsidR="00C121F3">
        <w:t xml:space="preserve">It is essential that this </w:t>
      </w:r>
      <w:r w:rsidR="00CD64FB">
        <w:t>includ</w:t>
      </w:r>
      <w:r w:rsidR="001E6FB2">
        <w:t>e</w:t>
      </w:r>
      <w:r w:rsidR="00C121F3">
        <w:t>s</w:t>
      </w:r>
      <w:r w:rsidR="00CD64FB">
        <w:t xml:space="preserve"> via a general </w:t>
      </w:r>
      <w:r w:rsidR="00EC38F3">
        <w:t xml:space="preserve">1800 number </w:t>
      </w:r>
      <w:r w:rsidR="00CD64FB">
        <w:t xml:space="preserve">customer service phoneline that is </w:t>
      </w:r>
      <w:r w:rsidR="00626812">
        <w:t xml:space="preserve">widely advertised and </w:t>
      </w:r>
      <w:r w:rsidR="00CD64FB">
        <w:t xml:space="preserve">staffed </w:t>
      </w:r>
      <w:r w:rsidR="00C121F3">
        <w:t>adequately to reduce wait times</w:t>
      </w:r>
      <w:r w:rsidR="00CF052F">
        <w:t>, with a call-back service when long wait times are unavoidable</w:t>
      </w:r>
      <w:r w:rsidR="00C121F3">
        <w:t>.</w:t>
      </w:r>
    </w:p>
    <w:p w14:paraId="7E594F13" w14:textId="1B9439BC" w:rsidR="002B2C56" w:rsidRDefault="00735CE4" w:rsidP="00CD7139">
      <w:pPr>
        <w:pStyle w:val="ListParagraph"/>
        <w:keepNext/>
        <w:keepLines/>
        <w:numPr>
          <w:ilvl w:val="0"/>
          <w:numId w:val="28"/>
        </w:numPr>
      </w:pPr>
      <w:r>
        <w:t>E</w:t>
      </w:r>
      <w:r w:rsidR="000D2875">
        <w:t>nsure adequate resourcing</w:t>
      </w:r>
      <w:r w:rsidR="00D47E4A">
        <w:t xml:space="preserve"> for all customer service channels</w:t>
      </w:r>
      <w:r w:rsidR="00912E3C">
        <w:t>, all customer inquiries are immediately acknowledged and action</w:t>
      </w:r>
      <w:r w:rsidR="00271CAF">
        <w:t>ed</w:t>
      </w:r>
      <w:r w:rsidR="00912E3C">
        <w:t>,</w:t>
      </w:r>
      <w:r w:rsidR="000D2875">
        <w:t xml:space="preserve"> </w:t>
      </w:r>
      <w:r w:rsidR="00FC579D">
        <w:t>and</w:t>
      </w:r>
      <w:r w:rsidR="00D47E4A">
        <w:t xml:space="preserve"> at least 85% of customer inquiries are resolved within a set</w:t>
      </w:r>
      <w:r w:rsidR="002C7F47">
        <w:t xml:space="preserve">, </w:t>
      </w:r>
      <w:r w:rsidR="00D47E4A">
        <w:t>minimal number of days</w:t>
      </w:r>
      <w:r w:rsidR="001C794D">
        <w:t xml:space="preserve"> – if not, automatically escalate the inquiry as a complaint</w:t>
      </w:r>
      <w:r w:rsidR="00D47E4A">
        <w:t>.</w:t>
      </w:r>
      <w:r w:rsidR="00442880">
        <w:t xml:space="preserve"> </w:t>
      </w:r>
    </w:p>
    <w:p w14:paraId="68BF0D67" w14:textId="74D8599F" w:rsidR="00CD7139" w:rsidRDefault="00DA72F1" w:rsidP="00432ECE">
      <w:pPr>
        <w:pStyle w:val="ListParagraph"/>
        <w:numPr>
          <w:ilvl w:val="0"/>
          <w:numId w:val="18"/>
        </w:numPr>
      </w:pPr>
      <w:r>
        <w:t>Provide adequate trouble-shooting assistance free of charge in all circumstances</w:t>
      </w:r>
      <w:r w:rsidR="00B06326">
        <w:t>.</w:t>
      </w:r>
    </w:p>
    <w:p w14:paraId="255D292F" w14:textId="2AF312B6" w:rsidR="00CD7139" w:rsidRDefault="004F7DD7" w:rsidP="00432ECE">
      <w:pPr>
        <w:pStyle w:val="ListParagraph"/>
        <w:numPr>
          <w:ilvl w:val="0"/>
          <w:numId w:val="18"/>
        </w:numPr>
      </w:pPr>
      <w:r>
        <w:t xml:space="preserve">Minimise and routinely revise </w:t>
      </w:r>
      <w:r w:rsidR="0073304D">
        <w:t>fees</w:t>
      </w:r>
      <w:r>
        <w:t xml:space="preserve"> and charges (for example, contract-break fees and late payment fees)</w:t>
      </w:r>
      <w:r w:rsidR="0073304D">
        <w:t xml:space="preserve"> and demonstr</w:t>
      </w:r>
      <w:r>
        <w:t>ate they are proportionate</w:t>
      </w:r>
      <w:r w:rsidR="006C46F1">
        <w:t xml:space="preserve"> and fair</w:t>
      </w:r>
      <w:r w:rsidR="00B06326">
        <w:t>.</w:t>
      </w:r>
    </w:p>
    <w:p w14:paraId="501194EB" w14:textId="59E4EDCB" w:rsidR="00457344" w:rsidRDefault="00767C8A" w:rsidP="00432ECE">
      <w:pPr>
        <w:pStyle w:val="ListParagraph"/>
        <w:numPr>
          <w:ilvl w:val="0"/>
          <w:numId w:val="18"/>
        </w:numPr>
      </w:pPr>
      <w:r>
        <w:t>Have in place</w:t>
      </w:r>
      <w:r w:rsidR="0082164E">
        <w:t xml:space="preserve"> a </w:t>
      </w:r>
      <w:r w:rsidR="001C794D">
        <w:t>quality</w:t>
      </w:r>
      <w:r w:rsidR="0082164E">
        <w:t>, fair</w:t>
      </w:r>
      <w:r>
        <w:t xml:space="preserve"> and d</w:t>
      </w:r>
      <w:r w:rsidR="005A34B3">
        <w:t>ifferentiate</w:t>
      </w:r>
      <w:r>
        <w:t>d</w:t>
      </w:r>
      <w:r w:rsidR="005A34B3">
        <w:t xml:space="preserve"> </w:t>
      </w:r>
      <w:r w:rsidR="0082164E">
        <w:t xml:space="preserve">process </w:t>
      </w:r>
      <w:r w:rsidR="005A34B3">
        <w:t xml:space="preserve">for </w:t>
      </w:r>
      <w:r w:rsidR="0082164E">
        <w:t>communicating</w:t>
      </w:r>
      <w:r w:rsidR="005A34B3">
        <w:t xml:space="preserve"> with consumers’ third-party </w:t>
      </w:r>
      <w:r>
        <w:t xml:space="preserve">representatives. This </w:t>
      </w:r>
      <w:r w:rsidR="000D3CC7">
        <w:t>should</w:t>
      </w:r>
      <w:r>
        <w:t xml:space="preserve"> </w:t>
      </w:r>
      <w:r w:rsidR="00D70451">
        <w:t xml:space="preserve">include a separate channel and clear referral pathway for dealing with </w:t>
      </w:r>
      <w:r w:rsidR="00C777BA">
        <w:t>consumers represented by a financial counsellor or other consumer advocate</w:t>
      </w:r>
      <w:r w:rsidR="000D3CC7">
        <w:t xml:space="preserve">. </w:t>
      </w:r>
    </w:p>
    <w:p w14:paraId="04DDA33B" w14:textId="27445A80" w:rsidR="00B5556C" w:rsidRDefault="00B5556C" w:rsidP="00432ECE">
      <w:pPr>
        <w:pStyle w:val="ListParagraph"/>
        <w:numPr>
          <w:ilvl w:val="0"/>
          <w:numId w:val="18"/>
        </w:numPr>
      </w:pPr>
      <w:r>
        <w:t xml:space="preserve">Ensure </w:t>
      </w:r>
      <w:r w:rsidR="004C1BFE">
        <w:t xml:space="preserve">all telcos’ websites </w:t>
      </w:r>
      <w:r w:rsidR="00CF052F">
        <w:t xml:space="preserve">and smartphone apps </w:t>
      </w:r>
      <w:r w:rsidR="004C1BFE">
        <w:t xml:space="preserve">are compliant with </w:t>
      </w:r>
      <w:r w:rsidR="000B6EBE">
        <w:t xml:space="preserve">the latest </w:t>
      </w:r>
      <w:r w:rsidR="004C1BFE">
        <w:t>Web Conte</w:t>
      </w:r>
      <w:r w:rsidR="00DB6D4D">
        <w:t>nt</w:t>
      </w:r>
      <w:r w:rsidR="004C1BFE">
        <w:t xml:space="preserve"> Accessibility Guidelines (</w:t>
      </w:r>
      <w:r w:rsidR="004C1BFE" w:rsidRPr="00734E12">
        <w:rPr>
          <w:b/>
          <w:bCs/>
        </w:rPr>
        <w:t>WCAG</w:t>
      </w:r>
      <w:r w:rsidR="004C1BFE">
        <w:t>).</w:t>
      </w:r>
    </w:p>
    <w:p w14:paraId="20C0CDF1" w14:textId="34F0A793" w:rsidR="00BA070B" w:rsidRDefault="00BA070B" w:rsidP="00432ECE">
      <w:pPr>
        <w:pStyle w:val="ListParagraph"/>
        <w:numPr>
          <w:ilvl w:val="0"/>
          <w:numId w:val="18"/>
        </w:numPr>
      </w:pPr>
      <w:r>
        <w:t>Make more than one payment method</w:t>
      </w:r>
      <w:r w:rsidR="00D560C4">
        <w:t xml:space="preserve"> free of charge. </w:t>
      </w:r>
    </w:p>
    <w:p w14:paraId="7D097725" w14:textId="78E5F635" w:rsidR="00F447F2" w:rsidRDefault="00F447F2" w:rsidP="00432ECE">
      <w:pPr>
        <w:pStyle w:val="ListParagraph"/>
        <w:numPr>
          <w:ilvl w:val="0"/>
          <w:numId w:val="18"/>
        </w:numPr>
      </w:pPr>
      <w:r>
        <w:t>Offer a</w:t>
      </w:r>
      <w:r w:rsidR="00773DB8">
        <w:t xml:space="preserve"> priority assistance</w:t>
      </w:r>
      <w:r>
        <w:t xml:space="preserve"> program for customers </w:t>
      </w:r>
      <w:r w:rsidR="00BB19C4">
        <w:t>with</w:t>
      </w:r>
      <w:r w:rsidR="00927167">
        <w:t xml:space="preserve"> serious or life-threatening</w:t>
      </w:r>
      <w:r w:rsidR="00BB19C4">
        <w:t xml:space="preserve"> medical conditions</w:t>
      </w:r>
      <w:r w:rsidR="00773DB8">
        <w:t xml:space="preserve">, </w:t>
      </w:r>
      <w:r w:rsidR="00877CE2">
        <w:t xml:space="preserve">which provides </w:t>
      </w:r>
      <w:r w:rsidR="00B824D1">
        <w:t xml:space="preserve">priority customer service, technical support, and </w:t>
      </w:r>
      <w:r w:rsidR="00C369DC">
        <w:t>connect and fault</w:t>
      </w:r>
      <w:r w:rsidR="00B824D1">
        <w:t xml:space="preserve"> repair</w:t>
      </w:r>
      <w:r w:rsidR="00C369DC">
        <w:t xml:space="preserve"> timeframes</w:t>
      </w:r>
      <w:r w:rsidR="00B824D1">
        <w:t xml:space="preserve">. </w:t>
      </w:r>
    </w:p>
    <w:p w14:paraId="64D5C101" w14:textId="4DD5B356" w:rsidR="00E34D01" w:rsidRDefault="004D75C5" w:rsidP="00050496">
      <w:pPr>
        <w:pStyle w:val="Heading4"/>
      </w:pPr>
      <w:r>
        <w:t xml:space="preserve">Priority area 4: </w:t>
      </w:r>
      <w:r w:rsidR="00E34D01">
        <w:t>Financial hardship</w:t>
      </w:r>
    </w:p>
    <w:p w14:paraId="31737E27" w14:textId="556E7543" w:rsidR="008B6B7B" w:rsidRDefault="00500BD9" w:rsidP="004D75C5">
      <w:r>
        <w:t>ACCAN supports</w:t>
      </w:r>
      <w:r w:rsidR="000F6959">
        <w:t xml:space="preserve"> the </w:t>
      </w:r>
      <w:r w:rsidR="00F04B40">
        <w:t>ACMA’s development of</w:t>
      </w:r>
      <w:r w:rsidR="00C414D1">
        <w:t xml:space="preserve"> </w:t>
      </w:r>
      <w:r w:rsidR="00273A28">
        <w:t>P</w:t>
      </w:r>
      <w:r w:rsidR="00C414D1">
        <w:t xml:space="preserve">riority </w:t>
      </w:r>
      <w:r w:rsidR="00273A28">
        <w:t>A</w:t>
      </w:r>
      <w:r w:rsidR="00C414D1">
        <w:t>rea 4</w:t>
      </w:r>
      <w:r w:rsidR="00F04B40">
        <w:t>; however, outcomes should be re-phrased to ensure they are measurable</w:t>
      </w:r>
      <w:r w:rsidR="00414B07">
        <w:t xml:space="preserve"> and specific</w:t>
      </w:r>
      <w:r w:rsidR="00F04B40">
        <w:t>.</w:t>
      </w:r>
      <w:r w:rsidR="00814E07">
        <w:t xml:space="preserve"> </w:t>
      </w:r>
      <w:r w:rsidR="008B6B7B">
        <w:t>It is</w:t>
      </w:r>
      <w:r w:rsidR="000D4E6C">
        <w:t xml:space="preserve"> essential</w:t>
      </w:r>
      <w:r w:rsidR="000C55A9">
        <w:t xml:space="preserve"> that provisions and guidance surrounding financial hardship practices are robust and fit-for-purpose, given the intersection between payment difficulty and </w:t>
      </w:r>
      <w:r w:rsidR="008B0DE4">
        <w:t xml:space="preserve">other contributors to vulnerability. There is </w:t>
      </w:r>
      <w:r w:rsidR="00BB69D9">
        <w:t xml:space="preserve">a </w:t>
      </w:r>
      <w:r w:rsidR="00A17E28">
        <w:t>significant evidence</w:t>
      </w:r>
      <w:r w:rsidR="00BB69D9">
        <w:t xml:space="preserve"> base</w:t>
      </w:r>
      <w:r w:rsidR="00A17E28">
        <w:t xml:space="preserve"> that current financial hardship responses by many telcos </w:t>
      </w:r>
      <w:r w:rsidR="00BB69D9">
        <w:t xml:space="preserve">have </w:t>
      </w:r>
      <w:r w:rsidR="00A17E28">
        <w:t>fail</w:t>
      </w:r>
      <w:r w:rsidR="00BB69D9">
        <w:t>ed</w:t>
      </w:r>
      <w:r w:rsidR="00A17E28">
        <w:t xml:space="preserve"> to keep </w:t>
      </w:r>
      <w:r w:rsidR="00BB69D9">
        <w:t xml:space="preserve">vulnerable </w:t>
      </w:r>
      <w:r w:rsidR="00A17E28">
        <w:t>customers connected</w:t>
      </w:r>
      <w:r w:rsidR="00BB69D9">
        <w:t>. This is best demonstrated by the</w:t>
      </w:r>
      <w:r w:rsidR="00C36988">
        <w:t xml:space="preserve"> </w:t>
      </w:r>
      <w:r w:rsidR="0027192B">
        <w:t xml:space="preserve">high rates of unsuccessful completion of </w:t>
      </w:r>
      <w:r w:rsidR="0027192B">
        <w:lastRenderedPageBreak/>
        <w:t>financial hardship arrangements.</w:t>
      </w:r>
      <w:r w:rsidR="00B24106">
        <w:rPr>
          <w:rStyle w:val="FootnoteReference"/>
        </w:rPr>
        <w:footnoteReference w:id="21"/>
      </w:r>
      <w:r w:rsidR="0027192B">
        <w:t xml:space="preserve"> </w:t>
      </w:r>
      <w:r w:rsidR="004D1560">
        <w:t xml:space="preserve">One of the most common issues raised with </w:t>
      </w:r>
      <w:r w:rsidR="0027192B">
        <w:t xml:space="preserve">ACCAN by consumers and their advocates </w:t>
      </w:r>
      <w:r w:rsidR="004D1560">
        <w:t>relates to</w:t>
      </w:r>
      <w:r w:rsidR="000E7229">
        <w:t xml:space="preserve"> an</w:t>
      </w:r>
      <w:r w:rsidR="004D1560">
        <w:t xml:space="preserve"> inability to access fair and flexible financial hardship arrangements. </w:t>
      </w:r>
    </w:p>
    <w:p w14:paraId="110AAF98" w14:textId="004689AA" w:rsidR="00BE00E2" w:rsidRDefault="008B0DE4" w:rsidP="004D75C5">
      <w:r>
        <w:t>A</w:t>
      </w:r>
      <w:r w:rsidR="005B312A">
        <w:t xml:space="preserve">CCAN </w:t>
      </w:r>
      <w:r w:rsidR="00814E07">
        <w:t xml:space="preserve">offers the following suggestions for </w:t>
      </w:r>
      <w:r>
        <w:t xml:space="preserve">financial hardship </w:t>
      </w:r>
      <w:r w:rsidR="00814E07">
        <w:t>outcomes</w:t>
      </w:r>
      <w:r>
        <w:t xml:space="preserve"> and examples</w:t>
      </w:r>
      <w:r w:rsidR="00495E62">
        <w:t xml:space="preserve">, incorporating key findings from the TIO’s Financial Hardship Systemic </w:t>
      </w:r>
      <w:r w:rsidR="001F5C0E">
        <w:t>Investigation</w:t>
      </w:r>
      <w:r w:rsidR="00495E62">
        <w:t xml:space="preserve"> Report</w:t>
      </w:r>
      <w:r w:rsidR="005F79A8">
        <w:t xml:space="preserve">: </w:t>
      </w:r>
      <w:r w:rsidR="00495E62">
        <w:rPr>
          <w:rStyle w:val="FootnoteReference"/>
        </w:rPr>
        <w:footnoteReference w:id="22"/>
      </w:r>
      <w:r w:rsidR="00BE00E2">
        <w:t xml:space="preserve"> </w:t>
      </w:r>
    </w:p>
    <w:p w14:paraId="582CF011" w14:textId="01A03C83" w:rsidR="00C2041A" w:rsidRDefault="00E9697C" w:rsidP="000859EE">
      <w:pPr>
        <w:pStyle w:val="ListParagraph"/>
        <w:numPr>
          <w:ilvl w:val="0"/>
          <w:numId w:val="18"/>
        </w:numPr>
      </w:pPr>
      <w:r>
        <w:t>Publicly advertise</w:t>
      </w:r>
      <w:r w:rsidR="00800667">
        <w:t xml:space="preserve"> </w:t>
      </w:r>
      <w:r w:rsidR="00E3040B">
        <w:t>all</w:t>
      </w:r>
      <w:r>
        <w:t xml:space="preserve"> </w:t>
      </w:r>
      <w:r w:rsidR="008F7E01">
        <w:t>financial hardship options</w:t>
      </w:r>
      <w:r w:rsidR="00814E07">
        <w:t xml:space="preserve"> on offer</w:t>
      </w:r>
      <w:r w:rsidR="00927167">
        <w:t xml:space="preserve"> </w:t>
      </w:r>
      <w:r w:rsidR="00800667">
        <w:t>and explain these to customers inquiring about financial hardship arrangements</w:t>
      </w:r>
      <w:r w:rsidR="008B0068">
        <w:t>.</w:t>
      </w:r>
      <w:r w:rsidR="00814E07">
        <w:t xml:space="preserve"> </w:t>
      </w:r>
    </w:p>
    <w:p w14:paraId="7201C350" w14:textId="3CC6140D" w:rsidR="00CE46E7" w:rsidRDefault="00800667" w:rsidP="00CE46E7">
      <w:pPr>
        <w:pStyle w:val="ListParagraph"/>
        <w:numPr>
          <w:ilvl w:val="0"/>
          <w:numId w:val="18"/>
        </w:numPr>
      </w:pPr>
      <w:r>
        <w:t xml:space="preserve">Ensure </w:t>
      </w:r>
      <w:r w:rsidR="00CE46E7">
        <w:t>ICT</w:t>
      </w:r>
      <w:r>
        <w:t xml:space="preserve"> processes</w:t>
      </w:r>
      <w:r w:rsidR="002412C7">
        <w:t xml:space="preserve"> and systems</w:t>
      </w:r>
      <w:r>
        <w:t xml:space="preserve"> allow for </w:t>
      </w:r>
      <w:r w:rsidR="00BB41DD">
        <w:t xml:space="preserve">consistent </w:t>
      </w:r>
      <w:r w:rsidR="004F6E11">
        <w:t>data</w:t>
      </w:r>
      <w:r w:rsidR="00CE46E7">
        <w:t xml:space="preserve"> and record-keeping related to customers in financial hardship. This should </w:t>
      </w:r>
      <w:r w:rsidR="005C3EE9">
        <w:t>be quantified data that can be</w:t>
      </w:r>
      <w:r w:rsidR="00BB41DD">
        <w:t xml:space="preserve"> exported to assist the ACMA’s financial hardship reporting</w:t>
      </w:r>
      <w:r w:rsidR="004F6E11">
        <w:t>.</w:t>
      </w:r>
    </w:p>
    <w:p w14:paraId="2EB935FD" w14:textId="0CABB381" w:rsidR="00CE46E7" w:rsidRDefault="00D81F74" w:rsidP="000859EE">
      <w:pPr>
        <w:pStyle w:val="ListParagraph"/>
        <w:numPr>
          <w:ilvl w:val="0"/>
          <w:numId w:val="18"/>
        </w:numPr>
      </w:pPr>
      <w:r>
        <w:t>For</w:t>
      </w:r>
      <w:r w:rsidR="0073177F">
        <w:t xml:space="preserve"> </w:t>
      </w:r>
      <w:r w:rsidR="00BB69D9">
        <w:t>large providers</w:t>
      </w:r>
      <w:r>
        <w:t xml:space="preserve">, </w:t>
      </w:r>
      <w:r w:rsidR="00DE1E79">
        <w:t>establish</w:t>
      </w:r>
      <w:r w:rsidR="002412C7">
        <w:t xml:space="preserve"> </w:t>
      </w:r>
      <w:r w:rsidR="009832FE">
        <w:t>and advertise</w:t>
      </w:r>
      <w:r w:rsidR="002412C7">
        <w:t xml:space="preserve"> simple</w:t>
      </w:r>
      <w:r w:rsidR="009832FE">
        <w:t xml:space="preserve"> </w:t>
      </w:r>
      <w:r>
        <w:t>low-income measures and voucher programs delivered via community organisations,</w:t>
      </w:r>
      <w:r w:rsidR="002412C7">
        <w:t xml:space="preserve"> and undertake outreach to invite organisations</w:t>
      </w:r>
      <w:r w:rsidR="003E7528">
        <w:t xml:space="preserve"> to participate</w:t>
      </w:r>
      <w:r w:rsidR="002412C7">
        <w:t>.</w:t>
      </w:r>
      <w:r w:rsidR="009832FE">
        <w:t xml:space="preserve"> </w:t>
      </w:r>
    </w:p>
    <w:p w14:paraId="6B069AE7" w14:textId="4AF23B61" w:rsidR="00DE1E79" w:rsidRDefault="00257A78" w:rsidP="000859EE">
      <w:pPr>
        <w:pStyle w:val="ListParagraph"/>
        <w:numPr>
          <w:ilvl w:val="0"/>
          <w:numId w:val="18"/>
        </w:numPr>
      </w:pPr>
      <w:r>
        <w:t>Provide</w:t>
      </w:r>
      <w:r w:rsidR="00541F34">
        <w:t xml:space="preserve"> clear and easily understandable</w:t>
      </w:r>
      <w:r>
        <w:t xml:space="preserve"> details of financial hardship arrangements </w:t>
      </w:r>
      <w:r w:rsidR="00C81A1B">
        <w:t xml:space="preserve">in </w:t>
      </w:r>
      <w:r w:rsidR="00613C38">
        <w:t>writing</w:t>
      </w:r>
      <w:r w:rsidR="00C81A1B">
        <w:t xml:space="preserve"> direct</w:t>
      </w:r>
      <w:r w:rsidR="003E7528">
        <w:t>ly</w:t>
      </w:r>
      <w:r w:rsidR="00C81A1B">
        <w:t xml:space="preserve"> to consumers</w:t>
      </w:r>
      <w:r w:rsidR="003E7528">
        <w:t>.</w:t>
      </w:r>
    </w:p>
    <w:p w14:paraId="04DDC8D9" w14:textId="31E5CF70" w:rsidR="00C81A1B" w:rsidRDefault="0032284E" w:rsidP="000859EE">
      <w:pPr>
        <w:pStyle w:val="ListParagraph"/>
        <w:numPr>
          <w:ilvl w:val="0"/>
          <w:numId w:val="18"/>
        </w:numPr>
      </w:pPr>
      <w:r>
        <w:t xml:space="preserve">Prioritise </w:t>
      </w:r>
      <w:r w:rsidR="003E7528">
        <w:t>the</w:t>
      </w:r>
      <w:r>
        <w:t xml:space="preserve"> use of incentives or reward-based financial hardship arrangements, for example payment matching or credit in exchan</w:t>
      </w:r>
      <w:r w:rsidR="00084394">
        <w:t>g</w:t>
      </w:r>
      <w:r>
        <w:t>e for payments made</w:t>
      </w:r>
      <w:r w:rsidR="00E64E86">
        <w:t xml:space="preserve"> by consumers</w:t>
      </w:r>
      <w:r w:rsidR="003E7528">
        <w:t>.</w:t>
      </w:r>
    </w:p>
    <w:p w14:paraId="2935107C" w14:textId="391DE4C4" w:rsidR="00D915C9" w:rsidRDefault="0032284E" w:rsidP="00432ECE">
      <w:pPr>
        <w:pStyle w:val="ListParagraph"/>
        <w:numPr>
          <w:ilvl w:val="0"/>
          <w:numId w:val="18"/>
        </w:numPr>
      </w:pPr>
      <w:r>
        <w:t xml:space="preserve">Ensure </w:t>
      </w:r>
      <w:r w:rsidR="00233013">
        <w:t xml:space="preserve">consumers in </w:t>
      </w:r>
      <w:r>
        <w:t xml:space="preserve">financial hardship </w:t>
      </w:r>
      <w:r w:rsidR="00233013">
        <w:t xml:space="preserve">arrangements </w:t>
      </w:r>
      <w:r>
        <w:t>have access to dedicated and specialised customer service</w:t>
      </w:r>
      <w:r w:rsidR="00084394">
        <w:t xml:space="preserve"> that provide</w:t>
      </w:r>
      <w:r w:rsidR="00233013">
        <w:t>s</w:t>
      </w:r>
      <w:r w:rsidR="00084394">
        <w:t xml:space="preserve"> timely assistance. </w:t>
      </w:r>
    </w:p>
    <w:p w14:paraId="3BAAE355" w14:textId="33908DC4" w:rsidR="00084394" w:rsidRDefault="00737EB7" w:rsidP="00432ECE">
      <w:pPr>
        <w:pStyle w:val="ListParagraph"/>
        <w:numPr>
          <w:ilvl w:val="0"/>
          <w:numId w:val="18"/>
        </w:numPr>
      </w:pPr>
      <w:r>
        <w:t xml:space="preserve">For mainstream providers of scale, join and invest in cross-sector financial hardship initiatives such as Thriving </w:t>
      </w:r>
      <w:r w:rsidR="00E55C02">
        <w:t>Communities</w:t>
      </w:r>
      <w:r>
        <w:t xml:space="preserve"> Partnership</w:t>
      </w:r>
      <w:r w:rsidR="00E55C02">
        <w:t>’s One Stop One Story Hub.</w:t>
      </w:r>
      <w:r w:rsidR="00E55C02">
        <w:rPr>
          <w:rStyle w:val="FootnoteReference"/>
        </w:rPr>
        <w:footnoteReference w:id="23"/>
      </w:r>
      <w:r w:rsidR="00E55C02">
        <w:t xml:space="preserve"> </w:t>
      </w:r>
    </w:p>
    <w:p w14:paraId="68309E4E" w14:textId="77777777" w:rsidR="009F45C8" w:rsidRDefault="009F45C8" w:rsidP="009F45C8">
      <w:r>
        <w:t xml:space="preserve">Proactive financial hardship supports that do not rely on a consumer self-identifying vulnerability include: </w:t>
      </w:r>
    </w:p>
    <w:p w14:paraId="2C360AB3" w14:textId="40B7FDD9" w:rsidR="009F45C8" w:rsidRDefault="00987FE8" w:rsidP="009F45C8">
      <w:pPr>
        <w:pStyle w:val="ListParagraph"/>
        <w:numPr>
          <w:ilvl w:val="0"/>
          <w:numId w:val="29"/>
        </w:numPr>
      </w:pPr>
      <w:r>
        <w:t xml:space="preserve">In discussion with </w:t>
      </w:r>
      <w:r w:rsidR="00613D6D">
        <w:t xml:space="preserve">the customer, </w:t>
      </w:r>
      <w:r w:rsidR="00EF1490">
        <w:t>a</w:t>
      </w:r>
      <w:r w:rsidR="009F45C8">
        <w:t xml:space="preserve">ctively </w:t>
      </w:r>
      <w:r w:rsidR="002E157E">
        <w:t xml:space="preserve">propose </w:t>
      </w:r>
      <w:r w:rsidR="009F45C8">
        <w:t>what fees, charges and non-essential add-ons can be removed</w:t>
      </w:r>
      <w:r w:rsidR="00A10D18">
        <w:t xml:space="preserve"> from the </w:t>
      </w:r>
      <w:r w:rsidR="0083501D">
        <w:t>account</w:t>
      </w:r>
      <w:r w:rsidR="00A10D18">
        <w:t>.</w:t>
      </w:r>
      <w:r w:rsidR="009F45C8">
        <w:t xml:space="preserve"> </w:t>
      </w:r>
    </w:p>
    <w:p w14:paraId="39366081" w14:textId="77777777" w:rsidR="00CB36CA" w:rsidRDefault="009F45C8" w:rsidP="009F45C8">
      <w:pPr>
        <w:pStyle w:val="ListParagraph"/>
        <w:numPr>
          <w:ilvl w:val="0"/>
          <w:numId w:val="29"/>
        </w:numPr>
      </w:pPr>
      <w:r>
        <w:t xml:space="preserve">Make sure that payment instalments for payment plans are fair and realistic; for example, </w:t>
      </w:r>
      <w:r w:rsidR="00931D80">
        <w:t xml:space="preserve">that they </w:t>
      </w:r>
      <w:r>
        <w:t xml:space="preserve">make up no more than 5% of the consumer’s weekly income. </w:t>
      </w:r>
    </w:p>
    <w:p w14:paraId="3045523D" w14:textId="31AC4741" w:rsidR="009F45C8" w:rsidRDefault="009F45C8" w:rsidP="009F45C8">
      <w:pPr>
        <w:pStyle w:val="ListParagraph"/>
        <w:numPr>
          <w:ilvl w:val="0"/>
          <w:numId w:val="29"/>
        </w:numPr>
      </w:pPr>
      <w:r>
        <w:t>Do not unilaterally impose repayment plan payment amounts or make them a condition of qualifying for a financial hardship arrangement.</w:t>
      </w:r>
    </w:p>
    <w:p w14:paraId="5A3D5B03" w14:textId="53D132C7" w:rsidR="0074616C" w:rsidRDefault="0074616C" w:rsidP="0074616C">
      <w:pPr>
        <w:pStyle w:val="ListParagraph"/>
        <w:numPr>
          <w:ilvl w:val="0"/>
          <w:numId w:val="29"/>
        </w:numPr>
      </w:pPr>
      <w:r>
        <w:t xml:space="preserve">Implement </w:t>
      </w:r>
      <w:r w:rsidR="00BB69D9">
        <w:t xml:space="preserve">automated assisted </w:t>
      </w:r>
      <w:r w:rsidR="005313E0">
        <w:t>decision-making</w:t>
      </w:r>
      <w:r w:rsidR="00BB69D9">
        <w:t xml:space="preserve"> software where appropriate and with adequate</w:t>
      </w:r>
      <w:r w:rsidR="00066C11">
        <w:t xml:space="preserve"> human</w:t>
      </w:r>
      <w:r w:rsidR="00BB69D9">
        <w:t xml:space="preserve"> oversight to help</w:t>
      </w:r>
      <w:r w:rsidR="00BD2BF7">
        <w:t xml:space="preserve"> identify consumers </w:t>
      </w:r>
      <w:r w:rsidR="009C28DE">
        <w:t>experiencing vulnerability</w:t>
      </w:r>
      <w:r w:rsidR="00BB69D9">
        <w:t xml:space="preserve">. An example </w:t>
      </w:r>
      <w:r w:rsidR="005313E0">
        <w:t>would be using</w:t>
      </w:r>
      <w:r w:rsidR="00714341">
        <w:t xml:space="preserve"> natural</w:t>
      </w:r>
      <w:r w:rsidR="0073177F">
        <w:t xml:space="preserve"> </w:t>
      </w:r>
      <w:r w:rsidR="005313E0">
        <w:t>language processing</w:t>
      </w:r>
      <w:r w:rsidR="0073177F">
        <w:t xml:space="preserve"> </w:t>
      </w:r>
      <w:r w:rsidR="00E85848">
        <w:t>(</w:t>
      </w:r>
      <w:r w:rsidR="00E85848" w:rsidRPr="0073177F">
        <w:rPr>
          <w:b/>
          <w:bCs/>
        </w:rPr>
        <w:t>NLP</w:t>
      </w:r>
      <w:r w:rsidR="00E85848">
        <w:t>)</w:t>
      </w:r>
      <w:r w:rsidR="0073177F">
        <w:t xml:space="preserve"> </w:t>
      </w:r>
      <w:r w:rsidR="005313E0">
        <w:t xml:space="preserve">software </w:t>
      </w:r>
      <w:r>
        <w:t>for the identification of relevant key words in customer communications that would automatically flag a customer as potentially experiencing payment difficulty.</w:t>
      </w:r>
      <w:r w:rsidR="00C36988">
        <w:t xml:space="preserve"> </w:t>
      </w:r>
      <w:r w:rsidR="005313E0">
        <w:t>This would then need to be addressed appropriately in conversation with the customer.</w:t>
      </w:r>
    </w:p>
    <w:p w14:paraId="08B20BAD" w14:textId="7B08F276" w:rsidR="007F1415" w:rsidRDefault="007F1415" w:rsidP="009F45C8">
      <w:pPr>
        <w:pStyle w:val="ListParagraph"/>
        <w:numPr>
          <w:ilvl w:val="0"/>
          <w:numId w:val="29"/>
        </w:numPr>
      </w:pPr>
      <w:r>
        <w:t xml:space="preserve">Proactively assess the cause of </w:t>
      </w:r>
      <w:r w:rsidR="007400A6">
        <w:t>a prolonged</w:t>
      </w:r>
      <w:r>
        <w:t xml:space="preserve"> debt </w:t>
      </w:r>
      <w:r w:rsidR="007400A6">
        <w:t xml:space="preserve">over a certain amount (for example, $100) </w:t>
      </w:r>
      <w:r>
        <w:t>to understand the reason for non-payment</w:t>
      </w:r>
      <w:r w:rsidR="001A7BB3">
        <w:t>.</w:t>
      </w:r>
    </w:p>
    <w:p w14:paraId="4CB42903" w14:textId="3D73F3B1" w:rsidR="00E9697C" w:rsidRDefault="00E9697C" w:rsidP="00E9697C">
      <w:pPr>
        <w:pStyle w:val="ListParagraph"/>
        <w:numPr>
          <w:ilvl w:val="0"/>
          <w:numId w:val="18"/>
        </w:numPr>
      </w:pPr>
      <w:r>
        <w:t xml:space="preserve">Implement systems where a debt over a certain amount, or a debt that is held for over a certain time period, automatically triggers a response </w:t>
      </w:r>
      <w:r w:rsidR="0083501D">
        <w:t>f</w:t>
      </w:r>
      <w:r>
        <w:t>rom a specialised hardship team</w:t>
      </w:r>
      <w:r w:rsidR="00B34419">
        <w:t>.</w:t>
      </w:r>
    </w:p>
    <w:p w14:paraId="6217577A" w14:textId="69B7ADEE" w:rsidR="009F45C8" w:rsidRPr="00F67707" w:rsidRDefault="001472E2" w:rsidP="000859EE">
      <w:pPr>
        <w:pStyle w:val="ListParagraph"/>
        <w:numPr>
          <w:ilvl w:val="0"/>
          <w:numId w:val="18"/>
        </w:numPr>
      </w:pPr>
      <w:r w:rsidRPr="00EE6580">
        <w:t>Allow customers to nominate a spend limit for any service on their account if they wish</w:t>
      </w:r>
      <w:r>
        <w:t xml:space="preserve">. For </w:t>
      </w:r>
      <w:r w:rsidRPr="00EE6580">
        <w:t xml:space="preserve">example, the customer </w:t>
      </w:r>
      <w:r>
        <w:t xml:space="preserve">could nominate a spend limit of $100 per month, which would </w:t>
      </w:r>
      <w:r>
        <w:lastRenderedPageBreak/>
        <w:t>preclude them from signing up for a service above this amount unless they withdraw the spend</w:t>
      </w:r>
      <w:r w:rsidR="006338A8">
        <w:t xml:space="preserve"> </w:t>
      </w:r>
      <w:r>
        <w:t xml:space="preserve">limit. </w:t>
      </w:r>
    </w:p>
    <w:p w14:paraId="1C8812F2" w14:textId="6D98E5E7" w:rsidR="00E34D01" w:rsidRDefault="00880604" w:rsidP="000A1B05">
      <w:pPr>
        <w:pStyle w:val="Heading4"/>
        <w:keepNext/>
      </w:pPr>
      <w:r>
        <w:t xml:space="preserve">Priority area 5: </w:t>
      </w:r>
      <w:r w:rsidR="00E34D01">
        <w:t>Disconnection</w:t>
      </w:r>
    </w:p>
    <w:p w14:paraId="1AEF3BB9" w14:textId="6686D6FB" w:rsidR="00E000E5" w:rsidRDefault="00095C49" w:rsidP="000A1B05">
      <w:pPr>
        <w:keepNext/>
      </w:pPr>
      <w:r>
        <w:t xml:space="preserve">As </w:t>
      </w:r>
      <w:r w:rsidR="006D3AD7">
        <w:t xml:space="preserve">highlighted on page </w:t>
      </w:r>
      <w:r w:rsidR="00434F0C" w:rsidRPr="00F6117B">
        <w:t>12</w:t>
      </w:r>
      <w:r w:rsidR="006D3AD7">
        <w:t>, ACCAN re</w:t>
      </w:r>
      <w:r w:rsidR="00532839">
        <w:t xml:space="preserve">commends that </w:t>
      </w:r>
      <w:r w:rsidR="001F5611">
        <w:t xml:space="preserve">Priority </w:t>
      </w:r>
      <w:r w:rsidR="00434F0C">
        <w:t>A</w:t>
      </w:r>
      <w:r w:rsidR="001F5611">
        <w:t xml:space="preserve">rea 5 is expanded to incorporate guidance related to </w:t>
      </w:r>
      <w:r w:rsidR="007A231D">
        <w:t>credit and debt management.</w:t>
      </w:r>
      <w:r w:rsidR="000066A0">
        <w:t xml:space="preserve"> </w:t>
      </w:r>
    </w:p>
    <w:p w14:paraId="2B1229C0" w14:textId="3554454E" w:rsidR="000B0391" w:rsidRDefault="0025631D" w:rsidP="004B55BA">
      <w:pPr>
        <w:keepNext/>
        <w:keepLines/>
      </w:pPr>
      <w:r>
        <w:t>T</w:t>
      </w:r>
      <w:r w:rsidR="000B0391">
        <w:t>he outcomes</w:t>
      </w:r>
      <w:r w:rsidR="00F62D49">
        <w:t xml:space="preserve"> and examples</w:t>
      </w:r>
      <w:r w:rsidR="000B0391">
        <w:t xml:space="preserve"> </w:t>
      </w:r>
      <w:r>
        <w:t xml:space="preserve">under Priority </w:t>
      </w:r>
      <w:r w:rsidR="00273A28">
        <w:t>A</w:t>
      </w:r>
      <w:r>
        <w:t xml:space="preserve">rea 5 do not match the specified goal: the goal </w:t>
      </w:r>
      <w:r w:rsidR="00F62D49">
        <w:t>is that ‘</w:t>
      </w:r>
      <w:r w:rsidR="00E000E5">
        <w:t>d</w:t>
      </w:r>
      <w:r w:rsidR="00F62D49">
        <w:t xml:space="preserve">isconnection is a last resort and only undertaken after consultation with the affected consumer or as part of an agreed financial hardship arrangement’. However, the </w:t>
      </w:r>
      <w:r w:rsidR="0056153E">
        <w:t>outcomes state that telcos should ‘</w:t>
      </w:r>
      <w:r w:rsidR="00FF47FE">
        <w:t>minimise the number of consumers disconnected while in a financial hardship arrangement or within 12 months of exiting a financial hardship arrangement’. ACCAN has two concerns with this:</w:t>
      </w:r>
    </w:p>
    <w:p w14:paraId="2E31065B" w14:textId="7CF39F38" w:rsidR="00FF47FE" w:rsidRDefault="00FF47FE" w:rsidP="004B55BA">
      <w:pPr>
        <w:pStyle w:val="ListParagraph"/>
        <w:keepNext/>
        <w:keepLines/>
        <w:numPr>
          <w:ilvl w:val="0"/>
          <w:numId w:val="30"/>
        </w:numPr>
      </w:pPr>
      <w:r>
        <w:t xml:space="preserve">It is </w:t>
      </w:r>
      <w:r w:rsidR="00CA64A6">
        <w:t>incompatible with</w:t>
      </w:r>
      <w:r>
        <w:t xml:space="preserve"> the TCP Code for customers in financial hardship to be disconnected, as disconnection is a form of credit management that </w:t>
      </w:r>
      <w:r w:rsidR="00B42AB6">
        <w:t>must be suspended while</w:t>
      </w:r>
      <w:r>
        <w:t xml:space="preserve"> a financial hardship arrangement</w:t>
      </w:r>
      <w:r w:rsidR="00B42AB6">
        <w:t xml:space="preserve"> is being discussed or is in place</w:t>
      </w:r>
      <w:r>
        <w:t>.</w:t>
      </w:r>
      <w:r w:rsidR="00E000E5">
        <w:rPr>
          <w:rStyle w:val="FootnoteReference"/>
        </w:rPr>
        <w:footnoteReference w:id="24"/>
      </w:r>
      <w:r>
        <w:t xml:space="preserve"> </w:t>
      </w:r>
    </w:p>
    <w:p w14:paraId="7D9E78BF" w14:textId="0476E165" w:rsidR="000066A0" w:rsidRDefault="000066A0" w:rsidP="004B55BA">
      <w:pPr>
        <w:pStyle w:val="ListParagraph"/>
        <w:keepNext/>
        <w:keepLines/>
        <w:numPr>
          <w:ilvl w:val="0"/>
          <w:numId w:val="30"/>
        </w:numPr>
      </w:pPr>
      <w:r>
        <w:t xml:space="preserve">Use of the phrase ‘minimise’ is ambiguous and non-auditable. </w:t>
      </w:r>
    </w:p>
    <w:p w14:paraId="497B2C02" w14:textId="1E294296" w:rsidR="00B72048" w:rsidRPr="00F67707" w:rsidRDefault="000066A0" w:rsidP="00C51396">
      <w:r>
        <w:t>ACCAN’s view is that disconnection should only be undertaken with the customer’s express</w:t>
      </w:r>
      <w:r w:rsidR="003B3B17">
        <w:t>ed</w:t>
      </w:r>
      <w:r>
        <w:t xml:space="preserve"> consent; this is due to the essentiality and public interest status of communications services.</w:t>
      </w:r>
      <w:r w:rsidR="009B3B90">
        <w:t xml:space="preserve"> </w:t>
      </w:r>
      <w:r w:rsidR="009C4A62">
        <w:t xml:space="preserve">Furthermore, </w:t>
      </w:r>
      <w:r w:rsidR="009B3B90">
        <w:t xml:space="preserve">ACCAN is aware that some providers will prohibit a </w:t>
      </w:r>
      <w:r w:rsidR="00F47D7B">
        <w:t>previous</w:t>
      </w:r>
      <w:r w:rsidR="00164658">
        <w:t xml:space="preserve">ly disconnected </w:t>
      </w:r>
      <w:r w:rsidR="00F47D7B">
        <w:t>customer from re-contracting any kind of service after being disconnected</w:t>
      </w:r>
      <w:r w:rsidR="00164658">
        <w:t xml:space="preserve"> due to non-payment</w:t>
      </w:r>
      <w:r w:rsidR="00F47D7B">
        <w:t xml:space="preserve">, including </w:t>
      </w:r>
      <w:r w:rsidR="00C06ED7">
        <w:t xml:space="preserve">a service of lower value with less credit risk. Priority </w:t>
      </w:r>
      <w:r w:rsidR="00273A28">
        <w:t>A</w:t>
      </w:r>
      <w:r w:rsidR="00C06ED7">
        <w:t xml:space="preserve">rea 5 should emphasise that customers </w:t>
      </w:r>
      <w:r w:rsidR="00E258B0">
        <w:t xml:space="preserve">experiencing vulnerability </w:t>
      </w:r>
      <w:r w:rsidR="00BD7EA8">
        <w:t xml:space="preserve">must </w:t>
      </w:r>
      <w:r w:rsidR="00C06ED7">
        <w:t xml:space="preserve">not be </w:t>
      </w:r>
      <w:r w:rsidR="000614C3">
        <w:t xml:space="preserve">barred from contracting new services if they </w:t>
      </w:r>
      <w:r w:rsidR="00BD7EA8">
        <w:t xml:space="preserve">have </w:t>
      </w:r>
      <w:r w:rsidR="000614C3">
        <w:t xml:space="preserve">previously </w:t>
      </w:r>
      <w:r w:rsidR="00BD7EA8">
        <w:t xml:space="preserve">been </w:t>
      </w:r>
      <w:r w:rsidR="000614C3">
        <w:t>disconnected.</w:t>
      </w:r>
    </w:p>
    <w:sectPr w:rsidR="00B72048" w:rsidRPr="00F67707" w:rsidSect="00A13B9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6177" w14:textId="77777777" w:rsidR="00E2790C" w:rsidRDefault="00E2790C" w:rsidP="00884AF1">
      <w:r>
        <w:separator/>
      </w:r>
    </w:p>
  </w:endnote>
  <w:endnote w:type="continuationSeparator" w:id="0">
    <w:p w14:paraId="19B92FA9" w14:textId="77777777" w:rsidR="00E2790C" w:rsidRDefault="00E2790C" w:rsidP="00884AF1">
      <w:r>
        <w:continuationSeparator/>
      </w:r>
    </w:p>
  </w:endnote>
  <w:endnote w:type="continuationNotice" w:id="1">
    <w:p w14:paraId="195FC1A6" w14:textId="77777777" w:rsidR="00E2790C" w:rsidRDefault="00E279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E857" w14:textId="77777777" w:rsidR="00311AE6" w:rsidRDefault="0031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08E7" w14:textId="77777777" w:rsidR="00543003" w:rsidRDefault="00543003" w:rsidP="00884AF1">
    <w:pPr>
      <w:rPr>
        <w:noProof/>
      </w:rPr>
    </w:pPr>
    <w:r w:rsidRPr="00E05115">
      <w:t>www.accan.org.au | info@accan.org.au | twitter: @ACCAN_AU</w:t>
    </w:r>
    <w: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0FCD5FD6" w14:textId="77777777" w:rsidR="00543003" w:rsidRPr="000F58CC" w:rsidRDefault="00543003" w:rsidP="00884A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6173" w14:textId="77777777" w:rsidR="00543003" w:rsidRDefault="00543003" w:rsidP="00A13B92">
    <w:pPr>
      <w:pStyle w:val="Footerpage1"/>
    </w:pPr>
    <w:r w:rsidRPr="004A0B0A">
      <w:rPr>
        <w:color w:val="44C8F5"/>
      </w:rPr>
      <w:t>Australian Communications Consumer Action Network (ACCAN)</w:t>
    </w:r>
  </w:p>
  <w:p w14:paraId="71125683" w14:textId="77777777" w:rsidR="00543003" w:rsidRDefault="00543003" w:rsidP="00A13B92">
    <w:pPr>
      <w:pStyle w:val="Footerpage1"/>
      <w:rPr>
        <w:i/>
      </w:rPr>
    </w:pPr>
    <w:r w:rsidRPr="004A0B0A">
      <w:rPr>
        <w:i/>
        <w:color w:val="44C8F5"/>
      </w:rPr>
      <w:t>Australia’s peak telecommunications consumer organisation</w:t>
    </w:r>
  </w:p>
  <w:p w14:paraId="53C597EE" w14:textId="77777777" w:rsidR="0001618E" w:rsidRPr="00026E5B" w:rsidRDefault="00543003" w:rsidP="0001618E">
    <w:pPr>
      <w:pStyle w:val="Footerpage1"/>
      <w:ind w:right="-1440"/>
      <w:rPr>
        <w:i/>
      </w:rPr>
    </w:pPr>
    <w:r w:rsidRPr="008E763A">
      <w:rPr>
        <w:noProof/>
        <w:lang w:eastAsia="en-AU"/>
      </w:rPr>
      <mc:AlternateContent>
        <mc:Choice Requires="wps">
          <w:drawing>
            <wp:inline distT="0" distB="0" distL="0" distR="0" wp14:anchorId="1EE6BAB9" wp14:editId="1495FAD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w:pict>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23b0e6" strokeweight="3pt" from="0,0" to="527.55pt,0" w14:anchorId="14A86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w10:anchorlock/>
            </v:line>
          </w:pict>
        </mc:Fallback>
      </mc:AlternateContent>
    </w:r>
  </w:p>
  <w:p w14:paraId="5E6260A6" w14:textId="553AB971" w:rsidR="0001618E" w:rsidRPr="00026E5B" w:rsidRDefault="0001618E" w:rsidP="0001618E">
    <w:pPr>
      <w:pStyle w:val="Footerpage1"/>
    </w:pPr>
    <w:r>
      <w:t xml:space="preserve"> </w:t>
    </w:r>
    <w:r w:rsidRPr="00026E5B">
      <w:t xml:space="preserve">PO Box </w:t>
    </w:r>
    <w:r>
      <w:t>A1158</w:t>
    </w:r>
    <w:r w:rsidRPr="00026E5B">
      <w:t xml:space="preserve">, </w:t>
    </w:r>
    <w:r>
      <w:t>Sydney South</w:t>
    </w:r>
    <w:r w:rsidRPr="00026E5B">
      <w:t xml:space="preserve"> NSW </w:t>
    </w:r>
    <w:r>
      <w:t>1235</w:t>
    </w:r>
  </w:p>
  <w:p w14:paraId="7F229C50" w14:textId="48E90383" w:rsidR="0001618E" w:rsidRPr="00026E5B" w:rsidRDefault="0001618E" w:rsidP="0001618E">
    <w:pPr>
      <w:pStyle w:val="Footerpage1"/>
      <w:rPr>
        <w:color w:val="00B0F0"/>
      </w:rPr>
    </w:pPr>
    <w:r>
      <w:t xml:space="preserve"> </w:t>
    </w:r>
    <w:r w:rsidRPr="00026E5B">
      <w:t xml:space="preserve">Tel: (02) 9288 4000 </w:t>
    </w:r>
  </w:p>
  <w:p w14:paraId="07D452FA" w14:textId="6DD3AB5C" w:rsidR="00543003" w:rsidRDefault="00543003" w:rsidP="0001618E">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6386" w14:textId="77777777" w:rsidR="00E2790C" w:rsidRDefault="00E2790C" w:rsidP="00884AF1">
      <w:r>
        <w:separator/>
      </w:r>
    </w:p>
  </w:footnote>
  <w:footnote w:type="continuationSeparator" w:id="0">
    <w:p w14:paraId="592322A6" w14:textId="77777777" w:rsidR="00E2790C" w:rsidRDefault="00E2790C" w:rsidP="00884AF1">
      <w:r>
        <w:continuationSeparator/>
      </w:r>
    </w:p>
  </w:footnote>
  <w:footnote w:type="continuationNotice" w:id="1">
    <w:p w14:paraId="5D771113" w14:textId="77777777" w:rsidR="00E2790C" w:rsidRDefault="00E2790C">
      <w:pPr>
        <w:spacing w:before="0" w:after="0"/>
      </w:pPr>
    </w:p>
  </w:footnote>
  <w:footnote w:id="2">
    <w:p w14:paraId="5F3CDF7B" w14:textId="212F974E" w:rsidR="00EC2608" w:rsidRDefault="00EC2608">
      <w:pPr>
        <w:pStyle w:val="FootnoteText"/>
      </w:pPr>
      <w:r>
        <w:rPr>
          <w:rStyle w:val="FootnoteReference"/>
        </w:rPr>
        <w:footnoteRef/>
      </w:r>
      <w:r>
        <w:t xml:space="preserve"> </w:t>
      </w:r>
      <w:r w:rsidR="00E837DC">
        <w:t>ACMA 20</w:t>
      </w:r>
      <w:r w:rsidR="00966975">
        <w:t xml:space="preserve">21, </w:t>
      </w:r>
      <w:r w:rsidR="001848E9">
        <w:t>Consumer vulnerability: expectations for the telecommunications industry – draft for consultation</w:t>
      </w:r>
      <w:r w:rsidR="00966975">
        <w:t>, p</w:t>
      </w:r>
      <w:r w:rsidR="001566E1">
        <w:t xml:space="preserve">. </w:t>
      </w:r>
      <w:r w:rsidR="00966975">
        <w:t xml:space="preserve">3, </w:t>
      </w:r>
      <w:hyperlink r:id="rId1" w:history="1">
        <w:r w:rsidR="00535C9B" w:rsidRPr="00EE2197">
          <w:rPr>
            <w:rStyle w:val="Hyperlink"/>
          </w:rPr>
          <w:t>https://www.acma.gov.au/sites/default/files/2021-07/Consumer%20vulnerability_consultation%20paper.pdf</w:t>
        </w:r>
      </w:hyperlink>
      <w:r w:rsidR="00535C9B">
        <w:t xml:space="preserve"> </w:t>
      </w:r>
    </w:p>
  </w:footnote>
  <w:footnote w:id="3">
    <w:p w14:paraId="7D8CFCCF" w14:textId="133D3F39" w:rsidR="00EA02D0" w:rsidRPr="00EA02D0" w:rsidRDefault="00EA02D0">
      <w:pPr>
        <w:pStyle w:val="FootnoteText"/>
        <w:rPr>
          <w:lang w:val="en-US"/>
        </w:rPr>
      </w:pPr>
      <w:r>
        <w:rPr>
          <w:rStyle w:val="FootnoteReference"/>
        </w:rPr>
        <w:footnoteRef/>
      </w:r>
      <w:r>
        <w:t xml:space="preserve"> ACCAN 2020, </w:t>
      </w:r>
      <w:r w:rsidRPr="00EA02D0">
        <w:rPr>
          <w:i/>
          <w:iCs/>
        </w:rPr>
        <w:t>ACCAN response to Consumer Safeguards Review Part C / Choice and Fairness</w:t>
      </w:r>
      <w:r>
        <w:t xml:space="preserve">, </w:t>
      </w:r>
      <w:hyperlink r:id="rId2" w:history="1">
        <w:r w:rsidRPr="00762CF7">
          <w:rPr>
            <w:rStyle w:val="Hyperlink"/>
          </w:rPr>
          <w:t>https://accan.org.au/files/Submissions/2020/ACCAN%20Submission%20to%20Consumer%20Safeguards%20Review%20Part%20C%20V.1.1.pdf</w:t>
        </w:r>
      </w:hyperlink>
      <w:r>
        <w:t xml:space="preserve"> </w:t>
      </w:r>
    </w:p>
  </w:footnote>
  <w:footnote w:id="4">
    <w:p w14:paraId="18790AD5" w14:textId="41B5C274" w:rsidR="00F715BC" w:rsidRPr="00F715BC" w:rsidRDefault="00F715BC">
      <w:pPr>
        <w:pStyle w:val="FootnoteText"/>
        <w:rPr>
          <w:lang w:val="en-US"/>
        </w:rPr>
      </w:pPr>
      <w:r>
        <w:rPr>
          <w:rStyle w:val="FootnoteReference"/>
        </w:rPr>
        <w:footnoteRef/>
      </w:r>
      <w:r>
        <w:t xml:space="preserve"> Australian Broadband Advisory Council 2020, </w:t>
      </w:r>
      <w:r w:rsidR="006955E3" w:rsidRPr="006955E3">
        <w:rPr>
          <w:i/>
          <w:iCs/>
        </w:rPr>
        <w:t>Riding the Digital Wave: Report on COVID-19 Trends and Forward Work Program</w:t>
      </w:r>
      <w:r w:rsidR="006955E3">
        <w:t>,</w:t>
      </w:r>
      <w:r>
        <w:t xml:space="preserve"> </w:t>
      </w:r>
      <w:hyperlink r:id="rId3" w:history="1">
        <w:r w:rsidR="006955E3" w:rsidRPr="00762CF7">
          <w:rPr>
            <w:rStyle w:val="Hyperlink"/>
          </w:rPr>
          <w:t>https://www.communications.gov.au/what-we-do/internet/australian-broadband-advisory-council-reports</w:t>
        </w:r>
      </w:hyperlink>
      <w:r w:rsidR="006955E3">
        <w:t xml:space="preserve"> </w:t>
      </w:r>
    </w:p>
  </w:footnote>
  <w:footnote w:id="5">
    <w:p w14:paraId="1A549FAD" w14:textId="5713A16B" w:rsidR="00777ACD" w:rsidRPr="00777ACD" w:rsidRDefault="00777ACD">
      <w:pPr>
        <w:pStyle w:val="FootnoteText"/>
        <w:rPr>
          <w:lang w:val="en-US"/>
        </w:rPr>
      </w:pPr>
      <w:r>
        <w:rPr>
          <w:rStyle w:val="FootnoteReference"/>
        </w:rPr>
        <w:footnoteRef/>
      </w:r>
      <w:r>
        <w:t xml:space="preserve"> Deloitte Access Economics 2015, </w:t>
      </w:r>
      <w:r w:rsidRPr="00777ACD">
        <w:rPr>
          <w:i/>
          <w:iCs/>
        </w:rPr>
        <w:t>Digital Government Transformation</w:t>
      </w:r>
      <w:r>
        <w:t xml:space="preserve">, </w:t>
      </w:r>
      <w:hyperlink r:id="rId4" w:history="1">
        <w:r w:rsidRPr="00762CF7">
          <w:rPr>
            <w:rStyle w:val="Hyperlink"/>
          </w:rPr>
          <w:t>https://www2.deloitte.com/content/dam/Deloitte/au/Documents/Economics/deloitte-au-economics-digital-governmenttransformation-230715.pdf</w:t>
        </w:r>
      </w:hyperlink>
      <w:r>
        <w:t xml:space="preserve"> </w:t>
      </w:r>
    </w:p>
  </w:footnote>
  <w:footnote w:id="6">
    <w:p w14:paraId="6D85E5B0" w14:textId="29C455F7" w:rsidR="00B629B9" w:rsidRPr="00B629B9" w:rsidRDefault="00B629B9">
      <w:pPr>
        <w:pStyle w:val="FootnoteText"/>
        <w:rPr>
          <w:lang w:val="en-US"/>
        </w:rPr>
      </w:pPr>
      <w:r>
        <w:rPr>
          <w:rStyle w:val="FootnoteReference"/>
        </w:rPr>
        <w:footnoteRef/>
      </w:r>
      <w:r>
        <w:t xml:space="preserve"> The Energy Charter 2019, </w:t>
      </w:r>
      <w:r w:rsidRPr="00B629B9">
        <w:rPr>
          <w:i/>
          <w:iCs/>
        </w:rPr>
        <w:t>The Energy Charter</w:t>
      </w:r>
      <w:r>
        <w:t xml:space="preserve">, </w:t>
      </w:r>
      <w:hyperlink r:id="rId5" w:history="1">
        <w:r w:rsidRPr="00762CF7">
          <w:rPr>
            <w:rStyle w:val="Hyperlink"/>
          </w:rPr>
          <w:t>https://www.theenergycharter.com.au/wp-content/uploads/2019/04/TheCharter_20190328.pdf</w:t>
        </w:r>
      </w:hyperlink>
      <w:r>
        <w:t xml:space="preserve"> </w:t>
      </w:r>
    </w:p>
  </w:footnote>
  <w:footnote w:id="7">
    <w:p w14:paraId="587B5782" w14:textId="2EF7F9BA" w:rsidR="00272C40" w:rsidRPr="00272C40" w:rsidRDefault="00272C40">
      <w:pPr>
        <w:pStyle w:val="FootnoteText"/>
        <w:rPr>
          <w:lang w:val="en-US"/>
        </w:rPr>
      </w:pPr>
      <w:r>
        <w:rPr>
          <w:rStyle w:val="FootnoteReference"/>
        </w:rPr>
        <w:footnoteRef/>
      </w:r>
      <w:r w:rsidR="005170C3">
        <w:t xml:space="preserve"> </w:t>
      </w:r>
      <w:r w:rsidR="005170C3" w:rsidRPr="005170C3">
        <w:t>George, M, Graham, C</w:t>
      </w:r>
      <w:r w:rsidR="005170C3">
        <w:t xml:space="preserve"> &amp; </w:t>
      </w:r>
      <w:r w:rsidR="005170C3" w:rsidRPr="005170C3">
        <w:t>Lennard, L</w:t>
      </w:r>
      <w:r w:rsidR="005170C3">
        <w:t xml:space="preserve"> </w:t>
      </w:r>
      <w:r w:rsidR="005170C3" w:rsidRPr="005170C3">
        <w:t>2016</w:t>
      </w:r>
      <w:r w:rsidR="005170C3">
        <w:t xml:space="preserve">, </w:t>
      </w:r>
      <w:r w:rsidR="005170C3" w:rsidRPr="00E751FA">
        <w:rPr>
          <w:i/>
          <w:iCs/>
        </w:rPr>
        <w:t>Consumer Vulnerability – Mainstream, not Marginal</w:t>
      </w:r>
      <w:r w:rsidR="005170C3" w:rsidRPr="005170C3">
        <w:t>, Centre for Consumers and Essential Services</w:t>
      </w:r>
      <w:r w:rsidR="00E751FA">
        <w:t xml:space="preserve">, </w:t>
      </w:r>
      <w:r w:rsidR="00E751FA" w:rsidRPr="00E751FA">
        <w:t>Centre for Consumer and Essential Services</w:t>
      </w:r>
      <w:r w:rsidR="00E751FA">
        <w:t>,</w:t>
      </w:r>
      <w:r>
        <w:t xml:space="preserve"> </w:t>
      </w:r>
      <w:hyperlink r:id="rId6" w:history="1">
        <w:r w:rsidRPr="00762CF7">
          <w:rPr>
            <w:rStyle w:val="Hyperlink"/>
          </w:rPr>
          <w:t>https://leicester.figshare.com/ndownloader/files/18253028</w:t>
        </w:r>
      </w:hyperlink>
      <w:r>
        <w:t xml:space="preserve"> </w:t>
      </w:r>
    </w:p>
  </w:footnote>
  <w:footnote w:id="8">
    <w:p w14:paraId="016607C8" w14:textId="3866E3F3" w:rsidR="00101CB0" w:rsidRDefault="00101CB0">
      <w:pPr>
        <w:pStyle w:val="FootnoteText"/>
      </w:pPr>
      <w:r>
        <w:rPr>
          <w:rStyle w:val="FootnoteReference"/>
        </w:rPr>
        <w:footnoteRef/>
      </w:r>
      <w:r>
        <w:t xml:space="preserve"> ACMA 2021 op cit., pp</w:t>
      </w:r>
      <w:r w:rsidR="00C966F9">
        <w:t xml:space="preserve">. </w:t>
      </w:r>
      <w:r w:rsidR="006E66FB">
        <w:t>9-11.</w:t>
      </w:r>
    </w:p>
  </w:footnote>
  <w:footnote w:id="9">
    <w:p w14:paraId="10E071EB" w14:textId="77777777" w:rsidR="00506025" w:rsidRPr="003103E6" w:rsidRDefault="00506025" w:rsidP="00506025">
      <w:pPr>
        <w:pStyle w:val="FootnoteText"/>
        <w:rPr>
          <w:lang w:val="en-US"/>
        </w:rPr>
      </w:pPr>
      <w:r>
        <w:rPr>
          <w:rStyle w:val="FootnoteReference"/>
        </w:rPr>
        <w:footnoteRef/>
      </w:r>
      <w:r>
        <w:t xml:space="preserve"> Telecommunications Industry Ombudsman 2020, </w:t>
      </w:r>
      <w:r w:rsidRPr="003103E6">
        <w:rPr>
          <w:i/>
          <w:iCs/>
        </w:rPr>
        <w:t>TIO Annual Report 2019-2020</w:t>
      </w:r>
      <w:r>
        <w:t xml:space="preserve">, </w:t>
      </w:r>
      <w:hyperlink r:id="rId7" w:history="1">
        <w:r w:rsidRPr="00762CF7">
          <w:rPr>
            <w:rStyle w:val="Hyperlink"/>
          </w:rPr>
          <w:t>https://www.tio.com.au/sites/default/files/2020-09/TIO%20AR2019-20_High-Res.pdf</w:t>
        </w:r>
      </w:hyperlink>
      <w:r>
        <w:t xml:space="preserve"> </w:t>
      </w:r>
    </w:p>
  </w:footnote>
  <w:footnote w:id="10">
    <w:p w14:paraId="6F341179" w14:textId="77777777" w:rsidR="008013A0" w:rsidRDefault="008013A0">
      <w:pPr>
        <w:pStyle w:val="FootnoteText"/>
        <w:rPr>
          <w:lang w:val="en-US"/>
        </w:rPr>
      </w:pPr>
      <w:r>
        <w:rPr>
          <w:rStyle w:val="FootnoteReference"/>
        </w:rPr>
        <w:footnoteRef/>
      </w:r>
      <w:r>
        <w:t xml:space="preserve"> </w:t>
      </w:r>
      <w:r>
        <w:rPr>
          <w:lang w:val="en-US"/>
        </w:rPr>
        <w:t>More detail telecommunications market failure can be found in ACCAN’s submission to Consumer Safeguards Review Part C / Choice and Fairness.</w:t>
      </w:r>
    </w:p>
    <w:p w14:paraId="0E3F04EE" w14:textId="3B8F3AC8" w:rsidR="008013A0" w:rsidRPr="008013A0" w:rsidRDefault="008013A0">
      <w:pPr>
        <w:pStyle w:val="FootnoteText"/>
        <w:rPr>
          <w:lang w:val="en-US"/>
        </w:rPr>
      </w:pPr>
      <w:r>
        <w:rPr>
          <w:lang w:val="en-US"/>
        </w:rPr>
        <w:t xml:space="preserve">ACCAN 2020, </w:t>
      </w:r>
      <w:r>
        <w:t xml:space="preserve">ACCAN 2020, </w:t>
      </w:r>
      <w:r w:rsidRPr="00EA02D0">
        <w:rPr>
          <w:i/>
          <w:iCs/>
        </w:rPr>
        <w:t>ACCAN response to Consumer Safeguards Review Part C / Choice and Fairness</w:t>
      </w:r>
      <w:r>
        <w:t xml:space="preserve">, </w:t>
      </w:r>
      <w:hyperlink r:id="rId8" w:history="1">
        <w:r w:rsidRPr="00762CF7">
          <w:rPr>
            <w:rStyle w:val="Hyperlink"/>
          </w:rPr>
          <w:t>https://accan.org.au/files/Submissions/2020/ACCAN%20Submission%20to%20Consumer%20Safeguards%20Review%20Part%20C%20V.1.1.pdf</w:t>
        </w:r>
      </w:hyperlink>
    </w:p>
  </w:footnote>
  <w:footnote w:id="11">
    <w:p w14:paraId="5A815E20" w14:textId="09A68C68" w:rsidR="005A765D" w:rsidRPr="007B474A" w:rsidRDefault="005A765D">
      <w:pPr>
        <w:pStyle w:val="FootnoteText"/>
        <w:rPr>
          <w:lang w:val="en-US"/>
        </w:rPr>
      </w:pPr>
      <w:r>
        <w:rPr>
          <w:rStyle w:val="FootnoteReference"/>
        </w:rPr>
        <w:footnoteRef/>
      </w:r>
      <w:r>
        <w:t xml:space="preserve"> </w:t>
      </w:r>
      <w:r w:rsidR="00ED5BE9">
        <w:t xml:space="preserve">Telecommunications Industry Ombudsman 2021, </w:t>
      </w:r>
      <w:r w:rsidR="00ED5BE9" w:rsidRPr="0063271A">
        <w:rPr>
          <w:i/>
          <w:iCs/>
        </w:rPr>
        <w:t xml:space="preserve">Responding to </w:t>
      </w:r>
      <w:r w:rsidR="00ED5BE9">
        <w:rPr>
          <w:i/>
          <w:iCs/>
        </w:rPr>
        <w:t>C</w:t>
      </w:r>
      <w:r w:rsidR="00ED5BE9" w:rsidRPr="0063271A">
        <w:rPr>
          <w:i/>
          <w:iCs/>
        </w:rPr>
        <w:t xml:space="preserve">onsumers in </w:t>
      </w:r>
      <w:r w:rsidR="00ED5BE9">
        <w:rPr>
          <w:i/>
          <w:iCs/>
        </w:rPr>
        <w:t>F</w:t>
      </w:r>
      <w:r w:rsidR="00ED5BE9" w:rsidRPr="0063271A">
        <w:rPr>
          <w:i/>
          <w:iCs/>
        </w:rPr>
        <w:t xml:space="preserve">inancial </w:t>
      </w:r>
      <w:r w:rsidR="00ED5BE9">
        <w:rPr>
          <w:i/>
          <w:iCs/>
        </w:rPr>
        <w:t>H</w:t>
      </w:r>
      <w:r w:rsidR="00ED5BE9" w:rsidRPr="0063271A">
        <w:rPr>
          <w:i/>
          <w:iCs/>
        </w:rPr>
        <w:t>ardship Systemic Investigation Report, September 2021</w:t>
      </w:r>
      <w:r w:rsidR="00ED5BE9">
        <w:t xml:space="preserve">, </w:t>
      </w:r>
      <w:hyperlink r:id="rId9" w:history="1">
        <w:r w:rsidR="00ED5BE9" w:rsidRPr="004764C1">
          <w:rPr>
            <w:rStyle w:val="Hyperlink"/>
          </w:rPr>
          <w:t>https://www.tio.com.au/sites/default/files/2021-08/TIO_Systemic_Report_Responding%20to%20Consumers%20in%20Financial%20Hardship_fa_HiRes%20%28f1%29.pdf</w:t>
        </w:r>
      </w:hyperlink>
    </w:p>
  </w:footnote>
  <w:footnote w:id="12">
    <w:p w14:paraId="7F12D16E" w14:textId="17433B05" w:rsidR="0069229A" w:rsidRPr="007B474A" w:rsidRDefault="0069229A">
      <w:pPr>
        <w:pStyle w:val="FootnoteText"/>
        <w:rPr>
          <w:lang w:val="en-US"/>
        </w:rPr>
      </w:pPr>
      <w:r>
        <w:rPr>
          <w:rStyle w:val="FootnoteReference"/>
        </w:rPr>
        <w:footnoteRef/>
      </w:r>
      <w:r>
        <w:t xml:space="preserve"> Telecommunications Industry Ombudsman 2021, </w:t>
      </w:r>
      <w:r w:rsidR="009F7A02" w:rsidRPr="0016130D">
        <w:rPr>
          <w:i/>
          <w:iCs/>
        </w:rPr>
        <w:t>Helping telco consumers sign up to the right phone and internet products</w:t>
      </w:r>
      <w:r w:rsidR="009F7A02">
        <w:t>,</w:t>
      </w:r>
      <w:r>
        <w:t xml:space="preserve"> </w:t>
      </w:r>
      <w:hyperlink r:id="rId10" w:history="1">
        <w:r w:rsidR="007B474A" w:rsidRPr="00EE2197">
          <w:rPr>
            <w:rStyle w:val="Hyperlink"/>
          </w:rPr>
          <w:t>https://www.tio.com.au/sites/default/files/2021-05/TIO%20Systemic%20Report_Helping%20Telco%20Consumers%20sign%20up%20to%20the%20right_fa_HiRes.pdf</w:t>
        </w:r>
      </w:hyperlink>
      <w:r w:rsidR="007B474A">
        <w:t xml:space="preserve"> </w:t>
      </w:r>
    </w:p>
  </w:footnote>
  <w:footnote w:id="13">
    <w:p w14:paraId="700FFF94" w14:textId="577DF2DA" w:rsidR="00ED5BE9" w:rsidRPr="007B474A" w:rsidRDefault="00ED5BE9">
      <w:pPr>
        <w:pStyle w:val="FootnoteText"/>
        <w:rPr>
          <w:lang w:val="en-US"/>
        </w:rPr>
      </w:pPr>
      <w:r>
        <w:rPr>
          <w:rStyle w:val="FootnoteReference"/>
        </w:rPr>
        <w:footnoteRef/>
      </w:r>
      <w:r>
        <w:t xml:space="preserve"> Australian Communications and Media Authority 2021, </w:t>
      </w:r>
      <w:r w:rsidRPr="00EC5002">
        <w:rPr>
          <w:i/>
          <w:iCs/>
        </w:rPr>
        <w:t xml:space="preserve">Customer </w:t>
      </w:r>
      <w:r>
        <w:rPr>
          <w:i/>
          <w:iCs/>
        </w:rPr>
        <w:t>F</w:t>
      </w:r>
      <w:r w:rsidRPr="00EC5002">
        <w:rPr>
          <w:i/>
          <w:iCs/>
        </w:rPr>
        <w:t xml:space="preserve">inancial </w:t>
      </w:r>
      <w:r>
        <w:rPr>
          <w:i/>
          <w:iCs/>
        </w:rPr>
        <w:t>H</w:t>
      </w:r>
      <w:r w:rsidRPr="00EC5002">
        <w:rPr>
          <w:i/>
          <w:iCs/>
        </w:rPr>
        <w:t xml:space="preserve">ardship in the </w:t>
      </w:r>
      <w:r>
        <w:rPr>
          <w:i/>
          <w:iCs/>
        </w:rPr>
        <w:t>T</w:t>
      </w:r>
      <w:r w:rsidRPr="00EC5002">
        <w:rPr>
          <w:i/>
          <w:iCs/>
        </w:rPr>
        <w:t xml:space="preserve">elco </w:t>
      </w:r>
      <w:r>
        <w:rPr>
          <w:i/>
          <w:iCs/>
        </w:rPr>
        <w:t>I</w:t>
      </w:r>
      <w:r w:rsidRPr="00EC5002">
        <w:rPr>
          <w:i/>
          <w:iCs/>
        </w:rPr>
        <w:t xml:space="preserve">ndustry: State of </w:t>
      </w:r>
      <w:r>
        <w:rPr>
          <w:i/>
          <w:iCs/>
        </w:rPr>
        <w:t>P</w:t>
      </w:r>
      <w:r w:rsidRPr="00EC5002">
        <w:rPr>
          <w:i/>
          <w:iCs/>
        </w:rPr>
        <w:t>lay report 2019–20</w:t>
      </w:r>
      <w:r>
        <w:t xml:space="preserve">, </w:t>
      </w:r>
      <w:hyperlink r:id="rId11" w:history="1">
        <w:r w:rsidRPr="009C6BF6">
          <w:rPr>
            <w:rStyle w:val="Hyperlink"/>
          </w:rPr>
          <w:t>https://www.acma.gov.au/publications/2021-02/report/customer-financial-hardship-telco-industry-state-play-report-2019-20</w:t>
        </w:r>
      </w:hyperlink>
      <w:r>
        <w:rPr>
          <w:rStyle w:val="Hyperlink"/>
        </w:rPr>
        <w:t xml:space="preserve"> </w:t>
      </w:r>
    </w:p>
  </w:footnote>
  <w:footnote w:id="14">
    <w:p w14:paraId="0CE1D9AA" w14:textId="33F5D495" w:rsidR="00BF425D" w:rsidRPr="00BF425D" w:rsidRDefault="00BF425D">
      <w:pPr>
        <w:pStyle w:val="FootnoteText"/>
        <w:rPr>
          <w:lang w:val="en-US"/>
        </w:rPr>
      </w:pPr>
      <w:r>
        <w:rPr>
          <w:rStyle w:val="FootnoteReference"/>
        </w:rPr>
        <w:footnoteRef/>
      </w:r>
      <w:r>
        <w:t xml:space="preserve"> Ofcom 2020, </w:t>
      </w:r>
      <w:r w:rsidRPr="00BF425D">
        <w:rPr>
          <w:i/>
          <w:iCs/>
        </w:rPr>
        <w:t xml:space="preserve">Treating Vulnerable Customers Fairly: A guide for phone, broadband and </w:t>
      </w:r>
      <w:proofErr w:type="spellStart"/>
      <w:r w:rsidRPr="00BF425D">
        <w:rPr>
          <w:i/>
          <w:iCs/>
        </w:rPr>
        <w:t>pay-TV</w:t>
      </w:r>
      <w:proofErr w:type="spellEnd"/>
      <w:r w:rsidRPr="00BF425D">
        <w:rPr>
          <w:i/>
          <w:iCs/>
        </w:rPr>
        <w:t xml:space="preserve"> providers</w:t>
      </w:r>
      <w:r>
        <w:t xml:space="preserve">, </w:t>
      </w:r>
      <w:hyperlink r:id="rId12" w:history="1">
        <w:r w:rsidRPr="00762CF7">
          <w:rPr>
            <w:rStyle w:val="Hyperlink"/>
          </w:rPr>
          <w:t>https://www.ofcom.org.uk/__data/assets/pdf_file/0034/198763/treating-vulnerable-customer-fairly-guide.pdf</w:t>
        </w:r>
      </w:hyperlink>
      <w:r>
        <w:t xml:space="preserve"> </w:t>
      </w:r>
    </w:p>
  </w:footnote>
  <w:footnote w:id="15">
    <w:p w14:paraId="5E6B859B" w14:textId="5D83AC86" w:rsidR="005A5A15" w:rsidRPr="005A5A15" w:rsidRDefault="005A5A15">
      <w:pPr>
        <w:pStyle w:val="FootnoteText"/>
        <w:rPr>
          <w:lang w:val="en-US"/>
        </w:rPr>
      </w:pPr>
      <w:r>
        <w:rPr>
          <w:rStyle w:val="FootnoteReference"/>
        </w:rPr>
        <w:footnoteRef/>
      </w:r>
      <w:r>
        <w:t xml:space="preserve"> </w:t>
      </w:r>
      <w:r w:rsidR="006E35E2">
        <w:t>The Energy Charter 2019, o</w:t>
      </w:r>
      <w:r>
        <w:t>p</w:t>
      </w:r>
      <w:r w:rsidR="006E35E2">
        <w:t>.</w:t>
      </w:r>
      <w:r>
        <w:t xml:space="preserve"> c</w:t>
      </w:r>
      <w:r w:rsidR="006E35E2">
        <w:t>it.</w:t>
      </w:r>
    </w:p>
  </w:footnote>
  <w:footnote w:id="16">
    <w:p w14:paraId="11B6EF31" w14:textId="7251D874" w:rsidR="00296596" w:rsidRPr="00296596" w:rsidRDefault="00296596">
      <w:pPr>
        <w:pStyle w:val="FootnoteText"/>
        <w:rPr>
          <w:lang w:val="en-US"/>
        </w:rPr>
      </w:pPr>
      <w:r>
        <w:rPr>
          <w:rStyle w:val="FootnoteReference"/>
        </w:rPr>
        <w:footnoteRef/>
      </w:r>
      <w:r>
        <w:t xml:space="preserve"> </w:t>
      </w:r>
      <w:r>
        <w:rPr>
          <w:lang w:val="en-US"/>
        </w:rPr>
        <w:t xml:space="preserve">O’Neill, E 2020, </w:t>
      </w:r>
      <w:r w:rsidR="009643F1" w:rsidRPr="00D92F8B">
        <w:rPr>
          <w:i/>
          <w:iCs/>
        </w:rPr>
        <w:t xml:space="preserve">Exploring </w:t>
      </w:r>
      <w:r w:rsidR="00D92F8B">
        <w:rPr>
          <w:i/>
          <w:iCs/>
        </w:rPr>
        <w:t>R</w:t>
      </w:r>
      <w:r w:rsidR="009643F1" w:rsidRPr="00D92F8B">
        <w:rPr>
          <w:i/>
          <w:iCs/>
        </w:rPr>
        <w:t xml:space="preserve">egulatory </w:t>
      </w:r>
      <w:r w:rsidR="00D92F8B">
        <w:rPr>
          <w:i/>
          <w:iCs/>
        </w:rPr>
        <w:t>A</w:t>
      </w:r>
      <w:r w:rsidR="009643F1" w:rsidRPr="00D92F8B">
        <w:rPr>
          <w:i/>
          <w:iCs/>
        </w:rPr>
        <w:t xml:space="preserve">pproaches to </w:t>
      </w:r>
      <w:r w:rsidR="00D92F8B">
        <w:rPr>
          <w:i/>
          <w:iCs/>
        </w:rPr>
        <w:t>C</w:t>
      </w:r>
      <w:r w:rsidR="009643F1" w:rsidRPr="00D92F8B">
        <w:rPr>
          <w:i/>
          <w:iCs/>
        </w:rPr>
        <w:t xml:space="preserve">onsumer </w:t>
      </w:r>
      <w:r w:rsidR="00D92F8B">
        <w:rPr>
          <w:i/>
          <w:iCs/>
        </w:rPr>
        <w:t>V</w:t>
      </w:r>
      <w:r w:rsidR="009643F1" w:rsidRPr="00D92F8B">
        <w:rPr>
          <w:i/>
          <w:iCs/>
        </w:rPr>
        <w:t xml:space="preserve">ulnerability: A </w:t>
      </w:r>
      <w:r w:rsidR="00D92F8B">
        <w:rPr>
          <w:i/>
          <w:iCs/>
        </w:rPr>
        <w:t>R</w:t>
      </w:r>
      <w:r w:rsidR="009643F1" w:rsidRPr="00D92F8B">
        <w:rPr>
          <w:i/>
          <w:iCs/>
        </w:rPr>
        <w:t>eport for the Australian Energy Regulator</w:t>
      </w:r>
      <w:r w:rsidR="00A613B3">
        <w:t>,</w:t>
      </w:r>
      <w:r w:rsidR="00D92F8B">
        <w:t xml:space="preserve"> Consumer Policy Research Centre,</w:t>
      </w:r>
      <w:r w:rsidR="00A613B3">
        <w:t xml:space="preserve"> </w:t>
      </w:r>
      <w:hyperlink r:id="rId13" w:history="1">
        <w:r w:rsidR="00D92F8B" w:rsidRPr="00762CF7">
          <w:rPr>
            <w:rStyle w:val="Hyperlink"/>
          </w:rPr>
          <w:t>https://www.aer.gov.au/system/files/CPRC%20-%20Exploring%20regulatory%20approaches%20to%20consumer%20vulnerability%20-%20A%20report%20for%20the%20AER%20-%20February%202020_0.pdf</w:t>
        </w:r>
      </w:hyperlink>
      <w:r w:rsidR="00D92F8B">
        <w:t xml:space="preserve"> </w:t>
      </w:r>
    </w:p>
  </w:footnote>
  <w:footnote w:id="17">
    <w:p w14:paraId="134A2B76" w14:textId="737B3E97" w:rsidR="007F5701" w:rsidRPr="007F5701" w:rsidRDefault="007F5701">
      <w:pPr>
        <w:pStyle w:val="FootnoteText"/>
        <w:rPr>
          <w:lang w:val="en-US"/>
        </w:rPr>
      </w:pPr>
      <w:r>
        <w:rPr>
          <w:rStyle w:val="FootnoteReference"/>
        </w:rPr>
        <w:footnoteRef/>
      </w:r>
      <w:r>
        <w:t xml:space="preserve"> Essential Services Commission 2017, </w:t>
      </w:r>
      <w:r w:rsidRPr="007F5701">
        <w:rPr>
          <w:i/>
          <w:iCs/>
        </w:rPr>
        <w:t>Payment Difficulty Framework: Final Decision</w:t>
      </w:r>
      <w:r>
        <w:t xml:space="preserve">,  </w:t>
      </w:r>
      <w:hyperlink r:id="rId14" w:history="1">
        <w:r w:rsidR="00D92F8B" w:rsidRPr="00762CF7">
          <w:rPr>
            <w:rStyle w:val="Hyperlink"/>
          </w:rPr>
          <w:t>https://www.esc.vic.gov.au/sites/default/files/documents/payment-difficulty-framework-final-decision-20171009.pdf</w:t>
        </w:r>
      </w:hyperlink>
      <w:r w:rsidR="00D92F8B">
        <w:t xml:space="preserve"> </w:t>
      </w:r>
    </w:p>
  </w:footnote>
  <w:footnote w:id="18">
    <w:p w14:paraId="2F67AA93" w14:textId="513149FF" w:rsidR="00F5376D" w:rsidRPr="00F5376D" w:rsidRDefault="00F5376D">
      <w:pPr>
        <w:pStyle w:val="FootnoteText"/>
        <w:rPr>
          <w:lang w:val="en-US"/>
        </w:rPr>
      </w:pPr>
      <w:r>
        <w:rPr>
          <w:rStyle w:val="FootnoteReference"/>
        </w:rPr>
        <w:footnoteRef/>
      </w:r>
      <w:r>
        <w:t xml:space="preserve"> </w:t>
      </w:r>
      <w:r w:rsidR="008E5244">
        <w:t xml:space="preserve">ACCAN 2021, </w:t>
      </w:r>
      <w:r w:rsidR="008E5244" w:rsidRPr="006F7F4B">
        <w:rPr>
          <w:i/>
          <w:iCs/>
        </w:rPr>
        <w:t>COVID-19 telco principles fail to adequately protect telco consumers: ACCAN</w:t>
      </w:r>
      <w:r w:rsidR="006F7F4B">
        <w:t>, media release,</w:t>
      </w:r>
      <w:r>
        <w:t xml:space="preserve"> </w:t>
      </w:r>
      <w:r w:rsidRPr="00F5376D">
        <w:t>https://accan.org.au/media-centre/media-releases/1891-covid-19-telco-principles-fail-to-adequately-protect-telco-consumers-accan</w:t>
      </w:r>
    </w:p>
  </w:footnote>
  <w:footnote w:id="19">
    <w:p w14:paraId="202A0793" w14:textId="33AC3D37" w:rsidR="00D946D9" w:rsidRPr="00D946D9" w:rsidRDefault="00D946D9">
      <w:pPr>
        <w:pStyle w:val="FootnoteText"/>
        <w:rPr>
          <w:lang w:val="en-US"/>
        </w:rPr>
      </w:pPr>
      <w:r>
        <w:rPr>
          <w:rStyle w:val="FootnoteReference"/>
        </w:rPr>
        <w:footnoteRef/>
      </w:r>
      <w:r>
        <w:t xml:space="preserve"> </w:t>
      </w:r>
      <w:r>
        <w:rPr>
          <w:lang w:val="en-US"/>
        </w:rPr>
        <w:t xml:space="preserve">Many regional areas have less choice and competition in the telecommunications products and services available, meaning that they are often less affordable. Regional consumers may also need to purchase additional services for redundancy or reliability reasons. </w:t>
      </w:r>
    </w:p>
  </w:footnote>
  <w:footnote w:id="20">
    <w:p w14:paraId="47B1A85B" w14:textId="1D8A122F" w:rsidR="00497BFE" w:rsidRPr="00497BFE" w:rsidRDefault="00497BFE">
      <w:pPr>
        <w:pStyle w:val="FootnoteText"/>
        <w:rPr>
          <w:lang w:val="en-US"/>
        </w:rPr>
      </w:pPr>
      <w:r>
        <w:rPr>
          <w:rStyle w:val="FootnoteReference"/>
        </w:rPr>
        <w:footnoteRef/>
      </w:r>
      <w:r>
        <w:t xml:space="preserve"> </w:t>
      </w:r>
      <w:r w:rsidR="005A191F">
        <w:t xml:space="preserve">O’Neill 2020, op. cit. </w:t>
      </w:r>
    </w:p>
  </w:footnote>
  <w:footnote w:id="21">
    <w:p w14:paraId="4A60174F" w14:textId="153A7B80" w:rsidR="00B24106" w:rsidRPr="00B24106" w:rsidRDefault="00B24106">
      <w:pPr>
        <w:pStyle w:val="FootnoteText"/>
        <w:rPr>
          <w:lang w:val="en-US"/>
        </w:rPr>
      </w:pPr>
      <w:r>
        <w:rPr>
          <w:rStyle w:val="FootnoteReference"/>
        </w:rPr>
        <w:footnoteRef/>
      </w:r>
      <w:r>
        <w:t xml:space="preserve"> </w:t>
      </w:r>
      <w:r w:rsidR="00ED5BE9">
        <w:t xml:space="preserve">Australian Communications and Media Authority 2021, op. </w:t>
      </w:r>
      <w:proofErr w:type="spellStart"/>
      <w:r w:rsidR="00ED5BE9">
        <w:t>cit</w:t>
      </w:r>
      <w:proofErr w:type="spellEnd"/>
      <w:r w:rsidR="00EC5002">
        <w:t xml:space="preserve"> </w:t>
      </w:r>
    </w:p>
  </w:footnote>
  <w:footnote w:id="22">
    <w:p w14:paraId="652356B4" w14:textId="4F7E60DE" w:rsidR="00495E62" w:rsidRPr="00495E62" w:rsidRDefault="00495E62">
      <w:pPr>
        <w:pStyle w:val="FootnoteText"/>
        <w:rPr>
          <w:lang w:val="en-US"/>
        </w:rPr>
      </w:pPr>
      <w:r>
        <w:rPr>
          <w:rStyle w:val="FootnoteReference"/>
        </w:rPr>
        <w:footnoteRef/>
      </w:r>
      <w:r>
        <w:t xml:space="preserve"> </w:t>
      </w:r>
      <w:r w:rsidR="00ED5BE9">
        <w:t xml:space="preserve">Telecommunications Industry Ombudsman 2021, op. cit. </w:t>
      </w:r>
      <w:r w:rsidR="0063271A">
        <w:t xml:space="preserve"> </w:t>
      </w:r>
    </w:p>
  </w:footnote>
  <w:footnote w:id="23">
    <w:p w14:paraId="4B9B6767" w14:textId="7447481E" w:rsidR="00E55C02" w:rsidRPr="00E55C02" w:rsidRDefault="00E55C02">
      <w:pPr>
        <w:pStyle w:val="FootnoteText"/>
        <w:rPr>
          <w:lang w:val="en-US"/>
        </w:rPr>
      </w:pPr>
      <w:r>
        <w:rPr>
          <w:rStyle w:val="FootnoteReference"/>
        </w:rPr>
        <w:footnoteRef/>
      </w:r>
      <w:r>
        <w:t xml:space="preserve"> Thriving Communities Partnership, </w:t>
      </w:r>
      <w:hyperlink r:id="rId15" w:history="1">
        <w:r w:rsidRPr="009C6BF6">
          <w:rPr>
            <w:rStyle w:val="Hyperlink"/>
          </w:rPr>
          <w:t>https://thriving.org.au/what-we-do/the-one-stop-one-story-hub</w:t>
        </w:r>
      </w:hyperlink>
      <w:r>
        <w:t xml:space="preserve"> </w:t>
      </w:r>
    </w:p>
  </w:footnote>
  <w:footnote w:id="24">
    <w:p w14:paraId="766C5809" w14:textId="6B74D721" w:rsidR="00E000E5" w:rsidRPr="00E000E5" w:rsidRDefault="00E000E5" w:rsidP="00EE2D1F">
      <w:pPr>
        <w:pStyle w:val="FootnoteText"/>
        <w:rPr>
          <w:lang w:val="en-US"/>
        </w:rPr>
      </w:pPr>
      <w:r>
        <w:rPr>
          <w:rStyle w:val="FootnoteReference"/>
        </w:rPr>
        <w:footnoteRef/>
      </w:r>
      <w:r>
        <w:t xml:space="preserve"> </w:t>
      </w:r>
      <w:r>
        <w:rPr>
          <w:lang w:val="en-US"/>
        </w:rPr>
        <w:t xml:space="preserve">Communications Alliance 2019, </w:t>
      </w:r>
      <w:r w:rsidR="00EE2D1F" w:rsidRPr="00C36075">
        <w:rPr>
          <w:i/>
          <w:iCs/>
          <w:lang w:val="en-US"/>
        </w:rPr>
        <w:t>Industry Code C628:2019 Telecommunications Consumer Protections Code</w:t>
      </w:r>
      <w:r w:rsidR="00C36075">
        <w:rPr>
          <w:lang w:val="en-US"/>
        </w:rPr>
        <w:t>,</w:t>
      </w:r>
      <w:r w:rsidR="00EE2D1F">
        <w:rPr>
          <w:lang w:val="en-US"/>
        </w:rPr>
        <w:t xml:space="preserve"> Section </w:t>
      </w:r>
      <w:r w:rsidR="00C36075">
        <w:rPr>
          <w:lang w:val="en-US"/>
        </w:rPr>
        <w:t xml:space="preserve">7.7.1, p. 58, </w:t>
      </w:r>
      <w:r w:rsidR="00EE2D1F">
        <w:rPr>
          <w:lang w:val="en-US"/>
        </w:rPr>
        <w:t xml:space="preserve"> </w:t>
      </w:r>
      <w:hyperlink r:id="rId16" w:history="1">
        <w:r w:rsidR="00EE2D1F" w:rsidRPr="009C6BF6">
          <w:rPr>
            <w:rStyle w:val="Hyperlink"/>
            <w:lang w:val="en-US"/>
          </w:rPr>
          <w:t>https://www.commsalliance.com.au/__data/assets/pdf_file/0011/64784/TCP-C628_2019.pdf</w:t>
        </w:r>
      </w:hyperlink>
      <w:r w:rsidR="00EE2D1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8400" w14:textId="77777777" w:rsidR="00311AE6" w:rsidRDefault="00311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5B83" w14:textId="74175679" w:rsidR="00543003" w:rsidRDefault="00543003" w:rsidP="00E45E4C">
    <w:pPr>
      <w:pStyle w:val="Header"/>
      <w:jc w:val="right"/>
    </w:pPr>
    <w:r>
      <w:rPr>
        <w:noProof/>
        <w:lang w:eastAsia="en-AU"/>
      </w:rPr>
      <w:drawing>
        <wp:inline distT="0" distB="0" distL="0" distR="0" wp14:anchorId="7B4C3071" wp14:editId="34EB5C2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6017" w14:textId="77777777" w:rsidR="00543003" w:rsidRDefault="00543003" w:rsidP="00B14DFB">
    <w:pPr>
      <w:pStyle w:val="Header"/>
      <w:jc w:val="center"/>
    </w:pPr>
    <w:r>
      <w:rPr>
        <w:noProof/>
        <w:lang w:eastAsia="en-AU"/>
      </w:rPr>
      <w:drawing>
        <wp:inline distT="0" distB="0" distL="0" distR="0" wp14:anchorId="443C4320" wp14:editId="56E80A79">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9D6"/>
    <w:multiLevelType w:val="hybridMultilevel"/>
    <w:tmpl w:val="988C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B07E7"/>
    <w:multiLevelType w:val="hybridMultilevel"/>
    <w:tmpl w:val="AAA4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85445"/>
    <w:multiLevelType w:val="hybridMultilevel"/>
    <w:tmpl w:val="57408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90F8A"/>
    <w:multiLevelType w:val="hybridMultilevel"/>
    <w:tmpl w:val="8CD09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D5B36"/>
    <w:multiLevelType w:val="hybridMultilevel"/>
    <w:tmpl w:val="EFDA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5E050A"/>
    <w:multiLevelType w:val="hybridMultilevel"/>
    <w:tmpl w:val="11BCC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CD4DDA"/>
    <w:multiLevelType w:val="hybridMultilevel"/>
    <w:tmpl w:val="C0921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8" w15:restartNumberingAfterBreak="0">
    <w:nsid w:val="34BC5FC8"/>
    <w:multiLevelType w:val="hybridMultilevel"/>
    <w:tmpl w:val="795C4A6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9" w15:restartNumberingAfterBreak="0">
    <w:nsid w:val="35F41370"/>
    <w:multiLevelType w:val="multilevel"/>
    <w:tmpl w:val="6C64A078"/>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394A7EB4"/>
    <w:multiLevelType w:val="hybridMultilevel"/>
    <w:tmpl w:val="16EA7CC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15:restartNumberingAfterBreak="0">
    <w:nsid w:val="4AF267C7"/>
    <w:multiLevelType w:val="hybridMultilevel"/>
    <w:tmpl w:val="07F8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267EB3"/>
    <w:multiLevelType w:val="hybridMultilevel"/>
    <w:tmpl w:val="E8CA2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8A6332"/>
    <w:multiLevelType w:val="hybridMultilevel"/>
    <w:tmpl w:val="92D6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A467144"/>
    <w:multiLevelType w:val="multilevel"/>
    <w:tmpl w:val="989E8E90"/>
    <w:numStyleLink w:val="Appendices"/>
  </w:abstractNum>
  <w:abstractNum w:abstractNumId="16" w15:restartNumberingAfterBreak="0">
    <w:nsid w:val="5BC27140"/>
    <w:multiLevelType w:val="hybridMultilevel"/>
    <w:tmpl w:val="E29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5942A0"/>
    <w:multiLevelType w:val="hybridMultilevel"/>
    <w:tmpl w:val="4E7A2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973BD1"/>
    <w:multiLevelType w:val="hybridMultilevel"/>
    <w:tmpl w:val="F452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34C688D"/>
    <w:multiLevelType w:val="hybridMultilevel"/>
    <w:tmpl w:val="7EB2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61D52"/>
    <w:multiLevelType w:val="hybridMultilevel"/>
    <w:tmpl w:val="F57C4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695A77"/>
    <w:multiLevelType w:val="hybridMultilevel"/>
    <w:tmpl w:val="92067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FF45ED"/>
    <w:multiLevelType w:val="multilevel"/>
    <w:tmpl w:val="7654E838"/>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4" w15:restartNumberingAfterBreak="0">
    <w:nsid w:val="7AE86FA6"/>
    <w:multiLevelType w:val="hybridMultilevel"/>
    <w:tmpl w:val="2C4E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33158C"/>
    <w:multiLevelType w:val="hybridMultilevel"/>
    <w:tmpl w:val="C3E6E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7"/>
  </w:num>
  <w:num w:numId="4">
    <w:abstractNumId w:val="23"/>
  </w:num>
  <w:num w:numId="5">
    <w:abstractNumId w:val="14"/>
  </w:num>
  <w:num w:numId="6">
    <w:abstractNumId w:val="15"/>
  </w:num>
  <w:num w:numId="7">
    <w:abstractNumId w:val="19"/>
  </w:num>
  <w:num w:numId="8">
    <w:abstractNumId w:val="19"/>
  </w:num>
  <w:num w:numId="9">
    <w:abstractNumId w:val="9"/>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0">
    <w:abstractNumId w:val="9"/>
    <w:lvlOverride w:ilvl="0">
      <w:lvl w:ilvl="0">
        <w:start w:val="1"/>
        <w:numFmt w:val="decimal"/>
        <w:pStyle w:val="Recommendation"/>
        <w:lvlText w:val="Recommendation %1:"/>
        <w:lvlJc w:val="left"/>
        <w:pPr>
          <w:ind w:left="851" w:firstLine="0"/>
        </w:pPr>
        <w:rPr>
          <w:rFonts w:hint="default"/>
          <w:b/>
          <w:bCs/>
        </w:rPr>
      </w:lvl>
    </w:lvlOverride>
  </w:num>
  <w:num w:numId="11">
    <w:abstractNumId w:val="17"/>
  </w:num>
  <w:num w:numId="12">
    <w:abstractNumId w:val="4"/>
  </w:num>
  <w:num w:numId="13">
    <w:abstractNumId w:val="22"/>
  </w:num>
  <w:num w:numId="14">
    <w:abstractNumId w:val="0"/>
  </w:num>
  <w:num w:numId="15">
    <w:abstractNumId w:val="3"/>
  </w:num>
  <w:num w:numId="16">
    <w:abstractNumId w:val="11"/>
  </w:num>
  <w:num w:numId="17">
    <w:abstractNumId w:val="18"/>
  </w:num>
  <w:num w:numId="18">
    <w:abstractNumId w:val="13"/>
  </w:num>
  <w:num w:numId="19">
    <w:abstractNumId w:val="5"/>
  </w:num>
  <w:num w:numId="20">
    <w:abstractNumId w:val="10"/>
  </w:num>
  <w:num w:numId="21">
    <w:abstractNumId w:val="12"/>
  </w:num>
  <w:num w:numId="22">
    <w:abstractNumId w:val="9"/>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3">
    <w:abstractNumId w:val="9"/>
  </w:num>
  <w:num w:numId="24">
    <w:abstractNumId w:val="20"/>
  </w:num>
  <w:num w:numId="25">
    <w:abstractNumId w:val="21"/>
  </w:num>
  <w:num w:numId="26">
    <w:abstractNumId w:val="8"/>
  </w:num>
  <w:num w:numId="27">
    <w:abstractNumId w:val="1"/>
  </w:num>
  <w:num w:numId="28">
    <w:abstractNumId w:val="2"/>
  </w:num>
  <w:num w:numId="29">
    <w:abstractNumId w:val="16"/>
  </w:num>
  <w:num w:numId="30">
    <w:abstractNumId w:val="6"/>
  </w:num>
  <w:num w:numId="31">
    <w:abstractNumId w:val="25"/>
  </w:num>
  <w:num w:numId="32">
    <w:abstractNumId w:val="24"/>
  </w:num>
  <w:num w:numId="33">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4">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7"/>
    <w:rsid w:val="00000323"/>
    <w:rsid w:val="00001203"/>
    <w:rsid w:val="000012BF"/>
    <w:rsid w:val="00001631"/>
    <w:rsid w:val="00001C93"/>
    <w:rsid w:val="00002077"/>
    <w:rsid w:val="0000229A"/>
    <w:rsid w:val="00003B4C"/>
    <w:rsid w:val="000056B5"/>
    <w:rsid w:val="000066A0"/>
    <w:rsid w:val="00010113"/>
    <w:rsid w:val="00010DD2"/>
    <w:rsid w:val="00010E9E"/>
    <w:rsid w:val="0001440C"/>
    <w:rsid w:val="0001442C"/>
    <w:rsid w:val="00014A6F"/>
    <w:rsid w:val="0001517D"/>
    <w:rsid w:val="00015C85"/>
    <w:rsid w:val="0001618E"/>
    <w:rsid w:val="00016F5F"/>
    <w:rsid w:val="000172A4"/>
    <w:rsid w:val="000202EA"/>
    <w:rsid w:val="000208ED"/>
    <w:rsid w:val="00021BF2"/>
    <w:rsid w:val="00022703"/>
    <w:rsid w:val="00023BFE"/>
    <w:rsid w:val="00023DDE"/>
    <w:rsid w:val="00023DF2"/>
    <w:rsid w:val="00026A0E"/>
    <w:rsid w:val="00027253"/>
    <w:rsid w:val="00030474"/>
    <w:rsid w:val="0003073B"/>
    <w:rsid w:val="00030CB7"/>
    <w:rsid w:val="00032735"/>
    <w:rsid w:val="0003399A"/>
    <w:rsid w:val="000363EB"/>
    <w:rsid w:val="0003707E"/>
    <w:rsid w:val="00037F6C"/>
    <w:rsid w:val="00041919"/>
    <w:rsid w:val="00045FE8"/>
    <w:rsid w:val="00047257"/>
    <w:rsid w:val="000501E5"/>
    <w:rsid w:val="00050496"/>
    <w:rsid w:val="000509DC"/>
    <w:rsid w:val="00051E08"/>
    <w:rsid w:val="00054F87"/>
    <w:rsid w:val="00055970"/>
    <w:rsid w:val="0005621A"/>
    <w:rsid w:val="00056742"/>
    <w:rsid w:val="000614C3"/>
    <w:rsid w:val="000629DD"/>
    <w:rsid w:val="000639E7"/>
    <w:rsid w:val="000652AB"/>
    <w:rsid w:val="00066C11"/>
    <w:rsid w:val="000677C2"/>
    <w:rsid w:val="000727A8"/>
    <w:rsid w:val="00075A00"/>
    <w:rsid w:val="00075F92"/>
    <w:rsid w:val="00077904"/>
    <w:rsid w:val="00077D66"/>
    <w:rsid w:val="00083E23"/>
    <w:rsid w:val="00084394"/>
    <w:rsid w:val="000843AB"/>
    <w:rsid w:val="000858AD"/>
    <w:rsid w:val="000859EE"/>
    <w:rsid w:val="000865F9"/>
    <w:rsid w:val="00090AE7"/>
    <w:rsid w:val="00091A98"/>
    <w:rsid w:val="000931A1"/>
    <w:rsid w:val="00094431"/>
    <w:rsid w:val="000946F7"/>
    <w:rsid w:val="00095C49"/>
    <w:rsid w:val="00095CC0"/>
    <w:rsid w:val="00095F4B"/>
    <w:rsid w:val="0009660A"/>
    <w:rsid w:val="000A02F5"/>
    <w:rsid w:val="000A045A"/>
    <w:rsid w:val="000A0B6B"/>
    <w:rsid w:val="000A0EA1"/>
    <w:rsid w:val="000A1B05"/>
    <w:rsid w:val="000A28A3"/>
    <w:rsid w:val="000A752C"/>
    <w:rsid w:val="000A79C5"/>
    <w:rsid w:val="000A7A0C"/>
    <w:rsid w:val="000A7FD9"/>
    <w:rsid w:val="000B035F"/>
    <w:rsid w:val="000B0391"/>
    <w:rsid w:val="000B104B"/>
    <w:rsid w:val="000B3188"/>
    <w:rsid w:val="000B31B4"/>
    <w:rsid w:val="000B39D4"/>
    <w:rsid w:val="000B644E"/>
    <w:rsid w:val="000B6992"/>
    <w:rsid w:val="000B6EBE"/>
    <w:rsid w:val="000C1A0A"/>
    <w:rsid w:val="000C1E31"/>
    <w:rsid w:val="000C55A9"/>
    <w:rsid w:val="000C6D18"/>
    <w:rsid w:val="000C6F98"/>
    <w:rsid w:val="000C723A"/>
    <w:rsid w:val="000C77D4"/>
    <w:rsid w:val="000D0E80"/>
    <w:rsid w:val="000D0FAB"/>
    <w:rsid w:val="000D1120"/>
    <w:rsid w:val="000D2875"/>
    <w:rsid w:val="000D3CC7"/>
    <w:rsid w:val="000D3DB4"/>
    <w:rsid w:val="000D4E6C"/>
    <w:rsid w:val="000D51C0"/>
    <w:rsid w:val="000D51F4"/>
    <w:rsid w:val="000E5D6E"/>
    <w:rsid w:val="000E6430"/>
    <w:rsid w:val="000E6AA3"/>
    <w:rsid w:val="000E7229"/>
    <w:rsid w:val="000E794D"/>
    <w:rsid w:val="000E7EAB"/>
    <w:rsid w:val="000E7FF3"/>
    <w:rsid w:val="000F2617"/>
    <w:rsid w:val="000F2956"/>
    <w:rsid w:val="000F3D8A"/>
    <w:rsid w:val="000F58CC"/>
    <w:rsid w:val="000F5FB1"/>
    <w:rsid w:val="000F6959"/>
    <w:rsid w:val="00100262"/>
    <w:rsid w:val="00101309"/>
    <w:rsid w:val="00101CB0"/>
    <w:rsid w:val="00105EEA"/>
    <w:rsid w:val="00106123"/>
    <w:rsid w:val="00106B72"/>
    <w:rsid w:val="00107F10"/>
    <w:rsid w:val="001152CE"/>
    <w:rsid w:val="001153B4"/>
    <w:rsid w:val="00120281"/>
    <w:rsid w:val="00121B30"/>
    <w:rsid w:val="00122D1A"/>
    <w:rsid w:val="00122E25"/>
    <w:rsid w:val="00125573"/>
    <w:rsid w:val="00126DD8"/>
    <w:rsid w:val="001318C4"/>
    <w:rsid w:val="00132E19"/>
    <w:rsid w:val="00133620"/>
    <w:rsid w:val="0013514F"/>
    <w:rsid w:val="00135636"/>
    <w:rsid w:val="0013638C"/>
    <w:rsid w:val="00143217"/>
    <w:rsid w:val="00143CF1"/>
    <w:rsid w:val="001440DC"/>
    <w:rsid w:val="0014578B"/>
    <w:rsid w:val="00146293"/>
    <w:rsid w:val="001472E2"/>
    <w:rsid w:val="00147503"/>
    <w:rsid w:val="00147A04"/>
    <w:rsid w:val="00147A7F"/>
    <w:rsid w:val="0015055F"/>
    <w:rsid w:val="0015061A"/>
    <w:rsid w:val="00150CAA"/>
    <w:rsid w:val="00151EA5"/>
    <w:rsid w:val="00152013"/>
    <w:rsid w:val="0015217C"/>
    <w:rsid w:val="00152225"/>
    <w:rsid w:val="00152C09"/>
    <w:rsid w:val="00153C0B"/>
    <w:rsid w:val="001541A3"/>
    <w:rsid w:val="00154C9C"/>
    <w:rsid w:val="001559DA"/>
    <w:rsid w:val="001566E1"/>
    <w:rsid w:val="001606D4"/>
    <w:rsid w:val="00160DC2"/>
    <w:rsid w:val="0016130D"/>
    <w:rsid w:val="001625D7"/>
    <w:rsid w:val="00163030"/>
    <w:rsid w:val="00164658"/>
    <w:rsid w:val="0016472B"/>
    <w:rsid w:val="001659C1"/>
    <w:rsid w:val="00170F57"/>
    <w:rsid w:val="001717BA"/>
    <w:rsid w:val="001731B9"/>
    <w:rsid w:val="00173350"/>
    <w:rsid w:val="00173A75"/>
    <w:rsid w:val="001760EA"/>
    <w:rsid w:val="0018108C"/>
    <w:rsid w:val="00182924"/>
    <w:rsid w:val="00183034"/>
    <w:rsid w:val="001848E9"/>
    <w:rsid w:val="00184A20"/>
    <w:rsid w:val="00184B4D"/>
    <w:rsid w:val="00184C40"/>
    <w:rsid w:val="00185B2D"/>
    <w:rsid w:val="00190AE4"/>
    <w:rsid w:val="001912A7"/>
    <w:rsid w:val="001912CC"/>
    <w:rsid w:val="0019615B"/>
    <w:rsid w:val="001961B3"/>
    <w:rsid w:val="001966FD"/>
    <w:rsid w:val="00196A62"/>
    <w:rsid w:val="00196D8D"/>
    <w:rsid w:val="001A21A1"/>
    <w:rsid w:val="001A2E0F"/>
    <w:rsid w:val="001A3FF0"/>
    <w:rsid w:val="001A51F4"/>
    <w:rsid w:val="001A7BB3"/>
    <w:rsid w:val="001B00A8"/>
    <w:rsid w:val="001B0C2A"/>
    <w:rsid w:val="001B3958"/>
    <w:rsid w:val="001B42D1"/>
    <w:rsid w:val="001B622D"/>
    <w:rsid w:val="001B69FB"/>
    <w:rsid w:val="001B77FA"/>
    <w:rsid w:val="001C2190"/>
    <w:rsid w:val="001C2280"/>
    <w:rsid w:val="001C28E7"/>
    <w:rsid w:val="001C2FF3"/>
    <w:rsid w:val="001C3865"/>
    <w:rsid w:val="001C38A3"/>
    <w:rsid w:val="001C4B91"/>
    <w:rsid w:val="001C506E"/>
    <w:rsid w:val="001C6657"/>
    <w:rsid w:val="001C67BA"/>
    <w:rsid w:val="001C73A5"/>
    <w:rsid w:val="001C742C"/>
    <w:rsid w:val="001C794D"/>
    <w:rsid w:val="001D0A5F"/>
    <w:rsid w:val="001D0BD6"/>
    <w:rsid w:val="001D2F0A"/>
    <w:rsid w:val="001D3069"/>
    <w:rsid w:val="001D5E3E"/>
    <w:rsid w:val="001D5FDC"/>
    <w:rsid w:val="001D6009"/>
    <w:rsid w:val="001D684C"/>
    <w:rsid w:val="001D72BC"/>
    <w:rsid w:val="001D7E87"/>
    <w:rsid w:val="001E0F30"/>
    <w:rsid w:val="001E14EA"/>
    <w:rsid w:val="001E21CF"/>
    <w:rsid w:val="001E27D5"/>
    <w:rsid w:val="001E4CF3"/>
    <w:rsid w:val="001E4E27"/>
    <w:rsid w:val="001E6087"/>
    <w:rsid w:val="001E6F7F"/>
    <w:rsid w:val="001E6FB2"/>
    <w:rsid w:val="001E7256"/>
    <w:rsid w:val="001E7B62"/>
    <w:rsid w:val="001F10FC"/>
    <w:rsid w:val="001F1572"/>
    <w:rsid w:val="001F183A"/>
    <w:rsid w:val="001F37CE"/>
    <w:rsid w:val="001F5611"/>
    <w:rsid w:val="001F5B10"/>
    <w:rsid w:val="001F5C0E"/>
    <w:rsid w:val="001F737F"/>
    <w:rsid w:val="001F7B1F"/>
    <w:rsid w:val="00200B96"/>
    <w:rsid w:val="002011AC"/>
    <w:rsid w:val="0020172C"/>
    <w:rsid w:val="00201B41"/>
    <w:rsid w:val="00201C18"/>
    <w:rsid w:val="00202F4A"/>
    <w:rsid w:val="00204B52"/>
    <w:rsid w:val="0020698B"/>
    <w:rsid w:val="00207BD1"/>
    <w:rsid w:val="002127F0"/>
    <w:rsid w:val="002136AE"/>
    <w:rsid w:val="00214026"/>
    <w:rsid w:val="00215603"/>
    <w:rsid w:val="002170FD"/>
    <w:rsid w:val="00217229"/>
    <w:rsid w:val="00217613"/>
    <w:rsid w:val="00217C25"/>
    <w:rsid w:val="00217C30"/>
    <w:rsid w:val="00217CE1"/>
    <w:rsid w:val="00220191"/>
    <w:rsid w:val="002203BA"/>
    <w:rsid w:val="002205FF"/>
    <w:rsid w:val="00220E49"/>
    <w:rsid w:val="0022166D"/>
    <w:rsid w:val="00223850"/>
    <w:rsid w:val="0022395F"/>
    <w:rsid w:val="00224F19"/>
    <w:rsid w:val="00227D23"/>
    <w:rsid w:val="00227DA0"/>
    <w:rsid w:val="00230006"/>
    <w:rsid w:val="00231FDA"/>
    <w:rsid w:val="00232142"/>
    <w:rsid w:val="00233013"/>
    <w:rsid w:val="00233CC1"/>
    <w:rsid w:val="00234042"/>
    <w:rsid w:val="00235766"/>
    <w:rsid w:val="0023658B"/>
    <w:rsid w:val="002368D2"/>
    <w:rsid w:val="00237093"/>
    <w:rsid w:val="0023747F"/>
    <w:rsid w:val="0023764B"/>
    <w:rsid w:val="00237FAD"/>
    <w:rsid w:val="002412C7"/>
    <w:rsid w:val="00241D8B"/>
    <w:rsid w:val="00241DB4"/>
    <w:rsid w:val="00244CC9"/>
    <w:rsid w:val="0024630E"/>
    <w:rsid w:val="0024698A"/>
    <w:rsid w:val="00251C1A"/>
    <w:rsid w:val="002522CD"/>
    <w:rsid w:val="002527AC"/>
    <w:rsid w:val="002534ED"/>
    <w:rsid w:val="002535E9"/>
    <w:rsid w:val="00254630"/>
    <w:rsid w:val="00254F94"/>
    <w:rsid w:val="0025501A"/>
    <w:rsid w:val="002552C2"/>
    <w:rsid w:val="002556E4"/>
    <w:rsid w:val="0025631D"/>
    <w:rsid w:val="0025784F"/>
    <w:rsid w:val="00257A78"/>
    <w:rsid w:val="0026120C"/>
    <w:rsid w:val="0026251C"/>
    <w:rsid w:val="00265DD4"/>
    <w:rsid w:val="002660C7"/>
    <w:rsid w:val="00267F62"/>
    <w:rsid w:val="0027192B"/>
    <w:rsid w:val="00271CAF"/>
    <w:rsid w:val="0027206F"/>
    <w:rsid w:val="00272C40"/>
    <w:rsid w:val="00273A28"/>
    <w:rsid w:val="00275648"/>
    <w:rsid w:val="00275A7C"/>
    <w:rsid w:val="0027726B"/>
    <w:rsid w:val="002778D0"/>
    <w:rsid w:val="00281A6B"/>
    <w:rsid w:val="002835E4"/>
    <w:rsid w:val="00283C98"/>
    <w:rsid w:val="00285709"/>
    <w:rsid w:val="0028625E"/>
    <w:rsid w:val="0028671B"/>
    <w:rsid w:val="0028683E"/>
    <w:rsid w:val="00286DFF"/>
    <w:rsid w:val="0029367D"/>
    <w:rsid w:val="00293704"/>
    <w:rsid w:val="00296359"/>
    <w:rsid w:val="00296596"/>
    <w:rsid w:val="00297EBD"/>
    <w:rsid w:val="002A02B9"/>
    <w:rsid w:val="002A0EE4"/>
    <w:rsid w:val="002A30C9"/>
    <w:rsid w:val="002A503F"/>
    <w:rsid w:val="002A5FBF"/>
    <w:rsid w:val="002A629E"/>
    <w:rsid w:val="002A64E2"/>
    <w:rsid w:val="002A75DD"/>
    <w:rsid w:val="002B05E9"/>
    <w:rsid w:val="002B1C16"/>
    <w:rsid w:val="002B2C56"/>
    <w:rsid w:val="002B414E"/>
    <w:rsid w:val="002B4229"/>
    <w:rsid w:val="002B7967"/>
    <w:rsid w:val="002C03E3"/>
    <w:rsid w:val="002C17F1"/>
    <w:rsid w:val="002C295E"/>
    <w:rsid w:val="002C34E6"/>
    <w:rsid w:val="002C3667"/>
    <w:rsid w:val="002C4AE8"/>
    <w:rsid w:val="002C5DCE"/>
    <w:rsid w:val="002C61AB"/>
    <w:rsid w:val="002C7833"/>
    <w:rsid w:val="002C7AE4"/>
    <w:rsid w:val="002C7C6A"/>
    <w:rsid w:val="002C7F47"/>
    <w:rsid w:val="002D2135"/>
    <w:rsid w:val="002D2476"/>
    <w:rsid w:val="002D2978"/>
    <w:rsid w:val="002D2CE7"/>
    <w:rsid w:val="002D615D"/>
    <w:rsid w:val="002D784B"/>
    <w:rsid w:val="002D7C02"/>
    <w:rsid w:val="002E0296"/>
    <w:rsid w:val="002E1115"/>
    <w:rsid w:val="002E133D"/>
    <w:rsid w:val="002E157E"/>
    <w:rsid w:val="002E23C1"/>
    <w:rsid w:val="002E282E"/>
    <w:rsid w:val="002E40FE"/>
    <w:rsid w:val="002E454E"/>
    <w:rsid w:val="002E4872"/>
    <w:rsid w:val="002E4BCC"/>
    <w:rsid w:val="002E5486"/>
    <w:rsid w:val="002E60D3"/>
    <w:rsid w:val="002E6E0F"/>
    <w:rsid w:val="002F1018"/>
    <w:rsid w:val="002F1441"/>
    <w:rsid w:val="002F1AC1"/>
    <w:rsid w:val="002F2FCD"/>
    <w:rsid w:val="002F37E3"/>
    <w:rsid w:val="002F59CC"/>
    <w:rsid w:val="002F6CF0"/>
    <w:rsid w:val="002F7FD1"/>
    <w:rsid w:val="0030072E"/>
    <w:rsid w:val="003027BE"/>
    <w:rsid w:val="003038EF"/>
    <w:rsid w:val="003057C7"/>
    <w:rsid w:val="00306050"/>
    <w:rsid w:val="00306991"/>
    <w:rsid w:val="003103E6"/>
    <w:rsid w:val="00311258"/>
    <w:rsid w:val="00311AE6"/>
    <w:rsid w:val="003136AA"/>
    <w:rsid w:val="003140FA"/>
    <w:rsid w:val="00316972"/>
    <w:rsid w:val="0032284E"/>
    <w:rsid w:val="00322B8E"/>
    <w:rsid w:val="003249D2"/>
    <w:rsid w:val="00324BD0"/>
    <w:rsid w:val="00325F30"/>
    <w:rsid w:val="00325F77"/>
    <w:rsid w:val="003268B4"/>
    <w:rsid w:val="00327B16"/>
    <w:rsid w:val="00327CB2"/>
    <w:rsid w:val="00332366"/>
    <w:rsid w:val="00332656"/>
    <w:rsid w:val="00335F69"/>
    <w:rsid w:val="00336A0F"/>
    <w:rsid w:val="00336A8B"/>
    <w:rsid w:val="0034052C"/>
    <w:rsid w:val="003409E8"/>
    <w:rsid w:val="00342636"/>
    <w:rsid w:val="0034298C"/>
    <w:rsid w:val="003429F8"/>
    <w:rsid w:val="003441E5"/>
    <w:rsid w:val="00344993"/>
    <w:rsid w:val="003451A4"/>
    <w:rsid w:val="00345A34"/>
    <w:rsid w:val="00345CA7"/>
    <w:rsid w:val="003475AF"/>
    <w:rsid w:val="00350B36"/>
    <w:rsid w:val="00357591"/>
    <w:rsid w:val="003601E4"/>
    <w:rsid w:val="00360A83"/>
    <w:rsid w:val="0036351B"/>
    <w:rsid w:val="0036695D"/>
    <w:rsid w:val="003670A5"/>
    <w:rsid w:val="00370085"/>
    <w:rsid w:val="00371073"/>
    <w:rsid w:val="00373B9F"/>
    <w:rsid w:val="003756CE"/>
    <w:rsid w:val="00375AE7"/>
    <w:rsid w:val="003801C4"/>
    <w:rsid w:val="003811C4"/>
    <w:rsid w:val="00381CBE"/>
    <w:rsid w:val="00381E9D"/>
    <w:rsid w:val="00381F41"/>
    <w:rsid w:val="0038395B"/>
    <w:rsid w:val="00383DFB"/>
    <w:rsid w:val="00384A35"/>
    <w:rsid w:val="00391EA9"/>
    <w:rsid w:val="00393094"/>
    <w:rsid w:val="00395684"/>
    <w:rsid w:val="00395741"/>
    <w:rsid w:val="003A426B"/>
    <w:rsid w:val="003A4B37"/>
    <w:rsid w:val="003A55C4"/>
    <w:rsid w:val="003A6EFB"/>
    <w:rsid w:val="003B03E6"/>
    <w:rsid w:val="003B071E"/>
    <w:rsid w:val="003B1499"/>
    <w:rsid w:val="003B1B4F"/>
    <w:rsid w:val="003B219E"/>
    <w:rsid w:val="003B3B17"/>
    <w:rsid w:val="003B6528"/>
    <w:rsid w:val="003B6BBD"/>
    <w:rsid w:val="003C0334"/>
    <w:rsid w:val="003C03B9"/>
    <w:rsid w:val="003C149A"/>
    <w:rsid w:val="003C368B"/>
    <w:rsid w:val="003C36B7"/>
    <w:rsid w:val="003C3FF0"/>
    <w:rsid w:val="003C45FF"/>
    <w:rsid w:val="003C5BA4"/>
    <w:rsid w:val="003C636E"/>
    <w:rsid w:val="003C70BB"/>
    <w:rsid w:val="003C7FB9"/>
    <w:rsid w:val="003D03E3"/>
    <w:rsid w:val="003D11A8"/>
    <w:rsid w:val="003D233A"/>
    <w:rsid w:val="003D40E1"/>
    <w:rsid w:val="003D5429"/>
    <w:rsid w:val="003D5C9E"/>
    <w:rsid w:val="003D6445"/>
    <w:rsid w:val="003D6A41"/>
    <w:rsid w:val="003E0284"/>
    <w:rsid w:val="003E27D6"/>
    <w:rsid w:val="003E2A91"/>
    <w:rsid w:val="003E4986"/>
    <w:rsid w:val="003E50B4"/>
    <w:rsid w:val="003E5235"/>
    <w:rsid w:val="003E5894"/>
    <w:rsid w:val="003E6503"/>
    <w:rsid w:val="003E747D"/>
    <w:rsid w:val="003E7528"/>
    <w:rsid w:val="003E76C5"/>
    <w:rsid w:val="003E7A67"/>
    <w:rsid w:val="003E7CA2"/>
    <w:rsid w:val="003E7F74"/>
    <w:rsid w:val="003F5A67"/>
    <w:rsid w:val="003F6156"/>
    <w:rsid w:val="003F6199"/>
    <w:rsid w:val="003F7EBD"/>
    <w:rsid w:val="004047DA"/>
    <w:rsid w:val="00404A92"/>
    <w:rsid w:val="00405F04"/>
    <w:rsid w:val="00406B48"/>
    <w:rsid w:val="004118F3"/>
    <w:rsid w:val="00412AD1"/>
    <w:rsid w:val="00413777"/>
    <w:rsid w:val="00413E28"/>
    <w:rsid w:val="00414B07"/>
    <w:rsid w:val="004176B3"/>
    <w:rsid w:val="00417983"/>
    <w:rsid w:val="00417DF2"/>
    <w:rsid w:val="00420DB6"/>
    <w:rsid w:val="004220A1"/>
    <w:rsid w:val="00424AAD"/>
    <w:rsid w:val="00424B8F"/>
    <w:rsid w:val="00425973"/>
    <w:rsid w:val="004263A4"/>
    <w:rsid w:val="00427295"/>
    <w:rsid w:val="00427DD0"/>
    <w:rsid w:val="00430E82"/>
    <w:rsid w:val="004319C0"/>
    <w:rsid w:val="00432ECE"/>
    <w:rsid w:val="004338BF"/>
    <w:rsid w:val="0043485B"/>
    <w:rsid w:val="00434B4C"/>
    <w:rsid w:val="00434F0C"/>
    <w:rsid w:val="0043586B"/>
    <w:rsid w:val="00436D37"/>
    <w:rsid w:val="00437307"/>
    <w:rsid w:val="004373A0"/>
    <w:rsid w:val="00441F2F"/>
    <w:rsid w:val="00441F76"/>
    <w:rsid w:val="00442880"/>
    <w:rsid w:val="00444B33"/>
    <w:rsid w:val="00444D1E"/>
    <w:rsid w:val="00444D39"/>
    <w:rsid w:val="00447DB7"/>
    <w:rsid w:val="00447E1F"/>
    <w:rsid w:val="004506A0"/>
    <w:rsid w:val="00451370"/>
    <w:rsid w:val="00451A2E"/>
    <w:rsid w:val="00453709"/>
    <w:rsid w:val="004552EA"/>
    <w:rsid w:val="00456733"/>
    <w:rsid w:val="00457344"/>
    <w:rsid w:val="00457C9C"/>
    <w:rsid w:val="004603ED"/>
    <w:rsid w:val="00460558"/>
    <w:rsid w:val="0046105F"/>
    <w:rsid w:val="00461FD2"/>
    <w:rsid w:val="00463B9A"/>
    <w:rsid w:val="004641FC"/>
    <w:rsid w:val="00465F11"/>
    <w:rsid w:val="00466D4C"/>
    <w:rsid w:val="004671BB"/>
    <w:rsid w:val="00470271"/>
    <w:rsid w:val="0047043A"/>
    <w:rsid w:val="00470606"/>
    <w:rsid w:val="0047297F"/>
    <w:rsid w:val="00472C7E"/>
    <w:rsid w:val="00472CA7"/>
    <w:rsid w:val="00473DC3"/>
    <w:rsid w:val="00474A54"/>
    <w:rsid w:val="004756F1"/>
    <w:rsid w:val="00475DF0"/>
    <w:rsid w:val="0047794F"/>
    <w:rsid w:val="00477BDB"/>
    <w:rsid w:val="00483C87"/>
    <w:rsid w:val="004858D0"/>
    <w:rsid w:val="00486C63"/>
    <w:rsid w:val="00487585"/>
    <w:rsid w:val="00494C43"/>
    <w:rsid w:val="00494FD6"/>
    <w:rsid w:val="0049511E"/>
    <w:rsid w:val="00495772"/>
    <w:rsid w:val="00495A44"/>
    <w:rsid w:val="00495E62"/>
    <w:rsid w:val="00496A7A"/>
    <w:rsid w:val="00497B5E"/>
    <w:rsid w:val="00497BFE"/>
    <w:rsid w:val="004A0131"/>
    <w:rsid w:val="004A01EB"/>
    <w:rsid w:val="004A14F7"/>
    <w:rsid w:val="004A20A8"/>
    <w:rsid w:val="004A477C"/>
    <w:rsid w:val="004A520B"/>
    <w:rsid w:val="004A55CC"/>
    <w:rsid w:val="004A6580"/>
    <w:rsid w:val="004A791B"/>
    <w:rsid w:val="004B0902"/>
    <w:rsid w:val="004B166F"/>
    <w:rsid w:val="004B19FC"/>
    <w:rsid w:val="004B22F6"/>
    <w:rsid w:val="004B2B52"/>
    <w:rsid w:val="004B343E"/>
    <w:rsid w:val="004B4CF9"/>
    <w:rsid w:val="004B509B"/>
    <w:rsid w:val="004B55BA"/>
    <w:rsid w:val="004B624F"/>
    <w:rsid w:val="004B7462"/>
    <w:rsid w:val="004C055B"/>
    <w:rsid w:val="004C0D60"/>
    <w:rsid w:val="004C1952"/>
    <w:rsid w:val="004C1BFE"/>
    <w:rsid w:val="004C1D65"/>
    <w:rsid w:val="004C2BAA"/>
    <w:rsid w:val="004C3886"/>
    <w:rsid w:val="004C7B6F"/>
    <w:rsid w:val="004C7E49"/>
    <w:rsid w:val="004D1560"/>
    <w:rsid w:val="004D2A65"/>
    <w:rsid w:val="004D2AB4"/>
    <w:rsid w:val="004D3829"/>
    <w:rsid w:val="004D3C80"/>
    <w:rsid w:val="004D658F"/>
    <w:rsid w:val="004D70A8"/>
    <w:rsid w:val="004D75C5"/>
    <w:rsid w:val="004E016D"/>
    <w:rsid w:val="004E0C4A"/>
    <w:rsid w:val="004E1DC6"/>
    <w:rsid w:val="004E2073"/>
    <w:rsid w:val="004E24E0"/>
    <w:rsid w:val="004E54A7"/>
    <w:rsid w:val="004F0A66"/>
    <w:rsid w:val="004F0A7A"/>
    <w:rsid w:val="004F1713"/>
    <w:rsid w:val="004F1EA3"/>
    <w:rsid w:val="004F2201"/>
    <w:rsid w:val="004F29C7"/>
    <w:rsid w:val="004F3141"/>
    <w:rsid w:val="004F39BF"/>
    <w:rsid w:val="004F4A02"/>
    <w:rsid w:val="004F4DB1"/>
    <w:rsid w:val="004F4FEC"/>
    <w:rsid w:val="004F6956"/>
    <w:rsid w:val="004F6E11"/>
    <w:rsid w:val="004F7DD7"/>
    <w:rsid w:val="005006A1"/>
    <w:rsid w:val="00500BD9"/>
    <w:rsid w:val="005031A4"/>
    <w:rsid w:val="00506025"/>
    <w:rsid w:val="00506093"/>
    <w:rsid w:val="0050609B"/>
    <w:rsid w:val="00510044"/>
    <w:rsid w:val="00510277"/>
    <w:rsid w:val="00510B91"/>
    <w:rsid w:val="00511026"/>
    <w:rsid w:val="00511400"/>
    <w:rsid w:val="00511C32"/>
    <w:rsid w:val="00512EB9"/>
    <w:rsid w:val="005170C3"/>
    <w:rsid w:val="00517937"/>
    <w:rsid w:val="00522697"/>
    <w:rsid w:val="00522738"/>
    <w:rsid w:val="00522F66"/>
    <w:rsid w:val="00523299"/>
    <w:rsid w:val="00523654"/>
    <w:rsid w:val="0052417B"/>
    <w:rsid w:val="00525166"/>
    <w:rsid w:val="00526162"/>
    <w:rsid w:val="005277DA"/>
    <w:rsid w:val="005313E0"/>
    <w:rsid w:val="0053166A"/>
    <w:rsid w:val="00532839"/>
    <w:rsid w:val="0053385F"/>
    <w:rsid w:val="00535192"/>
    <w:rsid w:val="00535366"/>
    <w:rsid w:val="00535C9B"/>
    <w:rsid w:val="00536F29"/>
    <w:rsid w:val="00537390"/>
    <w:rsid w:val="00537C7F"/>
    <w:rsid w:val="00541014"/>
    <w:rsid w:val="00541F34"/>
    <w:rsid w:val="00542267"/>
    <w:rsid w:val="00542AFB"/>
    <w:rsid w:val="00542DEB"/>
    <w:rsid w:val="00543003"/>
    <w:rsid w:val="00543210"/>
    <w:rsid w:val="005444A0"/>
    <w:rsid w:val="00544A11"/>
    <w:rsid w:val="00550B11"/>
    <w:rsid w:val="00550D44"/>
    <w:rsid w:val="00551B92"/>
    <w:rsid w:val="005522C0"/>
    <w:rsid w:val="00552A48"/>
    <w:rsid w:val="00553427"/>
    <w:rsid w:val="005555D3"/>
    <w:rsid w:val="00555669"/>
    <w:rsid w:val="005605B6"/>
    <w:rsid w:val="0056153E"/>
    <w:rsid w:val="00563337"/>
    <w:rsid w:val="005665C7"/>
    <w:rsid w:val="00566A31"/>
    <w:rsid w:val="00567733"/>
    <w:rsid w:val="00567AF7"/>
    <w:rsid w:val="00570027"/>
    <w:rsid w:val="005705E6"/>
    <w:rsid w:val="005712A3"/>
    <w:rsid w:val="00571592"/>
    <w:rsid w:val="0057222B"/>
    <w:rsid w:val="0057303A"/>
    <w:rsid w:val="00573136"/>
    <w:rsid w:val="00573384"/>
    <w:rsid w:val="00575534"/>
    <w:rsid w:val="0057667F"/>
    <w:rsid w:val="0058015E"/>
    <w:rsid w:val="0058032B"/>
    <w:rsid w:val="005820A7"/>
    <w:rsid w:val="005820C9"/>
    <w:rsid w:val="005829F0"/>
    <w:rsid w:val="00582AA7"/>
    <w:rsid w:val="00582C5F"/>
    <w:rsid w:val="005845D7"/>
    <w:rsid w:val="00585D35"/>
    <w:rsid w:val="00590174"/>
    <w:rsid w:val="00592615"/>
    <w:rsid w:val="005929FA"/>
    <w:rsid w:val="00593975"/>
    <w:rsid w:val="005939FA"/>
    <w:rsid w:val="00595C51"/>
    <w:rsid w:val="00595E5E"/>
    <w:rsid w:val="005962C6"/>
    <w:rsid w:val="00596A66"/>
    <w:rsid w:val="005972B7"/>
    <w:rsid w:val="005A01B9"/>
    <w:rsid w:val="005A191F"/>
    <w:rsid w:val="005A34B3"/>
    <w:rsid w:val="005A36F8"/>
    <w:rsid w:val="005A4E57"/>
    <w:rsid w:val="005A5A15"/>
    <w:rsid w:val="005A5E82"/>
    <w:rsid w:val="005A673E"/>
    <w:rsid w:val="005A6DA1"/>
    <w:rsid w:val="005A6E02"/>
    <w:rsid w:val="005A765D"/>
    <w:rsid w:val="005B005C"/>
    <w:rsid w:val="005B1241"/>
    <w:rsid w:val="005B19EA"/>
    <w:rsid w:val="005B2F6C"/>
    <w:rsid w:val="005B312A"/>
    <w:rsid w:val="005B4EE9"/>
    <w:rsid w:val="005B6263"/>
    <w:rsid w:val="005B74AD"/>
    <w:rsid w:val="005C0232"/>
    <w:rsid w:val="005C1620"/>
    <w:rsid w:val="005C2AEE"/>
    <w:rsid w:val="005C2EBF"/>
    <w:rsid w:val="005C32D8"/>
    <w:rsid w:val="005C3A30"/>
    <w:rsid w:val="005C3EE9"/>
    <w:rsid w:val="005C4C3B"/>
    <w:rsid w:val="005C6E33"/>
    <w:rsid w:val="005C7331"/>
    <w:rsid w:val="005C7DE5"/>
    <w:rsid w:val="005D1837"/>
    <w:rsid w:val="005D2F3B"/>
    <w:rsid w:val="005D38CC"/>
    <w:rsid w:val="005D3E14"/>
    <w:rsid w:val="005E0975"/>
    <w:rsid w:val="005E09AE"/>
    <w:rsid w:val="005E366C"/>
    <w:rsid w:val="005E3A90"/>
    <w:rsid w:val="005E41B0"/>
    <w:rsid w:val="005E6257"/>
    <w:rsid w:val="005E7480"/>
    <w:rsid w:val="005F037C"/>
    <w:rsid w:val="005F0FA3"/>
    <w:rsid w:val="005F13FD"/>
    <w:rsid w:val="005F2F6C"/>
    <w:rsid w:val="005F3CA8"/>
    <w:rsid w:val="005F441F"/>
    <w:rsid w:val="005F48BA"/>
    <w:rsid w:val="005F5BC8"/>
    <w:rsid w:val="005F5E3D"/>
    <w:rsid w:val="005F79A8"/>
    <w:rsid w:val="00603FFA"/>
    <w:rsid w:val="00605030"/>
    <w:rsid w:val="0060584A"/>
    <w:rsid w:val="00606B4C"/>
    <w:rsid w:val="006100FD"/>
    <w:rsid w:val="0061157D"/>
    <w:rsid w:val="00611A6E"/>
    <w:rsid w:val="006123FD"/>
    <w:rsid w:val="00613698"/>
    <w:rsid w:val="00613C38"/>
    <w:rsid w:val="00613D6D"/>
    <w:rsid w:val="00616FE9"/>
    <w:rsid w:val="006175DF"/>
    <w:rsid w:val="00617752"/>
    <w:rsid w:val="00621782"/>
    <w:rsid w:val="006217F5"/>
    <w:rsid w:val="00622114"/>
    <w:rsid w:val="006226D5"/>
    <w:rsid w:val="00623249"/>
    <w:rsid w:val="0062366D"/>
    <w:rsid w:val="00623DC1"/>
    <w:rsid w:val="00624651"/>
    <w:rsid w:val="00625902"/>
    <w:rsid w:val="00626812"/>
    <w:rsid w:val="00626F66"/>
    <w:rsid w:val="00630F61"/>
    <w:rsid w:val="00631463"/>
    <w:rsid w:val="00631F7E"/>
    <w:rsid w:val="0063271A"/>
    <w:rsid w:val="006329C1"/>
    <w:rsid w:val="006329C2"/>
    <w:rsid w:val="006338A8"/>
    <w:rsid w:val="006341CB"/>
    <w:rsid w:val="006365E6"/>
    <w:rsid w:val="00640FA0"/>
    <w:rsid w:val="00641317"/>
    <w:rsid w:val="00641494"/>
    <w:rsid w:val="00642F00"/>
    <w:rsid w:val="006431E1"/>
    <w:rsid w:val="00645F5E"/>
    <w:rsid w:val="006466E5"/>
    <w:rsid w:val="00646DD7"/>
    <w:rsid w:val="00647124"/>
    <w:rsid w:val="006508CF"/>
    <w:rsid w:val="00650D81"/>
    <w:rsid w:val="00651921"/>
    <w:rsid w:val="00651D1F"/>
    <w:rsid w:val="00652742"/>
    <w:rsid w:val="00653F13"/>
    <w:rsid w:val="00654E49"/>
    <w:rsid w:val="0065530E"/>
    <w:rsid w:val="00655B11"/>
    <w:rsid w:val="00656CD3"/>
    <w:rsid w:val="0065733B"/>
    <w:rsid w:val="0065789D"/>
    <w:rsid w:val="006578D7"/>
    <w:rsid w:val="00661715"/>
    <w:rsid w:val="006639A9"/>
    <w:rsid w:val="006667DB"/>
    <w:rsid w:val="006708CF"/>
    <w:rsid w:val="00670F7A"/>
    <w:rsid w:val="00671D5F"/>
    <w:rsid w:val="00672CB2"/>
    <w:rsid w:val="0067347A"/>
    <w:rsid w:val="006742B8"/>
    <w:rsid w:val="00676BD2"/>
    <w:rsid w:val="006817F1"/>
    <w:rsid w:val="0068188A"/>
    <w:rsid w:val="006818F6"/>
    <w:rsid w:val="00681FB4"/>
    <w:rsid w:val="00682D06"/>
    <w:rsid w:val="00683511"/>
    <w:rsid w:val="00684899"/>
    <w:rsid w:val="006868C4"/>
    <w:rsid w:val="00687F05"/>
    <w:rsid w:val="00690D4B"/>
    <w:rsid w:val="00690F56"/>
    <w:rsid w:val="0069229A"/>
    <w:rsid w:val="006924F7"/>
    <w:rsid w:val="00692FFF"/>
    <w:rsid w:val="006955E3"/>
    <w:rsid w:val="00696240"/>
    <w:rsid w:val="00696AE5"/>
    <w:rsid w:val="006974CB"/>
    <w:rsid w:val="006A1A00"/>
    <w:rsid w:val="006A2C36"/>
    <w:rsid w:val="006A2EB6"/>
    <w:rsid w:val="006A3368"/>
    <w:rsid w:val="006A3D96"/>
    <w:rsid w:val="006A3E75"/>
    <w:rsid w:val="006A6366"/>
    <w:rsid w:val="006A7FF6"/>
    <w:rsid w:val="006B00A9"/>
    <w:rsid w:val="006B2BB6"/>
    <w:rsid w:val="006B3CEA"/>
    <w:rsid w:val="006B457D"/>
    <w:rsid w:val="006B46D5"/>
    <w:rsid w:val="006B4D65"/>
    <w:rsid w:val="006B7B7F"/>
    <w:rsid w:val="006C0F29"/>
    <w:rsid w:val="006C1096"/>
    <w:rsid w:val="006C46F1"/>
    <w:rsid w:val="006C4F31"/>
    <w:rsid w:val="006C6496"/>
    <w:rsid w:val="006C7C58"/>
    <w:rsid w:val="006D153D"/>
    <w:rsid w:val="006D1CD1"/>
    <w:rsid w:val="006D22F6"/>
    <w:rsid w:val="006D3042"/>
    <w:rsid w:val="006D322A"/>
    <w:rsid w:val="006D3AD7"/>
    <w:rsid w:val="006D4A94"/>
    <w:rsid w:val="006D4B09"/>
    <w:rsid w:val="006E0705"/>
    <w:rsid w:val="006E0FF5"/>
    <w:rsid w:val="006E15B6"/>
    <w:rsid w:val="006E24F3"/>
    <w:rsid w:val="006E28DB"/>
    <w:rsid w:val="006E3250"/>
    <w:rsid w:val="006E32CC"/>
    <w:rsid w:val="006E35E2"/>
    <w:rsid w:val="006E3640"/>
    <w:rsid w:val="006E4A06"/>
    <w:rsid w:val="006E538C"/>
    <w:rsid w:val="006E66FB"/>
    <w:rsid w:val="006F147D"/>
    <w:rsid w:val="006F172F"/>
    <w:rsid w:val="006F4C60"/>
    <w:rsid w:val="006F60FA"/>
    <w:rsid w:val="006F6614"/>
    <w:rsid w:val="006F6D4D"/>
    <w:rsid w:val="006F7E2B"/>
    <w:rsid w:val="006F7F4B"/>
    <w:rsid w:val="0070140F"/>
    <w:rsid w:val="00701442"/>
    <w:rsid w:val="0070170A"/>
    <w:rsid w:val="00703D16"/>
    <w:rsid w:val="00704760"/>
    <w:rsid w:val="00704ED1"/>
    <w:rsid w:val="007076DE"/>
    <w:rsid w:val="00710845"/>
    <w:rsid w:val="00710D45"/>
    <w:rsid w:val="00710DEC"/>
    <w:rsid w:val="00713CA9"/>
    <w:rsid w:val="00714341"/>
    <w:rsid w:val="00715917"/>
    <w:rsid w:val="00716A74"/>
    <w:rsid w:val="0072225E"/>
    <w:rsid w:val="00722269"/>
    <w:rsid w:val="00725922"/>
    <w:rsid w:val="007265B8"/>
    <w:rsid w:val="00727757"/>
    <w:rsid w:val="0073177F"/>
    <w:rsid w:val="007320D4"/>
    <w:rsid w:val="00732402"/>
    <w:rsid w:val="0073304D"/>
    <w:rsid w:val="0073439A"/>
    <w:rsid w:val="00734885"/>
    <w:rsid w:val="00734E12"/>
    <w:rsid w:val="00735CE4"/>
    <w:rsid w:val="0073700A"/>
    <w:rsid w:val="00737EB7"/>
    <w:rsid w:val="007400A6"/>
    <w:rsid w:val="007415E3"/>
    <w:rsid w:val="00742F3C"/>
    <w:rsid w:val="00744B83"/>
    <w:rsid w:val="00745872"/>
    <w:rsid w:val="00745B4A"/>
    <w:rsid w:val="0074616C"/>
    <w:rsid w:val="00746F51"/>
    <w:rsid w:val="0074744E"/>
    <w:rsid w:val="007474BB"/>
    <w:rsid w:val="007506AE"/>
    <w:rsid w:val="00750B67"/>
    <w:rsid w:val="00751D80"/>
    <w:rsid w:val="00753813"/>
    <w:rsid w:val="00753D7B"/>
    <w:rsid w:val="00753DC5"/>
    <w:rsid w:val="00754287"/>
    <w:rsid w:val="00755221"/>
    <w:rsid w:val="00756DA4"/>
    <w:rsid w:val="00756E7B"/>
    <w:rsid w:val="007571FD"/>
    <w:rsid w:val="00760F0D"/>
    <w:rsid w:val="00761395"/>
    <w:rsid w:val="00763E28"/>
    <w:rsid w:val="0076405C"/>
    <w:rsid w:val="007643EC"/>
    <w:rsid w:val="0076644F"/>
    <w:rsid w:val="00766CE2"/>
    <w:rsid w:val="007675AE"/>
    <w:rsid w:val="00767C8A"/>
    <w:rsid w:val="007700AB"/>
    <w:rsid w:val="00770357"/>
    <w:rsid w:val="00770540"/>
    <w:rsid w:val="0077111D"/>
    <w:rsid w:val="00773DB8"/>
    <w:rsid w:val="00774515"/>
    <w:rsid w:val="0077636E"/>
    <w:rsid w:val="007778FD"/>
    <w:rsid w:val="00777ACD"/>
    <w:rsid w:val="00777E7C"/>
    <w:rsid w:val="007819B4"/>
    <w:rsid w:val="00781C87"/>
    <w:rsid w:val="007820C5"/>
    <w:rsid w:val="0078247C"/>
    <w:rsid w:val="0078248C"/>
    <w:rsid w:val="00782C3B"/>
    <w:rsid w:val="0078312F"/>
    <w:rsid w:val="00784DC8"/>
    <w:rsid w:val="007858C1"/>
    <w:rsid w:val="0078603E"/>
    <w:rsid w:val="0079050D"/>
    <w:rsid w:val="007927FB"/>
    <w:rsid w:val="00792C30"/>
    <w:rsid w:val="00793517"/>
    <w:rsid w:val="00793586"/>
    <w:rsid w:val="0079358F"/>
    <w:rsid w:val="007939AC"/>
    <w:rsid w:val="00793AF8"/>
    <w:rsid w:val="00797053"/>
    <w:rsid w:val="007A06BA"/>
    <w:rsid w:val="007A150E"/>
    <w:rsid w:val="007A1AD2"/>
    <w:rsid w:val="007A231D"/>
    <w:rsid w:val="007A3B71"/>
    <w:rsid w:val="007A3E1A"/>
    <w:rsid w:val="007A651D"/>
    <w:rsid w:val="007A6B7D"/>
    <w:rsid w:val="007A7573"/>
    <w:rsid w:val="007A7EDD"/>
    <w:rsid w:val="007A7F6A"/>
    <w:rsid w:val="007B031E"/>
    <w:rsid w:val="007B0832"/>
    <w:rsid w:val="007B1E9D"/>
    <w:rsid w:val="007B2890"/>
    <w:rsid w:val="007B4055"/>
    <w:rsid w:val="007B474A"/>
    <w:rsid w:val="007B489D"/>
    <w:rsid w:val="007B48B5"/>
    <w:rsid w:val="007B4C20"/>
    <w:rsid w:val="007B4D85"/>
    <w:rsid w:val="007B4EA7"/>
    <w:rsid w:val="007B54E7"/>
    <w:rsid w:val="007B68D4"/>
    <w:rsid w:val="007B7D32"/>
    <w:rsid w:val="007C2EC2"/>
    <w:rsid w:val="007C2F08"/>
    <w:rsid w:val="007C5127"/>
    <w:rsid w:val="007C56F0"/>
    <w:rsid w:val="007C60E7"/>
    <w:rsid w:val="007C6878"/>
    <w:rsid w:val="007D3284"/>
    <w:rsid w:val="007D3F16"/>
    <w:rsid w:val="007D637E"/>
    <w:rsid w:val="007D6850"/>
    <w:rsid w:val="007D6D2D"/>
    <w:rsid w:val="007D6D8D"/>
    <w:rsid w:val="007E2103"/>
    <w:rsid w:val="007E2CE8"/>
    <w:rsid w:val="007E2D40"/>
    <w:rsid w:val="007E30F1"/>
    <w:rsid w:val="007E526F"/>
    <w:rsid w:val="007E5B2D"/>
    <w:rsid w:val="007E635E"/>
    <w:rsid w:val="007F0737"/>
    <w:rsid w:val="007F07D6"/>
    <w:rsid w:val="007F0D7B"/>
    <w:rsid w:val="007F1415"/>
    <w:rsid w:val="007F1831"/>
    <w:rsid w:val="007F2159"/>
    <w:rsid w:val="007F5701"/>
    <w:rsid w:val="007F61F4"/>
    <w:rsid w:val="007F6ABB"/>
    <w:rsid w:val="007F7E17"/>
    <w:rsid w:val="00800667"/>
    <w:rsid w:val="008013A0"/>
    <w:rsid w:val="00801CD1"/>
    <w:rsid w:val="00802E99"/>
    <w:rsid w:val="008046BA"/>
    <w:rsid w:val="00804B8F"/>
    <w:rsid w:val="00805956"/>
    <w:rsid w:val="00805B85"/>
    <w:rsid w:val="00806170"/>
    <w:rsid w:val="00806B7D"/>
    <w:rsid w:val="00807925"/>
    <w:rsid w:val="00807DA7"/>
    <w:rsid w:val="00812885"/>
    <w:rsid w:val="00813B3F"/>
    <w:rsid w:val="00814E07"/>
    <w:rsid w:val="00814F3F"/>
    <w:rsid w:val="0081673C"/>
    <w:rsid w:val="00817655"/>
    <w:rsid w:val="00820EE5"/>
    <w:rsid w:val="0082164E"/>
    <w:rsid w:val="00823798"/>
    <w:rsid w:val="0082797A"/>
    <w:rsid w:val="00827A3A"/>
    <w:rsid w:val="008338A0"/>
    <w:rsid w:val="008341F9"/>
    <w:rsid w:val="0083501D"/>
    <w:rsid w:val="0083599E"/>
    <w:rsid w:val="00835FE1"/>
    <w:rsid w:val="008368BC"/>
    <w:rsid w:val="0083F823"/>
    <w:rsid w:val="008412C8"/>
    <w:rsid w:val="00842C2C"/>
    <w:rsid w:val="00845378"/>
    <w:rsid w:val="00850E2E"/>
    <w:rsid w:val="00851862"/>
    <w:rsid w:val="008523E1"/>
    <w:rsid w:val="00855A59"/>
    <w:rsid w:val="00855E73"/>
    <w:rsid w:val="008564A6"/>
    <w:rsid w:val="0086012F"/>
    <w:rsid w:val="00861198"/>
    <w:rsid w:val="0086302E"/>
    <w:rsid w:val="00865EA6"/>
    <w:rsid w:val="00867342"/>
    <w:rsid w:val="00870558"/>
    <w:rsid w:val="00870C2C"/>
    <w:rsid w:val="008712B4"/>
    <w:rsid w:val="00874386"/>
    <w:rsid w:val="00874DB9"/>
    <w:rsid w:val="00877CE2"/>
    <w:rsid w:val="00880604"/>
    <w:rsid w:val="00881FAA"/>
    <w:rsid w:val="0088269E"/>
    <w:rsid w:val="00882B44"/>
    <w:rsid w:val="00883BAC"/>
    <w:rsid w:val="00883BC8"/>
    <w:rsid w:val="00884AF1"/>
    <w:rsid w:val="0088571C"/>
    <w:rsid w:val="00885DB7"/>
    <w:rsid w:val="00886444"/>
    <w:rsid w:val="008867FD"/>
    <w:rsid w:val="00887A87"/>
    <w:rsid w:val="00890214"/>
    <w:rsid w:val="00892D18"/>
    <w:rsid w:val="00895BBA"/>
    <w:rsid w:val="008A0104"/>
    <w:rsid w:val="008A19E7"/>
    <w:rsid w:val="008A2316"/>
    <w:rsid w:val="008A3203"/>
    <w:rsid w:val="008A51C5"/>
    <w:rsid w:val="008A5F5F"/>
    <w:rsid w:val="008A62A2"/>
    <w:rsid w:val="008A65DF"/>
    <w:rsid w:val="008A68AC"/>
    <w:rsid w:val="008A6D21"/>
    <w:rsid w:val="008A6EA0"/>
    <w:rsid w:val="008B0068"/>
    <w:rsid w:val="008B0DE4"/>
    <w:rsid w:val="008B1360"/>
    <w:rsid w:val="008B3DF4"/>
    <w:rsid w:val="008B411A"/>
    <w:rsid w:val="008B4AC7"/>
    <w:rsid w:val="008B4ED0"/>
    <w:rsid w:val="008B5E84"/>
    <w:rsid w:val="008B67F7"/>
    <w:rsid w:val="008B6B7B"/>
    <w:rsid w:val="008B7676"/>
    <w:rsid w:val="008B7B5A"/>
    <w:rsid w:val="008C022C"/>
    <w:rsid w:val="008C2208"/>
    <w:rsid w:val="008C2A67"/>
    <w:rsid w:val="008C2CE8"/>
    <w:rsid w:val="008C32D0"/>
    <w:rsid w:val="008C425F"/>
    <w:rsid w:val="008C4AF0"/>
    <w:rsid w:val="008C760B"/>
    <w:rsid w:val="008D12CE"/>
    <w:rsid w:val="008D41C1"/>
    <w:rsid w:val="008D6558"/>
    <w:rsid w:val="008D6AD7"/>
    <w:rsid w:val="008D7013"/>
    <w:rsid w:val="008D7421"/>
    <w:rsid w:val="008E1231"/>
    <w:rsid w:val="008E1712"/>
    <w:rsid w:val="008E1CC4"/>
    <w:rsid w:val="008E5244"/>
    <w:rsid w:val="008E7150"/>
    <w:rsid w:val="008F2340"/>
    <w:rsid w:val="008F2549"/>
    <w:rsid w:val="008F40DF"/>
    <w:rsid w:val="008F411F"/>
    <w:rsid w:val="008F4290"/>
    <w:rsid w:val="008F4F13"/>
    <w:rsid w:val="008F5BFC"/>
    <w:rsid w:val="008F698E"/>
    <w:rsid w:val="008F6B07"/>
    <w:rsid w:val="008F7E01"/>
    <w:rsid w:val="008F7E90"/>
    <w:rsid w:val="00900A95"/>
    <w:rsid w:val="0090203B"/>
    <w:rsid w:val="00902C48"/>
    <w:rsid w:val="00903776"/>
    <w:rsid w:val="00903925"/>
    <w:rsid w:val="009056D9"/>
    <w:rsid w:val="00905965"/>
    <w:rsid w:val="00906971"/>
    <w:rsid w:val="0090771D"/>
    <w:rsid w:val="00907B08"/>
    <w:rsid w:val="00910E7D"/>
    <w:rsid w:val="0091185E"/>
    <w:rsid w:val="00912A2E"/>
    <w:rsid w:val="00912E3C"/>
    <w:rsid w:val="00915235"/>
    <w:rsid w:val="009156D9"/>
    <w:rsid w:val="00915A38"/>
    <w:rsid w:val="00915ED2"/>
    <w:rsid w:val="00917DBA"/>
    <w:rsid w:val="00921389"/>
    <w:rsid w:val="00922D0F"/>
    <w:rsid w:val="0092315E"/>
    <w:rsid w:val="00926FEE"/>
    <w:rsid w:val="00927102"/>
    <w:rsid w:val="00927167"/>
    <w:rsid w:val="00931D80"/>
    <w:rsid w:val="009321D5"/>
    <w:rsid w:val="009322AE"/>
    <w:rsid w:val="00933850"/>
    <w:rsid w:val="00936085"/>
    <w:rsid w:val="0093771D"/>
    <w:rsid w:val="00940FA6"/>
    <w:rsid w:val="009421DE"/>
    <w:rsid w:val="009435C7"/>
    <w:rsid w:val="0094412F"/>
    <w:rsid w:val="00944A45"/>
    <w:rsid w:val="00945F03"/>
    <w:rsid w:val="0094661B"/>
    <w:rsid w:val="009473BC"/>
    <w:rsid w:val="00947AF2"/>
    <w:rsid w:val="00954733"/>
    <w:rsid w:val="00955917"/>
    <w:rsid w:val="009609C3"/>
    <w:rsid w:val="00960B6C"/>
    <w:rsid w:val="009627BE"/>
    <w:rsid w:val="0096350A"/>
    <w:rsid w:val="009643F1"/>
    <w:rsid w:val="00965B5E"/>
    <w:rsid w:val="00966975"/>
    <w:rsid w:val="00966A94"/>
    <w:rsid w:val="00967014"/>
    <w:rsid w:val="00967CB9"/>
    <w:rsid w:val="009707E6"/>
    <w:rsid w:val="009713DB"/>
    <w:rsid w:val="009733E8"/>
    <w:rsid w:val="009738DA"/>
    <w:rsid w:val="0097415E"/>
    <w:rsid w:val="009755C5"/>
    <w:rsid w:val="00976873"/>
    <w:rsid w:val="00976E4E"/>
    <w:rsid w:val="009774D3"/>
    <w:rsid w:val="00982708"/>
    <w:rsid w:val="009832FE"/>
    <w:rsid w:val="0098642A"/>
    <w:rsid w:val="009870FB"/>
    <w:rsid w:val="00987D17"/>
    <w:rsid w:val="00987FE8"/>
    <w:rsid w:val="00990619"/>
    <w:rsid w:val="009917C9"/>
    <w:rsid w:val="00992EE9"/>
    <w:rsid w:val="00995302"/>
    <w:rsid w:val="00995352"/>
    <w:rsid w:val="0099636F"/>
    <w:rsid w:val="00996B97"/>
    <w:rsid w:val="00996D3B"/>
    <w:rsid w:val="009A089D"/>
    <w:rsid w:val="009A227B"/>
    <w:rsid w:val="009A2F68"/>
    <w:rsid w:val="009A39F6"/>
    <w:rsid w:val="009A5C7E"/>
    <w:rsid w:val="009A5E3E"/>
    <w:rsid w:val="009A7373"/>
    <w:rsid w:val="009A7DFA"/>
    <w:rsid w:val="009A7E2E"/>
    <w:rsid w:val="009A7E39"/>
    <w:rsid w:val="009B01C8"/>
    <w:rsid w:val="009B1AE6"/>
    <w:rsid w:val="009B2BA1"/>
    <w:rsid w:val="009B3B90"/>
    <w:rsid w:val="009B4C88"/>
    <w:rsid w:val="009C0159"/>
    <w:rsid w:val="009C07A1"/>
    <w:rsid w:val="009C2117"/>
    <w:rsid w:val="009C21AB"/>
    <w:rsid w:val="009C2545"/>
    <w:rsid w:val="009C2695"/>
    <w:rsid w:val="009C28DE"/>
    <w:rsid w:val="009C4A62"/>
    <w:rsid w:val="009C55D4"/>
    <w:rsid w:val="009C59E0"/>
    <w:rsid w:val="009C61C5"/>
    <w:rsid w:val="009C6ABA"/>
    <w:rsid w:val="009C6BA9"/>
    <w:rsid w:val="009D0415"/>
    <w:rsid w:val="009D096D"/>
    <w:rsid w:val="009D113B"/>
    <w:rsid w:val="009D5CB6"/>
    <w:rsid w:val="009D610A"/>
    <w:rsid w:val="009E1A43"/>
    <w:rsid w:val="009E20A7"/>
    <w:rsid w:val="009E7F0C"/>
    <w:rsid w:val="009F03DC"/>
    <w:rsid w:val="009F138E"/>
    <w:rsid w:val="009F39AD"/>
    <w:rsid w:val="009F4433"/>
    <w:rsid w:val="009F45C8"/>
    <w:rsid w:val="009F4616"/>
    <w:rsid w:val="009F4B9D"/>
    <w:rsid w:val="009F56B3"/>
    <w:rsid w:val="009F5C88"/>
    <w:rsid w:val="009F7A02"/>
    <w:rsid w:val="009F7C88"/>
    <w:rsid w:val="00A00451"/>
    <w:rsid w:val="00A0092A"/>
    <w:rsid w:val="00A022BC"/>
    <w:rsid w:val="00A033A3"/>
    <w:rsid w:val="00A04880"/>
    <w:rsid w:val="00A049B9"/>
    <w:rsid w:val="00A0509B"/>
    <w:rsid w:val="00A05131"/>
    <w:rsid w:val="00A075F3"/>
    <w:rsid w:val="00A0787F"/>
    <w:rsid w:val="00A10504"/>
    <w:rsid w:val="00A107AD"/>
    <w:rsid w:val="00A10D18"/>
    <w:rsid w:val="00A13847"/>
    <w:rsid w:val="00A13B92"/>
    <w:rsid w:val="00A1490C"/>
    <w:rsid w:val="00A17E28"/>
    <w:rsid w:val="00A21B05"/>
    <w:rsid w:val="00A24025"/>
    <w:rsid w:val="00A27FCB"/>
    <w:rsid w:val="00A30416"/>
    <w:rsid w:val="00A32FE1"/>
    <w:rsid w:val="00A330CA"/>
    <w:rsid w:val="00A332F1"/>
    <w:rsid w:val="00A3398D"/>
    <w:rsid w:val="00A351ED"/>
    <w:rsid w:val="00A359C6"/>
    <w:rsid w:val="00A418DF"/>
    <w:rsid w:val="00A4195E"/>
    <w:rsid w:val="00A429C7"/>
    <w:rsid w:val="00A43332"/>
    <w:rsid w:val="00A43AEA"/>
    <w:rsid w:val="00A4447D"/>
    <w:rsid w:val="00A447F1"/>
    <w:rsid w:val="00A44902"/>
    <w:rsid w:val="00A45165"/>
    <w:rsid w:val="00A47A0C"/>
    <w:rsid w:val="00A47C86"/>
    <w:rsid w:val="00A506F9"/>
    <w:rsid w:val="00A55547"/>
    <w:rsid w:val="00A5677A"/>
    <w:rsid w:val="00A57A65"/>
    <w:rsid w:val="00A57B65"/>
    <w:rsid w:val="00A603B2"/>
    <w:rsid w:val="00A613B3"/>
    <w:rsid w:val="00A615CC"/>
    <w:rsid w:val="00A61D5A"/>
    <w:rsid w:val="00A62D4C"/>
    <w:rsid w:val="00A638E3"/>
    <w:rsid w:val="00A63F49"/>
    <w:rsid w:val="00A6500A"/>
    <w:rsid w:val="00A65289"/>
    <w:rsid w:val="00A66959"/>
    <w:rsid w:val="00A67459"/>
    <w:rsid w:val="00A7120F"/>
    <w:rsid w:val="00A71BB5"/>
    <w:rsid w:val="00A72198"/>
    <w:rsid w:val="00A74960"/>
    <w:rsid w:val="00A77599"/>
    <w:rsid w:val="00A825B8"/>
    <w:rsid w:val="00A840F8"/>
    <w:rsid w:val="00A857F5"/>
    <w:rsid w:val="00A85BF4"/>
    <w:rsid w:val="00A85D96"/>
    <w:rsid w:val="00A878B4"/>
    <w:rsid w:val="00A90523"/>
    <w:rsid w:val="00A9309D"/>
    <w:rsid w:val="00A96349"/>
    <w:rsid w:val="00A9692C"/>
    <w:rsid w:val="00A96AFC"/>
    <w:rsid w:val="00A9745B"/>
    <w:rsid w:val="00A97EB5"/>
    <w:rsid w:val="00AA15B4"/>
    <w:rsid w:val="00AA178D"/>
    <w:rsid w:val="00AA3A76"/>
    <w:rsid w:val="00AA5567"/>
    <w:rsid w:val="00AA686C"/>
    <w:rsid w:val="00AA6FD5"/>
    <w:rsid w:val="00AA705F"/>
    <w:rsid w:val="00AB00AA"/>
    <w:rsid w:val="00AB1234"/>
    <w:rsid w:val="00AB48B5"/>
    <w:rsid w:val="00AB52D7"/>
    <w:rsid w:val="00AB6334"/>
    <w:rsid w:val="00AB6E1A"/>
    <w:rsid w:val="00AB714D"/>
    <w:rsid w:val="00AB7734"/>
    <w:rsid w:val="00AC0183"/>
    <w:rsid w:val="00AC247A"/>
    <w:rsid w:val="00AC3361"/>
    <w:rsid w:val="00AC477B"/>
    <w:rsid w:val="00AC6BD0"/>
    <w:rsid w:val="00AC71E7"/>
    <w:rsid w:val="00AC733A"/>
    <w:rsid w:val="00AD032B"/>
    <w:rsid w:val="00AD13B3"/>
    <w:rsid w:val="00AD21A9"/>
    <w:rsid w:val="00AD2E9A"/>
    <w:rsid w:val="00AD3A86"/>
    <w:rsid w:val="00AD4E53"/>
    <w:rsid w:val="00AD6022"/>
    <w:rsid w:val="00AD61E9"/>
    <w:rsid w:val="00AE0A90"/>
    <w:rsid w:val="00AE2840"/>
    <w:rsid w:val="00AE28EB"/>
    <w:rsid w:val="00AE2D1E"/>
    <w:rsid w:val="00AE3C9B"/>
    <w:rsid w:val="00AE5C09"/>
    <w:rsid w:val="00AE61CC"/>
    <w:rsid w:val="00AE667E"/>
    <w:rsid w:val="00AE72D6"/>
    <w:rsid w:val="00AE7988"/>
    <w:rsid w:val="00AF0329"/>
    <w:rsid w:val="00AF03A2"/>
    <w:rsid w:val="00AF0CDF"/>
    <w:rsid w:val="00AF1C72"/>
    <w:rsid w:val="00AF221C"/>
    <w:rsid w:val="00AF3560"/>
    <w:rsid w:val="00AF3F8B"/>
    <w:rsid w:val="00AF4C08"/>
    <w:rsid w:val="00AF6E82"/>
    <w:rsid w:val="00AF7AEF"/>
    <w:rsid w:val="00AF7D9B"/>
    <w:rsid w:val="00AF7EE8"/>
    <w:rsid w:val="00B00D87"/>
    <w:rsid w:val="00B02AEB"/>
    <w:rsid w:val="00B03035"/>
    <w:rsid w:val="00B03824"/>
    <w:rsid w:val="00B03D5A"/>
    <w:rsid w:val="00B056EC"/>
    <w:rsid w:val="00B06326"/>
    <w:rsid w:val="00B075D7"/>
    <w:rsid w:val="00B1061B"/>
    <w:rsid w:val="00B11A48"/>
    <w:rsid w:val="00B1246B"/>
    <w:rsid w:val="00B13AB0"/>
    <w:rsid w:val="00B14DFB"/>
    <w:rsid w:val="00B1671E"/>
    <w:rsid w:val="00B17435"/>
    <w:rsid w:val="00B1752B"/>
    <w:rsid w:val="00B1781D"/>
    <w:rsid w:val="00B20D71"/>
    <w:rsid w:val="00B21EE7"/>
    <w:rsid w:val="00B226D9"/>
    <w:rsid w:val="00B22A8E"/>
    <w:rsid w:val="00B22F8D"/>
    <w:rsid w:val="00B230EC"/>
    <w:rsid w:val="00B24106"/>
    <w:rsid w:val="00B26755"/>
    <w:rsid w:val="00B26A07"/>
    <w:rsid w:val="00B26ED4"/>
    <w:rsid w:val="00B30542"/>
    <w:rsid w:val="00B30718"/>
    <w:rsid w:val="00B314AB"/>
    <w:rsid w:val="00B33883"/>
    <w:rsid w:val="00B33EE6"/>
    <w:rsid w:val="00B34419"/>
    <w:rsid w:val="00B35A9E"/>
    <w:rsid w:val="00B35EF6"/>
    <w:rsid w:val="00B37B92"/>
    <w:rsid w:val="00B37CE4"/>
    <w:rsid w:val="00B404B8"/>
    <w:rsid w:val="00B4140A"/>
    <w:rsid w:val="00B41561"/>
    <w:rsid w:val="00B418A0"/>
    <w:rsid w:val="00B41AA7"/>
    <w:rsid w:val="00B42AB6"/>
    <w:rsid w:val="00B42DF2"/>
    <w:rsid w:val="00B44329"/>
    <w:rsid w:val="00B451FD"/>
    <w:rsid w:val="00B45C22"/>
    <w:rsid w:val="00B45F4B"/>
    <w:rsid w:val="00B504B1"/>
    <w:rsid w:val="00B51FAA"/>
    <w:rsid w:val="00B52532"/>
    <w:rsid w:val="00B52541"/>
    <w:rsid w:val="00B52B52"/>
    <w:rsid w:val="00B54A2C"/>
    <w:rsid w:val="00B5556C"/>
    <w:rsid w:val="00B55C3F"/>
    <w:rsid w:val="00B613AA"/>
    <w:rsid w:val="00B61EF8"/>
    <w:rsid w:val="00B629B9"/>
    <w:rsid w:val="00B64004"/>
    <w:rsid w:val="00B645F0"/>
    <w:rsid w:val="00B6481A"/>
    <w:rsid w:val="00B704F9"/>
    <w:rsid w:val="00B70641"/>
    <w:rsid w:val="00B713E1"/>
    <w:rsid w:val="00B72048"/>
    <w:rsid w:val="00B72C41"/>
    <w:rsid w:val="00B75CC7"/>
    <w:rsid w:val="00B7633A"/>
    <w:rsid w:val="00B76D83"/>
    <w:rsid w:val="00B80C56"/>
    <w:rsid w:val="00B824D1"/>
    <w:rsid w:val="00B82EFA"/>
    <w:rsid w:val="00B8309C"/>
    <w:rsid w:val="00B85CFF"/>
    <w:rsid w:val="00B8616F"/>
    <w:rsid w:val="00B87233"/>
    <w:rsid w:val="00B87787"/>
    <w:rsid w:val="00B9002E"/>
    <w:rsid w:val="00B90B81"/>
    <w:rsid w:val="00B94CAF"/>
    <w:rsid w:val="00B95E59"/>
    <w:rsid w:val="00B96734"/>
    <w:rsid w:val="00B9724B"/>
    <w:rsid w:val="00BA070B"/>
    <w:rsid w:val="00BA0EBF"/>
    <w:rsid w:val="00BA2CF4"/>
    <w:rsid w:val="00BA5C36"/>
    <w:rsid w:val="00BB0367"/>
    <w:rsid w:val="00BB0A66"/>
    <w:rsid w:val="00BB10EC"/>
    <w:rsid w:val="00BB19C4"/>
    <w:rsid w:val="00BB2090"/>
    <w:rsid w:val="00BB2B85"/>
    <w:rsid w:val="00BB2C31"/>
    <w:rsid w:val="00BB2EE6"/>
    <w:rsid w:val="00BB30C0"/>
    <w:rsid w:val="00BB32C3"/>
    <w:rsid w:val="00BB36F9"/>
    <w:rsid w:val="00BB3DBC"/>
    <w:rsid w:val="00BB41DD"/>
    <w:rsid w:val="00BB496C"/>
    <w:rsid w:val="00BB5C03"/>
    <w:rsid w:val="00BB69D9"/>
    <w:rsid w:val="00BC0DAC"/>
    <w:rsid w:val="00BC1008"/>
    <w:rsid w:val="00BC214E"/>
    <w:rsid w:val="00BC2222"/>
    <w:rsid w:val="00BC295B"/>
    <w:rsid w:val="00BC2B23"/>
    <w:rsid w:val="00BC459D"/>
    <w:rsid w:val="00BC492A"/>
    <w:rsid w:val="00BC4A52"/>
    <w:rsid w:val="00BC57CC"/>
    <w:rsid w:val="00BC57EA"/>
    <w:rsid w:val="00BC60EB"/>
    <w:rsid w:val="00BC6F65"/>
    <w:rsid w:val="00BC74FF"/>
    <w:rsid w:val="00BD0567"/>
    <w:rsid w:val="00BD1689"/>
    <w:rsid w:val="00BD2BF7"/>
    <w:rsid w:val="00BD4C75"/>
    <w:rsid w:val="00BD5240"/>
    <w:rsid w:val="00BD5B2D"/>
    <w:rsid w:val="00BD615D"/>
    <w:rsid w:val="00BD7084"/>
    <w:rsid w:val="00BD7EA8"/>
    <w:rsid w:val="00BE00E2"/>
    <w:rsid w:val="00BE138F"/>
    <w:rsid w:val="00BE2900"/>
    <w:rsid w:val="00BE2B03"/>
    <w:rsid w:val="00BE2E9C"/>
    <w:rsid w:val="00BE42E0"/>
    <w:rsid w:val="00BE6B96"/>
    <w:rsid w:val="00BE6FFC"/>
    <w:rsid w:val="00BF425D"/>
    <w:rsid w:val="00BF63D0"/>
    <w:rsid w:val="00BF754D"/>
    <w:rsid w:val="00C0017E"/>
    <w:rsid w:val="00C0050B"/>
    <w:rsid w:val="00C0097B"/>
    <w:rsid w:val="00C02722"/>
    <w:rsid w:val="00C02DDF"/>
    <w:rsid w:val="00C04CEA"/>
    <w:rsid w:val="00C059FC"/>
    <w:rsid w:val="00C05D25"/>
    <w:rsid w:val="00C0695C"/>
    <w:rsid w:val="00C06C21"/>
    <w:rsid w:val="00C06ED7"/>
    <w:rsid w:val="00C10275"/>
    <w:rsid w:val="00C1125E"/>
    <w:rsid w:val="00C11940"/>
    <w:rsid w:val="00C11A8C"/>
    <w:rsid w:val="00C1205E"/>
    <w:rsid w:val="00C12182"/>
    <w:rsid w:val="00C121F3"/>
    <w:rsid w:val="00C13807"/>
    <w:rsid w:val="00C149A3"/>
    <w:rsid w:val="00C157C0"/>
    <w:rsid w:val="00C2041A"/>
    <w:rsid w:val="00C204A5"/>
    <w:rsid w:val="00C2092E"/>
    <w:rsid w:val="00C225FE"/>
    <w:rsid w:val="00C264A8"/>
    <w:rsid w:val="00C30199"/>
    <w:rsid w:val="00C3235F"/>
    <w:rsid w:val="00C323CA"/>
    <w:rsid w:val="00C32D09"/>
    <w:rsid w:val="00C331D2"/>
    <w:rsid w:val="00C3406E"/>
    <w:rsid w:val="00C35FBC"/>
    <w:rsid w:val="00C36075"/>
    <w:rsid w:val="00C36697"/>
    <w:rsid w:val="00C36988"/>
    <w:rsid w:val="00C369DC"/>
    <w:rsid w:val="00C36CBD"/>
    <w:rsid w:val="00C379FB"/>
    <w:rsid w:val="00C414D1"/>
    <w:rsid w:val="00C418F6"/>
    <w:rsid w:val="00C424C0"/>
    <w:rsid w:val="00C44519"/>
    <w:rsid w:val="00C44B25"/>
    <w:rsid w:val="00C50AB1"/>
    <w:rsid w:val="00C51396"/>
    <w:rsid w:val="00C538D3"/>
    <w:rsid w:val="00C564A0"/>
    <w:rsid w:val="00C5716C"/>
    <w:rsid w:val="00C57E01"/>
    <w:rsid w:val="00C60860"/>
    <w:rsid w:val="00C6091A"/>
    <w:rsid w:val="00C613FC"/>
    <w:rsid w:val="00C63237"/>
    <w:rsid w:val="00C636EE"/>
    <w:rsid w:val="00C66101"/>
    <w:rsid w:val="00C67ED2"/>
    <w:rsid w:val="00C7025E"/>
    <w:rsid w:val="00C7082C"/>
    <w:rsid w:val="00C7207E"/>
    <w:rsid w:val="00C7232D"/>
    <w:rsid w:val="00C7273B"/>
    <w:rsid w:val="00C75697"/>
    <w:rsid w:val="00C777BA"/>
    <w:rsid w:val="00C81A1B"/>
    <w:rsid w:val="00C83021"/>
    <w:rsid w:val="00C8375F"/>
    <w:rsid w:val="00C83CE6"/>
    <w:rsid w:val="00C83E97"/>
    <w:rsid w:val="00C85548"/>
    <w:rsid w:val="00C859FF"/>
    <w:rsid w:val="00C860BB"/>
    <w:rsid w:val="00C865D2"/>
    <w:rsid w:val="00C91690"/>
    <w:rsid w:val="00C91835"/>
    <w:rsid w:val="00C91E5F"/>
    <w:rsid w:val="00C91E8C"/>
    <w:rsid w:val="00C966F9"/>
    <w:rsid w:val="00CA254A"/>
    <w:rsid w:val="00CA2AA0"/>
    <w:rsid w:val="00CA64A6"/>
    <w:rsid w:val="00CA7800"/>
    <w:rsid w:val="00CA7D3B"/>
    <w:rsid w:val="00CB0E08"/>
    <w:rsid w:val="00CB1949"/>
    <w:rsid w:val="00CB27D7"/>
    <w:rsid w:val="00CB31D0"/>
    <w:rsid w:val="00CB36CA"/>
    <w:rsid w:val="00CB45DA"/>
    <w:rsid w:val="00CB47AF"/>
    <w:rsid w:val="00CB62C1"/>
    <w:rsid w:val="00CB6795"/>
    <w:rsid w:val="00CB68A7"/>
    <w:rsid w:val="00CB69DD"/>
    <w:rsid w:val="00CC0425"/>
    <w:rsid w:val="00CC1CAF"/>
    <w:rsid w:val="00CC22E5"/>
    <w:rsid w:val="00CC296D"/>
    <w:rsid w:val="00CC29E9"/>
    <w:rsid w:val="00CC3465"/>
    <w:rsid w:val="00CC3814"/>
    <w:rsid w:val="00CC3B40"/>
    <w:rsid w:val="00CC49F0"/>
    <w:rsid w:val="00CC6462"/>
    <w:rsid w:val="00CC6B91"/>
    <w:rsid w:val="00CC764A"/>
    <w:rsid w:val="00CD0287"/>
    <w:rsid w:val="00CD2310"/>
    <w:rsid w:val="00CD3131"/>
    <w:rsid w:val="00CD3495"/>
    <w:rsid w:val="00CD38A6"/>
    <w:rsid w:val="00CD64FB"/>
    <w:rsid w:val="00CD7139"/>
    <w:rsid w:val="00CD77B0"/>
    <w:rsid w:val="00CE097A"/>
    <w:rsid w:val="00CE0B13"/>
    <w:rsid w:val="00CE1755"/>
    <w:rsid w:val="00CE1D4C"/>
    <w:rsid w:val="00CE429E"/>
    <w:rsid w:val="00CE432A"/>
    <w:rsid w:val="00CE46E7"/>
    <w:rsid w:val="00CF052F"/>
    <w:rsid w:val="00CF1675"/>
    <w:rsid w:val="00CF2800"/>
    <w:rsid w:val="00CF2BF9"/>
    <w:rsid w:val="00CF2E4D"/>
    <w:rsid w:val="00CF3290"/>
    <w:rsid w:val="00CF348C"/>
    <w:rsid w:val="00CF3D4F"/>
    <w:rsid w:val="00CF4562"/>
    <w:rsid w:val="00CF4D78"/>
    <w:rsid w:val="00CF5B31"/>
    <w:rsid w:val="00CF6294"/>
    <w:rsid w:val="00D00CF8"/>
    <w:rsid w:val="00D0119E"/>
    <w:rsid w:val="00D026D0"/>
    <w:rsid w:val="00D03B7F"/>
    <w:rsid w:val="00D046EA"/>
    <w:rsid w:val="00D052F1"/>
    <w:rsid w:val="00D0556E"/>
    <w:rsid w:val="00D05BF2"/>
    <w:rsid w:val="00D05F5C"/>
    <w:rsid w:val="00D12EB6"/>
    <w:rsid w:val="00D14482"/>
    <w:rsid w:val="00D14595"/>
    <w:rsid w:val="00D15565"/>
    <w:rsid w:val="00D15C64"/>
    <w:rsid w:val="00D168BD"/>
    <w:rsid w:val="00D16CB3"/>
    <w:rsid w:val="00D16FA7"/>
    <w:rsid w:val="00D17B16"/>
    <w:rsid w:val="00D17C22"/>
    <w:rsid w:val="00D2012D"/>
    <w:rsid w:val="00D20AEE"/>
    <w:rsid w:val="00D225BC"/>
    <w:rsid w:val="00D2271F"/>
    <w:rsid w:val="00D2372E"/>
    <w:rsid w:val="00D23C14"/>
    <w:rsid w:val="00D2550D"/>
    <w:rsid w:val="00D2590B"/>
    <w:rsid w:val="00D3081D"/>
    <w:rsid w:val="00D30902"/>
    <w:rsid w:val="00D31F42"/>
    <w:rsid w:val="00D32974"/>
    <w:rsid w:val="00D344ED"/>
    <w:rsid w:val="00D34878"/>
    <w:rsid w:val="00D35D3A"/>
    <w:rsid w:val="00D3636E"/>
    <w:rsid w:val="00D400D9"/>
    <w:rsid w:val="00D402D0"/>
    <w:rsid w:val="00D404B4"/>
    <w:rsid w:val="00D41689"/>
    <w:rsid w:val="00D41D64"/>
    <w:rsid w:val="00D421D6"/>
    <w:rsid w:val="00D4300B"/>
    <w:rsid w:val="00D4449D"/>
    <w:rsid w:val="00D44FF7"/>
    <w:rsid w:val="00D46C4B"/>
    <w:rsid w:val="00D46F20"/>
    <w:rsid w:val="00D47E4A"/>
    <w:rsid w:val="00D47FDB"/>
    <w:rsid w:val="00D51969"/>
    <w:rsid w:val="00D51D1C"/>
    <w:rsid w:val="00D51EFC"/>
    <w:rsid w:val="00D52345"/>
    <w:rsid w:val="00D52F98"/>
    <w:rsid w:val="00D55847"/>
    <w:rsid w:val="00D560C4"/>
    <w:rsid w:val="00D56CBD"/>
    <w:rsid w:val="00D57DFC"/>
    <w:rsid w:val="00D60EA6"/>
    <w:rsid w:val="00D60FB0"/>
    <w:rsid w:val="00D62BCE"/>
    <w:rsid w:val="00D63410"/>
    <w:rsid w:val="00D6363A"/>
    <w:rsid w:val="00D64947"/>
    <w:rsid w:val="00D6660B"/>
    <w:rsid w:val="00D669A4"/>
    <w:rsid w:val="00D6715E"/>
    <w:rsid w:val="00D678A3"/>
    <w:rsid w:val="00D67F4D"/>
    <w:rsid w:val="00D70451"/>
    <w:rsid w:val="00D71F11"/>
    <w:rsid w:val="00D740E9"/>
    <w:rsid w:val="00D74C55"/>
    <w:rsid w:val="00D76039"/>
    <w:rsid w:val="00D768A5"/>
    <w:rsid w:val="00D76C0E"/>
    <w:rsid w:val="00D7761B"/>
    <w:rsid w:val="00D80FB7"/>
    <w:rsid w:val="00D8121F"/>
    <w:rsid w:val="00D81F74"/>
    <w:rsid w:val="00D82950"/>
    <w:rsid w:val="00D865D1"/>
    <w:rsid w:val="00D8723D"/>
    <w:rsid w:val="00D873C3"/>
    <w:rsid w:val="00D87CCE"/>
    <w:rsid w:val="00D915C9"/>
    <w:rsid w:val="00D92F8B"/>
    <w:rsid w:val="00D946D9"/>
    <w:rsid w:val="00D94AB9"/>
    <w:rsid w:val="00D96519"/>
    <w:rsid w:val="00DA06A4"/>
    <w:rsid w:val="00DA319C"/>
    <w:rsid w:val="00DA3803"/>
    <w:rsid w:val="00DA4FB5"/>
    <w:rsid w:val="00DA72F1"/>
    <w:rsid w:val="00DA732C"/>
    <w:rsid w:val="00DB12B5"/>
    <w:rsid w:val="00DB28F1"/>
    <w:rsid w:val="00DB31C4"/>
    <w:rsid w:val="00DB37E5"/>
    <w:rsid w:val="00DB462D"/>
    <w:rsid w:val="00DB52B9"/>
    <w:rsid w:val="00DB60EF"/>
    <w:rsid w:val="00DB6D4D"/>
    <w:rsid w:val="00DB7782"/>
    <w:rsid w:val="00DC05D2"/>
    <w:rsid w:val="00DC0CD5"/>
    <w:rsid w:val="00DC1B9F"/>
    <w:rsid w:val="00DC4915"/>
    <w:rsid w:val="00DC4B1F"/>
    <w:rsid w:val="00DC5A0B"/>
    <w:rsid w:val="00DC7C2F"/>
    <w:rsid w:val="00DD0089"/>
    <w:rsid w:val="00DD0A3F"/>
    <w:rsid w:val="00DD0C04"/>
    <w:rsid w:val="00DD196C"/>
    <w:rsid w:val="00DD1F71"/>
    <w:rsid w:val="00DD3799"/>
    <w:rsid w:val="00DD4D07"/>
    <w:rsid w:val="00DD50B4"/>
    <w:rsid w:val="00DD6749"/>
    <w:rsid w:val="00DD7C1C"/>
    <w:rsid w:val="00DE0568"/>
    <w:rsid w:val="00DE0BA7"/>
    <w:rsid w:val="00DE0C65"/>
    <w:rsid w:val="00DE1E79"/>
    <w:rsid w:val="00DE341B"/>
    <w:rsid w:val="00DE3FFB"/>
    <w:rsid w:val="00DE5401"/>
    <w:rsid w:val="00DE5A9E"/>
    <w:rsid w:val="00DE6B95"/>
    <w:rsid w:val="00DF1CAB"/>
    <w:rsid w:val="00DF2349"/>
    <w:rsid w:val="00DF287A"/>
    <w:rsid w:val="00DF29BC"/>
    <w:rsid w:val="00DF57D0"/>
    <w:rsid w:val="00DF6272"/>
    <w:rsid w:val="00DF78E7"/>
    <w:rsid w:val="00E000E5"/>
    <w:rsid w:val="00E04B8E"/>
    <w:rsid w:val="00E05115"/>
    <w:rsid w:val="00E06467"/>
    <w:rsid w:val="00E11CCD"/>
    <w:rsid w:val="00E1386F"/>
    <w:rsid w:val="00E149AA"/>
    <w:rsid w:val="00E203BF"/>
    <w:rsid w:val="00E20980"/>
    <w:rsid w:val="00E20F89"/>
    <w:rsid w:val="00E258B0"/>
    <w:rsid w:val="00E27705"/>
    <w:rsid w:val="00E2790C"/>
    <w:rsid w:val="00E27F0F"/>
    <w:rsid w:val="00E3040B"/>
    <w:rsid w:val="00E30643"/>
    <w:rsid w:val="00E30CA2"/>
    <w:rsid w:val="00E3144D"/>
    <w:rsid w:val="00E320A1"/>
    <w:rsid w:val="00E32FD6"/>
    <w:rsid w:val="00E33A81"/>
    <w:rsid w:val="00E34D01"/>
    <w:rsid w:val="00E3503C"/>
    <w:rsid w:val="00E35436"/>
    <w:rsid w:val="00E372FB"/>
    <w:rsid w:val="00E4183A"/>
    <w:rsid w:val="00E434C4"/>
    <w:rsid w:val="00E4379D"/>
    <w:rsid w:val="00E44B19"/>
    <w:rsid w:val="00E44CA5"/>
    <w:rsid w:val="00E45B89"/>
    <w:rsid w:val="00E45E4C"/>
    <w:rsid w:val="00E470DD"/>
    <w:rsid w:val="00E501C2"/>
    <w:rsid w:val="00E505CD"/>
    <w:rsid w:val="00E51109"/>
    <w:rsid w:val="00E52091"/>
    <w:rsid w:val="00E52922"/>
    <w:rsid w:val="00E536D5"/>
    <w:rsid w:val="00E54047"/>
    <w:rsid w:val="00E549CC"/>
    <w:rsid w:val="00E54BA2"/>
    <w:rsid w:val="00E54E13"/>
    <w:rsid w:val="00E54E3C"/>
    <w:rsid w:val="00E55C02"/>
    <w:rsid w:val="00E55E0D"/>
    <w:rsid w:val="00E571A8"/>
    <w:rsid w:val="00E57A3B"/>
    <w:rsid w:val="00E63FDA"/>
    <w:rsid w:val="00E6447E"/>
    <w:rsid w:val="00E64E86"/>
    <w:rsid w:val="00E65960"/>
    <w:rsid w:val="00E700A8"/>
    <w:rsid w:val="00E712AE"/>
    <w:rsid w:val="00E72C33"/>
    <w:rsid w:val="00E72EA0"/>
    <w:rsid w:val="00E744FF"/>
    <w:rsid w:val="00E751FA"/>
    <w:rsid w:val="00E7648A"/>
    <w:rsid w:val="00E768B9"/>
    <w:rsid w:val="00E806B0"/>
    <w:rsid w:val="00E81ECD"/>
    <w:rsid w:val="00E81FAD"/>
    <w:rsid w:val="00E82F7F"/>
    <w:rsid w:val="00E837DC"/>
    <w:rsid w:val="00E843BD"/>
    <w:rsid w:val="00E84542"/>
    <w:rsid w:val="00E84EE1"/>
    <w:rsid w:val="00E84F2A"/>
    <w:rsid w:val="00E8505A"/>
    <w:rsid w:val="00E85848"/>
    <w:rsid w:val="00E865D2"/>
    <w:rsid w:val="00E86BFB"/>
    <w:rsid w:val="00E879CE"/>
    <w:rsid w:val="00E916D2"/>
    <w:rsid w:val="00E92215"/>
    <w:rsid w:val="00E92768"/>
    <w:rsid w:val="00E961CC"/>
    <w:rsid w:val="00E96645"/>
    <w:rsid w:val="00E9697C"/>
    <w:rsid w:val="00E96C57"/>
    <w:rsid w:val="00E978AD"/>
    <w:rsid w:val="00EA02D0"/>
    <w:rsid w:val="00EA1DDF"/>
    <w:rsid w:val="00EA25EE"/>
    <w:rsid w:val="00EA2689"/>
    <w:rsid w:val="00EA4D9D"/>
    <w:rsid w:val="00EA648E"/>
    <w:rsid w:val="00EA65C2"/>
    <w:rsid w:val="00EB0859"/>
    <w:rsid w:val="00EB37F0"/>
    <w:rsid w:val="00EB39AF"/>
    <w:rsid w:val="00EB4A21"/>
    <w:rsid w:val="00EB52D6"/>
    <w:rsid w:val="00EB68A6"/>
    <w:rsid w:val="00EB68B5"/>
    <w:rsid w:val="00EB7097"/>
    <w:rsid w:val="00EB76CA"/>
    <w:rsid w:val="00EC068E"/>
    <w:rsid w:val="00EC1696"/>
    <w:rsid w:val="00EC2608"/>
    <w:rsid w:val="00EC27FA"/>
    <w:rsid w:val="00EC350A"/>
    <w:rsid w:val="00EC38F3"/>
    <w:rsid w:val="00EC3A4B"/>
    <w:rsid w:val="00EC3E3C"/>
    <w:rsid w:val="00EC5002"/>
    <w:rsid w:val="00EC5205"/>
    <w:rsid w:val="00EC5628"/>
    <w:rsid w:val="00ED2B15"/>
    <w:rsid w:val="00ED3F3E"/>
    <w:rsid w:val="00ED5BE9"/>
    <w:rsid w:val="00ED60BB"/>
    <w:rsid w:val="00ED6D50"/>
    <w:rsid w:val="00EE067A"/>
    <w:rsid w:val="00EE0725"/>
    <w:rsid w:val="00EE0F64"/>
    <w:rsid w:val="00EE1CFF"/>
    <w:rsid w:val="00EE2D1F"/>
    <w:rsid w:val="00EE408C"/>
    <w:rsid w:val="00EE46BA"/>
    <w:rsid w:val="00EE6580"/>
    <w:rsid w:val="00EE704A"/>
    <w:rsid w:val="00EE7459"/>
    <w:rsid w:val="00EF107D"/>
    <w:rsid w:val="00EF1456"/>
    <w:rsid w:val="00EF1490"/>
    <w:rsid w:val="00EF2290"/>
    <w:rsid w:val="00EF48FD"/>
    <w:rsid w:val="00EF5D7F"/>
    <w:rsid w:val="00EF6D9F"/>
    <w:rsid w:val="00EF6F50"/>
    <w:rsid w:val="00F014FA"/>
    <w:rsid w:val="00F02117"/>
    <w:rsid w:val="00F0269E"/>
    <w:rsid w:val="00F03211"/>
    <w:rsid w:val="00F04B40"/>
    <w:rsid w:val="00F057D8"/>
    <w:rsid w:val="00F104C0"/>
    <w:rsid w:val="00F11CB8"/>
    <w:rsid w:val="00F12A72"/>
    <w:rsid w:val="00F13882"/>
    <w:rsid w:val="00F1533E"/>
    <w:rsid w:val="00F15566"/>
    <w:rsid w:val="00F1561F"/>
    <w:rsid w:val="00F17F86"/>
    <w:rsid w:val="00F2129A"/>
    <w:rsid w:val="00F221B1"/>
    <w:rsid w:val="00F227F0"/>
    <w:rsid w:val="00F23208"/>
    <w:rsid w:val="00F23337"/>
    <w:rsid w:val="00F23EEB"/>
    <w:rsid w:val="00F246B3"/>
    <w:rsid w:val="00F25819"/>
    <w:rsid w:val="00F31C07"/>
    <w:rsid w:val="00F34242"/>
    <w:rsid w:val="00F3493A"/>
    <w:rsid w:val="00F34ED6"/>
    <w:rsid w:val="00F35BC6"/>
    <w:rsid w:val="00F36C75"/>
    <w:rsid w:val="00F37896"/>
    <w:rsid w:val="00F410E8"/>
    <w:rsid w:val="00F42BE6"/>
    <w:rsid w:val="00F43B24"/>
    <w:rsid w:val="00F4451D"/>
    <w:rsid w:val="00F447F2"/>
    <w:rsid w:val="00F44C7B"/>
    <w:rsid w:val="00F47D7B"/>
    <w:rsid w:val="00F52DD4"/>
    <w:rsid w:val="00F5376D"/>
    <w:rsid w:val="00F53814"/>
    <w:rsid w:val="00F54096"/>
    <w:rsid w:val="00F610EF"/>
    <w:rsid w:val="00F6117B"/>
    <w:rsid w:val="00F61359"/>
    <w:rsid w:val="00F61829"/>
    <w:rsid w:val="00F61950"/>
    <w:rsid w:val="00F62058"/>
    <w:rsid w:val="00F620DC"/>
    <w:rsid w:val="00F627A6"/>
    <w:rsid w:val="00F62D49"/>
    <w:rsid w:val="00F63B39"/>
    <w:rsid w:val="00F63BE7"/>
    <w:rsid w:val="00F6425F"/>
    <w:rsid w:val="00F662B6"/>
    <w:rsid w:val="00F67707"/>
    <w:rsid w:val="00F70148"/>
    <w:rsid w:val="00F70BAB"/>
    <w:rsid w:val="00F70BDB"/>
    <w:rsid w:val="00F715BC"/>
    <w:rsid w:val="00F7175D"/>
    <w:rsid w:val="00F735B1"/>
    <w:rsid w:val="00F74797"/>
    <w:rsid w:val="00F75E33"/>
    <w:rsid w:val="00F760D3"/>
    <w:rsid w:val="00F770A8"/>
    <w:rsid w:val="00F77AEE"/>
    <w:rsid w:val="00F77E42"/>
    <w:rsid w:val="00F8058F"/>
    <w:rsid w:val="00F80918"/>
    <w:rsid w:val="00F84070"/>
    <w:rsid w:val="00F846CA"/>
    <w:rsid w:val="00F84B1D"/>
    <w:rsid w:val="00F84CEB"/>
    <w:rsid w:val="00F858AF"/>
    <w:rsid w:val="00F85BF5"/>
    <w:rsid w:val="00F85DC7"/>
    <w:rsid w:val="00F860D4"/>
    <w:rsid w:val="00F86745"/>
    <w:rsid w:val="00F87502"/>
    <w:rsid w:val="00F876F6"/>
    <w:rsid w:val="00F90246"/>
    <w:rsid w:val="00F91DBB"/>
    <w:rsid w:val="00F962C8"/>
    <w:rsid w:val="00F963FA"/>
    <w:rsid w:val="00F97B2E"/>
    <w:rsid w:val="00FA08E2"/>
    <w:rsid w:val="00FA0C19"/>
    <w:rsid w:val="00FA16A2"/>
    <w:rsid w:val="00FA45DA"/>
    <w:rsid w:val="00FA5873"/>
    <w:rsid w:val="00FA5B68"/>
    <w:rsid w:val="00FA65F5"/>
    <w:rsid w:val="00FB0E8B"/>
    <w:rsid w:val="00FB141D"/>
    <w:rsid w:val="00FB247C"/>
    <w:rsid w:val="00FB632A"/>
    <w:rsid w:val="00FC003D"/>
    <w:rsid w:val="00FC1085"/>
    <w:rsid w:val="00FC4105"/>
    <w:rsid w:val="00FC5783"/>
    <w:rsid w:val="00FC579D"/>
    <w:rsid w:val="00FC5E56"/>
    <w:rsid w:val="00FC6269"/>
    <w:rsid w:val="00FC64F2"/>
    <w:rsid w:val="00FC6FEB"/>
    <w:rsid w:val="00FC71E5"/>
    <w:rsid w:val="00FD408B"/>
    <w:rsid w:val="00FD4D00"/>
    <w:rsid w:val="00FD4F41"/>
    <w:rsid w:val="00FD60B7"/>
    <w:rsid w:val="00FD6F22"/>
    <w:rsid w:val="00FD72FA"/>
    <w:rsid w:val="00FE217F"/>
    <w:rsid w:val="00FE2A4F"/>
    <w:rsid w:val="00FE4602"/>
    <w:rsid w:val="00FE4F30"/>
    <w:rsid w:val="00FE54F4"/>
    <w:rsid w:val="00FF0A3F"/>
    <w:rsid w:val="00FF10C5"/>
    <w:rsid w:val="00FF47FE"/>
    <w:rsid w:val="00FF482A"/>
    <w:rsid w:val="00FF51D7"/>
    <w:rsid w:val="00FF6693"/>
    <w:rsid w:val="00FF743D"/>
    <w:rsid w:val="00FF772C"/>
    <w:rsid w:val="012D7F7D"/>
    <w:rsid w:val="018F2C63"/>
    <w:rsid w:val="0C10A990"/>
    <w:rsid w:val="0DE548C4"/>
    <w:rsid w:val="18249436"/>
    <w:rsid w:val="1C658309"/>
    <w:rsid w:val="1E36C5BD"/>
    <w:rsid w:val="235A226C"/>
    <w:rsid w:val="25E74DDC"/>
    <w:rsid w:val="2951304C"/>
    <w:rsid w:val="2A32AE74"/>
    <w:rsid w:val="2AB23108"/>
    <w:rsid w:val="355B4675"/>
    <w:rsid w:val="35C40F73"/>
    <w:rsid w:val="38AA608C"/>
    <w:rsid w:val="3AA94BF5"/>
    <w:rsid w:val="40D029FC"/>
    <w:rsid w:val="41786589"/>
    <w:rsid w:val="463C242B"/>
    <w:rsid w:val="46596D93"/>
    <w:rsid w:val="49781BE2"/>
    <w:rsid w:val="5B6D0AAA"/>
    <w:rsid w:val="5B8B5D0B"/>
    <w:rsid w:val="6492CE9E"/>
    <w:rsid w:val="670A829E"/>
    <w:rsid w:val="68B317C5"/>
    <w:rsid w:val="69161F9E"/>
    <w:rsid w:val="6A1137A4"/>
    <w:rsid w:val="6D5BD17D"/>
    <w:rsid w:val="70B6673A"/>
    <w:rsid w:val="72DD7C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9EDA"/>
  <w15:docId w15:val="{CE484495-935D-49B8-B348-BBFD0DBE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84AF1"/>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995352"/>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8A5F5F"/>
    <w:pPr>
      <w:keepNext/>
      <w:spacing w:before="100" w:beforeAutospacing="1" w:after="240"/>
      <w:ind w:left="720"/>
      <w:outlineLvl w:val="2"/>
    </w:pPr>
    <w:rPr>
      <w:rFonts w:ascii="Calibri" w:eastAsia="Times New Roman" w:hAnsi="Calibri" w:cs="Times New Roman"/>
      <w:bCs/>
      <w:i/>
      <w:sz w:val="24"/>
    </w:rPr>
  </w:style>
  <w:style w:type="paragraph" w:styleId="Heading4">
    <w:name w:val="heading 4"/>
    <w:basedOn w:val="Normal"/>
    <w:next w:val="Normal"/>
    <w:link w:val="Heading4Char"/>
    <w:uiPriority w:val="9"/>
    <w:unhideWhenUsed/>
    <w:qFormat/>
    <w:rsid w:val="008A5F5F"/>
    <w:pPr>
      <w:outlineLvl w:val="3"/>
    </w:pPr>
    <w:rPr>
      <w:b/>
      <w:bCs/>
      <w:sz w:val="24"/>
      <w:szCs w:val="24"/>
      <w:lang w:eastAsia="en-US"/>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E52922"/>
    <w:pPr>
      <w:keepNext/>
      <w:keepLines/>
      <w:spacing w:before="200" w:after="24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995352"/>
    <w:rPr>
      <w:rFonts w:ascii="Calibri" w:eastAsia="Times New Roman" w:hAnsi="Calibri" w:cs="Times New Roman"/>
      <w:bCs/>
      <w:iCs/>
      <w:sz w:val="32"/>
      <w:szCs w:val="24"/>
    </w:rPr>
  </w:style>
  <w:style w:type="character" w:customStyle="1" w:styleId="Heading3Char">
    <w:name w:val="Heading 3 Char"/>
    <w:basedOn w:val="DefaultParagraphFont"/>
    <w:link w:val="Heading3"/>
    <w:rsid w:val="008A5F5F"/>
    <w:rPr>
      <w:rFonts w:ascii="Calibri" w:eastAsia="Times New Roman" w:hAnsi="Calibri" w:cs="Times New Roman"/>
      <w:bCs/>
      <w:i/>
      <w:sz w:val="24"/>
    </w:rPr>
  </w:style>
  <w:style w:type="character" w:customStyle="1" w:styleId="Heading4Char">
    <w:name w:val="Heading 4 Char"/>
    <w:basedOn w:val="DefaultParagraphFont"/>
    <w:link w:val="Heading4"/>
    <w:uiPriority w:val="9"/>
    <w:rsid w:val="008A5F5F"/>
    <w:rPr>
      <w:rFonts w:ascii="Calibri" w:eastAsiaTheme="minorEastAsia" w:hAnsi="Calibri"/>
      <w:b/>
      <w:bCs/>
      <w:sz w:val="24"/>
      <w:szCs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E52922"/>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8013A0"/>
    <w:pPr>
      <w:numPr>
        <w:numId w:val="33"/>
      </w:numPr>
      <w:pBdr>
        <w:top w:val="single" w:sz="8" w:space="6" w:color="44C8F5"/>
        <w:left w:val="single" w:sz="8" w:space="5" w:color="44C8F5"/>
        <w:bottom w:val="single" w:sz="8" w:space="6" w:color="44C8F5"/>
        <w:right w:val="single" w:sz="8" w:space="5" w:color="44C8F5"/>
      </w:pBdr>
      <w:ind w:right="851"/>
      <w:jc w:val="left"/>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8013A0"/>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9738DA"/>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pPr>
    <w:rPr>
      <w:b/>
    </w:rPr>
  </w:style>
  <w:style w:type="character" w:customStyle="1" w:styleId="Appendixheading3Char">
    <w:name w:val="Appendix heading 3 Char"/>
    <w:basedOn w:val="Heading3Char"/>
    <w:link w:val="Appendixheading3"/>
    <w:rsid w:val="00047257"/>
    <w:rPr>
      <w:rFonts w:ascii="Calibri" w:eastAsia="Times New Roman" w:hAnsi="Calibri" w:cs="Times New Roman"/>
      <w:b/>
      <w:bCs/>
      <w:i/>
      <w:iCs w:val="0"/>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3"/>
      </w:numPr>
    </w:pPr>
  </w:style>
  <w:style w:type="paragraph" w:customStyle="1" w:styleId="Proposal">
    <w:name w:val="Proposal"/>
    <w:basedOn w:val="Recommendation"/>
    <w:link w:val="ProposalChar"/>
    <w:qFormat/>
    <w:rsid w:val="00FB247C"/>
    <w:pPr>
      <w:numPr>
        <w:numId w:val="0"/>
      </w:numPr>
      <w:ind w:left="851"/>
    </w:pPr>
    <w:rPr>
      <w:sz w:val="28"/>
      <w:szCs w:val="28"/>
    </w:rPr>
  </w:style>
  <w:style w:type="paragraph" w:customStyle="1" w:styleId="subsection">
    <w:name w:val="subsection"/>
    <w:basedOn w:val="Normal"/>
    <w:rsid w:val="00A67459"/>
    <w:rPr>
      <w:rFonts w:ascii="Times New Roman" w:eastAsia="Times New Roman" w:hAnsi="Times New Roman" w:cs="Times New Roman"/>
      <w:sz w:val="24"/>
      <w:szCs w:val="24"/>
    </w:rPr>
  </w:style>
  <w:style w:type="character" w:customStyle="1" w:styleId="ProposalChar">
    <w:name w:val="Proposal Char"/>
    <w:basedOn w:val="RecommendationChar"/>
    <w:link w:val="Proposal"/>
    <w:rsid w:val="00FB247C"/>
    <w:rPr>
      <w:rFonts w:ascii="Calibri" w:eastAsiaTheme="minorEastAsia" w:hAnsi="Calibri"/>
      <w:sz w:val="28"/>
      <w:szCs w:val="28"/>
    </w:rPr>
  </w:style>
  <w:style w:type="paragraph" w:customStyle="1" w:styleId="paragraph">
    <w:name w:val="paragraph"/>
    <w:basedOn w:val="Normal"/>
    <w:rsid w:val="00A67459"/>
    <w:rPr>
      <w:rFonts w:ascii="Times New Roman" w:eastAsia="Times New Roman" w:hAnsi="Times New Roman" w:cs="Times New Roman"/>
      <w:sz w:val="24"/>
      <w:szCs w:val="24"/>
    </w:rPr>
  </w:style>
  <w:style w:type="paragraph" w:customStyle="1" w:styleId="paragraphsub">
    <w:name w:val="paragraphsub"/>
    <w:basedOn w:val="Normal"/>
    <w:rsid w:val="00A6745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0787F"/>
    <w:rPr>
      <w:color w:val="605E5C"/>
      <w:shd w:val="clear" w:color="auto" w:fill="E1DFDD"/>
    </w:rPr>
  </w:style>
  <w:style w:type="character" w:styleId="Emphasis">
    <w:name w:val="Emphasis"/>
    <w:basedOn w:val="DefaultParagraphFont"/>
    <w:uiPriority w:val="20"/>
    <w:qFormat/>
    <w:rsid w:val="002C3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318">
      <w:bodyDiv w:val="1"/>
      <w:marLeft w:val="0"/>
      <w:marRight w:val="0"/>
      <w:marTop w:val="0"/>
      <w:marBottom w:val="0"/>
      <w:divBdr>
        <w:top w:val="none" w:sz="0" w:space="0" w:color="auto"/>
        <w:left w:val="none" w:sz="0" w:space="0" w:color="auto"/>
        <w:bottom w:val="none" w:sz="0" w:space="0" w:color="auto"/>
        <w:right w:val="none" w:sz="0" w:space="0" w:color="auto"/>
      </w:divBdr>
    </w:div>
    <w:div w:id="37319992">
      <w:bodyDiv w:val="1"/>
      <w:marLeft w:val="0"/>
      <w:marRight w:val="0"/>
      <w:marTop w:val="0"/>
      <w:marBottom w:val="0"/>
      <w:divBdr>
        <w:top w:val="none" w:sz="0" w:space="0" w:color="auto"/>
        <w:left w:val="none" w:sz="0" w:space="0" w:color="auto"/>
        <w:bottom w:val="none" w:sz="0" w:space="0" w:color="auto"/>
        <w:right w:val="none" w:sz="0" w:space="0" w:color="auto"/>
      </w:divBdr>
    </w:div>
    <w:div w:id="43720462">
      <w:bodyDiv w:val="1"/>
      <w:marLeft w:val="0"/>
      <w:marRight w:val="0"/>
      <w:marTop w:val="0"/>
      <w:marBottom w:val="0"/>
      <w:divBdr>
        <w:top w:val="none" w:sz="0" w:space="0" w:color="auto"/>
        <w:left w:val="none" w:sz="0" w:space="0" w:color="auto"/>
        <w:bottom w:val="none" w:sz="0" w:space="0" w:color="auto"/>
        <w:right w:val="none" w:sz="0" w:space="0" w:color="auto"/>
      </w:divBdr>
    </w:div>
    <w:div w:id="71634353">
      <w:bodyDiv w:val="1"/>
      <w:marLeft w:val="0"/>
      <w:marRight w:val="0"/>
      <w:marTop w:val="0"/>
      <w:marBottom w:val="0"/>
      <w:divBdr>
        <w:top w:val="none" w:sz="0" w:space="0" w:color="auto"/>
        <w:left w:val="none" w:sz="0" w:space="0" w:color="auto"/>
        <w:bottom w:val="none" w:sz="0" w:space="0" w:color="auto"/>
        <w:right w:val="none" w:sz="0" w:space="0" w:color="auto"/>
      </w:divBdr>
    </w:div>
    <w:div w:id="73209677">
      <w:bodyDiv w:val="1"/>
      <w:marLeft w:val="0"/>
      <w:marRight w:val="0"/>
      <w:marTop w:val="0"/>
      <w:marBottom w:val="0"/>
      <w:divBdr>
        <w:top w:val="none" w:sz="0" w:space="0" w:color="auto"/>
        <w:left w:val="none" w:sz="0" w:space="0" w:color="auto"/>
        <w:bottom w:val="none" w:sz="0" w:space="0" w:color="auto"/>
        <w:right w:val="none" w:sz="0" w:space="0" w:color="auto"/>
      </w:divBdr>
    </w:div>
    <w:div w:id="92167468">
      <w:bodyDiv w:val="1"/>
      <w:marLeft w:val="0"/>
      <w:marRight w:val="0"/>
      <w:marTop w:val="0"/>
      <w:marBottom w:val="0"/>
      <w:divBdr>
        <w:top w:val="none" w:sz="0" w:space="0" w:color="auto"/>
        <w:left w:val="none" w:sz="0" w:space="0" w:color="auto"/>
        <w:bottom w:val="none" w:sz="0" w:space="0" w:color="auto"/>
        <w:right w:val="none" w:sz="0" w:space="0" w:color="auto"/>
      </w:divBdr>
    </w:div>
    <w:div w:id="145975558">
      <w:bodyDiv w:val="1"/>
      <w:marLeft w:val="0"/>
      <w:marRight w:val="0"/>
      <w:marTop w:val="0"/>
      <w:marBottom w:val="0"/>
      <w:divBdr>
        <w:top w:val="none" w:sz="0" w:space="0" w:color="auto"/>
        <w:left w:val="none" w:sz="0" w:space="0" w:color="auto"/>
        <w:bottom w:val="none" w:sz="0" w:space="0" w:color="auto"/>
        <w:right w:val="none" w:sz="0" w:space="0" w:color="auto"/>
      </w:divBdr>
    </w:div>
    <w:div w:id="167525515">
      <w:bodyDiv w:val="1"/>
      <w:marLeft w:val="0"/>
      <w:marRight w:val="0"/>
      <w:marTop w:val="0"/>
      <w:marBottom w:val="0"/>
      <w:divBdr>
        <w:top w:val="none" w:sz="0" w:space="0" w:color="auto"/>
        <w:left w:val="none" w:sz="0" w:space="0" w:color="auto"/>
        <w:bottom w:val="none" w:sz="0" w:space="0" w:color="auto"/>
        <w:right w:val="none" w:sz="0" w:space="0" w:color="auto"/>
      </w:divBdr>
    </w:div>
    <w:div w:id="180584250">
      <w:bodyDiv w:val="1"/>
      <w:marLeft w:val="0"/>
      <w:marRight w:val="0"/>
      <w:marTop w:val="0"/>
      <w:marBottom w:val="0"/>
      <w:divBdr>
        <w:top w:val="none" w:sz="0" w:space="0" w:color="auto"/>
        <w:left w:val="none" w:sz="0" w:space="0" w:color="auto"/>
        <w:bottom w:val="none" w:sz="0" w:space="0" w:color="auto"/>
        <w:right w:val="none" w:sz="0" w:space="0" w:color="auto"/>
      </w:divBdr>
    </w:div>
    <w:div w:id="202325424">
      <w:bodyDiv w:val="1"/>
      <w:marLeft w:val="0"/>
      <w:marRight w:val="0"/>
      <w:marTop w:val="0"/>
      <w:marBottom w:val="0"/>
      <w:divBdr>
        <w:top w:val="none" w:sz="0" w:space="0" w:color="auto"/>
        <w:left w:val="none" w:sz="0" w:space="0" w:color="auto"/>
        <w:bottom w:val="none" w:sz="0" w:space="0" w:color="auto"/>
        <w:right w:val="none" w:sz="0" w:space="0" w:color="auto"/>
      </w:divBdr>
    </w:div>
    <w:div w:id="21143139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288557267">
      <w:bodyDiv w:val="1"/>
      <w:marLeft w:val="0"/>
      <w:marRight w:val="0"/>
      <w:marTop w:val="0"/>
      <w:marBottom w:val="0"/>
      <w:divBdr>
        <w:top w:val="none" w:sz="0" w:space="0" w:color="auto"/>
        <w:left w:val="none" w:sz="0" w:space="0" w:color="auto"/>
        <w:bottom w:val="none" w:sz="0" w:space="0" w:color="auto"/>
        <w:right w:val="none" w:sz="0" w:space="0" w:color="auto"/>
      </w:divBdr>
    </w:div>
    <w:div w:id="291863112">
      <w:bodyDiv w:val="1"/>
      <w:marLeft w:val="0"/>
      <w:marRight w:val="0"/>
      <w:marTop w:val="0"/>
      <w:marBottom w:val="0"/>
      <w:divBdr>
        <w:top w:val="none" w:sz="0" w:space="0" w:color="auto"/>
        <w:left w:val="none" w:sz="0" w:space="0" w:color="auto"/>
        <w:bottom w:val="none" w:sz="0" w:space="0" w:color="auto"/>
        <w:right w:val="none" w:sz="0" w:space="0" w:color="auto"/>
      </w:divBdr>
    </w:div>
    <w:div w:id="306979847">
      <w:bodyDiv w:val="1"/>
      <w:marLeft w:val="0"/>
      <w:marRight w:val="0"/>
      <w:marTop w:val="0"/>
      <w:marBottom w:val="0"/>
      <w:divBdr>
        <w:top w:val="none" w:sz="0" w:space="0" w:color="auto"/>
        <w:left w:val="none" w:sz="0" w:space="0" w:color="auto"/>
        <w:bottom w:val="none" w:sz="0" w:space="0" w:color="auto"/>
        <w:right w:val="none" w:sz="0" w:space="0" w:color="auto"/>
      </w:divBdr>
    </w:div>
    <w:div w:id="318003590">
      <w:bodyDiv w:val="1"/>
      <w:marLeft w:val="0"/>
      <w:marRight w:val="0"/>
      <w:marTop w:val="0"/>
      <w:marBottom w:val="0"/>
      <w:divBdr>
        <w:top w:val="none" w:sz="0" w:space="0" w:color="auto"/>
        <w:left w:val="none" w:sz="0" w:space="0" w:color="auto"/>
        <w:bottom w:val="none" w:sz="0" w:space="0" w:color="auto"/>
        <w:right w:val="none" w:sz="0" w:space="0" w:color="auto"/>
      </w:divBdr>
    </w:div>
    <w:div w:id="327950864">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73314964">
      <w:bodyDiv w:val="1"/>
      <w:marLeft w:val="0"/>
      <w:marRight w:val="0"/>
      <w:marTop w:val="0"/>
      <w:marBottom w:val="0"/>
      <w:divBdr>
        <w:top w:val="none" w:sz="0" w:space="0" w:color="auto"/>
        <w:left w:val="none" w:sz="0" w:space="0" w:color="auto"/>
        <w:bottom w:val="none" w:sz="0" w:space="0" w:color="auto"/>
        <w:right w:val="none" w:sz="0" w:space="0" w:color="auto"/>
      </w:divBdr>
    </w:div>
    <w:div w:id="382490304">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474029202">
      <w:bodyDiv w:val="1"/>
      <w:marLeft w:val="0"/>
      <w:marRight w:val="0"/>
      <w:marTop w:val="0"/>
      <w:marBottom w:val="0"/>
      <w:divBdr>
        <w:top w:val="none" w:sz="0" w:space="0" w:color="auto"/>
        <w:left w:val="none" w:sz="0" w:space="0" w:color="auto"/>
        <w:bottom w:val="none" w:sz="0" w:space="0" w:color="auto"/>
        <w:right w:val="none" w:sz="0" w:space="0" w:color="auto"/>
      </w:divBdr>
    </w:div>
    <w:div w:id="517810392">
      <w:bodyDiv w:val="1"/>
      <w:marLeft w:val="0"/>
      <w:marRight w:val="0"/>
      <w:marTop w:val="0"/>
      <w:marBottom w:val="0"/>
      <w:divBdr>
        <w:top w:val="none" w:sz="0" w:space="0" w:color="auto"/>
        <w:left w:val="none" w:sz="0" w:space="0" w:color="auto"/>
        <w:bottom w:val="none" w:sz="0" w:space="0" w:color="auto"/>
        <w:right w:val="none" w:sz="0" w:space="0" w:color="auto"/>
      </w:divBdr>
    </w:div>
    <w:div w:id="531697267">
      <w:bodyDiv w:val="1"/>
      <w:marLeft w:val="0"/>
      <w:marRight w:val="0"/>
      <w:marTop w:val="0"/>
      <w:marBottom w:val="0"/>
      <w:divBdr>
        <w:top w:val="none" w:sz="0" w:space="0" w:color="auto"/>
        <w:left w:val="none" w:sz="0" w:space="0" w:color="auto"/>
        <w:bottom w:val="none" w:sz="0" w:space="0" w:color="auto"/>
        <w:right w:val="none" w:sz="0" w:space="0" w:color="auto"/>
      </w:divBdr>
    </w:div>
    <w:div w:id="579099581">
      <w:bodyDiv w:val="1"/>
      <w:marLeft w:val="0"/>
      <w:marRight w:val="0"/>
      <w:marTop w:val="0"/>
      <w:marBottom w:val="0"/>
      <w:divBdr>
        <w:top w:val="none" w:sz="0" w:space="0" w:color="auto"/>
        <w:left w:val="none" w:sz="0" w:space="0" w:color="auto"/>
        <w:bottom w:val="none" w:sz="0" w:space="0" w:color="auto"/>
        <w:right w:val="none" w:sz="0" w:space="0" w:color="auto"/>
      </w:divBdr>
    </w:div>
    <w:div w:id="702176774">
      <w:bodyDiv w:val="1"/>
      <w:marLeft w:val="0"/>
      <w:marRight w:val="0"/>
      <w:marTop w:val="0"/>
      <w:marBottom w:val="0"/>
      <w:divBdr>
        <w:top w:val="none" w:sz="0" w:space="0" w:color="auto"/>
        <w:left w:val="none" w:sz="0" w:space="0" w:color="auto"/>
        <w:bottom w:val="none" w:sz="0" w:space="0" w:color="auto"/>
        <w:right w:val="none" w:sz="0" w:space="0" w:color="auto"/>
      </w:divBdr>
    </w:div>
    <w:div w:id="736822433">
      <w:bodyDiv w:val="1"/>
      <w:marLeft w:val="0"/>
      <w:marRight w:val="0"/>
      <w:marTop w:val="0"/>
      <w:marBottom w:val="0"/>
      <w:divBdr>
        <w:top w:val="none" w:sz="0" w:space="0" w:color="auto"/>
        <w:left w:val="none" w:sz="0" w:space="0" w:color="auto"/>
        <w:bottom w:val="none" w:sz="0" w:space="0" w:color="auto"/>
        <w:right w:val="none" w:sz="0" w:space="0" w:color="auto"/>
      </w:divBdr>
    </w:div>
    <w:div w:id="771705517">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25631473">
      <w:bodyDiv w:val="1"/>
      <w:marLeft w:val="0"/>
      <w:marRight w:val="0"/>
      <w:marTop w:val="0"/>
      <w:marBottom w:val="0"/>
      <w:divBdr>
        <w:top w:val="none" w:sz="0" w:space="0" w:color="auto"/>
        <w:left w:val="none" w:sz="0" w:space="0" w:color="auto"/>
        <w:bottom w:val="none" w:sz="0" w:space="0" w:color="auto"/>
        <w:right w:val="none" w:sz="0" w:space="0" w:color="auto"/>
      </w:divBdr>
    </w:div>
    <w:div w:id="828980749">
      <w:bodyDiv w:val="1"/>
      <w:marLeft w:val="0"/>
      <w:marRight w:val="0"/>
      <w:marTop w:val="0"/>
      <w:marBottom w:val="0"/>
      <w:divBdr>
        <w:top w:val="none" w:sz="0" w:space="0" w:color="auto"/>
        <w:left w:val="none" w:sz="0" w:space="0" w:color="auto"/>
        <w:bottom w:val="none" w:sz="0" w:space="0" w:color="auto"/>
        <w:right w:val="none" w:sz="0" w:space="0" w:color="auto"/>
      </w:divBdr>
    </w:div>
    <w:div w:id="866792897">
      <w:bodyDiv w:val="1"/>
      <w:marLeft w:val="0"/>
      <w:marRight w:val="0"/>
      <w:marTop w:val="0"/>
      <w:marBottom w:val="0"/>
      <w:divBdr>
        <w:top w:val="none" w:sz="0" w:space="0" w:color="auto"/>
        <w:left w:val="none" w:sz="0" w:space="0" w:color="auto"/>
        <w:bottom w:val="none" w:sz="0" w:space="0" w:color="auto"/>
        <w:right w:val="none" w:sz="0" w:space="0" w:color="auto"/>
      </w:divBdr>
    </w:div>
    <w:div w:id="966861342">
      <w:bodyDiv w:val="1"/>
      <w:marLeft w:val="0"/>
      <w:marRight w:val="0"/>
      <w:marTop w:val="0"/>
      <w:marBottom w:val="0"/>
      <w:divBdr>
        <w:top w:val="none" w:sz="0" w:space="0" w:color="auto"/>
        <w:left w:val="none" w:sz="0" w:space="0" w:color="auto"/>
        <w:bottom w:val="none" w:sz="0" w:space="0" w:color="auto"/>
        <w:right w:val="none" w:sz="0" w:space="0" w:color="auto"/>
      </w:divBdr>
    </w:div>
    <w:div w:id="1126969196">
      <w:bodyDiv w:val="1"/>
      <w:marLeft w:val="0"/>
      <w:marRight w:val="0"/>
      <w:marTop w:val="0"/>
      <w:marBottom w:val="0"/>
      <w:divBdr>
        <w:top w:val="none" w:sz="0" w:space="0" w:color="auto"/>
        <w:left w:val="none" w:sz="0" w:space="0" w:color="auto"/>
        <w:bottom w:val="none" w:sz="0" w:space="0" w:color="auto"/>
        <w:right w:val="none" w:sz="0" w:space="0" w:color="auto"/>
      </w:divBdr>
    </w:div>
    <w:div w:id="1139418235">
      <w:bodyDiv w:val="1"/>
      <w:marLeft w:val="0"/>
      <w:marRight w:val="0"/>
      <w:marTop w:val="0"/>
      <w:marBottom w:val="0"/>
      <w:divBdr>
        <w:top w:val="none" w:sz="0" w:space="0" w:color="auto"/>
        <w:left w:val="none" w:sz="0" w:space="0" w:color="auto"/>
        <w:bottom w:val="none" w:sz="0" w:space="0" w:color="auto"/>
        <w:right w:val="none" w:sz="0" w:space="0" w:color="auto"/>
      </w:divBdr>
    </w:div>
    <w:div w:id="1199588660">
      <w:bodyDiv w:val="1"/>
      <w:marLeft w:val="0"/>
      <w:marRight w:val="0"/>
      <w:marTop w:val="0"/>
      <w:marBottom w:val="0"/>
      <w:divBdr>
        <w:top w:val="none" w:sz="0" w:space="0" w:color="auto"/>
        <w:left w:val="none" w:sz="0" w:space="0" w:color="auto"/>
        <w:bottom w:val="none" w:sz="0" w:space="0" w:color="auto"/>
        <w:right w:val="none" w:sz="0" w:space="0" w:color="auto"/>
      </w:divBdr>
    </w:div>
    <w:div w:id="1207379369">
      <w:bodyDiv w:val="1"/>
      <w:marLeft w:val="0"/>
      <w:marRight w:val="0"/>
      <w:marTop w:val="0"/>
      <w:marBottom w:val="0"/>
      <w:divBdr>
        <w:top w:val="none" w:sz="0" w:space="0" w:color="auto"/>
        <w:left w:val="none" w:sz="0" w:space="0" w:color="auto"/>
        <w:bottom w:val="none" w:sz="0" w:space="0" w:color="auto"/>
        <w:right w:val="none" w:sz="0" w:space="0" w:color="auto"/>
      </w:divBdr>
    </w:div>
    <w:div w:id="1228609378">
      <w:bodyDiv w:val="1"/>
      <w:marLeft w:val="0"/>
      <w:marRight w:val="0"/>
      <w:marTop w:val="0"/>
      <w:marBottom w:val="0"/>
      <w:divBdr>
        <w:top w:val="none" w:sz="0" w:space="0" w:color="auto"/>
        <w:left w:val="none" w:sz="0" w:space="0" w:color="auto"/>
        <w:bottom w:val="none" w:sz="0" w:space="0" w:color="auto"/>
        <w:right w:val="none" w:sz="0" w:space="0" w:color="auto"/>
      </w:divBdr>
    </w:div>
    <w:div w:id="1293095747">
      <w:bodyDiv w:val="1"/>
      <w:marLeft w:val="0"/>
      <w:marRight w:val="0"/>
      <w:marTop w:val="0"/>
      <w:marBottom w:val="0"/>
      <w:divBdr>
        <w:top w:val="none" w:sz="0" w:space="0" w:color="auto"/>
        <w:left w:val="none" w:sz="0" w:space="0" w:color="auto"/>
        <w:bottom w:val="none" w:sz="0" w:space="0" w:color="auto"/>
        <w:right w:val="none" w:sz="0" w:space="0" w:color="auto"/>
      </w:divBdr>
    </w:div>
    <w:div w:id="1308125030">
      <w:bodyDiv w:val="1"/>
      <w:marLeft w:val="0"/>
      <w:marRight w:val="0"/>
      <w:marTop w:val="0"/>
      <w:marBottom w:val="0"/>
      <w:divBdr>
        <w:top w:val="none" w:sz="0" w:space="0" w:color="auto"/>
        <w:left w:val="none" w:sz="0" w:space="0" w:color="auto"/>
        <w:bottom w:val="none" w:sz="0" w:space="0" w:color="auto"/>
        <w:right w:val="none" w:sz="0" w:space="0" w:color="auto"/>
      </w:divBdr>
    </w:div>
    <w:div w:id="1330059388">
      <w:bodyDiv w:val="1"/>
      <w:marLeft w:val="0"/>
      <w:marRight w:val="0"/>
      <w:marTop w:val="0"/>
      <w:marBottom w:val="0"/>
      <w:divBdr>
        <w:top w:val="none" w:sz="0" w:space="0" w:color="auto"/>
        <w:left w:val="none" w:sz="0" w:space="0" w:color="auto"/>
        <w:bottom w:val="none" w:sz="0" w:space="0" w:color="auto"/>
        <w:right w:val="none" w:sz="0" w:space="0" w:color="auto"/>
      </w:divBdr>
    </w:div>
    <w:div w:id="1354501427">
      <w:bodyDiv w:val="1"/>
      <w:marLeft w:val="0"/>
      <w:marRight w:val="0"/>
      <w:marTop w:val="0"/>
      <w:marBottom w:val="0"/>
      <w:divBdr>
        <w:top w:val="none" w:sz="0" w:space="0" w:color="auto"/>
        <w:left w:val="none" w:sz="0" w:space="0" w:color="auto"/>
        <w:bottom w:val="none" w:sz="0" w:space="0" w:color="auto"/>
        <w:right w:val="none" w:sz="0" w:space="0" w:color="auto"/>
      </w:divBdr>
    </w:div>
    <w:div w:id="1496871915">
      <w:bodyDiv w:val="1"/>
      <w:marLeft w:val="0"/>
      <w:marRight w:val="0"/>
      <w:marTop w:val="0"/>
      <w:marBottom w:val="0"/>
      <w:divBdr>
        <w:top w:val="none" w:sz="0" w:space="0" w:color="auto"/>
        <w:left w:val="none" w:sz="0" w:space="0" w:color="auto"/>
        <w:bottom w:val="none" w:sz="0" w:space="0" w:color="auto"/>
        <w:right w:val="none" w:sz="0" w:space="0" w:color="auto"/>
      </w:divBdr>
    </w:div>
    <w:div w:id="1578173399">
      <w:bodyDiv w:val="1"/>
      <w:marLeft w:val="0"/>
      <w:marRight w:val="0"/>
      <w:marTop w:val="0"/>
      <w:marBottom w:val="0"/>
      <w:divBdr>
        <w:top w:val="none" w:sz="0" w:space="0" w:color="auto"/>
        <w:left w:val="none" w:sz="0" w:space="0" w:color="auto"/>
        <w:bottom w:val="none" w:sz="0" w:space="0" w:color="auto"/>
        <w:right w:val="none" w:sz="0" w:space="0" w:color="auto"/>
      </w:divBdr>
    </w:div>
    <w:div w:id="1674607084">
      <w:bodyDiv w:val="1"/>
      <w:marLeft w:val="0"/>
      <w:marRight w:val="0"/>
      <w:marTop w:val="0"/>
      <w:marBottom w:val="0"/>
      <w:divBdr>
        <w:top w:val="none" w:sz="0" w:space="0" w:color="auto"/>
        <w:left w:val="none" w:sz="0" w:space="0" w:color="auto"/>
        <w:bottom w:val="none" w:sz="0" w:space="0" w:color="auto"/>
        <w:right w:val="none" w:sz="0" w:space="0" w:color="auto"/>
      </w:divBdr>
    </w:div>
    <w:div w:id="1744372947">
      <w:bodyDiv w:val="1"/>
      <w:marLeft w:val="0"/>
      <w:marRight w:val="0"/>
      <w:marTop w:val="0"/>
      <w:marBottom w:val="0"/>
      <w:divBdr>
        <w:top w:val="none" w:sz="0" w:space="0" w:color="auto"/>
        <w:left w:val="none" w:sz="0" w:space="0" w:color="auto"/>
        <w:bottom w:val="none" w:sz="0" w:space="0" w:color="auto"/>
        <w:right w:val="none" w:sz="0" w:space="0" w:color="auto"/>
      </w:divBdr>
    </w:div>
    <w:div w:id="1961721206">
      <w:bodyDiv w:val="1"/>
      <w:marLeft w:val="0"/>
      <w:marRight w:val="0"/>
      <w:marTop w:val="0"/>
      <w:marBottom w:val="0"/>
      <w:divBdr>
        <w:top w:val="none" w:sz="0" w:space="0" w:color="auto"/>
        <w:left w:val="none" w:sz="0" w:space="0" w:color="auto"/>
        <w:bottom w:val="none" w:sz="0" w:space="0" w:color="auto"/>
        <w:right w:val="none" w:sz="0" w:space="0" w:color="auto"/>
      </w:divBdr>
    </w:div>
    <w:div w:id="1997412319">
      <w:bodyDiv w:val="1"/>
      <w:marLeft w:val="0"/>
      <w:marRight w:val="0"/>
      <w:marTop w:val="0"/>
      <w:marBottom w:val="0"/>
      <w:divBdr>
        <w:top w:val="none" w:sz="0" w:space="0" w:color="auto"/>
        <w:left w:val="none" w:sz="0" w:space="0" w:color="auto"/>
        <w:bottom w:val="none" w:sz="0" w:space="0" w:color="auto"/>
        <w:right w:val="none" w:sz="0" w:space="0" w:color="auto"/>
      </w:divBdr>
    </w:div>
    <w:div w:id="2063478814">
      <w:bodyDiv w:val="1"/>
      <w:marLeft w:val="0"/>
      <w:marRight w:val="0"/>
      <w:marTop w:val="0"/>
      <w:marBottom w:val="0"/>
      <w:divBdr>
        <w:top w:val="none" w:sz="0" w:space="0" w:color="auto"/>
        <w:left w:val="none" w:sz="0" w:space="0" w:color="auto"/>
        <w:bottom w:val="none" w:sz="0" w:space="0" w:color="auto"/>
        <w:right w:val="none" w:sz="0" w:space="0" w:color="auto"/>
      </w:divBdr>
    </w:div>
    <w:div w:id="20891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accan.org.au/files/Submissions/2020/ACCAN%20Submission%20to%20Consumer%20Safeguards%20Review%20Part%20C%20V.1.1.pdf" TargetMode="External"/><Relationship Id="rId13" Type="http://schemas.openxmlformats.org/officeDocument/2006/relationships/hyperlink" Target="https://www.aer.gov.au/system/files/CPRC%20-%20Exploring%20regulatory%20approaches%20to%20consumer%20vulnerability%20-%20A%20report%20for%20the%20AER%20-%20February%202020_0.pdf" TargetMode="External"/><Relationship Id="rId3" Type="http://schemas.openxmlformats.org/officeDocument/2006/relationships/hyperlink" Target="https://www.communications.gov.au/what-we-do/internet/australian-broadband-advisory-council-reports" TargetMode="External"/><Relationship Id="rId7" Type="http://schemas.openxmlformats.org/officeDocument/2006/relationships/hyperlink" Target="https://www.tio.com.au/sites/default/files/2020-09/TIO%20AR2019-20_High-Res.pdf" TargetMode="External"/><Relationship Id="rId12" Type="http://schemas.openxmlformats.org/officeDocument/2006/relationships/hyperlink" Target="https://www.ofcom.org.uk/__data/assets/pdf_file/0034/198763/treating-vulnerable-customer-fairly-guide.pdf" TargetMode="External"/><Relationship Id="rId2" Type="http://schemas.openxmlformats.org/officeDocument/2006/relationships/hyperlink" Target="https://accan.org.au/files/Submissions/2020/ACCAN%20Submission%20to%20Consumer%20Safeguards%20Review%20Part%20C%20V.1.1.pdf" TargetMode="External"/><Relationship Id="rId16" Type="http://schemas.openxmlformats.org/officeDocument/2006/relationships/hyperlink" Target="https://www.commsalliance.com.au/__data/assets/pdf_file/0011/64784/TCP-C628_2019.pdf" TargetMode="External"/><Relationship Id="rId1" Type="http://schemas.openxmlformats.org/officeDocument/2006/relationships/hyperlink" Target="https://www.acma.gov.au/sites/default/files/2021-07/Consumer%20vulnerability_consultation%20paper.pdf" TargetMode="External"/><Relationship Id="rId6" Type="http://schemas.openxmlformats.org/officeDocument/2006/relationships/hyperlink" Target="https://leicester.figshare.com/ndownloader/files/18253028" TargetMode="External"/><Relationship Id="rId11" Type="http://schemas.openxmlformats.org/officeDocument/2006/relationships/hyperlink" Target="https://www.acma.gov.au/publications/2021-02/report/customer-financial-hardship-telco-industry-state-play-report-2019-20" TargetMode="External"/><Relationship Id="rId5" Type="http://schemas.openxmlformats.org/officeDocument/2006/relationships/hyperlink" Target="https://www.theenergycharter.com.au/wp-content/uploads/2019/04/TheCharter_20190328.pdf" TargetMode="External"/><Relationship Id="rId15" Type="http://schemas.openxmlformats.org/officeDocument/2006/relationships/hyperlink" Target="https://thriving.org.au/what-we-do/the-one-stop-one-story-hub" TargetMode="External"/><Relationship Id="rId10" Type="http://schemas.openxmlformats.org/officeDocument/2006/relationships/hyperlink" Target="https://www.tio.com.au/sites/default/files/2021-05/TIO%20Systemic%20Report_Helping%20Telco%20Consumers%20sign%20up%20to%20the%20right_fa_HiRes.pdf" TargetMode="External"/><Relationship Id="rId4" Type="http://schemas.openxmlformats.org/officeDocument/2006/relationships/hyperlink" Target="https://www2.deloitte.com/content/dam/Deloitte/au/Documents/Economics/deloitte-au-economics-digital-governmenttransformation-230715.pdf" TargetMode="External"/><Relationship Id="rId9" Type="http://schemas.openxmlformats.org/officeDocument/2006/relationships/hyperlink" Target="https://www.tio.com.au/sites/default/files/2021-08/TIO_Systemic_Report_Responding%20to%20Consumers%20in%20Financial%20Hardship_fa_HiRes%20%28f1%29.pdf" TargetMode="External"/><Relationship Id="rId14" Type="http://schemas.openxmlformats.org/officeDocument/2006/relationships/hyperlink" Target="https://www.esc.vic.gov.au/sites/default/files/documents/payment-difficulty-framework-final-decision-2017100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Meredith Lea</DisplayName>
        <AccountId>27</AccountId>
        <AccountType/>
      </UserInfo>
    </SharedWithUsers>
  </documentManagement>
</p:properties>
</file>

<file path=customXml/itemProps1.xml><?xml version="1.0" encoding="utf-8"?>
<ds:datastoreItem xmlns:ds="http://schemas.openxmlformats.org/officeDocument/2006/customXml" ds:itemID="{2535DFB1-542F-4EB3-8C0B-181EEDFFB4F9}">
  <ds:schemaRefs>
    <ds:schemaRef ds:uri="http://schemas.microsoft.com/sharepoint/v3/contenttype/forms"/>
  </ds:schemaRefs>
</ds:datastoreItem>
</file>

<file path=customXml/itemProps2.xml><?xml version="1.0" encoding="utf-8"?>
<ds:datastoreItem xmlns:ds="http://schemas.openxmlformats.org/officeDocument/2006/customXml" ds:itemID="{492605D6-355A-4D84-A745-D2D81C6B4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31CE6-C918-498E-885D-8BE38501C756}">
  <ds:schemaRefs>
    <ds:schemaRef ds:uri="http://schemas.openxmlformats.org/officeDocument/2006/bibliography"/>
  </ds:schemaRefs>
</ds:datastoreItem>
</file>

<file path=customXml/itemProps4.xml><?xml version="1.0" encoding="utf-8"?>
<ds:datastoreItem xmlns:ds="http://schemas.openxmlformats.org/officeDocument/2006/customXml" ds:itemID="{320B5141-33F6-4CC3-8C8A-A2FE5AB77C38}">
  <ds:schemaRefs>
    <ds:schemaRef ds:uri="http://schemas.microsoft.com/office/2006/metadata/properties"/>
    <ds:schemaRef ds:uri="http://schemas.microsoft.com/office/infopath/2007/PartnerControls"/>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2391</TotalTime>
  <Pages>17</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36693</CharactersWithSpaces>
  <SharedDoc>false</SharedDoc>
  <HLinks>
    <vt:vector size="198" baseType="variant">
      <vt:variant>
        <vt:i4>1048625</vt:i4>
      </vt:variant>
      <vt:variant>
        <vt:i4>92</vt:i4>
      </vt:variant>
      <vt:variant>
        <vt:i4>0</vt:i4>
      </vt:variant>
      <vt:variant>
        <vt:i4>5</vt:i4>
      </vt:variant>
      <vt:variant>
        <vt:lpwstr/>
      </vt:variant>
      <vt:variant>
        <vt:lpwstr>_Toc82181499</vt:lpwstr>
      </vt:variant>
      <vt:variant>
        <vt:i4>1114161</vt:i4>
      </vt:variant>
      <vt:variant>
        <vt:i4>86</vt:i4>
      </vt:variant>
      <vt:variant>
        <vt:i4>0</vt:i4>
      </vt:variant>
      <vt:variant>
        <vt:i4>5</vt:i4>
      </vt:variant>
      <vt:variant>
        <vt:lpwstr/>
      </vt:variant>
      <vt:variant>
        <vt:lpwstr>_Toc82181498</vt:lpwstr>
      </vt:variant>
      <vt:variant>
        <vt:i4>1966129</vt:i4>
      </vt:variant>
      <vt:variant>
        <vt:i4>80</vt:i4>
      </vt:variant>
      <vt:variant>
        <vt:i4>0</vt:i4>
      </vt:variant>
      <vt:variant>
        <vt:i4>5</vt:i4>
      </vt:variant>
      <vt:variant>
        <vt:lpwstr/>
      </vt:variant>
      <vt:variant>
        <vt:lpwstr>_Toc82181497</vt:lpwstr>
      </vt:variant>
      <vt:variant>
        <vt:i4>2031665</vt:i4>
      </vt:variant>
      <vt:variant>
        <vt:i4>74</vt:i4>
      </vt:variant>
      <vt:variant>
        <vt:i4>0</vt:i4>
      </vt:variant>
      <vt:variant>
        <vt:i4>5</vt:i4>
      </vt:variant>
      <vt:variant>
        <vt:lpwstr/>
      </vt:variant>
      <vt:variant>
        <vt:lpwstr>_Toc82181496</vt:lpwstr>
      </vt:variant>
      <vt:variant>
        <vt:i4>1835057</vt:i4>
      </vt:variant>
      <vt:variant>
        <vt:i4>68</vt:i4>
      </vt:variant>
      <vt:variant>
        <vt:i4>0</vt:i4>
      </vt:variant>
      <vt:variant>
        <vt:i4>5</vt:i4>
      </vt:variant>
      <vt:variant>
        <vt:lpwstr/>
      </vt:variant>
      <vt:variant>
        <vt:lpwstr>_Toc82181495</vt:lpwstr>
      </vt:variant>
      <vt:variant>
        <vt:i4>1900593</vt:i4>
      </vt:variant>
      <vt:variant>
        <vt:i4>62</vt:i4>
      </vt:variant>
      <vt:variant>
        <vt:i4>0</vt:i4>
      </vt:variant>
      <vt:variant>
        <vt:i4>5</vt:i4>
      </vt:variant>
      <vt:variant>
        <vt:lpwstr/>
      </vt:variant>
      <vt:variant>
        <vt:lpwstr>_Toc82181494</vt:lpwstr>
      </vt:variant>
      <vt:variant>
        <vt:i4>1703985</vt:i4>
      </vt:variant>
      <vt:variant>
        <vt:i4>56</vt:i4>
      </vt:variant>
      <vt:variant>
        <vt:i4>0</vt:i4>
      </vt:variant>
      <vt:variant>
        <vt:i4>5</vt:i4>
      </vt:variant>
      <vt:variant>
        <vt:lpwstr/>
      </vt:variant>
      <vt:variant>
        <vt:lpwstr>_Toc82181493</vt:lpwstr>
      </vt:variant>
      <vt:variant>
        <vt:i4>1769521</vt:i4>
      </vt:variant>
      <vt:variant>
        <vt:i4>50</vt:i4>
      </vt:variant>
      <vt:variant>
        <vt:i4>0</vt:i4>
      </vt:variant>
      <vt:variant>
        <vt:i4>5</vt:i4>
      </vt:variant>
      <vt:variant>
        <vt:lpwstr/>
      </vt:variant>
      <vt:variant>
        <vt:lpwstr>_Toc82181492</vt:lpwstr>
      </vt:variant>
      <vt:variant>
        <vt:i4>1572913</vt:i4>
      </vt:variant>
      <vt:variant>
        <vt:i4>44</vt:i4>
      </vt:variant>
      <vt:variant>
        <vt:i4>0</vt:i4>
      </vt:variant>
      <vt:variant>
        <vt:i4>5</vt:i4>
      </vt:variant>
      <vt:variant>
        <vt:lpwstr/>
      </vt:variant>
      <vt:variant>
        <vt:lpwstr>_Toc82181491</vt:lpwstr>
      </vt:variant>
      <vt:variant>
        <vt:i4>1638449</vt:i4>
      </vt:variant>
      <vt:variant>
        <vt:i4>38</vt:i4>
      </vt:variant>
      <vt:variant>
        <vt:i4>0</vt:i4>
      </vt:variant>
      <vt:variant>
        <vt:i4>5</vt:i4>
      </vt:variant>
      <vt:variant>
        <vt:lpwstr/>
      </vt:variant>
      <vt:variant>
        <vt:lpwstr>_Toc82181490</vt:lpwstr>
      </vt:variant>
      <vt:variant>
        <vt:i4>1048624</vt:i4>
      </vt:variant>
      <vt:variant>
        <vt:i4>32</vt:i4>
      </vt:variant>
      <vt:variant>
        <vt:i4>0</vt:i4>
      </vt:variant>
      <vt:variant>
        <vt:i4>5</vt:i4>
      </vt:variant>
      <vt:variant>
        <vt:lpwstr/>
      </vt:variant>
      <vt:variant>
        <vt:lpwstr>_Toc82181489</vt:lpwstr>
      </vt:variant>
      <vt:variant>
        <vt:i4>1114160</vt:i4>
      </vt:variant>
      <vt:variant>
        <vt:i4>26</vt:i4>
      </vt:variant>
      <vt:variant>
        <vt:i4>0</vt:i4>
      </vt:variant>
      <vt:variant>
        <vt:i4>5</vt:i4>
      </vt:variant>
      <vt:variant>
        <vt:lpwstr/>
      </vt:variant>
      <vt:variant>
        <vt:lpwstr>_Toc82181488</vt:lpwstr>
      </vt:variant>
      <vt:variant>
        <vt:i4>1966128</vt:i4>
      </vt:variant>
      <vt:variant>
        <vt:i4>20</vt:i4>
      </vt:variant>
      <vt:variant>
        <vt:i4>0</vt:i4>
      </vt:variant>
      <vt:variant>
        <vt:i4>5</vt:i4>
      </vt:variant>
      <vt:variant>
        <vt:lpwstr/>
      </vt:variant>
      <vt:variant>
        <vt:lpwstr>_Toc82181487</vt:lpwstr>
      </vt:variant>
      <vt:variant>
        <vt:i4>2031664</vt:i4>
      </vt:variant>
      <vt:variant>
        <vt:i4>14</vt:i4>
      </vt:variant>
      <vt:variant>
        <vt:i4>0</vt:i4>
      </vt:variant>
      <vt:variant>
        <vt:i4>5</vt:i4>
      </vt:variant>
      <vt:variant>
        <vt:lpwstr/>
      </vt:variant>
      <vt:variant>
        <vt:lpwstr>_Toc82181486</vt:lpwstr>
      </vt:variant>
      <vt:variant>
        <vt:i4>1835056</vt:i4>
      </vt:variant>
      <vt:variant>
        <vt:i4>8</vt:i4>
      </vt:variant>
      <vt:variant>
        <vt:i4>0</vt:i4>
      </vt:variant>
      <vt:variant>
        <vt:i4>5</vt:i4>
      </vt:variant>
      <vt:variant>
        <vt:lpwstr/>
      </vt:variant>
      <vt:variant>
        <vt:lpwstr>_Toc82181485</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4718678</vt:i4>
      </vt:variant>
      <vt:variant>
        <vt:i4>45</vt:i4>
      </vt:variant>
      <vt:variant>
        <vt:i4>0</vt:i4>
      </vt:variant>
      <vt:variant>
        <vt:i4>5</vt:i4>
      </vt:variant>
      <vt:variant>
        <vt:lpwstr>https://www.commsalliance.com.au/__data/assets/pdf_file/0011/64784/TCP-C628_2019.pdf</vt:lpwstr>
      </vt:variant>
      <vt:variant>
        <vt:lpwstr/>
      </vt:variant>
      <vt:variant>
        <vt:i4>4587593</vt:i4>
      </vt:variant>
      <vt:variant>
        <vt:i4>42</vt:i4>
      </vt:variant>
      <vt:variant>
        <vt:i4>0</vt:i4>
      </vt:variant>
      <vt:variant>
        <vt:i4>5</vt:i4>
      </vt:variant>
      <vt:variant>
        <vt:lpwstr>https://thriving.org.au/what-we-do/the-one-stop-one-story-hub</vt:lpwstr>
      </vt:variant>
      <vt:variant>
        <vt:lpwstr/>
      </vt:variant>
      <vt:variant>
        <vt:i4>1114131</vt:i4>
      </vt:variant>
      <vt:variant>
        <vt:i4>39</vt:i4>
      </vt:variant>
      <vt:variant>
        <vt:i4>0</vt:i4>
      </vt:variant>
      <vt:variant>
        <vt:i4>5</vt:i4>
      </vt:variant>
      <vt:variant>
        <vt:lpwstr>https://www.esc.vic.gov.au/sites/default/files/documents/payment-difficulty-framework-final-decision-20171009.pdf</vt:lpwstr>
      </vt:variant>
      <vt:variant>
        <vt:lpwstr/>
      </vt:variant>
      <vt:variant>
        <vt:i4>6750292</vt:i4>
      </vt:variant>
      <vt:variant>
        <vt:i4>36</vt:i4>
      </vt:variant>
      <vt:variant>
        <vt:i4>0</vt:i4>
      </vt:variant>
      <vt:variant>
        <vt:i4>5</vt:i4>
      </vt:variant>
      <vt:variant>
        <vt:lpwstr>https://www.aer.gov.au/system/files/CPRC - Exploring regulatory approaches to consumer vulnerability - A report for the AER - February 2020_0.pdf</vt:lpwstr>
      </vt:variant>
      <vt:variant>
        <vt:lpwstr/>
      </vt:variant>
      <vt:variant>
        <vt:i4>3342413</vt:i4>
      </vt:variant>
      <vt:variant>
        <vt:i4>33</vt:i4>
      </vt:variant>
      <vt:variant>
        <vt:i4>0</vt:i4>
      </vt:variant>
      <vt:variant>
        <vt:i4>5</vt:i4>
      </vt:variant>
      <vt:variant>
        <vt:lpwstr>https://www.ofcom.org.uk/__data/assets/pdf_file/0034/198763/treating-vulnerable-customer-fairly-guide.pdf</vt:lpwstr>
      </vt:variant>
      <vt:variant>
        <vt:lpwstr/>
      </vt:variant>
      <vt:variant>
        <vt:i4>65537</vt:i4>
      </vt:variant>
      <vt:variant>
        <vt:i4>30</vt:i4>
      </vt:variant>
      <vt:variant>
        <vt:i4>0</vt:i4>
      </vt:variant>
      <vt:variant>
        <vt:i4>5</vt:i4>
      </vt:variant>
      <vt:variant>
        <vt:lpwstr>https://www.acma.gov.au/publications/2021-02/report/customer-financial-hardship-telco-industry-state-play-report-2019-20</vt:lpwstr>
      </vt:variant>
      <vt:variant>
        <vt:lpwstr/>
      </vt:variant>
      <vt:variant>
        <vt:i4>7274571</vt:i4>
      </vt:variant>
      <vt:variant>
        <vt:i4>27</vt:i4>
      </vt:variant>
      <vt:variant>
        <vt:i4>0</vt:i4>
      </vt:variant>
      <vt:variant>
        <vt:i4>5</vt:i4>
      </vt:variant>
      <vt:variant>
        <vt:lpwstr>https://www.tio.com.au/sites/default/files/2021-05/TIO Systemic Report_Helping Telco Consumers sign up to the right_fa_HiRes.pdf</vt:lpwstr>
      </vt:variant>
      <vt:variant>
        <vt:lpwstr/>
      </vt:variant>
      <vt:variant>
        <vt:i4>6684756</vt:i4>
      </vt:variant>
      <vt:variant>
        <vt:i4>24</vt:i4>
      </vt:variant>
      <vt:variant>
        <vt:i4>0</vt:i4>
      </vt:variant>
      <vt:variant>
        <vt:i4>5</vt:i4>
      </vt:variant>
      <vt:variant>
        <vt:lpwstr>https://www.tio.com.au/sites/default/files/2021-08/TIO_Systemic_Report_Responding to Consumers in Financial Hardship_fa_HiRes %28f1%29.pdf</vt:lpwstr>
      </vt:variant>
      <vt:variant>
        <vt:lpwstr/>
      </vt:variant>
      <vt:variant>
        <vt:i4>2621489</vt:i4>
      </vt:variant>
      <vt:variant>
        <vt:i4>21</vt:i4>
      </vt:variant>
      <vt:variant>
        <vt:i4>0</vt:i4>
      </vt:variant>
      <vt:variant>
        <vt:i4>5</vt:i4>
      </vt:variant>
      <vt:variant>
        <vt:lpwstr>https://accan.org.au/files/Submissions/2020/ACCAN Submission to Consumer Safeguards Review Part C V.1.1.pdf</vt:lpwstr>
      </vt:variant>
      <vt:variant>
        <vt:lpwstr/>
      </vt:variant>
      <vt:variant>
        <vt:i4>4718700</vt:i4>
      </vt:variant>
      <vt:variant>
        <vt:i4>18</vt:i4>
      </vt:variant>
      <vt:variant>
        <vt:i4>0</vt:i4>
      </vt:variant>
      <vt:variant>
        <vt:i4>5</vt:i4>
      </vt:variant>
      <vt:variant>
        <vt:lpwstr>https://www.tio.com.au/sites/default/files/2020-09/TIO AR2019-20_High-Res.pdf</vt:lpwstr>
      </vt:variant>
      <vt:variant>
        <vt:lpwstr/>
      </vt:variant>
      <vt:variant>
        <vt:i4>5373977</vt:i4>
      </vt:variant>
      <vt:variant>
        <vt:i4>15</vt:i4>
      </vt:variant>
      <vt:variant>
        <vt:i4>0</vt:i4>
      </vt:variant>
      <vt:variant>
        <vt:i4>5</vt:i4>
      </vt:variant>
      <vt:variant>
        <vt:lpwstr>https://leicester.figshare.com/ndownloader/files/18253028</vt:lpwstr>
      </vt:variant>
      <vt:variant>
        <vt:lpwstr/>
      </vt:variant>
      <vt:variant>
        <vt:i4>5832756</vt:i4>
      </vt:variant>
      <vt:variant>
        <vt:i4>12</vt:i4>
      </vt:variant>
      <vt:variant>
        <vt:i4>0</vt:i4>
      </vt:variant>
      <vt:variant>
        <vt:i4>5</vt:i4>
      </vt:variant>
      <vt:variant>
        <vt:lpwstr>https://www.theenergycharter.com.au/wp-content/uploads/2019/04/TheCharter_20190328.pdf</vt:lpwstr>
      </vt:variant>
      <vt:variant>
        <vt:lpwstr/>
      </vt:variant>
      <vt:variant>
        <vt:i4>3211379</vt:i4>
      </vt:variant>
      <vt:variant>
        <vt:i4>9</vt:i4>
      </vt:variant>
      <vt:variant>
        <vt:i4>0</vt:i4>
      </vt:variant>
      <vt:variant>
        <vt:i4>5</vt:i4>
      </vt:variant>
      <vt:variant>
        <vt:lpwstr>https://www2.deloitte.com/content/dam/Deloitte/au/Documents/Economics/deloitte-au-economics-digital-governmenttransformation-230715.pdf</vt:lpwstr>
      </vt:variant>
      <vt:variant>
        <vt:lpwstr/>
      </vt:variant>
      <vt:variant>
        <vt:i4>7798826</vt:i4>
      </vt:variant>
      <vt:variant>
        <vt:i4>6</vt:i4>
      </vt:variant>
      <vt:variant>
        <vt:i4>0</vt:i4>
      </vt:variant>
      <vt:variant>
        <vt:i4>5</vt:i4>
      </vt:variant>
      <vt:variant>
        <vt:lpwstr>https://www.communications.gov.au/what-we-do/internet/australian-broadband-advisory-council-reports</vt:lpwstr>
      </vt:variant>
      <vt:variant>
        <vt:lpwstr/>
      </vt:variant>
      <vt:variant>
        <vt:i4>2621489</vt:i4>
      </vt:variant>
      <vt:variant>
        <vt:i4>3</vt:i4>
      </vt:variant>
      <vt:variant>
        <vt:i4>0</vt:i4>
      </vt:variant>
      <vt:variant>
        <vt:i4>5</vt:i4>
      </vt:variant>
      <vt:variant>
        <vt:lpwstr>https://accan.org.au/files/Submissions/2020/ACCAN Submission to Consumer Safeguards Review Part C V.1.1.pdf</vt:lpwstr>
      </vt:variant>
      <vt:variant>
        <vt:lpwstr/>
      </vt:variant>
      <vt:variant>
        <vt:i4>5308455</vt:i4>
      </vt:variant>
      <vt:variant>
        <vt:i4>0</vt:i4>
      </vt:variant>
      <vt:variant>
        <vt:i4>0</vt:i4>
      </vt:variant>
      <vt:variant>
        <vt:i4>5</vt:i4>
      </vt:variant>
      <vt:variant>
        <vt:lpwstr>https://www.acma.gov.au/sites/default/files/2021-07/Consumer vulnerability_consultation 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Sarkoezy</dc:creator>
  <cp:keywords/>
  <cp:lastModifiedBy>Una Lawrence</cp:lastModifiedBy>
  <cp:revision>1172</cp:revision>
  <cp:lastPrinted>2021-09-14T03:08:00Z</cp:lastPrinted>
  <dcterms:created xsi:type="dcterms:W3CDTF">2020-11-11T19:32:00Z</dcterms:created>
  <dcterms:modified xsi:type="dcterms:W3CDTF">2021-09-14T03:08:00Z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