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0942D" w14:textId="77777777" w:rsidR="00C7127B" w:rsidRDefault="00C7127B" w:rsidP="00C7127B">
      <w:pPr>
        <w:spacing w:after="0"/>
        <w:rPr>
          <w:sz w:val="23"/>
          <w:szCs w:val="23"/>
        </w:rPr>
      </w:pPr>
      <w:bookmarkStart w:id="0" w:name="_GoBack"/>
      <w:bookmarkEnd w:id="0"/>
    </w:p>
    <w:p w14:paraId="79AB724E" w14:textId="77777777" w:rsidR="00A22DA1" w:rsidRDefault="00A22DA1" w:rsidP="00C7127B">
      <w:pPr>
        <w:spacing w:after="0"/>
        <w:rPr>
          <w:sz w:val="23"/>
          <w:szCs w:val="23"/>
        </w:rPr>
      </w:pPr>
    </w:p>
    <w:p w14:paraId="42F7D4CC" w14:textId="77777777" w:rsidR="00A22DA1" w:rsidRDefault="00A22DA1" w:rsidP="00C7127B">
      <w:pPr>
        <w:spacing w:after="0"/>
        <w:rPr>
          <w:sz w:val="23"/>
          <w:szCs w:val="23"/>
        </w:rPr>
      </w:pPr>
    </w:p>
    <w:p w14:paraId="1FF16B8D" w14:textId="4AAA4BB9" w:rsidR="00C7127B" w:rsidRDefault="007745C3" w:rsidP="00C7127B">
      <w:pPr>
        <w:spacing w:after="0"/>
        <w:rPr>
          <w:sz w:val="23"/>
          <w:szCs w:val="23"/>
        </w:rPr>
      </w:pPr>
      <w:r>
        <w:rPr>
          <w:sz w:val="23"/>
          <w:szCs w:val="23"/>
        </w:rPr>
        <w:t>4</w:t>
      </w:r>
      <w:r w:rsidR="00AF3F0E">
        <w:rPr>
          <w:sz w:val="23"/>
          <w:szCs w:val="23"/>
        </w:rPr>
        <w:t xml:space="preserve"> November</w:t>
      </w:r>
      <w:r w:rsidR="007C6EBA">
        <w:rPr>
          <w:sz w:val="23"/>
          <w:szCs w:val="23"/>
        </w:rPr>
        <w:t xml:space="preserve"> 2020</w:t>
      </w:r>
    </w:p>
    <w:p w14:paraId="0BB7B49A" w14:textId="77777777" w:rsidR="00C7127B" w:rsidRDefault="00C7127B" w:rsidP="00C7127B">
      <w:pPr>
        <w:spacing w:after="0"/>
        <w:rPr>
          <w:sz w:val="23"/>
          <w:szCs w:val="23"/>
        </w:rPr>
      </w:pPr>
    </w:p>
    <w:p w14:paraId="6595C21A" w14:textId="60F98018" w:rsidR="00C7127B" w:rsidRDefault="002A6B9B" w:rsidP="00C7127B">
      <w:pPr>
        <w:spacing w:after="0"/>
        <w:rPr>
          <w:sz w:val="23"/>
          <w:szCs w:val="23"/>
        </w:rPr>
      </w:pPr>
      <w:r>
        <w:rPr>
          <w:sz w:val="23"/>
          <w:szCs w:val="23"/>
        </w:rPr>
        <w:t>Broadband Performance</w:t>
      </w:r>
    </w:p>
    <w:p w14:paraId="5EB3F3C1" w14:textId="4564A8DE" w:rsidR="002A6B9B" w:rsidRDefault="002A6B9B" w:rsidP="00C7127B">
      <w:pPr>
        <w:spacing w:after="0"/>
        <w:rPr>
          <w:sz w:val="23"/>
          <w:szCs w:val="23"/>
        </w:rPr>
      </w:pPr>
      <w:r>
        <w:rPr>
          <w:sz w:val="23"/>
          <w:szCs w:val="23"/>
        </w:rPr>
        <w:t xml:space="preserve">Australian Competition and Consumer Commission </w:t>
      </w:r>
    </w:p>
    <w:p w14:paraId="02052144" w14:textId="41AF1721" w:rsidR="00C7127B" w:rsidRDefault="002A6B9B" w:rsidP="00C7127B">
      <w:pPr>
        <w:spacing w:after="0"/>
        <w:rPr>
          <w:rStyle w:val="lrzxr"/>
        </w:rPr>
      </w:pPr>
      <w:r>
        <w:rPr>
          <w:rStyle w:val="lrzxr"/>
        </w:rPr>
        <w:t>20/175 Pitt St, Sydney NSW 2000</w:t>
      </w:r>
    </w:p>
    <w:p w14:paraId="75171597" w14:textId="77777777" w:rsidR="002A6B9B" w:rsidRDefault="002A6B9B" w:rsidP="00C7127B">
      <w:pPr>
        <w:spacing w:after="0"/>
        <w:rPr>
          <w:sz w:val="23"/>
          <w:szCs w:val="23"/>
        </w:rPr>
      </w:pPr>
    </w:p>
    <w:p w14:paraId="57BD0695" w14:textId="6775E257" w:rsidR="00C7127B" w:rsidRDefault="00CF3D06" w:rsidP="00C7127B">
      <w:pPr>
        <w:spacing w:after="0"/>
        <w:rPr>
          <w:sz w:val="23"/>
          <w:szCs w:val="23"/>
        </w:rPr>
      </w:pPr>
      <w:hyperlink r:id="rId8" w:history="1">
        <w:r w:rsidR="002A6B9B" w:rsidRPr="00E35C9D">
          <w:rPr>
            <w:rStyle w:val="Hyperlink"/>
            <w:sz w:val="23"/>
            <w:szCs w:val="23"/>
          </w:rPr>
          <w:t>broadbandperformance@accc.gov.au</w:t>
        </w:r>
      </w:hyperlink>
    </w:p>
    <w:p w14:paraId="4D037D20" w14:textId="77777777" w:rsidR="002A6B9B" w:rsidRDefault="002A6B9B" w:rsidP="00C7127B">
      <w:pPr>
        <w:spacing w:after="0"/>
        <w:rPr>
          <w:rFonts w:cstheme="minorHAnsi"/>
        </w:rPr>
      </w:pPr>
    </w:p>
    <w:p w14:paraId="65956A79" w14:textId="4E65BE9C" w:rsidR="002A6B9B" w:rsidRPr="002A6B9B" w:rsidRDefault="002A6B9B" w:rsidP="00C4474F">
      <w:pPr>
        <w:pStyle w:val="BodyText1"/>
        <w:rPr>
          <w:b/>
          <w:bCs/>
        </w:rPr>
      </w:pPr>
      <w:r w:rsidRPr="002A6B9B">
        <w:rPr>
          <w:b/>
          <w:bCs/>
        </w:rPr>
        <w:t>RE: Review of the Measuring Broadband Australia program</w:t>
      </w:r>
    </w:p>
    <w:p w14:paraId="58B36593" w14:textId="01DDA9F1" w:rsidR="00C4474F" w:rsidRDefault="00C7127B" w:rsidP="00C4474F">
      <w:pPr>
        <w:pStyle w:val="BodyText1"/>
      </w:pPr>
      <w:r w:rsidRPr="007C6EBA">
        <w:t>ACCAN thanks the</w:t>
      </w:r>
      <w:r w:rsidR="002400EB" w:rsidRPr="007C6EBA">
        <w:t xml:space="preserve"> ACCC </w:t>
      </w:r>
      <w:r w:rsidRPr="007C6EBA">
        <w:t xml:space="preserve">for the opportunity to contribute to its </w:t>
      </w:r>
      <w:r w:rsidR="007C6EBA" w:rsidRPr="007C6EBA">
        <w:t xml:space="preserve">Review of the Measuring Broadband Australia program </w:t>
      </w:r>
      <w:r w:rsidR="0034537B">
        <w:t>c</w:t>
      </w:r>
      <w:r w:rsidR="007C6EBA" w:rsidRPr="007C6EBA">
        <w:t>onsultation.</w:t>
      </w:r>
      <w:r w:rsidR="00C4474F">
        <w:t xml:space="preserve"> </w:t>
      </w:r>
    </w:p>
    <w:p w14:paraId="13176327" w14:textId="2FCD2565" w:rsidR="00704B28" w:rsidRDefault="00704B28" w:rsidP="00C4474F">
      <w:pPr>
        <w:pStyle w:val="BodyText1"/>
      </w:pPr>
      <w:r>
        <w:t xml:space="preserve">ACCAN advocated strongly in favour of the original iteration of the MBA, to measure the broadband performance of fixed-line NBN services at the network and RSP level, and we continue to advocate for both the scheme’s continuation and further extension to encompass NBN </w:t>
      </w:r>
      <w:r w:rsidR="00AF3F0E">
        <w:t>F</w:t>
      </w:r>
      <w:r>
        <w:t xml:space="preserve">ixed </w:t>
      </w:r>
      <w:r w:rsidR="00AF3F0E">
        <w:t>W</w:t>
      </w:r>
      <w:r>
        <w:t>ireless</w:t>
      </w:r>
      <w:r w:rsidR="006D4C62">
        <w:t xml:space="preserve">, </w:t>
      </w:r>
      <w:r>
        <w:t>NBN Sky</w:t>
      </w:r>
      <w:r w:rsidR="00E97A3A">
        <w:t xml:space="preserve"> M</w:t>
      </w:r>
      <w:r>
        <w:t>uster satellite services</w:t>
      </w:r>
      <w:r w:rsidR="006D4C62">
        <w:t xml:space="preserve">, </w:t>
      </w:r>
      <w:r w:rsidR="0034537B">
        <w:t>n</w:t>
      </w:r>
      <w:r w:rsidR="006D4C62">
        <w:t xml:space="preserve">on NBN networks, </w:t>
      </w:r>
      <w:r w:rsidR="00EE01FE">
        <w:t>s</w:t>
      </w:r>
      <w:r w:rsidR="006D4C62">
        <w:t>mall business services and mobile broadband services</w:t>
      </w:r>
      <w:r>
        <w:t>.</w:t>
      </w:r>
      <w:r w:rsidR="00D04668">
        <w:t xml:space="preserve"> ACCAN regularly refers to and utilises the results from MBA </w:t>
      </w:r>
      <w:r w:rsidR="00EE01FE">
        <w:t xml:space="preserve">to guide our policy work, as well as </w:t>
      </w:r>
      <w:r w:rsidR="00D04668">
        <w:t>in our consumer advocacy and educational work</w:t>
      </w:r>
      <w:r w:rsidR="00323572">
        <w:t>.</w:t>
      </w:r>
      <w:r w:rsidR="00EE01FE">
        <w:t xml:space="preserve"> </w:t>
      </w:r>
      <w:r w:rsidR="00323572">
        <w:t>W</w:t>
      </w:r>
      <w:r w:rsidR="00EE01FE">
        <w:t>e envisage</w:t>
      </w:r>
      <w:r w:rsidR="00D04668">
        <w:t xml:space="preserve"> the wider economic benefit of the program excee</w:t>
      </w:r>
      <w:r w:rsidR="00EE01FE">
        <w:t>d</w:t>
      </w:r>
      <w:r w:rsidR="00323572">
        <w:t>s</w:t>
      </w:r>
      <w:r w:rsidR="00D04668">
        <w:t xml:space="preserve"> the cost of its funding. </w:t>
      </w:r>
    </w:p>
    <w:p w14:paraId="799CCD1A" w14:textId="77777777" w:rsidR="002F7197" w:rsidRDefault="002F7197" w:rsidP="002F7197">
      <w:pPr>
        <w:pStyle w:val="BodyText1"/>
      </w:pPr>
      <w:r>
        <w:t>In ACCAN’s view the Measuring Broadband Australia (MBA) program has succeeded in its stated objectives to:</w:t>
      </w:r>
    </w:p>
    <w:p w14:paraId="0F755EA7" w14:textId="77777777" w:rsidR="002F7197" w:rsidRPr="00A546A3" w:rsidRDefault="002F7197" w:rsidP="002F7197">
      <w:pPr>
        <w:pStyle w:val="ListParagraph"/>
      </w:pPr>
      <w:r w:rsidRPr="00A546A3">
        <w:t>provide visibility over the performance of fixed-line NBN services at the network and RSP level;</w:t>
      </w:r>
    </w:p>
    <w:p w14:paraId="24BCD80E" w14:textId="77777777" w:rsidR="002F7197" w:rsidRPr="00A546A3" w:rsidRDefault="002F7197" w:rsidP="002F7197">
      <w:pPr>
        <w:pStyle w:val="ListParagraph"/>
      </w:pPr>
      <w:r w:rsidRPr="00A546A3">
        <w:t>assist in educating consumers in improving their understanding of the technical performance capability of the products and services being offered to them;</w:t>
      </w:r>
    </w:p>
    <w:p w14:paraId="7BB94B14" w14:textId="77777777" w:rsidR="002F7197" w:rsidRPr="00A546A3" w:rsidRDefault="002F7197" w:rsidP="002F7197">
      <w:pPr>
        <w:pStyle w:val="ListParagraph"/>
      </w:pPr>
      <w:r w:rsidRPr="00A546A3">
        <w:t xml:space="preserve">provide consumers with reliable and independent information to make informed purchasing decisions; </w:t>
      </w:r>
    </w:p>
    <w:p w14:paraId="0E822EBD" w14:textId="77777777" w:rsidR="002F7197" w:rsidRPr="00A546A3" w:rsidRDefault="002F7197" w:rsidP="002F7197">
      <w:pPr>
        <w:pStyle w:val="ListParagraph"/>
      </w:pPr>
      <w:r w:rsidRPr="00A546A3">
        <w:t>promote a competitive fixed line broadband market;</w:t>
      </w:r>
      <w:r>
        <w:t xml:space="preserve"> and</w:t>
      </w:r>
    </w:p>
    <w:p w14:paraId="186519D5" w14:textId="49D6066D" w:rsidR="002F7197" w:rsidRDefault="002F7197" w:rsidP="00EE01FE">
      <w:pPr>
        <w:pStyle w:val="ListParagraph"/>
      </w:pPr>
      <w:r w:rsidRPr="00A546A3">
        <w:t>encourage greater transparency and accountability in the market that reduces barriers to entry from information asymmetry and efficiently works to meet consumer demand.</w:t>
      </w:r>
      <w:r>
        <w:rPr>
          <w:rStyle w:val="FootnoteReference"/>
        </w:rPr>
        <w:footnoteReference w:id="1"/>
      </w:r>
      <w:r w:rsidRPr="00A546A3">
        <w:t xml:space="preserve">  </w:t>
      </w:r>
    </w:p>
    <w:p w14:paraId="37DB91B8" w14:textId="1DCF2C6D" w:rsidR="002F7197" w:rsidRPr="002F7197" w:rsidRDefault="002F7197" w:rsidP="00C4474F">
      <w:pPr>
        <w:pStyle w:val="BodyText1"/>
        <w:rPr>
          <w:b/>
          <w:bCs/>
        </w:rPr>
      </w:pPr>
      <w:r>
        <w:rPr>
          <w:b/>
          <w:bCs/>
        </w:rPr>
        <w:t>Improving consumer outcomes</w:t>
      </w:r>
    </w:p>
    <w:p w14:paraId="54129CB0" w14:textId="77777777" w:rsidR="00A22DA1" w:rsidRDefault="002C156D" w:rsidP="00C4474F">
      <w:pPr>
        <w:pStyle w:val="BodyText1"/>
      </w:pPr>
      <w:r>
        <w:t>Transparent reporting</w:t>
      </w:r>
      <w:r w:rsidR="002F7197">
        <w:t xml:space="preserve"> by the MBA program</w:t>
      </w:r>
      <w:r>
        <w:t xml:space="preserve"> has</w:t>
      </w:r>
      <w:r w:rsidR="00704B28">
        <w:t xml:space="preserve"> </w:t>
      </w:r>
      <w:r>
        <w:t>required RSPs to accurately represent their technical performance capabilities on the products they offer and,</w:t>
      </w:r>
      <w:r w:rsidR="00C73671">
        <w:t xml:space="preserve"> </w:t>
      </w:r>
      <w:r w:rsidR="00C73671" w:rsidRPr="00C73671">
        <w:t>indirectly</w:t>
      </w:r>
      <w:r w:rsidR="00C73671">
        <w:t>,</w:t>
      </w:r>
      <w:r>
        <w:t xml:space="preserve"> </w:t>
      </w:r>
      <w:r w:rsidR="00C73671" w:rsidRPr="00C73671">
        <w:t xml:space="preserve">increased consumer protections as performance claims </w:t>
      </w:r>
      <w:r w:rsidR="00C73671">
        <w:t xml:space="preserve">are held </w:t>
      </w:r>
      <w:r w:rsidR="00704B28">
        <w:t xml:space="preserve">up </w:t>
      </w:r>
      <w:r w:rsidR="00C73671">
        <w:t>to both ACCC and public scrutiny.</w:t>
      </w:r>
      <w:r w:rsidR="00C73671">
        <w:rPr>
          <w:rStyle w:val="FootnoteReference"/>
        </w:rPr>
        <w:footnoteReference w:id="2"/>
      </w:r>
      <w:r>
        <w:t xml:space="preserve"> </w:t>
      </w:r>
      <w:r w:rsidR="007B77BF">
        <w:t>As a consequence, the</w:t>
      </w:r>
      <w:r>
        <w:t xml:space="preserve"> </w:t>
      </w:r>
      <w:r w:rsidR="007B77BF">
        <w:t>scheme has</w:t>
      </w:r>
      <w:r>
        <w:t xml:space="preserve"> motivated providers to</w:t>
      </w:r>
      <w:r w:rsidR="00252993">
        <w:t xml:space="preserve"> both</w:t>
      </w:r>
      <w:r>
        <w:t xml:space="preserve"> </w:t>
      </w:r>
      <w:r w:rsidRPr="002C156D">
        <w:t xml:space="preserve">invest in operational improvements </w:t>
      </w:r>
      <w:r w:rsidR="00B81D03">
        <w:t xml:space="preserve">and address </w:t>
      </w:r>
      <w:r w:rsidR="00B81D03" w:rsidRPr="00B81D03">
        <w:t xml:space="preserve">individual or </w:t>
      </w:r>
    </w:p>
    <w:p w14:paraId="72604A28" w14:textId="77777777" w:rsidR="00A22DA1" w:rsidRDefault="00A22DA1" w:rsidP="00C4474F">
      <w:pPr>
        <w:pStyle w:val="BodyText1"/>
      </w:pPr>
    </w:p>
    <w:p w14:paraId="7C1C9D66" w14:textId="6911FE93" w:rsidR="00F51DE2" w:rsidRDefault="00B81D03" w:rsidP="00C4474F">
      <w:pPr>
        <w:pStyle w:val="BodyText1"/>
      </w:pPr>
      <w:r w:rsidRPr="00B81D03">
        <w:t>systemic performance issues</w:t>
      </w:r>
      <w:r>
        <w:t xml:space="preserve"> </w:t>
      </w:r>
      <w:r w:rsidR="006E454B">
        <w:t>where network deficiencies have been identified</w:t>
      </w:r>
      <w:r w:rsidR="002C156D" w:rsidRPr="002C156D">
        <w:t>.</w:t>
      </w:r>
      <w:r w:rsidR="002C156D">
        <w:rPr>
          <w:rStyle w:val="FootnoteReference"/>
        </w:rPr>
        <w:footnoteReference w:id="3"/>
      </w:r>
      <w:r w:rsidR="002C156D" w:rsidRPr="002C156D">
        <w:t xml:space="preserve"> </w:t>
      </w:r>
      <w:r w:rsidR="00252993">
        <w:t>Given the fact that the</w:t>
      </w:r>
      <w:r w:rsidR="00252993" w:rsidRPr="00252993">
        <w:t xml:space="preserve"> percentage of underperforming </w:t>
      </w:r>
      <w:r w:rsidR="00704B28">
        <w:t xml:space="preserve">fixed-line NBN </w:t>
      </w:r>
      <w:r w:rsidR="00252993" w:rsidRPr="00252993">
        <w:t>services in the volunteer pool has steadily decreased</w:t>
      </w:r>
      <w:r w:rsidR="00252993">
        <w:t xml:space="preserve"> since the MBA commenced</w:t>
      </w:r>
      <w:r w:rsidR="00252993" w:rsidRPr="00252993">
        <w:t>,</w:t>
      </w:r>
      <w:r w:rsidR="00704B28" w:rsidRPr="00704B28">
        <w:rPr>
          <w:rStyle w:val="FootnoteReference"/>
        </w:rPr>
        <w:t xml:space="preserve"> </w:t>
      </w:r>
      <w:r w:rsidR="00704B28">
        <w:rPr>
          <w:rStyle w:val="FootnoteReference"/>
        </w:rPr>
        <w:footnoteReference w:id="4"/>
      </w:r>
      <w:r w:rsidR="00252993" w:rsidRPr="00252993">
        <w:t xml:space="preserve"> </w:t>
      </w:r>
      <w:r w:rsidR="009418D1">
        <w:t xml:space="preserve">and there has been a decline in consumer complaints, </w:t>
      </w:r>
      <w:r w:rsidR="00704B28">
        <w:t>consumers</w:t>
      </w:r>
      <w:r w:rsidR="00252993">
        <w:t xml:space="preserve"> are clearly benefiting from the </w:t>
      </w:r>
      <w:r w:rsidR="009418D1">
        <w:t>MBA program.</w:t>
      </w:r>
    </w:p>
    <w:p w14:paraId="11D36D3D" w14:textId="3499EC17" w:rsidR="00EE01FE" w:rsidRDefault="00EE01FE" w:rsidP="00C4474F">
      <w:pPr>
        <w:pStyle w:val="BodyText1"/>
      </w:pPr>
      <w:r>
        <w:rPr>
          <w:rStyle w:val="IntenseEmphasis"/>
          <w:i w:val="0"/>
          <w:iCs w:val="0"/>
          <w:color w:val="000000"/>
        </w:rPr>
        <w:t>The ACCC has identified the risks of market failure should the MBA program be discontinued.</w:t>
      </w:r>
      <w:r w:rsidR="00F32451">
        <w:rPr>
          <w:rStyle w:val="FootnoteReference"/>
        </w:rPr>
        <w:footnoteReference w:id="5"/>
      </w:r>
      <w:r>
        <w:rPr>
          <w:rStyle w:val="IntenseEmphasis"/>
          <w:i w:val="0"/>
          <w:iCs w:val="0"/>
          <w:color w:val="000000"/>
        </w:rPr>
        <w:t xml:space="preserve"> ACCAN considers that the risks outlined are highly likely should the program cease to operate. Whilst other data and market led tools may be provided by individual retailers or comparison websites, the independent and transparent nature of the data provided by the ACCC ensures that the results are reliable, and</w:t>
      </w:r>
      <w:r w:rsidR="00323572">
        <w:rPr>
          <w:rStyle w:val="IntenseEmphasis"/>
          <w:i w:val="0"/>
          <w:iCs w:val="0"/>
          <w:color w:val="000000"/>
        </w:rPr>
        <w:t xml:space="preserve"> importantly,</w:t>
      </w:r>
      <w:r>
        <w:rPr>
          <w:rStyle w:val="IntenseEmphasis"/>
          <w:i w:val="0"/>
          <w:iCs w:val="0"/>
          <w:color w:val="000000"/>
        </w:rPr>
        <w:t xml:space="preserve"> consumers can trust them. This allows for more efficient decision making by the consumer, driving better market outcomes. A similar standard of independent and highly transparent reporting will not be replicable via alternative methods, creating information asymmetries which will dampen retail competition.  </w:t>
      </w:r>
    </w:p>
    <w:p w14:paraId="58252CA6" w14:textId="77777777" w:rsidR="002F7197" w:rsidRDefault="002F7197" w:rsidP="002F7197">
      <w:pPr>
        <w:pStyle w:val="BodyText1"/>
        <w:rPr>
          <w:b/>
          <w:bCs/>
        </w:rPr>
      </w:pPr>
      <w:r w:rsidRPr="002F7197">
        <w:rPr>
          <w:b/>
          <w:bCs/>
        </w:rPr>
        <w:t>Facilitating performance-based competition</w:t>
      </w:r>
    </w:p>
    <w:p w14:paraId="0292E343" w14:textId="30F52AAA" w:rsidR="002F7197" w:rsidRDefault="002F7197" w:rsidP="00C4474F">
      <w:pPr>
        <w:pStyle w:val="BodyText1"/>
      </w:pPr>
      <w:r>
        <w:t>Through measuring and</w:t>
      </w:r>
      <w:r w:rsidRPr="00C4474F">
        <w:t xml:space="preserve"> </w:t>
      </w:r>
      <w:r>
        <w:t>reporting</w:t>
      </w:r>
      <w:r w:rsidRPr="00C4474F">
        <w:t xml:space="preserve"> on </w:t>
      </w:r>
      <w:r>
        <w:t xml:space="preserve">the </w:t>
      </w:r>
      <w:r w:rsidRPr="00C4474F">
        <w:t>broadband performance</w:t>
      </w:r>
      <w:r>
        <w:t xml:space="preserve"> of </w:t>
      </w:r>
      <w:r w:rsidRPr="007B3990">
        <w:t>fixed-line NBN services at the network and RSP level</w:t>
      </w:r>
      <w:r>
        <w:t>, the scheme has also helped drive competitive outcomes between RSPs within the fixed-line broadband market.</w:t>
      </w:r>
      <w:r w:rsidR="00460FF8">
        <w:t xml:space="preserve"> </w:t>
      </w:r>
      <w:r>
        <w:t xml:space="preserve">The user-friendly information the MBA provides has educated consumers, rebalancing the information asymmetry between them and network providers, and allowing them to make informed purchasing decisions, thus motivating RSPs to improve their performance in a more transparently competitive marketplace. </w:t>
      </w:r>
    </w:p>
    <w:p w14:paraId="1714F316" w14:textId="480E46A5" w:rsidR="00460FF8" w:rsidRDefault="00460FF8" w:rsidP="00C4474F">
      <w:pPr>
        <w:pStyle w:val="BodyText1"/>
      </w:pPr>
      <w:r>
        <w:rPr>
          <w:rStyle w:val="IntenseEmphasis"/>
          <w:i w:val="0"/>
          <w:iCs w:val="0"/>
          <w:color w:val="auto"/>
        </w:rPr>
        <w:t xml:space="preserve">For example, a consumer raised concerns with ACCAN about new technology that was to be installed in their home to enable access to the NBN network. Previous media coverage of poorly performing HFC networks had meant that they were worried the service they would be provided with would result in a high number of dropouts and slow speeds. ACCAN was able to refer the consumer to the ACCC’s MBA report, which showed that HFC networks performance is </w:t>
      </w:r>
      <w:proofErr w:type="gramStart"/>
      <w:r>
        <w:rPr>
          <w:rStyle w:val="IntenseEmphasis"/>
          <w:i w:val="0"/>
          <w:iCs w:val="0"/>
          <w:color w:val="auto"/>
        </w:rPr>
        <w:t>similar to</w:t>
      </w:r>
      <w:proofErr w:type="gramEnd"/>
      <w:r>
        <w:rPr>
          <w:rStyle w:val="IntenseEmphasis"/>
          <w:i w:val="0"/>
          <w:iCs w:val="0"/>
          <w:color w:val="auto"/>
        </w:rPr>
        <w:t xml:space="preserve"> the performance of other access technologies.</w:t>
      </w:r>
    </w:p>
    <w:p w14:paraId="41F87582" w14:textId="3EA35BFE" w:rsidR="00982E1C" w:rsidRDefault="00982E1C" w:rsidP="00C4474F">
      <w:pPr>
        <w:pStyle w:val="BodyText1"/>
        <w:rPr>
          <w:b/>
          <w:bCs/>
        </w:rPr>
      </w:pPr>
      <w:r>
        <w:rPr>
          <w:b/>
          <w:bCs/>
        </w:rPr>
        <w:t>Value for money</w:t>
      </w:r>
    </w:p>
    <w:p w14:paraId="5B81C0AA" w14:textId="674D2252" w:rsidR="00982E1C" w:rsidRDefault="00982E1C" w:rsidP="00982E1C">
      <w:pPr>
        <w:pStyle w:val="BodyText1"/>
        <w:rPr>
          <w:rStyle w:val="IntenseEmphasis"/>
          <w:i w:val="0"/>
          <w:iCs w:val="0"/>
          <w:color w:val="auto"/>
        </w:rPr>
      </w:pPr>
      <w:r>
        <w:rPr>
          <w:rStyle w:val="IntenseEmphasis"/>
          <w:i w:val="0"/>
          <w:iCs w:val="0"/>
          <w:color w:val="auto"/>
        </w:rPr>
        <w:t>The economic benefits of broadband have been well-established,</w:t>
      </w:r>
      <w:r>
        <w:rPr>
          <w:rStyle w:val="FootnoteReference"/>
          <w:color w:val="auto"/>
        </w:rPr>
        <w:footnoteReference w:id="6"/>
      </w:r>
      <w:r>
        <w:rPr>
          <w:rStyle w:val="IntenseEmphasis"/>
          <w:i w:val="0"/>
          <w:iCs w:val="0"/>
          <w:color w:val="auto"/>
        </w:rPr>
        <w:t xml:space="preserve">  however consumers on congested and underperforming networks will not be able to reap the full benefits of accessing high speed broadband. ACCAN considers that </w:t>
      </w:r>
      <w:r w:rsidR="00F32451">
        <w:rPr>
          <w:rStyle w:val="IntenseEmphasis"/>
          <w:i w:val="0"/>
          <w:iCs w:val="0"/>
          <w:color w:val="auto"/>
        </w:rPr>
        <w:t xml:space="preserve">as </w:t>
      </w:r>
      <w:r>
        <w:rPr>
          <w:rStyle w:val="IntenseEmphasis"/>
          <w:i w:val="0"/>
          <w:iCs w:val="0"/>
          <w:color w:val="auto"/>
        </w:rPr>
        <w:t>the MBA progra</w:t>
      </w:r>
      <w:r w:rsidR="00F32451">
        <w:rPr>
          <w:rStyle w:val="IntenseEmphasis"/>
          <w:i w:val="0"/>
          <w:iCs w:val="0"/>
          <w:color w:val="auto"/>
        </w:rPr>
        <w:t>m makes the market for broadband more efficient</w:t>
      </w:r>
      <w:r>
        <w:rPr>
          <w:rStyle w:val="IntenseEmphasis"/>
          <w:i w:val="0"/>
          <w:iCs w:val="0"/>
          <w:color w:val="auto"/>
        </w:rPr>
        <w:t xml:space="preserve">, the economic benefit of the NBN will continue to be more widely realised. </w:t>
      </w:r>
    </w:p>
    <w:p w14:paraId="59BAE39A" w14:textId="77777777" w:rsidR="00A22DA1" w:rsidRDefault="00A22DA1" w:rsidP="00C4474F">
      <w:pPr>
        <w:pStyle w:val="BodyText1"/>
        <w:rPr>
          <w:rStyle w:val="IntenseEmphasis"/>
          <w:i w:val="0"/>
          <w:iCs w:val="0"/>
          <w:color w:val="auto"/>
        </w:rPr>
      </w:pPr>
    </w:p>
    <w:p w14:paraId="18293424" w14:textId="77777777" w:rsidR="00A22DA1" w:rsidRDefault="00A22DA1" w:rsidP="00C4474F">
      <w:pPr>
        <w:pStyle w:val="BodyText1"/>
        <w:rPr>
          <w:rStyle w:val="IntenseEmphasis"/>
          <w:i w:val="0"/>
          <w:iCs w:val="0"/>
          <w:color w:val="auto"/>
        </w:rPr>
      </w:pPr>
    </w:p>
    <w:p w14:paraId="1C0CFF42" w14:textId="71B2A8AA" w:rsidR="00982E1C" w:rsidRPr="00460FF8" w:rsidRDefault="00A22DA1" w:rsidP="00C4474F">
      <w:pPr>
        <w:pStyle w:val="BodyText1"/>
        <w:rPr>
          <w:color w:val="auto"/>
        </w:rPr>
      </w:pPr>
      <w:r>
        <w:rPr>
          <w:rStyle w:val="IntenseEmphasis"/>
          <w:i w:val="0"/>
          <w:iCs w:val="0"/>
          <w:color w:val="auto"/>
        </w:rPr>
        <w:t>In terms of small and medium sized businesses</w:t>
      </w:r>
      <w:r w:rsidR="00982E1C">
        <w:rPr>
          <w:rStyle w:val="IntenseEmphasis"/>
          <w:i w:val="0"/>
          <w:iCs w:val="0"/>
          <w:color w:val="auto"/>
        </w:rPr>
        <w:t xml:space="preserve">, ACCAN recently </w:t>
      </w:r>
      <w:r>
        <w:rPr>
          <w:rStyle w:val="IntenseEmphasis"/>
          <w:i w:val="0"/>
          <w:iCs w:val="0"/>
          <w:color w:val="auto"/>
        </w:rPr>
        <w:t xml:space="preserve">conducted a survey which found </w:t>
      </w:r>
      <w:r w:rsidR="00982E1C">
        <w:rPr>
          <w:rStyle w:val="IntenseEmphasis"/>
          <w:i w:val="0"/>
          <w:iCs w:val="0"/>
          <w:color w:val="auto"/>
        </w:rPr>
        <w:t>that slow internet speeds creat</w:t>
      </w:r>
      <w:r w:rsidR="00F32451">
        <w:rPr>
          <w:rStyle w:val="IntenseEmphasis"/>
          <w:i w:val="0"/>
          <w:iCs w:val="0"/>
          <w:color w:val="auto"/>
        </w:rPr>
        <w:t>e</w:t>
      </w:r>
      <w:r w:rsidR="00982E1C">
        <w:rPr>
          <w:rStyle w:val="IntenseEmphasis"/>
          <w:i w:val="0"/>
          <w:iCs w:val="0"/>
          <w:color w:val="auto"/>
        </w:rPr>
        <w:t xml:space="preserve"> </w:t>
      </w:r>
      <w:r w:rsidR="00F32451">
        <w:rPr>
          <w:rStyle w:val="IntenseEmphasis"/>
          <w:i w:val="0"/>
          <w:iCs w:val="0"/>
          <w:color w:val="auto"/>
        </w:rPr>
        <w:t>inefficiencies,</w:t>
      </w:r>
      <w:r w:rsidR="00982E1C">
        <w:rPr>
          <w:rStyle w:val="IntenseEmphasis"/>
          <w:i w:val="0"/>
          <w:iCs w:val="0"/>
          <w:color w:val="auto"/>
        </w:rPr>
        <w:t xml:space="preserve"> result in poor customer care and increase operating costs.</w:t>
      </w:r>
      <w:r w:rsidR="00CD35E3">
        <w:rPr>
          <w:rStyle w:val="FootnoteReference"/>
          <w:color w:val="auto"/>
        </w:rPr>
        <w:footnoteReference w:id="7"/>
      </w:r>
      <w:r w:rsidR="00982E1C">
        <w:rPr>
          <w:rStyle w:val="IntenseEmphasis"/>
          <w:i w:val="0"/>
          <w:iCs w:val="0"/>
          <w:color w:val="auto"/>
        </w:rPr>
        <w:t xml:space="preserve"> </w:t>
      </w:r>
      <w:r>
        <w:rPr>
          <w:rStyle w:val="IntenseEmphasis"/>
          <w:i w:val="0"/>
          <w:iCs w:val="0"/>
          <w:color w:val="auto"/>
        </w:rPr>
        <w:t>Improvements in competitive performance motivated by the MBA will benefit business in Australia, including those now working from home due to COVID-19 lockdown.</w:t>
      </w:r>
    </w:p>
    <w:p w14:paraId="6F287764" w14:textId="30F1A577" w:rsidR="003E13BE" w:rsidRPr="003E13BE" w:rsidRDefault="00120414" w:rsidP="003E13BE">
      <w:pPr>
        <w:pStyle w:val="BodyText1"/>
        <w:rPr>
          <w:b/>
          <w:bCs/>
        </w:rPr>
      </w:pPr>
      <w:r>
        <w:rPr>
          <w:b/>
          <w:bCs/>
        </w:rPr>
        <w:t>NBN Fixed Wireless &amp; Sky</w:t>
      </w:r>
      <w:r w:rsidR="00D04668">
        <w:rPr>
          <w:b/>
          <w:bCs/>
        </w:rPr>
        <w:t xml:space="preserve"> M</w:t>
      </w:r>
      <w:r>
        <w:rPr>
          <w:b/>
          <w:bCs/>
        </w:rPr>
        <w:t>uster satellite services</w:t>
      </w:r>
    </w:p>
    <w:p w14:paraId="115FA0C6" w14:textId="651B4995" w:rsidR="00704B28" w:rsidRDefault="00FB3096" w:rsidP="008249A1">
      <w:r>
        <w:t xml:space="preserve">As the </w:t>
      </w:r>
      <w:r w:rsidR="00B46EED">
        <w:t>peak</w:t>
      </w:r>
      <w:r>
        <w:t xml:space="preserve"> advocacy organisation representing telecommunications consumers in Australia, ACCAN’s position is that</w:t>
      </w:r>
      <w:r w:rsidR="006762F4">
        <w:t xml:space="preserve"> </w:t>
      </w:r>
      <w:r w:rsidR="0002504C">
        <w:t>all consumers</w:t>
      </w:r>
      <w:r w:rsidR="006762F4">
        <w:t>, regardless of where they live,</w:t>
      </w:r>
      <w:r w:rsidR="0002504C">
        <w:t xml:space="preserve"> </w:t>
      </w:r>
      <w:r>
        <w:t xml:space="preserve">should </w:t>
      </w:r>
      <w:r w:rsidR="0002504C">
        <w:t xml:space="preserve">benefit from the broadband service improvement that the MBA </w:t>
      </w:r>
      <w:r w:rsidR="00EA05D8">
        <w:t>has delivered.</w:t>
      </w:r>
      <w:r w:rsidR="0002504C">
        <w:t xml:space="preserve"> </w:t>
      </w:r>
      <w:r w:rsidR="00704B28">
        <w:t xml:space="preserve">As the scheme has so far only covered fixed-line NBN services, which are not available in all parts of the country, there is potential for the MBA to be expanded for the benefit of </w:t>
      </w:r>
      <w:r w:rsidR="009847EF">
        <w:t>consumers in rural and remote regions.</w:t>
      </w:r>
      <w:r w:rsidR="008249A1">
        <w:t xml:space="preserve"> </w:t>
      </w:r>
    </w:p>
    <w:p w14:paraId="0B322BA5" w14:textId="7F54FFF8" w:rsidR="009D1D73" w:rsidRDefault="00EA05D8" w:rsidP="00EA05D8">
      <w:pPr>
        <w:pStyle w:val="BodyText1"/>
      </w:pPr>
      <w:r>
        <w:t>For many consumers living in rural and remote areas, NBN Sky</w:t>
      </w:r>
      <w:r w:rsidR="00D04668">
        <w:t xml:space="preserve"> M</w:t>
      </w:r>
      <w:r>
        <w:t xml:space="preserve">uster satellite services </w:t>
      </w:r>
      <w:r w:rsidR="00120414">
        <w:t xml:space="preserve">or NBN Fixed Wireless services </w:t>
      </w:r>
      <w:r>
        <w:t xml:space="preserve">are the only available broadband option.  The variability and </w:t>
      </w:r>
      <w:r w:rsidR="008339A5">
        <w:t xml:space="preserve">frustrations </w:t>
      </w:r>
      <w:r>
        <w:t>of satellite services</w:t>
      </w:r>
      <w:r w:rsidR="00C251B1">
        <w:t xml:space="preserve"> in rural areas due </w:t>
      </w:r>
      <w:r w:rsidR="009847EF">
        <w:t xml:space="preserve">to </w:t>
      </w:r>
      <w:r w:rsidR="00C251B1">
        <w:t>limited data allocation</w:t>
      </w:r>
      <w:r>
        <w:t xml:space="preserve"> is well-reported</w:t>
      </w:r>
      <w:r w:rsidR="00120414">
        <w:t>. During the</w:t>
      </w:r>
      <w:r>
        <w:t xml:space="preserve"> COVID-19 pandemic, when many businesses and students have been forced online, </w:t>
      </w:r>
      <w:r w:rsidR="00704B28">
        <w:t>the</w:t>
      </w:r>
      <w:r w:rsidR="00710B48">
        <w:t xml:space="preserve"> existing and</w:t>
      </w:r>
      <w:r w:rsidR="00704B28">
        <w:t xml:space="preserve"> ongoing</w:t>
      </w:r>
      <w:r>
        <w:t xml:space="preserve"> need for </w:t>
      </w:r>
      <w:r w:rsidR="00120414">
        <w:t>more reliable</w:t>
      </w:r>
      <w:r>
        <w:t xml:space="preserve"> home broadband services </w:t>
      </w:r>
      <w:r w:rsidR="00C448B6">
        <w:t>in rural and remote areas</w:t>
      </w:r>
      <w:r w:rsidR="00120414">
        <w:t xml:space="preserve"> has been highlighted</w:t>
      </w:r>
      <w:r w:rsidR="008339A5">
        <w:t>. While nbn has responded well by temporarily increasing data allowances on SkyMuster services, once th</w:t>
      </w:r>
      <w:r w:rsidR="00A53337">
        <w:t>is extra data is</w:t>
      </w:r>
      <w:r w:rsidR="008339A5">
        <w:t xml:space="preserve"> withdrawn</w:t>
      </w:r>
      <w:r w:rsidR="00272C35">
        <w:t xml:space="preserve"> on 21</w:t>
      </w:r>
      <w:r w:rsidR="00272C35" w:rsidRPr="00A22DA1">
        <w:rPr>
          <w:vertAlign w:val="superscript"/>
        </w:rPr>
        <w:t>st</w:t>
      </w:r>
      <w:r w:rsidR="00272C35">
        <w:t xml:space="preserve"> April 2021</w:t>
      </w:r>
      <w:r w:rsidR="008339A5">
        <w:t xml:space="preserve"> the need for more information about network and RSP performance will be heightened</w:t>
      </w:r>
      <w:r w:rsidR="00D126C9">
        <w:t>. This is</w:t>
      </w:r>
      <w:r w:rsidR="008339A5">
        <w:t xml:space="preserve"> due to </w:t>
      </w:r>
      <w:r w:rsidR="008F5A37">
        <w:t xml:space="preserve">predicted </w:t>
      </w:r>
      <w:r w:rsidR="00D126C9">
        <w:t>enduring higher usage patterns</w:t>
      </w:r>
      <w:r w:rsidR="008F5A37">
        <w:t xml:space="preserve"> and greater dependency on services</w:t>
      </w:r>
      <w:r w:rsidR="00D126C9">
        <w:t xml:space="preserve"> triggered by </w:t>
      </w:r>
      <w:r w:rsidR="00A53337">
        <w:t xml:space="preserve">the switch to the online environment </w:t>
      </w:r>
      <w:r w:rsidR="008339A5">
        <w:t>generated by the lockdown.</w:t>
      </w:r>
    </w:p>
    <w:p w14:paraId="2CAD9DA2" w14:textId="54640327" w:rsidR="00854D1E" w:rsidRDefault="00120414" w:rsidP="00B97E8B">
      <w:r>
        <w:t xml:space="preserve">Fast, reliable broadband services will also increasingly be needed in rural areas to </w:t>
      </w:r>
      <w:r w:rsidR="00D30FB4">
        <w:t>facilitate</w:t>
      </w:r>
      <w:r>
        <w:t xml:space="preserve"> the </w:t>
      </w:r>
      <w:r w:rsidR="00D30FB4">
        <w:t>adoption</w:t>
      </w:r>
      <w:r>
        <w:t xml:space="preserve"> of industrial Internet of Things ‘smart farming’ </w:t>
      </w:r>
      <w:r w:rsidR="00D30FB4">
        <w:t>technology</w:t>
      </w:r>
      <w:r>
        <w:t xml:space="preserve">.  </w:t>
      </w:r>
      <w:r w:rsidR="00A41B0B" w:rsidRPr="00A41B0B">
        <w:t>Machine to machine (M2M) communications</w:t>
      </w:r>
      <w:r w:rsidR="00D30FB4">
        <w:t xml:space="preserve"> </w:t>
      </w:r>
      <w:r w:rsidR="00A41B0B" w:rsidRPr="00A41B0B">
        <w:t>enabled by mobile networks</w:t>
      </w:r>
      <w:r w:rsidR="00A41B0B">
        <w:t xml:space="preserve"> are already extensively used in </w:t>
      </w:r>
      <w:r w:rsidR="00A41B0B" w:rsidRPr="00A41B0B">
        <w:t>Australian agriculture</w:t>
      </w:r>
      <w:r w:rsidR="00D30FB4">
        <w:t>,</w:t>
      </w:r>
      <w:r w:rsidR="003E0449">
        <w:t xml:space="preserve"> </w:t>
      </w:r>
      <w:r w:rsidR="00784EDE">
        <w:t>and the increased use of IoT technology will enable Australian farmers and rice growers to remain competitive in the global marketplace.</w:t>
      </w:r>
      <w:r w:rsidR="00784EDE" w:rsidRPr="00784EDE">
        <w:rPr>
          <w:rStyle w:val="FootnoteReference"/>
        </w:rPr>
        <w:t xml:space="preserve"> </w:t>
      </w:r>
      <w:r w:rsidR="00784EDE">
        <w:rPr>
          <w:rStyle w:val="FootnoteReference"/>
        </w:rPr>
        <w:footnoteReference w:id="8"/>
      </w:r>
    </w:p>
    <w:p w14:paraId="2287CF50" w14:textId="7AECCE6B" w:rsidR="00784EDE" w:rsidRDefault="00784EDE" w:rsidP="00854D1E">
      <w:r>
        <w:t xml:space="preserve">Currently </w:t>
      </w:r>
      <w:r w:rsidR="00E53F3F">
        <w:t xml:space="preserve">in rural and remote areas </w:t>
      </w:r>
      <w:r w:rsidR="00B46EED">
        <w:t>there are fewer</w:t>
      </w:r>
      <w:r w:rsidR="00E53F3F">
        <w:t xml:space="preserve"> RSP</w:t>
      </w:r>
      <w:r w:rsidR="00B46EED">
        <w:t>s</w:t>
      </w:r>
      <w:r w:rsidR="006E4143">
        <w:t xml:space="preserve"> </w:t>
      </w:r>
      <w:r w:rsidR="00B46EED">
        <w:t xml:space="preserve">offering NBN and other services compared to urban areas, which </w:t>
      </w:r>
      <w:r w:rsidR="00E53F3F">
        <w:t>mean</w:t>
      </w:r>
      <w:r w:rsidR="00B46EED">
        <w:t>s</w:t>
      </w:r>
      <w:r w:rsidR="00E53F3F">
        <w:t xml:space="preserve"> there are few</w:t>
      </w:r>
      <w:r w:rsidR="00B46EED">
        <w:t>er</w:t>
      </w:r>
      <w:r w:rsidR="00E53F3F">
        <w:t xml:space="preserve"> market incentives </w:t>
      </w:r>
      <w:r w:rsidR="006E4143">
        <w:t xml:space="preserve">for providers </w:t>
      </w:r>
      <w:r w:rsidR="00E53F3F">
        <w:t>to compete</w:t>
      </w:r>
      <w:r w:rsidR="006E4143">
        <w:t xml:space="preserve"> on service quality</w:t>
      </w:r>
      <w:r w:rsidR="00B46EED">
        <w:t xml:space="preserve">. </w:t>
      </w:r>
      <w:r w:rsidR="00977B59">
        <w:t xml:space="preserve"> Even in situations where consumers have a reasonable choice of RSPs, the benefits of retail competition will not flow through to these consumers given they have no means to compare service</w:t>
      </w:r>
      <w:r w:rsidR="00550617">
        <w:t xml:space="preserve"> </w:t>
      </w:r>
      <w:r w:rsidR="00B46EED">
        <w:t>performance</w:t>
      </w:r>
      <w:r w:rsidR="00977B59">
        <w:t>.</w:t>
      </w:r>
      <w:r w:rsidR="00E53F3F">
        <w:t xml:space="preserve"> Expansion of the MBA </w:t>
      </w:r>
      <w:r w:rsidR="006E4143">
        <w:t xml:space="preserve">program </w:t>
      </w:r>
      <w:r w:rsidR="00E53F3F">
        <w:t xml:space="preserve">to include </w:t>
      </w:r>
      <w:r>
        <w:t>NBN Sky</w:t>
      </w:r>
      <w:r w:rsidR="00D04668">
        <w:t xml:space="preserve"> M</w:t>
      </w:r>
      <w:r>
        <w:t>uster s</w:t>
      </w:r>
      <w:r w:rsidR="00E53F3F">
        <w:t xml:space="preserve">atellite and </w:t>
      </w:r>
      <w:r>
        <w:t>NBN Fixed Wireless</w:t>
      </w:r>
      <w:r w:rsidR="00E53F3F">
        <w:t xml:space="preserve"> broadband services in rural areas could</w:t>
      </w:r>
      <w:r w:rsidR="00B46EED">
        <w:t xml:space="preserve"> help</w:t>
      </w:r>
      <w:r w:rsidR="00E53F3F">
        <w:t xml:space="preserve"> </w:t>
      </w:r>
      <w:r w:rsidR="00D04668">
        <w:t>mitigate this issue</w:t>
      </w:r>
      <w:r w:rsidR="00977B59">
        <w:t>.</w:t>
      </w:r>
      <w:r w:rsidR="00E53F3F">
        <w:t xml:space="preserve"> </w:t>
      </w:r>
      <w:r w:rsidR="00977B59">
        <w:t>H</w:t>
      </w:r>
      <w:r w:rsidR="00E53F3F">
        <w:t xml:space="preserve">olding </w:t>
      </w:r>
      <w:r w:rsidR="00977B59">
        <w:t>Fixed Wireless and satellite</w:t>
      </w:r>
      <w:r w:rsidR="00E53F3F">
        <w:t xml:space="preserve"> </w:t>
      </w:r>
      <w:r w:rsidR="00977B59">
        <w:t xml:space="preserve">service providers </w:t>
      </w:r>
      <w:r w:rsidR="00E53F3F">
        <w:t xml:space="preserve">accountable for the quality of broadband services they provide, with the threat of enforcement action where they have </w:t>
      </w:r>
      <w:r w:rsidR="00764C45">
        <w:t>failed to deliver on advertised claims about broadband quality</w:t>
      </w:r>
      <w:r w:rsidR="00977B59">
        <w:t xml:space="preserve">, would benefit regional and remote consumers similarly to the benefits experienced </w:t>
      </w:r>
      <w:r w:rsidR="00A53337">
        <w:t>by consumers of</w:t>
      </w:r>
      <w:r w:rsidR="00977B59">
        <w:t xml:space="preserve"> fixed line services</w:t>
      </w:r>
      <w:r w:rsidR="00764C45">
        <w:t>.</w:t>
      </w:r>
    </w:p>
    <w:p w14:paraId="54DDE107" w14:textId="77777777" w:rsidR="00550617" w:rsidRDefault="00550617" w:rsidP="00854D1E">
      <w:pPr>
        <w:rPr>
          <w:b/>
          <w:bCs/>
        </w:rPr>
      </w:pPr>
    </w:p>
    <w:p w14:paraId="27A59657" w14:textId="141A6D40" w:rsidR="00982E1C" w:rsidRDefault="00982E1C" w:rsidP="00854D1E">
      <w:pPr>
        <w:rPr>
          <w:b/>
          <w:bCs/>
        </w:rPr>
      </w:pPr>
      <w:r>
        <w:rPr>
          <w:b/>
          <w:bCs/>
        </w:rPr>
        <w:t>Non- NBN Networks</w:t>
      </w:r>
    </w:p>
    <w:p w14:paraId="78F8706A" w14:textId="40AA24E5" w:rsidR="00982E1C" w:rsidRDefault="00982E1C" w:rsidP="00982E1C">
      <w:pPr>
        <w:pStyle w:val="BodyText1"/>
        <w:rPr>
          <w:rStyle w:val="IntenseEmphasis"/>
          <w:i w:val="0"/>
          <w:iCs w:val="0"/>
          <w:color w:val="auto"/>
        </w:rPr>
      </w:pPr>
      <w:r>
        <w:rPr>
          <w:rStyle w:val="IntenseEmphasis"/>
          <w:i w:val="0"/>
          <w:iCs w:val="0"/>
          <w:color w:val="auto"/>
        </w:rPr>
        <w:t>Extending the program to capture competing networks will see improvements in network performance</w:t>
      </w:r>
      <w:r w:rsidR="007F41A9">
        <w:rPr>
          <w:rStyle w:val="IntenseEmphasis"/>
          <w:i w:val="0"/>
          <w:iCs w:val="0"/>
          <w:color w:val="auto"/>
        </w:rPr>
        <w:t xml:space="preserve"> for all Australians, not just those being served by the NBN</w:t>
      </w:r>
      <w:r>
        <w:rPr>
          <w:rStyle w:val="IntenseEmphasis"/>
          <w:i w:val="0"/>
          <w:iCs w:val="0"/>
          <w:color w:val="auto"/>
        </w:rPr>
        <w:t xml:space="preserve">. ACCAN continues to be concerned </w:t>
      </w:r>
      <w:r w:rsidR="00A53337">
        <w:rPr>
          <w:rStyle w:val="IntenseEmphasis"/>
          <w:i w:val="0"/>
          <w:iCs w:val="0"/>
          <w:color w:val="auto"/>
        </w:rPr>
        <w:t>at</w:t>
      </w:r>
      <w:r>
        <w:rPr>
          <w:rStyle w:val="IntenseEmphasis"/>
          <w:i w:val="0"/>
          <w:iCs w:val="0"/>
          <w:color w:val="auto"/>
        </w:rPr>
        <w:t xml:space="preserve"> the performance of non-NBN networks and has called for the </w:t>
      </w:r>
      <w:r w:rsidR="00CD35E3">
        <w:rPr>
          <w:rStyle w:val="IntenseEmphasis"/>
          <w:i w:val="0"/>
          <w:iCs w:val="0"/>
          <w:color w:val="auto"/>
        </w:rPr>
        <w:t>M</w:t>
      </w:r>
      <w:r>
        <w:rPr>
          <w:rStyle w:val="IntenseEmphasis"/>
          <w:i w:val="0"/>
          <w:iCs w:val="0"/>
          <w:color w:val="auto"/>
        </w:rPr>
        <w:t>inister to set standards for Statutory Infrastructure Providers.</w:t>
      </w:r>
      <w:r w:rsidR="00950969">
        <w:rPr>
          <w:rStyle w:val="FootnoteReference"/>
          <w:color w:val="auto"/>
        </w:rPr>
        <w:footnoteReference w:id="9"/>
      </w:r>
      <w:r>
        <w:rPr>
          <w:rStyle w:val="IntenseEmphasis"/>
          <w:i w:val="0"/>
          <w:iCs w:val="0"/>
          <w:color w:val="auto"/>
        </w:rPr>
        <w:t xml:space="preserve"> The telecommunications reform package and the reforms to carrier separation arrangements </w:t>
      </w:r>
      <w:r w:rsidR="00640658">
        <w:rPr>
          <w:rStyle w:val="IntenseEmphasis"/>
          <w:i w:val="0"/>
          <w:iCs w:val="0"/>
          <w:color w:val="auto"/>
        </w:rPr>
        <w:t>is</w:t>
      </w:r>
      <w:r>
        <w:rPr>
          <w:rStyle w:val="IntenseEmphasis"/>
          <w:i w:val="0"/>
          <w:iCs w:val="0"/>
          <w:color w:val="auto"/>
        </w:rPr>
        <w:t xml:space="preserve"> likely to result in new entrants to the wholesale market.</w:t>
      </w:r>
      <w:r>
        <w:rPr>
          <w:rStyle w:val="FootnoteReference"/>
          <w:color w:val="auto"/>
        </w:rPr>
        <w:footnoteReference w:id="10"/>
      </w:r>
      <w:r>
        <w:rPr>
          <w:rStyle w:val="IntenseEmphasis"/>
          <w:i w:val="0"/>
          <w:iCs w:val="0"/>
          <w:color w:val="auto"/>
        </w:rPr>
        <w:t xml:space="preserve"> For example, </w:t>
      </w:r>
      <w:r w:rsidR="00640658">
        <w:rPr>
          <w:rStyle w:val="IntenseEmphasis"/>
          <w:i w:val="0"/>
          <w:iCs w:val="0"/>
          <w:color w:val="auto"/>
        </w:rPr>
        <w:t xml:space="preserve">the retailer </w:t>
      </w:r>
      <w:r>
        <w:rPr>
          <w:rStyle w:val="IntenseEmphasis"/>
          <w:i w:val="0"/>
          <w:iCs w:val="0"/>
          <w:color w:val="auto"/>
        </w:rPr>
        <w:t>Aussie Broadband has now started work on their own fibre network.</w:t>
      </w:r>
      <w:r>
        <w:rPr>
          <w:rStyle w:val="FootnoteReference"/>
          <w:color w:val="auto"/>
        </w:rPr>
        <w:footnoteReference w:id="11"/>
      </w:r>
      <w:r>
        <w:rPr>
          <w:rStyle w:val="IntenseEmphasis"/>
          <w:i w:val="0"/>
          <w:iCs w:val="0"/>
          <w:color w:val="auto"/>
        </w:rPr>
        <w:t xml:space="preserve"> Extending the MBA to focus on other networks will stimulate network performance based competition similarly to what has been achieved at the retail level. </w:t>
      </w:r>
      <w:r w:rsidR="007F41A9">
        <w:rPr>
          <w:rStyle w:val="IntenseEmphasis"/>
          <w:i w:val="0"/>
          <w:iCs w:val="0"/>
          <w:color w:val="auto"/>
        </w:rPr>
        <w:t>As the wholesale landscape is changing, and wholesale competition is being fostered</w:t>
      </w:r>
      <w:r w:rsidR="00640658">
        <w:rPr>
          <w:rStyle w:val="IntenseEmphasis"/>
          <w:i w:val="0"/>
          <w:iCs w:val="0"/>
          <w:color w:val="auto"/>
        </w:rPr>
        <w:t>,</w:t>
      </w:r>
      <w:r w:rsidR="007F41A9">
        <w:rPr>
          <w:rStyle w:val="IntenseEmphasis"/>
          <w:i w:val="0"/>
          <w:iCs w:val="0"/>
          <w:color w:val="auto"/>
        </w:rPr>
        <w:t xml:space="preserve"> ACCAN considers that there will be significant benefits from having wholesalers compete on a performance basis.</w:t>
      </w:r>
    </w:p>
    <w:p w14:paraId="5E2F6B83" w14:textId="6C19F269" w:rsidR="00982E1C" w:rsidRPr="00460FF8" w:rsidRDefault="00982E1C" w:rsidP="00460FF8">
      <w:pPr>
        <w:pStyle w:val="BodyText1"/>
      </w:pPr>
      <w:r>
        <w:rPr>
          <w:rStyle w:val="IntenseEmphasis"/>
          <w:i w:val="0"/>
          <w:iCs w:val="0"/>
          <w:color w:val="auto"/>
        </w:rPr>
        <w:t xml:space="preserve">The </w:t>
      </w:r>
      <w:r w:rsidR="007F41A9">
        <w:rPr>
          <w:rStyle w:val="IntenseEmphasis"/>
          <w:i w:val="0"/>
          <w:iCs w:val="0"/>
          <w:color w:val="auto"/>
        </w:rPr>
        <w:t xml:space="preserve">comparison of NBN and ADSL has been useful as consumers migrate to the newer network. However, as </w:t>
      </w:r>
      <w:proofErr w:type="gramStart"/>
      <w:r w:rsidR="007F41A9">
        <w:rPr>
          <w:rStyle w:val="IntenseEmphasis"/>
          <w:i w:val="0"/>
          <w:iCs w:val="0"/>
          <w:color w:val="auto"/>
        </w:rPr>
        <w:t>the majority of</w:t>
      </w:r>
      <w:proofErr w:type="gramEnd"/>
      <w:r w:rsidR="007F41A9">
        <w:rPr>
          <w:rStyle w:val="IntenseEmphasis"/>
          <w:i w:val="0"/>
          <w:iCs w:val="0"/>
          <w:color w:val="auto"/>
        </w:rPr>
        <w:t xml:space="preserve"> consumers are now purchasing broadband from high speed networks, </w:t>
      </w:r>
      <w:r>
        <w:rPr>
          <w:rStyle w:val="IntenseEmphasis"/>
          <w:i w:val="0"/>
          <w:iCs w:val="0"/>
          <w:color w:val="auto"/>
        </w:rPr>
        <w:t xml:space="preserve">NBN should be compared to </w:t>
      </w:r>
      <w:r w:rsidR="007F41A9">
        <w:rPr>
          <w:rStyle w:val="IntenseEmphasis"/>
          <w:i w:val="0"/>
          <w:iCs w:val="0"/>
          <w:color w:val="auto"/>
        </w:rPr>
        <w:t>competing</w:t>
      </w:r>
      <w:r>
        <w:rPr>
          <w:rStyle w:val="IntenseEmphasis"/>
          <w:i w:val="0"/>
          <w:iCs w:val="0"/>
          <w:color w:val="auto"/>
        </w:rPr>
        <w:t xml:space="preserve"> high speed broadband networks which currently operate. </w:t>
      </w:r>
    </w:p>
    <w:p w14:paraId="16F7EB00" w14:textId="7F733CB4" w:rsidR="00982E1C" w:rsidRDefault="007F41A9" w:rsidP="00854D1E">
      <w:pPr>
        <w:rPr>
          <w:b/>
          <w:bCs/>
        </w:rPr>
      </w:pPr>
      <w:r>
        <w:rPr>
          <w:b/>
          <w:bCs/>
        </w:rPr>
        <w:t xml:space="preserve">Non-NBN Wireless and </w:t>
      </w:r>
      <w:r w:rsidR="00982E1C">
        <w:rPr>
          <w:b/>
          <w:bCs/>
        </w:rPr>
        <w:t>Mobile broadband</w:t>
      </w:r>
    </w:p>
    <w:p w14:paraId="4F060251" w14:textId="46CDFA3C" w:rsidR="00982E1C" w:rsidRPr="00550617" w:rsidRDefault="00CC6FF2" w:rsidP="00460FF8">
      <w:pPr>
        <w:pStyle w:val="BodyText1"/>
        <w:rPr>
          <w:color w:val="auto"/>
        </w:rPr>
      </w:pPr>
      <w:r>
        <w:rPr>
          <w:rStyle w:val="IntenseEmphasis"/>
          <w:i w:val="0"/>
          <w:iCs w:val="0"/>
          <w:color w:val="auto"/>
        </w:rPr>
        <w:t xml:space="preserve">Consumers would further benefit from the Measuring Broadband Australia </w:t>
      </w:r>
      <w:r w:rsidR="004E7CCA">
        <w:rPr>
          <w:rStyle w:val="IntenseEmphasis"/>
          <w:i w:val="0"/>
          <w:iCs w:val="0"/>
          <w:color w:val="auto"/>
        </w:rPr>
        <w:t xml:space="preserve">program </w:t>
      </w:r>
      <w:r>
        <w:rPr>
          <w:rStyle w:val="IntenseEmphasis"/>
          <w:i w:val="0"/>
          <w:iCs w:val="0"/>
          <w:color w:val="auto"/>
        </w:rPr>
        <w:t xml:space="preserve">to cover broadband services provided over non-NBN fixed wireless networks as well as mobile </w:t>
      </w:r>
      <w:r w:rsidR="000F10FE">
        <w:rPr>
          <w:rStyle w:val="IntenseEmphasis"/>
          <w:i w:val="0"/>
          <w:iCs w:val="0"/>
          <w:color w:val="auto"/>
        </w:rPr>
        <w:t>networks</w:t>
      </w:r>
      <w:r>
        <w:rPr>
          <w:rStyle w:val="IntenseEmphasis"/>
          <w:i w:val="0"/>
          <w:iCs w:val="0"/>
          <w:color w:val="auto"/>
        </w:rPr>
        <w:t xml:space="preserve">. Generally broadband services provided over these networks require consumers to contract for 12 months or more. Without tools to accurately evaluate which services will provide them </w:t>
      </w:r>
      <w:r w:rsidR="00465E45">
        <w:rPr>
          <w:rStyle w:val="IntenseEmphasis"/>
          <w:i w:val="0"/>
          <w:iCs w:val="0"/>
          <w:color w:val="auto"/>
        </w:rPr>
        <w:t xml:space="preserve">with </w:t>
      </w:r>
      <w:r>
        <w:rPr>
          <w:rStyle w:val="IntenseEmphasis"/>
          <w:i w:val="0"/>
          <w:iCs w:val="0"/>
          <w:color w:val="auto"/>
        </w:rPr>
        <w:t>the most reliable or better perform</w:t>
      </w:r>
      <w:r w:rsidR="00465E45">
        <w:rPr>
          <w:rStyle w:val="IntenseEmphasis"/>
          <w:i w:val="0"/>
          <w:iCs w:val="0"/>
          <w:color w:val="auto"/>
        </w:rPr>
        <w:t>ance</w:t>
      </w:r>
      <w:r>
        <w:rPr>
          <w:rStyle w:val="IntenseEmphasis"/>
          <w:i w:val="0"/>
          <w:iCs w:val="0"/>
          <w:color w:val="auto"/>
        </w:rPr>
        <w:t xml:space="preserve">s, consumers face the risk of being locked into contacts with poorly performing providers. </w:t>
      </w:r>
      <w:r w:rsidR="00203E54">
        <w:rPr>
          <w:rStyle w:val="IntenseEmphasis"/>
          <w:i w:val="0"/>
          <w:iCs w:val="0"/>
          <w:color w:val="auto"/>
        </w:rPr>
        <w:t>Not only would this create performance-based competition within technology types, but it would allow for comparison between technology types. For example, consumers would be able to make a more informed decision on whether to choose a 5G mobile</w:t>
      </w:r>
      <w:r w:rsidR="00550617">
        <w:rPr>
          <w:rStyle w:val="IntenseEmphasis"/>
          <w:i w:val="0"/>
          <w:iCs w:val="0"/>
          <w:color w:val="auto"/>
        </w:rPr>
        <w:t xml:space="preserve"> </w:t>
      </w:r>
      <w:r w:rsidR="00203E54">
        <w:rPr>
          <w:rStyle w:val="IntenseEmphasis"/>
          <w:i w:val="0"/>
          <w:iCs w:val="0"/>
          <w:color w:val="auto"/>
        </w:rPr>
        <w:t xml:space="preserve">broadband service or a fixed line service. Encouraging competition between access technologies will benefit consumers as RSPs and networks compete on quality as well as prices. </w:t>
      </w:r>
    </w:p>
    <w:p w14:paraId="3454B6BA" w14:textId="29E55822" w:rsidR="00DC7965" w:rsidRDefault="00DC7965" w:rsidP="00854D1E">
      <w:pPr>
        <w:rPr>
          <w:b/>
          <w:bCs/>
        </w:rPr>
      </w:pPr>
      <w:r>
        <w:rPr>
          <w:b/>
          <w:bCs/>
        </w:rPr>
        <w:t>Small and medium size businesses</w:t>
      </w:r>
    </w:p>
    <w:p w14:paraId="510BC7D9" w14:textId="77777777" w:rsidR="00550617" w:rsidRDefault="00DC7965" w:rsidP="00460FF8">
      <w:pPr>
        <w:pStyle w:val="BodyText1"/>
        <w:rPr>
          <w:rStyle w:val="IntenseEmphasis"/>
          <w:i w:val="0"/>
          <w:iCs w:val="0"/>
          <w:color w:val="auto"/>
        </w:rPr>
      </w:pPr>
      <w:r>
        <w:rPr>
          <w:rStyle w:val="IntenseEmphasis"/>
          <w:i w:val="0"/>
          <w:iCs w:val="0"/>
          <w:color w:val="auto"/>
        </w:rPr>
        <w:t>Small and medium businesses select a range of broadband options</w:t>
      </w:r>
      <w:r w:rsidR="00465E45">
        <w:rPr>
          <w:rStyle w:val="IntenseEmphasis"/>
          <w:i w:val="0"/>
          <w:iCs w:val="0"/>
          <w:color w:val="auto"/>
        </w:rPr>
        <w:t>. S</w:t>
      </w:r>
      <w:r>
        <w:rPr>
          <w:rStyle w:val="IntenseEmphasis"/>
          <w:i w:val="0"/>
          <w:iCs w:val="0"/>
          <w:color w:val="auto"/>
        </w:rPr>
        <w:t xml:space="preserve">ome micro businesses will select residential services in which case the residential focus of the MBA would be </w:t>
      </w:r>
      <w:proofErr w:type="gramStart"/>
      <w:r>
        <w:rPr>
          <w:rStyle w:val="IntenseEmphasis"/>
          <w:i w:val="0"/>
          <w:iCs w:val="0"/>
          <w:color w:val="auto"/>
        </w:rPr>
        <w:t>sufficient</w:t>
      </w:r>
      <w:proofErr w:type="gramEnd"/>
      <w:r>
        <w:rPr>
          <w:rStyle w:val="IntenseEmphasis"/>
          <w:i w:val="0"/>
          <w:iCs w:val="0"/>
          <w:color w:val="auto"/>
        </w:rPr>
        <w:t xml:space="preserve">. </w:t>
      </w:r>
    </w:p>
    <w:p w14:paraId="05BCC645" w14:textId="77777777" w:rsidR="00550617" w:rsidRDefault="00550617" w:rsidP="00460FF8">
      <w:pPr>
        <w:pStyle w:val="BodyText1"/>
        <w:rPr>
          <w:rStyle w:val="IntenseEmphasis"/>
          <w:i w:val="0"/>
          <w:iCs w:val="0"/>
          <w:color w:val="auto"/>
        </w:rPr>
      </w:pPr>
    </w:p>
    <w:p w14:paraId="5E72C986" w14:textId="6235F06E" w:rsidR="00DC7965" w:rsidRPr="00550617" w:rsidRDefault="00EC2402" w:rsidP="00460FF8">
      <w:pPr>
        <w:pStyle w:val="BodyText1"/>
        <w:rPr>
          <w:color w:val="auto"/>
        </w:rPr>
      </w:pPr>
      <w:r>
        <w:rPr>
          <w:rStyle w:val="IntenseEmphasis"/>
          <w:i w:val="0"/>
          <w:iCs w:val="0"/>
          <w:color w:val="auto"/>
        </w:rPr>
        <w:t>However,</w:t>
      </w:r>
      <w:r w:rsidR="00DC7965">
        <w:rPr>
          <w:rStyle w:val="IntenseEmphasis"/>
          <w:i w:val="0"/>
          <w:iCs w:val="0"/>
          <w:color w:val="auto"/>
        </w:rPr>
        <w:t xml:space="preserve"> there are many packages aimed at small businesses which are not covered by</w:t>
      </w:r>
      <w:r>
        <w:rPr>
          <w:rStyle w:val="IntenseEmphasis"/>
          <w:i w:val="0"/>
          <w:iCs w:val="0"/>
          <w:color w:val="auto"/>
        </w:rPr>
        <w:t xml:space="preserve"> the MBA data on</w:t>
      </w:r>
      <w:r w:rsidR="00DC7965">
        <w:rPr>
          <w:rStyle w:val="IntenseEmphasis"/>
          <w:i w:val="0"/>
          <w:iCs w:val="0"/>
          <w:color w:val="auto"/>
        </w:rPr>
        <w:t xml:space="preserve"> residential services. As mentioned previously, ACCAN surveyed small and medium sized</w:t>
      </w:r>
      <w:r w:rsidR="00550617">
        <w:rPr>
          <w:rStyle w:val="IntenseEmphasis"/>
          <w:i w:val="0"/>
          <w:iCs w:val="0"/>
          <w:color w:val="auto"/>
        </w:rPr>
        <w:t xml:space="preserve"> </w:t>
      </w:r>
      <w:r w:rsidR="00DC7965">
        <w:rPr>
          <w:rStyle w:val="IntenseEmphasis"/>
          <w:i w:val="0"/>
          <w:iCs w:val="0"/>
          <w:color w:val="auto"/>
        </w:rPr>
        <w:t xml:space="preserve">businesses between September – </w:t>
      </w:r>
      <w:r>
        <w:rPr>
          <w:rStyle w:val="IntenseEmphasis"/>
          <w:i w:val="0"/>
          <w:iCs w:val="0"/>
          <w:color w:val="auto"/>
        </w:rPr>
        <w:t>October 2020 and</w:t>
      </w:r>
      <w:r w:rsidR="00DC7965">
        <w:rPr>
          <w:rStyle w:val="IntenseEmphasis"/>
          <w:i w:val="0"/>
          <w:iCs w:val="0"/>
          <w:color w:val="auto"/>
        </w:rPr>
        <w:t xml:space="preserve"> found that one of the top issue</w:t>
      </w:r>
      <w:r w:rsidR="00640658">
        <w:rPr>
          <w:rStyle w:val="IntenseEmphasis"/>
          <w:i w:val="0"/>
          <w:iCs w:val="0"/>
          <w:color w:val="auto"/>
        </w:rPr>
        <w:t>s</w:t>
      </w:r>
      <w:r w:rsidR="00DC7965">
        <w:rPr>
          <w:rStyle w:val="IntenseEmphasis"/>
          <w:i w:val="0"/>
          <w:iCs w:val="0"/>
          <w:color w:val="auto"/>
        </w:rPr>
        <w:t xml:space="preserve"> mentioned was in relation to service speed and reliability. </w:t>
      </w:r>
      <w:r>
        <w:rPr>
          <w:rStyle w:val="IntenseEmphasis"/>
          <w:i w:val="0"/>
          <w:iCs w:val="0"/>
          <w:color w:val="auto"/>
        </w:rPr>
        <w:t>Therefore,</w:t>
      </w:r>
      <w:r w:rsidR="00DC7965">
        <w:rPr>
          <w:rStyle w:val="IntenseEmphasis"/>
          <w:i w:val="0"/>
          <w:iCs w:val="0"/>
          <w:color w:val="auto"/>
        </w:rPr>
        <w:t xml:space="preserve"> ACCAN considers that it would be very beneficial for a specific panel of business volunteers </w:t>
      </w:r>
      <w:r w:rsidR="00640658">
        <w:rPr>
          <w:rStyle w:val="IntenseEmphasis"/>
          <w:i w:val="0"/>
          <w:iCs w:val="0"/>
          <w:color w:val="auto"/>
        </w:rPr>
        <w:t>to</w:t>
      </w:r>
      <w:r w:rsidR="00DC7965">
        <w:rPr>
          <w:rStyle w:val="IntenseEmphasis"/>
          <w:i w:val="0"/>
          <w:iCs w:val="0"/>
          <w:color w:val="auto"/>
        </w:rPr>
        <w:t xml:space="preserve"> provide data on small business services, encouraging </w:t>
      </w:r>
      <w:r w:rsidR="00640658">
        <w:rPr>
          <w:rStyle w:val="IntenseEmphasis"/>
          <w:i w:val="0"/>
          <w:iCs w:val="0"/>
          <w:color w:val="auto"/>
        </w:rPr>
        <w:t>RSPs</w:t>
      </w:r>
      <w:r w:rsidR="00DC7965">
        <w:rPr>
          <w:rStyle w:val="IntenseEmphasis"/>
          <w:i w:val="0"/>
          <w:iCs w:val="0"/>
          <w:color w:val="auto"/>
        </w:rPr>
        <w:t xml:space="preserve"> </w:t>
      </w:r>
      <w:r>
        <w:rPr>
          <w:rStyle w:val="IntenseEmphasis"/>
          <w:i w:val="0"/>
          <w:iCs w:val="0"/>
          <w:color w:val="auto"/>
        </w:rPr>
        <w:t xml:space="preserve">servicing SMEs </w:t>
      </w:r>
      <w:r w:rsidR="00DC7965">
        <w:rPr>
          <w:rStyle w:val="IntenseEmphasis"/>
          <w:i w:val="0"/>
          <w:iCs w:val="0"/>
          <w:color w:val="auto"/>
        </w:rPr>
        <w:t xml:space="preserve">to compete on a </w:t>
      </w:r>
      <w:r w:rsidR="00640658">
        <w:rPr>
          <w:rStyle w:val="IntenseEmphasis"/>
          <w:i w:val="0"/>
          <w:iCs w:val="0"/>
          <w:color w:val="auto"/>
        </w:rPr>
        <w:t xml:space="preserve">service </w:t>
      </w:r>
      <w:r w:rsidR="00DC7965">
        <w:rPr>
          <w:rStyle w:val="IntenseEmphasis"/>
          <w:i w:val="0"/>
          <w:iCs w:val="0"/>
          <w:color w:val="auto"/>
        </w:rPr>
        <w:t xml:space="preserve">performance basis. </w:t>
      </w:r>
    </w:p>
    <w:p w14:paraId="07CB8F7A" w14:textId="7622724C" w:rsidR="003E13BE" w:rsidRPr="00784EDE" w:rsidRDefault="003E13BE" w:rsidP="00854D1E">
      <w:r w:rsidRPr="003E13BE">
        <w:rPr>
          <w:b/>
          <w:bCs/>
        </w:rPr>
        <w:t>COVID-19</w:t>
      </w:r>
    </w:p>
    <w:p w14:paraId="170D5E2A" w14:textId="7CE44C09" w:rsidR="00C3749C" w:rsidRDefault="003E13BE" w:rsidP="00C3749C">
      <w:pPr>
        <w:pStyle w:val="BodyText1"/>
      </w:pPr>
      <w:r>
        <w:t>The MBA program has performed a</w:t>
      </w:r>
      <w:r w:rsidR="00784EDE">
        <w:t xml:space="preserve">nother </w:t>
      </w:r>
      <w:r>
        <w:t>crucial and unpredicted function in 2020. The data recorded by the MBA during the</w:t>
      </w:r>
      <w:r w:rsidRPr="003E13BE">
        <w:t xml:space="preserve"> COVID-19 pandemic has provided valuable insights into how broadband services </w:t>
      </w:r>
      <w:r>
        <w:t xml:space="preserve">have </w:t>
      </w:r>
      <w:r w:rsidRPr="003E13BE">
        <w:t>performed at a critical time of demand on the NBN network</w:t>
      </w:r>
      <w:r>
        <w:t xml:space="preserve">. </w:t>
      </w:r>
      <w:r w:rsidR="00C3749C">
        <w:t>This information has influenced policies that have ensured the network could meet the increased and unprecedented demand for residential broadband services as home schooling and working from home became necessary under lockdown.</w:t>
      </w:r>
      <w:r w:rsidR="00C3749C">
        <w:rPr>
          <w:rStyle w:val="FootnoteReference"/>
        </w:rPr>
        <w:footnoteReference w:id="12"/>
      </w:r>
    </w:p>
    <w:p w14:paraId="5D45E86F" w14:textId="40F74008" w:rsidR="004278A2" w:rsidRPr="004278A2" w:rsidRDefault="004278A2" w:rsidP="004278A2">
      <w:pPr>
        <w:rPr>
          <w:b/>
          <w:bCs/>
        </w:rPr>
      </w:pPr>
      <w:r w:rsidRPr="004278A2">
        <w:rPr>
          <w:b/>
          <w:bCs/>
        </w:rPr>
        <w:t>Accessibility</w:t>
      </w:r>
    </w:p>
    <w:p w14:paraId="053DF3FF" w14:textId="69B7CC7D" w:rsidR="004278A2" w:rsidRPr="004278A2" w:rsidRDefault="004278A2" w:rsidP="004278A2">
      <w:pPr>
        <w:pStyle w:val="BodyText1"/>
        <w:rPr>
          <w:rStyle w:val="IntenseEmphasis"/>
          <w:i w:val="0"/>
          <w:iCs w:val="0"/>
          <w:color w:val="auto"/>
        </w:rPr>
      </w:pPr>
      <w:r w:rsidRPr="004278A2">
        <w:rPr>
          <w:rStyle w:val="IntenseEmphasis"/>
          <w:i w:val="0"/>
          <w:iCs w:val="0"/>
          <w:color w:val="auto"/>
        </w:rPr>
        <w:t>T</w:t>
      </w:r>
      <w:r>
        <w:rPr>
          <w:rStyle w:val="IntenseEmphasis"/>
          <w:i w:val="0"/>
          <w:iCs w:val="0"/>
          <w:color w:val="auto"/>
        </w:rPr>
        <w:t>o maximise the benefits of the MBA data for all consumers, it should be made</w:t>
      </w:r>
      <w:r w:rsidRPr="004278A2">
        <w:rPr>
          <w:rStyle w:val="IntenseEmphasis"/>
          <w:i w:val="0"/>
          <w:iCs w:val="0"/>
          <w:color w:val="auto"/>
        </w:rPr>
        <w:t xml:space="preserve"> available to consumers in a range of accessible formats, including both accessible PDF and Microsoft word versions. Any data in excel spreadsheets should also be made available in accessible formats</w:t>
      </w:r>
      <w:r>
        <w:rPr>
          <w:rStyle w:val="IntenseEmphasis"/>
          <w:i w:val="0"/>
          <w:iCs w:val="0"/>
          <w:color w:val="auto"/>
        </w:rPr>
        <w:t xml:space="preserve"> – for example, in accessible </w:t>
      </w:r>
      <w:r w:rsidRPr="004278A2">
        <w:rPr>
          <w:rStyle w:val="IntenseEmphasis"/>
          <w:i w:val="0"/>
          <w:iCs w:val="0"/>
          <w:color w:val="auto"/>
        </w:rPr>
        <w:t xml:space="preserve">tables in Microsoft </w:t>
      </w:r>
      <w:r w:rsidR="007745C3">
        <w:rPr>
          <w:rStyle w:val="IntenseEmphasis"/>
          <w:i w:val="0"/>
          <w:iCs w:val="0"/>
          <w:color w:val="auto"/>
        </w:rPr>
        <w:t>W</w:t>
      </w:r>
      <w:r w:rsidRPr="004278A2">
        <w:rPr>
          <w:rStyle w:val="IntenseEmphasis"/>
          <w:i w:val="0"/>
          <w:iCs w:val="0"/>
          <w:color w:val="auto"/>
        </w:rPr>
        <w:t xml:space="preserve">ord. </w:t>
      </w:r>
    </w:p>
    <w:p w14:paraId="34C630AA" w14:textId="73DC38B8" w:rsidR="004278A2" w:rsidRPr="004278A2" w:rsidRDefault="000A091A" w:rsidP="004278A2">
      <w:pPr>
        <w:pStyle w:val="BodyText1"/>
        <w:rPr>
          <w:rStyle w:val="IntenseEmphasis"/>
          <w:i w:val="0"/>
          <w:iCs w:val="0"/>
          <w:color w:val="auto"/>
        </w:rPr>
      </w:pPr>
      <w:r>
        <w:rPr>
          <w:rStyle w:val="IntenseEmphasis"/>
          <w:i w:val="0"/>
          <w:iCs w:val="0"/>
          <w:color w:val="auto"/>
        </w:rPr>
        <w:t xml:space="preserve">Any </w:t>
      </w:r>
      <w:r w:rsidR="004278A2" w:rsidRPr="004278A2">
        <w:rPr>
          <w:rStyle w:val="IntenseEmphasis"/>
          <w:i w:val="0"/>
          <w:iCs w:val="0"/>
          <w:color w:val="auto"/>
        </w:rPr>
        <w:t>graphs</w:t>
      </w:r>
      <w:r>
        <w:rPr>
          <w:rStyle w:val="IntenseEmphasis"/>
          <w:i w:val="0"/>
          <w:iCs w:val="0"/>
          <w:color w:val="auto"/>
        </w:rPr>
        <w:t xml:space="preserve">, charts or </w:t>
      </w:r>
      <w:r w:rsidR="004278A2" w:rsidRPr="004278A2">
        <w:rPr>
          <w:rStyle w:val="IntenseEmphasis"/>
          <w:i w:val="0"/>
          <w:iCs w:val="0"/>
          <w:color w:val="auto"/>
        </w:rPr>
        <w:t xml:space="preserve">visual representations of data must have alt text to ensure that information </w:t>
      </w:r>
      <w:r>
        <w:rPr>
          <w:rStyle w:val="IntenseEmphasis"/>
          <w:i w:val="0"/>
          <w:iCs w:val="0"/>
          <w:color w:val="auto"/>
        </w:rPr>
        <w:t>contained</w:t>
      </w:r>
      <w:r w:rsidR="004278A2" w:rsidRPr="004278A2">
        <w:rPr>
          <w:rStyle w:val="IntenseEmphasis"/>
          <w:i w:val="0"/>
          <w:iCs w:val="0"/>
          <w:color w:val="auto"/>
        </w:rPr>
        <w:t xml:space="preserve"> is accessible to </w:t>
      </w:r>
      <w:r w:rsidR="00C41E47">
        <w:rPr>
          <w:rStyle w:val="IntenseEmphasis"/>
          <w:i w:val="0"/>
          <w:iCs w:val="0"/>
          <w:color w:val="auto"/>
        </w:rPr>
        <w:t xml:space="preserve">consumers </w:t>
      </w:r>
      <w:r w:rsidR="004278A2" w:rsidRPr="004278A2">
        <w:rPr>
          <w:rStyle w:val="IntenseEmphasis"/>
          <w:i w:val="0"/>
          <w:iCs w:val="0"/>
          <w:color w:val="auto"/>
        </w:rPr>
        <w:t xml:space="preserve">who are blind or have vision impairment. </w:t>
      </w:r>
      <w:r w:rsidR="00C41E47">
        <w:rPr>
          <w:rStyle w:val="IntenseEmphasis"/>
          <w:i w:val="0"/>
          <w:iCs w:val="0"/>
          <w:color w:val="auto"/>
        </w:rPr>
        <w:t>Currently the</w:t>
      </w:r>
      <w:r w:rsidR="004278A2" w:rsidRPr="004278A2">
        <w:rPr>
          <w:rStyle w:val="IntenseEmphasis"/>
          <w:i w:val="0"/>
          <w:iCs w:val="0"/>
          <w:color w:val="auto"/>
        </w:rPr>
        <w:t xml:space="preserve"> charts in the </w:t>
      </w:r>
      <w:r w:rsidR="00C41E47">
        <w:rPr>
          <w:rStyle w:val="IntenseEmphasis"/>
          <w:i w:val="0"/>
          <w:iCs w:val="0"/>
          <w:color w:val="auto"/>
        </w:rPr>
        <w:t>M</w:t>
      </w:r>
      <w:r w:rsidR="007745C3">
        <w:rPr>
          <w:rStyle w:val="IntenseEmphasis"/>
          <w:i w:val="0"/>
          <w:iCs w:val="0"/>
          <w:color w:val="auto"/>
        </w:rPr>
        <w:t>BA</w:t>
      </w:r>
      <w:r w:rsidR="00C41E47">
        <w:rPr>
          <w:rStyle w:val="IntenseEmphasis"/>
          <w:i w:val="0"/>
          <w:iCs w:val="0"/>
          <w:color w:val="auto"/>
        </w:rPr>
        <w:t xml:space="preserve"> </w:t>
      </w:r>
      <w:r w:rsidR="004278A2" w:rsidRPr="004278A2">
        <w:rPr>
          <w:rStyle w:val="IntenseEmphasis"/>
          <w:i w:val="0"/>
          <w:iCs w:val="0"/>
          <w:color w:val="auto"/>
        </w:rPr>
        <w:t>reports and interactive dashboard</w:t>
      </w:r>
      <w:r w:rsidR="00C41E47">
        <w:rPr>
          <w:rStyle w:val="IntenseEmphasis"/>
          <w:i w:val="0"/>
          <w:iCs w:val="0"/>
          <w:color w:val="auto"/>
        </w:rPr>
        <w:t xml:space="preserve"> are not</w:t>
      </w:r>
      <w:r w:rsidR="004278A2" w:rsidRPr="004278A2">
        <w:rPr>
          <w:rStyle w:val="IntenseEmphasis"/>
          <w:i w:val="0"/>
          <w:iCs w:val="0"/>
          <w:color w:val="auto"/>
        </w:rPr>
        <w:t xml:space="preserve"> screen reader accessible. This renders </w:t>
      </w:r>
      <w:r w:rsidR="007745C3">
        <w:rPr>
          <w:rStyle w:val="IntenseEmphasis"/>
          <w:i w:val="0"/>
          <w:iCs w:val="0"/>
          <w:color w:val="auto"/>
        </w:rPr>
        <w:t>the</w:t>
      </w:r>
      <w:r w:rsidR="004278A2" w:rsidRPr="004278A2">
        <w:rPr>
          <w:rStyle w:val="IntenseEmphasis"/>
          <w:i w:val="0"/>
          <w:iCs w:val="0"/>
          <w:color w:val="auto"/>
        </w:rPr>
        <w:t xml:space="preserve"> information inaccessible</w:t>
      </w:r>
      <w:r w:rsidR="00C41E47">
        <w:rPr>
          <w:rStyle w:val="IntenseEmphasis"/>
          <w:i w:val="0"/>
          <w:iCs w:val="0"/>
          <w:color w:val="auto"/>
        </w:rPr>
        <w:t xml:space="preserve"> for blind or vision impaired consumers, </w:t>
      </w:r>
      <w:r w:rsidR="004278A2" w:rsidRPr="004278A2">
        <w:rPr>
          <w:rStyle w:val="IntenseEmphasis"/>
          <w:i w:val="0"/>
          <w:iCs w:val="0"/>
          <w:color w:val="auto"/>
        </w:rPr>
        <w:t>particularly if the same information is not also mentioned in the text surrounding the graph/table.</w:t>
      </w:r>
    </w:p>
    <w:p w14:paraId="3245B7FC" w14:textId="1C419231" w:rsidR="004278A2" w:rsidRPr="004278A2" w:rsidRDefault="004278A2" w:rsidP="004278A2">
      <w:pPr>
        <w:pStyle w:val="BodyText1"/>
        <w:rPr>
          <w:rStyle w:val="IntenseEmphasis"/>
          <w:i w:val="0"/>
          <w:iCs w:val="0"/>
          <w:color w:val="auto"/>
        </w:rPr>
      </w:pPr>
      <w:r w:rsidRPr="004278A2">
        <w:rPr>
          <w:rStyle w:val="IntenseEmphasis"/>
          <w:i w:val="0"/>
          <w:iCs w:val="0"/>
          <w:color w:val="auto"/>
        </w:rPr>
        <w:t xml:space="preserve">To make the MBA information more accessible for a range of people, </w:t>
      </w:r>
      <w:r w:rsidR="007745C3">
        <w:rPr>
          <w:rStyle w:val="IntenseEmphasis"/>
          <w:i w:val="0"/>
          <w:iCs w:val="0"/>
          <w:color w:val="auto"/>
        </w:rPr>
        <w:t xml:space="preserve">optimally </w:t>
      </w:r>
      <w:r w:rsidRPr="004278A2">
        <w:rPr>
          <w:rStyle w:val="IntenseEmphasis"/>
          <w:i w:val="0"/>
          <w:iCs w:val="0"/>
          <w:color w:val="auto"/>
        </w:rPr>
        <w:t xml:space="preserve">it </w:t>
      </w:r>
      <w:r w:rsidR="007745C3">
        <w:rPr>
          <w:rStyle w:val="IntenseEmphasis"/>
          <w:i w:val="0"/>
          <w:iCs w:val="0"/>
          <w:color w:val="auto"/>
        </w:rPr>
        <w:t xml:space="preserve">should </w:t>
      </w:r>
      <w:r w:rsidRPr="004278A2">
        <w:rPr>
          <w:rStyle w:val="IntenseEmphasis"/>
          <w:i w:val="0"/>
          <w:iCs w:val="0"/>
          <w:color w:val="auto"/>
        </w:rPr>
        <w:t xml:space="preserve">be provided in video format, e.g. a plain English video version of the information, with Auslan interpreter, AD and captions. </w:t>
      </w:r>
    </w:p>
    <w:p w14:paraId="309FA7C5" w14:textId="1A922683" w:rsidR="00550617" w:rsidRDefault="00C41E47" w:rsidP="00A22DA1">
      <w:r>
        <w:rPr>
          <w:rStyle w:val="IntenseEmphasis"/>
          <w:i w:val="0"/>
          <w:iCs w:val="0"/>
          <w:color w:val="auto"/>
        </w:rPr>
        <w:t>In addition, presenting the information in a</w:t>
      </w:r>
      <w:r w:rsidR="004278A2" w:rsidRPr="004278A2">
        <w:rPr>
          <w:rStyle w:val="IntenseEmphasis"/>
          <w:i w:val="0"/>
          <w:iCs w:val="0"/>
          <w:color w:val="auto"/>
        </w:rPr>
        <w:t>n easy-to-understand and accessible video</w:t>
      </w:r>
      <w:r>
        <w:rPr>
          <w:rStyle w:val="IntenseEmphasis"/>
          <w:i w:val="0"/>
          <w:iCs w:val="0"/>
          <w:color w:val="auto"/>
        </w:rPr>
        <w:t xml:space="preserve"> format</w:t>
      </w:r>
      <w:r w:rsidR="004278A2" w:rsidRPr="004278A2">
        <w:rPr>
          <w:rStyle w:val="IntenseEmphasis"/>
          <w:i w:val="0"/>
          <w:iCs w:val="0"/>
          <w:color w:val="auto"/>
        </w:rPr>
        <w:t xml:space="preserve"> </w:t>
      </w:r>
      <w:r>
        <w:rPr>
          <w:rStyle w:val="IntenseEmphasis"/>
          <w:i w:val="0"/>
          <w:iCs w:val="0"/>
          <w:color w:val="auto"/>
        </w:rPr>
        <w:t>would</w:t>
      </w:r>
      <w:r w:rsidR="004278A2" w:rsidRPr="004278A2">
        <w:rPr>
          <w:rStyle w:val="IntenseEmphasis"/>
          <w:i w:val="0"/>
          <w:iCs w:val="0"/>
          <w:color w:val="auto"/>
        </w:rPr>
        <w:t xml:space="preserve"> make the information more accessible for people who have </w:t>
      </w:r>
      <w:r>
        <w:rPr>
          <w:rStyle w:val="IntenseEmphasis"/>
          <w:i w:val="0"/>
          <w:iCs w:val="0"/>
          <w:color w:val="auto"/>
        </w:rPr>
        <w:t xml:space="preserve">an </w:t>
      </w:r>
      <w:r w:rsidR="004278A2" w:rsidRPr="004278A2">
        <w:rPr>
          <w:rStyle w:val="IntenseEmphasis"/>
          <w:i w:val="0"/>
          <w:iCs w:val="0"/>
          <w:color w:val="auto"/>
        </w:rPr>
        <w:t xml:space="preserve">intellectual disability or people with low English literacy. </w:t>
      </w:r>
      <w:r w:rsidR="002E371B">
        <w:rPr>
          <w:rStyle w:val="IntenseEmphasis"/>
          <w:i w:val="0"/>
          <w:iCs w:val="0"/>
          <w:color w:val="auto"/>
        </w:rPr>
        <w:t>A video with an Auslan interpreter, audio description and captions would also</w:t>
      </w:r>
      <w:r w:rsidR="00550617">
        <w:rPr>
          <w:rStyle w:val="IntenseEmphasis"/>
          <w:i w:val="0"/>
          <w:iCs w:val="0"/>
          <w:color w:val="auto"/>
        </w:rPr>
        <w:t xml:space="preserve"> </w:t>
      </w:r>
      <w:r w:rsidR="002E371B">
        <w:rPr>
          <w:rStyle w:val="IntenseEmphasis"/>
          <w:i w:val="0"/>
          <w:iCs w:val="0"/>
          <w:color w:val="auto"/>
        </w:rPr>
        <w:t xml:space="preserve">benefit hearing and vision impaired consumers seeking to access the data. </w:t>
      </w:r>
      <w:r w:rsidR="00AA43D3">
        <w:t xml:space="preserve">ACCAN recommends </w:t>
      </w:r>
      <w:r w:rsidR="00434F27">
        <w:t xml:space="preserve">that </w:t>
      </w:r>
      <w:r w:rsidR="00AA43D3">
        <w:t>the ACCC to employ accessibility experts to perform accessibility audits against Web Content</w:t>
      </w:r>
      <w:r w:rsidR="00550617">
        <w:t xml:space="preserve"> </w:t>
      </w:r>
      <w:r w:rsidR="00AA43D3">
        <w:t>Accessibility Guidelines (WCAG) 2.1.</w:t>
      </w:r>
      <w:r w:rsidR="00AA43D3">
        <w:rPr>
          <w:rStyle w:val="FootnoteReference"/>
        </w:rPr>
        <w:footnoteReference w:id="13"/>
      </w:r>
      <w:r w:rsidR="00AA43D3">
        <w:t>In recognising the diverse needs of consumers across Australia, ACCAN’s recently developed Talking Telco resources were made available in a range of accessible formats, including Easy English, Auslan, and various community languages.</w:t>
      </w:r>
      <w:r w:rsidR="00AA43D3">
        <w:rPr>
          <w:rStyle w:val="FootnoteReference"/>
        </w:rPr>
        <w:footnoteReference w:id="14"/>
      </w:r>
      <w:r w:rsidR="00AA43D3">
        <w:t xml:space="preserve"> ACCAN would be happy </w:t>
      </w:r>
    </w:p>
    <w:p w14:paraId="66969C97" w14:textId="77777777" w:rsidR="00550617" w:rsidRDefault="00550617" w:rsidP="00A22DA1"/>
    <w:p w14:paraId="76ED4532" w14:textId="77F3FF50" w:rsidR="00AA43D3" w:rsidRPr="004278A2" w:rsidRDefault="00AA43D3" w:rsidP="00A22DA1">
      <w:r>
        <w:t>to share our knowledge and offer our support to the ACCC in making the MBA content more accessible for all consumers.</w:t>
      </w:r>
    </w:p>
    <w:p w14:paraId="4B4102EE" w14:textId="77777777" w:rsidR="003E13BE" w:rsidRPr="003E13BE" w:rsidRDefault="003E13BE" w:rsidP="00854D1E">
      <w:pPr>
        <w:rPr>
          <w:b/>
          <w:bCs/>
        </w:rPr>
      </w:pPr>
      <w:r w:rsidRPr="003E13BE">
        <w:rPr>
          <w:b/>
          <w:bCs/>
        </w:rPr>
        <w:t>Methodology</w:t>
      </w:r>
    </w:p>
    <w:p w14:paraId="30FE4ADB" w14:textId="297019F5" w:rsidR="001660A3" w:rsidRPr="00460FF8" w:rsidRDefault="007A6C97" w:rsidP="00854D1E">
      <w:pPr>
        <w:rPr>
          <w:rStyle w:val="SubtleEmphasis"/>
          <w:i w:val="0"/>
          <w:iCs w:val="0"/>
          <w:color w:val="auto"/>
        </w:rPr>
      </w:pPr>
      <w:r>
        <w:t xml:space="preserve">ACCAN is aware that the </w:t>
      </w:r>
      <w:r w:rsidR="0057312A">
        <w:t xml:space="preserve">industry has </w:t>
      </w:r>
      <w:r w:rsidR="00784EDE">
        <w:t>been critical of the</w:t>
      </w:r>
      <w:r w:rsidR="0057312A">
        <w:t xml:space="preserve"> methodology employed by the MBA</w:t>
      </w:r>
      <w:r w:rsidR="00784EDE">
        <w:t xml:space="preserve"> program</w:t>
      </w:r>
      <w:r w:rsidR="0057312A">
        <w:t xml:space="preserve"> in gathering data</w:t>
      </w:r>
      <w:r>
        <w:t>. However, we agree with the</w:t>
      </w:r>
      <w:r w:rsidR="0057312A">
        <w:t xml:space="preserve"> ACCC</w:t>
      </w:r>
      <w:r>
        <w:t>’s assessment that the scheme has successfully</w:t>
      </w:r>
      <w:r w:rsidR="0057312A" w:rsidRPr="0057312A">
        <w:t xml:space="preserve"> maintain</w:t>
      </w:r>
      <w:r>
        <w:t>ed</w:t>
      </w:r>
      <w:r w:rsidR="0057312A" w:rsidRPr="0057312A">
        <w:t xml:space="preserve"> a long-term and consistent volunteer base</w:t>
      </w:r>
      <w:r>
        <w:t xml:space="preserve"> of the</w:t>
      </w:r>
      <w:r w:rsidRPr="007A6C97">
        <w:t xml:space="preserve"> size required to obtain statistically robust data</w:t>
      </w:r>
      <w:r>
        <w:t>,</w:t>
      </w:r>
      <w:r w:rsidRPr="007A6C97">
        <w:t xml:space="preserve"> given variability of NBN performance</w:t>
      </w:r>
      <w:r w:rsidR="0057312A" w:rsidRPr="0057312A">
        <w:t>.</w:t>
      </w:r>
      <w:r>
        <w:rPr>
          <w:rStyle w:val="FootnoteReference"/>
        </w:rPr>
        <w:footnoteReference w:id="15"/>
      </w:r>
      <w:r w:rsidR="0057312A" w:rsidRPr="0057312A">
        <w:t xml:space="preserve"> </w:t>
      </w:r>
      <w:r w:rsidR="0057312A">
        <w:t xml:space="preserve">Volunteers for White Boxes exceeded demand in the first iteration of the </w:t>
      </w:r>
      <w:r w:rsidR="006E3EF3">
        <w:t>scheme</w:t>
      </w:r>
      <w:r w:rsidR="0057312A">
        <w:t>, and BIRRR</w:t>
      </w:r>
      <w:r w:rsidR="00345892">
        <w:t xml:space="preserve"> (Better Internet for Rural, Regional and Remote Australia</w:t>
      </w:r>
      <w:r w:rsidR="0057312A">
        <w:t xml:space="preserve">) has </w:t>
      </w:r>
      <w:r w:rsidR="00345892">
        <w:t>volunteered to recruit volunteers for an expanded version of the MBA</w:t>
      </w:r>
      <w:r w:rsidR="00C22B0A" w:rsidRPr="00C22B0A">
        <w:t>.</w:t>
      </w:r>
      <w:r w:rsidR="00C22B0A">
        <w:rPr>
          <w:rStyle w:val="FootnoteReference"/>
        </w:rPr>
        <w:footnoteReference w:id="16"/>
      </w:r>
      <w:r w:rsidR="00F70CF2">
        <w:t xml:space="preserve"> Likewise, ACCAN has promoted participation in the scheme in the past and will to continue to do so should an expanded program be adopted.  </w:t>
      </w:r>
    </w:p>
    <w:p w14:paraId="0BFA6CF9" w14:textId="33F5B2B7" w:rsidR="009B733A" w:rsidRDefault="001660A3" w:rsidP="009B733A">
      <w:pPr>
        <w:pStyle w:val="BodyText1"/>
        <w:rPr>
          <w:rStyle w:val="IntenseEmphasis"/>
          <w:i w:val="0"/>
          <w:iCs w:val="0"/>
          <w:color w:val="auto"/>
        </w:rPr>
      </w:pPr>
      <w:r>
        <w:rPr>
          <w:rStyle w:val="IntenseEmphasis"/>
          <w:i w:val="0"/>
          <w:iCs w:val="0"/>
          <w:color w:val="auto"/>
        </w:rPr>
        <w:t>Future s</w:t>
      </w:r>
      <w:r w:rsidR="00EC2402">
        <w:rPr>
          <w:rStyle w:val="IntenseEmphasis"/>
          <w:i w:val="0"/>
          <w:iCs w:val="0"/>
          <w:color w:val="auto"/>
        </w:rPr>
        <w:t>trategies which could assist in promoting interest and continued engagement with the program could be based on nudge theory</w:t>
      </w:r>
      <w:r w:rsidR="009B733A">
        <w:rPr>
          <w:rStyle w:val="IntenseEmphasis"/>
          <w:i w:val="0"/>
          <w:iCs w:val="0"/>
          <w:color w:val="auto"/>
        </w:rPr>
        <w:t>, a concept in behavioural economi</w:t>
      </w:r>
      <w:r w:rsidR="00465E45">
        <w:rPr>
          <w:rStyle w:val="IntenseEmphasis"/>
          <w:i w:val="0"/>
          <w:iCs w:val="0"/>
          <w:color w:val="auto"/>
        </w:rPr>
        <w:t>c</w:t>
      </w:r>
      <w:r w:rsidR="009B733A">
        <w:rPr>
          <w:rStyle w:val="IntenseEmphasis"/>
          <w:i w:val="0"/>
          <w:iCs w:val="0"/>
          <w:color w:val="auto"/>
        </w:rPr>
        <w:t>s which proposes ways to influence behaviour and decision making</w:t>
      </w:r>
      <w:r w:rsidR="00EC2402">
        <w:rPr>
          <w:rStyle w:val="IntenseEmphasis"/>
          <w:i w:val="0"/>
          <w:iCs w:val="0"/>
          <w:color w:val="auto"/>
        </w:rPr>
        <w:t>.</w:t>
      </w:r>
      <w:r w:rsidR="009B733A">
        <w:rPr>
          <w:rStyle w:val="IntenseEmphasis"/>
          <w:i w:val="0"/>
          <w:iCs w:val="0"/>
          <w:color w:val="auto"/>
        </w:rPr>
        <w:t xml:space="preserve"> The behavioural Insights Team have developed </w:t>
      </w:r>
      <w:r w:rsidR="00EC2402">
        <w:rPr>
          <w:rStyle w:val="IntenseEmphasis"/>
          <w:i w:val="0"/>
          <w:iCs w:val="0"/>
          <w:color w:val="auto"/>
        </w:rPr>
        <w:t>evidence-based</w:t>
      </w:r>
      <w:r w:rsidR="009B733A">
        <w:rPr>
          <w:rStyle w:val="IntenseEmphasis"/>
          <w:i w:val="0"/>
          <w:iCs w:val="0"/>
          <w:color w:val="auto"/>
        </w:rPr>
        <w:t xml:space="preserve"> tools which could be applied to promoting engagement with the MBA program. For example, in increasing volunteer sign-ups during the COVID-19 pandemic,</w:t>
      </w:r>
      <w:r w:rsidR="00EC2402" w:rsidRPr="00EC2402">
        <w:rPr>
          <w:rStyle w:val="FootnoteReference"/>
          <w:color w:val="auto"/>
        </w:rPr>
        <w:t xml:space="preserve"> </w:t>
      </w:r>
      <w:r w:rsidR="00EC2402">
        <w:rPr>
          <w:rStyle w:val="FootnoteReference"/>
          <w:color w:val="auto"/>
        </w:rPr>
        <w:footnoteReference w:id="17"/>
      </w:r>
      <w:r w:rsidR="009B733A">
        <w:rPr>
          <w:rStyle w:val="IntenseEmphasis"/>
          <w:i w:val="0"/>
          <w:iCs w:val="0"/>
          <w:color w:val="auto"/>
        </w:rPr>
        <w:t xml:space="preserve"> they recommend</w:t>
      </w:r>
      <w:r w:rsidR="00640658">
        <w:rPr>
          <w:rStyle w:val="IntenseEmphasis"/>
          <w:i w:val="0"/>
          <w:iCs w:val="0"/>
          <w:color w:val="auto"/>
        </w:rPr>
        <w:t>ed</w:t>
      </w:r>
      <w:r w:rsidR="00465E45">
        <w:rPr>
          <w:rStyle w:val="IntenseEmphasis"/>
          <w:i w:val="0"/>
          <w:iCs w:val="0"/>
          <w:color w:val="auto"/>
        </w:rPr>
        <w:t xml:space="preserve"> approaches of </w:t>
      </w:r>
      <w:r w:rsidR="00640658">
        <w:rPr>
          <w:rStyle w:val="IntenseEmphasis"/>
          <w:i w:val="0"/>
          <w:iCs w:val="0"/>
          <w:color w:val="auto"/>
        </w:rPr>
        <w:t>m</w:t>
      </w:r>
      <w:r w:rsidR="00EC2402">
        <w:rPr>
          <w:rStyle w:val="IntenseEmphasis"/>
          <w:i w:val="0"/>
          <w:iCs w:val="0"/>
          <w:color w:val="auto"/>
        </w:rPr>
        <w:t xml:space="preserve">aking it easy to volunteer, making use of social norms and making volunteering a part of people’s identity. </w:t>
      </w:r>
      <w:r w:rsidR="007862D2">
        <w:rPr>
          <w:rStyle w:val="IntenseEmphasis"/>
          <w:i w:val="0"/>
          <w:iCs w:val="0"/>
          <w:color w:val="auto"/>
        </w:rPr>
        <w:t>In relation to social norms, s</w:t>
      </w:r>
      <w:r w:rsidR="00EC2402">
        <w:rPr>
          <w:rStyle w:val="IntenseEmphasis"/>
          <w:i w:val="0"/>
          <w:iCs w:val="0"/>
          <w:color w:val="auto"/>
        </w:rPr>
        <w:t>tudies have shown that people are more likely to pay their taxe</w:t>
      </w:r>
      <w:r w:rsidR="007862D2">
        <w:rPr>
          <w:rStyle w:val="IntenseEmphasis"/>
          <w:i w:val="0"/>
          <w:iCs w:val="0"/>
          <w:color w:val="auto"/>
        </w:rPr>
        <w:t>s</w:t>
      </w:r>
      <w:r w:rsidR="00EC2402">
        <w:rPr>
          <w:rStyle w:val="IntenseEmphasis"/>
          <w:i w:val="0"/>
          <w:iCs w:val="0"/>
          <w:color w:val="auto"/>
        </w:rPr>
        <w:t>, attend school and donate to charity in their will when they believe others around them are doing the same.</w:t>
      </w:r>
      <w:r w:rsidR="00EC2402">
        <w:rPr>
          <w:rStyle w:val="FootnoteReference"/>
          <w:color w:val="auto"/>
        </w:rPr>
        <w:footnoteReference w:id="18"/>
      </w:r>
      <w:r w:rsidR="00EC2402">
        <w:rPr>
          <w:rStyle w:val="IntenseEmphasis"/>
          <w:i w:val="0"/>
          <w:iCs w:val="0"/>
          <w:color w:val="auto"/>
        </w:rPr>
        <w:t xml:space="preserve"> Messaging could be used to encourage volunteers by highlighting how many others are doing the same.</w:t>
      </w:r>
    </w:p>
    <w:p w14:paraId="5FBF8901" w14:textId="6BF0B266" w:rsidR="009B733A" w:rsidRPr="00CA3BC6" w:rsidRDefault="00F70CF2" w:rsidP="009B733A">
      <w:pPr>
        <w:pStyle w:val="BodyText1"/>
        <w:rPr>
          <w:rStyle w:val="IntenseEmphasis"/>
          <w:i w:val="0"/>
          <w:iCs w:val="0"/>
          <w:color w:val="auto"/>
        </w:rPr>
      </w:pPr>
      <w:r>
        <w:rPr>
          <w:rStyle w:val="IntenseEmphasis"/>
          <w:i w:val="0"/>
          <w:iCs w:val="0"/>
          <w:color w:val="auto"/>
        </w:rPr>
        <w:t>While t</w:t>
      </w:r>
      <w:r w:rsidR="00D42A1A">
        <w:rPr>
          <w:rStyle w:val="IntenseEmphasis"/>
          <w:i w:val="0"/>
          <w:iCs w:val="0"/>
          <w:color w:val="auto"/>
        </w:rPr>
        <w:t xml:space="preserve">he MBA program has been successful in attracting </w:t>
      </w:r>
      <w:proofErr w:type="gramStart"/>
      <w:r w:rsidR="00D42A1A">
        <w:rPr>
          <w:rStyle w:val="IntenseEmphasis"/>
          <w:i w:val="0"/>
          <w:iCs w:val="0"/>
          <w:color w:val="auto"/>
        </w:rPr>
        <w:t>sufficient</w:t>
      </w:r>
      <w:proofErr w:type="gramEnd"/>
      <w:r w:rsidR="00D42A1A">
        <w:rPr>
          <w:rStyle w:val="IntenseEmphasis"/>
          <w:i w:val="0"/>
          <w:iCs w:val="0"/>
          <w:color w:val="auto"/>
        </w:rPr>
        <w:t xml:space="preserve"> volunteers, </w:t>
      </w:r>
      <w:r>
        <w:rPr>
          <w:rStyle w:val="IntenseEmphasis"/>
          <w:i w:val="0"/>
          <w:iCs w:val="0"/>
          <w:color w:val="auto"/>
        </w:rPr>
        <w:t>if</w:t>
      </w:r>
      <w:r w:rsidR="00D42A1A">
        <w:rPr>
          <w:rStyle w:val="IntenseEmphasis"/>
          <w:i w:val="0"/>
          <w:iCs w:val="0"/>
          <w:color w:val="auto"/>
        </w:rPr>
        <w:t xml:space="preserve"> the program expands </w:t>
      </w:r>
      <w:r>
        <w:rPr>
          <w:rStyle w:val="IntenseEmphasis"/>
          <w:i w:val="0"/>
          <w:iCs w:val="0"/>
          <w:color w:val="auto"/>
        </w:rPr>
        <w:t xml:space="preserve">to include NBN SkyMuster and Fixed Wireless </w:t>
      </w:r>
      <w:r w:rsidR="00D42A1A">
        <w:rPr>
          <w:rStyle w:val="IntenseEmphasis"/>
          <w:i w:val="0"/>
          <w:iCs w:val="0"/>
          <w:color w:val="auto"/>
        </w:rPr>
        <w:t>and non-NBN networks</w:t>
      </w:r>
      <w:r>
        <w:rPr>
          <w:rStyle w:val="IntenseEmphasis"/>
          <w:i w:val="0"/>
          <w:iCs w:val="0"/>
          <w:color w:val="auto"/>
        </w:rPr>
        <w:t xml:space="preserve">, </w:t>
      </w:r>
      <w:r w:rsidR="00D42A1A">
        <w:rPr>
          <w:rStyle w:val="IntenseEmphasis"/>
          <w:i w:val="0"/>
          <w:iCs w:val="0"/>
          <w:color w:val="auto"/>
        </w:rPr>
        <w:t>i</w:t>
      </w:r>
      <w:r w:rsidR="003324D7">
        <w:rPr>
          <w:rStyle w:val="IntenseEmphasis"/>
          <w:i w:val="0"/>
          <w:iCs w:val="0"/>
          <w:color w:val="auto"/>
        </w:rPr>
        <w:t xml:space="preserve">ncreasing </w:t>
      </w:r>
      <w:r>
        <w:rPr>
          <w:rStyle w:val="IntenseEmphasis"/>
          <w:i w:val="0"/>
          <w:iCs w:val="0"/>
          <w:color w:val="auto"/>
        </w:rPr>
        <w:t xml:space="preserve">public </w:t>
      </w:r>
      <w:r w:rsidR="003324D7">
        <w:rPr>
          <w:rStyle w:val="IntenseEmphasis"/>
          <w:i w:val="0"/>
          <w:iCs w:val="0"/>
          <w:color w:val="auto"/>
        </w:rPr>
        <w:t>awareness of the program and awareness of the benefits could result in higher uptake of volunteers. As</w:t>
      </w:r>
      <w:r w:rsidR="009B733A">
        <w:rPr>
          <w:rStyle w:val="IntenseEmphasis"/>
          <w:i w:val="0"/>
          <w:iCs w:val="0"/>
          <w:color w:val="auto"/>
        </w:rPr>
        <w:t xml:space="preserve"> the benefits of volunteering for the program </w:t>
      </w:r>
      <w:r w:rsidR="003324D7">
        <w:rPr>
          <w:rStyle w:val="IntenseEmphasis"/>
          <w:i w:val="0"/>
          <w:iCs w:val="0"/>
          <w:color w:val="auto"/>
        </w:rPr>
        <w:t xml:space="preserve">may not be </w:t>
      </w:r>
      <w:r w:rsidR="009B733A">
        <w:rPr>
          <w:rStyle w:val="IntenseEmphasis"/>
          <w:i w:val="0"/>
          <w:iCs w:val="0"/>
          <w:color w:val="auto"/>
        </w:rPr>
        <w:t>immediately clear</w:t>
      </w:r>
      <w:r w:rsidR="007862D2">
        <w:rPr>
          <w:rStyle w:val="IntenseEmphasis"/>
          <w:i w:val="0"/>
          <w:iCs w:val="0"/>
          <w:color w:val="auto"/>
        </w:rPr>
        <w:t xml:space="preserve"> to potential volunteers</w:t>
      </w:r>
      <w:r w:rsidR="009B733A">
        <w:rPr>
          <w:rStyle w:val="IntenseEmphasis"/>
          <w:i w:val="0"/>
          <w:iCs w:val="0"/>
          <w:color w:val="auto"/>
        </w:rPr>
        <w:t>, another strategy could be to highlight the benefits consumers receive from participating in the program</w:t>
      </w:r>
      <w:r w:rsidR="00D126C9">
        <w:rPr>
          <w:rStyle w:val="IntenseEmphasis"/>
          <w:i w:val="0"/>
          <w:iCs w:val="0"/>
          <w:color w:val="auto"/>
        </w:rPr>
        <w:t>, focusing on t</w:t>
      </w:r>
      <w:r w:rsidR="007862D2">
        <w:rPr>
          <w:rStyle w:val="IntenseEmphasis"/>
          <w:i w:val="0"/>
          <w:iCs w:val="0"/>
          <w:color w:val="auto"/>
        </w:rPr>
        <w:t xml:space="preserve">he main benefit </w:t>
      </w:r>
      <w:r w:rsidR="00D126C9">
        <w:rPr>
          <w:rStyle w:val="IntenseEmphasis"/>
          <w:i w:val="0"/>
          <w:iCs w:val="0"/>
          <w:color w:val="auto"/>
        </w:rPr>
        <w:t>of</w:t>
      </w:r>
      <w:r w:rsidR="007862D2">
        <w:rPr>
          <w:rStyle w:val="IntenseEmphasis"/>
          <w:i w:val="0"/>
          <w:iCs w:val="0"/>
          <w:color w:val="auto"/>
        </w:rPr>
        <w:t xml:space="preserve"> improvements in the quality of broadband</w:t>
      </w:r>
      <w:r w:rsidR="003324D7">
        <w:rPr>
          <w:rStyle w:val="IntenseEmphasis"/>
          <w:i w:val="0"/>
          <w:iCs w:val="0"/>
          <w:color w:val="auto"/>
        </w:rPr>
        <w:t xml:space="preserve"> over time</w:t>
      </w:r>
      <w:r w:rsidR="007862D2">
        <w:rPr>
          <w:rStyle w:val="IntenseEmphasis"/>
          <w:i w:val="0"/>
          <w:iCs w:val="0"/>
          <w:color w:val="auto"/>
        </w:rPr>
        <w:t>.</w:t>
      </w:r>
      <w:r w:rsidR="003324D7">
        <w:rPr>
          <w:rStyle w:val="IntenseEmphasis"/>
          <w:i w:val="0"/>
          <w:iCs w:val="0"/>
          <w:color w:val="auto"/>
        </w:rPr>
        <w:t xml:space="preserve"> </w:t>
      </w:r>
      <w:r w:rsidR="007862D2">
        <w:rPr>
          <w:rStyle w:val="IntenseEmphasis"/>
          <w:i w:val="0"/>
          <w:iCs w:val="0"/>
          <w:color w:val="auto"/>
        </w:rPr>
        <w:t xml:space="preserve">Furthermore, </w:t>
      </w:r>
      <w:r w:rsidR="009B733A">
        <w:rPr>
          <w:rStyle w:val="IntenseEmphasis"/>
          <w:i w:val="0"/>
          <w:iCs w:val="0"/>
          <w:color w:val="auto"/>
        </w:rPr>
        <w:t>awareness of the program</w:t>
      </w:r>
      <w:r w:rsidR="007862D2">
        <w:rPr>
          <w:rStyle w:val="IntenseEmphasis"/>
          <w:i w:val="0"/>
          <w:iCs w:val="0"/>
          <w:color w:val="auto"/>
        </w:rPr>
        <w:t xml:space="preserve"> could be increased</w:t>
      </w:r>
      <w:r w:rsidR="009B733A">
        <w:rPr>
          <w:rStyle w:val="IntenseEmphasis"/>
          <w:i w:val="0"/>
          <w:iCs w:val="0"/>
          <w:color w:val="auto"/>
        </w:rPr>
        <w:t xml:space="preserve"> by having RSPs contact their customers about it</w:t>
      </w:r>
      <w:r w:rsidR="007862D2">
        <w:rPr>
          <w:rStyle w:val="IntenseEmphasis"/>
          <w:i w:val="0"/>
          <w:iCs w:val="0"/>
          <w:color w:val="auto"/>
        </w:rPr>
        <w:t xml:space="preserve">, or requirements for RSPs to provide a link to </w:t>
      </w:r>
      <w:proofErr w:type="spellStart"/>
      <w:r w:rsidR="007862D2">
        <w:rPr>
          <w:rStyle w:val="IntenseEmphasis"/>
          <w:i w:val="0"/>
          <w:iCs w:val="0"/>
          <w:color w:val="auto"/>
        </w:rPr>
        <w:t>SamKnows</w:t>
      </w:r>
      <w:proofErr w:type="spellEnd"/>
      <w:r w:rsidR="007862D2">
        <w:rPr>
          <w:rStyle w:val="IntenseEmphasis"/>
          <w:i w:val="0"/>
          <w:iCs w:val="0"/>
          <w:color w:val="auto"/>
        </w:rPr>
        <w:t xml:space="preserve"> on their own website.</w:t>
      </w:r>
    </w:p>
    <w:p w14:paraId="2E6167A7" w14:textId="6404317D" w:rsidR="00D126C9" w:rsidRDefault="00D126C9" w:rsidP="00460FF8">
      <w:pPr>
        <w:pStyle w:val="BodyText1"/>
        <w:rPr>
          <w:rStyle w:val="IntenseEmphasis"/>
          <w:i w:val="0"/>
          <w:iCs w:val="0"/>
          <w:color w:val="000000"/>
        </w:rPr>
      </w:pPr>
      <w:r>
        <w:rPr>
          <w:rStyle w:val="IntenseEmphasis"/>
          <w:i w:val="0"/>
          <w:iCs w:val="0"/>
          <w:color w:val="000000"/>
        </w:rPr>
        <w:t xml:space="preserve">From a policy perspective, </w:t>
      </w:r>
      <w:r w:rsidR="009B733A">
        <w:rPr>
          <w:rStyle w:val="IntenseEmphasis"/>
          <w:i w:val="0"/>
          <w:iCs w:val="0"/>
          <w:color w:val="000000"/>
        </w:rPr>
        <w:t xml:space="preserve">ACCAN’s position is that all consumers, regardless of location, should have accesses to reliable telecommunications services. Being able to compare data from urban and regional Australia will inform ACCAN of the experience of regional and remote consumers further, ultimately assisting our </w:t>
      </w:r>
      <w:r>
        <w:rPr>
          <w:rStyle w:val="IntenseEmphasis"/>
          <w:i w:val="0"/>
          <w:iCs w:val="0"/>
          <w:color w:val="000000"/>
        </w:rPr>
        <w:t>advocacy for service improvements.</w:t>
      </w:r>
      <w:r w:rsidR="009B733A">
        <w:rPr>
          <w:rStyle w:val="IntenseEmphasis"/>
          <w:i w:val="0"/>
          <w:iCs w:val="0"/>
          <w:color w:val="000000"/>
        </w:rPr>
        <w:t xml:space="preserve"> </w:t>
      </w:r>
    </w:p>
    <w:p w14:paraId="1525F6E7" w14:textId="2E8B3AF4" w:rsidR="00982E1C" w:rsidRPr="00AF3F0E" w:rsidRDefault="003324D7" w:rsidP="00460FF8">
      <w:pPr>
        <w:pStyle w:val="BodyText1"/>
      </w:pPr>
      <w:r>
        <w:rPr>
          <w:rStyle w:val="IntenseEmphasis"/>
          <w:i w:val="0"/>
          <w:iCs w:val="0"/>
          <w:color w:val="000000"/>
        </w:rPr>
        <w:t xml:space="preserve">Lastly, ACCAN considers the frequency of the MBA reports to be </w:t>
      </w:r>
      <w:proofErr w:type="gramStart"/>
      <w:r>
        <w:rPr>
          <w:rStyle w:val="IntenseEmphasis"/>
          <w:i w:val="0"/>
          <w:iCs w:val="0"/>
          <w:color w:val="000000"/>
        </w:rPr>
        <w:t>sufficient</w:t>
      </w:r>
      <w:proofErr w:type="gramEnd"/>
      <w:r>
        <w:rPr>
          <w:rStyle w:val="IntenseEmphasis"/>
          <w:i w:val="0"/>
          <w:iCs w:val="0"/>
          <w:color w:val="000000"/>
        </w:rPr>
        <w:t>.</w:t>
      </w:r>
    </w:p>
    <w:p w14:paraId="4E450974" w14:textId="77777777" w:rsidR="003E13BE" w:rsidRPr="003E13BE" w:rsidRDefault="003E13BE" w:rsidP="0064379C">
      <w:pPr>
        <w:pStyle w:val="BodyText1"/>
        <w:rPr>
          <w:b/>
          <w:bCs/>
        </w:rPr>
      </w:pPr>
      <w:r w:rsidRPr="003E13BE">
        <w:rPr>
          <w:b/>
          <w:bCs/>
        </w:rPr>
        <w:lastRenderedPageBreak/>
        <w:t>Conclusion</w:t>
      </w:r>
    </w:p>
    <w:p w14:paraId="73497E3A" w14:textId="7B456817" w:rsidR="00225439" w:rsidRDefault="00225439" w:rsidP="00225439">
      <w:pPr>
        <w:pStyle w:val="BodyText1"/>
      </w:pPr>
      <w:r>
        <w:t>In conclusion, ACCAN submits that there are strong arguments in favour of the continuation and expansion of the MBA program</w:t>
      </w:r>
      <w:r w:rsidRPr="00252993">
        <w:t>.</w:t>
      </w:r>
      <w:r>
        <w:t xml:space="preserve"> The collection and reporting of transparent broadband measurement data </w:t>
      </w:r>
      <w:r w:rsidR="00D126C9">
        <w:t xml:space="preserve">under the </w:t>
      </w:r>
      <w:r>
        <w:t>program has:</w:t>
      </w:r>
    </w:p>
    <w:p w14:paraId="12C82F52" w14:textId="77777777" w:rsidR="00225439" w:rsidRDefault="00225439" w:rsidP="00FF2B5D">
      <w:pPr>
        <w:pStyle w:val="ListParagraph"/>
      </w:pPr>
      <w:r>
        <w:t>D</w:t>
      </w:r>
      <w:r w:rsidR="009418D1">
        <w:t>elivered improved consumer outcomes</w:t>
      </w:r>
      <w:r>
        <w:t xml:space="preserve">, reflected in a decline in the number of consumer complaints since the commencement of the scheme. </w:t>
      </w:r>
    </w:p>
    <w:p w14:paraId="2E73DBBD" w14:textId="3A495A3D" w:rsidR="00225439" w:rsidRDefault="00225439" w:rsidP="00FF2B5D">
      <w:pPr>
        <w:pStyle w:val="ListParagraph"/>
      </w:pPr>
      <w:r>
        <w:t>Held RSPs accountable for the provision of adequate broadband speeds and motivated improved industry performance including active resolution of operational, systemic and individual broadband issues.</w:t>
      </w:r>
    </w:p>
    <w:p w14:paraId="0E33E46C" w14:textId="2B17B193" w:rsidR="00225439" w:rsidRDefault="00225439" w:rsidP="00FF2B5D">
      <w:pPr>
        <w:pStyle w:val="ListParagraph"/>
      </w:pPr>
      <w:r>
        <w:t>Enabled enforcement action against RSPs who have made misleading claims about broadband speeds.</w:t>
      </w:r>
    </w:p>
    <w:p w14:paraId="76E0164B" w14:textId="14E75309" w:rsidR="009418D1" w:rsidRDefault="00225439" w:rsidP="00FF2B5D">
      <w:pPr>
        <w:pStyle w:val="ListParagraph"/>
      </w:pPr>
      <w:r>
        <w:t xml:space="preserve">Played an important role in broadband policy making, both before and during the COVID-19 pandemic, with the data collected influencing policy decisions </w:t>
      </w:r>
      <w:r w:rsidR="00FF2B5D">
        <w:t>for the benefit of consumers</w:t>
      </w:r>
      <w:r>
        <w:t>.</w:t>
      </w:r>
      <w:r w:rsidR="009418D1">
        <w:t xml:space="preserve"> </w:t>
      </w:r>
    </w:p>
    <w:p w14:paraId="09D7687B" w14:textId="0BF18E23" w:rsidR="00272C35" w:rsidRDefault="0064379C" w:rsidP="00120414">
      <w:pPr>
        <w:pStyle w:val="BodyText1"/>
      </w:pPr>
      <w:r>
        <w:t>ACCAN agrees that for consumers and businesses to continue to reap the full benefit</w:t>
      </w:r>
      <w:r w:rsidR="00FF2B5D">
        <w:t>s</w:t>
      </w:r>
      <w:r>
        <w:t xml:space="preserve"> of the NBN</w:t>
      </w:r>
      <w:r w:rsidR="00FF2B5D">
        <w:t>, including those promised by the recent $4.5 billion injection of funds to increase access to</w:t>
      </w:r>
      <w:r w:rsidRPr="00FB3096">
        <w:t xml:space="preserve"> ultra-fast broadband</w:t>
      </w:r>
      <w:r w:rsidR="00FF2B5D">
        <w:t xml:space="preserve">, </w:t>
      </w:r>
      <w:r>
        <w:t>the public and regulatory accountability enabled by the MBA scheme is essential.</w:t>
      </w:r>
      <w:r>
        <w:rPr>
          <w:rStyle w:val="FootnoteReference"/>
        </w:rPr>
        <w:footnoteReference w:id="19"/>
      </w:r>
      <w:r>
        <w:t xml:space="preserve">  </w:t>
      </w:r>
    </w:p>
    <w:p w14:paraId="3F2169D8" w14:textId="15203B82" w:rsidR="00545597" w:rsidRPr="005C0A23" w:rsidRDefault="00545597">
      <w:pPr>
        <w:pStyle w:val="BodyText1"/>
        <w:rPr>
          <w:rStyle w:val="IntenseEmphasis"/>
        </w:rPr>
      </w:pPr>
    </w:p>
    <w:sectPr w:rsidR="00545597" w:rsidRPr="005C0A23" w:rsidSect="00C7127B">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7FACB" w14:textId="77777777" w:rsidR="00CF3D06" w:rsidRDefault="00CF3D06" w:rsidP="00C7127B">
      <w:pPr>
        <w:spacing w:after="0" w:line="240" w:lineRule="auto"/>
      </w:pPr>
      <w:r>
        <w:separator/>
      </w:r>
    </w:p>
  </w:endnote>
  <w:endnote w:type="continuationSeparator" w:id="0">
    <w:p w14:paraId="0BB68E56" w14:textId="77777777" w:rsidR="00CF3D06" w:rsidRDefault="00CF3D06" w:rsidP="00C7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B3B5C" w14:textId="77777777" w:rsidR="00C7127B" w:rsidRPr="00E05115" w:rsidRDefault="00C7127B" w:rsidP="00C7127B">
    <w:pPr>
      <w:spacing w:after="0" w:line="240" w:lineRule="auto"/>
      <w:rPr>
        <w:color w:val="23B0E6"/>
      </w:rPr>
    </w:pPr>
    <w:r w:rsidRPr="00E05115">
      <w:rPr>
        <w:color w:val="23B0E6"/>
      </w:rPr>
      <w:t>www.accan.org.au | info@accan.org.au | twitter: @ACCAN_AU</w:t>
    </w:r>
    <w:r>
      <w:rPr>
        <w:color w:val="23B0E6"/>
      </w:rPr>
      <w:tab/>
    </w:r>
    <w:r>
      <w:rPr>
        <w:color w:val="23B0E6"/>
      </w:rPr>
      <w:tab/>
    </w:r>
    <w:r>
      <w:rPr>
        <w:color w:val="23B0E6"/>
      </w:rPr>
      <w:tab/>
    </w:r>
    <w:r>
      <w:rPr>
        <w:color w:val="23B0E6"/>
      </w:rPr>
      <w:tab/>
    </w:r>
    <w:r>
      <w:rPr>
        <w:color w:val="23B0E6"/>
      </w:rPr>
      <w:tab/>
    </w:r>
    <w:r w:rsidRPr="00C4251E">
      <w:fldChar w:fldCharType="begin"/>
    </w:r>
    <w:r w:rsidRPr="00C4251E">
      <w:instrText xml:space="preserve"> PAGE   \* MERGEFORMAT </w:instrText>
    </w:r>
    <w:r w:rsidRPr="00C4251E">
      <w:fldChar w:fldCharType="separate"/>
    </w:r>
    <w:r w:rsidR="006667CA">
      <w:rPr>
        <w:noProof/>
      </w:rPr>
      <w:t>2</w:t>
    </w:r>
    <w:r w:rsidRPr="00C4251E">
      <w:rPr>
        <w:noProof/>
      </w:rPr>
      <w:fldChar w:fldCharType="end"/>
    </w:r>
  </w:p>
  <w:p w14:paraId="4F50E1B5" w14:textId="77777777" w:rsidR="00C7127B" w:rsidRDefault="00C71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EE528" w14:textId="77777777" w:rsidR="00C7127B" w:rsidRDefault="00C7127B">
    <w:pPr>
      <w:pStyle w:val="Footer"/>
    </w:pPr>
    <w:r>
      <w:rPr>
        <w:noProof/>
      </w:rPr>
      <mc:AlternateContent>
        <mc:Choice Requires="wpg">
          <w:drawing>
            <wp:anchor distT="0" distB="0" distL="114300" distR="114300" simplePos="0" relativeHeight="251661312" behindDoc="1" locked="0" layoutInCell="1" allowOverlap="1" wp14:anchorId="62C5FEFA" wp14:editId="16E47818">
              <wp:simplePos x="0" y="0"/>
              <wp:positionH relativeFrom="column">
                <wp:posOffset>-173181</wp:posOffset>
              </wp:positionH>
              <wp:positionV relativeFrom="paragraph">
                <wp:posOffset>-706062</wp:posOffset>
              </wp:positionV>
              <wp:extent cx="6971664" cy="1473199"/>
              <wp:effectExtent l="0" t="0" r="0" b="0"/>
              <wp:wrapNone/>
              <wp:docPr id="3" name="Group 3"/>
              <wp:cNvGraphicFramePr/>
              <a:graphic xmlns:a="http://schemas.openxmlformats.org/drawingml/2006/main">
                <a:graphicData uri="http://schemas.microsoft.com/office/word/2010/wordprocessingGroup">
                  <wpg:wgp>
                    <wpg:cNvGrpSpPr/>
                    <wpg:grpSpPr>
                      <a:xfrm>
                        <a:off x="0" y="0"/>
                        <a:ext cx="6971664" cy="1473199"/>
                        <a:chOff x="-84179" y="-108086"/>
                        <a:chExt cx="6971664" cy="1382617"/>
                      </a:xfrm>
                    </wpg:grpSpPr>
                    <wps:wsp>
                      <wps:cNvPr id="2" name="Text Box 2"/>
                      <wps:cNvSpPr txBox="1">
                        <a:spLocks noChangeArrowheads="1"/>
                      </wps:cNvSpPr>
                      <wps:spPr bwMode="auto">
                        <a:xfrm>
                          <a:off x="-84179" y="-108086"/>
                          <a:ext cx="6971664" cy="1382617"/>
                        </a:xfrm>
                        <a:prstGeom prst="rect">
                          <a:avLst/>
                        </a:prstGeom>
                        <a:noFill/>
                        <a:ln w="9525">
                          <a:noFill/>
                          <a:miter lim="800000"/>
                          <a:headEnd/>
                          <a:tailEnd/>
                        </a:ln>
                      </wps:spPr>
                      <wps:txbx>
                        <w:txbxContent>
                          <w:p w14:paraId="359D05A3" w14:textId="77777777" w:rsidR="00C7127B" w:rsidRPr="00E05115" w:rsidRDefault="00C7127B" w:rsidP="00C7127B">
                            <w:pPr>
                              <w:spacing w:after="0"/>
                              <w:rPr>
                                <w:color w:val="23B0E6"/>
                              </w:rPr>
                            </w:pPr>
                            <w:r w:rsidRPr="00E05115">
                              <w:rPr>
                                <w:color w:val="23B0E6"/>
                              </w:rPr>
                              <w:t>Australian Communications Consumer Action Network (ACCAN)</w:t>
                            </w:r>
                          </w:p>
                          <w:p w14:paraId="63EE16A1" w14:textId="77777777" w:rsidR="00C7127B" w:rsidRDefault="00C7127B" w:rsidP="00C7127B">
                            <w:pPr>
                              <w:spacing w:after="0"/>
                              <w:rPr>
                                <w:i/>
                                <w:color w:val="23B0E6"/>
                              </w:rPr>
                            </w:pPr>
                            <w:r w:rsidRPr="00E05115">
                              <w:rPr>
                                <w:i/>
                                <w:color w:val="23B0E6"/>
                              </w:rPr>
                              <w:t xml:space="preserve">Australia’s peak </w:t>
                            </w:r>
                            <w:r>
                              <w:rPr>
                                <w:i/>
                                <w:color w:val="23B0E6"/>
                              </w:rPr>
                              <w:t>body representing communications consumers</w:t>
                            </w:r>
                          </w:p>
                          <w:p w14:paraId="3FE70537" w14:textId="77777777" w:rsidR="00C7127B" w:rsidRPr="00E05115" w:rsidRDefault="00C7127B" w:rsidP="00C7127B">
                            <w:pPr>
                              <w:spacing w:after="0"/>
                              <w:rPr>
                                <w:i/>
                                <w:color w:val="23B0E6"/>
                              </w:rPr>
                            </w:pPr>
                          </w:p>
                          <w:p w14:paraId="1CBFE9F2" w14:textId="77777777" w:rsidR="00C7127B" w:rsidRDefault="00C7127B" w:rsidP="00C7127B">
                            <w:pPr>
                              <w:spacing w:after="0"/>
                            </w:pPr>
                            <w:r>
                              <w:t>PO Box 639, Broadway NSW 2007</w:t>
                            </w:r>
                          </w:p>
                          <w:p w14:paraId="097EB006" w14:textId="77777777" w:rsidR="00C7127B" w:rsidRDefault="00C7127B" w:rsidP="00C7127B">
                            <w:pPr>
                              <w:spacing w:after="0"/>
                            </w:pPr>
                            <w:r>
                              <w:t xml:space="preserve">Tel: (02) 9288 4000 | Fax: (02) 9288 4019 | Contact us through the </w:t>
                            </w:r>
                            <w:hyperlink r:id="rId1" w:history="1">
                              <w:r w:rsidRPr="00FE6EAF">
                                <w:rPr>
                                  <w:rStyle w:val="Hyperlink"/>
                                </w:rPr>
                                <w:t>National Relay Service</w:t>
                              </w:r>
                            </w:hyperlink>
                          </w:p>
                          <w:p w14:paraId="5C33981D" w14:textId="77777777" w:rsidR="00C7127B" w:rsidRPr="00E05115" w:rsidRDefault="00C7127B" w:rsidP="00C7127B">
                            <w:pPr>
                              <w:spacing w:after="0"/>
                              <w:rPr>
                                <w:color w:val="23B0E6"/>
                              </w:rPr>
                            </w:pPr>
                            <w:r w:rsidRPr="00E05115">
                              <w:rPr>
                                <w:color w:val="23B0E6"/>
                              </w:rPr>
                              <w:t>www.accan.org.au | info@accan.org.au | twitter: @ACCAN_AU</w:t>
                            </w:r>
                            <w:r>
                              <w:rPr>
                                <w:color w:val="23B0E6"/>
                              </w:rPr>
                              <w:t xml:space="preserve"> | www.facebook.com/accanau</w:t>
                            </w:r>
                          </w:p>
                        </w:txbxContent>
                      </wps:txbx>
                      <wps:bodyPr rot="0" vert="horz" wrap="square" lIns="91440" tIns="45720" rIns="91440" bIns="45720" anchor="t" anchorCtr="0">
                        <a:noAutofit/>
                      </wps:bodyPr>
                    </wps:wsp>
                    <wps:wsp>
                      <wps:cNvPr id="1" name="Straight Connector 1"/>
                      <wps:cNvCnPr/>
                      <wps:spPr>
                        <a:xfrm>
                          <a:off x="30738" y="316628"/>
                          <a:ext cx="6701051" cy="0"/>
                        </a:xfrm>
                        <a:prstGeom prst="line">
                          <a:avLst/>
                        </a:prstGeom>
                        <a:ln w="38100">
                          <a:solidFill>
                            <a:srgbClr val="23B0E6"/>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C5FEFA" id="Group 3" o:spid="_x0000_s1026" style="position:absolute;margin-left:-13.65pt;margin-top:-55.6pt;width:548.95pt;height:116pt;z-index:-251655168;mso-width-relative:margin;mso-height-relative:margin" coordorigin="-841,-1080" coordsize="69716,1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">
              <v:shapetype id="_x0000_t202" coordsize="21600,21600" o:spt="202" path="m,l,21600r21600,l21600,xe">
                <v:stroke joinstyle="miter"/>
                <v:path gradientshapeok="t" o:connecttype="rect"/>
              </v:shapetype>
              <v:shape id="Text Box 2" o:spid="_x0000_s1027" type="#_x0000_t202" style="position:absolute;left:-841;top:-1080;width:69715;height:13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359D05A3" w14:textId="77777777" w:rsidR="00C7127B" w:rsidRPr="00E05115" w:rsidRDefault="00C7127B" w:rsidP="00C7127B">
                      <w:pPr>
                        <w:spacing w:after="0"/>
                        <w:rPr>
                          <w:color w:val="23B0E6"/>
                        </w:rPr>
                      </w:pPr>
                      <w:r w:rsidRPr="00E05115">
                        <w:rPr>
                          <w:color w:val="23B0E6"/>
                        </w:rPr>
                        <w:t>Australian Communications Consumer Action Network (ACCAN)</w:t>
                      </w:r>
                    </w:p>
                    <w:p w14:paraId="63EE16A1" w14:textId="77777777" w:rsidR="00C7127B" w:rsidRDefault="00C7127B" w:rsidP="00C7127B">
                      <w:pPr>
                        <w:spacing w:after="0"/>
                        <w:rPr>
                          <w:i/>
                          <w:color w:val="23B0E6"/>
                        </w:rPr>
                      </w:pPr>
                      <w:r w:rsidRPr="00E05115">
                        <w:rPr>
                          <w:i/>
                          <w:color w:val="23B0E6"/>
                        </w:rPr>
                        <w:t xml:space="preserve">Australia’s peak </w:t>
                      </w:r>
                      <w:r>
                        <w:rPr>
                          <w:i/>
                          <w:color w:val="23B0E6"/>
                        </w:rPr>
                        <w:t>body representing communications consumers</w:t>
                      </w:r>
                    </w:p>
                    <w:p w14:paraId="3FE70537" w14:textId="77777777" w:rsidR="00C7127B" w:rsidRPr="00E05115" w:rsidRDefault="00C7127B" w:rsidP="00C7127B">
                      <w:pPr>
                        <w:spacing w:after="0"/>
                        <w:rPr>
                          <w:i/>
                          <w:color w:val="23B0E6"/>
                        </w:rPr>
                      </w:pPr>
                    </w:p>
                    <w:p w14:paraId="1CBFE9F2" w14:textId="77777777" w:rsidR="00C7127B" w:rsidRDefault="00C7127B" w:rsidP="00C7127B">
                      <w:pPr>
                        <w:spacing w:after="0"/>
                      </w:pPr>
                      <w:r>
                        <w:t>PO Box 639, Broadway NSW 2007</w:t>
                      </w:r>
                    </w:p>
                    <w:p w14:paraId="097EB006" w14:textId="77777777" w:rsidR="00C7127B" w:rsidRDefault="00C7127B" w:rsidP="00C7127B">
                      <w:pPr>
                        <w:spacing w:after="0"/>
                      </w:pPr>
                      <w:r>
                        <w:t xml:space="preserve">Tel: (02) 9288 4000 | Fax: (02) 9288 4019 | Contact us through the </w:t>
                      </w:r>
                      <w:hyperlink r:id="rId2" w:history="1">
                        <w:r w:rsidRPr="00FE6EAF">
                          <w:rPr>
                            <w:rStyle w:val="Hyperlink"/>
                          </w:rPr>
                          <w:t>National Relay Service</w:t>
                        </w:r>
                      </w:hyperlink>
                    </w:p>
                    <w:p w14:paraId="5C33981D" w14:textId="77777777" w:rsidR="00C7127B" w:rsidRPr="00E05115" w:rsidRDefault="00C7127B" w:rsidP="00C7127B">
                      <w:pPr>
                        <w:spacing w:after="0"/>
                        <w:rPr>
                          <w:color w:val="23B0E6"/>
                        </w:rPr>
                      </w:pPr>
                      <w:r w:rsidRPr="00E05115">
                        <w:rPr>
                          <w:color w:val="23B0E6"/>
                        </w:rPr>
                        <w:t>www.accan.org.au | info@accan.org.au | twitter: @ACCAN_AU</w:t>
                      </w:r>
                      <w:r>
                        <w:rPr>
                          <w:color w:val="23B0E6"/>
                        </w:rPr>
                        <w:t xml:space="preserve"> | www.facebook.com/accanau</w:t>
                      </w:r>
                    </w:p>
                  </w:txbxContent>
                </v:textbox>
              </v:shape>
              <v:line id="Straight Connector 1" o:spid="_x0000_s1028" style="position:absolute;visibility:visible;mso-wrap-style:square" from="307,3166" to="67317,3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" strokecolor="#23b0e6" strokeweight="3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65BA3" w14:textId="77777777" w:rsidR="00CF3D06" w:rsidRDefault="00CF3D06" w:rsidP="00C7127B">
      <w:pPr>
        <w:spacing w:after="0" w:line="240" w:lineRule="auto"/>
      </w:pPr>
      <w:r>
        <w:separator/>
      </w:r>
    </w:p>
  </w:footnote>
  <w:footnote w:type="continuationSeparator" w:id="0">
    <w:p w14:paraId="124B3C6B" w14:textId="77777777" w:rsidR="00CF3D06" w:rsidRDefault="00CF3D06" w:rsidP="00C7127B">
      <w:pPr>
        <w:spacing w:after="0" w:line="240" w:lineRule="auto"/>
      </w:pPr>
      <w:r>
        <w:continuationSeparator/>
      </w:r>
    </w:p>
  </w:footnote>
  <w:footnote w:id="1">
    <w:p w14:paraId="5FFE33EC" w14:textId="77777777" w:rsidR="002F7197" w:rsidRDefault="002F7197" w:rsidP="002F7197">
      <w:pPr>
        <w:pStyle w:val="FootnoteText"/>
      </w:pPr>
      <w:r>
        <w:rPr>
          <w:rStyle w:val="FootnoteReference"/>
        </w:rPr>
        <w:footnoteRef/>
      </w:r>
      <w:r>
        <w:t xml:space="preserve"> ACCC, </w:t>
      </w:r>
      <w:r w:rsidRPr="00A01473">
        <w:rPr>
          <w:i/>
          <w:iCs/>
        </w:rPr>
        <w:t>Review of the Measuring Broadband Australia program Consultation paper</w:t>
      </w:r>
      <w:r>
        <w:t>, October 2020, p2</w:t>
      </w:r>
    </w:p>
  </w:footnote>
  <w:footnote w:id="2">
    <w:p w14:paraId="1E909781" w14:textId="06874A24" w:rsidR="00C73671" w:rsidRDefault="00C73671">
      <w:pPr>
        <w:pStyle w:val="FootnoteText"/>
      </w:pPr>
      <w:r>
        <w:rPr>
          <w:rStyle w:val="FootnoteReference"/>
        </w:rPr>
        <w:footnoteRef/>
      </w:r>
      <w:r>
        <w:t xml:space="preserve"> Ibid, p11</w:t>
      </w:r>
    </w:p>
  </w:footnote>
  <w:footnote w:id="3">
    <w:p w14:paraId="6031139B" w14:textId="1A491F69" w:rsidR="002C156D" w:rsidRDefault="002C156D">
      <w:pPr>
        <w:pStyle w:val="FootnoteText"/>
      </w:pPr>
      <w:r>
        <w:rPr>
          <w:rStyle w:val="FootnoteReference"/>
        </w:rPr>
        <w:footnoteRef/>
      </w:r>
      <w:r>
        <w:t xml:space="preserve"> Ibid, p</w:t>
      </w:r>
      <w:r w:rsidR="006E454B">
        <w:t>p</w:t>
      </w:r>
      <w:r>
        <w:t>13</w:t>
      </w:r>
      <w:r w:rsidR="006E454B">
        <w:t>-14</w:t>
      </w:r>
    </w:p>
  </w:footnote>
  <w:footnote w:id="4">
    <w:p w14:paraId="7D2FA452" w14:textId="77777777" w:rsidR="00704B28" w:rsidRDefault="00704B28" w:rsidP="00704B28">
      <w:pPr>
        <w:pStyle w:val="FootnoteText"/>
      </w:pPr>
      <w:r>
        <w:rPr>
          <w:rStyle w:val="FootnoteReference"/>
        </w:rPr>
        <w:footnoteRef/>
      </w:r>
      <w:r>
        <w:t xml:space="preserve"> Ibid, p16</w:t>
      </w:r>
    </w:p>
  </w:footnote>
  <w:footnote w:id="5">
    <w:p w14:paraId="0DB0E78C" w14:textId="34440315" w:rsidR="00F32451" w:rsidRPr="00460FF8" w:rsidRDefault="00F32451">
      <w:pPr>
        <w:pStyle w:val="FootnoteText"/>
        <w:rPr>
          <w:lang w:val="en-US"/>
        </w:rPr>
      </w:pPr>
      <w:r>
        <w:rPr>
          <w:rStyle w:val="FootnoteReference"/>
        </w:rPr>
        <w:footnoteRef/>
      </w:r>
      <w:r>
        <w:t xml:space="preserve"> </w:t>
      </w:r>
      <w:r>
        <w:rPr>
          <w:lang w:val="en-US"/>
        </w:rPr>
        <w:t>Ibid, p31</w:t>
      </w:r>
    </w:p>
  </w:footnote>
  <w:footnote w:id="6">
    <w:p w14:paraId="0F1262F4" w14:textId="77777777" w:rsidR="00982E1C" w:rsidRPr="00CA3BC6" w:rsidRDefault="00982E1C" w:rsidP="00982E1C">
      <w:pPr>
        <w:pStyle w:val="FootnoteText"/>
        <w:rPr>
          <w:i/>
          <w:iCs/>
        </w:rPr>
      </w:pPr>
      <w:r>
        <w:rPr>
          <w:rStyle w:val="FootnoteReference"/>
        </w:rPr>
        <w:footnoteRef/>
      </w:r>
      <w:r>
        <w:t xml:space="preserve"> 2 Greenstein, S &amp; McDevitt, R 2012, </w:t>
      </w:r>
      <w:r w:rsidRPr="00CA3BC6">
        <w:rPr>
          <w:i/>
          <w:iCs/>
        </w:rPr>
        <w:t>Measuring the Broadband Bonus in Thirty OECD Countries, OECD Digital Economy</w:t>
      </w:r>
      <w:r w:rsidRPr="005745BD">
        <w:rPr>
          <w:i/>
          <w:iCs/>
        </w:rPr>
        <w:t xml:space="preserve"> </w:t>
      </w:r>
      <w:r w:rsidRPr="00CA3BC6">
        <w:rPr>
          <w:i/>
          <w:iCs/>
        </w:rPr>
        <w:t>Papers</w:t>
      </w:r>
      <w:r>
        <w:t xml:space="preserve">, </w:t>
      </w:r>
      <w:hyperlink r:id="rId1" w:history="1">
        <w:r w:rsidRPr="00294DB7">
          <w:rPr>
            <w:rStyle w:val="Hyperlink"/>
          </w:rPr>
          <w:t>https://www.oecd-ilibrary.org/docserver/5k9bcwkg3hwfen.pdf?expires=1600668580&amp;id=id&amp;accname=guest&amp;checksum=24A5CFEAA8E1E9D5FDE22E3E547E388E</w:t>
        </w:r>
      </w:hyperlink>
      <w:r>
        <w:t xml:space="preserve"> </w:t>
      </w:r>
      <w:r>
        <w:cr/>
        <w:t xml:space="preserve"> </w:t>
      </w:r>
    </w:p>
  </w:footnote>
  <w:footnote w:id="7">
    <w:p w14:paraId="4466CFAF" w14:textId="4D34C1E7" w:rsidR="00CD35E3" w:rsidRPr="00460FF8" w:rsidRDefault="00CD35E3">
      <w:pPr>
        <w:pStyle w:val="FootnoteText"/>
        <w:rPr>
          <w:lang w:val="en-US"/>
        </w:rPr>
      </w:pPr>
      <w:r>
        <w:rPr>
          <w:rStyle w:val="FootnoteReference"/>
        </w:rPr>
        <w:footnoteRef/>
      </w:r>
      <w:r>
        <w:t xml:space="preserve"> </w:t>
      </w:r>
      <w:r>
        <w:rPr>
          <w:lang w:val="en-US"/>
        </w:rPr>
        <w:t xml:space="preserve">ACCAN, 2020 SME Survey- Covid-19, </w:t>
      </w:r>
      <w:r w:rsidRPr="00460FF8">
        <w:rPr>
          <w:i/>
          <w:iCs/>
          <w:lang w:val="en-US"/>
        </w:rPr>
        <w:t>Unpublished</w:t>
      </w:r>
      <w:r>
        <w:rPr>
          <w:i/>
          <w:iCs/>
          <w:lang w:val="en-US"/>
        </w:rPr>
        <w:t>.</w:t>
      </w:r>
    </w:p>
  </w:footnote>
  <w:footnote w:id="8">
    <w:p w14:paraId="6C5001DA" w14:textId="501EF45E" w:rsidR="00784EDE" w:rsidRDefault="00784EDE" w:rsidP="00784EDE">
      <w:pPr>
        <w:pStyle w:val="FootnoteText"/>
      </w:pPr>
      <w:r>
        <w:rPr>
          <w:rStyle w:val="FootnoteReference"/>
        </w:rPr>
        <w:footnoteRef/>
      </w:r>
      <w:r>
        <w:t xml:space="preserve">  Koch, A. ‘</w:t>
      </w:r>
      <w:r w:rsidRPr="00D26D65">
        <w:t>IoT in agriculture – how is it evolving and which policy areas need addressing to facilitate its uptake</w:t>
      </w:r>
      <w:r>
        <w:t xml:space="preserve">’, </w:t>
      </w:r>
      <w:r w:rsidRPr="00D26D65">
        <w:rPr>
          <w:i/>
          <w:iCs/>
        </w:rPr>
        <w:t>Farm Institute Insights</w:t>
      </w:r>
      <w:r>
        <w:t xml:space="preserve">, Vol. 14, No.1, February 2017   - accessed at </w:t>
      </w:r>
      <w:r w:rsidR="00A22DA1" w:rsidRPr="00A22DA1">
        <w:t>http://www.farminstitute.org.au/newsletter/2017/February/feature</w:t>
      </w:r>
    </w:p>
  </w:footnote>
  <w:footnote w:id="9">
    <w:p w14:paraId="58B7734F" w14:textId="37B0E787" w:rsidR="00950969" w:rsidRDefault="00950969">
      <w:pPr>
        <w:pStyle w:val="FootnoteText"/>
        <w:rPr>
          <w:lang w:val="en-US"/>
        </w:rPr>
      </w:pPr>
      <w:r>
        <w:rPr>
          <w:rStyle w:val="FootnoteReference"/>
        </w:rPr>
        <w:footnoteRef/>
      </w:r>
      <w:r>
        <w:t xml:space="preserve"> </w:t>
      </w:r>
      <w:r>
        <w:rPr>
          <w:lang w:val="en-US"/>
        </w:rPr>
        <w:t xml:space="preserve">ACCAN, 2020, </w:t>
      </w:r>
      <w:r w:rsidRPr="00A22DA1">
        <w:rPr>
          <w:i/>
          <w:iCs/>
          <w:lang w:val="en-US"/>
        </w:rPr>
        <w:t xml:space="preserve">Superfast Broadband Access Service and Local Bitstream Access Service Declaration Inquiry- Discussion Paper </w:t>
      </w:r>
      <w:hyperlink r:id="rId2" w:history="1">
        <w:r w:rsidRPr="00E77525">
          <w:rPr>
            <w:rStyle w:val="Hyperlink"/>
            <w:lang w:val="en-US"/>
          </w:rPr>
          <w:t>http://accan.org.au/our-work/submissions/1809-accc-s-superfast-broadband-access-service-and-local-bitstream-access-service-declaration-inquiry</w:t>
        </w:r>
      </w:hyperlink>
      <w:r>
        <w:rPr>
          <w:lang w:val="en-US"/>
        </w:rPr>
        <w:t xml:space="preserve"> </w:t>
      </w:r>
    </w:p>
    <w:p w14:paraId="18AEFE9C" w14:textId="1983A418" w:rsidR="00950969" w:rsidRPr="00A22DA1" w:rsidRDefault="00950969">
      <w:pPr>
        <w:pStyle w:val="FootnoteText"/>
        <w:rPr>
          <w:lang w:val="en-US"/>
        </w:rPr>
      </w:pPr>
      <w:r>
        <w:rPr>
          <w:lang w:val="en-US"/>
        </w:rPr>
        <w:t>ACCAN, 2020</w:t>
      </w:r>
      <w:r w:rsidRPr="00A22DA1">
        <w:rPr>
          <w:i/>
          <w:iCs/>
          <w:lang w:val="en-US"/>
        </w:rPr>
        <w:t>, ACCC inquiries into NBN access pricing and wholesale service standards</w:t>
      </w:r>
      <w:r>
        <w:rPr>
          <w:lang w:val="en-US"/>
        </w:rPr>
        <w:t>.</w:t>
      </w:r>
      <w:r w:rsidRPr="00950969">
        <w:t xml:space="preserve"> </w:t>
      </w:r>
      <w:hyperlink r:id="rId3" w:history="1">
        <w:r w:rsidRPr="00E77525">
          <w:rPr>
            <w:rStyle w:val="Hyperlink"/>
            <w:lang w:val="en-US"/>
          </w:rPr>
          <w:t>http://accan.org.au/our-work/submissions/1810-accc-inquiries-into-nbn-access-pricing-and-wholesale-service-standards</w:t>
        </w:r>
      </w:hyperlink>
      <w:r>
        <w:rPr>
          <w:lang w:val="en-US"/>
        </w:rPr>
        <w:t xml:space="preserve"> </w:t>
      </w:r>
    </w:p>
  </w:footnote>
  <w:footnote w:id="10">
    <w:p w14:paraId="692317A7" w14:textId="3F6C930C" w:rsidR="00982E1C" w:rsidRPr="00666A92" w:rsidRDefault="00982E1C" w:rsidP="00982E1C">
      <w:pPr>
        <w:pStyle w:val="FootnoteText"/>
        <w:rPr>
          <w:lang w:val="en-US"/>
        </w:rPr>
      </w:pPr>
      <w:r w:rsidRPr="00666A92">
        <w:rPr>
          <w:rStyle w:val="FootnoteReference"/>
        </w:rPr>
        <w:footnoteRef/>
      </w:r>
      <w:r w:rsidRPr="00666A92">
        <w:t xml:space="preserve"> </w:t>
      </w:r>
      <w:r w:rsidR="00666A92">
        <w:t xml:space="preserve">Department of Infrastructure, Transport, Regional Development and Communications, 2020, </w:t>
      </w:r>
      <w:r w:rsidR="00666A92">
        <w:rPr>
          <w:i/>
          <w:iCs/>
        </w:rPr>
        <w:t xml:space="preserve">Telecommunications Reform Package. </w:t>
      </w:r>
      <w:hyperlink r:id="rId4" w:history="1">
        <w:r w:rsidR="00666A92" w:rsidRPr="00F808EB">
          <w:rPr>
            <w:rStyle w:val="Hyperlink"/>
          </w:rPr>
          <w:t>https://www.communications.gov.au/what-we-do/internet/telecommunication-reform-package</w:t>
        </w:r>
      </w:hyperlink>
      <w:r w:rsidRPr="00666A92">
        <w:t xml:space="preserve"> </w:t>
      </w:r>
    </w:p>
  </w:footnote>
  <w:footnote w:id="11">
    <w:p w14:paraId="024F4B9F" w14:textId="2FFD2D7B" w:rsidR="00982E1C" w:rsidRPr="00CA3BC6" w:rsidRDefault="00982E1C" w:rsidP="00982E1C">
      <w:pPr>
        <w:pStyle w:val="FootnoteText"/>
        <w:rPr>
          <w:lang w:val="en-US"/>
        </w:rPr>
      </w:pPr>
      <w:r w:rsidRPr="00666A92">
        <w:rPr>
          <w:rStyle w:val="FootnoteReference"/>
        </w:rPr>
        <w:footnoteRef/>
      </w:r>
      <w:r w:rsidRPr="00666A92">
        <w:t xml:space="preserve"> </w:t>
      </w:r>
      <w:r w:rsidR="00666A92">
        <w:t xml:space="preserve">Aussie Broadband, 2020, </w:t>
      </w:r>
      <w:r w:rsidR="00666A92">
        <w:rPr>
          <w:i/>
          <w:iCs/>
        </w:rPr>
        <w:t xml:space="preserve">Aussie Broadband starts work on new $1.8m fibre optic network expansion. </w:t>
      </w:r>
      <w:hyperlink r:id="rId5" w:history="1">
        <w:r w:rsidR="00666A92" w:rsidRPr="00F808EB">
          <w:rPr>
            <w:rStyle w:val="Hyperlink"/>
          </w:rPr>
          <w:t>https://www.aussiebroadband.com.au/blog/aussie-broadband-starts-work-on-new-1-8m-fibre-optic-network-expansion/</w:t>
        </w:r>
      </w:hyperlink>
      <w:r>
        <w:t xml:space="preserve"> </w:t>
      </w:r>
    </w:p>
  </w:footnote>
  <w:footnote w:id="12">
    <w:p w14:paraId="10DC91C5" w14:textId="63A3AFF6" w:rsidR="00C3749C" w:rsidRPr="00460FF8" w:rsidRDefault="00C3749C">
      <w:pPr>
        <w:pStyle w:val="FootnoteText"/>
        <w:rPr>
          <w:highlight w:val="yellow"/>
        </w:rPr>
      </w:pPr>
      <w:r w:rsidRPr="00460FF8">
        <w:rPr>
          <w:rStyle w:val="FootnoteReference"/>
        </w:rPr>
        <w:footnoteRef/>
      </w:r>
      <w:r w:rsidRPr="00460FF8">
        <w:t xml:space="preserve"> </w:t>
      </w:r>
      <w:r w:rsidR="00C6138B" w:rsidRPr="00460FF8">
        <w:t>MBA Consultation Paper</w:t>
      </w:r>
      <w:r w:rsidRPr="00460FF8">
        <w:t>, p19</w:t>
      </w:r>
    </w:p>
  </w:footnote>
  <w:footnote w:id="13">
    <w:p w14:paraId="676B60F3" w14:textId="77777777" w:rsidR="00AA43D3" w:rsidRPr="00D7658D" w:rsidRDefault="00AA43D3" w:rsidP="00AA43D3">
      <w:pPr>
        <w:pStyle w:val="FootnoteText"/>
        <w:rPr>
          <w:lang w:val="en-US"/>
        </w:rPr>
      </w:pPr>
      <w:r>
        <w:rPr>
          <w:rStyle w:val="FootnoteReference"/>
        </w:rPr>
        <w:footnoteRef/>
      </w:r>
      <w:r>
        <w:t xml:space="preserve"> W3C, 2018, </w:t>
      </w:r>
      <w:r>
        <w:rPr>
          <w:i/>
          <w:iCs/>
        </w:rPr>
        <w:t xml:space="preserve">Web Content Accessibility Guidelines (WCAG) </w:t>
      </w:r>
      <w:proofErr w:type="gramStart"/>
      <w:r>
        <w:rPr>
          <w:i/>
          <w:iCs/>
        </w:rPr>
        <w:t xml:space="preserve">2.1 </w:t>
      </w:r>
      <w:r>
        <w:t xml:space="preserve"> </w:t>
      </w:r>
      <w:r w:rsidRPr="00AA43D3">
        <w:t>https://www.w3.org/TR/WCAG21/</w:t>
      </w:r>
      <w:proofErr w:type="gramEnd"/>
    </w:p>
  </w:footnote>
  <w:footnote w:id="14">
    <w:p w14:paraId="7C795CFB" w14:textId="644ADD4D" w:rsidR="00AA43D3" w:rsidRPr="00A22DA1" w:rsidRDefault="00AA43D3">
      <w:pPr>
        <w:pStyle w:val="FootnoteText"/>
        <w:rPr>
          <w:i/>
          <w:iCs/>
          <w:lang w:val="en-US"/>
        </w:rPr>
      </w:pPr>
      <w:r>
        <w:rPr>
          <w:rStyle w:val="FootnoteReference"/>
        </w:rPr>
        <w:footnoteRef/>
      </w:r>
      <w:r>
        <w:t xml:space="preserve"> </w:t>
      </w:r>
      <w:r>
        <w:rPr>
          <w:lang w:val="en-US"/>
        </w:rPr>
        <w:t xml:space="preserve">ACCAN, 2020, </w:t>
      </w:r>
      <w:r>
        <w:rPr>
          <w:i/>
          <w:iCs/>
          <w:lang w:val="en-US"/>
        </w:rPr>
        <w:t xml:space="preserve">Talking Telco. </w:t>
      </w:r>
      <w:hyperlink r:id="rId6" w:history="1">
        <w:r w:rsidRPr="00A22DA1">
          <w:rPr>
            <w:rStyle w:val="Hyperlink"/>
            <w:lang w:val="en-US"/>
          </w:rPr>
          <w:t>http://accan.org.au/talking-telco</w:t>
        </w:r>
      </w:hyperlink>
      <w:r w:rsidRPr="00A22DA1">
        <w:rPr>
          <w:lang w:val="en-US"/>
        </w:rPr>
        <w:t xml:space="preserve"> </w:t>
      </w:r>
    </w:p>
  </w:footnote>
  <w:footnote w:id="15">
    <w:p w14:paraId="1B2C507A" w14:textId="7A07C7C6" w:rsidR="007A6C97" w:rsidRDefault="007A6C97">
      <w:pPr>
        <w:pStyle w:val="FootnoteText"/>
      </w:pPr>
      <w:r w:rsidRPr="005C0A23">
        <w:rPr>
          <w:rStyle w:val="FootnoteReference"/>
        </w:rPr>
        <w:footnoteRef/>
      </w:r>
      <w:r w:rsidRPr="005C0A23">
        <w:t xml:space="preserve"> </w:t>
      </w:r>
      <w:r w:rsidR="00AA43D3" w:rsidRPr="00460FF8">
        <w:t>MBA Consultation Paper</w:t>
      </w:r>
      <w:r w:rsidR="00DD53C7" w:rsidRPr="005C0A23">
        <w:t xml:space="preserve">, </w:t>
      </w:r>
      <w:r w:rsidR="00A01473" w:rsidRPr="005C0A23">
        <w:t>p7</w:t>
      </w:r>
    </w:p>
  </w:footnote>
  <w:footnote w:id="16">
    <w:p w14:paraId="2CA62304" w14:textId="0C0FAD09" w:rsidR="00C22B0A" w:rsidRDefault="00C22B0A" w:rsidP="00C22B0A">
      <w:pPr>
        <w:pStyle w:val="FootnoteText"/>
      </w:pPr>
      <w:r>
        <w:rPr>
          <w:rStyle w:val="FootnoteReference"/>
        </w:rPr>
        <w:footnoteRef/>
      </w:r>
      <w:r>
        <w:t xml:space="preserve"> </w:t>
      </w:r>
      <w:r w:rsidR="00806CCB">
        <w:t>Ibid</w:t>
      </w:r>
      <w:r>
        <w:t>, p33</w:t>
      </w:r>
    </w:p>
  </w:footnote>
  <w:footnote w:id="17">
    <w:p w14:paraId="0D7AE6D4" w14:textId="77777777" w:rsidR="00EC2402" w:rsidRPr="00CA3BC6" w:rsidRDefault="00EC2402" w:rsidP="00EC2402">
      <w:pPr>
        <w:pStyle w:val="FootnoteText"/>
        <w:rPr>
          <w:lang w:val="en-US"/>
        </w:rPr>
      </w:pPr>
      <w:r>
        <w:rPr>
          <w:rStyle w:val="FootnoteReference"/>
        </w:rPr>
        <w:footnoteRef/>
      </w:r>
      <w:r>
        <w:t xml:space="preserve"> </w:t>
      </w:r>
      <w:hyperlink r:id="rId7" w:history="1">
        <w:r w:rsidRPr="00294DB7">
          <w:rPr>
            <w:rStyle w:val="Hyperlink"/>
          </w:rPr>
          <w:t>https://www.bi.team/blogs/nudging-to-boost-volunteer-sign-ups-during-the-coronavirus-crisis/</w:t>
        </w:r>
      </w:hyperlink>
      <w:r>
        <w:t xml:space="preserve"> </w:t>
      </w:r>
    </w:p>
  </w:footnote>
  <w:footnote w:id="18">
    <w:p w14:paraId="4DCEB93C" w14:textId="25718582" w:rsidR="00EC2402" w:rsidRPr="00460FF8" w:rsidRDefault="00EC2402">
      <w:pPr>
        <w:pStyle w:val="FootnoteText"/>
        <w:rPr>
          <w:lang w:val="en-US"/>
        </w:rPr>
      </w:pPr>
      <w:r>
        <w:rPr>
          <w:rStyle w:val="FootnoteReference"/>
        </w:rPr>
        <w:footnoteRef/>
      </w:r>
      <w:r>
        <w:t xml:space="preserve"> </w:t>
      </w:r>
      <w:r>
        <w:rPr>
          <w:lang w:val="en-US"/>
        </w:rPr>
        <w:t>Ibid</w:t>
      </w:r>
    </w:p>
  </w:footnote>
  <w:footnote w:id="19">
    <w:p w14:paraId="52B37D6C" w14:textId="77777777" w:rsidR="0064379C" w:rsidRDefault="0064379C" w:rsidP="0064379C">
      <w:pPr>
        <w:pStyle w:val="FootnoteText"/>
      </w:pPr>
      <w:r>
        <w:rPr>
          <w:rStyle w:val="FootnoteReference"/>
        </w:rPr>
        <w:footnoteRef/>
      </w:r>
      <w:r>
        <w:t xml:space="preserve"> Ibid, p7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FCE73" w14:textId="69AD3738" w:rsidR="00C7127B" w:rsidRDefault="00A01473">
    <w:pPr>
      <w:pStyle w:val="Header"/>
    </w:pPr>
    <w:r>
      <w:rPr>
        <w:noProof/>
      </w:rPr>
      <w:drawing>
        <wp:anchor distT="0" distB="0" distL="114300" distR="114300" simplePos="0" relativeHeight="251665408" behindDoc="1" locked="0" layoutInCell="1" allowOverlap="1" wp14:anchorId="352C4FBD" wp14:editId="7CA99544">
          <wp:simplePos x="0" y="0"/>
          <wp:positionH relativeFrom="column">
            <wp:posOffset>4462203</wp:posOffset>
          </wp:positionH>
          <wp:positionV relativeFrom="paragraph">
            <wp:posOffset>-635</wp:posOffset>
          </wp:positionV>
          <wp:extent cx="1630800" cy="756000"/>
          <wp:effectExtent l="0" t="0" r="762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_logo_BLUE_RGB Standalone 11x5.jpg"/>
                  <pic:cNvPicPr/>
                </pic:nvPicPr>
                <pic:blipFill>
                  <a:blip r:embed="rId1">
                    <a:extLst>
                      <a:ext uri="{28A0092B-C50C-407E-A947-70E740481C1C}">
                        <a14:useLocalDpi xmlns:a14="http://schemas.microsoft.com/office/drawing/2010/main" val="0"/>
                      </a:ext>
                    </a:extLst>
                  </a:blip>
                  <a:stretch>
                    <a:fillRect/>
                  </a:stretch>
                </pic:blipFill>
                <pic:spPr>
                  <a:xfrm>
                    <a:off x="0" y="0"/>
                    <a:ext cx="1630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5154" w14:textId="77777777" w:rsidR="00C7127B" w:rsidRDefault="00C7127B" w:rsidP="00C7127B">
    <w:pPr>
      <w:pStyle w:val="Header"/>
      <w:jc w:val="right"/>
    </w:pPr>
    <w:r>
      <w:rPr>
        <w:noProof/>
      </w:rPr>
      <w:drawing>
        <wp:anchor distT="0" distB="0" distL="114300" distR="114300" simplePos="0" relativeHeight="251663360" behindDoc="1" locked="0" layoutInCell="1" allowOverlap="1" wp14:anchorId="04F10744" wp14:editId="0EB3B0B2">
          <wp:simplePos x="0" y="0"/>
          <wp:positionH relativeFrom="column">
            <wp:posOffset>4446270</wp:posOffset>
          </wp:positionH>
          <wp:positionV relativeFrom="paragraph">
            <wp:posOffset>-21013</wp:posOffset>
          </wp:positionV>
          <wp:extent cx="1630800" cy="756000"/>
          <wp:effectExtent l="0" t="0" r="762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_logo_BLUE_RGB Standalone 11x5.jpg"/>
                  <pic:cNvPicPr/>
                </pic:nvPicPr>
                <pic:blipFill>
                  <a:blip r:embed="rId1">
                    <a:extLst>
                      <a:ext uri="{28A0092B-C50C-407E-A947-70E740481C1C}">
                        <a14:useLocalDpi xmlns:a14="http://schemas.microsoft.com/office/drawing/2010/main" val="0"/>
                      </a:ext>
                    </a:extLst>
                  </a:blip>
                  <a:stretch>
                    <a:fillRect/>
                  </a:stretch>
                </pic:blipFill>
                <pic:spPr>
                  <a:xfrm>
                    <a:off x="0" y="0"/>
                    <a:ext cx="1630800" cy="7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1410"/>
    <w:multiLevelType w:val="hybridMultilevel"/>
    <w:tmpl w:val="B44AFE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717690"/>
    <w:multiLevelType w:val="hybridMultilevel"/>
    <w:tmpl w:val="6F2EC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9246E"/>
    <w:multiLevelType w:val="hybridMultilevel"/>
    <w:tmpl w:val="855EFA3C"/>
    <w:lvl w:ilvl="0" w:tplc="785E3AA2">
      <w:start w:val="28"/>
      <w:numFmt w:val="bullet"/>
      <w:lvlText w:val="-"/>
      <w:lvlJc w:val="left"/>
      <w:pPr>
        <w:ind w:left="408"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1161DF"/>
    <w:multiLevelType w:val="hybridMultilevel"/>
    <w:tmpl w:val="BA3C0D8C"/>
    <w:lvl w:ilvl="0" w:tplc="785E3AA2">
      <w:start w:val="28"/>
      <w:numFmt w:val="bullet"/>
      <w:lvlText w:val="-"/>
      <w:lvlJc w:val="left"/>
      <w:pPr>
        <w:ind w:left="408" w:hanging="360"/>
      </w:pPr>
      <w:rPr>
        <w:rFonts w:ascii="Calibri" w:eastAsia="Calibri" w:hAnsi="Calibri" w:cs="Calibri"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4" w15:restartNumberingAfterBreak="0">
    <w:nsid w:val="3B212D00"/>
    <w:multiLevelType w:val="hybridMultilevel"/>
    <w:tmpl w:val="E23A7114"/>
    <w:lvl w:ilvl="0" w:tplc="7B88AF1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AD94697"/>
    <w:multiLevelType w:val="hybridMultilevel"/>
    <w:tmpl w:val="BEA08956"/>
    <w:lvl w:ilvl="0" w:tplc="1C4845AC">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CD131AE"/>
    <w:multiLevelType w:val="hybridMultilevel"/>
    <w:tmpl w:val="6C988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F6"/>
    <w:rsid w:val="00022014"/>
    <w:rsid w:val="000222A1"/>
    <w:rsid w:val="00023D12"/>
    <w:rsid w:val="0002504C"/>
    <w:rsid w:val="000A091A"/>
    <w:rsid w:val="000C46A6"/>
    <w:rsid w:val="000F10FE"/>
    <w:rsid w:val="00120414"/>
    <w:rsid w:val="00155FA9"/>
    <w:rsid w:val="001660A3"/>
    <w:rsid w:val="00195AFC"/>
    <w:rsid w:val="001B7CEC"/>
    <w:rsid w:val="001C2A34"/>
    <w:rsid w:val="00203E54"/>
    <w:rsid w:val="00225439"/>
    <w:rsid w:val="002400EB"/>
    <w:rsid w:val="00252993"/>
    <w:rsid w:val="00272C35"/>
    <w:rsid w:val="00276C92"/>
    <w:rsid w:val="002A6B9B"/>
    <w:rsid w:val="002B603F"/>
    <w:rsid w:val="002C156D"/>
    <w:rsid w:val="002C3C5B"/>
    <w:rsid w:val="002E371B"/>
    <w:rsid w:val="002F7197"/>
    <w:rsid w:val="00323572"/>
    <w:rsid w:val="003324D7"/>
    <w:rsid w:val="0034537B"/>
    <w:rsid w:val="00345892"/>
    <w:rsid w:val="00352BE0"/>
    <w:rsid w:val="003761D4"/>
    <w:rsid w:val="003C0348"/>
    <w:rsid w:val="003D7441"/>
    <w:rsid w:val="003E0449"/>
    <w:rsid w:val="003E13BE"/>
    <w:rsid w:val="004278A2"/>
    <w:rsid w:val="00434F27"/>
    <w:rsid w:val="00460FF8"/>
    <w:rsid w:val="00465E45"/>
    <w:rsid w:val="00491765"/>
    <w:rsid w:val="004B2A17"/>
    <w:rsid w:val="004E7CCA"/>
    <w:rsid w:val="004F55FF"/>
    <w:rsid w:val="00545597"/>
    <w:rsid w:val="005468D9"/>
    <w:rsid w:val="00550617"/>
    <w:rsid w:val="0057312A"/>
    <w:rsid w:val="005745BD"/>
    <w:rsid w:val="005C0A23"/>
    <w:rsid w:val="00625350"/>
    <w:rsid w:val="00640658"/>
    <w:rsid w:val="0064379C"/>
    <w:rsid w:val="0066059C"/>
    <w:rsid w:val="006607E7"/>
    <w:rsid w:val="006667CA"/>
    <w:rsid w:val="00666A92"/>
    <w:rsid w:val="00667EE7"/>
    <w:rsid w:val="006762F4"/>
    <w:rsid w:val="00693A71"/>
    <w:rsid w:val="006A529D"/>
    <w:rsid w:val="006D4C62"/>
    <w:rsid w:val="006E3EF3"/>
    <w:rsid w:val="006E4143"/>
    <w:rsid w:val="006E454B"/>
    <w:rsid w:val="006F4EAB"/>
    <w:rsid w:val="006F5E8F"/>
    <w:rsid w:val="00704B28"/>
    <w:rsid w:val="00710B48"/>
    <w:rsid w:val="00746B4A"/>
    <w:rsid w:val="00764C45"/>
    <w:rsid w:val="00772699"/>
    <w:rsid w:val="007745C3"/>
    <w:rsid w:val="0078358B"/>
    <w:rsid w:val="00784EDE"/>
    <w:rsid w:val="007862D2"/>
    <w:rsid w:val="00791B18"/>
    <w:rsid w:val="007A6C97"/>
    <w:rsid w:val="007B3990"/>
    <w:rsid w:val="007B77BF"/>
    <w:rsid w:val="007C6EBA"/>
    <w:rsid w:val="007F41A9"/>
    <w:rsid w:val="00806CCB"/>
    <w:rsid w:val="00810179"/>
    <w:rsid w:val="008249A1"/>
    <w:rsid w:val="008339A5"/>
    <w:rsid w:val="00834553"/>
    <w:rsid w:val="00852F9D"/>
    <w:rsid w:val="00854D1E"/>
    <w:rsid w:val="008C1AFC"/>
    <w:rsid w:val="008F5A37"/>
    <w:rsid w:val="009418D1"/>
    <w:rsid w:val="00950969"/>
    <w:rsid w:val="00977B59"/>
    <w:rsid w:val="00982E1C"/>
    <w:rsid w:val="009847EF"/>
    <w:rsid w:val="009B733A"/>
    <w:rsid w:val="009D1D73"/>
    <w:rsid w:val="00A01473"/>
    <w:rsid w:val="00A1111E"/>
    <w:rsid w:val="00A22DA1"/>
    <w:rsid w:val="00A41B0B"/>
    <w:rsid w:val="00A53337"/>
    <w:rsid w:val="00A53713"/>
    <w:rsid w:val="00A546A3"/>
    <w:rsid w:val="00A547D9"/>
    <w:rsid w:val="00A93319"/>
    <w:rsid w:val="00AA43D3"/>
    <w:rsid w:val="00AA61F0"/>
    <w:rsid w:val="00AB78E4"/>
    <w:rsid w:val="00AF3F0E"/>
    <w:rsid w:val="00B346F0"/>
    <w:rsid w:val="00B46EED"/>
    <w:rsid w:val="00B81D03"/>
    <w:rsid w:val="00B97E8B"/>
    <w:rsid w:val="00BF6FE9"/>
    <w:rsid w:val="00C22B0A"/>
    <w:rsid w:val="00C251B1"/>
    <w:rsid w:val="00C3749C"/>
    <w:rsid w:val="00C4105C"/>
    <w:rsid w:val="00C41E47"/>
    <w:rsid w:val="00C42F2C"/>
    <w:rsid w:val="00C4474F"/>
    <w:rsid w:val="00C448B6"/>
    <w:rsid w:val="00C6138B"/>
    <w:rsid w:val="00C7127B"/>
    <w:rsid w:val="00C73671"/>
    <w:rsid w:val="00C86135"/>
    <w:rsid w:val="00CC2220"/>
    <w:rsid w:val="00CC6FF2"/>
    <w:rsid w:val="00CD35E3"/>
    <w:rsid w:val="00CF3D06"/>
    <w:rsid w:val="00CF6390"/>
    <w:rsid w:val="00D04668"/>
    <w:rsid w:val="00D126C9"/>
    <w:rsid w:val="00D26D65"/>
    <w:rsid w:val="00D30FB4"/>
    <w:rsid w:val="00D42A1A"/>
    <w:rsid w:val="00D43BD0"/>
    <w:rsid w:val="00D5422F"/>
    <w:rsid w:val="00D619CB"/>
    <w:rsid w:val="00D72BBE"/>
    <w:rsid w:val="00D96D89"/>
    <w:rsid w:val="00DA3367"/>
    <w:rsid w:val="00DC7965"/>
    <w:rsid w:val="00DD53C7"/>
    <w:rsid w:val="00DE1CE8"/>
    <w:rsid w:val="00E32217"/>
    <w:rsid w:val="00E47690"/>
    <w:rsid w:val="00E53F3F"/>
    <w:rsid w:val="00E87007"/>
    <w:rsid w:val="00E97A3A"/>
    <w:rsid w:val="00EA05D8"/>
    <w:rsid w:val="00EA2E16"/>
    <w:rsid w:val="00EC2402"/>
    <w:rsid w:val="00EE01FE"/>
    <w:rsid w:val="00EE44E5"/>
    <w:rsid w:val="00F237FD"/>
    <w:rsid w:val="00F32451"/>
    <w:rsid w:val="00F46E14"/>
    <w:rsid w:val="00F51DE2"/>
    <w:rsid w:val="00F70CF2"/>
    <w:rsid w:val="00F93D0C"/>
    <w:rsid w:val="00F944BE"/>
    <w:rsid w:val="00F947D4"/>
    <w:rsid w:val="00FA2D8A"/>
    <w:rsid w:val="00FA58E5"/>
    <w:rsid w:val="00FA64F6"/>
    <w:rsid w:val="00FB3096"/>
    <w:rsid w:val="00FD0BB0"/>
    <w:rsid w:val="00FE2C03"/>
    <w:rsid w:val="00FF2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CA711"/>
  <w15:docId w15:val="{D4869AF9-F540-40F7-BB7C-C9231BA4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B18"/>
  </w:style>
  <w:style w:type="paragraph" w:styleId="Heading1">
    <w:name w:val="heading 1"/>
    <w:basedOn w:val="Normal"/>
    <w:next w:val="Normal"/>
    <w:link w:val="Heading1Char"/>
    <w:uiPriority w:val="9"/>
    <w:qFormat/>
    <w:rsid w:val="003E13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E13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27B"/>
  </w:style>
  <w:style w:type="paragraph" w:styleId="Footer">
    <w:name w:val="footer"/>
    <w:basedOn w:val="Normal"/>
    <w:link w:val="FooterChar"/>
    <w:uiPriority w:val="99"/>
    <w:unhideWhenUsed/>
    <w:rsid w:val="00C71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27B"/>
  </w:style>
  <w:style w:type="paragraph" w:customStyle="1" w:styleId="BodyText1">
    <w:name w:val="Body Text1"/>
    <w:basedOn w:val="Normal"/>
    <w:qFormat/>
    <w:rsid w:val="007C6EBA"/>
    <w:rPr>
      <w:rFonts w:eastAsia="Calibri" w:cstheme="minorHAnsi"/>
      <w:color w:val="000000"/>
      <w:lang w:eastAsia="en-US"/>
    </w:rPr>
  </w:style>
  <w:style w:type="character" w:styleId="Hyperlink">
    <w:name w:val="Hyperlink"/>
    <w:basedOn w:val="DefaultParagraphFont"/>
    <w:uiPriority w:val="99"/>
    <w:unhideWhenUsed/>
    <w:rsid w:val="00C7127B"/>
    <w:rPr>
      <w:color w:val="0000FF" w:themeColor="hyperlink"/>
      <w:u w:val="single"/>
    </w:rPr>
  </w:style>
  <w:style w:type="paragraph" w:styleId="ListParagraph">
    <w:name w:val="List Paragraph"/>
    <w:basedOn w:val="Normal"/>
    <w:uiPriority w:val="34"/>
    <w:qFormat/>
    <w:rsid w:val="00A546A3"/>
    <w:pPr>
      <w:numPr>
        <w:numId w:val="2"/>
      </w:numPr>
      <w:contextualSpacing/>
    </w:pPr>
  </w:style>
  <w:style w:type="character" w:customStyle="1" w:styleId="hgkelc">
    <w:name w:val="hgkelc"/>
    <w:basedOn w:val="DefaultParagraphFont"/>
    <w:rsid w:val="00491765"/>
  </w:style>
  <w:style w:type="character" w:customStyle="1" w:styleId="acopre">
    <w:name w:val="acopre"/>
    <w:basedOn w:val="DefaultParagraphFont"/>
    <w:rsid w:val="00A41B0B"/>
  </w:style>
  <w:style w:type="character" w:styleId="Emphasis">
    <w:name w:val="Emphasis"/>
    <w:basedOn w:val="DefaultParagraphFont"/>
    <w:uiPriority w:val="20"/>
    <w:qFormat/>
    <w:rsid w:val="00A41B0B"/>
    <w:rPr>
      <w:i/>
      <w:iCs/>
    </w:rPr>
  </w:style>
  <w:style w:type="paragraph" w:styleId="FootnoteText">
    <w:name w:val="footnote text"/>
    <w:basedOn w:val="Normal"/>
    <w:link w:val="FootnoteTextChar"/>
    <w:uiPriority w:val="99"/>
    <w:semiHidden/>
    <w:unhideWhenUsed/>
    <w:rsid w:val="00D26D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D65"/>
    <w:rPr>
      <w:sz w:val="20"/>
      <w:szCs w:val="20"/>
    </w:rPr>
  </w:style>
  <w:style w:type="character" w:styleId="FootnoteReference">
    <w:name w:val="footnote reference"/>
    <w:basedOn w:val="DefaultParagraphFont"/>
    <w:uiPriority w:val="99"/>
    <w:semiHidden/>
    <w:unhideWhenUsed/>
    <w:rsid w:val="00D26D65"/>
    <w:rPr>
      <w:vertAlign w:val="superscript"/>
    </w:rPr>
  </w:style>
  <w:style w:type="character" w:styleId="UnresolvedMention">
    <w:name w:val="Unresolved Mention"/>
    <w:basedOn w:val="DefaultParagraphFont"/>
    <w:uiPriority w:val="99"/>
    <w:semiHidden/>
    <w:unhideWhenUsed/>
    <w:rsid w:val="00D26D65"/>
    <w:rPr>
      <w:color w:val="605E5C"/>
      <w:shd w:val="clear" w:color="auto" w:fill="E1DFDD"/>
    </w:rPr>
  </w:style>
  <w:style w:type="character" w:customStyle="1" w:styleId="Heading1Char">
    <w:name w:val="Heading 1 Char"/>
    <w:basedOn w:val="DefaultParagraphFont"/>
    <w:link w:val="Heading1"/>
    <w:uiPriority w:val="9"/>
    <w:rsid w:val="003E13B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E13BE"/>
    <w:rPr>
      <w:rFonts w:asciiTheme="majorHAnsi" w:eastAsiaTheme="majorEastAsia" w:hAnsiTheme="majorHAnsi" w:cstheme="majorBidi"/>
      <w:color w:val="365F91" w:themeColor="accent1" w:themeShade="BF"/>
      <w:sz w:val="26"/>
      <w:szCs w:val="26"/>
    </w:rPr>
  </w:style>
  <w:style w:type="character" w:customStyle="1" w:styleId="lrzxr">
    <w:name w:val="lrzxr"/>
    <w:basedOn w:val="DefaultParagraphFont"/>
    <w:rsid w:val="002A6B9B"/>
  </w:style>
  <w:style w:type="character" w:styleId="CommentReference">
    <w:name w:val="annotation reference"/>
    <w:basedOn w:val="DefaultParagraphFont"/>
    <w:uiPriority w:val="99"/>
    <w:semiHidden/>
    <w:unhideWhenUsed/>
    <w:rsid w:val="00CF6390"/>
    <w:rPr>
      <w:sz w:val="16"/>
      <w:szCs w:val="16"/>
    </w:rPr>
  </w:style>
  <w:style w:type="paragraph" w:styleId="CommentText">
    <w:name w:val="annotation text"/>
    <w:basedOn w:val="Normal"/>
    <w:link w:val="CommentTextChar"/>
    <w:uiPriority w:val="99"/>
    <w:semiHidden/>
    <w:unhideWhenUsed/>
    <w:rsid w:val="00CF6390"/>
    <w:pPr>
      <w:spacing w:line="240" w:lineRule="auto"/>
    </w:pPr>
    <w:rPr>
      <w:sz w:val="20"/>
      <w:szCs w:val="20"/>
    </w:rPr>
  </w:style>
  <w:style w:type="character" w:customStyle="1" w:styleId="CommentTextChar">
    <w:name w:val="Comment Text Char"/>
    <w:basedOn w:val="DefaultParagraphFont"/>
    <w:link w:val="CommentText"/>
    <w:uiPriority w:val="99"/>
    <w:semiHidden/>
    <w:rsid w:val="00CF6390"/>
    <w:rPr>
      <w:sz w:val="20"/>
      <w:szCs w:val="20"/>
    </w:rPr>
  </w:style>
  <w:style w:type="paragraph" w:styleId="CommentSubject">
    <w:name w:val="annotation subject"/>
    <w:basedOn w:val="CommentText"/>
    <w:next w:val="CommentText"/>
    <w:link w:val="CommentSubjectChar"/>
    <w:uiPriority w:val="99"/>
    <w:semiHidden/>
    <w:unhideWhenUsed/>
    <w:rsid w:val="00CF6390"/>
    <w:rPr>
      <w:b/>
      <w:bCs/>
    </w:rPr>
  </w:style>
  <w:style w:type="character" w:customStyle="1" w:styleId="CommentSubjectChar">
    <w:name w:val="Comment Subject Char"/>
    <w:basedOn w:val="CommentTextChar"/>
    <w:link w:val="CommentSubject"/>
    <w:uiPriority w:val="99"/>
    <w:semiHidden/>
    <w:rsid w:val="00CF6390"/>
    <w:rPr>
      <w:b/>
      <w:bCs/>
      <w:sz w:val="20"/>
      <w:szCs w:val="20"/>
    </w:rPr>
  </w:style>
  <w:style w:type="paragraph" w:styleId="BalloonText">
    <w:name w:val="Balloon Text"/>
    <w:basedOn w:val="Normal"/>
    <w:link w:val="BalloonTextChar"/>
    <w:uiPriority w:val="99"/>
    <w:semiHidden/>
    <w:unhideWhenUsed/>
    <w:rsid w:val="00CF6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390"/>
    <w:rPr>
      <w:rFonts w:ascii="Segoe UI" w:hAnsi="Segoe UI" w:cs="Segoe UI"/>
      <w:sz w:val="18"/>
      <w:szCs w:val="18"/>
    </w:rPr>
  </w:style>
  <w:style w:type="paragraph" w:customStyle="1" w:styleId="Default">
    <w:name w:val="Default"/>
    <w:rsid w:val="001B7CEC"/>
    <w:pPr>
      <w:autoSpaceDE w:val="0"/>
      <w:autoSpaceDN w:val="0"/>
      <w:adjustRightInd w:val="0"/>
      <w:spacing w:after="0" w:line="240" w:lineRule="auto"/>
    </w:pPr>
    <w:rPr>
      <w:rFonts w:ascii="Arial" w:hAnsi="Arial" w:cs="Arial"/>
      <w:color w:val="000000"/>
      <w:sz w:val="24"/>
      <w:szCs w:val="24"/>
    </w:rPr>
  </w:style>
  <w:style w:type="character" w:styleId="IntenseEmphasis">
    <w:name w:val="Intense Emphasis"/>
    <w:basedOn w:val="DefaultParagraphFont"/>
    <w:uiPriority w:val="21"/>
    <w:qFormat/>
    <w:rsid w:val="001B7CEC"/>
    <w:rPr>
      <w:i/>
      <w:iCs/>
      <w:color w:val="4F81BD" w:themeColor="accent1"/>
    </w:rPr>
  </w:style>
  <w:style w:type="character" w:styleId="FollowedHyperlink">
    <w:name w:val="FollowedHyperlink"/>
    <w:basedOn w:val="DefaultParagraphFont"/>
    <w:uiPriority w:val="99"/>
    <w:semiHidden/>
    <w:unhideWhenUsed/>
    <w:rsid w:val="00D43BD0"/>
    <w:rPr>
      <w:color w:val="800080" w:themeColor="followedHyperlink"/>
      <w:u w:val="single"/>
    </w:rPr>
  </w:style>
  <w:style w:type="character" w:styleId="SubtleEmphasis">
    <w:name w:val="Subtle Emphasis"/>
    <w:basedOn w:val="DefaultParagraphFont"/>
    <w:uiPriority w:val="19"/>
    <w:qFormat/>
    <w:rsid w:val="001660A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421915">
      <w:bodyDiv w:val="1"/>
      <w:marLeft w:val="0"/>
      <w:marRight w:val="0"/>
      <w:marTop w:val="0"/>
      <w:marBottom w:val="0"/>
      <w:divBdr>
        <w:top w:val="none" w:sz="0" w:space="0" w:color="auto"/>
        <w:left w:val="none" w:sz="0" w:space="0" w:color="auto"/>
        <w:bottom w:val="none" w:sz="0" w:space="0" w:color="auto"/>
        <w:right w:val="none" w:sz="0" w:space="0" w:color="auto"/>
      </w:divBdr>
    </w:div>
    <w:div w:id="146350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adbandperformance@acc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relayservice.gov.au/" TargetMode="External"/><Relationship Id="rId1" Type="http://schemas.openxmlformats.org/officeDocument/2006/relationships/hyperlink" Target="http://relayservice.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ccan.org.au/our-work/submissions/1810-accc-inquiries-into-nbn-access-pricing-and-wholesale-service-standards" TargetMode="External"/><Relationship Id="rId7" Type="http://schemas.openxmlformats.org/officeDocument/2006/relationships/hyperlink" Target="https://www.bi.team/blogs/nudging-to-boost-volunteer-sign-ups-during-the-coronavirus-crisis/" TargetMode="External"/><Relationship Id="rId2" Type="http://schemas.openxmlformats.org/officeDocument/2006/relationships/hyperlink" Target="http://accan.org.au/our-work/submissions/1809-accc-s-superfast-broadband-access-service-and-local-bitstream-access-service-declaration-inquiry" TargetMode="External"/><Relationship Id="rId1" Type="http://schemas.openxmlformats.org/officeDocument/2006/relationships/hyperlink" Target="https://www.oecd-ilibrary.org/docserver/5k9bcwkg3hwfen.pdf?expires=1600668580&amp;id=id&amp;accname=guest&amp;checksum=24A5CFEAA8E1E9D5FDE22E3E547E388E" TargetMode="External"/><Relationship Id="rId6" Type="http://schemas.openxmlformats.org/officeDocument/2006/relationships/hyperlink" Target="http://accan.org.au/talking-telco" TargetMode="External"/><Relationship Id="rId5" Type="http://schemas.openxmlformats.org/officeDocument/2006/relationships/hyperlink" Target="https://www.aussiebroadband.com.au/blog/aussie-broadband-starts-work-on-new-1-8m-fibre-optic-network-expansion/" TargetMode="External"/><Relationship Id="rId4" Type="http://schemas.openxmlformats.org/officeDocument/2006/relationships/hyperlink" Target="https://www.communications.gov.au/what-we-do/internet/telecommunication-reform-pack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whitelock\Desktop\Templates\Short%20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83765-C6AA-4D22-8FCE-2B29508A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Submission Template.dotx</Template>
  <TotalTime>0</TotalTime>
  <Pages>7</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Whitelock</dc:creator>
  <cp:lastModifiedBy>Richard Van Der Male</cp:lastModifiedBy>
  <cp:revision>2</cp:revision>
  <dcterms:created xsi:type="dcterms:W3CDTF">2020-11-17T22:07:00Z</dcterms:created>
  <dcterms:modified xsi:type="dcterms:W3CDTF">2020-11-17T22:07:00Z</dcterms:modified>
</cp:coreProperties>
</file>