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15C9" w14:textId="64AC9627" w:rsidR="0094129A" w:rsidRDefault="0094129A" w:rsidP="0094129A">
      <w:pPr>
        <w:pStyle w:val="NoSpacing"/>
      </w:pPr>
      <w:r w:rsidRPr="005E7DB1">
        <w:t>Friday 18</w:t>
      </w:r>
      <w:r w:rsidRPr="005E7DB1">
        <w:rPr>
          <w:vertAlign w:val="superscript"/>
        </w:rPr>
        <w:t>th</w:t>
      </w:r>
      <w:r w:rsidRPr="005E7DB1">
        <w:t xml:space="preserve"> December</w:t>
      </w:r>
    </w:p>
    <w:p w14:paraId="7B3BE86B" w14:textId="77777777" w:rsidR="0094129A" w:rsidRDefault="0094129A" w:rsidP="0094129A">
      <w:pPr>
        <w:pStyle w:val="NoSpacing"/>
      </w:pPr>
    </w:p>
    <w:p w14:paraId="5CE327BB" w14:textId="1BD15769" w:rsidR="0094129A" w:rsidRPr="0094129A" w:rsidRDefault="0094129A" w:rsidP="0094129A">
      <w:pPr>
        <w:pStyle w:val="NoSpacing"/>
      </w:pPr>
      <w:r w:rsidRPr="0094129A">
        <w:t>Mr Garth Donovan</w:t>
      </w:r>
    </w:p>
    <w:p w14:paraId="1178199D" w14:textId="77777777" w:rsidR="0094129A" w:rsidRPr="0094129A" w:rsidRDefault="0094129A" w:rsidP="0094129A">
      <w:pPr>
        <w:pStyle w:val="NoSpacing"/>
      </w:pPr>
      <w:r w:rsidRPr="0094129A">
        <w:t>Director, USG Reliability</w:t>
      </w:r>
    </w:p>
    <w:p w14:paraId="477B45FF" w14:textId="77777777" w:rsidR="0094129A" w:rsidRPr="0094129A" w:rsidRDefault="0094129A" w:rsidP="0094129A">
      <w:pPr>
        <w:pStyle w:val="NoSpacing"/>
      </w:pPr>
      <w:r w:rsidRPr="0094129A">
        <w:t>Department of Infrastructure, Transport, Regional Development and Communications</w:t>
      </w:r>
    </w:p>
    <w:p w14:paraId="5F3916AF" w14:textId="77777777" w:rsidR="0094129A" w:rsidRPr="0094129A" w:rsidRDefault="0094129A" w:rsidP="0094129A">
      <w:pPr>
        <w:pStyle w:val="NoSpacing"/>
      </w:pPr>
      <w:r w:rsidRPr="0094129A">
        <w:t>GPO Box 594</w:t>
      </w:r>
    </w:p>
    <w:p w14:paraId="5694CE7D" w14:textId="60236342" w:rsidR="00CB19F4" w:rsidRPr="0094129A" w:rsidRDefault="0094129A" w:rsidP="0094129A">
      <w:pPr>
        <w:pStyle w:val="NoSpacing"/>
      </w:pPr>
      <w:r w:rsidRPr="0094129A">
        <w:t>Canberra ACT 2601</w:t>
      </w:r>
    </w:p>
    <w:p w14:paraId="182A46E6" w14:textId="6EFD9578" w:rsidR="0094129A" w:rsidRDefault="00F633E2" w:rsidP="0094129A">
      <w:pPr>
        <w:pStyle w:val="NoSpacing"/>
      </w:pPr>
      <w:hyperlink r:id="rId8" w:history="1">
        <w:r w:rsidR="0094129A" w:rsidRPr="0094129A">
          <w:rPr>
            <w:rStyle w:val="Hyperlink"/>
            <w:color w:val="auto"/>
            <w:u w:val="none"/>
          </w:rPr>
          <w:t>USG@communications.gov.au</w:t>
        </w:r>
      </w:hyperlink>
      <w:r w:rsidR="0094129A" w:rsidRPr="0094129A">
        <w:t xml:space="preserve"> </w:t>
      </w:r>
    </w:p>
    <w:p w14:paraId="115C0532" w14:textId="12401886" w:rsidR="0094129A" w:rsidRDefault="0094129A" w:rsidP="0094129A">
      <w:pPr>
        <w:pStyle w:val="NoSpacing"/>
      </w:pPr>
    </w:p>
    <w:p w14:paraId="30B88F7B" w14:textId="62391756" w:rsidR="00CB19F4" w:rsidRDefault="0094129A" w:rsidP="00670E92">
      <w:pPr>
        <w:pStyle w:val="NoSpacing"/>
        <w:rPr>
          <w:rStyle w:val="Strong"/>
        </w:rPr>
      </w:pPr>
      <w:r w:rsidRPr="0094129A">
        <w:rPr>
          <w:rStyle w:val="Strong"/>
        </w:rPr>
        <w:t>Re: Consultation on reasonable connection and supply requests for statutory infrastructure providers</w:t>
      </w:r>
    </w:p>
    <w:p w14:paraId="434130CF" w14:textId="77777777" w:rsidR="00670E92" w:rsidRPr="00670E92" w:rsidRDefault="00670E92" w:rsidP="00670E92">
      <w:pPr>
        <w:pStyle w:val="NoSpacing"/>
        <w:rPr>
          <w:b/>
          <w:bCs/>
        </w:rPr>
      </w:pPr>
    </w:p>
    <w:p w14:paraId="759695F2" w14:textId="57868299" w:rsidR="0094129A" w:rsidRPr="004179B8" w:rsidRDefault="0094129A" w:rsidP="004179B8">
      <w:pPr>
        <w:rPr>
          <w:rFonts w:cstheme="minorHAnsi"/>
        </w:rPr>
      </w:pPr>
      <w:r w:rsidRPr="004179B8">
        <w:rPr>
          <w:rFonts w:cstheme="minorHAnsi"/>
        </w:rPr>
        <w:t xml:space="preserve">ACCAN would like to thank the </w:t>
      </w:r>
      <w:r w:rsidR="004179B8" w:rsidRPr="004179B8">
        <w:rPr>
          <w:rFonts w:cstheme="minorHAnsi"/>
        </w:rPr>
        <w:t xml:space="preserve">Department of Infrastructure, Transport, Regional Development and Communications for the opportunity to comment on the draft Telecommunications (Statutory Infrastructure Provider – Circumstances for Exceptions to Connection and Supply Obligations) Determination 2020. </w:t>
      </w:r>
    </w:p>
    <w:p w14:paraId="75895F0D" w14:textId="1B92BEAA" w:rsidR="00975168" w:rsidRDefault="00975168" w:rsidP="004179B8">
      <w:pPr>
        <w:rPr>
          <w:rFonts w:cstheme="minorHAnsi"/>
        </w:rPr>
      </w:pPr>
      <w:r>
        <w:rPr>
          <w:rFonts w:cstheme="minorHAnsi"/>
        </w:rPr>
        <w:t xml:space="preserve">The Statutory Infrastructure Provider (SIP) regime requires SIPs within designated service areas to connect premises and supply wholesale services to carriage service providers on ‘reasonable request’. </w:t>
      </w:r>
      <w:r w:rsidR="004179B8" w:rsidRPr="004179B8">
        <w:rPr>
          <w:rFonts w:cstheme="minorHAnsi"/>
        </w:rPr>
        <w:t>ACCAN considers that by ensuring that premises are only refused connections</w:t>
      </w:r>
      <w:r>
        <w:rPr>
          <w:rFonts w:cstheme="minorHAnsi"/>
        </w:rPr>
        <w:t xml:space="preserve"> and supply of services</w:t>
      </w:r>
      <w:r w:rsidR="004179B8" w:rsidRPr="004179B8">
        <w:rPr>
          <w:rFonts w:cstheme="minorHAnsi"/>
        </w:rPr>
        <w:t xml:space="preserve"> in</w:t>
      </w:r>
      <w:r>
        <w:rPr>
          <w:rFonts w:cstheme="minorHAnsi"/>
        </w:rPr>
        <w:t xml:space="preserve"> limited and</w:t>
      </w:r>
      <w:r w:rsidR="004179B8" w:rsidRPr="004179B8">
        <w:rPr>
          <w:rFonts w:cstheme="minorHAnsi"/>
        </w:rPr>
        <w:t xml:space="preserve"> reasonable circumstances, the </w:t>
      </w:r>
      <w:r w:rsidR="003A4A9F">
        <w:rPr>
          <w:rFonts w:cstheme="minorHAnsi"/>
        </w:rPr>
        <w:t>D</w:t>
      </w:r>
      <w:r w:rsidR="004179B8" w:rsidRPr="004179B8">
        <w:rPr>
          <w:rFonts w:cstheme="minorHAnsi"/>
        </w:rPr>
        <w:t xml:space="preserve">etermination strengthens the </w:t>
      </w:r>
      <w:r>
        <w:rPr>
          <w:rFonts w:cstheme="minorHAnsi"/>
        </w:rPr>
        <w:t>SIP</w:t>
      </w:r>
      <w:r w:rsidR="004179B8" w:rsidRPr="004179B8">
        <w:rPr>
          <w:rFonts w:cstheme="minorHAnsi"/>
        </w:rPr>
        <w:t xml:space="preserve"> regime.</w:t>
      </w:r>
      <w:r w:rsidR="002459D1">
        <w:rPr>
          <w:rFonts w:cstheme="minorHAnsi"/>
        </w:rPr>
        <w:t xml:space="preserve"> Strengthening the SIP regimes supports the Telecommunications in New Developments Policy </w:t>
      </w:r>
      <w:r w:rsidR="00466A64">
        <w:rPr>
          <w:rFonts w:cstheme="minorHAnsi"/>
        </w:rPr>
        <w:t>and the proposed amendments to Part 20A of the Telecommunications Act 1997 to reduce delays and costs to consumers,</w:t>
      </w:r>
      <w:r w:rsidR="00466A64">
        <w:rPr>
          <w:rStyle w:val="FootnoteReference"/>
          <w:rFonts w:cstheme="minorHAnsi"/>
        </w:rPr>
        <w:footnoteReference w:id="1"/>
      </w:r>
      <w:r w:rsidR="00466A64">
        <w:rPr>
          <w:rFonts w:cstheme="minorHAnsi"/>
        </w:rPr>
        <w:t xml:space="preserve"> </w:t>
      </w:r>
      <w:r w:rsidR="002459D1">
        <w:rPr>
          <w:rFonts w:cstheme="minorHAnsi"/>
        </w:rPr>
        <w:t>as it ensures developers are able to connect their premises to a network, a requirement of the policy</w:t>
      </w:r>
      <w:r w:rsidR="00895ABB">
        <w:rPr>
          <w:rFonts w:cstheme="minorHAnsi"/>
        </w:rPr>
        <w:t xml:space="preserve"> approach</w:t>
      </w:r>
      <w:r w:rsidR="00466A64">
        <w:rPr>
          <w:rFonts w:cstheme="minorHAnsi"/>
        </w:rPr>
        <w:t xml:space="preserve"> and proposed legislation</w:t>
      </w:r>
      <w:r w:rsidR="002459D1">
        <w:rPr>
          <w:rFonts w:cstheme="minorHAnsi"/>
        </w:rPr>
        <w:t xml:space="preserve">. </w:t>
      </w:r>
    </w:p>
    <w:p w14:paraId="1DAFEE6B" w14:textId="21F04389" w:rsidR="00CB19F4" w:rsidRPr="00245F37" w:rsidRDefault="00975168" w:rsidP="00245F37">
      <w:pPr>
        <w:rPr>
          <w:rFonts w:cstheme="minorHAnsi"/>
        </w:rPr>
      </w:pPr>
      <w:r>
        <w:t xml:space="preserve">ACCAN considers that a Ministerial determination is necessary as NBN’s current connection policy gives the default SIP a considerable amount of flexibility </w:t>
      </w:r>
      <w:r w:rsidR="00670E92">
        <w:t>and opportunity to</w:t>
      </w:r>
      <w:r>
        <w:t xml:space="preserve"> refus</w:t>
      </w:r>
      <w:r w:rsidR="00670E92">
        <w:t>e</w:t>
      </w:r>
      <w:r>
        <w:t xml:space="preserve"> to connect premises. </w:t>
      </w:r>
      <w:r w:rsidR="006649EB">
        <w:t>For example</w:t>
      </w:r>
      <w:r w:rsidR="00670E92">
        <w:t>,</w:t>
      </w:r>
      <w:r w:rsidR="00670E92" w:rsidRPr="00670E92">
        <w:t xml:space="preserve"> </w:t>
      </w:r>
      <w:r w:rsidR="00670E92">
        <w:t>currently</w:t>
      </w:r>
      <w:r w:rsidR="006649EB">
        <w:t xml:space="preserve"> NBN can refuse to connect premise</w:t>
      </w:r>
      <w:r w:rsidR="00895ABB">
        <w:t>s</w:t>
      </w:r>
      <w:r w:rsidR="006649EB">
        <w:t xml:space="preserve"> that ha</w:t>
      </w:r>
      <w:r w:rsidR="00895ABB">
        <w:t>ve</w:t>
      </w:r>
      <w:r w:rsidR="006649EB">
        <w:t xml:space="preserve"> been allocated for connection to Fixed Wireless </w:t>
      </w:r>
      <w:r w:rsidR="00670E92">
        <w:t>and</w:t>
      </w:r>
      <w:r w:rsidR="006649EB">
        <w:t xml:space="preserve"> capacity on all available cells is constrained, or premise</w:t>
      </w:r>
      <w:r w:rsidR="00895ABB">
        <w:t>s</w:t>
      </w:r>
      <w:r w:rsidR="006649EB">
        <w:t xml:space="preserve"> </w:t>
      </w:r>
      <w:r w:rsidR="00895ABB">
        <w:t>that</w:t>
      </w:r>
      <w:r w:rsidR="006649EB">
        <w:t xml:space="preserve"> have been allocated to connect </w:t>
      </w:r>
      <w:r w:rsidR="00895ABB">
        <w:t xml:space="preserve">to </w:t>
      </w:r>
      <w:r w:rsidR="006649EB">
        <w:t>NBN Satellite but capacity on all available beams is constrained.</w:t>
      </w:r>
      <w:r w:rsidR="00CA76F4">
        <w:rPr>
          <w:rStyle w:val="FootnoteReference"/>
          <w:rFonts w:cstheme="minorHAnsi"/>
        </w:rPr>
        <w:footnoteReference w:id="2"/>
      </w:r>
      <w:r w:rsidR="006649EB">
        <w:t xml:space="preserve"> In these instances, NBN will take steps to increase capacity ‘</w:t>
      </w:r>
      <w:r w:rsidR="006649EB" w:rsidRPr="006649EB">
        <w:rPr>
          <w:i/>
          <w:iCs/>
        </w:rPr>
        <w:t>as soon as reasonably practicable</w:t>
      </w:r>
      <w:r w:rsidR="006649EB">
        <w:t>.’</w:t>
      </w:r>
      <w:r w:rsidR="00CA76F4">
        <w:t xml:space="preserve"> </w:t>
      </w:r>
      <w:r w:rsidR="006649EB">
        <w:t>Whilst we are aware that capacity limitations may prevent connections in the short term, we consider the lack of certainty as to when the capacity will be increased allows NBN the opportunity to refuse a connection for an indefinite amount of time. This has the potential to result in considerable harm to the consumer</w:t>
      </w:r>
      <w:r w:rsidR="00CA76F4">
        <w:t xml:space="preserve"> </w:t>
      </w:r>
      <w:r w:rsidR="00283E8A">
        <w:t>as it’s likely that a consumer being served by Fixed Wireless or Satellite technologies will not have appropriate mobile coverage to provide a mobile broadband substitution</w:t>
      </w:r>
      <w:r w:rsidR="00CA76F4">
        <w:t>.</w:t>
      </w:r>
      <w:r w:rsidR="00245F37">
        <w:t xml:space="preserve"> </w:t>
      </w:r>
      <w:r w:rsidR="006649EB">
        <w:t xml:space="preserve">As the </w:t>
      </w:r>
      <w:r w:rsidR="002459D1">
        <w:t>default SIP</w:t>
      </w:r>
      <w:r w:rsidR="006649EB">
        <w:t xml:space="preserve">, NBN should not be provided </w:t>
      </w:r>
      <w:r w:rsidR="006649EB" w:rsidRPr="00245F37">
        <w:rPr>
          <w:rFonts w:cstheme="minorHAnsi"/>
        </w:rPr>
        <w:t xml:space="preserve">excessive opportunity to refuse to connect consumers to the network. </w:t>
      </w:r>
    </w:p>
    <w:p w14:paraId="7CA92DBC" w14:textId="0953DC48" w:rsidR="00CB19F4" w:rsidRDefault="00245F37" w:rsidP="00245F37">
      <w:pPr>
        <w:rPr>
          <w:rFonts w:cstheme="minorHAnsi"/>
        </w:rPr>
      </w:pPr>
      <w:r w:rsidRPr="00245F37">
        <w:rPr>
          <w:rFonts w:cstheme="minorHAnsi"/>
        </w:rPr>
        <w:lastRenderedPageBreak/>
        <w:t xml:space="preserve">ACCAN supports the idea to draw on the Universal Service </w:t>
      </w:r>
      <w:r w:rsidR="003A4A9F" w:rsidRPr="00245F37">
        <w:rPr>
          <w:rFonts w:cstheme="minorHAnsi"/>
        </w:rPr>
        <w:t xml:space="preserve">Obligation </w:t>
      </w:r>
      <w:r w:rsidR="003A4A9F">
        <w:rPr>
          <w:rFonts w:cstheme="minorHAnsi"/>
        </w:rPr>
        <w:t xml:space="preserve">(USO) </w:t>
      </w:r>
      <w:r w:rsidRPr="00245F37">
        <w:rPr>
          <w:rFonts w:cstheme="minorHAnsi"/>
        </w:rPr>
        <w:t>determination</w:t>
      </w:r>
      <w:r w:rsidRPr="00245F37">
        <w:rPr>
          <w:rStyle w:val="FootnoteReference"/>
          <w:rFonts w:cstheme="minorHAnsi"/>
        </w:rPr>
        <w:footnoteReference w:id="3"/>
      </w:r>
      <w:r w:rsidRPr="00245F37">
        <w:rPr>
          <w:rFonts w:cstheme="minorHAnsi"/>
        </w:rPr>
        <w:t xml:space="preserve"> as well as taking a more principles-based approach </w:t>
      </w:r>
      <w:r>
        <w:rPr>
          <w:rFonts w:cstheme="minorHAnsi"/>
        </w:rPr>
        <w:t>towards</w:t>
      </w:r>
      <w:r w:rsidRPr="00245F37">
        <w:rPr>
          <w:rFonts w:cstheme="minorHAnsi"/>
        </w:rPr>
        <w:t xml:space="preserve"> the draft Determination</w:t>
      </w:r>
      <w:r w:rsidR="00FF0B8F">
        <w:rPr>
          <w:rFonts w:cstheme="minorHAnsi"/>
        </w:rPr>
        <w:t xml:space="preserve"> </w:t>
      </w:r>
      <w:r w:rsidR="00BA585C">
        <w:rPr>
          <w:rFonts w:cstheme="minorHAnsi"/>
        </w:rPr>
        <w:t>in preference to</w:t>
      </w:r>
      <w:r w:rsidR="00FF0B8F">
        <w:rPr>
          <w:rFonts w:cstheme="minorHAnsi"/>
        </w:rPr>
        <w:t xml:space="preserve"> the more complex </w:t>
      </w:r>
      <w:r w:rsidR="003A4A9F">
        <w:rPr>
          <w:rFonts w:cstheme="minorHAnsi"/>
        </w:rPr>
        <w:t xml:space="preserve">and onerous </w:t>
      </w:r>
      <w:r w:rsidR="00FF0B8F">
        <w:rPr>
          <w:rFonts w:cstheme="minorHAnsi"/>
        </w:rPr>
        <w:t xml:space="preserve">list of premises </w:t>
      </w:r>
      <w:r w:rsidR="003A4A9F">
        <w:rPr>
          <w:rFonts w:cstheme="minorHAnsi"/>
        </w:rPr>
        <w:t xml:space="preserve">provided </w:t>
      </w:r>
      <w:r w:rsidR="00FF0B8F">
        <w:rPr>
          <w:rFonts w:cstheme="minorHAnsi"/>
        </w:rPr>
        <w:t xml:space="preserve">in the USO. </w:t>
      </w:r>
      <w:r w:rsidR="003A4A9F">
        <w:rPr>
          <w:rFonts w:cstheme="minorHAnsi"/>
        </w:rPr>
        <w:t>M</w:t>
      </w:r>
      <w:r w:rsidR="00FF0B8F">
        <w:rPr>
          <w:rFonts w:cstheme="minorHAnsi"/>
        </w:rPr>
        <w:t>aking the Determination simpler will assist consumers in understanding SIP’s obligations to connect and supply their premises.</w:t>
      </w:r>
      <w:r w:rsidR="003A4A9F">
        <w:rPr>
          <w:rFonts w:cstheme="minorHAnsi"/>
        </w:rPr>
        <w:t xml:space="preserve"> However,</w:t>
      </w:r>
      <w:r w:rsidR="00FF0B8F">
        <w:rPr>
          <w:rFonts w:cstheme="minorHAnsi"/>
        </w:rPr>
        <w:t xml:space="preserve"> </w:t>
      </w:r>
      <w:r w:rsidR="003A4A9F">
        <w:rPr>
          <w:rFonts w:cstheme="minorHAnsi"/>
        </w:rPr>
        <w:t>ACCAN recommends that the</w:t>
      </w:r>
      <w:r w:rsidR="00FF0B8F">
        <w:rPr>
          <w:rFonts w:cstheme="minorHAnsi"/>
        </w:rPr>
        <w:t xml:space="preserve"> principles </w:t>
      </w:r>
      <w:r w:rsidR="003A4A9F">
        <w:rPr>
          <w:rFonts w:cstheme="minorHAnsi"/>
        </w:rPr>
        <w:t xml:space="preserve">and definitions </w:t>
      </w:r>
      <w:r w:rsidR="00FF0B8F">
        <w:rPr>
          <w:rFonts w:cstheme="minorHAnsi"/>
        </w:rPr>
        <w:t xml:space="preserve">are reviewed </w:t>
      </w:r>
      <w:r w:rsidR="003A4A9F">
        <w:rPr>
          <w:rFonts w:cstheme="minorHAnsi"/>
        </w:rPr>
        <w:t>periodically</w:t>
      </w:r>
      <w:r w:rsidR="00FF0B8F">
        <w:rPr>
          <w:rFonts w:cstheme="minorHAnsi"/>
        </w:rPr>
        <w:t xml:space="preserve"> to ensure that they </w:t>
      </w:r>
      <w:r w:rsidR="003A4A9F">
        <w:rPr>
          <w:rFonts w:cstheme="minorHAnsi"/>
        </w:rPr>
        <w:t>remain</w:t>
      </w:r>
      <w:r w:rsidR="00FF0B8F">
        <w:rPr>
          <w:rFonts w:cstheme="minorHAnsi"/>
        </w:rPr>
        <w:t xml:space="preserve"> comprehensive enough to ensure that all premises </w:t>
      </w:r>
      <w:r w:rsidR="00BA585C">
        <w:rPr>
          <w:rFonts w:cstheme="minorHAnsi"/>
        </w:rPr>
        <w:t xml:space="preserve">that need to </w:t>
      </w:r>
      <w:r w:rsidR="00FF0B8F">
        <w:rPr>
          <w:rFonts w:cstheme="minorHAnsi"/>
        </w:rPr>
        <w:t>be connected are</w:t>
      </w:r>
      <w:r w:rsidR="003A4A9F">
        <w:rPr>
          <w:rFonts w:cstheme="minorHAnsi"/>
        </w:rPr>
        <w:t xml:space="preserve"> connected</w:t>
      </w:r>
      <w:r>
        <w:rPr>
          <w:rFonts w:cstheme="minorHAnsi"/>
        </w:rPr>
        <w:t>.</w:t>
      </w:r>
      <w:r w:rsidRPr="00245F37">
        <w:rPr>
          <w:rFonts w:cstheme="minorHAnsi"/>
        </w:rPr>
        <w:t xml:space="preserve"> </w:t>
      </w:r>
    </w:p>
    <w:p w14:paraId="7AFDE5EC" w14:textId="3A88785B" w:rsidR="0012283B" w:rsidRDefault="0012283B" w:rsidP="00245F37">
      <w:pPr>
        <w:rPr>
          <w:rFonts w:cstheme="minorHAnsi"/>
        </w:rPr>
      </w:pPr>
      <w:r>
        <w:rPr>
          <w:rFonts w:cstheme="minorHAnsi"/>
        </w:rPr>
        <w:t xml:space="preserve">ACCAN considers it important to include that where a consumer has been refused a connection request previously, that they are able to request connection </w:t>
      </w:r>
      <w:r w:rsidR="00063E9A">
        <w:rPr>
          <w:rFonts w:cstheme="minorHAnsi"/>
        </w:rPr>
        <w:t xml:space="preserve">again at a later date. </w:t>
      </w:r>
    </w:p>
    <w:p w14:paraId="07CDF5A4" w14:textId="5BBE18FB" w:rsidR="00F32CA8" w:rsidRPr="00283E8A" w:rsidRDefault="00741D63" w:rsidP="00245F37">
      <w:pPr>
        <w:rPr>
          <w:rStyle w:val="SubtleEmphasis"/>
          <w:color w:val="4F81BD" w:themeColor="accent1"/>
        </w:rPr>
      </w:pPr>
      <w:r w:rsidRPr="00283E8A">
        <w:rPr>
          <w:rStyle w:val="SubtleEmphasis"/>
          <w:color w:val="4F81BD" w:themeColor="accent1"/>
        </w:rPr>
        <w:t xml:space="preserve">Question 1: </w:t>
      </w:r>
      <w:r w:rsidR="00F32CA8" w:rsidRPr="00283E8A">
        <w:rPr>
          <w:rStyle w:val="SubtleEmphasis"/>
          <w:color w:val="4F81BD" w:themeColor="accent1"/>
        </w:rPr>
        <w:t>Although the USO instrument specifically qualifies an eligible residence as having certain characteristics (I.e. ‘access to permanent sanitation facilities’), is the definition of residential premises in this draft instrument appropriate and sufficiently clear?</w:t>
      </w:r>
    </w:p>
    <w:p w14:paraId="46194C26" w14:textId="79C1527D" w:rsidR="00741D63" w:rsidRDefault="00F32CA8" w:rsidP="00F32CA8">
      <w:r>
        <w:t xml:space="preserve">ACCAN considers that the definition of residential premises is </w:t>
      </w:r>
      <w:r w:rsidR="002B50E4">
        <w:t xml:space="preserve">generally </w:t>
      </w:r>
      <w:r>
        <w:t xml:space="preserve">appropriate and easy to understand. </w:t>
      </w:r>
      <w:r w:rsidR="005E7DB1">
        <w:t>However, part</w:t>
      </w:r>
      <w:r w:rsidR="003A4A9F">
        <w:t xml:space="preserve"> </w:t>
      </w:r>
      <w:r w:rsidR="00BA585C">
        <w:t>(</w:t>
      </w:r>
      <w:r w:rsidR="003A4A9F">
        <w:t>b</w:t>
      </w:r>
      <w:r w:rsidR="00BA585C">
        <w:t>) should be removed</w:t>
      </w:r>
      <w:r w:rsidR="003A4A9F">
        <w:t xml:space="preserve">, </w:t>
      </w:r>
      <w:r w:rsidR="002B50E4">
        <w:t xml:space="preserve">the requirement </w:t>
      </w:r>
      <w:r w:rsidR="003A4A9F">
        <w:t>for the premises to be situated at a location that has a street address or</w:t>
      </w:r>
      <w:r w:rsidR="002B50E4">
        <w:t xml:space="preserve"> physical mailing address</w:t>
      </w:r>
      <w:r w:rsidR="003A4A9F">
        <w:t>. Not</w:t>
      </w:r>
      <w:r w:rsidR="002B50E4">
        <w:t xml:space="preserve"> all homes have one </w:t>
      </w:r>
      <w:r w:rsidR="003A4A9F">
        <w:t>physical mailing address,</w:t>
      </w:r>
      <w:r w:rsidR="00D139C3">
        <w:t xml:space="preserve"> with </w:t>
      </w:r>
      <w:r w:rsidR="002B50E4">
        <w:t xml:space="preserve">300,000 rural and regional homes only </w:t>
      </w:r>
      <w:r w:rsidR="003B5B13">
        <w:t>using a</w:t>
      </w:r>
      <w:r w:rsidR="002B50E4">
        <w:t xml:space="preserve"> Post Office</w:t>
      </w:r>
      <w:r w:rsidR="003B5B13">
        <w:t xml:space="preserve"> (PO)</w:t>
      </w:r>
      <w:r w:rsidR="002B50E4">
        <w:t xml:space="preserve"> Box address to access their mail and parcels</w:t>
      </w:r>
      <w:r w:rsidR="00D139C3">
        <w:t>.</w:t>
      </w:r>
      <w:r w:rsidR="002B50E4">
        <w:rPr>
          <w:rStyle w:val="FootnoteReference"/>
        </w:rPr>
        <w:footnoteReference w:id="4"/>
      </w:r>
    </w:p>
    <w:p w14:paraId="7101D442" w14:textId="4E1A0BAD" w:rsidR="00FF0B8F" w:rsidRDefault="003B5B13" w:rsidP="00F32CA8">
      <w:r>
        <w:t xml:space="preserve">Additionally, the requirement for a premise to have a street address may exclude certain residences. </w:t>
      </w:r>
      <w:r w:rsidR="00FF0B8F">
        <w:t xml:space="preserve">The roll out of </w:t>
      </w:r>
      <w:r>
        <w:t>NBN</w:t>
      </w:r>
      <w:r w:rsidR="00FF0B8F">
        <w:t xml:space="preserve"> has shown there are multiple ways to identify </w:t>
      </w:r>
      <w:r>
        <w:t xml:space="preserve">a </w:t>
      </w:r>
      <w:proofErr w:type="gramStart"/>
      <w:r>
        <w:t>premise</w:t>
      </w:r>
      <w:r w:rsidR="00BA585C">
        <w:t>s</w:t>
      </w:r>
      <w:proofErr w:type="gramEnd"/>
      <w:r>
        <w:t>.</w:t>
      </w:r>
      <w:r w:rsidR="00FF0B8F">
        <w:t xml:space="preserve"> </w:t>
      </w:r>
      <w:r>
        <w:t xml:space="preserve">ACCAN is aware of instances where NBN has used </w:t>
      </w:r>
      <w:r w:rsidR="00FF0B8F">
        <w:t>latitud</w:t>
      </w:r>
      <w:r w:rsidR="00BA585C">
        <w:t>inal</w:t>
      </w:r>
      <w:r w:rsidR="00FF0B8F">
        <w:t xml:space="preserve"> and longitudinal coordinates</w:t>
      </w:r>
      <w:r>
        <w:t xml:space="preserve"> in order to locate and connect a home</w:t>
      </w:r>
      <w:r w:rsidR="00FF0B8F">
        <w:t xml:space="preserve">. </w:t>
      </w:r>
      <w:r>
        <w:t xml:space="preserve">Given that this has already been an issue with NBN in the roll out in remote areas, the requirement for a street address should be removed from the Determination in order to prevent situations where a consumer may be left unconnected. </w:t>
      </w:r>
    </w:p>
    <w:p w14:paraId="7D0EEB20" w14:textId="77777777" w:rsidR="00283E8A" w:rsidRDefault="00741D63" w:rsidP="00283E8A">
      <w:pPr>
        <w:rPr>
          <w:rStyle w:val="SubtleEmphasis"/>
          <w:color w:val="4F81BD" w:themeColor="accent1"/>
        </w:rPr>
      </w:pPr>
      <w:r w:rsidRPr="00283E8A">
        <w:rPr>
          <w:rStyle w:val="SubtleEmphasis"/>
          <w:color w:val="4F81BD" w:themeColor="accent1"/>
        </w:rPr>
        <w:t>Question 2: Are the above circumstances appropriate? Are there additional circumstances where it would be unreasonable for a SIP to accept a request to connect services?</w:t>
      </w:r>
    </w:p>
    <w:p w14:paraId="3606F6AF" w14:textId="588CC57A" w:rsidR="005070AB" w:rsidRDefault="00DA391B" w:rsidP="00DA391B">
      <w:r>
        <w:t xml:space="preserve">ACCAN considers that the draft Determination </w:t>
      </w:r>
      <w:r w:rsidR="00D139C3">
        <w:t xml:space="preserve">largely </w:t>
      </w:r>
      <w:r>
        <w:t xml:space="preserve">provides appropriate circumstances in which a SIP may refuse to connect a premise. </w:t>
      </w:r>
      <w:r w:rsidR="00D139C3">
        <w:t xml:space="preserve">However, we are concerned </w:t>
      </w:r>
      <w:r w:rsidR="000B28C8">
        <w:t xml:space="preserve">regarding the inclusion </w:t>
      </w:r>
      <w:r w:rsidR="00D139C3">
        <w:t>of section 1</w:t>
      </w:r>
      <w:r w:rsidR="000B28C8">
        <w:t>(d), which states that a connection can be refused where</w:t>
      </w:r>
      <w:r w:rsidR="00D139C3">
        <w:t xml:space="preserve"> civil works </w:t>
      </w:r>
      <w:r w:rsidR="00E31D29">
        <w:t xml:space="preserve">such as trenching and conduit </w:t>
      </w:r>
      <w:r w:rsidR="00D139C3">
        <w:t xml:space="preserve">are required to </w:t>
      </w:r>
      <w:r w:rsidR="000B28C8">
        <w:t xml:space="preserve">adequately support the connection, and this has not been supplied. We understand that civil works may be required </w:t>
      </w:r>
      <w:r w:rsidR="005E7270">
        <w:t xml:space="preserve">for connection </w:t>
      </w:r>
      <w:r w:rsidR="000B28C8">
        <w:t>however this should be the responsibility of the network.</w:t>
      </w:r>
      <w:r w:rsidR="005E7270">
        <w:t xml:space="preserve"> </w:t>
      </w:r>
      <w:r w:rsidR="00E31D29">
        <w:t>Given that it is the</w:t>
      </w:r>
      <w:r w:rsidR="005E7270">
        <w:t xml:space="preserve"> networks responsibility to arrange the civil works required for connection, it should not be a reason to refuse a connection.</w:t>
      </w:r>
      <w:r w:rsidR="000B28C8">
        <w:t xml:space="preserve"> </w:t>
      </w:r>
    </w:p>
    <w:p w14:paraId="6B16D546" w14:textId="583ED652" w:rsidR="00EE4DFF" w:rsidRPr="005E7DB1" w:rsidRDefault="000B28C8" w:rsidP="00317B5C">
      <w:r>
        <w:t>We also question the inclusion of 1(h)(</w:t>
      </w:r>
      <w:proofErr w:type="spellStart"/>
      <w:r>
        <w:t>i</w:t>
      </w:r>
      <w:proofErr w:type="spellEnd"/>
      <w:r>
        <w:t>)</w:t>
      </w:r>
      <w:r w:rsidR="00C134C0">
        <w:t xml:space="preserve"> that allows a network to refuse connection when access has not been facilitated within the applicable statutory timeframe (if any) or such other reasonable timeframe requested by the SIP.</w:t>
      </w:r>
      <w:r w:rsidR="003B5B13">
        <w:t xml:space="preserve"> </w:t>
      </w:r>
      <w:r w:rsidR="00C134C0">
        <w:t xml:space="preserve">This provides space for networks to decide themselves what is </w:t>
      </w:r>
      <w:r w:rsidR="00C134C0">
        <w:lastRenderedPageBreak/>
        <w:t xml:space="preserve">considered a reasonable timeframe. </w:t>
      </w:r>
      <w:r w:rsidR="00317B5C">
        <w:t>Furthermore, whilst w</w:t>
      </w:r>
      <w:r w:rsidR="003B5B13">
        <w:t>e understand that</w:t>
      </w:r>
      <w:r w:rsidR="00317B5C">
        <w:t xml:space="preserve"> (h)(</w:t>
      </w:r>
      <w:proofErr w:type="spellStart"/>
      <w:r w:rsidR="00317B5C">
        <w:t>i</w:t>
      </w:r>
      <w:proofErr w:type="spellEnd"/>
      <w:r w:rsidR="00317B5C">
        <w:t>) is included to reflect that</w:t>
      </w:r>
      <w:r w:rsidR="003B5B13">
        <w:t xml:space="preserve"> there </w:t>
      </w:r>
      <w:r w:rsidR="00317B5C">
        <w:t xml:space="preserve">may </w:t>
      </w:r>
      <w:r w:rsidR="003B5B13">
        <w:t>be cases where a SIP cannot undertake installation</w:t>
      </w:r>
      <w:r w:rsidR="00317B5C" w:rsidRPr="00317B5C">
        <w:t xml:space="preserve"> of facilities under the powers and immunities arrangements</w:t>
      </w:r>
      <w:r w:rsidR="00317B5C">
        <w:t xml:space="preserve">, from a consumer perspective we are concerned that this could lead to situations where a consumer has failed to meet a timeframe to provide access and is </w:t>
      </w:r>
      <w:r w:rsidR="00063E9A">
        <w:t>consequently</w:t>
      </w:r>
      <w:r w:rsidR="00317B5C">
        <w:t xml:space="preserve"> refused connection. Given this concern, </w:t>
      </w:r>
      <w:r w:rsidR="00063E9A">
        <w:t>we believe there should be a level of flexibility provided</w:t>
      </w:r>
      <w:r w:rsidR="00C134C0">
        <w:t xml:space="preserve">, for example the obligation for networks to request access again if the consumer fails to meet the timeframes the first time. </w:t>
      </w:r>
    </w:p>
    <w:p w14:paraId="50B68283" w14:textId="39409AD2" w:rsidR="00741D63" w:rsidRPr="00283E8A" w:rsidRDefault="00741D63" w:rsidP="00283E8A">
      <w:pPr>
        <w:rPr>
          <w:rStyle w:val="SubtleEmphasis"/>
          <w:color w:val="4F81BD" w:themeColor="accent1"/>
        </w:rPr>
      </w:pPr>
      <w:r w:rsidRPr="00283E8A">
        <w:rPr>
          <w:rStyle w:val="SubtleEmphasis"/>
          <w:color w:val="4F81BD" w:themeColor="accent1"/>
        </w:rPr>
        <w:t>Question 3 in the draft Determination: Are there any additional types of premises that should be included (or not)?  Should there be some form of attestation that the end user has, or expects to, occupy or use a particular type of premises for a minimum duration?</w:t>
      </w:r>
    </w:p>
    <w:p w14:paraId="6FFE2015" w14:textId="1C74518D" w:rsidR="00317B5C" w:rsidRDefault="00DA391B" w:rsidP="00DA391B">
      <w:pPr>
        <w:rPr>
          <w:rStyle w:val="SubtleEmphasis"/>
          <w:i w:val="0"/>
          <w:iCs w:val="0"/>
          <w:color w:val="auto"/>
        </w:rPr>
      </w:pPr>
      <w:r>
        <w:rPr>
          <w:rStyle w:val="SubtleEmphasis"/>
          <w:i w:val="0"/>
          <w:iCs w:val="0"/>
          <w:color w:val="auto"/>
        </w:rPr>
        <w:t xml:space="preserve">The draft Determination </w:t>
      </w:r>
      <w:r w:rsidR="00E15A3F">
        <w:rPr>
          <w:rStyle w:val="SubtleEmphasis"/>
          <w:i w:val="0"/>
          <w:iCs w:val="0"/>
          <w:color w:val="auto"/>
        </w:rPr>
        <w:t xml:space="preserve">appears to </w:t>
      </w:r>
      <w:r>
        <w:rPr>
          <w:rStyle w:val="SubtleEmphasis"/>
          <w:i w:val="0"/>
          <w:iCs w:val="0"/>
          <w:color w:val="auto"/>
        </w:rPr>
        <w:t>cover all types of premises that should have access to broadband</w:t>
      </w:r>
      <w:r w:rsidR="00317B5C">
        <w:rPr>
          <w:rStyle w:val="SubtleEmphasis"/>
          <w:i w:val="0"/>
          <w:iCs w:val="0"/>
          <w:color w:val="auto"/>
        </w:rPr>
        <w:t xml:space="preserve">. </w:t>
      </w:r>
      <w:r w:rsidR="00EA3678">
        <w:rPr>
          <w:rStyle w:val="SubtleEmphasis"/>
          <w:i w:val="0"/>
          <w:iCs w:val="0"/>
          <w:color w:val="auto"/>
        </w:rPr>
        <w:t>However, m</w:t>
      </w:r>
      <w:r w:rsidR="00317B5C">
        <w:rPr>
          <w:rStyle w:val="SubtleEmphasis"/>
          <w:i w:val="0"/>
          <w:iCs w:val="0"/>
          <w:color w:val="auto"/>
        </w:rPr>
        <w:t xml:space="preserve">any community centres and spaces are likely to be not for profit premises, </w:t>
      </w:r>
      <w:r w:rsidR="00EA3678">
        <w:rPr>
          <w:rStyle w:val="SubtleEmphasis"/>
          <w:i w:val="0"/>
          <w:iCs w:val="0"/>
          <w:color w:val="auto"/>
        </w:rPr>
        <w:t xml:space="preserve">and ACCAN seeks confirmation that these are encompassed by the current list of premises. </w:t>
      </w:r>
      <w:r w:rsidR="00317B5C">
        <w:rPr>
          <w:rStyle w:val="SubtleEmphasis"/>
          <w:i w:val="0"/>
          <w:iCs w:val="0"/>
          <w:color w:val="auto"/>
        </w:rPr>
        <w:t xml:space="preserve"> Again, ACCAN considers that the list of premises should be reviewed periodically to ensure that it is comprehensive enough and fit for purpose.</w:t>
      </w:r>
    </w:p>
    <w:p w14:paraId="583B42B7" w14:textId="0A9D57E9" w:rsidR="00392B14" w:rsidRDefault="00087FDD" w:rsidP="005E7DB1">
      <w:pPr>
        <w:rPr>
          <w:rStyle w:val="SubtleEmphasis"/>
          <w:i w:val="0"/>
          <w:iCs w:val="0"/>
          <w:color w:val="auto"/>
        </w:rPr>
      </w:pPr>
      <w:r>
        <w:rPr>
          <w:rStyle w:val="SubtleEmphasis"/>
          <w:i w:val="0"/>
          <w:iCs w:val="0"/>
          <w:color w:val="auto"/>
        </w:rPr>
        <w:t>There</w:t>
      </w:r>
      <w:r w:rsidR="006D7FDF">
        <w:rPr>
          <w:rStyle w:val="SubtleEmphasis"/>
          <w:i w:val="0"/>
          <w:iCs w:val="0"/>
          <w:color w:val="auto"/>
        </w:rPr>
        <w:t xml:space="preserve"> should not be </w:t>
      </w:r>
      <w:r w:rsidR="005B2560">
        <w:rPr>
          <w:rStyle w:val="SubtleEmphasis"/>
          <w:i w:val="0"/>
          <w:iCs w:val="0"/>
          <w:color w:val="auto"/>
        </w:rPr>
        <w:t xml:space="preserve">a requirement for the end user to attest that they </w:t>
      </w:r>
      <w:r w:rsidR="005E7DB1">
        <w:rPr>
          <w:rStyle w:val="SubtleEmphasis"/>
          <w:i w:val="0"/>
          <w:iCs w:val="0"/>
          <w:color w:val="auto"/>
        </w:rPr>
        <w:t>have,</w:t>
      </w:r>
      <w:r w:rsidR="006D7FDF">
        <w:rPr>
          <w:rStyle w:val="SubtleEmphasis"/>
          <w:i w:val="0"/>
          <w:iCs w:val="0"/>
          <w:color w:val="auto"/>
        </w:rPr>
        <w:t xml:space="preserve"> or expect to, occupy or use a particular type of premises for a minimum duration. </w:t>
      </w:r>
      <w:r w:rsidR="00856FC1">
        <w:rPr>
          <w:rStyle w:val="SubtleEmphasis"/>
          <w:i w:val="0"/>
          <w:iCs w:val="0"/>
          <w:color w:val="auto"/>
        </w:rPr>
        <w:t xml:space="preserve">ACCAN is assuming that the </w:t>
      </w:r>
      <w:r>
        <w:rPr>
          <w:rStyle w:val="SubtleEmphasis"/>
          <w:i w:val="0"/>
          <w:iCs w:val="0"/>
          <w:color w:val="auto"/>
        </w:rPr>
        <w:t>benefit</w:t>
      </w:r>
      <w:r w:rsidR="00856FC1">
        <w:rPr>
          <w:rStyle w:val="SubtleEmphasis"/>
          <w:i w:val="0"/>
          <w:iCs w:val="0"/>
          <w:color w:val="auto"/>
        </w:rPr>
        <w:t xml:space="preserve"> of doing so </w:t>
      </w:r>
      <w:r w:rsidR="00392B14">
        <w:rPr>
          <w:rStyle w:val="SubtleEmphasis"/>
          <w:i w:val="0"/>
          <w:iCs w:val="0"/>
          <w:color w:val="auto"/>
        </w:rPr>
        <w:t xml:space="preserve">is to avoid situations where a </w:t>
      </w:r>
      <w:proofErr w:type="gramStart"/>
      <w:r w:rsidR="00392B14">
        <w:rPr>
          <w:rStyle w:val="SubtleEmphasis"/>
          <w:i w:val="0"/>
          <w:iCs w:val="0"/>
          <w:color w:val="auto"/>
        </w:rPr>
        <w:t>premise</w:t>
      </w:r>
      <w:r w:rsidR="005B2560">
        <w:rPr>
          <w:rStyle w:val="SubtleEmphasis"/>
          <w:i w:val="0"/>
          <w:iCs w:val="0"/>
          <w:color w:val="auto"/>
        </w:rPr>
        <w:t>s</w:t>
      </w:r>
      <w:proofErr w:type="gramEnd"/>
      <w:r w:rsidR="00392B14">
        <w:rPr>
          <w:rStyle w:val="SubtleEmphasis"/>
          <w:i w:val="0"/>
          <w:iCs w:val="0"/>
          <w:color w:val="auto"/>
        </w:rPr>
        <w:t xml:space="preserve"> is connected and then not occupied for an extended period of time, meaning</w:t>
      </w:r>
      <w:r w:rsidR="00856FC1">
        <w:rPr>
          <w:rStyle w:val="SubtleEmphasis"/>
          <w:i w:val="0"/>
          <w:iCs w:val="0"/>
          <w:color w:val="auto"/>
        </w:rPr>
        <w:t xml:space="preserve"> nbn and other </w:t>
      </w:r>
      <w:r w:rsidR="004B17EA">
        <w:rPr>
          <w:rStyle w:val="SubtleEmphasis"/>
          <w:i w:val="0"/>
          <w:iCs w:val="0"/>
          <w:color w:val="auto"/>
        </w:rPr>
        <w:t>SIP</w:t>
      </w:r>
      <w:r w:rsidR="00856FC1">
        <w:rPr>
          <w:rStyle w:val="SubtleEmphasis"/>
          <w:i w:val="0"/>
          <w:iCs w:val="0"/>
          <w:color w:val="auto"/>
        </w:rPr>
        <w:t xml:space="preserve">s are </w:t>
      </w:r>
      <w:r w:rsidR="00392B14">
        <w:rPr>
          <w:rStyle w:val="SubtleEmphasis"/>
          <w:i w:val="0"/>
          <w:iCs w:val="0"/>
          <w:color w:val="auto"/>
        </w:rPr>
        <w:t>un</w:t>
      </w:r>
      <w:r w:rsidR="00856FC1">
        <w:rPr>
          <w:rStyle w:val="SubtleEmphasis"/>
          <w:i w:val="0"/>
          <w:iCs w:val="0"/>
          <w:color w:val="auto"/>
        </w:rPr>
        <w:t>able to recover the cost of connecting consumers. However</w:t>
      </w:r>
      <w:r w:rsidR="004B17EA">
        <w:rPr>
          <w:rStyle w:val="SubtleEmphasis"/>
          <w:i w:val="0"/>
          <w:iCs w:val="0"/>
          <w:color w:val="auto"/>
        </w:rPr>
        <w:t>,</w:t>
      </w:r>
      <w:r w:rsidR="00856FC1">
        <w:rPr>
          <w:rStyle w:val="SubtleEmphasis"/>
          <w:i w:val="0"/>
          <w:iCs w:val="0"/>
          <w:color w:val="auto"/>
        </w:rPr>
        <w:t xml:space="preserve"> we do not consider that this benefit outweighs the cost of </w:t>
      </w:r>
      <w:r w:rsidR="005E7DB1">
        <w:rPr>
          <w:rStyle w:val="SubtleEmphasis"/>
          <w:i w:val="0"/>
          <w:iCs w:val="0"/>
          <w:color w:val="auto"/>
        </w:rPr>
        <w:t>connection</w:t>
      </w:r>
      <w:r w:rsidR="005B2560">
        <w:rPr>
          <w:rStyle w:val="SubtleEmphasis"/>
          <w:i w:val="0"/>
          <w:iCs w:val="0"/>
          <w:color w:val="auto"/>
        </w:rPr>
        <w:t>,</w:t>
      </w:r>
      <w:r w:rsidR="00856FC1">
        <w:rPr>
          <w:rStyle w:val="SubtleEmphasis"/>
          <w:i w:val="0"/>
          <w:iCs w:val="0"/>
          <w:color w:val="auto"/>
        </w:rPr>
        <w:t xml:space="preserve"> as seeking proof that an end user will use the network for a minimum time period </w:t>
      </w:r>
      <w:r w:rsidR="006D7FDF">
        <w:rPr>
          <w:rStyle w:val="SubtleEmphasis"/>
          <w:i w:val="0"/>
          <w:iCs w:val="0"/>
          <w:color w:val="auto"/>
        </w:rPr>
        <w:t>would add a</w:t>
      </w:r>
      <w:r>
        <w:rPr>
          <w:rStyle w:val="SubtleEmphasis"/>
          <w:i w:val="0"/>
          <w:iCs w:val="0"/>
          <w:color w:val="auto"/>
        </w:rPr>
        <w:t>n unnecessary</w:t>
      </w:r>
      <w:r w:rsidR="006D7FDF">
        <w:rPr>
          <w:rStyle w:val="SubtleEmphasis"/>
          <w:i w:val="0"/>
          <w:iCs w:val="0"/>
          <w:color w:val="auto"/>
        </w:rPr>
        <w:t xml:space="preserve"> layer of complexity to the Determination</w:t>
      </w:r>
      <w:r>
        <w:rPr>
          <w:rStyle w:val="SubtleEmphasis"/>
          <w:i w:val="0"/>
          <w:iCs w:val="0"/>
          <w:color w:val="auto"/>
        </w:rPr>
        <w:t xml:space="preserve"> and could lead to a higher number of unconnected premises</w:t>
      </w:r>
      <w:r w:rsidR="005B2560">
        <w:rPr>
          <w:rStyle w:val="SubtleEmphasis"/>
          <w:i w:val="0"/>
          <w:iCs w:val="0"/>
          <w:color w:val="auto"/>
        </w:rPr>
        <w:t>, contrary to the intent of SIP arrangements</w:t>
      </w:r>
      <w:r w:rsidR="006D7FDF">
        <w:rPr>
          <w:rStyle w:val="SubtleEmphasis"/>
          <w:i w:val="0"/>
          <w:iCs w:val="0"/>
          <w:color w:val="auto"/>
        </w:rPr>
        <w:t xml:space="preserve">. </w:t>
      </w:r>
    </w:p>
    <w:p w14:paraId="478884BE" w14:textId="5652965C" w:rsidR="004B54F0" w:rsidRDefault="004B54F0" w:rsidP="00DA391B">
      <w:pPr>
        <w:rPr>
          <w:rStyle w:val="SubtleEmphasis"/>
          <w:i w:val="0"/>
          <w:iCs w:val="0"/>
          <w:color w:val="auto"/>
        </w:rPr>
      </w:pPr>
      <w:r>
        <w:rPr>
          <w:rStyle w:val="SubtleEmphasis"/>
          <w:i w:val="0"/>
          <w:iCs w:val="0"/>
          <w:color w:val="auto"/>
        </w:rPr>
        <w:t xml:space="preserve">We have three additional concerns </w:t>
      </w:r>
      <w:r w:rsidR="00317B5C">
        <w:rPr>
          <w:rStyle w:val="SubtleEmphasis"/>
          <w:i w:val="0"/>
          <w:iCs w:val="0"/>
          <w:color w:val="auto"/>
        </w:rPr>
        <w:t>in regard to</w:t>
      </w:r>
      <w:r>
        <w:rPr>
          <w:rStyle w:val="SubtleEmphasis"/>
          <w:i w:val="0"/>
          <w:iCs w:val="0"/>
          <w:color w:val="auto"/>
        </w:rPr>
        <w:t xml:space="preserve"> the attestation proposal: </w:t>
      </w:r>
    </w:p>
    <w:p w14:paraId="7AA573F4" w14:textId="1CCC3A1B" w:rsidR="004B17EA" w:rsidRPr="004B54F0" w:rsidRDefault="00392B14" w:rsidP="005E7DB1">
      <w:pPr>
        <w:pStyle w:val="ListParagraph"/>
        <w:numPr>
          <w:ilvl w:val="0"/>
          <w:numId w:val="4"/>
        </w:numPr>
        <w:rPr>
          <w:rStyle w:val="SubtleEmphasis"/>
          <w:i w:val="0"/>
          <w:iCs w:val="0"/>
          <w:color w:val="auto"/>
        </w:rPr>
      </w:pPr>
      <w:r w:rsidRPr="004B54F0">
        <w:rPr>
          <w:rStyle w:val="SubtleEmphasis"/>
          <w:i w:val="0"/>
          <w:iCs w:val="0"/>
          <w:color w:val="auto"/>
        </w:rPr>
        <w:t xml:space="preserve">Firstly, when a developer contracts a network to connect a </w:t>
      </w:r>
      <w:proofErr w:type="gramStart"/>
      <w:r w:rsidRPr="004B54F0">
        <w:rPr>
          <w:rStyle w:val="SubtleEmphasis"/>
          <w:i w:val="0"/>
          <w:iCs w:val="0"/>
          <w:color w:val="auto"/>
        </w:rPr>
        <w:t>premise</w:t>
      </w:r>
      <w:r w:rsidR="005B2560" w:rsidRPr="004B54F0">
        <w:rPr>
          <w:rStyle w:val="SubtleEmphasis"/>
          <w:i w:val="0"/>
          <w:iCs w:val="0"/>
          <w:color w:val="auto"/>
        </w:rPr>
        <w:t>s</w:t>
      </w:r>
      <w:proofErr w:type="gramEnd"/>
      <w:r w:rsidRPr="004B54F0">
        <w:rPr>
          <w:rStyle w:val="SubtleEmphasis"/>
          <w:i w:val="0"/>
          <w:iCs w:val="0"/>
          <w:color w:val="auto"/>
        </w:rPr>
        <w:t>, there is no guarantee that the future residents of the development will use the network despite occupying the premise</w:t>
      </w:r>
      <w:r w:rsidR="005B2560" w:rsidRPr="004B54F0">
        <w:rPr>
          <w:rStyle w:val="SubtleEmphasis"/>
          <w:i w:val="0"/>
          <w:iCs w:val="0"/>
          <w:color w:val="auto"/>
        </w:rPr>
        <w:t>s</w:t>
      </w:r>
      <w:r w:rsidRPr="004B54F0">
        <w:rPr>
          <w:rStyle w:val="SubtleEmphasis"/>
          <w:i w:val="0"/>
          <w:iCs w:val="0"/>
          <w:color w:val="auto"/>
        </w:rPr>
        <w:t xml:space="preserve"> for an extended duration. </w:t>
      </w:r>
      <w:r w:rsidR="005E7DB1">
        <w:rPr>
          <w:rStyle w:val="SubtleEmphasis"/>
          <w:i w:val="0"/>
          <w:iCs w:val="0"/>
          <w:color w:val="auto"/>
        </w:rPr>
        <w:t xml:space="preserve">An </w:t>
      </w:r>
      <w:r w:rsidR="005E7DB1" w:rsidRPr="004B54F0">
        <w:rPr>
          <w:rStyle w:val="SubtleEmphasis"/>
          <w:i w:val="0"/>
          <w:iCs w:val="0"/>
          <w:color w:val="auto"/>
        </w:rPr>
        <w:t>example</w:t>
      </w:r>
      <w:r w:rsidR="004B54F0">
        <w:rPr>
          <w:rStyle w:val="SubtleEmphasis"/>
          <w:i w:val="0"/>
          <w:iCs w:val="0"/>
          <w:color w:val="auto"/>
        </w:rPr>
        <w:t xml:space="preserve"> is</w:t>
      </w:r>
      <w:r w:rsidRPr="004B54F0">
        <w:rPr>
          <w:rStyle w:val="SubtleEmphasis"/>
          <w:i w:val="0"/>
          <w:iCs w:val="0"/>
          <w:color w:val="auto"/>
        </w:rPr>
        <w:t xml:space="preserve"> if a developer leases the property to tenants who live in the premise but do not </w:t>
      </w:r>
      <w:r w:rsidR="00283E8A" w:rsidRPr="003B5C97">
        <w:rPr>
          <w:rStyle w:val="SubtleEmphasis"/>
          <w:i w:val="0"/>
          <w:iCs w:val="0"/>
          <w:color w:val="auto"/>
        </w:rPr>
        <w:t>use</w:t>
      </w:r>
      <w:r w:rsidRPr="003B5C97">
        <w:rPr>
          <w:rStyle w:val="SubtleEmphasis"/>
          <w:i w:val="0"/>
          <w:iCs w:val="0"/>
          <w:color w:val="auto"/>
        </w:rPr>
        <w:t xml:space="preserve"> the network</w:t>
      </w:r>
      <w:r w:rsidR="004B54F0">
        <w:rPr>
          <w:rStyle w:val="SubtleEmphasis"/>
          <w:i w:val="0"/>
          <w:iCs w:val="0"/>
          <w:color w:val="auto"/>
        </w:rPr>
        <w:t xml:space="preserve"> because they have chosen a mobile broadband service</w:t>
      </w:r>
      <w:r w:rsidRPr="004B54F0">
        <w:rPr>
          <w:rStyle w:val="SubtleEmphasis"/>
          <w:i w:val="0"/>
          <w:iCs w:val="0"/>
          <w:color w:val="auto"/>
        </w:rPr>
        <w:t xml:space="preserve">.  </w:t>
      </w:r>
      <w:r w:rsidR="008E6BA5" w:rsidRPr="004B54F0">
        <w:rPr>
          <w:rStyle w:val="SubtleEmphasis"/>
          <w:i w:val="0"/>
          <w:iCs w:val="0"/>
          <w:color w:val="auto"/>
        </w:rPr>
        <w:t>This a financial risk that networks will factor into their costing</w:t>
      </w:r>
      <w:r w:rsidR="00317B5C">
        <w:rPr>
          <w:rStyle w:val="SubtleEmphasis"/>
          <w:i w:val="0"/>
          <w:iCs w:val="0"/>
          <w:color w:val="auto"/>
        </w:rPr>
        <w:t xml:space="preserve"> and </w:t>
      </w:r>
      <w:r w:rsidR="00EE4DFF">
        <w:rPr>
          <w:rStyle w:val="SubtleEmphasis"/>
          <w:i w:val="0"/>
          <w:iCs w:val="0"/>
          <w:color w:val="auto"/>
        </w:rPr>
        <w:t>is a fact of</w:t>
      </w:r>
      <w:r w:rsidR="00317B5C">
        <w:rPr>
          <w:rStyle w:val="SubtleEmphasis"/>
          <w:i w:val="0"/>
          <w:iCs w:val="0"/>
          <w:color w:val="auto"/>
        </w:rPr>
        <w:t xml:space="preserve"> operating within</w:t>
      </w:r>
      <w:r w:rsidR="00EE4DFF">
        <w:rPr>
          <w:rStyle w:val="SubtleEmphasis"/>
          <w:i w:val="0"/>
          <w:iCs w:val="0"/>
          <w:color w:val="auto"/>
        </w:rPr>
        <w:t xml:space="preserve"> the wholesale market</w:t>
      </w:r>
      <w:r w:rsidR="008E6BA5" w:rsidRPr="004B54F0">
        <w:rPr>
          <w:rStyle w:val="SubtleEmphasis"/>
          <w:i w:val="0"/>
          <w:iCs w:val="0"/>
          <w:color w:val="auto"/>
        </w:rPr>
        <w:t xml:space="preserve">. </w:t>
      </w:r>
    </w:p>
    <w:p w14:paraId="556211E1" w14:textId="1D0FD729" w:rsidR="00392B14" w:rsidRPr="003B5C97" w:rsidRDefault="005E7DB1" w:rsidP="005E7DB1">
      <w:pPr>
        <w:pStyle w:val="ListParagraph"/>
        <w:numPr>
          <w:ilvl w:val="0"/>
          <w:numId w:val="4"/>
        </w:numPr>
        <w:rPr>
          <w:rStyle w:val="SubtleEmphasis"/>
          <w:i w:val="0"/>
          <w:iCs w:val="0"/>
          <w:color w:val="auto"/>
        </w:rPr>
      </w:pPr>
      <w:r w:rsidRPr="003B5C97">
        <w:rPr>
          <w:rStyle w:val="SubtleEmphasis"/>
          <w:i w:val="0"/>
          <w:iCs w:val="0"/>
          <w:color w:val="auto"/>
        </w:rPr>
        <w:t>Secondly, what</w:t>
      </w:r>
      <w:r w:rsidR="006D7FDF" w:rsidRPr="003B5C97">
        <w:rPr>
          <w:rStyle w:val="SubtleEmphasis"/>
          <w:i w:val="0"/>
          <w:iCs w:val="0"/>
          <w:color w:val="auto"/>
        </w:rPr>
        <w:t xml:space="preserve"> would the minimum duration be</w:t>
      </w:r>
      <w:r w:rsidR="003B5C97" w:rsidRPr="003B5C97">
        <w:rPr>
          <w:rStyle w:val="SubtleEmphasis"/>
          <w:i w:val="0"/>
          <w:iCs w:val="0"/>
          <w:color w:val="auto"/>
        </w:rPr>
        <w:t xml:space="preserve"> for the attestation</w:t>
      </w:r>
      <w:r w:rsidR="006D7FDF" w:rsidRPr="00646B41">
        <w:rPr>
          <w:rStyle w:val="SubtleEmphasis"/>
          <w:i w:val="0"/>
          <w:iCs w:val="0"/>
          <w:color w:val="auto"/>
        </w:rPr>
        <w:t>? And what would justify the duration</w:t>
      </w:r>
      <w:r w:rsidR="004B17EA" w:rsidRPr="003B5C97">
        <w:rPr>
          <w:rStyle w:val="SubtleEmphasis"/>
          <w:i w:val="0"/>
          <w:iCs w:val="0"/>
          <w:color w:val="auto"/>
        </w:rPr>
        <w:t>?</w:t>
      </w:r>
      <w:r w:rsidR="00856FC1" w:rsidRPr="003B5C97">
        <w:rPr>
          <w:rStyle w:val="SubtleEmphasis"/>
          <w:i w:val="0"/>
          <w:iCs w:val="0"/>
          <w:color w:val="auto"/>
        </w:rPr>
        <w:t xml:space="preserve"> Whilst we are aware that </w:t>
      </w:r>
      <w:r w:rsidR="004B17EA" w:rsidRPr="003B5C97">
        <w:rPr>
          <w:rStyle w:val="SubtleEmphasis"/>
          <w:i w:val="0"/>
          <w:iCs w:val="0"/>
          <w:color w:val="auto"/>
        </w:rPr>
        <w:t xml:space="preserve">nbn is required to be commercially viable, this needs to be balanced with the policy objective of ensuring that all </w:t>
      </w:r>
      <w:r w:rsidR="00087FDD" w:rsidRPr="003B5C97">
        <w:rPr>
          <w:rStyle w:val="SubtleEmphasis"/>
          <w:i w:val="0"/>
          <w:iCs w:val="0"/>
          <w:color w:val="auto"/>
        </w:rPr>
        <w:t>Australians</w:t>
      </w:r>
      <w:r w:rsidR="004B17EA" w:rsidRPr="003B5C97">
        <w:rPr>
          <w:rStyle w:val="SubtleEmphasis"/>
          <w:i w:val="0"/>
          <w:iCs w:val="0"/>
          <w:color w:val="auto"/>
        </w:rPr>
        <w:t xml:space="preserve"> have access to very fast broadband. </w:t>
      </w:r>
      <w:r w:rsidR="00087FDD" w:rsidRPr="003B5C97">
        <w:rPr>
          <w:rStyle w:val="SubtleEmphasis"/>
          <w:i w:val="0"/>
          <w:iCs w:val="0"/>
          <w:color w:val="auto"/>
        </w:rPr>
        <w:t xml:space="preserve">If an end-user intends to </w:t>
      </w:r>
      <w:r w:rsidR="00D63859">
        <w:rPr>
          <w:rStyle w:val="SubtleEmphasis"/>
          <w:i w:val="0"/>
          <w:iCs w:val="0"/>
          <w:color w:val="auto"/>
        </w:rPr>
        <w:t>occupy</w:t>
      </w:r>
      <w:r w:rsidR="00087FDD" w:rsidRPr="003B5C97">
        <w:rPr>
          <w:rStyle w:val="SubtleEmphasis"/>
          <w:i w:val="0"/>
          <w:iCs w:val="0"/>
          <w:color w:val="auto"/>
        </w:rPr>
        <w:t xml:space="preserve"> a premise for only a year or two, we do not consider this sufficient ground for refusal to connect their premises. </w:t>
      </w:r>
    </w:p>
    <w:p w14:paraId="6DFEABE0" w14:textId="574E581E" w:rsidR="00DA391B" w:rsidRPr="003B5C97" w:rsidRDefault="003B5C97" w:rsidP="005E7DB1">
      <w:pPr>
        <w:pStyle w:val="ListParagraph"/>
        <w:numPr>
          <w:ilvl w:val="0"/>
          <w:numId w:val="4"/>
        </w:numPr>
        <w:rPr>
          <w:rStyle w:val="SubtleEmphasis"/>
          <w:i w:val="0"/>
          <w:iCs w:val="0"/>
          <w:color w:val="auto"/>
        </w:rPr>
      </w:pPr>
      <w:r>
        <w:rPr>
          <w:rStyle w:val="SubtleEmphasis"/>
          <w:i w:val="0"/>
          <w:iCs w:val="0"/>
          <w:color w:val="auto"/>
        </w:rPr>
        <w:lastRenderedPageBreak/>
        <w:t>Thirdly, an</w:t>
      </w:r>
      <w:r w:rsidR="006D7FDF" w:rsidRPr="003B5C97">
        <w:rPr>
          <w:rStyle w:val="SubtleEmphasis"/>
          <w:i w:val="0"/>
          <w:iCs w:val="0"/>
          <w:color w:val="auto"/>
        </w:rPr>
        <w:t xml:space="preserve">other issue with providing </w:t>
      </w:r>
      <w:r w:rsidR="00087FDD" w:rsidRPr="003B5C97">
        <w:rPr>
          <w:rStyle w:val="SubtleEmphasis"/>
          <w:i w:val="0"/>
          <w:iCs w:val="0"/>
          <w:color w:val="auto"/>
        </w:rPr>
        <w:t>attestation</w:t>
      </w:r>
      <w:r>
        <w:rPr>
          <w:rStyle w:val="SubtleEmphasis"/>
          <w:i w:val="0"/>
          <w:iCs w:val="0"/>
          <w:color w:val="auto"/>
        </w:rPr>
        <w:t xml:space="preserve">s is </w:t>
      </w:r>
      <w:r w:rsidR="00EA3678">
        <w:rPr>
          <w:rStyle w:val="SubtleEmphasis"/>
          <w:i w:val="0"/>
          <w:iCs w:val="0"/>
          <w:color w:val="auto"/>
        </w:rPr>
        <w:t xml:space="preserve">difficulties identifying the required information. </w:t>
      </w:r>
      <w:r w:rsidR="006D7FDF" w:rsidRPr="003B5C97">
        <w:rPr>
          <w:rStyle w:val="SubtleEmphasis"/>
          <w:i w:val="0"/>
          <w:iCs w:val="0"/>
          <w:color w:val="auto"/>
        </w:rPr>
        <w:t xml:space="preserve"> </w:t>
      </w:r>
      <w:r w:rsidR="00087FDD" w:rsidRPr="00646B41">
        <w:rPr>
          <w:rStyle w:val="SubtleEmphasis"/>
          <w:i w:val="0"/>
          <w:iCs w:val="0"/>
          <w:color w:val="auto"/>
        </w:rPr>
        <w:t xml:space="preserve">Evidence required that an end user intends to occupy or use a premise </w:t>
      </w:r>
      <w:r w:rsidR="009412F5">
        <w:rPr>
          <w:rStyle w:val="SubtleEmphasis"/>
          <w:i w:val="0"/>
          <w:iCs w:val="0"/>
          <w:color w:val="auto"/>
        </w:rPr>
        <w:t>for a particular amount of time</w:t>
      </w:r>
      <w:r w:rsidR="00087FDD" w:rsidRPr="003B5C97">
        <w:rPr>
          <w:rStyle w:val="SubtleEmphasis"/>
          <w:i w:val="0"/>
          <w:iCs w:val="0"/>
          <w:color w:val="auto"/>
        </w:rPr>
        <w:t xml:space="preserve"> </w:t>
      </w:r>
      <w:r w:rsidR="00E82C79" w:rsidRPr="003B5C97">
        <w:rPr>
          <w:rStyle w:val="SubtleEmphasis"/>
          <w:i w:val="0"/>
          <w:iCs w:val="0"/>
          <w:color w:val="auto"/>
        </w:rPr>
        <w:t xml:space="preserve">may be </w:t>
      </w:r>
      <w:r w:rsidR="00087FDD" w:rsidRPr="003B5C97">
        <w:rPr>
          <w:rStyle w:val="SubtleEmphasis"/>
          <w:i w:val="0"/>
          <w:iCs w:val="0"/>
          <w:color w:val="auto"/>
        </w:rPr>
        <w:t xml:space="preserve">difficult to obtain in many </w:t>
      </w:r>
      <w:r w:rsidR="00E82C79" w:rsidRPr="003B5C97">
        <w:rPr>
          <w:rStyle w:val="SubtleEmphasis"/>
          <w:i w:val="0"/>
          <w:iCs w:val="0"/>
          <w:color w:val="auto"/>
        </w:rPr>
        <w:t>cases</w:t>
      </w:r>
      <w:r w:rsidR="00087FDD" w:rsidRPr="003B5C97">
        <w:rPr>
          <w:rStyle w:val="SubtleEmphasis"/>
          <w:i w:val="0"/>
          <w:iCs w:val="0"/>
          <w:color w:val="auto"/>
        </w:rPr>
        <w:t>, making the requirements to connect unachievable.</w:t>
      </w:r>
      <w:r w:rsidR="00E82C79" w:rsidRPr="003B5C97">
        <w:rPr>
          <w:rStyle w:val="SubtleEmphasis"/>
          <w:i w:val="0"/>
          <w:iCs w:val="0"/>
          <w:color w:val="auto"/>
        </w:rPr>
        <w:t xml:space="preserve"> </w:t>
      </w:r>
    </w:p>
    <w:p w14:paraId="219AA51D" w14:textId="77777777" w:rsidR="00C052C6" w:rsidRPr="00DA391B" w:rsidRDefault="00C052C6" w:rsidP="00DA391B">
      <w:pPr>
        <w:rPr>
          <w:rStyle w:val="SubtleEmphasis"/>
          <w:i w:val="0"/>
          <w:iCs w:val="0"/>
          <w:color w:val="auto"/>
        </w:rPr>
      </w:pPr>
    </w:p>
    <w:p w14:paraId="5DF496E2" w14:textId="1ABF6C48" w:rsidR="00741D63" w:rsidRPr="002F3BB1" w:rsidRDefault="00741D63" w:rsidP="005E7DB1">
      <w:pPr>
        <w:rPr>
          <w:rStyle w:val="SubtleEmphasis"/>
          <w:color w:val="4F81BD" w:themeColor="accent1"/>
        </w:rPr>
      </w:pPr>
      <w:r w:rsidRPr="002F3BB1">
        <w:rPr>
          <w:rStyle w:val="SubtleEmphasis"/>
          <w:color w:val="4F81BD" w:themeColor="accent1"/>
        </w:rPr>
        <w:t>Question 4:</w:t>
      </w:r>
      <w:r w:rsidRPr="002F3BB1">
        <w:t xml:space="preserve"> </w:t>
      </w:r>
      <w:r w:rsidRPr="002F3BB1">
        <w:rPr>
          <w:rStyle w:val="SubtleEmphasis"/>
          <w:color w:val="4F81BD" w:themeColor="accent1"/>
        </w:rPr>
        <w:t>Would there be benefit in providing a minimum specific threshold to quantify what is intended by ‘continuously located’?</w:t>
      </w:r>
    </w:p>
    <w:p w14:paraId="5F0EF17D" w14:textId="22C6A0AB" w:rsidR="008E6BA5" w:rsidRPr="002F3BB1" w:rsidRDefault="009412F5" w:rsidP="009412F5">
      <w:pPr>
        <w:rPr>
          <w:rStyle w:val="SubtleEmphasis"/>
          <w:i w:val="0"/>
          <w:iCs w:val="0"/>
          <w:color w:val="auto"/>
        </w:rPr>
      </w:pPr>
      <w:r>
        <w:rPr>
          <w:rStyle w:val="SubtleEmphasis"/>
          <w:i w:val="0"/>
          <w:iCs w:val="0"/>
          <w:color w:val="auto"/>
        </w:rPr>
        <w:t xml:space="preserve">We do not consider that there should be a minimum duration for what is intended by </w:t>
      </w:r>
      <w:r w:rsidR="007427BB">
        <w:rPr>
          <w:rStyle w:val="SubtleEmphasis"/>
          <w:i w:val="0"/>
          <w:iCs w:val="0"/>
          <w:color w:val="auto"/>
        </w:rPr>
        <w:t>‘</w:t>
      </w:r>
      <w:r>
        <w:rPr>
          <w:rStyle w:val="SubtleEmphasis"/>
          <w:i w:val="0"/>
          <w:iCs w:val="0"/>
          <w:color w:val="auto"/>
        </w:rPr>
        <w:t>continuously located</w:t>
      </w:r>
      <w:r w:rsidR="007427BB">
        <w:rPr>
          <w:rStyle w:val="SubtleEmphasis"/>
          <w:i w:val="0"/>
          <w:iCs w:val="0"/>
          <w:color w:val="auto"/>
        </w:rPr>
        <w:t>’</w:t>
      </w:r>
      <w:r w:rsidR="00D85E7C">
        <w:rPr>
          <w:rStyle w:val="SubtleEmphasis"/>
          <w:i w:val="0"/>
          <w:iCs w:val="0"/>
          <w:color w:val="auto"/>
        </w:rPr>
        <w:t xml:space="preserve"> as</w:t>
      </w:r>
      <w:r w:rsidR="007427BB">
        <w:rPr>
          <w:rStyle w:val="SubtleEmphasis"/>
          <w:i w:val="0"/>
          <w:iCs w:val="0"/>
          <w:color w:val="auto"/>
        </w:rPr>
        <w:t xml:space="preserve"> </w:t>
      </w:r>
      <w:r w:rsidR="00D63859">
        <w:rPr>
          <w:rStyle w:val="SubtleEmphasis"/>
          <w:i w:val="0"/>
          <w:iCs w:val="0"/>
          <w:color w:val="auto"/>
        </w:rPr>
        <w:t>there will be,</w:t>
      </w:r>
      <w:r w:rsidR="0010622F">
        <w:rPr>
          <w:rStyle w:val="SubtleEmphasis"/>
          <w:i w:val="0"/>
          <w:iCs w:val="0"/>
          <w:color w:val="auto"/>
        </w:rPr>
        <w:t xml:space="preserve"> in certain circumstances</w:t>
      </w:r>
      <w:r w:rsidR="00D63859">
        <w:rPr>
          <w:rStyle w:val="SubtleEmphasis"/>
          <w:i w:val="0"/>
          <w:iCs w:val="0"/>
          <w:color w:val="auto"/>
        </w:rPr>
        <w:t xml:space="preserve">, </w:t>
      </w:r>
      <w:r w:rsidR="0010622F">
        <w:rPr>
          <w:rStyle w:val="SubtleEmphasis"/>
          <w:i w:val="0"/>
          <w:iCs w:val="0"/>
          <w:color w:val="auto"/>
        </w:rPr>
        <w:t xml:space="preserve">difficulties for consumers around providing </w:t>
      </w:r>
      <w:r w:rsidR="00D63859">
        <w:rPr>
          <w:rStyle w:val="SubtleEmphasis"/>
          <w:i w:val="0"/>
          <w:iCs w:val="0"/>
          <w:color w:val="auto"/>
        </w:rPr>
        <w:t xml:space="preserve">evidence that they have met the </w:t>
      </w:r>
      <w:r w:rsidR="0010622F">
        <w:rPr>
          <w:rStyle w:val="SubtleEmphasis"/>
          <w:i w:val="0"/>
          <w:iCs w:val="0"/>
          <w:color w:val="auto"/>
        </w:rPr>
        <w:t>minimum threshold</w:t>
      </w:r>
      <w:r w:rsidR="00D63859">
        <w:rPr>
          <w:rStyle w:val="SubtleEmphasis"/>
          <w:i w:val="0"/>
          <w:iCs w:val="0"/>
          <w:color w:val="auto"/>
        </w:rPr>
        <w:t xml:space="preserve"> requirement.</w:t>
      </w:r>
      <w:r w:rsidR="005E7DB1">
        <w:rPr>
          <w:rStyle w:val="SubtleEmphasis"/>
          <w:i w:val="0"/>
          <w:iCs w:val="0"/>
          <w:color w:val="auto"/>
        </w:rPr>
        <w:t xml:space="preserve"> </w:t>
      </w:r>
      <w:proofErr w:type="gramStart"/>
      <w:r w:rsidR="00D85E7C">
        <w:rPr>
          <w:rStyle w:val="SubtleEmphasis"/>
          <w:i w:val="0"/>
          <w:iCs w:val="0"/>
          <w:color w:val="auto"/>
        </w:rPr>
        <w:t>Similarly</w:t>
      </w:r>
      <w:proofErr w:type="gramEnd"/>
      <w:r w:rsidR="00D85E7C">
        <w:rPr>
          <w:rStyle w:val="SubtleEmphasis"/>
          <w:i w:val="0"/>
          <w:iCs w:val="0"/>
          <w:color w:val="auto"/>
        </w:rPr>
        <w:t xml:space="preserve"> to question 3, how would</w:t>
      </w:r>
      <w:r w:rsidR="000B444A">
        <w:rPr>
          <w:rStyle w:val="SubtleEmphasis"/>
          <w:i w:val="0"/>
          <w:iCs w:val="0"/>
          <w:color w:val="auto"/>
        </w:rPr>
        <w:t xml:space="preserve"> a consumer who moves a mobile home </w:t>
      </w:r>
      <w:r w:rsidR="007427BB">
        <w:rPr>
          <w:rStyle w:val="SubtleEmphasis"/>
          <w:i w:val="0"/>
          <w:iCs w:val="0"/>
          <w:color w:val="auto"/>
        </w:rPr>
        <w:t xml:space="preserve">on </w:t>
      </w:r>
      <w:r w:rsidR="000B444A">
        <w:rPr>
          <w:rStyle w:val="SubtleEmphasis"/>
          <w:i w:val="0"/>
          <w:iCs w:val="0"/>
          <w:color w:val="auto"/>
        </w:rPr>
        <w:t>to a premise</w:t>
      </w:r>
      <w:r w:rsidR="007427BB">
        <w:rPr>
          <w:rStyle w:val="SubtleEmphasis"/>
          <w:i w:val="0"/>
          <w:iCs w:val="0"/>
          <w:color w:val="auto"/>
        </w:rPr>
        <w:t>s</w:t>
      </w:r>
      <w:r w:rsidR="000B444A">
        <w:rPr>
          <w:rStyle w:val="SubtleEmphasis"/>
          <w:i w:val="0"/>
          <w:iCs w:val="0"/>
          <w:color w:val="auto"/>
        </w:rPr>
        <w:t xml:space="preserve"> </w:t>
      </w:r>
      <w:r w:rsidR="00D85E7C">
        <w:rPr>
          <w:rStyle w:val="SubtleEmphasis"/>
          <w:i w:val="0"/>
          <w:iCs w:val="0"/>
          <w:color w:val="auto"/>
        </w:rPr>
        <w:t>provide proof that their home is</w:t>
      </w:r>
      <w:r w:rsidR="0010622F">
        <w:rPr>
          <w:rStyle w:val="SubtleEmphasis"/>
          <w:i w:val="0"/>
          <w:iCs w:val="0"/>
          <w:color w:val="auto"/>
        </w:rPr>
        <w:t xml:space="preserve"> to be</w:t>
      </w:r>
      <w:r w:rsidR="00D85E7C">
        <w:rPr>
          <w:rStyle w:val="SubtleEmphasis"/>
          <w:i w:val="0"/>
          <w:iCs w:val="0"/>
          <w:color w:val="auto"/>
        </w:rPr>
        <w:t xml:space="preserve"> continuously located for a certain amount of time?</w:t>
      </w:r>
      <w:r w:rsidR="00D63859">
        <w:rPr>
          <w:rStyle w:val="SubtleEmphasis"/>
          <w:i w:val="0"/>
          <w:iCs w:val="0"/>
          <w:color w:val="auto"/>
        </w:rPr>
        <w:t xml:space="preserve"> Given that end users will have to pay a fee for the connection, there will be a disincentive for residents to requests a connection for a movable structure that is to be located on a temporary basis. </w:t>
      </w:r>
      <w:r w:rsidR="00D85E7C">
        <w:rPr>
          <w:rStyle w:val="SubtleEmphasis"/>
          <w:i w:val="0"/>
          <w:iCs w:val="0"/>
          <w:color w:val="auto"/>
        </w:rPr>
        <w:t xml:space="preserve">The practicalities involved in </w:t>
      </w:r>
      <w:r w:rsidR="00D63859">
        <w:rPr>
          <w:rStyle w:val="SubtleEmphasis"/>
          <w:i w:val="0"/>
          <w:iCs w:val="0"/>
          <w:color w:val="auto"/>
        </w:rPr>
        <w:t>requiring a minimum specific threshold may</w:t>
      </w:r>
      <w:r w:rsidR="00D85E7C">
        <w:rPr>
          <w:rStyle w:val="SubtleEmphasis"/>
          <w:i w:val="0"/>
          <w:iCs w:val="0"/>
          <w:color w:val="auto"/>
        </w:rPr>
        <w:t xml:space="preserve"> result in unconnected premises, whilst the benefit </w:t>
      </w:r>
      <w:r w:rsidR="00552AFE">
        <w:rPr>
          <w:rStyle w:val="SubtleEmphasis"/>
          <w:i w:val="0"/>
          <w:iCs w:val="0"/>
          <w:color w:val="auto"/>
        </w:rPr>
        <w:t xml:space="preserve">of doing so </w:t>
      </w:r>
      <w:bookmarkStart w:id="0" w:name="_GoBack"/>
      <w:bookmarkEnd w:id="0"/>
      <w:r w:rsidR="00D85E7C">
        <w:rPr>
          <w:rStyle w:val="SubtleEmphasis"/>
          <w:i w:val="0"/>
          <w:iCs w:val="0"/>
          <w:color w:val="auto"/>
        </w:rPr>
        <w:t>would be minimal.</w:t>
      </w:r>
      <w:r w:rsidR="000B444A">
        <w:rPr>
          <w:rStyle w:val="SubtleEmphasis"/>
          <w:i w:val="0"/>
          <w:iCs w:val="0"/>
          <w:color w:val="auto"/>
        </w:rPr>
        <w:t xml:space="preserve"> </w:t>
      </w:r>
    </w:p>
    <w:p w14:paraId="2C3E5730" w14:textId="58FC3876" w:rsidR="00741D63" w:rsidRPr="002F3BB1" w:rsidRDefault="00741D63" w:rsidP="002F3BB1">
      <w:pPr>
        <w:rPr>
          <w:rStyle w:val="SubtleEmphasis"/>
          <w:color w:val="4F81BD" w:themeColor="accent1"/>
        </w:rPr>
      </w:pPr>
      <w:r w:rsidRPr="002F3BB1">
        <w:rPr>
          <w:rStyle w:val="SubtleEmphasis"/>
          <w:color w:val="4F81BD" w:themeColor="accent1"/>
        </w:rPr>
        <w:t>Question 5: Does the proposed drafting above appropriately balance the interests of SIPs, carriers operating third party networks, and consumers?</w:t>
      </w:r>
    </w:p>
    <w:p w14:paraId="4A286853" w14:textId="46AB54A1" w:rsidR="00741D63" w:rsidRPr="005E7DB1" w:rsidRDefault="00DA7C74" w:rsidP="005E7DB1">
      <w:pPr>
        <w:rPr>
          <w:rStyle w:val="SubtleEmphasis"/>
          <w:i w:val="0"/>
          <w:iCs w:val="0"/>
          <w:color w:val="auto"/>
        </w:rPr>
      </w:pPr>
      <w:r w:rsidRPr="005E7DB1">
        <w:rPr>
          <w:rStyle w:val="SubtleEmphasis"/>
          <w:i w:val="0"/>
          <w:iCs w:val="0"/>
          <w:color w:val="auto"/>
        </w:rPr>
        <w:t>ACCAN considers that the drafting in relation to third party networks appropriately balances the interests of SIPs, carriers operating third party networks and consumers</w:t>
      </w:r>
      <w:r w:rsidR="00646B41" w:rsidRPr="005E7DB1">
        <w:rPr>
          <w:rStyle w:val="SubtleEmphasis"/>
          <w:i w:val="0"/>
          <w:iCs w:val="0"/>
          <w:color w:val="auto"/>
        </w:rPr>
        <w:t>. I</w:t>
      </w:r>
      <w:r w:rsidRPr="005E7DB1">
        <w:rPr>
          <w:rStyle w:val="SubtleEmphasis"/>
          <w:i w:val="0"/>
          <w:iCs w:val="0"/>
          <w:color w:val="auto"/>
        </w:rPr>
        <w:t>t is reasonable</w:t>
      </w:r>
      <w:r w:rsidR="00C052C6" w:rsidRPr="005E7DB1">
        <w:rPr>
          <w:rStyle w:val="SubtleEmphasis"/>
          <w:i w:val="0"/>
          <w:iCs w:val="0"/>
          <w:color w:val="auto"/>
        </w:rPr>
        <w:t xml:space="preserve"> to not connect a </w:t>
      </w:r>
      <w:proofErr w:type="gramStart"/>
      <w:r w:rsidR="00C052C6" w:rsidRPr="005E7DB1">
        <w:rPr>
          <w:rStyle w:val="SubtleEmphasis"/>
          <w:i w:val="0"/>
          <w:iCs w:val="0"/>
          <w:color w:val="auto"/>
        </w:rPr>
        <w:t>premise</w:t>
      </w:r>
      <w:r w:rsidR="007427BB" w:rsidRPr="005E7DB1">
        <w:rPr>
          <w:rStyle w:val="SubtleEmphasis"/>
          <w:i w:val="0"/>
          <w:iCs w:val="0"/>
          <w:color w:val="auto"/>
        </w:rPr>
        <w:t>s</w:t>
      </w:r>
      <w:proofErr w:type="gramEnd"/>
      <w:r w:rsidR="00C052C6" w:rsidRPr="005E7DB1">
        <w:rPr>
          <w:rStyle w:val="SubtleEmphasis"/>
          <w:i w:val="0"/>
          <w:iCs w:val="0"/>
          <w:color w:val="auto"/>
        </w:rPr>
        <w:t xml:space="preserve"> which is already connected to another </w:t>
      </w:r>
      <w:r w:rsidRPr="005E7DB1">
        <w:rPr>
          <w:rStyle w:val="SubtleEmphasis"/>
          <w:i w:val="0"/>
          <w:iCs w:val="0"/>
          <w:color w:val="auto"/>
        </w:rPr>
        <w:t>qualifying</w:t>
      </w:r>
      <w:r w:rsidR="00C052C6" w:rsidRPr="005E7DB1">
        <w:rPr>
          <w:rStyle w:val="SubtleEmphasis"/>
          <w:i w:val="0"/>
          <w:iCs w:val="0"/>
          <w:color w:val="auto"/>
        </w:rPr>
        <w:t xml:space="preserve"> </w:t>
      </w:r>
      <w:r w:rsidRPr="005E7DB1">
        <w:rPr>
          <w:rStyle w:val="SubtleEmphasis"/>
          <w:i w:val="0"/>
          <w:iCs w:val="0"/>
          <w:color w:val="auto"/>
        </w:rPr>
        <w:t>telecommunications network.</w:t>
      </w:r>
      <w:r w:rsidR="000E21BD" w:rsidRPr="005E7DB1">
        <w:rPr>
          <w:rStyle w:val="SubtleEmphasis"/>
          <w:i w:val="0"/>
          <w:iCs w:val="0"/>
          <w:color w:val="auto"/>
        </w:rPr>
        <w:t xml:space="preserve"> </w:t>
      </w:r>
      <w:r w:rsidR="00D85E7C" w:rsidRPr="005E7DB1">
        <w:rPr>
          <w:rStyle w:val="SubtleEmphasis"/>
          <w:i w:val="0"/>
          <w:iCs w:val="0"/>
          <w:color w:val="auto"/>
        </w:rPr>
        <w:t>However,</w:t>
      </w:r>
      <w:r w:rsidR="000E21BD" w:rsidRPr="005E7DB1">
        <w:rPr>
          <w:rStyle w:val="SubtleEmphasis"/>
          <w:i w:val="0"/>
          <w:iCs w:val="0"/>
          <w:color w:val="auto"/>
        </w:rPr>
        <w:t xml:space="preserve"> we seek clarification on the note</w:t>
      </w:r>
      <w:r w:rsidR="00D85E7C" w:rsidRPr="005E7DB1">
        <w:rPr>
          <w:rStyle w:val="SubtleEmphasis"/>
          <w:i w:val="0"/>
          <w:iCs w:val="0"/>
          <w:color w:val="auto"/>
        </w:rPr>
        <w:t xml:space="preserve"> in the consultation draft which states that</w:t>
      </w:r>
      <w:r w:rsidR="000E21BD" w:rsidRPr="005E7DB1">
        <w:rPr>
          <w:rStyle w:val="SubtleEmphasis"/>
          <w:i w:val="0"/>
          <w:iCs w:val="0"/>
          <w:color w:val="auto"/>
        </w:rPr>
        <w:t xml:space="preserve"> </w:t>
      </w:r>
      <w:r w:rsidR="00D85E7C" w:rsidRPr="005E7DB1">
        <w:rPr>
          <w:rStyle w:val="SubtleEmphasis"/>
          <w:i w:val="0"/>
          <w:iCs w:val="0"/>
          <w:color w:val="auto"/>
        </w:rPr>
        <w:t>an end user could cancel a service provided by a third party network.</w:t>
      </w:r>
      <w:r w:rsidR="00D85E7C" w:rsidRPr="00D63859">
        <w:rPr>
          <w:rStyle w:val="FootnoteReference"/>
        </w:rPr>
        <w:footnoteReference w:id="5"/>
      </w:r>
      <w:r w:rsidR="00D85E7C" w:rsidRPr="005E7DB1">
        <w:rPr>
          <w:rStyle w:val="SubtleEmphasis"/>
          <w:i w:val="0"/>
          <w:iCs w:val="0"/>
          <w:color w:val="auto"/>
        </w:rPr>
        <w:t xml:space="preserve"> In this instance, an end user would cancel a service with their retail service provider, however we would assume their premises remained connected to the network</w:t>
      </w:r>
      <w:r w:rsidR="007427BB" w:rsidRPr="005E7DB1">
        <w:rPr>
          <w:rStyle w:val="SubtleEmphasis"/>
          <w:i w:val="0"/>
          <w:iCs w:val="0"/>
          <w:color w:val="auto"/>
        </w:rPr>
        <w:t xml:space="preserve"> even if the service was not active</w:t>
      </w:r>
      <w:r w:rsidR="00D85E7C" w:rsidRPr="005E7DB1">
        <w:rPr>
          <w:rStyle w:val="SubtleEmphasis"/>
          <w:i w:val="0"/>
          <w:iCs w:val="0"/>
          <w:color w:val="auto"/>
        </w:rPr>
        <w:t>.</w:t>
      </w:r>
      <w:r w:rsidR="0012283B" w:rsidRPr="005E7DB1">
        <w:rPr>
          <w:rStyle w:val="SubtleEmphasis"/>
          <w:i w:val="0"/>
          <w:iCs w:val="0"/>
          <w:color w:val="auto"/>
        </w:rPr>
        <w:t xml:space="preserve"> </w:t>
      </w:r>
      <w:r w:rsidR="007427BB" w:rsidRPr="005E7DB1">
        <w:rPr>
          <w:rStyle w:val="SubtleEmphasis"/>
          <w:i w:val="0"/>
          <w:iCs w:val="0"/>
          <w:color w:val="auto"/>
        </w:rPr>
        <w:t xml:space="preserve">It is not clear how an end user would arrange for the disconnection of </w:t>
      </w:r>
      <w:r w:rsidR="00D63859" w:rsidRPr="005E7DB1">
        <w:rPr>
          <w:rStyle w:val="SubtleEmphasis"/>
          <w:i w:val="0"/>
          <w:iCs w:val="0"/>
          <w:color w:val="auto"/>
        </w:rPr>
        <w:t>a third</w:t>
      </w:r>
      <w:r w:rsidR="0012283B" w:rsidRPr="005E7DB1">
        <w:rPr>
          <w:rStyle w:val="SubtleEmphasis"/>
          <w:i w:val="0"/>
          <w:iCs w:val="0"/>
          <w:color w:val="auto"/>
        </w:rPr>
        <w:t>-party network to allow a new</w:t>
      </w:r>
      <w:r w:rsidR="007427BB" w:rsidRPr="005E7DB1">
        <w:rPr>
          <w:rStyle w:val="SubtleEmphasis"/>
          <w:i w:val="0"/>
          <w:iCs w:val="0"/>
          <w:color w:val="auto"/>
        </w:rPr>
        <w:t xml:space="preserve"> network</w:t>
      </w:r>
      <w:r w:rsidR="0012283B" w:rsidRPr="005E7DB1">
        <w:rPr>
          <w:rStyle w:val="SubtleEmphasis"/>
          <w:i w:val="0"/>
          <w:iCs w:val="0"/>
          <w:color w:val="auto"/>
        </w:rPr>
        <w:t xml:space="preserve"> connection</w:t>
      </w:r>
      <w:r w:rsidR="007427BB" w:rsidRPr="005E7DB1">
        <w:rPr>
          <w:rStyle w:val="SubtleEmphasis"/>
          <w:i w:val="0"/>
          <w:iCs w:val="0"/>
          <w:color w:val="auto"/>
        </w:rPr>
        <w:t xml:space="preserve">. </w:t>
      </w:r>
      <w:r w:rsidR="0012283B" w:rsidRPr="005E7DB1">
        <w:rPr>
          <w:rStyle w:val="SubtleEmphasis"/>
          <w:i w:val="0"/>
          <w:iCs w:val="0"/>
          <w:color w:val="auto"/>
        </w:rPr>
        <w:t xml:space="preserve"> </w:t>
      </w:r>
    </w:p>
    <w:p w14:paraId="5BC842CA" w14:textId="2CB71507" w:rsidR="00741D63" w:rsidRDefault="00741D63" w:rsidP="00741D63">
      <w:pPr>
        <w:pStyle w:val="NoSpacing"/>
        <w:rPr>
          <w:rStyle w:val="SubtleEmphasis"/>
        </w:rPr>
      </w:pPr>
    </w:p>
    <w:p w14:paraId="0828AD73" w14:textId="45D4668E" w:rsidR="005E7DB1" w:rsidRDefault="00670E92" w:rsidP="00DA7C74">
      <w:r>
        <w:t>Please note ACCANs comments in Division 1 also apply to Division 2.</w:t>
      </w:r>
    </w:p>
    <w:p w14:paraId="05580CD1" w14:textId="38AD7C92" w:rsidR="005E7DB1" w:rsidRDefault="005E7DB1" w:rsidP="00DA7C74">
      <w:r>
        <w:t xml:space="preserve">ACCAN welcomes the opportunity to meet with the department to discuss some of the questions raised in our submission </w:t>
      </w:r>
      <w:r w:rsidR="00D63859">
        <w:t>and to gain</w:t>
      </w:r>
      <w:r>
        <w:t xml:space="preserve"> further clarification. </w:t>
      </w:r>
    </w:p>
    <w:p w14:paraId="043C0C99" w14:textId="77777777" w:rsidR="002F4FBA" w:rsidRDefault="002F4FBA" w:rsidP="002F4FBA">
      <w:pPr>
        <w:spacing w:after="0" w:line="240" w:lineRule="auto"/>
        <w:jc w:val="both"/>
        <w:rPr>
          <w:rFonts w:ascii="Calibri" w:eastAsia="Calibri" w:hAnsi="Calibri" w:cs="Times New Roman"/>
          <w:b/>
          <w:bCs/>
          <w:sz w:val="24"/>
          <w:szCs w:val="24"/>
          <w:lang w:eastAsia="en-US"/>
        </w:rPr>
      </w:pPr>
    </w:p>
    <w:p w14:paraId="724AD728" w14:textId="25082DDE" w:rsidR="002F4FBA" w:rsidRDefault="002F4FBA" w:rsidP="002F4FBA">
      <w:pPr>
        <w:spacing w:after="0" w:line="240" w:lineRule="auto"/>
        <w:jc w:val="both"/>
        <w:rPr>
          <w:rFonts w:ascii="Calibri" w:eastAsia="Calibri" w:hAnsi="Calibri" w:cs="Times New Roman"/>
          <w:b/>
          <w:bCs/>
          <w:sz w:val="24"/>
          <w:szCs w:val="24"/>
          <w:lang w:eastAsia="en-US"/>
        </w:rPr>
      </w:pPr>
    </w:p>
    <w:sectPr w:rsidR="002F4FBA" w:rsidSect="008232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BF44" w14:textId="77777777" w:rsidR="000B703D" w:rsidRDefault="000B703D" w:rsidP="0082329E">
      <w:pPr>
        <w:spacing w:after="0" w:line="240" w:lineRule="auto"/>
      </w:pPr>
      <w:r>
        <w:separator/>
      </w:r>
    </w:p>
  </w:endnote>
  <w:endnote w:type="continuationSeparator" w:id="0">
    <w:p w14:paraId="527C0A4A" w14:textId="77777777" w:rsidR="000B703D" w:rsidRDefault="000B703D"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A043" w14:textId="77777777" w:rsidR="00CB19F4" w:rsidRDefault="00CB1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A748"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014D6">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3DA8" w14:textId="77777777" w:rsidR="00F014D6" w:rsidRPr="00026E5B" w:rsidRDefault="00F014D6" w:rsidP="00F014D6">
    <w:pPr>
      <w:pStyle w:val="Footerpage1"/>
      <w:ind w:right="-1440"/>
      <w:rPr>
        <w:color w:val="00B0F0"/>
      </w:rPr>
    </w:pPr>
    <w:r>
      <w:rPr>
        <w:color w:val="00B0F0"/>
      </w:rPr>
      <w:t xml:space="preserve">  </w:t>
    </w:r>
    <w:r w:rsidRPr="00026E5B">
      <w:rPr>
        <w:color w:val="00B0F0"/>
      </w:rPr>
      <w:t>Australian Communications Consumer Action Network (ACCAN)</w:t>
    </w:r>
  </w:p>
  <w:p w14:paraId="4A8D4380" w14:textId="77777777" w:rsidR="00F014D6" w:rsidRPr="00026E5B" w:rsidRDefault="00F014D6" w:rsidP="00F014D6">
    <w:pPr>
      <w:pStyle w:val="Footerpage1"/>
      <w:rPr>
        <w:i/>
        <w:color w:val="00B0F0"/>
      </w:rPr>
    </w:pPr>
    <w:r>
      <w:rPr>
        <w:i/>
        <w:color w:val="00B0F0"/>
      </w:rPr>
      <w:t xml:space="preserve">  </w:t>
    </w:r>
    <w:r w:rsidRPr="00026E5B">
      <w:rPr>
        <w:i/>
        <w:color w:val="00B0F0"/>
      </w:rPr>
      <w:t>Australia’s peak body representing communications consumers</w:t>
    </w:r>
  </w:p>
  <w:p w14:paraId="28636DE0" w14:textId="77777777" w:rsidR="00F014D6" w:rsidRPr="00026E5B" w:rsidRDefault="00F014D6" w:rsidP="00F014D6">
    <w:pPr>
      <w:pStyle w:val="Footerpage1"/>
      <w:ind w:right="-1440"/>
      <w:rPr>
        <w:i/>
      </w:rPr>
    </w:pPr>
    <w:r>
      <w:rPr>
        <w:noProof/>
        <w:lang w:val="en-US"/>
      </w:rPr>
      <mc:AlternateContent>
        <mc:Choice Requires="wps">
          <w:drawing>
            <wp:anchor distT="0" distB="0" distL="114300" distR="114300" simplePos="0" relativeHeight="251665408" behindDoc="0" locked="0" layoutInCell="1" allowOverlap="1" wp14:anchorId="52BCCFD5" wp14:editId="307DF9B8">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38B08"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097B0531" w14:textId="77777777" w:rsidR="00F014D6" w:rsidRPr="00026E5B" w:rsidRDefault="00F014D6" w:rsidP="00F014D6">
    <w:pPr>
      <w:pStyle w:val="Footerpage1"/>
    </w:pPr>
    <w:r>
      <w:t xml:space="preserve">  </w:t>
    </w:r>
    <w:r w:rsidRPr="00026E5B">
      <w:t>PO Box 639, Broadway NSW 2007</w:t>
    </w:r>
  </w:p>
  <w:p w14:paraId="4F82E1F8" w14:textId="77777777" w:rsidR="00F014D6" w:rsidRPr="00026E5B" w:rsidRDefault="00F014D6" w:rsidP="00F014D6">
    <w:pPr>
      <w:pStyle w:val="Footerpage1"/>
      <w:rPr>
        <w:color w:val="00B0F0"/>
      </w:rPr>
    </w:pPr>
    <w:r>
      <w:t xml:space="preserve">  </w:t>
    </w:r>
    <w:r w:rsidRPr="00026E5B">
      <w:t>Tel: (02) 9288 4000 | Fax: (02</w:t>
    </w:r>
    <w:r w:rsidRPr="00CB19F4">
      <w:t xml:space="preserve">) 9288 4019 | Contact us through the </w:t>
    </w:r>
    <w:hyperlink r:id="rId1" w:history="1">
      <w:r w:rsidRPr="00CB19F4">
        <w:rPr>
          <w:rStyle w:val="Hyperlink"/>
          <w:color w:val="auto"/>
        </w:rPr>
        <w:t>National Relay Service</w:t>
      </w:r>
    </w:hyperlink>
  </w:p>
  <w:p w14:paraId="6B23D7A2" w14:textId="77777777" w:rsidR="00F014D6" w:rsidRPr="004D706D" w:rsidRDefault="00F014D6"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59145B4F" w14:textId="77777777" w:rsidR="00F014D6" w:rsidRDefault="00F0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90F4" w14:textId="77777777" w:rsidR="000B703D" w:rsidRDefault="000B703D" w:rsidP="0082329E">
      <w:pPr>
        <w:spacing w:after="0" w:line="240" w:lineRule="auto"/>
      </w:pPr>
      <w:r>
        <w:separator/>
      </w:r>
    </w:p>
  </w:footnote>
  <w:footnote w:type="continuationSeparator" w:id="0">
    <w:p w14:paraId="08D32223" w14:textId="77777777" w:rsidR="000B703D" w:rsidRDefault="000B703D" w:rsidP="0082329E">
      <w:pPr>
        <w:spacing w:after="0" w:line="240" w:lineRule="auto"/>
      </w:pPr>
      <w:r>
        <w:continuationSeparator/>
      </w:r>
    </w:p>
  </w:footnote>
  <w:footnote w:id="1">
    <w:p w14:paraId="644FF144" w14:textId="3D0BCA49" w:rsidR="00466A64" w:rsidRPr="005E7DB1" w:rsidRDefault="00466A64">
      <w:pPr>
        <w:pStyle w:val="FootnoteText"/>
        <w:rPr>
          <w:lang w:val="en-US"/>
        </w:rPr>
      </w:pPr>
      <w:r>
        <w:rPr>
          <w:rStyle w:val="FootnoteReference"/>
        </w:rPr>
        <w:footnoteRef/>
      </w:r>
      <w:r>
        <w:t xml:space="preserve"> </w:t>
      </w:r>
      <w:hyperlink r:id="rId1" w:history="1">
        <w:r w:rsidRPr="0094627B">
          <w:rPr>
            <w:rStyle w:val="Hyperlink"/>
          </w:rPr>
          <w:t>https://www.communications.gov.au/have-your-say/options-boosting-pit-and-pipe-new-developments</w:t>
        </w:r>
      </w:hyperlink>
      <w:r>
        <w:t xml:space="preserve"> </w:t>
      </w:r>
    </w:p>
  </w:footnote>
  <w:footnote w:id="2">
    <w:p w14:paraId="6C0DEE98" w14:textId="6BB83D7D" w:rsidR="00CA76F4" w:rsidRPr="00CA76F4" w:rsidRDefault="00CA76F4">
      <w:pPr>
        <w:pStyle w:val="FootnoteText"/>
        <w:rPr>
          <w:lang w:val="en-US"/>
        </w:rPr>
      </w:pPr>
      <w:r>
        <w:rPr>
          <w:rStyle w:val="FootnoteReference"/>
        </w:rPr>
        <w:footnoteRef/>
      </w:r>
      <w:hyperlink r:id="rId2" w:history="1">
        <w:r w:rsidRPr="00555477">
          <w:rPr>
            <w:rStyle w:val="Hyperlink"/>
            <w:lang w:val="en-US"/>
          </w:rPr>
          <w:t>https://www.nbnco.com.au/content/dam/nbnco2/2020/policies/NBN%20Co%20Connection%20Approvals%20Policy%20November%2020.pdf</w:t>
        </w:r>
      </w:hyperlink>
      <w:r>
        <w:rPr>
          <w:lang w:val="en-US"/>
        </w:rPr>
        <w:t xml:space="preserve"> </w:t>
      </w:r>
    </w:p>
  </w:footnote>
  <w:footnote w:id="3">
    <w:p w14:paraId="1E8BE382" w14:textId="7D2074B7" w:rsidR="00245F37" w:rsidRPr="00245F37" w:rsidRDefault="00245F37">
      <w:pPr>
        <w:pStyle w:val="FootnoteText"/>
        <w:rPr>
          <w:lang w:val="en-US"/>
        </w:rPr>
      </w:pPr>
      <w:r>
        <w:rPr>
          <w:rStyle w:val="FootnoteReference"/>
        </w:rPr>
        <w:footnoteRef/>
      </w:r>
      <w:r>
        <w:t xml:space="preserve"> </w:t>
      </w:r>
      <w:hyperlink r:id="rId3" w:history="1">
        <w:r w:rsidRPr="00555477">
          <w:rPr>
            <w:rStyle w:val="Hyperlink"/>
          </w:rPr>
          <w:t>https://www.legislation.gov.au/Details/F2011L00417/Controls/</w:t>
        </w:r>
      </w:hyperlink>
      <w:r>
        <w:t xml:space="preserve"> </w:t>
      </w:r>
    </w:p>
  </w:footnote>
  <w:footnote w:id="4">
    <w:p w14:paraId="470325C4" w14:textId="619E41DA" w:rsidR="002B50E4" w:rsidRPr="005E7DB1" w:rsidRDefault="002B50E4">
      <w:pPr>
        <w:pStyle w:val="FootnoteText"/>
        <w:rPr>
          <w:i/>
          <w:iCs/>
          <w:lang w:val="en-US"/>
        </w:rPr>
      </w:pPr>
      <w:r>
        <w:rPr>
          <w:rStyle w:val="FootnoteReference"/>
        </w:rPr>
        <w:footnoteRef/>
      </w:r>
      <w:r>
        <w:t xml:space="preserve"> Australia Post, </w:t>
      </w:r>
      <w:r>
        <w:rPr>
          <w:i/>
          <w:iCs/>
        </w:rPr>
        <w:t xml:space="preserve">Home isn’t your customers’ only delivery address brochure. </w:t>
      </w:r>
      <w:hyperlink r:id="rId4" w:history="1">
        <w:r w:rsidR="00D139C3" w:rsidRPr="005E7DB1">
          <w:rPr>
            <w:rStyle w:val="Hyperlink"/>
          </w:rPr>
          <w:t>https://www.innerwest.nsw.gov.au/ArticleDocuments/1582/Australia%20Post%20Brochure%20-%20Home%20isn't%20your%20customers'%20only%20delivery%20address.pdf.aspx</w:t>
        </w:r>
      </w:hyperlink>
      <w:r w:rsidR="00D139C3" w:rsidRPr="005E7DB1">
        <w:t xml:space="preserve"> </w:t>
      </w:r>
    </w:p>
  </w:footnote>
  <w:footnote w:id="5">
    <w:p w14:paraId="6287B3BF" w14:textId="3C7819DD" w:rsidR="00D85E7C" w:rsidRPr="005E7DB1" w:rsidRDefault="00D85E7C">
      <w:pPr>
        <w:pStyle w:val="FootnoteText"/>
        <w:rPr>
          <w:i/>
          <w:iCs/>
          <w:lang w:val="en-US"/>
        </w:rPr>
      </w:pPr>
      <w:r>
        <w:rPr>
          <w:rStyle w:val="FootnoteReference"/>
        </w:rPr>
        <w:footnoteRef/>
      </w:r>
      <w:r>
        <w:t xml:space="preserve"> </w:t>
      </w:r>
      <w:r w:rsidR="0012283B">
        <w:rPr>
          <w:i/>
          <w:iCs/>
          <w:lang w:val="en-US"/>
        </w:rPr>
        <w:t>Telecommunications (Statutory Infrastructure Providers – Circumstances for Exceptions to Connection and Supply Obligations) Determination 2020. Consultation Draft. Pg.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BC55" w14:textId="77777777" w:rsidR="00CB19F4" w:rsidRDefault="00CB1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DEFA" w14:textId="77777777" w:rsidR="0082329E" w:rsidRDefault="0082329E"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3F2A4D84" wp14:editId="54EC9732">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5C20" w14:textId="77777777" w:rsidR="00004C7D" w:rsidRDefault="00004C7D">
    <w:pPr>
      <w:pStyle w:val="Header"/>
    </w:pPr>
    <w:r>
      <w:rPr>
        <w:noProof/>
        <w:lang w:val="en-US" w:eastAsia="en-US"/>
      </w:rPr>
      <w:drawing>
        <wp:anchor distT="0" distB="0" distL="114300" distR="114300" simplePos="0" relativeHeight="251663360" behindDoc="1" locked="0" layoutInCell="1" allowOverlap="1" wp14:anchorId="137135A1" wp14:editId="79231A81">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B1"/>
    <w:multiLevelType w:val="hybridMultilevel"/>
    <w:tmpl w:val="98B28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D31"/>
    <w:multiLevelType w:val="hybridMultilevel"/>
    <w:tmpl w:val="B56A1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7A2ED9"/>
    <w:multiLevelType w:val="hybridMultilevel"/>
    <w:tmpl w:val="B56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24DA6"/>
    <w:multiLevelType w:val="hybridMultilevel"/>
    <w:tmpl w:val="637AB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9C"/>
    <w:rsid w:val="00004C7D"/>
    <w:rsid w:val="00063E9A"/>
    <w:rsid w:val="00087FDD"/>
    <w:rsid w:val="000B28C8"/>
    <w:rsid w:val="000B444A"/>
    <w:rsid w:val="000B703D"/>
    <w:rsid w:val="000E21BD"/>
    <w:rsid w:val="0010622F"/>
    <w:rsid w:val="0012283B"/>
    <w:rsid w:val="001D41AA"/>
    <w:rsid w:val="001D60CA"/>
    <w:rsid w:val="002459D1"/>
    <w:rsid w:val="00245F37"/>
    <w:rsid w:val="0024615B"/>
    <w:rsid w:val="00283E8A"/>
    <w:rsid w:val="002B50E4"/>
    <w:rsid w:val="002F3BB1"/>
    <w:rsid w:val="002F4FBA"/>
    <w:rsid w:val="00301E34"/>
    <w:rsid w:val="00317B5C"/>
    <w:rsid w:val="00392B14"/>
    <w:rsid w:val="0039759C"/>
    <w:rsid w:val="003A4A9F"/>
    <w:rsid w:val="003B5B13"/>
    <w:rsid w:val="003B5C97"/>
    <w:rsid w:val="003C4C66"/>
    <w:rsid w:val="004179B8"/>
    <w:rsid w:val="00466A64"/>
    <w:rsid w:val="004B17EA"/>
    <w:rsid w:val="004B54F0"/>
    <w:rsid w:val="005070AB"/>
    <w:rsid w:val="005254D1"/>
    <w:rsid w:val="00552AFE"/>
    <w:rsid w:val="005637F1"/>
    <w:rsid w:val="00596DBE"/>
    <w:rsid w:val="005B2560"/>
    <w:rsid w:val="005E7270"/>
    <w:rsid w:val="005E7DB1"/>
    <w:rsid w:val="006127F3"/>
    <w:rsid w:val="00646B41"/>
    <w:rsid w:val="006649EB"/>
    <w:rsid w:val="00670E92"/>
    <w:rsid w:val="006D7FDF"/>
    <w:rsid w:val="00741D63"/>
    <w:rsid w:val="007427BB"/>
    <w:rsid w:val="007759D1"/>
    <w:rsid w:val="007F1022"/>
    <w:rsid w:val="007F2060"/>
    <w:rsid w:val="0082329E"/>
    <w:rsid w:val="00851EB8"/>
    <w:rsid w:val="00856FC1"/>
    <w:rsid w:val="00895ABB"/>
    <w:rsid w:val="008E5CB0"/>
    <w:rsid w:val="008E6BA5"/>
    <w:rsid w:val="008F5E17"/>
    <w:rsid w:val="0094129A"/>
    <w:rsid w:val="009412F5"/>
    <w:rsid w:val="00970C95"/>
    <w:rsid w:val="00975168"/>
    <w:rsid w:val="00A16681"/>
    <w:rsid w:val="00BA585C"/>
    <w:rsid w:val="00C0366D"/>
    <w:rsid w:val="00C052C6"/>
    <w:rsid w:val="00C063CE"/>
    <w:rsid w:val="00C134C0"/>
    <w:rsid w:val="00C36570"/>
    <w:rsid w:val="00C52B9F"/>
    <w:rsid w:val="00C73186"/>
    <w:rsid w:val="00CA76F4"/>
    <w:rsid w:val="00CB19F4"/>
    <w:rsid w:val="00CB202E"/>
    <w:rsid w:val="00CE5470"/>
    <w:rsid w:val="00D139C3"/>
    <w:rsid w:val="00D40CEB"/>
    <w:rsid w:val="00D63859"/>
    <w:rsid w:val="00D85E7C"/>
    <w:rsid w:val="00DA391B"/>
    <w:rsid w:val="00DA7C74"/>
    <w:rsid w:val="00DE28B4"/>
    <w:rsid w:val="00E15A3F"/>
    <w:rsid w:val="00E31D29"/>
    <w:rsid w:val="00E60167"/>
    <w:rsid w:val="00E71CE5"/>
    <w:rsid w:val="00E816CA"/>
    <w:rsid w:val="00E82C79"/>
    <w:rsid w:val="00E914F8"/>
    <w:rsid w:val="00E94CB3"/>
    <w:rsid w:val="00EA3678"/>
    <w:rsid w:val="00EB2C81"/>
    <w:rsid w:val="00EE4DFF"/>
    <w:rsid w:val="00F014D6"/>
    <w:rsid w:val="00F32CA8"/>
    <w:rsid w:val="00F42343"/>
    <w:rsid w:val="00FE533B"/>
    <w:rsid w:val="00FF0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0460EA8"/>
  <w15:docId w15:val="{2E5D3A53-8786-46F8-957E-7D480A1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2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52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customStyle="1" w:styleId="Footerpage1">
    <w:name w:val="Footer page 1"/>
    <w:rsid w:val="00FE533B"/>
    <w:pPr>
      <w:spacing w:line="240" w:lineRule="auto"/>
      <w:ind w:left="-754"/>
      <w:contextualSpacing/>
    </w:pPr>
    <w:rPr>
      <w:rFonts w:eastAsiaTheme="minorHAnsi"/>
      <w:sz w:val="20"/>
      <w:szCs w:val="20"/>
      <w:lang w:eastAsia="en-US"/>
    </w:rPr>
  </w:style>
  <w:style w:type="paragraph" w:customStyle="1" w:styleId="Normal0">
    <w:name w:val="Normal 0"/>
    <w:rsid w:val="00D40CEB"/>
    <w:pPr>
      <w:widowControl w:val="0"/>
      <w:autoSpaceDE w:val="0"/>
      <w:autoSpaceDN w:val="0"/>
      <w:adjustRightInd w:val="0"/>
      <w:spacing w:after="0" w:line="240" w:lineRule="auto"/>
      <w:ind w:left="1224" w:firstLine="504"/>
    </w:pPr>
    <w:rPr>
      <w:rFonts w:ascii="Courier New" w:eastAsia="Times New Roman" w:hAnsi="Courier New" w:cs="Times New Roman"/>
      <w:sz w:val="24"/>
      <w:szCs w:val="24"/>
    </w:rPr>
  </w:style>
  <w:style w:type="paragraph" w:customStyle="1" w:styleId="EndnoteText1">
    <w:name w:val="Endnote Text1"/>
    <w:basedOn w:val="Normal"/>
    <w:next w:val="EndnoteText"/>
    <w:link w:val="EndnoteTextChar"/>
    <w:uiPriority w:val="99"/>
    <w:semiHidden/>
    <w:unhideWhenUsed/>
    <w:rsid w:val="002F4FBA"/>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2F4FBA"/>
    <w:rPr>
      <w:sz w:val="20"/>
      <w:szCs w:val="20"/>
    </w:rPr>
  </w:style>
  <w:style w:type="character" w:styleId="EndnoteReference">
    <w:name w:val="endnote reference"/>
    <w:basedOn w:val="DefaultParagraphFont"/>
    <w:uiPriority w:val="99"/>
    <w:semiHidden/>
    <w:unhideWhenUsed/>
    <w:rsid w:val="002F4FBA"/>
    <w:rPr>
      <w:vertAlign w:val="superscript"/>
    </w:rPr>
  </w:style>
  <w:style w:type="paragraph" w:styleId="EndnoteText">
    <w:name w:val="endnote text"/>
    <w:basedOn w:val="Normal"/>
    <w:link w:val="EndnoteTextChar1"/>
    <w:uiPriority w:val="99"/>
    <w:semiHidden/>
    <w:unhideWhenUsed/>
    <w:rsid w:val="002F4FB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F4FBA"/>
    <w:rPr>
      <w:sz w:val="20"/>
      <w:szCs w:val="20"/>
    </w:rPr>
  </w:style>
  <w:style w:type="paragraph" w:styleId="NoSpacing">
    <w:name w:val="No Spacing"/>
    <w:uiPriority w:val="1"/>
    <w:qFormat/>
    <w:rsid w:val="0094129A"/>
    <w:pPr>
      <w:spacing w:after="0" w:line="240" w:lineRule="auto"/>
    </w:pPr>
  </w:style>
  <w:style w:type="character" w:styleId="UnresolvedMention">
    <w:name w:val="Unresolved Mention"/>
    <w:basedOn w:val="DefaultParagraphFont"/>
    <w:uiPriority w:val="99"/>
    <w:semiHidden/>
    <w:unhideWhenUsed/>
    <w:rsid w:val="0094129A"/>
    <w:rPr>
      <w:color w:val="605E5C"/>
      <w:shd w:val="clear" w:color="auto" w:fill="E1DFDD"/>
    </w:rPr>
  </w:style>
  <w:style w:type="character" w:styleId="Strong">
    <w:name w:val="Strong"/>
    <w:basedOn w:val="DefaultParagraphFont"/>
    <w:uiPriority w:val="22"/>
    <w:qFormat/>
    <w:rsid w:val="0094129A"/>
    <w:rPr>
      <w:b/>
      <w:bCs/>
    </w:rPr>
  </w:style>
  <w:style w:type="paragraph" w:styleId="BalloonText">
    <w:name w:val="Balloon Text"/>
    <w:basedOn w:val="Normal"/>
    <w:link w:val="BalloonTextChar"/>
    <w:uiPriority w:val="99"/>
    <w:semiHidden/>
    <w:unhideWhenUsed/>
    <w:rsid w:val="0061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F3"/>
    <w:rPr>
      <w:rFonts w:ascii="Segoe UI" w:hAnsi="Segoe UI" w:cs="Segoe UI"/>
      <w:sz w:val="18"/>
      <w:szCs w:val="18"/>
    </w:rPr>
  </w:style>
  <w:style w:type="paragraph" w:styleId="FootnoteText">
    <w:name w:val="footnote text"/>
    <w:basedOn w:val="Normal"/>
    <w:link w:val="FootnoteTextChar"/>
    <w:uiPriority w:val="99"/>
    <w:semiHidden/>
    <w:unhideWhenUsed/>
    <w:rsid w:val="00CA7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6F4"/>
    <w:rPr>
      <w:sz w:val="20"/>
      <w:szCs w:val="20"/>
    </w:rPr>
  </w:style>
  <w:style w:type="character" w:styleId="FootnoteReference">
    <w:name w:val="footnote reference"/>
    <w:basedOn w:val="DefaultParagraphFont"/>
    <w:uiPriority w:val="99"/>
    <w:semiHidden/>
    <w:unhideWhenUsed/>
    <w:rsid w:val="00CA76F4"/>
    <w:rPr>
      <w:vertAlign w:val="superscript"/>
    </w:rPr>
  </w:style>
  <w:style w:type="character" w:styleId="SubtleEmphasis">
    <w:name w:val="Subtle Emphasis"/>
    <w:basedOn w:val="DefaultParagraphFont"/>
    <w:uiPriority w:val="19"/>
    <w:qFormat/>
    <w:rsid w:val="00F32CA8"/>
    <w:rPr>
      <w:i/>
      <w:iCs/>
      <w:color w:val="404040" w:themeColor="text1" w:themeTint="BF"/>
    </w:rPr>
  </w:style>
  <w:style w:type="character" w:styleId="CommentReference">
    <w:name w:val="annotation reference"/>
    <w:basedOn w:val="DefaultParagraphFont"/>
    <w:uiPriority w:val="99"/>
    <w:semiHidden/>
    <w:unhideWhenUsed/>
    <w:rsid w:val="00F32CA8"/>
    <w:rPr>
      <w:sz w:val="16"/>
      <w:szCs w:val="16"/>
    </w:rPr>
  </w:style>
  <w:style w:type="paragraph" w:styleId="CommentText">
    <w:name w:val="annotation text"/>
    <w:basedOn w:val="Normal"/>
    <w:link w:val="CommentTextChar"/>
    <w:uiPriority w:val="99"/>
    <w:semiHidden/>
    <w:unhideWhenUsed/>
    <w:rsid w:val="00F32CA8"/>
    <w:pPr>
      <w:spacing w:line="240" w:lineRule="auto"/>
    </w:pPr>
    <w:rPr>
      <w:sz w:val="20"/>
      <w:szCs w:val="20"/>
    </w:rPr>
  </w:style>
  <w:style w:type="character" w:customStyle="1" w:styleId="CommentTextChar">
    <w:name w:val="Comment Text Char"/>
    <w:basedOn w:val="DefaultParagraphFont"/>
    <w:link w:val="CommentText"/>
    <w:uiPriority w:val="99"/>
    <w:semiHidden/>
    <w:rsid w:val="00F32CA8"/>
    <w:rPr>
      <w:sz w:val="20"/>
      <w:szCs w:val="20"/>
    </w:rPr>
  </w:style>
  <w:style w:type="paragraph" w:styleId="CommentSubject">
    <w:name w:val="annotation subject"/>
    <w:basedOn w:val="CommentText"/>
    <w:next w:val="CommentText"/>
    <w:link w:val="CommentSubjectChar"/>
    <w:uiPriority w:val="99"/>
    <w:semiHidden/>
    <w:unhideWhenUsed/>
    <w:rsid w:val="00F32CA8"/>
    <w:rPr>
      <w:b/>
      <w:bCs/>
    </w:rPr>
  </w:style>
  <w:style w:type="character" w:customStyle="1" w:styleId="CommentSubjectChar">
    <w:name w:val="Comment Subject Char"/>
    <w:basedOn w:val="CommentTextChar"/>
    <w:link w:val="CommentSubject"/>
    <w:uiPriority w:val="99"/>
    <w:semiHidden/>
    <w:rsid w:val="00F32CA8"/>
    <w:rPr>
      <w:b/>
      <w:bCs/>
      <w:sz w:val="20"/>
      <w:szCs w:val="20"/>
    </w:rPr>
  </w:style>
  <w:style w:type="paragraph" w:customStyle="1" w:styleId="Default">
    <w:name w:val="Default"/>
    <w:rsid w:val="00F32CA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82C79"/>
    <w:rPr>
      <w:color w:val="800080" w:themeColor="followedHyperlink"/>
      <w:u w:val="single"/>
    </w:rPr>
  </w:style>
  <w:style w:type="paragraph" w:customStyle="1" w:styleId="p1">
    <w:name w:val="p1"/>
    <w:basedOn w:val="Normal"/>
    <w:rsid w:val="00E60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2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52C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B54F0"/>
    <w:pPr>
      <w:ind w:left="720"/>
      <w:contextualSpacing/>
    </w:pPr>
  </w:style>
  <w:style w:type="paragraph" w:customStyle="1" w:styleId="definition">
    <w:name w:val="definition"/>
    <w:basedOn w:val="Normal"/>
    <w:rsid w:val="003C4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C4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5">
    <w:name w:val="acthead5"/>
    <w:basedOn w:val="Normal"/>
    <w:rsid w:val="007F2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7F2060"/>
  </w:style>
  <w:style w:type="paragraph" w:customStyle="1" w:styleId="subsection">
    <w:name w:val="subsection"/>
    <w:basedOn w:val="Normal"/>
    <w:rsid w:val="007F206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15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542">
      <w:bodyDiv w:val="1"/>
      <w:marLeft w:val="0"/>
      <w:marRight w:val="0"/>
      <w:marTop w:val="0"/>
      <w:marBottom w:val="0"/>
      <w:divBdr>
        <w:top w:val="none" w:sz="0" w:space="0" w:color="auto"/>
        <w:left w:val="none" w:sz="0" w:space="0" w:color="auto"/>
        <w:bottom w:val="none" w:sz="0" w:space="0" w:color="auto"/>
        <w:right w:val="none" w:sz="0" w:space="0" w:color="auto"/>
      </w:divBdr>
    </w:div>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218171883">
      <w:bodyDiv w:val="1"/>
      <w:marLeft w:val="0"/>
      <w:marRight w:val="0"/>
      <w:marTop w:val="0"/>
      <w:marBottom w:val="0"/>
      <w:divBdr>
        <w:top w:val="none" w:sz="0" w:space="0" w:color="auto"/>
        <w:left w:val="none" w:sz="0" w:space="0" w:color="auto"/>
        <w:bottom w:val="none" w:sz="0" w:space="0" w:color="auto"/>
        <w:right w:val="none" w:sz="0" w:space="0" w:color="auto"/>
      </w:divBdr>
    </w:div>
    <w:div w:id="957374737">
      <w:bodyDiv w:val="1"/>
      <w:marLeft w:val="0"/>
      <w:marRight w:val="0"/>
      <w:marTop w:val="0"/>
      <w:marBottom w:val="0"/>
      <w:divBdr>
        <w:top w:val="none" w:sz="0" w:space="0" w:color="auto"/>
        <w:left w:val="none" w:sz="0" w:space="0" w:color="auto"/>
        <w:bottom w:val="none" w:sz="0" w:space="0" w:color="auto"/>
        <w:right w:val="none" w:sz="0" w:space="0" w:color="auto"/>
      </w:divBdr>
    </w:div>
    <w:div w:id="1689873202">
      <w:bodyDiv w:val="1"/>
      <w:marLeft w:val="0"/>
      <w:marRight w:val="0"/>
      <w:marTop w:val="0"/>
      <w:marBottom w:val="0"/>
      <w:divBdr>
        <w:top w:val="none" w:sz="0" w:space="0" w:color="auto"/>
        <w:left w:val="none" w:sz="0" w:space="0" w:color="auto"/>
        <w:bottom w:val="none" w:sz="0" w:space="0" w:color="auto"/>
        <w:right w:val="none" w:sz="0" w:space="0" w:color="auto"/>
      </w:divBdr>
    </w:div>
    <w:div w:id="1766992474">
      <w:bodyDiv w:val="1"/>
      <w:marLeft w:val="0"/>
      <w:marRight w:val="0"/>
      <w:marTop w:val="0"/>
      <w:marBottom w:val="0"/>
      <w:divBdr>
        <w:top w:val="none" w:sz="0" w:space="0" w:color="auto"/>
        <w:left w:val="none" w:sz="0" w:space="0" w:color="auto"/>
        <w:bottom w:val="none" w:sz="0" w:space="0" w:color="auto"/>
        <w:right w:val="none" w:sz="0" w:space="0" w:color="auto"/>
      </w:divBdr>
    </w:div>
    <w:div w:id="19842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G@communications.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1L00417/Controls/" TargetMode="External"/><Relationship Id="rId2" Type="http://schemas.openxmlformats.org/officeDocument/2006/relationships/hyperlink" Target="https://www.nbnco.com.au/content/dam/nbnco2/2020/policies/NBN%20Co%20Connection%20Approvals%20Policy%20November%2020.pdf" TargetMode="External"/><Relationship Id="rId1" Type="http://schemas.openxmlformats.org/officeDocument/2006/relationships/hyperlink" Target="https://www.communications.gov.au/have-your-say/options-boosting-pit-and-pipe-new-developments" TargetMode="External"/><Relationship Id="rId4" Type="http://schemas.openxmlformats.org/officeDocument/2006/relationships/hyperlink" Target="https://www.innerwest.nsw.gov.au/ArticleDocuments/1582/Australia%20Post%20Brochure%20-%20Home%20isn't%20your%20customers'%20only%20delivery%20address.pdf.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8B85-A3F8-4F90-B870-903A5691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 Pages</Template>
  <TotalTime>4</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Sarkoezy</dc:creator>
  <cp:keywords/>
  <dc:description/>
  <cp:lastModifiedBy>Megan Ward</cp:lastModifiedBy>
  <cp:revision>2</cp:revision>
  <dcterms:created xsi:type="dcterms:W3CDTF">2020-12-18T05:23:00Z</dcterms:created>
  <dcterms:modified xsi:type="dcterms:W3CDTF">2020-12-18T05:23:00Z</dcterms:modified>
</cp:coreProperties>
</file>