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187" w:rsidRPr="00DA5187" w:rsidRDefault="00DA5187" w:rsidP="002106F5">
      <w:pPr>
        <w:spacing w:after="0" w:line="240" w:lineRule="auto"/>
        <w:jc w:val="center"/>
        <w:rPr>
          <w:rFonts w:ascii="Arial" w:hAnsi="Arial"/>
          <w:b/>
          <w:bCs/>
          <w:sz w:val="32"/>
          <w:szCs w:val="32"/>
        </w:rPr>
      </w:pPr>
      <w:r>
        <w:rPr>
          <w:rFonts w:ascii="Arial" w:hAnsi="Arial"/>
          <w:b/>
          <w:bCs/>
          <w:sz w:val="32"/>
          <w:szCs w:val="32"/>
        </w:rPr>
        <w:t>Standing Advisory Committee Consumer Affairs</w:t>
      </w:r>
    </w:p>
    <w:p w:rsidR="00DA5187" w:rsidRPr="002106F5" w:rsidRDefault="00D97B66" w:rsidP="002106F5">
      <w:pPr>
        <w:spacing w:after="0" w:line="240" w:lineRule="auto"/>
        <w:jc w:val="center"/>
        <w:rPr>
          <w:rFonts w:ascii="Arial" w:hAnsi="Arial"/>
          <w:b/>
          <w:bCs/>
          <w:sz w:val="32"/>
          <w:szCs w:val="32"/>
        </w:rPr>
      </w:pPr>
      <w:r w:rsidRPr="002106F5">
        <w:rPr>
          <w:rFonts w:ascii="Arial" w:hAnsi="Arial"/>
          <w:b/>
          <w:bCs/>
          <w:sz w:val="32"/>
          <w:szCs w:val="32"/>
        </w:rPr>
        <w:t>Meeting Report</w:t>
      </w:r>
    </w:p>
    <w:p w:rsidR="00DA5187" w:rsidRDefault="00DA5187" w:rsidP="00DA5187">
      <w:pPr>
        <w:pStyle w:val="NormalWeb"/>
        <w:spacing w:before="0" w:beforeAutospacing="0" w:after="0" w:afterAutospacing="0"/>
        <w:jc w:val="center"/>
        <w:rPr>
          <w:rFonts w:ascii="Arial" w:hAnsi="Arial" w:cs="Arial"/>
          <w:b/>
          <w:i/>
          <w:sz w:val="20"/>
        </w:rPr>
      </w:pPr>
      <w:r>
        <w:rPr>
          <w:rFonts w:ascii="Arial" w:hAnsi="Arial" w:cs="Arial"/>
          <w:b/>
          <w:i/>
          <w:sz w:val="20"/>
        </w:rPr>
        <w:t>Wednesday 13</w:t>
      </w:r>
      <w:r w:rsidRPr="00DA5187">
        <w:rPr>
          <w:rFonts w:ascii="Arial" w:hAnsi="Arial" w:cs="Arial"/>
          <w:b/>
          <w:i/>
          <w:sz w:val="20"/>
          <w:vertAlign w:val="superscript"/>
        </w:rPr>
        <w:t>th</w:t>
      </w:r>
      <w:r>
        <w:rPr>
          <w:rFonts w:ascii="Arial" w:hAnsi="Arial" w:cs="Arial"/>
          <w:b/>
          <w:i/>
          <w:sz w:val="20"/>
        </w:rPr>
        <w:t xml:space="preserve"> June 2012 </w:t>
      </w:r>
      <w:r w:rsidRPr="001E6AA0">
        <w:rPr>
          <w:rFonts w:ascii="Arial" w:hAnsi="Arial" w:cs="Arial"/>
          <w:b/>
          <w:i/>
          <w:sz w:val="20"/>
        </w:rPr>
        <w:t xml:space="preserve">10.00am – </w:t>
      </w:r>
      <w:r>
        <w:rPr>
          <w:rFonts w:ascii="Arial" w:hAnsi="Arial" w:cs="Arial"/>
          <w:b/>
          <w:i/>
          <w:sz w:val="20"/>
        </w:rPr>
        <w:t>4</w:t>
      </w:r>
      <w:r w:rsidRPr="001E6AA0">
        <w:rPr>
          <w:rFonts w:ascii="Arial" w:hAnsi="Arial" w:cs="Arial"/>
          <w:b/>
          <w:i/>
          <w:sz w:val="20"/>
        </w:rPr>
        <w:t>.00 pm</w:t>
      </w:r>
    </w:p>
    <w:p w:rsidR="00905797" w:rsidRPr="008836C1" w:rsidRDefault="00F917F0" w:rsidP="008836C1">
      <w:pPr>
        <w:pStyle w:val="BodyTextIndent"/>
        <w:spacing w:after="0" w:line="276" w:lineRule="auto"/>
        <w:ind w:left="2160" w:hanging="2160"/>
        <w:rPr>
          <w:rFonts w:ascii="Arial" w:hAnsi="Arial" w:cs="Arial"/>
          <w:sz w:val="22"/>
          <w:szCs w:val="22"/>
          <w:lang w:val="en-AU"/>
        </w:rPr>
      </w:pPr>
      <w:r>
        <w:rPr>
          <w:rFonts w:ascii="Arial" w:hAnsi="Arial" w:cs="Arial"/>
          <w:b/>
          <w:sz w:val="22"/>
          <w:szCs w:val="22"/>
          <w:lang w:val="en-AU"/>
        </w:rPr>
        <w:t>Members present</w:t>
      </w:r>
      <w:r w:rsidR="00DA5187" w:rsidRPr="00491026">
        <w:rPr>
          <w:rFonts w:ascii="Arial" w:hAnsi="Arial" w:cs="Arial"/>
          <w:b/>
          <w:sz w:val="22"/>
          <w:szCs w:val="22"/>
        </w:rPr>
        <w:t>:</w:t>
      </w:r>
      <w:r>
        <w:rPr>
          <w:rFonts w:ascii="Arial" w:hAnsi="Arial" w:cs="Arial"/>
          <w:sz w:val="22"/>
          <w:szCs w:val="22"/>
        </w:rPr>
        <w:tab/>
      </w:r>
      <w:r w:rsidR="00905797" w:rsidRPr="00491026">
        <w:rPr>
          <w:rFonts w:ascii="Arial" w:hAnsi="Arial" w:cs="Arial"/>
          <w:sz w:val="22"/>
          <w:szCs w:val="22"/>
        </w:rPr>
        <w:t xml:space="preserve">Jo </w:t>
      </w:r>
      <w:proofErr w:type="spellStart"/>
      <w:r w:rsidR="00905797" w:rsidRPr="00491026">
        <w:rPr>
          <w:rFonts w:ascii="Arial" w:hAnsi="Arial" w:cs="Arial"/>
          <w:sz w:val="22"/>
          <w:szCs w:val="22"/>
        </w:rPr>
        <w:t>Benvenuti</w:t>
      </w:r>
      <w:proofErr w:type="spellEnd"/>
      <w:r w:rsidR="00905797" w:rsidRPr="00491026">
        <w:rPr>
          <w:rFonts w:ascii="Arial" w:hAnsi="Arial" w:cs="Arial"/>
          <w:sz w:val="22"/>
          <w:szCs w:val="22"/>
        </w:rPr>
        <w:t xml:space="preserve"> – Consumer Utilities Advocacy Centre </w:t>
      </w:r>
    </w:p>
    <w:p w:rsidR="00905797" w:rsidRPr="00905797" w:rsidRDefault="00905797" w:rsidP="008836C1">
      <w:pPr>
        <w:pStyle w:val="BodyTextIndent"/>
        <w:tabs>
          <w:tab w:val="clear" w:pos="1701"/>
          <w:tab w:val="left" w:pos="2160"/>
        </w:tabs>
        <w:spacing w:after="0" w:line="276" w:lineRule="auto"/>
        <w:ind w:left="3578" w:hanging="1418"/>
        <w:rPr>
          <w:rFonts w:ascii="Arial" w:hAnsi="Arial" w:cs="Arial"/>
          <w:sz w:val="22"/>
          <w:szCs w:val="22"/>
          <w:lang w:val="en-AU"/>
        </w:rPr>
      </w:pPr>
      <w:r w:rsidRPr="00491026">
        <w:rPr>
          <w:rFonts w:ascii="Arial" w:hAnsi="Arial" w:cs="Arial"/>
          <w:sz w:val="22"/>
          <w:szCs w:val="22"/>
        </w:rPr>
        <w:t>Ian Butterworth – Telecommunications Consumer Group,</w:t>
      </w:r>
      <w:r>
        <w:rPr>
          <w:rFonts w:ascii="Arial" w:hAnsi="Arial" w:cs="Arial"/>
          <w:sz w:val="22"/>
          <w:szCs w:val="22"/>
          <w:lang w:val="en-AU"/>
        </w:rPr>
        <w:t xml:space="preserve"> SA</w:t>
      </w:r>
    </w:p>
    <w:p w:rsidR="00DA5187" w:rsidRPr="00905797" w:rsidRDefault="00905797" w:rsidP="008836C1">
      <w:pPr>
        <w:pStyle w:val="BodyTextIndent"/>
        <w:tabs>
          <w:tab w:val="clear" w:pos="1701"/>
          <w:tab w:val="left" w:pos="2160"/>
        </w:tabs>
        <w:spacing w:after="0" w:line="276" w:lineRule="auto"/>
        <w:ind w:left="3578" w:hanging="1418"/>
        <w:rPr>
          <w:rFonts w:ascii="Arial" w:hAnsi="Arial" w:cs="Arial"/>
          <w:sz w:val="22"/>
          <w:szCs w:val="22"/>
          <w:lang w:val="en-AU"/>
        </w:rPr>
      </w:pPr>
      <w:r w:rsidRPr="00491026">
        <w:rPr>
          <w:rFonts w:ascii="Arial" w:hAnsi="Arial" w:cs="Arial"/>
          <w:sz w:val="22"/>
          <w:szCs w:val="22"/>
        </w:rPr>
        <w:t>Andrew Crouch – Centre for Appropriate Technology</w:t>
      </w:r>
    </w:p>
    <w:p w:rsidR="00905797" w:rsidRPr="00905797" w:rsidRDefault="00905797" w:rsidP="008836C1">
      <w:pPr>
        <w:pStyle w:val="BodyTextIndent"/>
        <w:spacing w:after="0" w:line="276" w:lineRule="auto"/>
        <w:ind w:left="2160" w:hanging="2160"/>
        <w:rPr>
          <w:rFonts w:ascii="Arial" w:hAnsi="Arial" w:cs="Arial"/>
          <w:sz w:val="22"/>
          <w:szCs w:val="22"/>
          <w:lang w:val="en-AU"/>
        </w:rPr>
      </w:pP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sidRPr="00491026">
        <w:rPr>
          <w:rFonts w:ascii="Arial" w:hAnsi="Arial" w:cs="Arial"/>
          <w:sz w:val="22"/>
          <w:szCs w:val="22"/>
        </w:rPr>
        <w:t xml:space="preserve">Rachel </w:t>
      </w:r>
      <w:proofErr w:type="spellStart"/>
      <w:r w:rsidRPr="00491026">
        <w:rPr>
          <w:rFonts w:ascii="Arial" w:hAnsi="Arial" w:cs="Arial"/>
          <w:sz w:val="22"/>
          <w:szCs w:val="22"/>
        </w:rPr>
        <w:t>Milfull</w:t>
      </w:r>
      <w:proofErr w:type="spellEnd"/>
      <w:r w:rsidRPr="00491026">
        <w:rPr>
          <w:rFonts w:ascii="Arial" w:hAnsi="Arial" w:cs="Arial"/>
          <w:sz w:val="22"/>
          <w:szCs w:val="22"/>
        </w:rPr>
        <w:t xml:space="preserve"> – Financial Counselling Australia</w:t>
      </w:r>
    </w:p>
    <w:p w:rsidR="00DA5187" w:rsidRPr="00491026" w:rsidRDefault="00DA5187" w:rsidP="008836C1">
      <w:pPr>
        <w:pStyle w:val="BodyTextIndent"/>
        <w:tabs>
          <w:tab w:val="clear" w:pos="1701"/>
          <w:tab w:val="left" w:pos="2160"/>
        </w:tabs>
        <w:spacing w:after="0" w:line="276" w:lineRule="auto"/>
        <w:ind w:left="1701" w:hanging="1418"/>
        <w:rPr>
          <w:rFonts w:ascii="Arial" w:hAnsi="Arial" w:cs="Arial"/>
          <w:sz w:val="22"/>
          <w:szCs w:val="22"/>
        </w:rPr>
      </w:pPr>
      <w:r w:rsidRPr="00491026">
        <w:rPr>
          <w:rFonts w:ascii="Arial" w:hAnsi="Arial" w:cs="Arial"/>
          <w:sz w:val="22"/>
          <w:szCs w:val="22"/>
        </w:rPr>
        <w:tab/>
      </w:r>
      <w:r w:rsidRPr="00491026">
        <w:rPr>
          <w:rFonts w:ascii="Arial" w:hAnsi="Arial" w:cs="Arial"/>
          <w:sz w:val="22"/>
          <w:szCs w:val="22"/>
        </w:rPr>
        <w:tab/>
      </w:r>
      <w:r w:rsidRPr="00491026">
        <w:rPr>
          <w:rFonts w:ascii="Arial" w:hAnsi="Arial" w:cs="Arial"/>
          <w:sz w:val="22"/>
          <w:szCs w:val="22"/>
        </w:rPr>
        <w:tab/>
      </w:r>
      <w:r w:rsidRPr="00491026">
        <w:rPr>
          <w:rFonts w:ascii="Arial" w:hAnsi="Arial" w:cs="Arial"/>
          <w:sz w:val="22"/>
          <w:szCs w:val="22"/>
        </w:rPr>
        <w:tab/>
        <w:t xml:space="preserve">Karin Ness – Northern Rivers Community Legal Centre </w:t>
      </w:r>
    </w:p>
    <w:p w:rsidR="00DA5187" w:rsidRPr="00491026" w:rsidRDefault="00DA5187" w:rsidP="008836C1">
      <w:pPr>
        <w:pStyle w:val="BodyTextIndent"/>
        <w:tabs>
          <w:tab w:val="clear" w:pos="1701"/>
          <w:tab w:val="left" w:pos="2160"/>
        </w:tabs>
        <w:spacing w:after="0" w:line="276" w:lineRule="auto"/>
        <w:rPr>
          <w:rFonts w:ascii="Arial" w:hAnsi="Arial" w:cs="Arial"/>
          <w:sz w:val="22"/>
          <w:szCs w:val="22"/>
        </w:rPr>
      </w:pPr>
      <w:r w:rsidRPr="00491026">
        <w:rPr>
          <w:rFonts w:ascii="Arial" w:hAnsi="Arial" w:cs="Arial"/>
          <w:sz w:val="22"/>
          <w:szCs w:val="22"/>
        </w:rPr>
        <w:tab/>
      </w:r>
      <w:r w:rsidRPr="00491026">
        <w:rPr>
          <w:rFonts w:ascii="Arial" w:hAnsi="Arial" w:cs="Arial"/>
          <w:sz w:val="22"/>
          <w:szCs w:val="22"/>
        </w:rPr>
        <w:tab/>
      </w:r>
      <w:r w:rsidRPr="00491026">
        <w:rPr>
          <w:rFonts w:ascii="Arial" w:hAnsi="Arial" w:cs="Arial"/>
          <w:sz w:val="22"/>
          <w:szCs w:val="22"/>
        </w:rPr>
        <w:tab/>
      </w:r>
      <w:r w:rsidR="00905797" w:rsidRPr="00491026">
        <w:rPr>
          <w:rFonts w:ascii="Arial" w:hAnsi="Arial" w:cs="Arial"/>
          <w:sz w:val="22"/>
          <w:szCs w:val="22"/>
        </w:rPr>
        <w:t xml:space="preserve">Johanna </w:t>
      </w:r>
      <w:proofErr w:type="spellStart"/>
      <w:r w:rsidR="00905797" w:rsidRPr="00491026">
        <w:rPr>
          <w:rFonts w:ascii="Arial" w:hAnsi="Arial" w:cs="Arial"/>
          <w:sz w:val="22"/>
          <w:szCs w:val="22"/>
        </w:rPr>
        <w:t>Plante</w:t>
      </w:r>
      <w:proofErr w:type="spellEnd"/>
      <w:r w:rsidR="00905797" w:rsidRPr="00491026">
        <w:rPr>
          <w:rFonts w:ascii="Arial" w:hAnsi="Arial" w:cs="Arial"/>
          <w:sz w:val="22"/>
          <w:szCs w:val="22"/>
        </w:rPr>
        <w:t xml:space="preserve"> – Chair, ACCAN Board</w:t>
      </w:r>
    </w:p>
    <w:p w:rsidR="00DA5187" w:rsidRPr="00491026" w:rsidRDefault="00DA5187" w:rsidP="008836C1">
      <w:pPr>
        <w:pStyle w:val="BodyTextIndent"/>
        <w:tabs>
          <w:tab w:val="clear" w:pos="1701"/>
          <w:tab w:val="left" w:pos="2160"/>
        </w:tabs>
        <w:spacing w:after="0" w:line="276" w:lineRule="auto"/>
        <w:ind w:left="3578" w:hanging="1418"/>
        <w:rPr>
          <w:rFonts w:ascii="Arial" w:hAnsi="Arial" w:cs="Arial"/>
          <w:sz w:val="22"/>
          <w:szCs w:val="22"/>
        </w:rPr>
      </w:pPr>
      <w:r w:rsidRPr="00491026">
        <w:rPr>
          <w:rFonts w:ascii="Arial" w:hAnsi="Arial" w:cs="Arial"/>
          <w:sz w:val="22"/>
          <w:szCs w:val="22"/>
        </w:rPr>
        <w:t xml:space="preserve">Victoria </w:t>
      </w:r>
      <w:proofErr w:type="spellStart"/>
      <w:r w:rsidRPr="00491026">
        <w:rPr>
          <w:rFonts w:ascii="Arial" w:hAnsi="Arial" w:cs="Arial"/>
          <w:sz w:val="22"/>
          <w:szCs w:val="22"/>
        </w:rPr>
        <w:t>Rubensohn</w:t>
      </w:r>
      <w:proofErr w:type="spellEnd"/>
      <w:r w:rsidRPr="00491026">
        <w:rPr>
          <w:rFonts w:ascii="Arial" w:hAnsi="Arial" w:cs="Arial"/>
          <w:sz w:val="22"/>
          <w:szCs w:val="22"/>
        </w:rPr>
        <w:t xml:space="preserve"> </w:t>
      </w:r>
    </w:p>
    <w:p w:rsidR="00DA5187" w:rsidRDefault="00DA5187" w:rsidP="008836C1">
      <w:pPr>
        <w:pStyle w:val="BodyTextIndent"/>
        <w:tabs>
          <w:tab w:val="clear" w:pos="1701"/>
          <w:tab w:val="left" w:pos="2160"/>
        </w:tabs>
        <w:spacing w:after="0" w:line="276" w:lineRule="auto"/>
        <w:ind w:left="3578" w:hanging="1418"/>
        <w:rPr>
          <w:rFonts w:ascii="Arial" w:hAnsi="Arial" w:cs="Arial"/>
          <w:sz w:val="22"/>
          <w:szCs w:val="22"/>
          <w:lang w:val="en-AU"/>
        </w:rPr>
      </w:pPr>
      <w:r w:rsidRPr="00491026">
        <w:rPr>
          <w:rFonts w:ascii="Arial" w:hAnsi="Arial" w:cs="Arial"/>
          <w:sz w:val="22"/>
          <w:szCs w:val="22"/>
        </w:rPr>
        <w:t xml:space="preserve">John Wood </w:t>
      </w:r>
    </w:p>
    <w:p w:rsidR="008836C1" w:rsidRPr="008836C1" w:rsidRDefault="008836C1" w:rsidP="008836C1">
      <w:pPr>
        <w:pStyle w:val="BodyTextIndent"/>
        <w:tabs>
          <w:tab w:val="clear" w:pos="1701"/>
          <w:tab w:val="left" w:pos="2160"/>
        </w:tabs>
        <w:spacing w:after="0" w:line="276" w:lineRule="auto"/>
        <w:ind w:left="3578" w:hanging="1418"/>
        <w:rPr>
          <w:rFonts w:ascii="Arial" w:hAnsi="Arial" w:cs="Arial"/>
          <w:sz w:val="22"/>
          <w:szCs w:val="22"/>
          <w:lang w:val="en-AU"/>
        </w:rPr>
      </w:pPr>
    </w:p>
    <w:p w:rsidR="005E74A1" w:rsidRPr="00491026" w:rsidRDefault="005E74A1" w:rsidP="008836C1">
      <w:pPr>
        <w:pStyle w:val="BodyText"/>
        <w:tabs>
          <w:tab w:val="left" w:pos="720"/>
          <w:tab w:val="left" w:pos="1440"/>
        </w:tabs>
        <w:spacing w:after="0" w:line="276" w:lineRule="auto"/>
        <w:rPr>
          <w:rFonts w:ascii="Arial" w:hAnsi="Arial" w:cs="Arial"/>
          <w:sz w:val="22"/>
          <w:szCs w:val="22"/>
          <w:lang w:val="en-AU"/>
        </w:rPr>
      </w:pPr>
      <w:r w:rsidRPr="00491026">
        <w:rPr>
          <w:rFonts w:ascii="Arial" w:hAnsi="Arial" w:cs="Arial"/>
          <w:sz w:val="22"/>
          <w:szCs w:val="22"/>
        </w:rPr>
        <w:t xml:space="preserve">The Chair welcomed </w:t>
      </w:r>
      <w:r w:rsidR="009A4F70">
        <w:rPr>
          <w:rFonts w:ascii="Arial" w:hAnsi="Arial" w:cs="Arial"/>
          <w:sz w:val="22"/>
          <w:szCs w:val="22"/>
          <w:lang w:val="en-AU"/>
        </w:rPr>
        <w:t>members</w:t>
      </w:r>
      <w:r w:rsidRPr="00491026">
        <w:rPr>
          <w:rFonts w:ascii="Arial" w:hAnsi="Arial" w:cs="Arial"/>
          <w:sz w:val="22"/>
          <w:szCs w:val="22"/>
        </w:rPr>
        <w:t xml:space="preserve"> to the </w:t>
      </w:r>
      <w:r w:rsidRPr="00491026">
        <w:rPr>
          <w:rFonts w:ascii="Arial" w:hAnsi="Arial" w:cs="Arial"/>
          <w:sz w:val="22"/>
          <w:szCs w:val="22"/>
          <w:lang w:val="en-AU"/>
        </w:rPr>
        <w:t>second</w:t>
      </w:r>
      <w:r w:rsidRPr="00491026">
        <w:rPr>
          <w:rFonts w:ascii="Arial" w:hAnsi="Arial" w:cs="Arial"/>
          <w:sz w:val="22"/>
          <w:szCs w:val="22"/>
        </w:rPr>
        <w:t xml:space="preserve"> meeting of the Standing Advisory Committee on Consumer Affairs (SACCA) </w:t>
      </w:r>
      <w:r w:rsidRPr="00491026">
        <w:rPr>
          <w:rFonts w:ascii="Arial" w:hAnsi="Arial" w:cs="Arial"/>
          <w:sz w:val="22"/>
          <w:szCs w:val="22"/>
          <w:lang w:val="en-AU"/>
        </w:rPr>
        <w:t xml:space="preserve">in 2012 and acknowledged the traditional owners of the land. </w:t>
      </w:r>
    </w:p>
    <w:p w:rsidR="00A465EB" w:rsidRPr="00491026" w:rsidRDefault="00A465EB" w:rsidP="00474A84">
      <w:pPr>
        <w:tabs>
          <w:tab w:val="left" w:pos="851"/>
        </w:tabs>
        <w:suppressAutoHyphens/>
        <w:spacing w:after="0"/>
        <w:rPr>
          <w:rFonts w:ascii="Arial" w:hAnsi="Arial" w:cs="Arial"/>
        </w:rPr>
      </w:pPr>
    </w:p>
    <w:p w:rsidR="00F76920" w:rsidRPr="00491026" w:rsidRDefault="00A465EB" w:rsidP="008836C1">
      <w:pPr>
        <w:spacing w:after="0"/>
        <w:rPr>
          <w:rFonts w:ascii="Arial" w:hAnsi="Arial" w:cs="Arial"/>
          <w:b/>
        </w:rPr>
      </w:pPr>
      <w:r w:rsidRPr="00491026">
        <w:rPr>
          <w:rFonts w:ascii="Arial" w:hAnsi="Arial" w:cs="Arial"/>
          <w:b/>
        </w:rPr>
        <w:t>Australian Energy Market (AER)</w:t>
      </w:r>
      <w:r w:rsidR="009A4F70">
        <w:rPr>
          <w:rFonts w:ascii="Arial" w:hAnsi="Arial" w:cs="Arial"/>
          <w:b/>
        </w:rPr>
        <w:t xml:space="preserve"> monitoring</w:t>
      </w:r>
      <w:r w:rsidRPr="00491026">
        <w:rPr>
          <w:rFonts w:ascii="Arial" w:hAnsi="Arial" w:cs="Arial"/>
          <w:b/>
        </w:rPr>
        <w:t xml:space="preserve"> and enforcement</w:t>
      </w:r>
    </w:p>
    <w:p w:rsidR="006265B0" w:rsidRDefault="007652B5" w:rsidP="007652B5">
      <w:pPr>
        <w:spacing w:after="0"/>
        <w:rPr>
          <w:rFonts w:ascii="Arial" w:hAnsi="Arial" w:cs="Arial"/>
        </w:rPr>
      </w:pPr>
      <w:r>
        <w:rPr>
          <w:rFonts w:ascii="Arial" w:hAnsi="Arial" w:cs="Arial"/>
        </w:rPr>
        <w:t xml:space="preserve">The Committee discussed </w:t>
      </w:r>
      <w:r w:rsidR="0009501D" w:rsidRPr="00491026">
        <w:rPr>
          <w:rFonts w:ascii="Arial" w:hAnsi="Arial" w:cs="Arial"/>
        </w:rPr>
        <w:t xml:space="preserve">AER monitoring and enforcement, </w:t>
      </w:r>
      <w:r>
        <w:rPr>
          <w:rFonts w:ascii="Arial" w:hAnsi="Arial" w:cs="Arial"/>
        </w:rPr>
        <w:t xml:space="preserve">drawing lessons about consumer advocacy from the example. </w:t>
      </w:r>
      <w:r w:rsidR="009A4F70">
        <w:rPr>
          <w:rFonts w:ascii="Arial" w:hAnsi="Arial" w:cs="Arial"/>
        </w:rPr>
        <w:t>Members</w:t>
      </w:r>
      <w:r>
        <w:rPr>
          <w:rFonts w:ascii="Arial" w:hAnsi="Arial" w:cs="Arial"/>
        </w:rPr>
        <w:t xml:space="preserve"> considered the limitations of privately operated product comparison tools, </w:t>
      </w:r>
      <w:r w:rsidR="00AD7254" w:rsidRPr="00491026">
        <w:rPr>
          <w:rFonts w:ascii="Arial" w:hAnsi="Arial" w:cs="Arial"/>
        </w:rPr>
        <w:t xml:space="preserve">noting that there is no independent comparison switching site for telecommunications products. </w:t>
      </w:r>
      <w:r>
        <w:rPr>
          <w:rFonts w:ascii="Arial" w:hAnsi="Arial" w:cs="Arial"/>
        </w:rPr>
        <w:t xml:space="preserve">The Committee felt that is </w:t>
      </w:r>
      <w:r w:rsidR="00AD7254" w:rsidRPr="00491026">
        <w:rPr>
          <w:rFonts w:ascii="Arial" w:hAnsi="Arial" w:cs="Arial"/>
        </w:rPr>
        <w:t>difficult</w:t>
      </w:r>
      <w:r>
        <w:rPr>
          <w:rFonts w:ascii="Arial" w:hAnsi="Arial" w:cs="Arial"/>
        </w:rPr>
        <w:t xml:space="preserve"> to </w:t>
      </w:r>
      <w:r w:rsidRPr="00491026">
        <w:rPr>
          <w:rFonts w:ascii="Arial" w:hAnsi="Arial" w:cs="Arial"/>
        </w:rPr>
        <w:t>present</w:t>
      </w:r>
      <w:r w:rsidR="00AD7254" w:rsidRPr="00491026">
        <w:rPr>
          <w:rFonts w:ascii="Arial" w:hAnsi="Arial" w:cs="Arial"/>
        </w:rPr>
        <w:t xml:space="preserve"> information in a way consumers can identify a product and compare it with others easily</w:t>
      </w:r>
      <w:r>
        <w:rPr>
          <w:rFonts w:ascii="Arial" w:hAnsi="Arial" w:cs="Arial"/>
        </w:rPr>
        <w:t xml:space="preserve">, especially when </w:t>
      </w:r>
      <w:r w:rsidR="00AD7254" w:rsidRPr="00491026">
        <w:rPr>
          <w:rFonts w:ascii="Arial" w:hAnsi="Arial" w:cs="Arial"/>
        </w:rPr>
        <w:t>products are package</w:t>
      </w:r>
      <w:r w:rsidR="006E2B5B">
        <w:rPr>
          <w:rFonts w:ascii="Arial" w:hAnsi="Arial" w:cs="Arial"/>
        </w:rPr>
        <w:t>d</w:t>
      </w:r>
      <w:r w:rsidR="00AD7254" w:rsidRPr="00491026">
        <w:rPr>
          <w:rFonts w:ascii="Arial" w:hAnsi="Arial" w:cs="Arial"/>
        </w:rPr>
        <w:t xml:space="preserve"> in way</w:t>
      </w:r>
      <w:r w:rsidR="006E2B5B">
        <w:rPr>
          <w:rFonts w:ascii="Arial" w:hAnsi="Arial" w:cs="Arial"/>
        </w:rPr>
        <w:t>s</w:t>
      </w:r>
      <w:r w:rsidR="00AD7254" w:rsidRPr="00491026">
        <w:rPr>
          <w:rFonts w:ascii="Arial" w:hAnsi="Arial" w:cs="Arial"/>
        </w:rPr>
        <w:t xml:space="preserve"> that make them difficult to compare. </w:t>
      </w:r>
    </w:p>
    <w:p w:rsidR="006E2B5B" w:rsidRPr="00491026" w:rsidRDefault="006E2B5B" w:rsidP="008836C1">
      <w:pPr>
        <w:spacing w:after="0"/>
        <w:rPr>
          <w:rFonts w:ascii="Arial" w:hAnsi="Arial" w:cs="Arial"/>
        </w:rPr>
      </w:pPr>
    </w:p>
    <w:p w:rsidR="002C6267" w:rsidRPr="00491026" w:rsidRDefault="00AE3822" w:rsidP="008836C1">
      <w:pPr>
        <w:spacing w:after="0"/>
        <w:rPr>
          <w:rFonts w:ascii="Arial" w:hAnsi="Arial" w:cs="Arial"/>
          <w:b/>
        </w:rPr>
      </w:pPr>
      <w:r w:rsidRPr="00491026">
        <w:rPr>
          <w:rFonts w:ascii="Arial" w:hAnsi="Arial" w:cs="Arial"/>
          <w:b/>
        </w:rPr>
        <w:t>Review of local call charging according to distance</w:t>
      </w:r>
    </w:p>
    <w:p w:rsidR="00E65FD6" w:rsidRDefault="007652B5" w:rsidP="00890F56">
      <w:pPr>
        <w:spacing w:after="0"/>
        <w:rPr>
          <w:rFonts w:ascii="Arial" w:hAnsi="Arial" w:cs="Arial"/>
        </w:rPr>
      </w:pPr>
      <w:r>
        <w:rPr>
          <w:rFonts w:ascii="Arial" w:hAnsi="Arial" w:cs="Arial"/>
        </w:rPr>
        <w:t>Members discussed</w:t>
      </w:r>
      <w:r w:rsidR="00994B10" w:rsidRPr="00491026">
        <w:rPr>
          <w:rFonts w:ascii="Arial" w:hAnsi="Arial" w:cs="Arial"/>
        </w:rPr>
        <w:t xml:space="preserve"> </w:t>
      </w:r>
      <w:r w:rsidR="002C6267" w:rsidRPr="00491026">
        <w:rPr>
          <w:rFonts w:ascii="Arial" w:hAnsi="Arial" w:cs="Arial"/>
        </w:rPr>
        <w:t>boundaries for local-calls</w:t>
      </w:r>
      <w:r w:rsidR="00085C33">
        <w:rPr>
          <w:rFonts w:ascii="Arial" w:hAnsi="Arial" w:cs="Arial"/>
        </w:rPr>
        <w:t xml:space="preserve"> from landline phones</w:t>
      </w:r>
      <w:r>
        <w:rPr>
          <w:rFonts w:ascii="Arial" w:hAnsi="Arial" w:cs="Arial"/>
        </w:rPr>
        <w:t>,</w:t>
      </w:r>
      <w:r w:rsidR="009A4F70">
        <w:rPr>
          <w:rFonts w:ascii="Arial" w:hAnsi="Arial" w:cs="Arial"/>
        </w:rPr>
        <w:t xml:space="preserve"> raising concerns that </w:t>
      </w:r>
      <w:r>
        <w:rPr>
          <w:rFonts w:ascii="Arial" w:hAnsi="Arial" w:cs="Arial"/>
        </w:rPr>
        <w:t xml:space="preserve">it is </w:t>
      </w:r>
      <w:r w:rsidR="002C6267" w:rsidRPr="00491026">
        <w:rPr>
          <w:rFonts w:ascii="Arial" w:hAnsi="Arial" w:cs="Arial"/>
        </w:rPr>
        <w:t>hard to determine where a boundary is and if it is still a rele</w:t>
      </w:r>
      <w:r w:rsidR="009A4F70">
        <w:rPr>
          <w:rFonts w:ascii="Arial" w:hAnsi="Arial" w:cs="Arial"/>
        </w:rPr>
        <w:t>vant reflection of a local area</w:t>
      </w:r>
      <w:r w:rsidR="00890F56">
        <w:rPr>
          <w:rFonts w:ascii="Arial" w:hAnsi="Arial" w:cs="Arial"/>
        </w:rPr>
        <w:t xml:space="preserve">. </w:t>
      </w:r>
      <w:r w:rsidR="00EB5F87" w:rsidRPr="00491026">
        <w:rPr>
          <w:rFonts w:ascii="Arial" w:hAnsi="Arial" w:cs="Arial"/>
        </w:rPr>
        <w:t xml:space="preserve"> </w:t>
      </w:r>
      <w:r w:rsidR="00890F56">
        <w:rPr>
          <w:rFonts w:ascii="Arial" w:hAnsi="Arial" w:cs="Arial"/>
        </w:rPr>
        <w:t>The Committee agreed that</w:t>
      </w:r>
      <w:r w:rsidR="00994B10" w:rsidRPr="00491026">
        <w:rPr>
          <w:rFonts w:ascii="Arial" w:hAnsi="Arial" w:cs="Arial"/>
        </w:rPr>
        <w:t xml:space="preserve"> local-call zoning and charging is a long-term issue </w:t>
      </w:r>
      <w:r w:rsidR="00890F56">
        <w:rPr>
          <w:rFonts w:ascii="Arial" w:hAnsi="Arial" w:cs="Arial"/>
        </w:rPr>
        <w:t>and that a</w:t>
      </w:r>
      <w:r w:rsidR="00994B10" w:rsidRPr="00491026">
        <w:rPr>
          <w:rFonts w:ascii="Arial" w:hAnsi="Arial" w:cs="Arial"/>
        </w:rPr>
        <w:t xml:space="preserve">s communities have changed since </w:t>
      </w:r>
      <w:r w:rsidR="009A4F70">
        <w:rPr>
          <w:rFonts w:ascii="Arial" w:hAnsi="Arial" w:cs="Arial"/>
        </w:rPr>
        <w:t>the last review</w:t>
      </w:r>
      <w:r w:rsidR="00994B10" w:rsidRPr="00491026">
        <w:rPr>
          <w:rFonts w:ascii="Arial" w:hAnsi="Arial" w:cs="Arial"/>
        </w:rPr>
        <w:t xml:space="preserve"> some boundary areas have lost their relevance. </w:t>
      </w:r>
      <w:r w:rsidR="00E65FD6" w:rsidRPr="00491026">
        <w:rPr>
          <w:rFonts w:ascii="Arial" w:hAnsi="Arial" w:cs="Arial"/>
        </w:rPr>
        <w:t>Local-call zones will have less relevance as the NBN rolls out and voice services move to V</w:t>
      </w:r>
      <w:r w:rsidR="00890F56">
        <w:rPr>
          <w:rFonts w:ascii="Arial" w:hAnsi="Arial" w:cs="Arial"/>
        </w:rPr>
        <w:t>oI</w:t>
      </w:r>
      <w:r w:rsidR="00E65FD6" w:rsidRPr="00491026">
        <w:rPr>
          <w:rFonts w:ascii="Arial" w:hAnsi="Arial" w:cs="Arial"/>
        </w:rPr>
        <w:t xml:space="preserve">P systems. </w:t>
      </w:r>
    </w:p>
    <w:p w:rsidR="006E2B5B" w:rsidRPr="00491026" w:rsidRDefault="006E2B5B" w:rsidP="008836C1">
      <w:pPr>
        <w:spacing w:after="0"/>
        <w:rPr>
          <w:rFonts w:ascii="Arial" w:hAnsi="Arial" w:cs="Arial"/>
        </w:rPr>
      </w:pPr>
    </w:p>
    <w:p w:rsidR="00AE3822" w:rsidRPr="00491026" w:rsidRDefault="00AE3822" w:rsidP="008836C1">
      <w:pPr>
        <w:spacing w:after="0"/>
        <w:rPr>
          <w:rFonts w:ascii="Arial" w:hAnsi="Arial" w:cs="Arial"/>
          <w:b/>
        </w:rPr>
      </w:pPr>
      <w:r w:rsidRPr="00491026">
        <w:rPr>
          <w:rFonts w:ascii="Arial" w:hAnsi="Arial" w:cs="Arial"/>
          <w:b/>
        </w:rPr>
        <w:t>Limited access to NBN interim Satellite Service</w:t>
      </w:r>
    </w:p>
    <w:p w:rsidR="005A0E5E" w:rsidRDefault="001667C2" w:rsidP="001667C2">
      <w:pPr>
        <w:spacing w:after="0"/>
        <w:rPr>
          <w:rFonts w:ascii="Arial" w:hAnsi="Arial" w:cs="Arial"/>
        </w:rPr>
      </w:pPr>
      <w:r>
        <w:rPr>
          <w:rFonts w:ascii="Arial" w:hAnsi="Arial" w:cs="Arial"/>
        </w:rPr>
        <w:t xml:space="preserve">The Committee discussed the interim NBN Co Satellite service which some customers are eligible for instead of the Australian Broadband Guarantee. The Committee recognised the need to limit the number of customers eligible for the higher quality interim service but felt that the strict eligibility criteria missed some core groups of consumers, particularly </w:t>
      </w:r>
      <w:r w:rsidRPr="00491026">
        <w:rPr>
          <w:rFonts w:ascii="Arial" w:hAnsi="Arial" w:cs="Arial"/>
        </w:rPr>
        <w:t>indigenous</w:t>
      </w:r>
      <w:r w:rsidR="005A0E5E" w:rsidRPr="00491026">
        <w:rPr>
          <w:rFonts w:ascii="Arial" w:hAnsi="Arial" w:cs="Arial"/>
        </w:rPr>
        <w:t xml:space="preserve"> communities who use a satellite service for multiple</w:t>
      </w:r>
      <w:r w:rsidR="00A4338F">
        <w:rPr>
          <w:rFonts w:ascii="Arial" w:hAnsi="Arial" w:cs="Arial"/>
        </w:rPr>
        <w:t xml:space="preserve"> community</w:t>
      </w:r>
      <w:r w:rsidR="005A0E5E" w:rsidRPr="00491026">
        <w:rPr>
          <w:rFonts w:ascii="Arial" w:hAnsi="Arial" w:cs="Arial"/>
        </w:rPr>
        <w:t xml:space="preserve"> computers</w:t>
      </w:r>
      <w:r>
        <w:rPr>
          <w:rFonts w:ascii="Arial" w:hAnsi="Arial" w:cs="Arial"/>
        </w:rPr>
        <w:t>.</w:t>
      </w:r>
    </w:p>
    <w:p w:rsidR="006E2B5B" w:rsidRPr="00491026" w:rsidRDefault="006E2B5B" w:rsidP="008836C1">
      <w:pPr>
        <w:spacing w:after="0"/>
        <w:rPr>
          <w:rFonts w:ascii="Arial" w:hAnsi="Arial" w:cs="Arial"/>
          <w:b/>
        </w:rPr>
      </w:pPr>
    </w:p>
    <w:p w:rsidR="00D02B94" w:rsidRPr="00491026" w:rsidRDefault="00A4338F" w:rsidP="008836C1">
      <w:pPr>
        <w:spacing w:after="0"/>
        <w:rPr>
          <w:rFonts w:ascii="Arial" w:hAnsi="Arial" w:cs="Arial"/>
          <w:b/>
        </w:rPr>
      </w:pPr>
      <w:r>
        <w:rPr>
          <w:rFonts w:ascii="Arial" w:hAnsi="Arial" w:cs="Arial"/>
          <w:b/>
        </w:rPr>
        <w:t>M</w:t>
      </w:r>
      <w:r w:rsidR="00D02B94" w:rsidRPr="00491026">
        <w:rPr>
          <w:rFonts w:ascii="Arial" w:hAnsi="Arial" w:cs="Arial"/>
          <w:b/>
        </w:rPr>
        <w:t>islea</w:t>
      </w:r>
      <w:r w:rsidR="004676E7">
        <w:rPr>
          <w:rFonts w:ascii="Arial" w:hAnsi="Arial" w:cs="Arial"/>
          <w:b/>
        </w:rPr>
        <w:t>ding and deceptive advertising and hardship case study</w:t>
      </w:r>
    </w:p>
    <w:p w:rsidR="00F2666A" w:rsidRDefault="004676E7" w:rsidP="004676E7">
      <w:pPr>
        <w:spacing w:after="0"/>
        <w:rPr>
          <w:rFonts w:ascii="Arial" w:hAnsi="Arial" w:cs="Arial"/>
        </w:rPr>
      </w:pPr>
      <w:r>
        <w:rPr>
          <w:rFonts w:ascii="Arial" w:hAnsi="Arial" w:cs="Arial"/>
        </w:rPr>
        <w:t>A member referred ACCAN to a possible case of misleading or deceptive advertising. ACCAN agreed to</w:t>
      </w:r>
      <w:r w:rsidR="00827D3C" w:rsidRPr="00491026">
        <w:rPr>
          <w:rFonts w:ascii="Arial" w:hAnsi="Arial" w:cs="Arial"/>
        </w:rPr>
        <w:t xml:space="preserve"> investigate further, possibly referring the case to the ACCC for action. </w:t>
      </w:r>
      <w:r>
        <w:rPr>
          <w:rFonts w:ascii="Arial" w:hAnsi="Arial" w:cs="Arial"/>
        </w:rPr>
        <w:t xml:space="preserve">The member </w:t>
      </w:r>
      <w:r w:rsidR="006D7078">
        <w:rPr>
          <w:rFonts w:ascii="Arial" w:hAnsi="Arial" w:cs="Arial"/>
        </w:rPr>
        <w:t xml:space="preserve">also </w:t>
      </w:r>
      <w:r>
        <w:rPr>
          <w:rFonts w:ascii="Arial" w:hAnsi="Arial" w:cs="Arial"/>
        </w:rPr>
        <w:t xml:space="preserve">raised two case studies about telco hardship policies.  ACCAN encouraged members to refer case studies to contribute to ACCAN’s evidence base. There was a brief discussion about the need to work towards </w:t>
      </w:r>
      <w:r w:rsidR="00F2666A" w:rsidRPr="00491026">
        <w:rPr>
          <w:rFonts w:ascii="Arial" w:hAnsi="Arial" w:cs="Arial"/>
        </w:rPr>
        <w:t xml:space="preserve">a standard set of criteria for hardship for all </w:t>
      </w:r>
      <w:r>
        <w:rPr>
          <w:rFonts w:ascii="Arial" w:hAnsi="Arial" w:cs="Arial"/>
        </w:rPr>
        <w:t xml:space="preserve">telecommunications </w:t>
      </w:r>
      <w:r w:rsidR="00F2666A" w:rsidRPr="00491026">
        <w:rPr>
          <w:rFonts w:ascii="Arial" w:hAnsi="Arial" w:cs="Arial"/>
        </w:rPr>
        <w:t xml:space="preserve">products. </w:t>
      </w:r>
    </w:p>
    <w:p w:rsidR="004676E7" w:rsidRDefault="004676E7" w:rsidP="008836C1">
      <w:pPr>
        <w:spacing w:after="0"/>
        <w:rPr>
          <w:rFonts w:ascii="Arial" w:hAnsi="Arial" w:cs="Arial"/>
        </w:rPr>
      </w:pPr>
    </w:p>
    <w:p w:rsidR="00AE3822" w:rsidRDefault="00EC7B6E" w:rsidP="008836C1">
      <w:pPr>
        <w:spacing w:after="0"/>
        <w:rPr>
          <w:rFonts w:ascii="Arial" w:hAnsi="Arial" w:cs="Arial"/>
        </w:rPr>
      </w:pPr>
      <w:r w:rsidRPr="00491026">
        <w:rPr>
          <w:rFonts w:ascii="Arial" w:hAnsi="Arial" w:cs="Arial"/>
          <w:b/>
        </w:rPr>
        <w:t>Charging for mobile number porting</w:t>
      </w:r>
      <w:r w:rsidR="00AE3822" w:rsidRPr="00491026">
        <w:rPr>
          <w:rFonts w:ascii="Arial" w:hAnsi="Arial" w:cs="Arial"/>
        </w:rPr>
        <w:br/>
      </w:r>
      <w:r w:rsidR="006B703E">
        <w:rPr>
          <w:rFonts w:ascii="Arial" w:hAnsi="Arial" w:cs="Arial"/>
        </w:rPr>
        <w:t>Members discussed the</w:t>
      </w:r>
      <w:r w:rsidRPr="00491026">
        <w:rPr>
          <w:rFonts w:ascii="Arial" w:hAnsi="Arial" w:cs="Arial"/>
        </w:rPr>
        <w:t xml:space="preserve"> Optus $8 fee to port </w:t>
      </w:r>
      <w:r w:rsidR="00085C33">
        <w:rPr>
          <w:rFonts w:ascii="Arial" w:hAnsi="Arial" w:cs="Arial"/>
        </w:rPr>
        <w:t>a phone</w:t>
      </w:r>
      <w:r w:rsidRPr="00491026">
        <w:rPr>
          <w:rFonts w:ascii="Arial" w:hAnsi="Arial" w:cs="Arial"/>
        </w:rPr>
        <w:t xml:space="preserve"> number to ano</w:t>
      </w:r>
      <w:r w:rsidR="006E2B5B">
        <w:rPr>
          <w:rFonts w:ascii="Arial" w:hAnsi="Arial" w:cs="Arial"/>
        </w:rPr>
        <w:t xml:space="preserve">ther </w:t>
      </w:r>
      <w:r w:rsidR="006B703E">
        <w:rPr>
          <w:rFonts w:ascii="Arial" w:hAnsi="Arial" w:cs="Arial"/>
        </w:rPr>
        <w:t>service</w:t>
      </w:r>
      <w:r w:rsidR="009342F2">
        <w:rPr>
          <w:rFonts w:ascii="Arial" w:hAnsi="Arial" w:cs="Arial"/>
        </w:rPr>
        <w:t xml:space="preserve"> and agreed to follow the matter up. </w:t>
      </w:r>
      <w:r w:rsidRPr="00491026">
        <w:rPr>
          <w:rFonts w:ascii="Arial" w:hAnsi="Arial" w:cs="Arial"/>
        </w:rPr>
        <w:t xml:space="preserve"> </w:t>
      </w:r>
    </w:p>
    <w:p w:rsidR="005979E8" w:rsidRPr="00491026" w:rsidRDefault="005979E8" w:rsidP="008836C1">
      <w:pPr>
        <w:spacing w:after="0"/>
        <w:rPr>
          <w:rFonts w:ascii="Arial" w:hAnsi="Arial" w:cs="Arial"/>
        </w:rPr>
      </w:pPr>
    </w:p>
    <w:p w:rsidR="00AE3822" w:rsidRPr="00491026" w:rsidRDefault="00AE3822" w:rsidP="008836C1">
      <w:pPr>
        <w:spacing w:after="0"/>
        <w:rPr>
          <w:rFonts w:ascii="Arial" w:hAnsi="Arial" w:cs="Arial"/>
          <w:b/>
        </w:rPr>
      </w:pPr>
      <w:r w:rsidRPr="00491026">
        <w:rPr>
          <w:rFonts w:ascii="Arial" w:hAnsi="Arial" w:cs="Arial"/>
          <w:b/>
        </w:rPr>
        <w:t>Silent line charging</w:t>
      </w:r>
    </w:p>
    <w:p w:rsidR="006E2B5B" w:rsidRDefault="000162FA" w:rsidP="008836C1">
      <w:pPr>
        <w:spacing w:after="0"/>
        <w:rPr>
          <w:rFonts w:ascii="Arial" w:hAnsi="Arial" w:cs="Arial"/>
        </w:rPr>
      </w:pPr>
      <w:r w:rsidRPr="00491026">
        <w:rPr>
          <w:rFonts w:ascii="Arial" w:hAnsi="Arial" w:cs="Arial"/>
        </w:rPr>
        <w:t xml:space="preserve">Currently consumers are charged </w:t>
      </w:r>
      <w:r w:rsidR="006B703E">
        <w:rPr>
          <w:rFonts w:ascii="Arial" w:hAnsi="Arial" w:cs="Arial"/>
        </w:rPr>
        <w:t>about</w:t>
      </w:r>
      <w:r w:rsidRPr="00491026">
        <w:rPr>
          <w:rFonts w:ascii="Arial" w:hAnsi="Arial" w:cs="Arial"/>
        </w:rPr>
        <w:t xml:space="preserve"> $6-8 per month to obtain a silent line (i.e. a private landline number which is not listed in directory services</w:t>
      </w:r>
      <w:r w:rsidR="007A61BA" w:rsidRPr="00491026">
        <w:rPr>
          <w:rFonts w:ascii="Arial" w:hAnsi="Arial" w:cs="Arial"/>
        </w:rPr>
        <w:t>, some services also include caller ID blocking</w:t>
      </w:r>
      <w:r w:rsidRPr="00491026">
        <w:rPr>
          <w:rFonts w:ascii="Arial" w:hAnsi="Arial" w:cs="Arial"/>
        </w:rPr>
        <w:t xml:space="preserve">). </w:t>
      </w:r>
      <w:r w:rsidR="003647A5" w:rsidRPr="00491026">
        <w:rPr>
          <w:rFonts w:ascii="Arial" w:hAnsi="Arial" w:cs="Arial"/>
        </w:rPr>
        <w:t xml:space="preserve"> </w:t>
      </w:r>
      <w:r w:rsidR="007A61BA" w:rsidRPr="00491026">
        <w:rPr>
          <w:rFonts w:ascii="Arial" w:hAnsi="Arial" w:cs="Arial"/>
        </w:rPr>
        <w:t>This issue has been considered by the</w:t>
      </w:r>
      <w:r w:rsidR="006A2DE7" w:rsidRPr="00491026">
        <w:rPr>
          <w:rFonts w:ascii="Arial" w:hAnsi="Arial" w:cs="Arial"/>
        </w:rPr>
        <w:t xml:space="preserve"> Australian Law Reform Commission </w:t>
      </w:r>
      <w:r w:rsidR="007A61BA" w:rsidRPr="00491026">
        <w:rPr>
          <w:rFonts w:ascii="Arial" w:hAnsi="Arial" w:cs="Arial"/>
        </w:rPr>
        <w:t xml:space="preserve">who recommended that the charges be abolished. </w:t>
      </w:r>
      <w:r w:rsidR="009342F2">
        <w:rPr>
          <w:rFonts w:ascii="Arial" w:hAnsi="Arial" w:cs="Arial"/>
        </w:rPr>
        <w:t>The Committee considered how ACCAN could progress this issue</w:t>
      </w:r>
      <w:r w:rsidR="006B703E">
        <w:rPr>
          <w:rFonts w:ascii="Arial" w:hAnsi="Arial" w:cs="Arial"/>
        </w:rPr>
        <w:t>. Members felt ACCAN</w:t>
      </w:r>
      <w:r w:rsidR="009342F2">
        <w:rPr>
          <w:rFonts w:ascii="Arial" w:hAnsi="Arial" w:cs="Arial"/>
        </w:rPr>
        <w:t xml:space="preserve"> should</w:t>
      </w:r>
      <w:r w:rsidR="007A61BA" w:rsidRPr="00491026">
        <w:rPr>
          <w:rFonts w:ascii="Arial" w:hAnsi="Arial" w:cs="Arial"/>
        </w:rPr>
        <w:t xml:space="preserve"> work with women’s organisations to understand the importance of silent numbers</w:t>
      </w:r>
      <w:r w:rsidR="006B703E">
        <w:rPr>
          <w:rFonts w:ascii="Arial" w:hAnsi="Arial" w:cs="Arial"/>
        </w:rPr>
        <w:t xml:space="preserve"> and that</w:t>
      </w:r>
      <w:r w:rsidR="00525C39" w:rsidRPr="00491026">
        <w:rPr>
          <w:rFonts w:ascii="Arial" w:hAnsi="Arial" w:cs="Arial"/>
        </w:rPr>
        <w:t xml:space="preserve"> charges should be eliminated for all cases rather t</w:t>
      </w:r>
      <w:r w:rsidR="006B703E">
        <w:rPr>
          <w:rFonts w:ascii="Arial" w:hAnsi="Arial" w:cs="Arial"/>
        </w:rPr>
        <w:t>han be made situation specific.</w:t>
      </w:r>
      <w:r w:rsidR="00525C39" w:rsidRPr="00491026">
        <w:rPr>
          <w:rFonts w:ascii="Arial" w:hAnsi="Arial" w:cs="Arial"/>
        </w:rPr>
        <w:t xml:space="preserve"> </w:t>
      </w:r>
    </w:p>
    <w:p w:rsidR="009342F2" w:rsidRPr="00491026" w:rsidRDefault="009342F2" w:rsidP="008836C1">
      <w:pPr>
        <w:spacing w:after="0"/>
        <w:rPr>
          <w:rFonts w:ascii="Arial" w:hAnsi="Arial" w:cs="Arial"/>
        </w:rPr>
      </w:pPr>
    </w:p>
    <w:p w:rsidR="006E2B5B" w:rsidRPr="00491026" w:rsidRDefault="00525C39" w:rsidP="008836C1">
      <w:pPr>
        <w:spacing w:after="0"/>
        <w:rPr>
          <w:rFonts w:ascii="Arial" w:hAnsi="Arial" w:cs="Arial"/>
          <w:b/>
        </w:rPr>
      </w:pPr>
      <w:r w:rsidRPr="00491026">
        <w:rPr>
          <w:rFonts w:ascii="Arial" w:hAnsi="Arial" w:cs="Arial"/>
          <w:b/>
        </w:rPr>
        <w:t>Missed call alerts on mobile phones</w:t>
      </w:r>
    </w:p>
    <w:p w:rsidR="006D26C1" w:rsidRDefault="00906CC7" w:rsidP="008836C1">
      <w:pPr>
        <w:spacing w:after="0"/>
        <w:rPr>
          <w:rFonts w:ascii="Arial" w:hAnsi="Arial" w:cs="Arial"/>
        </w:rPr>
      </w:pPr>
      <w:r w:rsidRPr="00491026">
        <w:rPr>
          <w:rFonts w:ascii="Arial" w:hAnsi="Arial" w:cs="Arial"/>
        </w:rPr>
        <w:t xml:space="preserve">The Committee considered what the most </w:t>
      </w:r>
      <w:r w:rsidR="0074275F">
        <w:rPr>
          <w:rFonts w:ascii="Arial" w:hAnsi="Arial" w:cs="Arial"/>
        </w:rPr>
        <w:t xml:space="preserve">appropriate </w:t>
      </w:r>
      <w:r w:rsidRPr="00491026">
        <w:rPr>
          <w:rFonts w:ascii="Arial" w:hAnsi="Arial" w:cs="Arial"/>
        </w:rPr>
        <w:t>default for missed call alerts should be when a consumer has not activated a voice mail service</w:t>
      </w:r>
      <w:r w:rsidR="0074275F">
        <w:rPr>
          <w:rFonts w:ascii="Arial" w:hAnsi="Arial" w:cs="Arial"/>
        </w:rPr>
        <w:t xml:space="preserve"> for their mobile phone</w:t>
      </w:r>
      <w:r w:rsidRPr="00491026">
        <w:rPr>
          <w:rFonts w:ascii="Arial" w:hAnsi="Arial" w:cs="Arial"/>
        </w:rPr>
        <w:t>. The Committee felt that transparency was very important and that all services should notify callers that they will be charged if they choose to proceed and leave a message us</w:t>
      </w:r>
      <w:r w:rsidR="00721FBC">
        <w:rPr>
          <w:rFonts w:ascii="Arial" w:hAnsi="Arial" w:cs="Arial"/>
        </w:rPr>
        <w:t xml:space="preserve">ing missed call alert services. </w:t>
      </w:r>
      <w:r w:rsidRPr="00491026">
        <w:rPr>
          <w:rFonts w:ascii="Arial" w:hAnsi="Arial" w:cs="Arial"/>
        </w:rPr>
        <w:t>They felt that the system was confusing, especially as handsets often offer a free missed call notification</w:t>
      </w:r>
      <w:r w:rsidR="009342F2">
        <w:rPr>
          <w:rFonts w:ascii="Arial" w:hAnsi="Arial" w:cs="Arial"/>
        </w:rPr>
        <w:t>.</w:t>
      </w:r>
    </w:p>
    <w:p w:rsidR="00721FBC" w:rsidRDefault="00721FBC" w:rsidP="008836C1">
      <w:pPr>
        <w:spacing w:after="0"/>
        <w:rPr>
          <w:rFonts w:ascii="Arial" w:hAnsi="Arial" w:cs="Arial"/>
          <w:b/>
        </w:rPr>
      </w:pPr>
    </w:p>
    <w:p w:rsidR="00AE3822" w:rsidRPr="00491026" w:rsidRDefault="00AE3822" w:rsidP="008836C1">
      <w:pPr>
        <w:spacing w:after="0"/>
        <w:rPr>
          <w:rFonts w:ascii="Arial" w:hAnsi="Arial" w:cs="Arial"/>
          <w:b/>
        </w:rPr>
      </w:pPr>
      <w:r w:rsidRPr="00491026">
        <w:rPr>
          <w:rFonts w:ascii="Arial" w:hAnsi="Arial" w:cs="Arial"/>
          <w:b/>
        </w:rPr>
        <w:t xml:space="preserve">Copyright </w:t>
      </w:r>
    </w:p>
    <w:p w:rsidR="00A57017" w:rsidRDefault="0048611D" w:rsidP="00F50A0B">
      <w:pPr>
        <w:spacing w:after="0"/>
        <w:rPr>
          <w:rFonts w:ascii="Arial" w:hAnsi="Arial" w:cs="Arial"/>
        </w:rPr>
      </w:pPr>
      <w:r>
        <w:rPr>
          <w:rFonts w:ascii="Arial" w:hAnsi="Arial" w:cs="Arial"/>
        </w:rPr>
        <w:t xml:space="preserve">The Committee considered options for ACCAN to develop a position on copyright, raising concerns that </w:t>
      </w:r>
      <w:r w:rsidR="00936547">
        <w:rPr>
          <w:rFonts w:ascii="Arial" w:hAnsi="Arial" w:cs="Arial"/>
        </w:rPr>
        <w:t xml:space="preserve">strong </w:t>
      </w:r>
      <w:r w:rsidR="00C06296" w:rsidRPr="00491026">
        <w:rPr>
          <w:rFonts w:ascii="Arial" w:hAnsi="Arial" w:cs="Arial"/>
        </w:rPr>
        <w:t>ideological stances of different groups</w:t>
      </w:r>
      <w:r w:rsidR="00936547">
        <w:rPr>
          <w:rFonts w:ascii="Arial" w:hAnsi="Arial" w:cs="Arial"/>
        </w:rPr>
        <w:t xml:space="preserve"> on th</w:t>
      </w:r>
      <w:r w:rsidR="00836C35">
        <w:rPr>
          <w:rFonts w:ascii="Arial" w:hAnsi="Arial" w:cs="Arial"/>
        </w:rPr>
        <w:t>e</w:t>
      </w:r>
      <w:r w:rsidR="00936547">
        <w:rPr>
          <w:rFonts w:ascii="Arial" w:hAnsi="Arial" w:cs="Arial"/>
        </w:rPr>
        <w:t xml:space="preserve"> matter</w:t>
      </w:r>
      <w:r>
        <w:rPr>
          <w:rFonts w:ascii="Arial" w:hAnsi="Arial" w:cs="Arial"/>
        </w:rPr>
        <w:t xml:space="preserve"> make it difficult to create a general consumer position</w:t>
      </w:r>
      <w:r w:rsidR="00C06296" w:rsidRPr="00491026">
        <w:rPr>
          <w:rFonts w:ascii="Arial" w:hAnsi="Arial" w:cs="Arial"/>
        </w:rPr>
        <w:t xml:space="preserve">. </w:t>
      </w:r>
      <w:r>
        <w:rPr>
          <w:rFonts w:ascii="Arial" w:hAnsi="Arial" w:cs="Arial"/>
        </w:rPr>
        <w:t xml:space="preserve">Further difficulty </w:t>
      </w:r>
      <w:r w:rsidR="00836C35">
        <w:rPr>
          <w:rFonts w:ascii="Arial" w:hAnsi="Arial" w:cs="Arial"/>
        </w:rPr>
        <w:t>arises due to</w:t>
      </w:r>
      <w:r>
        <w:rPr>
          <w:rFonts w:ascii="Arial" w:hAnsi="Arial" w:cs="Arial"/>
        </w:rPr>
        <w:t xml:space="preserve"> a </w:t>
      </w:r>
      <w:r w:rsidR="00936547">
        <w:rPr>
          <w:rFonts w:ascii="Arial" w:hAnsi="Arial" w:cs="Arial"/>
        </w:rPr>
        <w:t>growing number of</w:t>
      </w:r>
      <w:r w:rsidR="00C06296" w:rsidRPr="00491026">
        <w:rPr>
          <w:rFonts w:ascii="Arial" w:hAnsi="Arial" w:cs="Arial"/>
        </w:rPr>
        <w:t xml:space="preserve"> individual </w:t>
      </w:r>
      <w:r w:rsidR="00615845" w:rsidRPr="00491026">
        <w:rPr>
          <w:rFonts w:ascii="Arial" w:hAnsi="Arial" w:cs="Arial"/>
        </w:rPr>
        <w:t>consumers creat</w:t>
      </w:r>
      <w:r w:rsidR="00836C35">
        <w:rPr>
          <w:rFonts w:ascii="Arial" w:hAnsi="Arial" w:cs="Arial"/>
        </w:rPr>
        <w:t>ing</w:t>
      </w:r>
      <w:r w:rsidR="00615845" w:rsidRPr="00491026">
        <w:rPr>
          <w:rFonts w:ascii="Arial" w:hAnsi="Arial" w:cs="Arial"/>
        </w:rPr>
        <w:t xml:space="preserve"> copyrighted material</w:t>
      </w:r>
      <w:r w:rsidR="00CE367C" w:rsidRPr="00491026">
        <w:rPr>
          <w:rFonts w:ascii="Arial" w:hAnsi="Arial" w:cs="Arial"/>
        </w:rPr>
        <w:t xml:space="preserve">, </w:t>
      </w:r>
      <w:r>
        <w:rPr>
          <w:rFonts w:ascii="Arial" w:hAnsi="Arial" w:cs="Arial"/>
        </w:rPr>
        <w:t xml:space="preserve">the cost and availability of content in the Australian market, </w:t>
      </w:r>
      <w:r w:rsidR="00F50A0B">
        <w:rPr>
          <w:rFonts w:ascii="Arial" w:hAnsi="Arial" w:cs="Arial"/>
        </w:rPr>
        <w:t xml:space="preserve">and </w:t>
      </w:r>
      <w:r w:rsidR="00CE367C" w:rsidRPr="00491026">
        <w:rPr>
          <w:rFonts w:ascii="Arial" w:hAnsi="Arial" w:cs="Arial"/>
        </w:rPr>
        <w:t>commercial pirates profiting from mass producti</w:t>
      </w:r>
      <w:r w:rsidR="001D3398" w:rsidRPr="00491026">
        <w:rPr>
          <w:rFonts w:ascii="Arial" w:hAnsi="Arial" w:cs="Arial"/>
        </w:rPr>
        <w:t xml:space="preserve">on of illegal materials. </w:t>
      </w:r>
      <w:r w:rsidR="00936547">
        <w:rPr>
          <w:rFonts w:ascii="Arial" w:hAnsi="Arial" w:cs="Arial"/>
        </w:rPr>
        <w:t xml:space="preserve"> </w:t>
      </w:r>
      <w:r>
        <w:rPr>
          <w:rFonts w:ascii="Arial" w:hAnsi="Arial" w:cs="Arial"/>
        </w:rPr>
        <w:t xml:space="preserve">ACCAN originally became interested in copyright issues </w:t>
      </w:r>
      <w:r w:rsidR="00F61FBA" w:rsidRPr="00491026">
        <w:rPr>
          <w:rFonts w:ascii="Arial" w:hAnsi="Arial" w:cs="Arial"/>
        </w:rPr>
        <w:t xml:space="preserve">because there was a possibility of ISPs being forced to disconnect consumers accused of (but not necessarily proved to be) downloading content illegally. </w:t>
      </w:r>
      <w:r w:rsidR="00F50A0B">
        <w:rPr>
          <w:rFonts w:ascii="Arial" w:hAnsi="Arial" w:cs="Arial"/>
        </w:rPr>
        <w:t>Members</w:t>
      </w:r>
      <w:r w:rsidR="006B0BB4" w:rsidRPr="00491026">
        <w:rPr>
          <w:rFonts w:ascii="Arial" w:hAnsi="Arial" w:cs="Arial"/>
        </w:rPr>
        <w:t xml:space="preserve"> felt that ACCAN should develop a paper for the current government inquiry into copyright</w:t>
      </w:r>
      <w:r w:rsidR="00936547">
        <w:rPr>
          <w:rFonts w:ascii="Arial" w:hAnsi="Arial" w:cs="Arial"/>
        </w:rPr>
        <w:t>,</w:t>
      </w:r>
      <w:r w:rsidR="006B0BB4" w:rsidRPr="00491026">
        <w:rPr>
          <w:rFonts w:ascii="Arial" w:hAnsi="Arial" w:cs="Arial"/>
        </w:rPr>
        <w:t xml:space="preserve"> focusing</w:t>
      </w:r>
      <w:r w:rsidR="00F61FBA" w:rsidRPr="00491026">
        <w:rPr>
          <w:rFonts w:ascii="Arial" w:hAnsi="Arial" w:cs="Arial"/>
        </w:rPr>
        <w:t xml:space="preserve"> on the principles behind copyright and the anachronisms in legislation.</w:t>
      </w:r>
      <w:r w:rsidR="006B0BB4" w:rsidRPr="00491026">
        <w:rPr>
          <w:rFonts w:ascii="Arial" w:hAnsi="Arial" w:cs="Arial"/>
        </w:rPr>
        <w:t xml:space="preserve"> </w:t>
      </w:r>
    </w:p>
    <w:p w:rsidR="00474A84" w:rsidRDefault="00474A84" w:rsidP="00F50A0B">
      <w:pPr>
        <w:spacing w:after="0"/>
        <w:rPr>
          <w:rFonts w:ascii="Arial" w:hAnsi="Arial" w:cs="Arial"/>
        </w:rPr>
      </w:pPr>
    </w:p>
    <w:p w:rsidR="00474A84" w:rsidRPr="00491026" w:rsidRDefault="00474A84" w:rsidP="00474A84">
      <w:pPr>
        <w:spacing w:after="0"/>
        <w:rPr>
          <w:rFonts w:ascii="Arial" w:hAnsi="Arial" w:cs="Arial"/>
          <w:b/>
        </w:rPr>
      </w:pPr>
      <w:r w:rsidRPr="00491026">
        <w:rPr>
          <w:rFonts w:ascii="Arial" w:hAnsi="Arial" w:cs="Arial"/>
          <w:b/>
        </w:rPr>
        <w:t>IT pricing inquiry</w:t>
      </w:r>
      <w:r w:rsidRPr="00491026">
        <w:rPr>
          <w:rFonts w:ascii="Arial" w:hAnsi="Arial" w:cs="Arial"/>
          <w:b/>
        </w:rPr>
        <w:tab/>
      </w:r>
    </w:p>
    <w:p w:rsidR="00474A84" w:rsidRPr="00474A84" w:rsidRDefault="00BE76C9" w:rsidP="00F50A0B">
      <w:pPr>
        <w:spacing w:after="0"/>
        <w:rPr>
          <w:rFonts w:ascii="Arial" w:hAnsi="Arial" w:cs="Arial"/>
        </w:rPr>
      </w:pPr>
      <w:r>
        <w:rPr>
          <w:rFonts w:ascii="Arial" w:hAnsi="Arial" w:cs="Arial"/>
        </w:rPr>
        <w:t>Members discussed the</w:t>
      </w:r>
      <w:r w:rsidR="00474A84" w:rsidRPr="00491026">
        <w:rPr>
          <w:rFonts w:ascii="Arial" w:hAnsi="Arial" w:cs="Arial"/>
        </w:rPr>
        <w:t xml:space="preserve"> u</w:t>
      </w:r>
      <w:r>
        <w:rPr>
          <w:rFonts w:ascii="Arial" w:hAnsi="Arial" w:cs="Arial"/>
        </w:rPr>
        <w:t xml:space="preserve">pcoming inquiry into IT pricing, </w:t>
      </w:r>
      <w:r w:rsidR="00474A84" w:rsidRPr="00491026">
        <w:rPr>
          <w:rFonts w:ascii="Arial" w:hAnsi="Arial" w:cs="Arial"/>
        </w:rPr>
        <w:t>recommend</w:t>
      </w:r>
      <w:r>
        <w:rPr>
          <w:rFonts w:ascii="Arial" w:hAnsi="Arial" w:cs="Arial"/>
        </w:rPr>
        <w:t xml:space="preserve">ing that ACCAN look </w:t>
      </w:r>
      <w:r w:rsidR="00474A84" w:rsidRPr="00491026">
        <w:rPr>
          <w:rFonts w:ascii="Arial" w:hAnsi="Arial" w:cs="Arial"/>
        </w:rPr>
        <w:t xml:space="preserve">at </w:t>
      </w:r>
      <w:r>
        <w:rPr>
          <w:rFonts w:ascii="Arial" w:hAnsi="Arial" w:cs="Arial"/>
        </w:rPr>
        <w:t>design and computer protection</w:t>
      </w:r>
      <w:r w:rsidR="00474A84" w:rsidRPr="00491026">
        <w:rPr>
          <w:rFonts w:ascii="Arial" w:hAnsi="Arial" w:cs="Arial"/>
        </w:rPr>
        <w:t xml:space="preserve"> software. </w:t>
      </w:r>
    </w:p>
    <w:p w:rsidR="00F50A0B" w:rsidRDefault="00F50A0B" w:rsidP="008836C1">
      <w:pPr>
        <w:spacing w:after="0"/>
        <w:rPr>
          <w:rFonts w:ascii="Arial" w:hAnsi="Arial" w:cs="Arial"/>
          <w:b/>
        </w:rPr>
      </w:pPr>
    </w:p>
    <w:p w:rsidR="00AE3822" w:rsidRPr="00491026" w:rsidRDefault="00474A84" w:rsidP="008836C1">
      <w:pPr>
        <w:spacing w:after="0"/>
        <w:rPr>
          <w:rFonts w:ascii="Arial" w:hAnsi="Arial" w:cs="Arial"/>
          <w:b/>
        </w:rPr>
      </w:pPr>
      <w:r>
        <w:rPr>
          <w:rFonts w:ascii="Arial" w:hAnsi="Arial" w:cs="Arial"/>
          <w:b/>
        </w:rPr>
        <w:t>Briefings</w:t>
      </w:r>
    </w:p>
    <w:p w:rsidR="00474A84" w:rsidRDefault="00474A84" w:rsidP="008836C1">
      <w:pPr>
        <w:spacing w:after="0"/>
        <w:rPr>
          <w:rFonts w:ascii="Arial" w:hAnsi="Arial" w:cs="Arial"/>
        </w:rPr>
      </w:pPr>
      <w:r>
        <w:rPr>
          <w:rFonts w:ascii="Arial" w:hAnsi="Arial" w:cs="Arial"/>
        </w:rPr>
        <w:t>Members were provided with briefings on:</w:t>
      </w:r>
    </w:p>
    <w:p w:rsidR="00474A84" w:rsidRPr="00BE76C9" w:rsidRDefault="00474A84" w:rsidP="00BE76C9">
      <w:pPr>
        <w:pStyle w:val="ListParagraph"/>
        <w:numPr>
          <w:ilvl w:val="0"/>
          <w:numId w:val="9"/>
        </w:numPr>
        <w:spacing w:after="0"/>
        <w:rPr>
          <w:rFonts w:ascii="Arial" w:hAnsi="Arial" w:cs="Arial"/>
        </w:rPr>
      </w:pPr>
      <w:r w:rsidRPr="00BE76C9">
        <w:rPr>
          <w:rFonts w:ascii="Arial" w:hAnsi="Arial" w:cs="Arial"/>
        </w:rPr>
        <w:t xml:space="preserve">Upcoming ACCAN research projects </w:t>
      </w:r>
    </w:p>
    <w:p w:rsidR="00474A84" w:rsidRPr="00BE76C9" w:rsidRDefault="00836C35" w:rsidP="00BE76C9">
      <w:pPr>
        <w:pStyle w:val="ListParagraph"/>
        <w:numPr>
          <w:ilvl w:val="0"/>
          <w:numId w:val="9"/>
        </w:numPr>
        <w:spacing w:after="0"/>
        <w:rPr>
          <w:rFonts w:ascii="Arial" w:hAnsi="Arial" w:cs="Arial"/>
        </w:rPr>
      </w:pPr>
      <w:r>
        <w:rPr>
          <w:rFonts w:ascii="Arial" w:hAnsi="Arial" w:cs="Arial"/>
        </w:rPr>
        <w:t>T</w:t>
      </w:r>
      <w:r w:rsidR="00474A84" w:rsidRPr="00BE76C9">
        <w:rPr>
          <w:rFonts w:ascii="Arial" w:hAnsi="Arial" w:cs="Arial"/>
        </w:rPr>
        <w:t>he 2012-13 ACCAN grants projects</w:t>
      </w:r>
    </w:p>
    <w:p w:rsidR="00474A84" w:rsidRPr="00BE76C9" w:rsidRDefault="00474A84" w:rsidP="00BE76C9">
      <w:pPr>
        <w:pStyle w:val="ListParagraph"/>
        <w:numPr>
          <w:ilvl w:val="0"/>
          <w:numId w:val="9"/>
        </w:numPr>
        <w:spacing w:after="0"/>
        <w:rPr>
          <w:rFonts w:ascii="Arial" w:hAnsi="Arial" w:cs="Arial"/>
        </w:rPr>
      </w:pPr>
      <w:r w:rsidRPr="00BE76C9">
        <w:rPr>
          <w:rFonts w:ascii="Arial" w:hAnsi="Arial" w:cs="Arial"/>
        </w:rPr>
        <w:t xml:space="preserve">The ACCAN </w:t>
      </w:r>
      <w:r w:rsidR="00085C33">
        <w:rPr>
          <w:rFonts w:ascii="Arial" w:hAnsi="Arial" w:cs="Arial"/>
        </w:rPr>
        <w:t>R</w:t>
      </w:r>
      <w:r w:rsidRPr="00BE76C9">
        <w:rPr>
          <w:rFonts w:ascii="Arial" w:hAnsi="Arial" w:cs="Arial"/>
        </w:rPr>
        <w:t>eview</w:t>
      </w:r>
    </w:p>
    <w:p w:rsidR="00474A84" w:rsidRPr="00BE76C9" w:rsidRDefault="00474A84" w:rsidP="00BE76C9">
      <w:pPr>
        <w:pStyle w:val="ListParagraph"/>
        <w:numPr>
          <w:ilvl w:val="0"/>
          <w:numId w:val="9"/>
        </w:numPr>
        <w:spacing w:after="0"/>
        <w:rPr>
          <w:rFonts w:ascii="Arial" w:hAnsi="Arial" w:cs="Arial"/>
        </w:rPr>
      </w:pPr>
      <w:r w:rsidRPr="00BE76C9">
        <w:rPr>
          <w:rFonts w:ascii="Arial" w:hAnsi="Arial" w:cs="Arial"/>
        </w:rPr>
        <w:t>The Telecommunications Consumer Protection Code Review</w:t>
      </w:r>
    </w:p>
    <w:p w:rsidR="00474A84" w:rsidRPr="00BE76C9" w:rsidRDefault="00474A84" w:rsidP="00BE76C9">
      <w:pPr>
        <w:pStyle w:val="ListParagraph"/>
        <w:numPr>
          <w:ilvl w:val="0"/>
          <w:numId w:val="9"/>
        </w:numPr>
        <w:spacing w:after="0"/>
        <w:rPr>
          <w:rFonts w:ascii="Arial" w:hAnsi="Arial" w:cs="Arial"/>
        </w:rPr>
      </w:pPr>
      <w:r w:rsidRPr="00BE76C9">
        <w:rPr>
          <w:rFonts w:ascii="Arial" w:hAnsi="Arial" w:cs="Arial"/>
        </w:rPr>
        <w:t xml:space="preserve">Telecommunications Industry Ombudsman </w:t>
      </w:r>
      <w:r w:rsidR="00085C33">
        <w:rPr>
          <w:rFonts w:ascii="Arial" w:hAnsi="Arial" w:cs="Arial"/>
        </w:rPr>
        <w:t>R</w:t>
      </w:r>
      <w:r w:rsidRPr="00BE76C9">
        <w:rPr>
          <w:rFonts w:ascii="Arial" w:hAnsi="Arial" w:cs="Arial"/>
        </w:rPr>
        <w:t>eview and governance</w:t>
      </w:r>
    </w:p>
    <w:p w:rsidR="00474A84" w:rsidRPr="00BE76C9" w:rsidRDefault="00474A84" w:rsidP="00BE76C9">
      <w:pPr>
        <w:pStyle w:val="ListParagraph"/>
        <w:numPr>
          <w:ilvl w:val="0"/>
          <w:numId w:val="9"/>
        </w:numPr>
        <w:spacing w:after="0"/>
        <w:rPr>
          <w:rFonts w:ascii="Arial" w:hAnsi="Arial" w:cs="Arial"/>
          <w:b/>
        </w:rPr>
      </w:pPr>
      <w:r w:rsidRPr="00BE76C9">
        <w:rPr>
          <w:rFonts w:ascii="Arial" w:hAnsi="Arial" w:cs="Arial"/>
        </w:rPr>
        <w:t xml:space="preserve">ACCAN’s Fair Calls For All campaign </w:t>
      </w:r>
    </w:p>
    <w:p w:rsidR="00474A84" w:rsidRDefault="00474A84" w:rsidP="008836C1">
      <w:pPr>
        <w:spacing w:after="0"/>
        <w:rPr>
          <w:rFonts w:ascii="Arial" w:hAnsi="Arial" w:cs="Arial"/>
        </w:rPr>
      </w:pPr>
    </w:p>
    <w:p w:rsidR="00474A84" w:rsidRDefault="00474A84" w:rsidP="008836C1">
      <w:pPr>
        <w:spacing w:after="0"/>
        <w:rPr>
          <w:rFonts w:ascii="Arial" w:hAnsi="Arial" w:cs="Arial"/>
        </w:rPr>
      </w:pPr>
      <w:bookmarkStart w:id="0" w:name="_GoBack"/>
      <w:bookmarkEnd w:id="0"/>
    </w:p>
    <w:p w:rsidR="008836C1" w:rsidRPr="00491026" w:rsidRDefault="008836C1" w:rsidP="008836C1">
      <w:pPr>
        <w:spacing w:after="0"/>
        <w:rPr>
          <w:rFonts w:ascii="Arial" w:hAnsi="Arial" w:cs="Arial"/>
        </w:rPr>
      </w:pPr>
    </w:p>
    <w:p w:rsidR="007B6B06" w:rsidRPr="00491026" w:rsidRDefault="007B6B06" w:rsidP="008836C1">
      <w:pPr>
        <w:tabs>
          <w:tab w:val="left" w:pos="5850"/>
        </w:tabs>
        <w:spacing w:after="0"/>
        <w:rPr>
          <w:rFonts w:ascii="Arial" w:hAnsi="Arial" w:cs="Arial"/>
        </w:rPr>
      </w:pPr>
    </w:p>
    <w:sectPr w:rsidR="007B6B06" w:rsidRPr="00491026" w:rsidSect="00BE76C9">
      <w:headerReference w:type="default" r:id="rId9"/>
      <w:footerReference w:type="default" r:id="rId10"/>
      <w:headerReference w:type="first" r:id="rId11"/>
      <w:pgSz w:w="11906" w:h="16838"/>
      <w:pgMar w:top="851"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63" w:rsidRDefault="00DB4163" w:rsidP="00DA5187">
      <w:pPr>
        <w:spacing w:after="0" w:line="240" w:lineRule="auto"/>
      </w:pPr>
      <w:r>
        <w:separator/>
      </w:r>
    </w:p>
  </w:endnote>
  <w:endnote w:type="continuationSeparator" w:id="0">
    <w:p w:rsidR="00DB4163" w:rsidRDefault="00DB4163" w:rsidP="00DA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15476"/>
      <w:docPartObj>
        <w:docPartGallery w:val="Page Numbers (Bottom of Page)"/>
        <w:docPartUnique/>
      </w:docPartObj>
    </w:sdtPr>
    <w:sdtEndPr>
      <w:rPr>
        <w:noProof/>
      </w:rPr>
    </w:sdtEndPr>
    <w:sdtContent>
      <w:p w:rsidR="00905797" w:rsidRDefault="00905797">
        <w:pPr>
          <w:pStyle w:val="Footer"/>
          <w:jc w:val="right"/>
        </w:pPr>
        <w:r>
          <w:fldChar w:fldCharType="begin"/>
        </w:r>
        <w:r>
          <w:instrText xml:space="preserve"> PAGE   \* MERGEFORMAT </w:instrText>
        </w:r>
        <w:r>
          <w:fldChar w:fldCharType="separate"/>
        </w:r>
        <w:r w:rsidR="00085C33">
          <w:rPr>
            <w:noProof/>
          </w:rPr>
          <w:t>2</w:t>
        </w:r>
        <w:r>
          <w:rPr>
            <w:noProof/>
          </w:rPr>
          <w:fldChar w:fldCharType="end"/>
        </w:r>
      </w:p>
    </w:sdtContent>
  </w:sdt>
  <w:p w:rsidR="00905797" w:rsidRDefault="00905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63" w:rsidRDefault="00DB4163" w:rsidP="00DA5187">
      <w:pPr>
        <w:spacing w:after="0" w:line="240" w:lineRule="auto"/>
      </w:pPr>
      <w:r>
        <w:separator/>
      </w:r>
    </w:p>
  </w:footnote>
  <w:footnote w:type="continuationSeparator" w:id="0">
    <w:p w:rsidR="00DB4163" w:rsidRDefault="00DB4163" w:rsidP="00DA5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B42" w:rsidRDefault="00851B42" w:rsidP="00DA518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B42" w:rsidRDefault="00851B42" w:rsidP="00DA5187">
    <w:pPr>
      <w:pStyle w:val="Header"/>
      <w:jc w:val="center"/>
    </w:pPr>
    <w:r>
      <w:rPr>
        <w:noProof/>
        <w:lang w:eastAsia="en-AU"/>
      </w:rPr>
      <w:drawing>
        <wp:inline distT="0" distB="0" distL="0" distR="0" wp14:anchorId="1845E39A" wp14:editId="4C393DAC">
          <wp:extent cx="2133600" cy="981075"/>
          <wp:effectExtent l="0" t="0" r="0" b="9525"/>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420"/>
    <w:multiLevelType w:val="hybridMultilevel"/>
    <w:tmpl w:val="9E1C0F90"/>
    <w:lvl w:ilvl="0" w:tplc="ADD09B86">
      <w:start w:val="1"/>
      <w:numFmt w:val="decimal"/>
      <w:lvlText w:val="%1."/>
      <w:lvlJc w:val="left"/>
      <w:pPr>
        <w:ind w:left="720" w:hanging="360"/>
      </w:pPr>
      <w:rPr>
        <w:rFonts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708DE"/>
    <w:multiLevelType w:val="hybridMultilevel"/>
    <w:tmpl w:val="E04EC5C6"/>
    <w:lvl w:ilvl="0" w:tplc="ADD09B86">
      <w:start w:val="1"/>
      <w:numFmt w:val="decimal"/>
      <w:lvlText w:val="%1."/>
      <w:lvlJc w:val="left"/>
      <w:pPr>
        <w:ind w:left="720" w:hanging="360"/>
      </w:pPr>
      <w:rPr>
        <w:rFonts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B050A"/>
    <w:multiLevelType w:val="hybridMultilevel"/>
    <w:tmpl w:val="22C087B4"/>
    <w:lvl w:ilvl="0" w:tplc="ADD09B86">
      <w:start w:val="1"/>
      <w:numFmt w:val="decimal"/>
      <w:lvlText w:val="%1."/>
      <w:lvlJc w:val="left"/>
      <w:pPr>
        <w:ind w:left="720" w:hanging="360"/>
      </w:pPr>
      <w:rPr>
        <w:rFonts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81A47"/>
    <w:multiLevelType w:val="hybridMultilevel"/>
    <w:tmpl w:val="41167158"/>
    <w:lvl w:ilvl="0" w:tplc="ADD09B86">
      <w:start w:val="1"/>
      <w:numFmt w:val="decimal"/>
      <w:lvlText w:val="%1."/>
      <w:lvlJc w:val="left"/>
      <w:pPr>
        <w:ind w:left="720" w:hanging="360"/>
      </w:pPr>
      <w:rPr>
        <w:rFonts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87788"/>
    <w:multiLevelType w:val="hybridMultilevel"/>
    <w:tmpl w:val="5ED239F4"/>
    <w:lvl w:ilvl="0" w:tplc="ADD09B86">
      <w:start w:val="1"/>
      <w:numFmt w:val="decimal"/>
      <w:lvlText w:val="%1."/>
      <w:lvlJc w:val="left"/>
      <w:pPr>
        <w:ind w:left="720" w:hanging="360"/>
      </w:pPr>
      <w:rPr>
        <w:rFonts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02FAD"/>
    <w:multiLevelType w:val="hybridMultilevel"/>
    <w:tmpl w:val="DB74975A"/>
    <w:lvl w:ilvl="0" w:tplc="ADD09B86">
      <w:start w:val="1"/>
      <w:numFmt w:val="decimal"/>
      <w:lvlText w:val="%1."/>
      <w:lvlJc w:val="left"/>
      <w:pPr>
        <w:ind w:left="720" w:hanging="360"/>
      </w:pPr>
      <w:rPr>
        <w:rFonts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317FC4"/>
    <w:multiLevelType w:val="hybridMultilevel"/>
    <w:tmpl w:val="CDFEFEA6"/>
    <w:lvl w:ilvl="0" w:tplc="ADD09B86">
      <w:start w:val="1"/>
      <w:numFmt w:val="decimal"/>
      <w:lvlText w:val="%1."/>
      <w:lvlJc w:val="left"/>
      <w:pPr>
        <w:ind w:left="720" w:hanging="360"/>
      </w:pPr>
      <w:rPr>
        <w:rFonts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A72ADF"/>
    <w:multiLevelType w:val="hybridMultilevel"/>
    <w:tmpl w:val="D4BE2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2FA33AD"/>
    <w:multiLevelType w:val="hybridMultilevel"/>
    <w:tmpl w:val="891ECB6E"/>
    <w:lvl w:ilvl="0" w:tplc="ADD09B86">
      <w:start w:val="1"/>
      <w:numFmt w:val="decimal"/>
      <w:lvlText w:val="%1."/>
      <w:lvlJc w:val="left"/>
      <w:pPr>
        <w:ind w:left="720" w:hanging="360"/>
      </w:pPr>
      <w:rPr>
        <w:rFonts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4"/>
  </w:num>
  <w:num w:numId="5">
    <w:abstractNumId w:val="2"/>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F3"/>
    <w:rsid w:val="00001E42"/>
    <w:rsid w:val="000034AD"/>
    <w:rsid w:val="0001381D"/>
    <w:rsid w:val="00014359"/>
    <w:rsid w:val="000162FA"/>
    <w:rsid w:val="00016CB2"/>
    <w:rsid w:val="00032A77"/>
    <w:rsid w:val="000341F3"/>
    <w:rsid w:val="00040D99"/>
    <w:rsid w:val="0007441C"/>
    <w:rsid w:val="00084717"/>
    <w:rsid w:val="00085C33"/>
    <w:rsid w:val="0009179F"/>
    <w:rsid w:val="000948C8"/>
    <w:rsid w:val="0009501D"/>
    <w:rsid w:val="00095510"/>
    <w:rsid w:val="000A3C41"/>
    <w:rsid w:val="000B190E"/>
    <w:rsid w:val="000B2163"/>
    <w:rsid w:val="000C40A3"/>
    <w:rsid w:val="000C5718"/>
    <w:rsid w:val="000C6916"/>
    <w:rsid w:val="000D35AD"/>
    <w:rsid w:val="000E1203"/>
    <w:rsid w:val="00100BEA"/>
    <w:rsid w:val="0010371B"/>
    <w:rsid w:val="00110ADC"/>
    <w:rsid w:val="00116034"/>
    <w:rsid w:val="00122AD1"/>
    <w:rsid w:val="00156173"/>
    <w:rsid w:val="001667C2"/>
    <w:rsid w:val="00171EE6"/>
    <w:rsid w:val="00174429"/>
    <w:rsid w:val="0017715B"/>
    <w:rsid w:val="001910F7"/>
    <w:rsid w:val="00197353"/>
    <w:rsid w:val="001A153A"/>
    <w:rsid w:val="001B2867"/>
    <w:rsid w:val="001B328A"/>
    <w:rsid w:val="001C35E2"/>
    <w:rsid w:val="001D3398"/>
    <w:rsid w:val="001D3619"/>
    <w:rsid w:val="001D6BBA"/>
    <w:rsid w:val="001F5BE3"/>
    <w:rsid w:val="002001BC"/>
    <w:rsid w:val="002106F5"/>
    <w:rsid w:val="00216175"/>
    <w:rsid w:val="002216AC"/>
    <w:rsid w:val="00232882"/>
    <w:rsid w:val="00240E0D"/>
    <w:rsid w:val="002568F5"/>
    <w:rsid w:val="00257428"/>
    <w:rsid w:val="0026228D"/>
    <w:rsid w:val="00271B9D"/>
    <w:rsid w:val="00274078"/>
    <w:rsid w:val="0028742E"/>
    <w:rsid w:val="00296472"/>
    <w:rsid w:val="00297956"/>
    <w:rsid w:val="002A3F5A"/>
    <w:rsid w:val="002A7C48"/>
    <w:rsid w:val="002A7EE6"/>
    <w:rsid w:val="002C6267"/>
    <w:rsid w:val="002E2ECD"/>
    <w:rsid w:val="002E7D1E"/>
    <w:rsid w:val="002F0202"/>
    <w:rsid w:val="002F0F74"/>
    <w:rsid w:val="00316B7D"/>
    <w:rsid w:val="0032090C"/>
    <w:rsid w:val="00337218"/>
    <w:rsid w:val="00340D9F"/>
    <w:rsid w:val="00342739"/>
    <w:rsid w:val="003434D4"/>
    <w:rsid w:val="00347E16"/>
    <w:rsid w:val="00353C97"/>
    <w:rsid w:val="00360535"/>
    <w:rsid w:val="0036387B"/>
    <w:rsid w:val="003647A5"/>
    <w:rsid w:val="00375229"/>
    <w:rsid w:val="00380ED7"/>
    <w:rsid w:val="00384913"/>
    <w:rsid w:val="003851CC"/>
    <w:rsid w:val="003B0785"/>
    <w:rsid w:val="003B23C1"/>
    <w:rsid w:val="003C255F"/>
    <w:rsid w:val="003D3457"/>
    <w:rsid w:val="003D6FBF"/>
    <w:rsid w:val="003E4D0A"/>
    <w:rsid w:val="003E6B73"/>
    <w:rsid w:val="003E73FF"/>
    <w:rsid w:val="004027F0"/>
    <w:rsid w:val="00411DC5"/>
    <w:rsid w:val="00414BE1"/>
    <w:rsid w:val="00414D99"/>
    <w:rsid w:val="00417189"/>
    <w:rsid w:val="004354AC"/>
    <w:rsid w:val="0044018B"/>
    <w:rsid w:val="004569DE"/>
    <w:rsid w:val="004676E7"/>
    <w:rsid w:val="00472AB2"/>
    <w:rsid w:val="00474A84"/>
    <w:rsid w:val="00475729"/>
    <w:rsid w:val="0048611D"/>
    <w:rsid w:val="00487C11"/>
    <w:rsid w:val="00491026"/>
    <w:rsid w:val="004946D5"/>
    <w:rsid w:val="004A1ECC"/>
    <w:rsid w:val="004B32E0"/>
    <w:rsid w:val="004D0D73"/>
    <w:rsid w:val="004D350E"/>
    <w:rsid w:val="004F6F14"/>
    <w:rsid w:val="00513C4F"/>
    <w:rsid w:val="00523CEF"/>
    <w:rsid w:val="00525C39"/>
    <w:rsid w:val="00536125"/>
    <w:rsid w:val="0054441F"/>
    <w:rsid w:val="00550347"/>
    <w:rsid w:val="005576D0"/>
    <w:rsid w:val="00563570"/>
    <w:rsid w:val="00567766"/>
    <w:rsid w:val="00593D59"/>
    <w:rsid w:val="005979E8"/>
    <w:rsid w:val="005A0E5E"/>
    <w:rsid w:val="005B3022"/>
    <w:rsid w:val="005B4D4E"/>
    <w:rsid w:val="005B6F60"/>
    <w:rsid w:val="005C0BED"/>
    <w:rsid w:val="005D1683"/>
    <w:rsid w:val="005E3B5C"/>
    <w:rsid w:val="005E5A11"/>
    <w:rsid w:val="005E74A1"/>
    <w:rsid w:val="006015C1"/>
    <w:rsid w:val="00613291"/>
    <w:rsid w:val="00615845"/>
    <w:rsid w:val="006172DA"/>
    <w:rsid w:val="006265B0"/>
    <w:rsid w:val="00631230"/>
    <w:rsid w:val="006335DD"/>
    <w:rsid w:val="006666AF"/>
    <w:rsid w:val="00667395"/>
    <w:rsid w:val="0067750D"/>
    <w:rsid w:val="00685DD1"/>
    <w:rsid w:val="0068771C"/>
    <w:rsid w:val="006A2DE7"/>
    <w:rsid w:val="006A7A18"/>
    <w:rsid w:val="006A7F63"/>
    <w:rsid w:val="006B0BB4"/>
    <w:rsid w:val="006B703E"/>
    <w:rsid w:val="006D012D"/>
    <w:rsid w:val="006D26C1"/>
    <w:rsid w:val="006D5C53"/>
    <w:rsid w:val="006D7078"/>
    <w:rsid w:val="006E0BE1"/>
    <w:rsid w:val="006E2B5B"/>
    <w:rsid w:val="006F36A1"/>
    <w:rsid w:val="00701C61"/>
    <w:rsid w:val="00721FBC"/>
    <w:rsid w:val="00727579"/>
    <w:rsid w:val="007279A8"/>
    <w:rsid w:val="0074275F"/>
    <w:rsid w:val="0074760C"/>
    <w:rsid w:val="00751753"/>
    <w:rsid w:val="00760B79"/>
    <w:rsid w:val="00760BA3"/>
    <w:rsid w:val="007616CD"/>
    <w:rsid w:val="007652B5"/>
    <w:rsid w:val="0076730C"/>
    <w:rsid w:val="00771173"/>
    <w:rsid w:val="00775FBA"/>
    <w:rsid w:val="00783533"/>
    <w:rsid w:val="007A42D9"/>
    <w:rsid w:val="007A61BA"/>
    <w:rsid w:val="007B60F9"/>
    <w:rsid w:val="007B6B06"/>
    <w:rsid w:val="007E0A4C"/>
    <w:rsid w:val="007E4E88"/>
    <w:rsid w:val="007E737C"/>
    <w:rsid w:val="00811FBC"/>
    <w:rsid w:val="0081204F"/>
    <w:rsid w:val="00827650"/>
    <w:rsid w:val="00827D3C"/>
    <w:rsid w:val="00836C35"/>
    <w:rsid w:val="0084204E"/>
    <w:rsid w:val="00850EE9"/>
    <w:rsid w:val="00851B42"/>
    <w:rsid w:val="00852515"/>
    <w:rsid w:val="0085689B"/>
    <w:rsid w:val="00877B03"/>
    <w:rsid w:val="008836C1"/>
    <w:rsid w:val="00883F8F"/>
    <w:rsid w:val="0088417C"/>
    <w:rsid w:val="00885E6D"/>
    <w:rsid w:val="00890E34"/>
    <w:rsid w:val="00890F56"/>
    <w:rsid w:val="008A1D83"/>
    <w:rsid w:val="008A3A14"/>
    <w:rsid w:val="008B3238"/>
    <w:rsid w:val="008B53AE"/>
    <w:rsid w:val="008C25CB"/>
    <w:rsid w:val="008D4CB6"/>
    <w:rsid w:val="008D51FE"/>
    <w:rsid w:val="008E5A22"/>
    <w:rsid w:val="00905797"/>
    <w:rsid w:val="00906CC7"/>
    <w:rsid w:val="0091051D"/>
    <w:rsid w:val="00921071"/>
    <w:rsid w:val="009232A6"/>
    <w:rsid w:val="009304DE"/>
    <w:rsid w:val="009342F2"/>
    <w:rsid w:val="00936547"/>
    <w:rsid w:val="00941DF5"/>
    <w:rsid w:val="00954162"/>
    <w:rsid w:val="00970A6C"/>
    <w:rsid w:val="00972121"/>
    <w:rsid w:val="009923BB"/>
    <w:rsid w:val="00994B10"/>
    <w:rsid w:val="009A4F70"/>
    <w:rsid w:val="009B4F28"/>
    <w:rsid w:val="009B5946"/>
    <w:rsid w:val="009C44F3"/>
    <w:rsid w:val="009D7F38"/>
    <w:rsid w:val="009E17BE"/>
    <w:rsid w:val="009E452B"/>
    <w:rsid w:val="009F36E4"/>
    <w:rsid w:val="009F4620"/>
    <w:rsid w:val="009F6E6F"/>
    <w:rsid w:val="00A03D90"/>
    <w:rsid w:val="00A04C6F"/>
    <w:rsid w:val="00A21F2C"/>
    <w:rsid w:val="00A222DC"/>
    <w:rsid w:val="00A24FE7"/>
    <w:rsid w:val="00A36BA9"/>
    <w:rsid w:val="00A4338F"/>
    <w:rsid w:val="00A465EB"/>
    <w:rsid w:val="00A4682D"/>
    <w:rsid w:val="00A57017"/>
    <w:rsid w:val="00A839EC"/>
    <w:rsid w:val="00A91F06"/>
    <w:rsid w:val="00AB6F0C"/>
    <w:rsid w:val="00AC1781"/>
    <w:rsid w:val="00AD0591"/>
    <w:rsid w:val="00AD7254"/>
    <w:rsid w:val="00AE3822"/>
    <w:rsid w:val="00AE71BB"/>
    <w:rsid w:val="00AE779C"/>
    <w:rsid w:val="00AF5F44"/>
    <w:rsid w:val="00AF6CB9"/>
    <w:rsid w:val="00B11167"/>
    <w:rsid w:val="00B159E4"/>
    <w:rsid w:val="00B16847"/>
    <w:rsid w:val="00B21427"/>
    <w:rsid w:val="00B37C7E"/>
    <w:rsid w:val="00B403DF"/>
    <w:rsid w:val="00B42ECF"/>
    <w:rsid w:val="00B43283"/>
    <w:rsid w:val="00B67E77"/>
    <w:rsid w:val="00B84674"/>
    <w:rsid w:val="00B93371"/>
    <w:rsid w:val="00B95173"/>
    <w:rsid w:val="00BA3006"/>
    <w:rsid w:val="00BA3841"/>
    <w:rsid w:val="00BA7094"/>
    <w:rsid w:val="00BB53A0"/>
    <w:rsid w:val="00BC48B1"/>
    <w:rsid w:val="00BD66B4"/>
    <w:rsid w:val="00BD7CD0"/>
    <w:rsid w:val="00BE76C9"/>
    <w:rsid w:val="00BF0387"/>
    <w:rsid w:val="00BF1260"/>
    <w:rsid w:val="00BF3B6D"/>
    <w:rsid w:val="00C06296"/>
    <w:rsid w:val="00C40161"/>
    <w:rsid w:val="00C47346"/>
    <w:rsid w:val="00C536C7"/>
    <w:rsid w:val="00C62174"/>
    <w:rsid w:val="00C7531E"/>
    <w:rsid w:val="00C81D9C"/>
    <w:rsid w:val="00C94CEF"/>
    <w:rsid w:val="00C95D04"/>
    <w:rsid w:val="00CA0F45"/>
    <w:rsid w:val="00CA40CA"/>
    <w:rsid w:val="00CA72E4"/>
    <w:rsid w:val="00CA7CE7"/>
    <w:rsid w:val="00CC682F"/>
    <w:rsid w:val="00CC707F"/>
    <w:rsid w:val="00CD2EB8"/>
    <w:rsid w:val="00CE0D23"/>
    <w:rsid w:val="00CE367C"/>
    <w:rsid w:val="00D02B94"/>
    <w:rsid w:val="00D040E6"/>
    <w:rsid w:val="00D266BD"/>
    <w:rsid w:val="00D30A53"/>
    <w:rsid w:val="00D32007"/>
    <w:rsid w:val="00D56FA9"/>
    <w:rsid w:val="00D64889"/>
    <w:rsid w:val="00D71D74"/>
    <w:rsid w:val="00D754FE"/>
    <w:rsid w:val="00D7724E"/>
    <w:rsid w:val="00D802B7"/>
    <w:rsid w:val="00D835E5"/>
    <w:rsid w:val="00D8582F"/>
    <w:rsid w:val="00D913A3"/>
    <w:rsid w:val="00D91CBF"/>
    <w:rsid w:val="00D920AF"/>
    <w:rsid w:val="00D97B66"/>
    <w:rsid w:val="00DA5187"/>
    <w:rsid w:val="00DA5D10"/>
    <w:rsid w:val="00DB17AC"/>
    <w:rsid w:val="00DB4163"/>
    <w:rsid w:val="00DC3D8D"/>
    <w:rsid w:val="00DD7DA1"/>
    <w:rsid w:val="00DF726A"/>
    <w:rsid w:val="00E13DDB"/>
    <w:rsid w:val="00E26C79"/>
    <w:rsid w:val="00E52E61"/>
    <w:rsid w:val="00E61034"/>
    <w:rsid w:val="00E61AD7"/>
    <w:rsid w:val="00E65FD6"/>
    <w:rsid w:val="00E67062"/>
    <w:rsid w:val="00E73595"/>
    <w:rsid w:val="00E752B7"/>
    <w:rsid w:val="00E827A8"/>
    <w:rsid w:val="00E82F25"/>
    <w:rsid w:val="00E933C6"/>
    <w:rsid w:val="00EA32BB"/>
    <w:rsid w:val="00EA6F7C"/>
    <w:rsid w:val="00EA77AC"/>
    <w:rsid w:val="00EA7B5C"/>
    <w:rsid w:val="00EB5F87"/>
    <w:rsid w:val="00EB7262"/>
    <w:rsid w:val="00EC7B6E"/>
    <w:rsid w:val="00ED3B12"/>
    <w:rsid w:val="00EE1E5E"/>
    <w:rsid w:val="00F05B0C"/>
    <w:rsid w:val="00F25A09"/>
    <w:rsid w:val="00F25F99"/>
    <w:rsid w:val="00F2666A"/>
    <w:rsid w:val="00F323F6"/>
    <w:rsid w:val="00F32CB6"/>
    <w:rsid w:val="00F451D2"/>
    <w:rsid w:val="00F50A0B"/>
    <w:rsid w:val="00F51156"/>
    <w:rsid w:val="00F5137D"/>
    <w:rsid w:val="00F61FBA"/>
    <w:rsid w:val="00F67B21"/>
    <w:rsid w:val="00F738C1"/>
    <w:rsid w:val="00F76920"/>
    <w:rsid w:val="00F87F04"/>
    <w:rsid w:val="00F91052"/>
    <w:rsid w:val="00F917F0"/>
    <w:rsid w:val="00F93342"/>
    <w:rsid w:val="00F966AB"/>
    <w:rsid w:val="00FB1C71"/>
    <w:rsid w:val="00FB4A03"/>
    <w:rsid w:val="00FC238A"/>
    <w:rsid w:val="00FD3566"/>
    <w:rsid w:val="00FE2384"/>
    <w:rsid w:val="00FF6CA1"/>
    <w:rsid w:val="00FF7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A5187"/>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DA5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187"/>
  </w:style>
  <w:style w:type="paragraph" w:styleId="Footer">
    <w:name w:val="footer"/>
    <w:basedOn w:val="Normal"/>
    <w:link w:val="FooterChar"/>
    <w:uiPriority w:val="99"/>
    <w:unhideWhenUsed/>
    <w:rsid w:val="00DA5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187"/>
  </w:style>
  <w:style w:type="paragraph" w:styleId="BalloonText">
    <w:name w:val="Balloon Text"/>
    <w:basedOn w:val="Normal"/>
    <w:link w:val="BalloonTextChar"/>
    <w:uiPriority w:val="99"/>
    <w:semiHidden/>
    <w:unhideWhenUsed/>
    <w:rsid w:val="00DA5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187"/>
    <w:rPr>
      <w:rFonts w:ascii="Tahoma" w:hAnsi="Tahoma" w:cs="Tahoma"/>
      <w:sz w:val="16"/>
      <w:szCs w:val="16"/>
    </w:rPr>
  </w:style>
  <w:style w:type="paragraph" w:styleId="BodyTextIndent">
    <w:name w:val="Body Text Indent"/>
    <w:basedOn w:val="Normal"/>
    <w:link w:val="BodyTextIndentChar"/>
    <w:rsid w:val="00DA5187"/>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rPr>
  </w:style>
  <w:style w:type="character" w:customStyle="1" w:styleId="BodyTextIndentChar">
    <w:name w:val="Body Text Indent Char"/>
    <w:basedOn w:val="DefaultParagraphFont"/>
    <w:link w:val="BodyTextIndent"/>
    <w:rsid w:val="00DA5187"/>
    <w:rPr>
      <w:rFonts w:ascii="Times New Roman" w:eastAsia="Times New Roman" w:hAnsi="Times New Roman" w:cs="Times New Roman"/>
      <w:sz w:val="24"/>
      <w:szCs w:val="20"/>
      <w:lang w:val="x-none"/>
    </w:rPr>
  </w:style>
  <w:style w:type="paragraph" w:styleId="BodyText">
    <w:name w:val="Body Text"/>
    <w:basedOn w:val="Normal"/>
    <w:link w:val="BodyTextChar"/>
    <w:rsid w:val="005E74A1"/>
    <w:pPr>
      <w:tabs>
        <w:tab w:val="left" w:pos="567"/>
        <w:tab w:val="left" w:pos="1134"/>
        <w:tab w:val="left" w:pos="1701"/>
        <w:tab w:val="left" w:pos="2268"/>
      </w:tabs>
      <w:spacing w:after="120" w:line="240" w:lineRule="auto"/>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5E74A1"/>
    <w:rPr>
      <w:rFonts w:ascii="Times New Roman" w:eastAsia="Times New Roman" w:hAnsi="Times New Roman" w:cs="Times New Roman"/>
      <w:sz w:val="24"/>
      <w:szCs w:val="20"/>
      <w:lang w:val="x-none"/>
    </w:rPr>
  </w:style>
  <w:style w:type="paragraph" w:customStyle="1" w:styleId="Recommendation">
    <w:name w:val="Recommendation"/>
    <w:basedOn w:val="Normal"/>
    <w:rsid w:val="00701C61"/>
    <w:pPr>
      <w:tabs>
        <w:tab w:val="left" w:pos="567"/>
        <w:tab w:val="left" w:pos="1134"/>
        <w:tab w:val="left" w:pos="1701"/>
        <w:tab w:val="left" w:pos="2268"/>
      </w:tabs>
      <w:spacing w:after="0" w:line="240" w:lineRule="auto"/>
    </w:pPr>
    <w:rPr>
      <w:rFonts w:ascii="Times New Roman" w:eastAsia="Times New Roman" w:hAnsi="Times New Roman" w:cs="Times New Roman"/>
      <w:sz w:val="24"/>
      <w:szCs w:val="20"/>
    </w:rPr>
  </w:style>
  <w:style w:type="character" w:styleId="Hyperlink">
    <w:name w:val="Hyperlink"/>
    <w:uiPriority w:val="99"/>
    <w:rsid w:val="00701C61"/>
    <w:rPr>
      <w:color w:val="0000FF"/>
      <w:u w:val="single"/>
    </w:rPr>
  </w:style>
  <w:style w:type="paragraph" w:styleId="ListParagraph">
    <w:name w:val="List Paragraph"/>
    <w:basedOn w:val="Normal"/>
    <w:uiPriority w:val="34"/>
    <w:qFormat/>
    <w:rsid w:val="00BE76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A5187"/>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DA5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187"/>
  </w:style>
  <w:style w:type="paragraph" w:styleId="Footer">
    <w:name w:val="footer"/>
    <w:basedOn w:val="Normal"/>
    <w:link w:val="FooterChar"/>
    <w:uiPriority w:val="99"/>
    <w:unhideWhenUsed/>
    <w:rsid w:val="00DA5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187"/>
  </w:style>
  <w:style w:type="paragraph" w:styleId="BalloonText">
    <w:name w:val="Balloon Text"/>
    <w:basedOn w:val="Normal"/>
    <w:link w:val="BalloonTextChar"/>
    <w:uiPriority w:val="99"/>
    <w:semiHidden/>
    <w:unhideWhenUsed/>
    <w:rsid w:val="00DA5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187"/>
    <w:rPr>
      <w:rFonts w:ascii="Tahoma" w:hAnsi="Tahoma" w:cs="Tahoma"/>
      <w:sz w:val="16"/>
      <w:szCs w:val="16"/>
    </w:rPr>
  </w:style>
  <w:style w:type="paragraph" w:styleId="BodyTextIndent">
    <w:name w:val="Body Text Indent"/>
    <w:basedOn w:val="Normal"/>
    <w:link w:val="BodyTextIndentChar"/>
    <w:rsid w:val="00DA5187"/>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rPr>
  </w:style>
  <w:style w:type="character" w:customStyle="1" w:styleId="BodyTextIndentChar">
    <w:name w:val="Body Text Indent Char"/>
    <w:basedOn w:val="DefaultParagraphFont"/>
    <w:link w:val="BodyTextIndent"/>
    <w:rsid w:val="00DA5187"/>
    <w:rPr>
      <w:rFonts w:ascii="Times New Roman" w:eastAsia="Times New Roman" w:hAnsi="Times New Roman" w:cs="Times New Roman"/>
      <w:sz w:val="24"/>
      <w:szCs w:val="20"/>
      <w:lang w:val="x-none"/>
    </w:rPr>
  </w:style>
  <w:style w:type="paragraph" w:styleId="BodyText">
    <w:name w:val="Body Text"/>
    <w:basedOn w:val="Normal"/>
    <w:link w:val="BodyTextChar"/>
    <w:rsid w:val="005E74A1"/>
    <w:pPr>
      <w:tabs>
        <w:tab w:val="left" w:pos="567"/>
        <w:tab w:val="left" w:pos="1134"/>
        <w:tab w:val="left" w:pos="1701"/>
        <w:tab w:val="left" w:pos="2268"/>
      </w:tabs>
      <w:spacing w:after="120" w:line="240" w:lineRule="auto"/>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5E74A1"/>
    <w:rPr>
      <w:rFonts w:ascii="Times New Roman" w:eastAsia="Times New Roman" w:hAnsi="Times New Roman" w:cs="Times New Roman"/>
      <w:sz w:val="24"/>
      <w:szCs w:val="20"/>
      <w:lang w:val="x-none"/>
    </w:rPr>
  </w:style>
  <w:style w:type="paragraph" w:customStyle="1" w:styleId="Recommendation">
    <w:name w:val="Recommendation"/>
    <w:basedOn w:val="Normal"/>
    <w:rsid w:val="00701C61"/>
    <w:pPr>
      <w:tabs>
        <w:tab w:val="left" w:pos="567"/>
        <w:tab w:val="left" w:pos="1134"/>
        <w:tab w:val="left" w:pos="1701"/>
        <w:tab w:val="left" w:pos="2268"/>
      </w:tabs>
      <w:spacing w:after="0" w:line="240" w:lineRule="auto"/>
    </w:pPr>
    <w:rPr>
      <w:rFonts w:ascii="Times New Roman" w:eastAsia="Times New Roman" w:hAnsi="Times New Roman" w:cs="Times New Roman"/>
      <w:sz w:val="24"/>
      <w:szCs w:val="20"/>
    </w:rPr>
  </w:style>
  <w:style w:type="character" w:styleId="Hyperlink">
    <w:name w:val="Hyperlink"/>
    <w:uiPriority w:val="99"/>
    <w:rsid w:val="00701C61"/>
    <w:rPr>
      <w:color w:val="0000FF"/>
      <w:u w:val="single"/>
    </w:rPr>
  </w:style>
  <w:style w:type="paragraph" w:styleId="ListParagraph">
    <w:name w:val="List Paragraph"/>
    <w:basedOn w:val="Normal"/>
    <w:uiPriority w:val="34"/>
    <w:qFormat/>
    <w:rsid w:val="00BE7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4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8D2B0-E760-4EFE-BF89-FDCC425D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ACCAN-Portable02</dc:creator>
  <cp:lastModifiedBy>Erin Turner</cp:lastModifiedBy>
  <cp:revision>17</cp:revision>
  <cp:lastPrinted>2012-06-21T23:37:00Z</cp:lastPrinted>
  <dcterms:created xsi:type="dcterms:W3CDTF">2012-07-02T04:33:00Z</dcterms:created>
  <dcterms:modified xsi:type="dcterms:W3CDTF">2012-07-03T00:59:00Z</dcterms:modified>
</cp:coreProperties>
</file>